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F9B" w:rsidRPr="009F3FDE" w:rsidRDefault="00C77F9B" w:rsidP="00C77F9B">
      <w:pPr>
        <w:spacing w:before="1200" w:after="200" w:line="240" w:lineRule="auto"/>
        <w:jc w:val="center"/>
        <w:rPr>
          <w:rFonts w:ascii="Times New Roman" w:hAnsi="Times New Roman" w:cs="Times New Roman"/>
          <w:b/>
          <w:sz w:val="36"/>
          <w:szCs w:val="36"/>
        </w:rPr>
      </w:pPr>
      <w:r w:rsidRPr="009F3FDE">
        <w:rPr>
          <w:rFonts w:ascii="Times New Roman" w:hAnsi="Times New Roman" w:cs="Times New Roman"/>
          <w:b/>
          <w:sz w:val="36"/>
          <w:szCs w:val="36"/>
        </w:rPr>
        <w:t>M</w:t>
      </w:r>
      <w:r w:rsidR="00BA510B" w:rsidRPr="009F3FDE">
        <w:rPr>
          <w:rFonts w:ascii="Times New Roman" w:hAnsi="Times New Roman" w:cs="Times New Roman"/>
          <w:b/>
          <w:sz w:val="36"/>
          <w:szCs w:val="36"/>
        </w:rPr>
        <w:t>odernization and performance enhancement of gas gathering and compression systems in mature oil and gas condensate fields</w:t>
      </w:r>
    </w:p>
    <w:p w:rsidR="004F6D73" w:rsidRPr="009F3FDE" w:rsidRDefault="004F6D73" w:rsidP="00B81C66">
      <w:pPr>
        <w:pStyle w:val="AuthorName"/>
        <w:spacing w:before="240" w:after="200"/>
      </w:pPr>
      <w:r w:rsidRPr="009F3FDE">
        <w:t>R</w:t>
      </w:r>
      <w:r w:rsidR="00C26A66" w:rsidRPr="009F3FDE">
        <w:t xml:space="preserve">obert </w:t>
      </w:r>
      <w:r w:rsidR="00B81C66" w:rsidRPr="009F3FDE">
        <w:t>Lee</w:t>
      </w:r>
      <w:r w:rsidR="00B81C66" w:rsidRPr="009F3FDE">
        <w:rPr>
          <w:vertAlign w:val="superscript"/>
        </w:rPr>
        <w:t>1,2</w:t>
      </w:r>
      <w:r w:rsidRPr="009F3FDE">
        <w:t xml:space="preserve">, </w:t>
      </w:r>
      <w:proofErr w:type="spellStart"/>
      <w:r w:rsidR="00C26A66" w:rsidRPr="009F3FDE">
        <w:t>Nuritdin</w:t>
      </w:r>
      <w:proofErr w:type="spellEnd"/>
      <w:r w:rsidR="00C26A66" w:rsidRPr="009F3FDE">
        <w:t xml:space="preserve"> Amirkulov</w:t>
      </w:r>
      <w:r w:rsidR="00C26A66" w:rsidRPr="009F3FDE">
        <w:rPr>
          <w:vertAlign w:val="superscript"/>
        </w:rPr>
        <w:t>1</w:t>
      </w:r>
      <w:r w:rsidR="00C26A66" w:rsidRPr="009F3FDE">
        <w:t xml:space="preserve">, </w:t>
      </w:r>
      <w:r w:rsidRPr="009F3FDE">
        <w:t>S</w:t>
      </w:r>
      <w:r w:rsidR="00C26A66" w:rsidRPr="009F3FDE">
        <w:t xml:space="preserve">anjar </w:t>
      </w:r>
      <w:r w:rsidR="00B81C66" w:rsidRPr="009F3FDE">
        <w:t>Khaidarov</w:t>
      </w:r>
      <w:r w:rsidR="00B81C66" w:rsidRPr="009F3FDE">
        <w:rPr>
          <w:vertAlign w:val="superscript"/>
        </w:rPr>
        <w:t>1</w:t>
      </w:r>
      <w:r w:rsidRPr="009F3FDE">
        <w:t xml:space="preserve">, </w:t>
      </w:r>
      <w:r w:rsidR="00B81C66" w:rsidRPr="009F3FDE">
        <w:t>O</w:t>
      </w:r>
      <w:r w:rsidR="00C26A66" w:rsidRPr="009F3FDE">
        <w:t xml:space="preserve">ybek </w:t>
      </w:r>
      <w:r w:rsidR="00B81C66" w:rsidRPr="009F3FDE">
        <w:t>Daminov</w:t>
      </w:r>
      <w:proofErr w:type="gramStart"/>
      <w:r w:rsidR="00B81C66" w:rsidRPr="009F3FDE">
        <w:rPr>
          <w:vertAlign w:val="superscript"/>
        </w:rPr>
        <w:t>1,a</w:t>
      </w:r>
      <w:proofErr w:type="gramEnd"/>
      <w:r w:rsidR="00B81C66" w:rsidRPr="009F3FDE">
        <w:rPr>
          <w:vertAlign w:val="superscript"/>
        </w:rPr>
        <w:t>)</w:t>
      </w:r>
      <w:r w:rsidR="00B81C66" w:rsidRPr="009F3FDE">
        <w:t xml:space="preserve">, </w:t>
      </w:r>
      <w:proofErr w:type="spellStart"/>
      <w:r w:rsidRPr="009F3FDE">
        <w:t>L</w:t>
      </w:r>
      <w:r w:rsidR="00C26A66" w:rsidRPr="009F3FDE">
        <w:t>aziz</w:t>
      </w:r>
      <w:r w:rsidR="009F3FDE">
        <w:t>bek</w:t>
      </w:r>
      <w:proofErr w:type="spellEnd"/>
      <w:r w:rsidR="00C26A66" w:rsidRPr="009F3FDE">
        <w:t xml:space="preserve"> </w:t>
      </w:r>
      <w:r w:rsidR="00B81C66" w:rsidRPr="009F3FDE">
        <w:t>Akhmedov</w:t>
      </w:r>
      <w:r w:rsidR="00B81C66" w:rsidRPr="009F3FDE">
        <w:rPr>
          <w:vertAlign w:val="superscript"/>
        </w:rPr>
        <w:t>1</w:t>
      </w:r>
      <w:r w:rsidR="00B81C66" w:rsidRPr="009F3FDE">
        <w:t xml:space="preserve">, </w:t>
      </w:r>
      <w:proofErr w:type="spellStart"/>
      <w:r w:rsidR="00B81C66" w:rsidRPr="009F3FDE">
        <w:t>L</w:t>
      </w:r>
      <w:r w:rsidR="00C26A66" w:rsidRPr="009F3FDE">
        <w:t>azizbek</w:t>
      </w:r>
      <w:proofErr w:type="spellEnd"/>
      <w:r w:rsidR="00C26A66" w:rsidRPr="009F3FDE">
        <w:t xml:space="preserve"> </w:t>
      </w:r>
      <w:r w:rsidR="00B81C66" w:rsidRPr="009F3FDE">
        <w:t>Daminov</w:t>
      </w:r>
      <w:r w:rsidR="00B81C66" w:rsidRPr="009F3FDE">
        <w:rPr>
          <w:vertAlign w:val="superscript"/>
        </w:rPr>
        <w:t>1,3</w:t>
      </w:r>
    </w:p>
    <w:p w:rsidR="00B81C66" w:rsidRPr="009F3FDE" w:rsidRDefault="00B81C66" w:rsidP="00B81C66">
      <w:pPr>
        <w:pStyle w:val="AuthorAffiliation"/>
      </w:pPr>
      <w:r w:rsidRPr="009F3FDE">
        <w:rPr>
          <w:vertAlign w:val="superscript"/>
        </w:rPr>
        <w:t>1</w:t>
      </w:r>
      <w:r w:rsidRPr="009F3FDE">
        <w:t xml:space="preserve">Tashkent State Technical University named after Islam Karimov, Tashkent, Uzbekistan </w:t>
      </w:r>
    </w:p>
    <w:p w:rsidR="00B81C66" w:rsidRPr="009F3FDE" w:rsidRDefault="00B81C66" w:rsidP="00B81C66">
      <w:pPr>
        <w:pStyle w:val="AuthorAffiliation"/>
      </w:pPr>
      <w:r w:rsidRPr="009F3FDE">
        <w:rPr>
          <w:vertAlign w:val="superscript"/>
        </w:rPr>
        <w:t>2</w:t>
      </w:r>
      <w:r w:rsidRPr="009F3FDE">
        <w:rPr>
          <w:szCs w:val="28"/>
        </w:rPr>
        <w:t>JSC O'ZLITINEFTGAZ</w:t>
      </w:r>
      <w:r w:rsidRPr="009F3FDE">
        <w:t>, Tashkent, Uzbekistan</w:t>
      </w:r>
    </w:p>
    <w:p w:rsidR="00B81C66" w:rsidRPr="009F3FDE" w:rsidRDefault="00B81C66" w:rsidP="00B81C66">
      <w:pPr>
        <w:pStyle w:val="AuthorAffiliation"/>
      </w:pPr>
      <w:r w:rsidRPr="009F3FDE">
        <w:rPr>
          <w:vertAlign w:val="superscript"/>
        </w:rPr>
        <w:t>3</w:t>
      </w:r>
      <w:r w:rsidRPr="009F3FDE">
        <w:t xml:space="preserve">Karshi State Technical University, Karshi, Uzbekistan </w:t>
      </w:r>
    </w:p>
    <w:p w:rsidR="00B81C66" w:rsidRPr="009F3FDE" w:rsidRDefault="00B81C66" w:rsidP="00B81C66">
      <w:pPr>
        <w:pStyle w:val="AuthorAffiliation"/>
        <w:spacing w:before="200" w:after="200"/>
      </w:pPr>
      <w:r w:rsidRPr="009F3FDE">
        <w:rPr>
          <w:szCs w:val="18"/>
          <w:vertAlign w:val="superscript"/>
        </w:rPr>
        <w:t>a)</w:t>
      </w:r>
      <w:r w:rsidR="006522A1">
        <w:rPr>
          <w:szCs w:val="18"/>
          <w:vertAlign w:val="superscript"/>
        </w:rPr>
        <w:t xml:space="preserve"> </w:t>
      </w:r>
      <w:r w:rsidRPr="009F3FDE">
        <w:rPr>
          <w:szCs w:val="18"/>
        </w:rPr>
        <w:t xml:space="preserve">Corresponding author: </w:t>
      </w:r>
      <w:hyperlink r:id="rId8" w:history="1">
        <w:r w:rsidRPr="009F3FDE">
          <w:rPr>
            <w:rStyle w:val="afb"/>
            <w:rFonts w:eastAsiaTheme="majorEastAsia"/>
            <w:szCs w:val="18"/>
          </w:rPr>
          <w:t>oybek.daminov@tdtu.uz</w:t>
        </w:r>
      </w:hyperlink>
      <w:r w:rsidRPr="009F3FDE">
        <w:rPr>
          <w:szCs w:val="18"/>
        </w:rPr>
        <w:t xml:space="preserve"> </w:t>
      </w:r>
    </w:p>
    <w:p w:rsidR="00C77F9B" w:rsidRPr="009F3FDE" w:rsidRDefault="00C77F9B" w:rsidP="00B81C66">
      <w:pPr>
        <w:spacing w:before="360" w:after="360" w:line="240" w:lineRule="auto"/>
        <w:ind w:left="284" w:right="284"/>
        <w:jc w:val="both"/>
        <w:rPr>
          <w:rFonts w:ascii="Times New Roman" w:hAnsi="Times New Roman" w:cs="Times New Roman"/>
          <w:sz w:val="18"/>
        </w:rPr>
      </w:pPr>
      <w:r w:rsidRPr="009F3FDE">
        <w:rPr>
          <w:rFonts w:ascii="Times New Roman" w:eastAsia="Times New Roman" w:hAnsi="Times New Roman" w:cs="Times New Roman"/>
          <w:b/>
          <w:bCs/>
          <w:sz w:val="18"/>
          <w:szCs w:val="36"/>
          <w:lang w:eastAsia="ru-RU"/>
        </w:rPr>
        <w:t>Abstract</w:t>
      </w:r>
      <w:r w:rsidR="00B81C66" w:rsidRPr="009F3FDE">
        <w:rPr>
          <w:rFonts w:ascii="Times New Roman" w:eastAsia="Times New Roman" w:hAnsi="Times New Roman" w:cs="Times New Roman"/>
          <w:b/>
          <w:bCs/>
          <w:sz w:val="18"/>
          <w:szCs w:val="36"/>
          <w:lang w:eastAsia="ru-RU"/>
        </w:rPr>
        <w:t xml:space="preserve">. </w:t>
      </w:r>
      <w:r w:rsidRPr="009F3FDE">
        <w:rPr>
          <w:rFonts w:ascii="Times New Roman" w:hAnsi="Times New Roman" w:cs="Times New Roman"/>
          <w:sz w:val="18"/>
        </w:rPr>
        <w:t xml:space="preserve">This study investigates the modernization of gas collection and compression systems at the South </w:t>
      </w:r>
      <w:proofErr w:type="spellStart"/>
      <w:r w:rsidRPr="009F3FDE">
        <w:rPr>
          <w:rFonts w:ascii="Times New Roman" w:hAnsi="Times New Roman" w:cs="Times New Roman"/>
          <w:sz w:val="18"/>
        </w:rPr>
        <w:t>Kemachi</w:t>
      </w:r>
      <w:proofErr w:type="spellEnd"/>
      <w:r w:rsidRPr="009F3FDE">
        <w:rPr>
          <w:rFonts w:ascii="Times New Roman" w:hAnsi="Times New Roman" w:cs="Times New Roman"/>
          <w:sz w:val="18"/>
        </w:rPr>
        <w:t xml:space="preserve"> oil and gas condensate field, which is currently operating under conditions of declining reservoir pressure and reduced well productivity. A comprehensive assessment of the existing surface infrastructure revealed </w:t>
      </w:r>
      <w:r w:rsidRPr="009F3FDE">
        <w:rPr>
          <w:rFonts w:ascii="Times New Roman" w:eastAsia="Times New Roman" w:hAnsi="Times New Roman" w:cs="Times New Roman"/>
          <w:sz w:val="18"/>
          <w:szCs w:val="20"/>
        </w:rPr>
        <w:t>significant</w:t>
      </w:r>
      <w:r w:rsidRPr="009F3FDE">
        <w:rPr>
          <w:rFonts w:ascii="Times New Roman" w:hAnsi="Times New Roman" w:cs="Times New Roman"/>
          <w:sz w:val="18"/>
        </w:rPr>
        <w:t xml:space="preserve"> limitations in handling low-pressure gas, leading to production losses and increased operating costs. Two development scenarios were analyzed: a baseline </w:t>
      </w:r>
      <w:r w:rsidRPr="009F3FDE">
        <w:rPr>
          <w:rFonts w:ascii="Times New Roman" w:eastAsia="Times New Roman" w:hAnsi="Times New Roman" w:cs="Times New Roman"/>
          <w:sz w:val="18"/>
          <w:szCs w:val="20"/>
        </w:rPr>
        <w:t>option</w:t>
      </w:r>
      <w:r w:rsidRPr="009F3FDE">
        <w:rPr>
          <w:rFonts w:ascii="Times New Roman" w:hAnsi="Times New Roman" w:cs="Times New Roman"/>
          <w:sz w:val="18"/>
        </w:rPr>
        <w:t xml:space="preserve"> preserving the existing system and a proposed option involving the installation of wellhead compressor stations integrated with existing booster compressor facilities. Production forecasting and variant modeling for the period 2023–2035 indicate that the proposed modernization strategy enables an increase in cumulative gas production by 681.2 million m³ and condensate production by 14.3 thousand tons. The results confirm that wellhead compression improves residual hydrocarbon recovery, enhances utilization of surface facilities, and reduces dependence on third-party compression services, thereby ensuring stable production at the late stage of field development.</w:t>
      </w:r>
    </w:p>
    <w:p w:rsidR="00C77F9B" w:rsidRPr="009F3FDE" w:rsidRDefault="00B81C66" w:rsidP="00B81C66">
      <w:pPr>
        <w:pStyle w:val="a9"/>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9F3FDE">
        <w:rPr>
          <w:rFonts w:ascii="Times New Roman" w:hAnsi="Times New Roman" w:cs="Times New Roman"/>
          <w:b/>
          <w:sz w:val="24"/>
          <w:szCs w:val="24"/>
        </w:rPr>
        <w:t>INTRODUCTION</w:t>
      </w:r>
    </w:p>
    <w:p w:rsidR="00C77F9B" w:rsidRPr="009F3FDE" w:rsidRDefault="00C77F9B" w:rsidP="00B81C66">
      <w:pPr>
        <w:spacing w:after="0" w:line="240" w:lineRule="auto"/>
        <w:ind w:firstLine="284"/>
        <w:jc w:val="both"/>
        <w:rPr>
          <w:rFonts w:ascii="Times New Roman" w:hAnsi="Times New Roman" w:cs="Times New Roman"/>
          <w:sz w:val="20"/>
        </w:rPr>
      </w:pPr>
      <w:r w:rsidRPr="009F3FDE">
        <w:rPr>
          <w:rFonts w:ascii="Times New Roman" w:hAnsi="Times New Roman" w:cs="Times New Roman"/>
          <w:sz w:val="20"/>
        </w:rPr>
        <w:t xml:space="preserve">The late stage of oil and gas condensate field development is commonly associated with declining reservoir pressure, increasing water cut, and reduced well deliverability. Under such conditions, traditional gas collection and compression systems often fail to </w:t>
      </w:r>
      <w:r w:rsidRPr="009F3FDE">
        <w:rPr>
          <w:rFonts w:ascii="Times New Roman" w:hAnsi="Times New Roman" w:cs="Times New Roman"/>
          <w:color w:val="000000"/>
          <w:sz w:val="20"/>
        </w:rPr>
        <w:t>ensure</w:t>
      </w:r>
      <w:r w:rsidRPr="009F3FDE">
        <w:rPr>
          <w:rFonts w:ascii="Times New Roman" w:hAnsi="Times New Roman" w:cs="Times New Roman"/>
          <w:sz w:val="20"/>
        </w:rPr>
        <w:t xml:space="preserve"> stable production rates, resulting in inefficient utilization of installed facilities and higher operational costs</w:t>
      </w:r>
      <w:r w:rsidR="00CA2CD4" w:rsidRPr="009F3FDE">
        <w:rPr>
          <w:rFonts w:ascii="Times New Roman" w:hAnsi="Times New Roman" w:cs="Times New Roman"/>
          <w:sz w:val="20"/>
        </w:rPr>
        <w:t xml:space="preserve"> [</w:t>
      </w:r>
      <w:r w:rsidR="006D608B" w:rsidRPr="009F3FDE">
        <w:rPr>
          <w:rFonts w:ascii="Times New Roman" w:hAnsi="Times New Roman" w:cs="Times New Roman"/>
          <w:sz w:val="20"/>
        </w:rPr>
        <w:t xml:space="preserve">1, </w:t>
      </w:r>
      <w:r w:rsidR="00CA2CD4" w:rsidRPr="009F3FDE">
        <w:rPr>
          <w:rFonts w:ascii="Times New Roman" w:hAnsi="Times New Roman" w:cs="Times New Roman"/>
          <w:sz w:val="20"/>
        </w:rPr>
        <w:t>20, 24]</w:t>
      </w:r>
      <w:r w:rsidRPr="009F3FDE">
        <w:rPr>
          <w:rFonts w:ascii="Times New Roman" w:hAnsi="Times New Roman" w:cs="Times New Roman"/>
          <w:sz w:val="20"/>
        </w:rPr>
        <w:t>. Consequently, the modernization of surface infrastructure becomes a critical factor in extending the productive life of mature fields</w:t>
      </w:r>
      <w:r w:rsidR="00CA2CD4" w:rsidRPr="009F3FDE">
        <w:rPr>
          <w:rFonts w:ascii="Times New Roman" w:hAnsi="Times New Roman" w:cs="Times New Roman"/>
          <w:sz w:val="20"/>
        </w:rPr>
        <w:t xml:space="preserve"> [21]</w:t>
      </w:r>
      <w:r w:rsidRPr="009F3FDE">
        <w:rPr>
          <w:rFonts w:ascii="Times New Roman" w:hAnsi="Times New Roman" w:cs="Times New Roman"/>
          <w:sz w:val="20"/>
        </w:rPr>
        <w:t>.</w:t>
      </w:r>
    </w:p>
    <w:p w:rsidR="00C77F9B" w:rsidRPr="009F3FDE" w:rsidRDefault="00C77F9B" w:rsidP="00B81C66">
      <w:pPr>
        <w:spacing w:after="0" w:line="240" w:lineRule="auto"/>
        <w:ind w:firstLine="284"/>
        <w:jc w:val="both"/>
        <w:rPr>
          <w:rFonts w:ascii="Times New Roman" w:hAnsi="Times New Roman" w:cs="Times New Roman"/>
          <w:sz w:val="20"/>
        </w:rPr>
      </w:pPr>
      <w:r w:rsidRPr="009F3FDE">
        <w:rPr>
          <w:rFonts w:ascii="Times New Roman" w:hAnsi="Times New Roman" w:cs="Times New Roman"/>
          <w:sz w:val="20"/>
        </w:rPr>
        <w:t xml:space="preserve">Worldwide experience demonstrates that the introduction of advanced gas gathering and compression technologies, particularly wellhead </w:t>
      </w:r>
      <w:r w:rsidRPr="009F3FDE">
        <w:rPr>
          <w:rFonts w:ascii="Times New Roman" w:hAnsi="Times New Roman" w:cs="Times New Roman"/>
          <w:color w:val="000000"/>
          <w:sz w:val="20"/>
        </w:rPr>
        <w:t>compression</w:t>
      </w:r>
      <w:r w:rsidRPr="009F3FDE">
        <w:rPr>
          <w:rFonts w:ascii="Times New Roman" w:hAnsi="Times New Roman" w:cs="Times New Roman"/>
          <w:sz w:val="20"/>
        </w:rPr>
        <w:t>, provides an effective solution for producing low-pressure gas</w:t>
      </w:r>
      <w:r w:rsidR="00CA2CD4" w:rsidRPr="009F3FDE">
        <w:rPr>
          <w:rFonts w:ascii="Times New Roman" w:hAnsi="Times New Roman" w:cs="Times New Roman"/>
          <w:sz w:val="20"/>
        </w:rPr>
        <w:t xml:space="preserve"> [</w:t>
      </w:r>
      <w:r w:rsidR="006D608B" w:rsidRPr="009F3FDE">
        <w:rPr>
          <w:rFonts w:ascii="Times New Roman" w:hAnsi="Times New Roman" w:cs="Times New Roman"/>
          <w:sz w:val="20"/>
        </w:rPr>
        <w:t xml:space="preserve">2, </w:t>
      </w:r>
      <w:r w:rsidR="00CA2CD4" w:rsidRPr="009F3FDE">
        <w:rPr>
          <w:rFonts w:ascii="Times New Roman" w:hAnsi="Times New Roman" w:cs="Times New Roman"/>
          <w:sz w:val="20"/>
        </w:rPr>
        <w:t>12, 13]</w:t>
      </w:r>
      <w:r w:rsidRPr="009F3FDE">
        <w:rPr>
          <w:rFonts w:ascii="Times New Roman" w:hAnsi="Times New Roman" w:cs="Times New Roman"/>
          <w:sz w:val="20"/>
        </w:rPr>
        <w:t xml:space="preserve">. However, the applicability of such technologies must be justified through field-specific technical and economic </w:t>
      </w:r>
      <w:r w:rsidR="00CA2CD4" w:rsidRPr="009F3FDE">
        <w:rPr>
          <w:rFonts w:ascii="Times New Roman" w:hAnsi="Times New Roman" w:cs="Times New Roman"/>
          <w:sz w:val="20"/>
        </w:rPr>
        <w:t>assessments [36].</w:t>
      </w:r>
      <w:r w:rsidRPr="009F3FDE">
        <w:rPr>
          <w:rFonts w:ascii="Times New Roman" w:hAnsi="Times New Roman" w:cs="Times New Roman"/>
          <w:sz w:val="20"/>
        </w:rPr>
        <w:t xml:space="preserve"> The South </w:t>
      </w:r>
      <w:proofErr w:type="spellStart"/>
      <w:r w:rsidRPr="009F3FDE">
        <w:rPr>
          <w:rFonts w:ascii="Times New Roman" w:hAnsi="Times New Roman" w:cs="Times New Roman"/>
          <w:sz w:val="20"/>
        </w:rPr>
        <w:t>Kemachi</w:t>
      </w:r>
      <w:proofErr w:type="spellEnd"/>
      <w:r w:rsidRPr="009F3FDE">
        <w:rPr>
          <w:rFonts w:ascii="Times New Roman" w:hAnsi="Times New Roman" w:cs="Times New Roman"/>
          <w:sz w:val="20"/>
        </w:rPr>
        <w:t xml:space="preserve"> oil and gas condensate field represents a typical example of a mature asset requiring urgent modernization measures.</w:t>
      </w:r>
    </w:p>
    <w:p w:rsidR="00C77F9B" w:rsidRPr="009F3FDE" w:rsidRDefault="00C77F9B" w:rsidP="00B81C66">
      <w:pPr>
        <w:spacing w:after="0" w:line="240" w:lineRule="auto"/>
        <w:ind w:firstLine="284"/>
        <w:jc w:val="both"/>
        <w:rPr>
          <w:rFonts w:ascii="Times New Roman" w:hAnsi="Times New Roman" w:cs="Times New Roman"/>
          <w:sz w:val="20"/>
        </w:rPr>
      </w:pPr>
      <w:r w:rsidRPr="009F3FDE">
        <w:rPr>
          <w:rFonts w:ascii="Times New Roman" w:hAnsi="Times New Roman" w:cs="Times New Roman"/>
          <w:sz w:val="20"/>
        </w:rPr>
        <w:t xml:space="preserve">This paper aims to evaluate </w:t>
      </w:r>
      <w:r w:rsidRPr="009F3FDE">
        <w:rPr>
          <w:rFonts w:ascii="Times New Roman" w:hAnsi="Times New Roman" w:cs="Times New Roman"/>
          <w:color w:val="000000"/>
          <w:sz w:val="20"/>
        </w:rPr>
        <w:t>alternative</w:t>
      </w:r>
      <w:r w:rsidRPr="009F3FDE">
        <w:rPr>
          <w:rFonts w:ascii="Times New Roman" w:hAnsi="Times New Roman" w:cs="Times New Roman"/>
          <w:sz w:val="20"/>
        </w:rPr>
        <w:t xml:space="preserve"> development options for the South </w:t>
      </w:r>
      <w:proofErr w:type="spellStart"/>
      <w:r w:rsidRPr="009F3FDE">
        <w:rPr>
          <w:rFonts w:ascii="Times New Roman" w:hAnsi="Times New Roman" w:cs="Times New Roman"/>
          <w:sz w:val="20"/>
        </w:rPr>
        <w:t>Kemachi</w:t>
      </w:r>
      <w:proofErr w:type="spellEnd"/>
      <w:r w:rsidRPr="009F3FDE">
        <w:rPr>
          <w:rFonts w:ascii="Times New Roman" w:hAnsi="Times New Roman" w:cs="Times New Roman"/>
          <w:sz w:val="20"/>
        </w:rPr>
        <w:t xml:space="preserve"> field and to substantiate an optimal modernization strategy that ensures stable gas production, maximizes recovery of residual reserves, and improves the economic efficiency of field operations.</w:t>
      </w:r>
    </w:p>
    <w:p w:rsidR="00120F36" w:rsidRPr="009F3FDE" w:rsidRDefault="00120F36" w:rsidP="00120F36">
      <w:pPr>
        <w:pStyle w:val="a9"/>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9F3FDE">
        <w:rPr>
          <w:rFonts w:ascii="Times New Roman" w:hAnsi="Times New Roman" w:cs="Times New Roman"/>
          <w:b/>
          <w:sz w:val="24"/>
          <w:szCs w:val="24"/>
        </w:rPr>
        <w:t>EXPERIMENTAL RESEARCH</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As a result of research conducted worldwide on the development of effective systems for collecting, preparing, compressing and transporting gas, a </w:t>
      </w:r>
      <w:r w:rsidRPr="009F3FDE">
        <w:rPr>
          <w:rFonts w:ascii="Times New Roman" w:hAnsi="Times New Roman" w:cs="Times New Roman"/>
          <w:color w:val="000000"/>
          <w:sz w:val="20"/>
        </w:rPr>
        <w:t>huge</w:t>
      </w:r>
      <w:r w:rsidRPr="009F3FDE">
        <w:rPr>
          <w:rFonts w:ascii="Times New Roman" w:hAnsi="Times New Roman" w:cs="Times New Roman"/>
          <w:sz w:val="20"/>
          <w:szCs w:val="28"/>
        </w:rPr>
        <w:t xml:space="preserve"> number of variants of these systems have been created, designed for specific periods of field operation [1,</w:t>
      </w:r>
      <w:r w:rsidR="00CA2CD4" w:rsidRPr="009F3FDE">
        <w:rPr>
          <w:rFonts w:ascii="Times New Roman" w:hAnsi="Times New Roman" w:cs="Times New Roman"/>
          <w:sz w:val="20"/>
          <w:szCs w:val="28"/>
        </w:rPr>
        <w:t xml:space="preserve"> </w:t>
      </w:r>
      <w:r w:rsidRPr="009F3FDE">
        <w:rPr>
          <w:rFonts w:ascii="Times New Roman" w:hAnsi="Times New Roman" w:cs="Times New Roman"/>
          <w:sz w:val="20"/>
          <w:szCs w:val="28"/>
        </w:rPr>
        <w:t>2].</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lastRenderedPageBreak/>
        <w:t xml:space="preserve">The creation of new and </w:t>
      </w:r>
      <w:r w:rsidRPr="009F3FDE">
        <w:rPr>
          <w:rFonts w:ascii="Times New Roman" w:hAnsi="Times New Roman" w:cs="Times New Roman"/>
          <w:color w:val="000000"/>
          <w:sz w:val="20"/>
        </w:rPr>
        <w:t>modernization</w:t>
      </w:r>
      <w:r w:rsidRPr="009F3FDE">
        <w:rPr>
          <w:rFonts w:ascii="Times New Roman" w:hAnsi="Times New Roman" w:cs="Times New Roman"/>
          <w:sz w:val="20"/>
          <w:szCs w:val="28"/>
        </w:rPr>
        <w:t xml:space="preserve"> of existing natural gas production systems is one of the most pressing issues</w:t>
      </w:r>
      <w:r w:rsidR="00CA2CD4" w:rsidRPr="009F3FDE">
        <w:rPr>
          <w:rFonts w:ascii="Times New Roman" w:hAnsi="Times New Roman" w:cs="Times New Roman"/>
          <w:sz w:val="20"/>
          <w:szCs w:val="28"/>
        </w:rPr>
        <w:t xml:space="preserve"> [5, 6]</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In this regard, one of the priority tasks of the oil and gas industry is the improvement of production methods for the purpose of additional growth of hydrocarbon raw materials, which have important theoretical and practical significance [3, 4</w:t>
      </w:r>
      <w:r w:rsidR="00CA2CD4" w:rsidRPr="009F3FDE">
        <w:rPr>
          <w:rFonts w:ascii="Times New Roman" w:hAnsi="Times New Roman" w:cs="Times New Roman"/>
          <w:sz w:val="20"/>
          <w:szCs w:val="28"/>
        </w:rPr>
        <w:t>, 9</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Scientific research aimed at improving the technology of collecting and preparing gas at the late stage of </w:t>
      </w:r>
      <w:r w:rsidRPr="009F3FDE">
        <w:rPr>
          <w:rFonts w:ascii="Times New Roman" w:hAnsi="Times New Roman" w:cs="Times New Roman"/>
          <w:color w:val="000000"/>
          <w:sz w:val="20"/>
        </w:rPr>
        <w:t>development</w:t>
      </w:r>
      <w:r w:rsidRPr="009F3FDE">
        <w:rPr>
          <w:rFonts w:ascii="Times New Roman" w:hAnsi="Times New Roman" w:cs="Times New Roman"/>
          <w:sz w:val="20"/>
          <w:szCs w:val="28"/>
        </w:rPr>
        <w:t xml:space="preserve"> of gas condensate fields is carried out in leading research centers, technical universities and technology companies developing various types of separation and compressor equipment </w:t>
      </w:r>
      <w:r w:rsidR="00CA2CD4" w:rsidRPr="009F3FDE">
        <w:rPr>
          <w:rFonts w:ascii="Times New Roman" w:hAnsi="Times New Roman" w:cs="Times New Roman"/>
          <w:sz w:val="20"/>
          <w:szCs w:val="28"/>
        </w:rPr>
        <w:t>[25, 26]</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0000"/>
          <w:sz w:val="20"/>
        </w:rPr>
        <w:t>Ensuring</w:t>
      </w:r>
      <w:r w:rsidRPr="009F3FDE">
        <w:rPr>
          <w:rFonts w:ascii="Times New Roman" w:hAnsi="Times New Roman" w:cs="Times New Roman"/>
          <w:sz w:val="20"/>
          <w:szCs w:val="28"/>
        </w:rPr>
        <w:t xml:space="preserve"> relatively high rates of natural gas production by modernizing the technology for collecting, preparing, and compressing gas at a late stage of field development</w:t>
      </w:r>
      <w:r w:rsidR="00CA2CD4" w:rsidRPr="009F3FDE">
        <w:rPr>
          <w:rFonts w:ascii="Times New Roman" w:hAnsi="Times New Roman" w:cs="Times New Roman"/>
          <w:sz w:val="20"/>
          <w:szCs w:val="28"/>
        </w:rPr>
        <w:t xml:space="preserve"> [14, 15]</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0000"/>
          <w:sz w:val="20"/>
        </w:rPr>
        <w:t>Variant</w:t>
      </w:r>
      <w:r w:rsidRPr="009F3FDE">
        <w:rPr>
          <w:rFonts w:ascii="Times New Roman" w:hAnsi="Times New Roman" w:cs="Times New Roman"/>
          <w:sz w:val="20"/>
          <w:szCs w:val="28"/>
        </w:rPr>
        <w:t xml:space="preserve"> computer modeling of gas collection, preparation and compression technology.</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Considerable importance is attached to the design of rational systems for the further </w:t>
      </w:r>
      <w:r w:rsidRPr="009F3FDE">
        <w:rPr>
          <w:rFonts w:ascii="Times New Roman" w:hAnsi="Times New Roman" w:cs="Times New Roman"/>
          <w:color w:val="000000"/>
          <w:sz w:val="20"/>
        </w:rPr>
        <w:t>development</w:t>
      </w:r>
      <w:r w:rsidRPr="009F3FDE">
        <w:rPr>
          <w:rFonts w:ascii="Times New Roman" w:hAnsi="Times New Roman" w:cs="Times New Roman"/>
          <w:sz w:val="20"/>
          <w:szCs w:val="28"/>
        </w:rPr>
        <w:t xml:space="preserve"> of gas condensate fields, ensuring relatively high rates of natural gas production in the final stages of their operation, with positive technical and economic indicators</w:t>
      </w:r>
      <w:r w:rsidR="00CA2CD4" w:rsidRPr="009F3FDE">
        <w:rPr>
          <w:rFonts w:ascii="Times New Roman" w:hAnsi="Times New Roman" w:cs="Times New Roman"/>
          <w:sz w:val="20"/>
          <w:szCs w:val="28"/>
        </w:rPr>
        <w:t xml:space="preserve"> [30, 31]</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The most important task in developing a productive hydrocarbon-containing formation is to achieve the maximum possible hydrocarbon recovery.</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At </w:t>
      </w:r>
      <w:r w:rsidRPr="009F3FDE">
        <w:rPr>
          <w:rFonts w:ascii="Times New Roman" w:hAnsi="Times New Roman" w:cs="Times New Roman"/>
          <w:color w:val="000000"/>
          <w:sz w:val="20"/>
        </w:rPr>
        <w:t>the</w:t>
      </w:r>
      <w:r w:rsidRPr="009F3FDE">
        <w:rPr>
          <w:rFonts w:ascii="Times New Roman" w:hAnsi="Times New Roman" w:cs="Times New Roman"/>
          <w:sz w:val="20"/>
          <w:szCs w:val="28"/>
        </w:rPr>
        <w:t xml:space="preserve"> same time, the options for modernizing the ground infrastructure of the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field were considered, with a proposed concept for the development of the field from the implementation of the planned </w:t>
      </w:r>
      <w:r w:rsidRPr="009F3FDE">
        <w:rPr>
          <w:rFonts w:ascii="Times New Roman" w:hAnsi="Times New Roman" w:cs="Times New Roman"/>
          <w:color w:val="000000"/>
          <w:sz w:val="20"/>
        </w:rPr>
        <w:t>measures</w:t>
      </w:r>
      <w:r w:rsidRPr="009F3FDE">
        <w:rPr>
          <w:rFonts w:ascii="Times New Roman" w:hAnsi="Times New Roman" w:cs="Times New Roman"/>
          <w:sz w:val="20"/>
          <w:szCs w:val="28"/>
        </w:rPr>
        <w:t xml:space="preserve"> aimed at achieving the planned extraction of natural gas and gas condensate</w:t>
      </w:r>
      <w:r w:rsidR="00CA2CD4" w:rsidRPr="009F3FDE">
        <w:rPr>
          <w:rFonts w:ascii="Times New Roman" w:hAnsi="Times New Roman" w:cs="Times New Roman"/>
          <w:sz w:val="20"/>
          <w:szCs w:val="28"/>
        </w:rPr>
        <w:t xml:space="preserve"> [</w:t>
      </w:r>
      <w:r w:rsidR="00BF156F" w:rsidRPr="009F3FDE">
        <w:rPr>
          <w:rFonts w:ascii="Times New Roman" w:hAnsi="Times New Roman" w:cs="Times New Roman"/>
          <w:sz w:val="20"/>
          <w:szCs w:val="28"/>
        </w:rPr>
        <w:t>16</w:t>
      </w:r>
      <w:r w:rsidR="00CA2CD4" w:rsidRPr="009F3FDE">
        <w:rPr>
          <w:rFonts w:ascii="Times New Roman" w:hAnsi="Times New Roman" w:cs="Times New Roman"/>
          <w:sz w:val="20"/>
          <w:szCs w:val="28"/>
        </w:rPr>
        <w:t>, 37]</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0000"/>
          <w:sz w:val="20"/>
        </w:rPr>
        <w:t>Commissioned</w:t>
      </w:r>
      <w:r w:rsidRPr="009F3FDE">
        <w:rPr>
          <w:rFonts w:ascii="Times New Roman" w:hAnsi="Times New Roman" w:cs="Times New Roman"/>
          <w:sz w:val="20"/>
          <w:szCs w:val="28"/>
        </w:rPr>
        <w:t xml:space="preserve"> in 1979. Reservoir pressure 247/37.5 kg/cm2</w:t>
      </w:r>
      <w:r w:rsidR="00120F36" w:rsidRPr="009F3FDE">
        <w:rPr>
          <w:rFonts w:ascii="Times New Roman" w:hAnsi="Times New Roman" w:cs="Times New Roman"/>
          <w:sz w:val="20"/>
          <w:szCs w:val="28"/>
        </w:rPr>
        <w:t xml:space="preserve"> </w:t>
      </w:r>
      <w:r w:rsidRPr="009F3FDE">
        <w:rPr>
          <w:rFonts w:ascii="Times New Roman" w:hAnsi="Times New Roman" w:cs="Times New Roman"/>
          <w:sz w:val="20"/>
          <w:szCs w:val="28"/>
        </w:rPr>
        <w:t>(</w:t>
      </w:r>
      <w:r w:rsidRPr="009F3FDE">
        <w:rPr>
          <w:rFonts w:ascii="Times New Roman" w:hAnsi="Times New Roman" w:cs="Times New Roman"/>
          <w:color w:val="000000"/>
          <w:sz w:val="20"/>
        </w:rPr>
        <w:t>initial</w:t>
      </w:r>
      <w:r w:rsidRPr="009F3FDE">
        <w:rPr>
          <w:rFonts w:ascii="Times New Roman" w:hAnsi="Times New Roman" w:cs="Times New Roman"/>
          <w:sz w:val="20"/>
          <w:szCs w:val="28"/>
        </w:rPr>
        <w:t>/current)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0000"/>
          <w:sz w:val="20"/>
        </w:rPr>
        <w:t>Average</w:t>
      </w:r>
      <w:r w:rsidRPr="009F3FDE">
        <w:rPr>
          <w:rFonts w:ascii="Times New Roman" w:hAnsi="Times New Roman" w:cs="Times New Roman"/>
          <w:sz w:val="20"/>
          <w:szCs w:val="28"/>
        </w:rPr>
        <w:t xml:space="preserve"> water cut of well production (WC 92.7%)</w:t>
      </w:r>
      <w:r w:rsidR="00CA2CD4" w:rsidRPr="009F3FDE">
        <w:rPr>
          <w:rFonts w:ascii="Times New Roman" w:hAnsi="Times New Roman" w:cs="Times New Roman"/>
          <w:sz w:val="20"/>
          <w:szCs w:val="28"/>
        </w:rPr>
        <w:t xml:space="preserve"> [1</w:t>
      </w:r>
      <w:r w:rsidR="00BF156F" w:rsidRPr="009F3FDE">
        <w:rPr>
          <w:rFonts w:ascii="Times New Roman" w:hAnsi="Times New Roman" w:cs="Times New Roman"/>
          <w:sz w:val="20"/>
          <w:szCs w:val="28"/>
        </w:rPr>
        <w:t>1</w:t>
      </w:r>
      <w:r w:rsidR="00CA2CD4" w:rsidRPr="009F3FDE">
        <w:rPr>
          <w:rFonts w:ascii="Times New Roman" w:hAnsi="Times New Roman" w:cs="Times New Roman"/>
          <w:sz w:val="20"/>
          <w:szCs w:val="28"/>
        </w:rPr>
        <w:t>]</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0000"/>
          <w:sz w:val="20"/>
        </w:rPr>
        <w:t>The</w:t>
      </w:r>
      <w:r w:rsidRPr="009F3FDE">
        <w:rPr>
          <w:rFonts w:ascii="Times New Roman" w:hAnsi="Times New Roman" w:cs="Times New Roman"/>
          <w:sz w:val="20"/>
          <w:szCs w:val="28"/>
        </w:rPr>
        <w:t xml:space="preserve"> </w:t>
      </w:r>
      <w:r w:rsidRPr="009F3FDE">
        <w:rPr>
          <w:rFonts w:ascii="Times New Roman" w:hAnsi="Times New Roman" w:cs="Times New Roman"/>
          <w:color w:val="000000"/>
          <w:sz w:val="20"/>
        </w:rPr>
        <w:t>gas</w:t>
      </w:r>
      <w:r w:rsidRPr="009F3FDE">
        <w:rPr>
          <w:rFonts w:ascii="Times New Roman" w:hAnsi="Times New Roman" w:cs="Times New Roman"/>
          <w:sz w:val="20"/>
          <w:szCs w:val="28"/>
        </w:rPr>
        <w:t xml:space="preserve"> production fund consists of 75 units, including: 72 operating, 2 undergoing repair, and 1 idle. Average daily </w:t>
      </w:r>
      <w:r w:rsidRPr="009F3FDE">
        <w:rPr>
          <w:rFonts w:ascii="Times New Roman" w:hAnsi="Times New Roman" w:cs="Times New Roman"/>
          <w:color w:val="000000"/>
          <w:sz w:val="20"/>
        </w:rPr>
        <w:t>indicators</w:t>
      </w:r>
      <w:r w:rsidRPr="009F3FDE">
        <w:rPr>
          <w:rFonts w:ascii="Times New Roman" w:hAnsi="Times New Roman" w:cs="Times New Roman"/>
          <w:sz w:val="20"/>
          <w:szCs w:val="28"/>
        </w:rPr>
        <w:t>:</w:t>
      </w:r>
      <w:r w:rsidR="00120F36" w:rsidRPr="009F3FDE">
        <w:rPr>
          <w:rFonts w:ascii="Times New Roman" w:hAnsi="Times New Roman" w:cs="Times New Roman"/>
          <w:sz w:val="20"/>
          <w:szCs w:val="28"/>
        </w:rPr>
        <w:t xml:space="preserve"> </w:t>
      </w:r>
      <w:r w:rsidRPr="009F3FDE">
        <w:rPr>
          <w:rFonts w:ascii="Times New Roman" w:hAnsi="Times New Roman" w:cs="Times New Roman"/>
          <w:sz w:val="20"/>
          <w:szCs w:val="28"/>
        </w:rPr>
        <w:t>oil and condensate production 144 tons/day, free gas production.</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The </w:t>
      </w:r>
      <w:r w:rsidRPr="009F3FDE">
        <w:rPr>
          <w:rFonts w:ascii="Times New Roman" w:hAnsi="Times New Roman" w:cs="Times New Roman"/>
          <w:color w:val="000000"/>
          <w:sz w:val="20"/>
        </w:rPr>
        <w:t>initial</w:t>
      </w:r>
      <w:r w:rsidRPr="009F3FDE">
        <w:rPr>
          <w:rFonts w:ascii="Times New Roman" w:hAnsi="Times New Roman" w:cs="Times New Roman"/>
          <w:sz w:val="20"/>
          <w:szCs w:val="28"/>
        </w:rPr>
        <w:t xml:space="preserve"> gas flow rate per well is 276 thousand m3, the current one is 41.0 thousand m3/day.</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0000"/>
          <w:sz w:val="20"/>
        </w:rPr>
        <w:t>Cumulative</w:t>
      </w:r>
      <w:r w:rsidRPr="009F3FDE">
        <w:rPr>
          <w:rFonts w:ascii="Times New Roman" w:hAnsi="Times New Roman" w:cs="Times New Roman"/>
          <w:sz w:val="20"/>
          <w:szCs w:val="28"/>
        </w:rPr>
        <w:t xml:space="preserve"> production: free gas 60.5 billion m3, condensate 2081 thousand tons.</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0000"/>
          <w:sz w:val="20"/>
        </w:rPr>
        <w:t>Remaining</w:t>
      </w:r>
      <w:r w:rsidRPr="009F3FDE">
        <w:rPr>
          <w:rFonts w:ascii="Times New Roman" w:hAnsi="Times New Roman" w:cs="Times New Roman"/>
          <w:sz w:val="20"/>
          <w:szCs w:val="28"/>
        </w:rPr>
        <w:t xml:space="preserve"> recoverable reserves: free gas 19.9 billion m3, condensate 909.0 thousand tons.</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0000"/>
          <w:sz w:val="20"/>
        </w:rPr>
        <w:t>Information</w:t>
      </w:r>
      <w:r w:rsidRPr="009F3FDE">
        <w:rPr>
          <w:rFonts w:ascii="Times New Roman" w:hAnsi="Times New Roman" w:cs="Times New Roman"/>
          <w:sz w:val="20"/>
          <w:szCs w:val="28"/>
        </w:rPr>
        <w:t xml:space="preserve"> about the </w:t>
      </w:r>
      <w:r w:rsidR="00120F36" w:rsidRPr="009F3FDE">
        <w:rPr>
          <w:rFonts w:ascii="Times New Roman" w:hAnsi="Times New Roman" w:cs="Times New Roman"/>
          <w:sz w:val="20"/>
          <w:szCs w:val="28"/>
        </w:rPr>
        <w:t xml:space="preserve">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Booster Compressor Station (BCS). The </w:t>
      </w:r>
      <w:r w:rsidR="00120F36" w:rsidRPr="009F3FDE">
        <w:rPr>
          <w:rFonts w:ascii="Times New Roman" w:hAnsi="Times New Roman" w:cs="Times New Roman"/>
          <w:sz w:val="20"/>
          <w:szCs w:val="28"/>
        </w:rPr>
        <w:t xml:space="preserve">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BCS is designed to collect low-pressure gases from oil fields and subsequently supply them to the </w:t>
      </w:r>
      <w:r w:rsidR="00120F36" w:rsidRPr="009F3FDE">
        <w:rPr>
          <w:rFonts w:ascii="Times New Roman" w:hAnsi="Times New Roman" w:cs="Times New Roman"/>
          <w:sz w:val="20"/>
          <w:szCs w:val="28"/>
        </w:rPr>
        <w:t xml:space="preserve">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Gas Treatment Plant. The compressed gas is then supplied to the </w:t>
      </w:r>
      <w:r w:rsidR="00120F36" w:rsidRPr="009F3FDE">
        <w:rPr>
          <w:rFonts w:ascii="Times New Roman" w:hAnsi="Times New Roman" w:cs="Times New Roman"/>
          <w:sz w:val="20"/>
          <w:szCs w:val="28"/>
        </w:rPr>
        <w:t xml:space="preserve">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Gas Treatment Plant for subsequent purification from heavy hydrocarbons at the NTS unit in preparation for transportation to the Mubarek Gas </w:t>
      </w:r>
      <w:r w:rsidRPr="009F3FDE">
        <w:rPr>
          <w:rFonts w:ascii="Times New Roman" w:hAnsi="Times New Roman" w:cs="Times New Roman"/>
          <w:color w:val="000000"/>
          <w:sz w:val="20"/>
        </w:rPr>
        <w:t>Treatment</w:t>
      </w:r>
      <w:r w:rsidRPr="009F3FDE">
        <w:rPr>
          <w:rFonts w:ascii="Times New Roman" w:hAnsi="Times New Roman" w:cs="Times New Roman"/>
          <w:sz w:val="20"/>
          <w:szCs w:val="28"/>
        </w:rPr>
        <w:t xml:space="preserve"> Plant</w:t>
      </w:r>
      <w:r w:rsidR="00CA2CD4" w:rsidRPr="009F3FDE">
        <w:rPr>
          <w:rFonts w:ascii="Times New Roman" w:hAnsi="Times New Roman" w:cs="Times New Roman"/>
          <w:sz w:val="20"/>
          <w:szCs w:val="28"/>
        </w:rPr>
        <w:t xml:space="preserve"> [</w:t>
      </w:r>
      <w:r w:rsidR="00BF156F" w:rsidRPr="009F3FDE">
        <w:rPr>
          <w:rFonts w:ascii="Times New Roman" w:hAnsi="Times New Roman" w:cs="Times New Roman"/>
          <w:sz w:val="20"/>
          <w:szCs w:val="28"/>
        </w:rPr>
        <w:t xml:space="preserve">22, </w:t>
      </w:r>
      <w:r w:rsidR="00CA2CD4" w:rsidRPr="009F3FDE">
        <w:rPr>
          <w:rFonts w:ascii="Times New Roman" w:hAnsi="Times New Roman" w:cs="Times New Roman"/>
          <w:sz w:val="20"/>
          <w:szCs w:val="28"/>
        </w:rPr>
        <w:t>29</w:t>
      </w:r>
      <w:r w:rsidR="00BF156F" w:rsidRPr="009F3FDE">
        <w:rPr>
          <w:rFonts w:ascii="Times New Roman" w:hAnsi="Times New Roman" w:cs="Times New Roman"/>
          <w:sz w:val="20"/>
          <w:szCs w:val="28"/>
        </w:rPr>
        <w:t>, 34</w:t>
      </w:r>
      <w:r w:rsidR="00CA2CD4" w:rsidRPr="009F3FDE">
        <w:rPr>
          <w:rFonts w:ascii="Times New Roman" w:hAnsi="Times New Roman" w:cs="Times New Roman"/>
          <w:sz w:val="20"/>
          <w:szCs w:val="28"/>
        </w:rPr>
        <w:t>]</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The facility is currently owned by </w:t>
      </w:r>
      <w:proofErr w:type="spellStart"/>
      <w:r w:rsidRPr="009F3FDE">
        <w:rPr>
          <w:rFonts w:ascii="Times New Roman" w:hAnsi="Times New Roman" w:cs="Times New Roman"/>
          <w:sz w:val="20"/>
          <w:szCs w:val="28"/>
        </w:rPr>
        <w:t>Kokdumalakgaz</w:t>
      </w:r>
      <w:proofErr w:type="spellEnd"/>
      <w:r w:rsidRPr="009F3FDE">
        <w:rPr>
          <w:rFonts w:ascii="Times New Roman" w:hAnsi="Times New Roman" w:cs="Times New Roman"/>
          <w:sz w:val="20"/>
          <w:szCs w:val="28"/>
        </w:rPr>
        <w:t xml:space="preserve"> LLC, a joint venture, and provides gas compression services at fields developed by the Mubarek Oil and Gas Production Department and SANEG LLC, a private enterprise. The service costs 99,000 </w:t>
      </w:r>
      <w:proofErr w:type="spellStart"/>
      <w:r w:rsidRPr="009F3FDE">
        <w:rPr>
          <w:rFonts w:ascii="Times New Roman" w:hAnsi="Times New Roman" w:cs="Times New Roman"/>
          <w:sz w:val="20"/>
          <w:szCs w:val="28"/>
        </w:rPr>
        <w:t>soums</w:t>
      </w:r>
      <w:proofErr w:type="spellEnd"/>
      <w:r w:rsidRPr="009F3FDE">
        <w:rPr>
          <w:rFonts w:ascii="Times New Roman" w:hAnsi="Times New Roman" w:cs="Times New Roman"/>
          <w:sz w:val="20"/>
          <w:szCs w:val="28"/>
        </w:rPr>
        <w:t xml:space="preserve"> per 1,000 cubic meters (excluding VAT)</w:t>
      </w:r>
      <w:r w:rsidR="00CA2CD4" w:rsidRPr="009F3FDE">
        <w:rPr>
          <w:rFonts w:ascii="Times New Roman" w:hAnsi="Times New Roman" w:cs="Times New Roman"/>
          <w:sz w:val="20"/>
          <w:szCs w:val="28"/>
        </w:rPr>
        <w:t xml:space="preserve"> [3</w:t>
      </w:r>
      <w:r w:rsidR="00BF156F" w:rsidRPr="009F3FDE">
        <w:rPr>
          <w:rFonts w:ascii="Times New Roman" w:hAnsi="Times New Roman" w:cs="Times New Roman"/>
          <w:sz w:val="20"/>
          <w:szCs w:val="28"/>
        </w:rPr>
        <w:t>2</w:t>
      </w:r>
      <w:r w:rsidR="00CA2CD4" w:rsidRPr="009F3FDE">
        <w:rPr>
          <w:rFonts w:ascii="Times New Roman" w:hAnsi="Times New Roman" w:cs="Times New Roman"/>
          <w:sz w:val="20"/>
          <w:szCs w:val="28"/>
        </w:rPr>
        <w:t>]</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DKS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Design </w:t>
      </w:r>
      <w:r w:rsidRPr="009F3FDE">
        <w:rPr>
          <w:rFonts w:ascii="Times New Roman" w:hAnsi="Times New Roman" w:cs="Times New Roman"/>
          <w:color w:val="000000"/>
          <w:sz w:val="20"/>
        </w:rPr>
        <w:t>capacity</w:t>
      </w:r>
      <w:r w:rsidRPr="009F3FDE">
        <w:rPr>
          <w:rFonts w:ascii="Times New Roman" w:hAnsi="Times New Roman" w:cs="Times New Roman"/>
          <w:sz w:val="20"/>
          <w:szCs w:val="28"/>
        </w:rPr>
        <w:t xml:space="preserve"> – 4.6 million m3/day Actual capacity – 3.7 million m3/day Current status:</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Total installed capacity – 52.0 MW.</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I-</w:t>
      </w:r>
      <w:r w:rsidRPr="009F3FDE">
        <w:rPr>
          <w:rFonts w:ascii="Times New Roman" w:hAnsi="Times New Roman" w:cs="Times New Roman"/>
          <w:color w:val="000000"/>
          <w:sz w:val="20"/>
        </w:rPr>
        <w:t>stage</w:t>
      </w:r>
      <w:r w:rsidRPr="009F3FDE">
        <w:rPr>
          <w:rFonts w:ascii="Times New Roman" w:hAnsi="Times New Roman" w:cs="Times New Roman"/>
          <w:sz w:val="20"/>
          <w:szCs w:val="28"/>
        </w:rPr>
        <w:t xml:space="preserve"> – 2 units. GPA (1 work + 1 rez.)</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The </w:t>
      </w:r>
      <w:r w:rsidRPr="009F3FDE">
        <w:rPr>
          <w:rFonts w:ascii="Times New Roman" w:hAnsi="Times New Roman" w:cs="Times New Roman"/>
          <w:color w:val="000000"/>
          <w:sz w:val="20"/>
        </w:rPr>
        <w:t>capacity</w:t>
      </w:r>
      <w:r w:rsidRPr="009F3FDE">
        <w:rPr>
          <w:rFonts w:ascii="Times New Roman" w:hAnsi="Times New Roman" w:cs="Times New Roman"/>
          <w:sz w:val="20"/>
          <w:szCs w:val="28"/>
        </w:rPr>
        <w:t xml:space="preserve"> of each GPU is 8.0 MW</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0000"/>
          <w:sz w:val="20"/>
        </w:rPr>
        <w:t>Project</w:t>
      </w:r>
      <w:r w:rsidRPr="009F3FDE">
        <w:rPr>
          <w:rFonts w:ascii="Times New Roman" w:hAnsi="Times New Roman" w:cs="Times New Roman"/>
          <w:sz w:val="20"/>
          <w:szCs w:val="28"/>
        </w:rPr>
        <w:t>. Pin= 0.16 MPa; Pout=0.65 MPa</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0000"/>
          <w:sz w:val="20"/>
        </w:rPr>
        <w:t>Fact</w:t>
      </w:r>
      <w:r w:rsidRPr="009F3FDE">
        <w:rPr>
          <w:rFonts w:ascii="Times New Roman" w:hAnsi="Times New Roman" w:cs="Times New Roman"/>
          <w:sz w:val="20"/>
          <w:szCs w:val="28"/>
        </w:rPr>
        <w:t>. Pin= 0.05 MPa; Pout=0.5 MPa</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II </w:t>
      </w:r>
      <w:r w:rsidRPr="009F3FDE">
        <w:rPr>
          <w:rFonts w:ascii="Times New Roman" w:hAnsi="Times New Roman" w:cs="Times New Roman"/>
          <w:color w:val="000000"/>
          <w:sz w:val="20"/>
        </w:rPr>
        <w:t>stage</w:t>
      </w:r>
      <w:r w:rsidRPr="009F3FDE">
        <w:rPr>
          <w:rFonts w:ascii="Times New Roman" w:hAnsi="Times New Roman" w:cs="Times New Roman"/>
          <w:sz w:val="20"/>
          <w:szCs w:val="28"/>
        </w:rPr>
        <w:t xml:space="preserve"> – 2 units. GPU (2 workers)</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The </w:t>
      </w:r>
      <w:r w:rsidRPr="009F3FDE">
        <w:rPr>
          <w:rFonts w:ascii="Times New Roman" w:hAnsi="Times New Roman" w:cs="Times New Roman"/>
          <w:color w:val="000000"/>
          <w:sz w:val="20"/>
        </w:rPr>
        <w:t>capacity</w:t>
      </w:r>
      <w:r w:rsidRPr="009F3FDE">
        <w:rPr>
          <w:rFonts w:ascii="Times New Roman" w:hAnsi="Times New Roman" w:cs="Times New Roman"/>
          <w:sz w:val="20"/>
          <w:szCs w:val="28"/>
        </w:rPr>
        <w:t xml:space="preserve"> of each GPU is 18.0 MW</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0000"/>
          <w:sz w:val="20"/>
        </w:rPr>
        <w:t>Project</w:t>
      </w:r>
      <w:r w:rsidRPr="009F3FDE">
        <w:rPr>
          <w:rFonts w:ascii="Times New Roman" w:hAnsi="Times New Roman" w:cs="Times New Roman"/>
          <w:sz w:val="20"/>
          <w:szCs w:val="28"/>
        </w:rPr>
        <w:t>. Pin = 0.5 MPa; Pout = 7.7 MPa</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Fact. Pin = 0.5 MPa; Pout = 4.2 MPa</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b/>
          <w:sz w:val="20"/>
        </w:rPr>
        <w:t>The existing state</w:t>
      </w:r>
      <w:r w:rsidR="006522A1">
        <w:rPr>
          <w:rFonts w:ascii="Times New Roman" w:hAnsi="Times New Roman" w:cs="Times New Roman"/>
          <w:b/>
          <w:sz w:val="20"/>
        </w:rPr>
        <w:t xml:space="preserve">. </w:t>
      </w:r>
      <w:r w:rsidRPr="009F3FDE">
        <w:rPr>
          <w:rFonts w:ascii="Times New Roman" w:hAnsi="Times New Roman" w:cs="Times New Roman"/>
          <w:sz w:val="20"/>
          <w:szCs w:val="28"/>
        </w:rPr>
        <w:t xml:space="preserve">During the period from 01.12.2021 to 01.12.2022, a sharp drop in gas production indicators was observed at the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field</w:t>
      </w:r>
      <w:r w:rsidR="00CA2CD4" w:rsidRPr="009F3FDE">
        <w:rPr>
          <w:rFonts w:ascii="Times New Roman" w:hAnsi="Times New Roman" w:cs="Times New Roman"/>
          <w:sz w:val="20"/>
          <w:szCs w:val="28"/>
        </w:rPr>
        <w:t xml:space="preserve"> [38]</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Due to declining </w:t>
      </w:r>
      <w:r w:rsidRPr="009F3FDE">
        <w:rPr>
          <w:rFonts w:ascii="Times New Roman" w:hAnsi="Times New Roman" w:cs="Times New Roman"/>
          <w:color w:val="000000"/>
          <w:sz w:val="20"/>
        </w:rPr>
        <w:t>wellhead</w:t>
      </w:r>
      <w:r w:rsidRPr="009F3FDE">
        <w:rPr>
          <w:rFonts w:ascii="Times New Roman" w:hAnsi="Times New Roman" w:cs="Times New Roman"/>
          <w:sz w:val="20"/>
          <w:szCs w:val="28"/>
        </w:rPr>
        <w:t xml:space="preserve"> indicators, the inlet pressure of existing installations and compressor units dropped, making it technically impossible to deliver low-pressure gas using the current transport system. To maintain gas production, urgent measures were taken to reconnect the medium- and high-pressure gas flow to the inlet of the </w:t>
      </w:r>
      <w:r w:rsidR="00120F36" w:rsidRPr="009F3FDE">
        <w:rPr>
          <w:rFonts w:ascii="Times New Roman" w:hAnsi="Times New Roman" w:cs="Times New Roman"/>
          <w:sz w:val="20"/>
          <w:szCs w:val="28"/>
        </w:rPr>
        <w:t xml:space="preserve">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Utilization BCS. However, since the Utilization BCS is owned by </w:t>
      </w:r>
      <w:proofErr w:type="spellStart"/>
      <w:r w:rsidRPr="009F3FDE">
        <w:rPr>
          <w:rFonts w:ascii="Times New Roman" w:hAnsi="Times New Roman" w:cs="Times New Roman"/>
          <w:sz w:val="20"/>
          <w:szCs w:val="28"/>
        </w:rPr>
        <w:t>Kokdumalakgaz</w:t>
      </w:r>
      <w:proofErr w:type="spellEnd"/>
      <w:r w:rsidRPr="009F3FDE">
        <w:rPr>
          <w:rFonts w:ascii="Times New Roman" w:hAnsi="Times New Roman" w:cs="Times New Roman"/>
          <w:sz w:val="20"/>
          <w:szCs w:val="28"/>
        </w:rPr>
        <w:t xml:space="preserve"> LLC, the Mubarek </w:t>
      </w:r>
      <w:r w:rsidRPr="009F3FDE">
        <w:rPr>
          <w:rFonts w:ascii="Times New Roman" w:hAnsi="Times New Roman" w:cs="Times New Roman"/>
          <w:color w:val="000000"/>
          <w:sz w:val="20"/>
        </w:rPr>
        <w:t>Oil</w:t>
      </w:r>
      <w:r w:rsidRPr="009F3FDE">
        <w:rPr>
          <w:rFonts w:ascii="Times New Roman" w:hAnsi="Times New Roman" w:cs="Times New Roman"/>
          <w:sz w:val="20"/>
          <w:szCs w:val="28"/>
        </w:rPr>
        <w:t xml:space="preserve"> and Gas Production Department must pay for compression services, which increases the cost of well production</w:t>
      </w:r>
      <w:r w:rsidR="00E64C00" w:rsidRPr="009F3FDE">
        <w:rPr>
          <w:rFonts w:ascii="Times New Roman" w:hAnsi="Times New Roman" w:cs="Times New Roman"/>
          <w:sz w:val="20"/>
          <w:szCs w:val="28"/>
        </w:rPr>
        <w:t xml:space="preserve"> [</w:t>
      </w:r>
      <w:r w:rsidR="00BF156F" w:rsidRPr="009F3FDE">
        <w:rPr>
          <w:rFonts w:ascii="Times New Roman" w:hAnsi="Times New Roman" w:cs="Times New Roman"/>
          <w:sz w:val="20"/>
          <w:szCs w:val="28"/>
        </w:rPr>
        <w:t>17</w:t>
      </w:r>
      <w:r w:rsidR="00E64C00" w:rsidRPr="009F3FDE">
        <w:rPr>
          <w:rFonts w:ascii="Times New Roman" w:hAnsi="Times New Roman" w:cs="Times New Roman"/>
          <w:sz w:val="20"/>
          <w:szCs w:val="28"/>
        </w:rPr>
        <w:t>]</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In connection with the above, in order to prevent a further sharp decline in production levels at the field and to reduce operating </w:t>
      </w:r>
      <w:r w:rsidRPr="009F3FDE">
        <w:rPr>
          <w:rFonts w:ascii="Times New Roman" w:hAnsi="Times New Roman" w:cs="Times New Roman"/>
          <w:color w:val="000000"/>
          <w:sz w:val="20"/>
        </w:rPr>
        <w:t>costs</w:t>
      </w:r>
      <w:r w:rsidRPr="009F3FDE">
        <w:rPr>
          <w:rFonts w:ascii="Times New Roman" w:hAnsi="Times New Roman" w:cs="Times New Roman"/>
          <w:sz w:val="20"/>
          <w:szCs w:val="28"/>
        </w:rPr>
        <w:t xml:space="preserve"> associated with gas compression, it is necessary to urgently implement technical and technological measures</w:t>
      </w:r>
      <w:r w:rsidR="007C3826" w:rsidRPr="009F3FDE">
        <w:rPr>
          <w:rFonts w:ascii="Times New Roman" w:hAnsi="Times New Roman" w:cs="Times New Roman"/>
          <w:sz w:val="20"/>
          <w:szCs w:val="28"/>
        </w:rPr>
        <w:t xml:space="preserve"> [27, 35</w:t>
      </w:r>
      <w:r w:rsidR="006522A1">
        <w:rPr>
          <w:rFonts w:ascii="Times New Roman" w:hAnsi="Times New Roman" w:cs="Times New Roman"/>
          <w:sz w:val="20"/>
          <w:szCs w:val="28"/>
        </w:rPr>
        <w:t>, 33</w:t>
      </w:r>
      <w:r w:rsidR="007C3826" w:rsidRPr="009F3FDE">
        <w:rPr>
          <w:rFonts w:ascii="Times New Roman" w:hAnsi="Times New Roman" w:cs="Times New Roman"/>
          <w:sz w:val="20"/>
          <w:szCs w:val="28"/>
        </w:rPr>
        <w:t>]</w:t>
      </w:r>
      <w:r w:rsidRPr="009F3FDE">
        <w:rPr>
          <w:rFonts w:ascii="Times New Roman" w:hAnsi="Times New Roman" w:cs="Times New Roman"/>
          <w:sz w:val="20"/>
          <w:szCs w:val="28"/>
        </w:rPr>
        <w:t>.</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lastRenderedPageBreak/>
        <w:t xml:space="preserve">At the same time, the options for modernizing the ground infrastructure of the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field were considered, with a </w:t>
      </w:r>
      <w:r w:rsidRPr="009F3FDE">
        <w:rPr>
          <w:rFonts w:ascii="Times New Roman" w:hAnsi="Times New Roman" w:cs="Times New Roman"/>
          <w:color w:val="000000"/>
          <w:sz w:val="20"/>
        </w:rPr>
        <w:t>proposed</w:t>
      </w:r>
      <w:r w:rsidRPr="009F3FDE">
        <w:rPr>
          <w:rFonts w:ascii="Times New Roman" w:hAnsi="Times New Roman" w:cs="Times New Roman"/>
          <w:sz w:val="20"/>
          <w:szCs w:val="28"/>
        </w:rPr>
        <w:t xml:space="preserve"> concept for the development of the field from the implementation of the planned measures aimed at achieving the planned extraction of natural gas and gas condensate.</w:t>
      </w:r>
    </w:p>
    <w:p w:rsidR="004E3EF4" w:rsidRPr="009F3FDE" w:rsidRDefault="004E3EF4"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To resolve the </w:t>
      </w:r>
      <w:r w:rsidRPr="009F3FDE">
        <w:rPr>
          <w:rFonts w:ascii="Times New Roman" w:hAnsi="Times New Roman" w:cs="Times New Roman"/>
          <w:color w:val="000000"/>
          <w:sz w:val="20"/>
        </w:rPr>
        <w:t>current</w:t>
      </w:r>
      <w:r w:rsidRPr="009F3FDE">
        <w:rPr>
          <w:rFonts w:ascii="Times New Roman" w:hAnsi="Times New Roman" w:cs="Times New Roman"/>
          <w:sz w:val="20"/>
          <w:szCs w:val="28"/>
        </w:rPr>
        <w:t xml:space="preserve"> situation, it is proposed to consider two options:</w:t>
      </w:r>
    </w:p>
    <w:p w:rsidR="004E3EF4" w:rsidRPr="009F3FDE" w:rsidRDefault="004E3EF4"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Basic option - Gas supply DKS Utilization SP OOO "</w:t>
      </w:r>
      <w:proofErr w:type="spellStart"/>
      <w:r w:rsidRPr="009F3FDE">
        <w:rPr>
          <w:rFonts w:ascii="Times New Roman" w:hAnsi="Times New Roman" w:cs="Times New Roman"/>
          <w:sz w:val="20"/>
          <w:szCs w:val="28"/>
        </w:rPr>
        <w:t>Kokdumalak-gaz</w:t>
      </w:r>
      <w:proofErr w:type="spellEnd"/>
      <w:r w:rsidRPr="009F3FDE">
        <w:rPr>
          <w:rFonts w:ascii="Times New Roman" w:hAnsi="Times New Roman" w:cs="Times New Roman"/>
          <w:sz w:val="20"/>
          <w:szCs w:val="28"/>
        </w:rPr>
        <w:t>"</w:t>
      </w:r>
    </w:p>
    <w:p w:rsidR="004E3EF4" w:rsidRPr="009F3FDE" w:rsidRDefault="004E3EF4"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The </w:t>
      </w:r>
      <w:r w:rsidRPr="009F3FDE">
        <w:rPr>
          <w:rFonts w:ascii="Times New Roman" w:hAnsi="Times New Roman" w:cs="Times New Roman"/>
          <w:color w:val="000000"/>
          <w:sz w:val="20"/>
        </w:rPr>
        <w:t>proposed</w:t>
      </w:r>
      <w:r w:rsidRPr="009F3FDE">
        <w:rPr>
          <w:rFonts w:ascii="Times New Roman" w:hAnsi="Times New Roman" w:cs="Times New Roman"/>
          <w:sz w:val="20"/>
          <w:szCs w:val="28"/>
        </w:rPr>
        <w:t xml:space="preserve"> option is the construction of compressor station mouths (CS) on separate input thread blocks (ITB) with gas supply to the </w:t>
      </w:r>
      <w:proofErr w:type="spellStart"/>
      <w:r w:rsidRPr="009F3FDE">
        <w:rPr>
          <w:rFonts w:ascii="Times New Roman" w:hAnsi="Times New Roman" w:cs="Times New Roman"/>
          <w:sz w:val="20"/>
          <w:szCs w:val="28"/>
        </w:rPr>
        <w:t>Kokdumalak</w:t>
      </w:r>
      <w:proofErr w:type="spellEnd"/>
      <w:r w:rsidRPr="009F3FDE">
        <w:rPr>
          <w:rFonts w:ascii="Times New Roman" w:hAnsi="Times New Roman" w:cs="Times New Roman"/>
          <w:sz w:val="20"/>
          <w:szCs w:val="28"/>
        </w:rPr>
        <w:t xml:space="preserve"> DKS.</w:t>
      </w:r>
    </w:p>
    <w:p w:rsidR="00784CA0" w:rsidRPr="009F3FDE" w:rsidRDefault="00784CA0" w:rsidP="00784CA0">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Additionally, the installation of wellhead compression allows for enhanced separation of liquid hydrocarbons under field conditions, increasing condensate recovery and reducing losses during transportation.</w:t>
      </w:r>
    </w:p>
    <w:p w:rsidR="00D305F5" w:rsidRPr="009F3FDE" w:rsidRDefault="00D305F5" w:rsidP="00784CA0">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9F3FDE">
        <w:rPr>
          <w:rFonts w:ascii="Times New Roman" w:eastAsia="Times New Roman" w:hAnsi="Times New Roman" w:cs="Times New Roman"/>
          <w:b/>
          <w:sz w:val="24"/>
          <w:szCs w:val="24"/>
          <w:lang w:eastAsia="de-DE"/>
        </w:rPr>
        <w:t>RESEARCH RESULTS</w:t>
      </w:r>
    </w:p>
    <w:p w:rsidR="004F6D73" w:rsidRPr="009F3FDE" w:rsidRDefault="004E3EF4" w:rsidP="006522A1">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Baseline option </w:t>
      </w:r>
      <w:r w:rsidR="0089023A" w:rsidRPr="009F3FDE">
        <w:rPr>
          <w:rFonts w:ascii="Times New Roman" w:hAnsi="Times New Roman" w:cs="Times New Roman"/>
          <w:sz w:val="20"/>
          <w:szCs w:val="28"/>
        </w:rPr>
        <w:t>–</w:t>
      </w:r>
      <w:r w:rsidRPr="009F3FDE">
        <w:rPr>
          <w:rFonts w:ascii="Times New Roman" w:hAnsi="Times New Roman" w:cs="Times New Roman"/>
          <w:sz w:val="20"/>
          <w:szCs w:val="28"/>
        </w:rPr>
        <w:t xml:space="preserve"> The forecast of hydrocarbon production indicators from the field is made without implementing measures, that is, with the preservation of the existing development system.</w:t>
      </w:r>
    </w:p>
    <w:p w:rsidR="004F6D73" w:rsidRPr="009F3FDE" w:rsidRDefault="004F6D73" w:rsidP="006522A1">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In total, 9994.8×106 m3 of gas, including 209.9×103 t of condensate, are projected to be produced from the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field </w:t>
      </w:r>
      <w:r w:rsidRPr="009F3FDE">
        <w:rPr>
          <w:rFonts w:ascii="Times New Roman" w:hAnsi="Times New Roman" w:cs="Times New Roman"/>
          <w:color w:val="000000"/>
          <w:sz w:val="20"/>
        </w:rPr>
        <w:t>between</w:t>
      </w:r>
      <w:r w:rsidRPr="009F3FDE">
        <w:rPr>
          <w:rFonts w:ascii="Times New Roman" w:hAnsi="Times New Roman" w:cs="Times New Roman"/>
          <w:sz w:val="20"/>
          <w:szCs w:val="28"/>
        </w:rPr>
        <w:t xml:space="preserve"> 2023 and 2035. Reservoir pressure is expected to decrease by the end of 2035 from 35.7 kg/cm2 (2023) to 19.1 kg/cm2, and working wellhead pressure is expected to decrease from 8.4 kg/cm2 to 5.5 kg/cm2.</w:t>
      </w:r>
    </w:p>
    <w:p w:rsidR="004F6D73" w:rsidRPr="009F3FDE" w:rsidRDefault="004E3EF4" w:rsidP="006522A1">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Proposed option 2. </w:t>
      </w:r>
      <w:r w:rsidRPr="009F3FDE">
        <w:rPr>
          <w:rFonts w:ascii="Times New Roman" w:hAnsi="Times New Roman" w:cs="Times New Roman"/>
          <w:color w:val="000000"/>
          <w:sz w:val="20"/>
        </w:rPr>
        <w:t>The</w:t>
      </w:r>
      <w:r w:rsidRPr="009F3FDE">
        <w:rPr>
          <w:rFonts w:ascii="Times New Roman" w:hAnsi="Times New Roman" w:cs="Times New Roman"/>
          <w:sz w:val="20"/>
          <w:szCs w:val="28"/>
        </w:rPr>
        <w:t xml:space="preserve"> maximum annual gas extraction volume of 106580×106 m3 is projected for 2023.</w:t>
      </w:r>
    </w:p>
    <w:p w:rsidR="004F6D73" w:rsidRPr="009F3FDE" w:rsidRDefault="004F6D73" w:rsidP="006522A1">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In total, 10,676.0 x 106 m3 of gas, including 224.2 x 103 t of condensate, are projected to be produced from the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field </w:t>
      </w:r>
      <w:r w:rsidRPr="009F3FDE">
        <w:rPr>
          <w:rFonts w:ascii="Times New Roman" w:hAnsi="Times New Roman" w:cs="Times New Roman"/>
          <w:color w:val="000000"/>
          <w:sz w:val="20"/>
        </w:rPr>
        <w:t>between</w:t>
      </w:r>
      <w:r w:rsidRPr="009F3FDE">
        <w:rPr>
          <w:rFonts w:ascii="Times New Roman" w:hAnsi="Times New Roman" w:cs="Times New Roman"/>
          <w:sz w:val="20"/>
          <w:szCs w:val="28"/>
        </w:rPr>
        <w:t xml:space="preserve"> 2023 and 2035. Reservoir pressure is expected to decrease by the end of 2035 from 35.7 kg/cm2 (2022) to 17.8 kg/cm2, and working wellhead pressure is expected to decrease from 8.4 kg/cm2 to 2.5 kg/cm2.</w:t>
      </w:r>
    </w:p>
    <w:p w:rsidR="004F6D73" w:rsidRPr="009F3FDE" w:rsidRDefault="004F6D73" w:rsidP="006522A1">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From a comparison </w:t>
      </w:r>
      <w:r w:rsidRPr="009F3FDE">
        <w:rPr>
          <w:rFonts w:ascii="Times New Roman" w:hAnsi="Times New Roman" w:cs="Times New Roman"/>
          <w:color w:val="000000"/>
          <w:sz w:val="20"/>
        </w:rPr>
        <w:t>of</w:t>
      </w:r>
      <w:r w:rsidRPr="009F3FDE">
        <w:rPr>
          <w:rFonts w:ascii="Times New Roman" w:hAnsi="Times New Roman" w:cs="Times New Roman"/>
          <w:sz w:val="20"/>
          <w:szCs w:val="28"/>
        </w:rPr>
        <w:t xml:space="preserve"> the assessment of the production capabilities of the options, it is clear that the increase in production due to the implementation of measures will amount to 681.2×106 m3 of gas, including 14.3×103 tons of condensate.</w:t>
      </w:r>
    </w:p>
    <w:p w:rsidR="0089023A" w:rsidRPr="009F3FDE" w:rsidRDefault="0089023A" w:rsidP="006522A1">
      <w:pPr>
        <w:spacing w:after="0" w:line="240" w:lineRule="auto"/>
        <w:ind w:firstLine="284"/>
        <w:jc w:val="both"/>
        <w:rPr>
          <w:rFonts w:ascii="Times New Roman" w:hAnsi="Times New Roman" w:cs="Times New Roman"/>
          <w:sz w:val="20"/>
          <w:szCs w:val="28"/>
        </w:rPr>
      </w:pPr>
    </w:p>
    <w:p w:rsidR="00444F38" w:rsidRPr="009F3FDE" w:rsidRDefault="00120F36" w:rsidP="006522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8"/>
        </w:rPr>
      </w:pPr>
      <w:r w:rsidRPr="009F3FDE">
        <w:rPr>
          <w:rFonts w:ascii="Times New Roman" w:hAnsi="Times New Roman" w:cs="Times New Roman"/>
          <w:b/>
          <w:sz w:val="20"/>
          <w:szCs w:val="28"/>
        </w:rPr>
        <w:t>TABLE 1.</w:t>
      </w:r>
      <w:r w:rsidRPr="009F3FDE">
        <w:rPr>
          <w:rFonts w:ascii="Times New Roman" w:hAnsi="Times New Roman" w:cs="Times New Roman"/>
          <w:sz w:val="20"/>
          <w:szCs w:val="28"/>
        </w:rPr>
        <w:t xml:space="preserve"> </w:t>
      </w:r>
      <w:r w:rsidR="00444F38" w:rsidRPr="009F3FDE">
        <w:rPr>
          <w:rFonts w:ascii="Times New Roman" w:hAnsi="Times New Roman" w:cs="Times New Roman"/>
          <w:sz w:val="20"/>
          <w:szCs w:val="28"/>
        </w:rPr>
        <w:t xml:space="preserve">Parameters of </w:t>
      </w:r>
      <w:r w:rsidR="00444F38" w:rsidRPr="009F3FDE">
        <w:rPr>
          <w:rFonts w:ascii="Times New Roman" w:hAnsi="Times New Roman" w:cs="Times New Roman"/>
          <w:sz w:val="20"/>
          <w:szCs w:val="20"/>
          <w:lang w:eastAsia="de-DE"/>
        </w:rPr>
        <w:t>the</w:t>
      </w:r>
      <w:r w:rsidR="00444F38" w:rsidRPr="009F3FDE">
        <w:rPr>
          <w:rFonts w:ascii="Times New Roman" w:hAnsi="Times New Roman" w:cs="Times New Roman"/>
          <w:sz w:val="20"/>
          <w:szCs w:val="28"/>
        </w:rPr>
        <w:t xml:space="preserve"> designed UKS at the South </w:t>
      </w:r>
      <w:proofErr w:type="spellStart"/>
      <w:r w:rsidR="00444F38" w:rsidRPr="009F3FDE">
        <w:rPr>
          <w:rFonts w:ascii="Times New Roman" w:hAnsi="Times New Roman" w:cs="Times New Roman"/>
          <w:sz w:val="20"/>
          <w:szCs w:val="28"/>
        </w:rPr>
        <w:t>Kemachi</w:t>
      </w:r>
      <w:proofErr w:type="spellEnd"/>
      <w:r w:rsidR="00444F38" w:rsidRPr="009F3FDE">
        <w:rPr>
          <w:rFonts w:ascii="Times New Roman" w:hAnsi="Times New Roman" w:cs="Times New Roman"/>
          <w:sz w:val="20"/>
          <w:szCs w:val="28"/>
        </w:rPr>
        <w:t xml:space="preserve"> field</w:t>
      </w: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696"/>
        <w:gridCol w:w="1134"/>
        <w:gridCol w:w="993"/>
        <w:gridCol w:w="992"/>
        <w:gridCol w:w="992"/>
        <w:gridCol w:w="851"/>
        <w:gridCol w:w="1176"/>
        <w:gridCol w:w="1115"/>
      </w:tblGrid>
      <w:tr w:rsidR="0089023A" w:rsidRPr="009F3FDE" w:rsidTr="00120F36">
        <w:trPr>
          <w:trHeight w:val="190"/>
          <w:jc w:val="center"/>
        </w:trPr>
        <w:tc>
          <w:tcPr>
            <w:tcW w:w="1696" w:type="dxa"/>
            <w:vMerge w:val="restart"/>
            <w:shd w:val="clear" w:color="auto" w:fill="FCE4D6"/>
            <w:tcMar>
              <w:top w:w="13" w:type="dxa"/>
              <w:left w:w="13" w:type="dxa"/>
              <w:bottom w:w="0" w:type="dxa"/>
              <w:right w:w="13" w:type="dxa"/>
            </w:tcMar>
            <w:vAlign w:val="center"/>
            <w:hideMark/>
          </w:tcPr>
          <w:p w:rsidR="0089023A" w:rsidRPr="009F3FDE" w:rsidRDefault="0089023A"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Cs/>
                <w:iCs/>
                <w:color w:val="000000"/>
                <w:kern w:val="24"/>
                <w:sz w:val="18"/>
                <w:szCs w:val="24"/>
                <w:lang w:eastAsia="ru-RU"/>
              </w:rPr>
              <w:t>Name of installations</w:t>
            </w:r>
          </w:p>
        </w:tc>
        <w:tc>
          <w:tcPr>
            <w:tcW w:w="1134" w:type="dxa"/>
            <w:vMerge w:val="restart"/>
            <w:shd w:val="clear" w:color="auto" w:fill="FCE4D6"/>
            <w:tcMar>
              <w:top w:w="13" w:type="dxa"/>
              <w:left w:w="13" w:type="dxa"/>
              <w:bottom w:w="0" w:type="dxa"/>
              <w:right w:w="13" w:type="dxa"/>
            </w:tcMar>
            <w:vAlign w:val="center"/>
            <w:hideMark/>
          </w:tcPr>
          <w:p w:rsidR="0089023A" w:rsidRPr="009F3FDE" w:rsidRDefault="0089023A"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Cs/>
                <w:iCs/>
                <w:color w:val="000000"/>
                <w:kern w:val="24"/>
                <w:sz w:val="18"/>
                <w:szCs w:val="24"/>
                <w:lang w:eastAsia="ru-RU"/>
              </w:rPr>
              <w:t>Daily gas extraction, thousand m³</w:t>
            </w:r>
          </w:p>
        </w:tc>
        <w:tc>
          <w:tcPr>
            <w:tcW w:w="1985" w:type="dxa"/>
            <w:gridSpan w:val="2"/>
            <w:shd w:val="clear" w:color="auto" w:fill="FCE4D6"/>
            <w:tcMar>
              <w:top w:w="13" w:type="dxa"/>
              <w:left w:w="13" w:type="dxa"/>
              <w:bottom w:w="0" w:type="dxa"/>
              <w:right w:w="13" w:type="dxa"/>
            </w:tcMar>
            <w:vAlign w:val="center"/>
            <w:hideMark/>
          </w:tcPr>
          <w:p w:rsidR="0089023A" w:rsidRPr="009F3FDE" w:rsidRDefault="0089023A"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Cs/>
                <w:iCs/>
                <w:color w:val="000000"/>
                <w:kern w:val="24"/>
                <w:sz w:val="18"/>
                <w:szCs w:val="24"/>
                <w:lang w:eastAsia="ru-RU"/>
              </w:rPr>
              <w:t xml:space="preserve">Gas pressure UKS (excess), </w:t>
            </w:r>
            <w:proofErr w:type="spellStart"/>
            <w:r w:rsidRPr="009F3FDE">
              <w:rPr>
                <w:rFonts w:ascii="Times New Roman" w:eastAsia="Times New Roman" w:hAnsi="Times New Roman" w:cs="Times New Roman"/>
                <w:bCs/>
                <w:iCs/>
                <w:color w:val="000000"/>
                <w:kern w:val="24"/>
                <w:sz w:val="18"/>
                <w:szCs w:val="24"/>
                <w:lang w:eastAsia="ru-RU"/>
              </w:rPr>
              <w:t>kgf</w:t>
            </w:r>
            <w:proofErr w:type="spellEnd"/>
            <w:r w:rsidRPr="009F3FDE">
              <w:rPr>
                <w:rFonts w:ascii="Times New Roman" w:eastAsia="Times New Roman" w:hAnsi="Times New Roman" w:cs="Times New Roman"/>
                <w:bCs/>
                <w:iCs/>
                <w:color w:val="000000"/>
                <w:kern w:val="24"/>
                <w:sz w:val="18"/>
                <w:szCs w:val="24"/>
                <w:lang w:eastAsia="ru-RU"/>
              </w:rPr>
              <w:t>/cm²</w:t>
            </w:r>
          </w:p>
        </w:tc>
        <w:tc>
          <w:tcPr>
            <w:tcW w:w="1843" w:type="dxa"/>
            <w:gridSpan w:val="2"/>
            <w:shd w:val="clear" w:color="auto" w:fill="FCE4D6"/>
            <w:tcMar>
              <w:top w:w="13" w:type="dxa"/>
              <w:left w:w="13" w:type="dxa"/>
              <w:bottom w:w="0" w:type="dxa"/>
              <w:right w:w="13" w:type="dxa"/>
            </w:tcMar>
            <w:vAlign w:val="center"/>
            <w:hideMark/>
          </w:tcPr>
          <w:p w:rsidR="0089023A" w:rsidRPr="009F3FDE" w:rsidRDefault="0089023A"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Cs/>
                <w:iCs/>
                <w:color w:val="000000"/>
                <w:kern w:val="24"/>
                <w:sz w:val="18"/>
                <w:szCs w:val="24"/>
                <w:lang w:eastAsia="ru-RU"/>
              </w:rPr>
              <w:t xml:space="preserve">Gas temperature, </w:t>
            </w:r>
            <w:r w:rsidRPr="009F3FDE">
              <w:rPr>
                <w:rFonts w:ascii="Times New Roman" w:eastAsia="Times New Roman" w:hAnsi="Times New Roman" w:cs="Times New Roman"/>
                <w:bCs/>
                <w:iCs/>
                <w:color w:val="000000"/>
                <w:kern w:val="24"/>
                <w:sz w:val="18"/>
                <w:szCs w:val="24"/>
                <w:lang w:eastAsia="ru-RU"/>
              </w:rPr>
              <w:sym w:font="Symbol" w:char="F0B0"/>
            </w:r>
            <w:r w:rsidRPr="009F3FDE">
              <w:rPr>
                <w:rFonts w:ascii="Times New Roman" w:eastAsia="Times New Roman" w:hAnsi="Times New Roman" w:cs="Times New Roman"/>
                <w:bCs/>
                <w:iCs/>
                <w:color w:val="000000"/>
                <w:kern w:val="24"/>
                <w:sz w:val="18"/>
                <w:szCs w:val="24"/>
                <w:lang w:eastAsia="ru-RU"/>
              </w:rPr>
              <w:t>C</w:t>
            </w:r>
          </w:p>
        </w:tc>
        <w:tc>
          <w:tcPr>
            <w:tcW w:w="1176" w:type="dxa"/>
            <w:shd w:val="clear" w:color="auto" w:fill="FCE4D6"/>
            <w:tcMar>
              <w:top w:w="13" w:type="dxa"/>
              <w:left w:w="13" w:type="dxa"/>
              <w:bottom w:w="0" w:type="dxa"/>
              <w:right w:w="13" w:type="dxa"/>
            </w:tcMar>
            <w:vAlign w:val="center"/>
            <w:hideMark/>
          </w:tcPr>
          <w:p w:rsidR="0089023A" w:rsidRPr="009F3FDE" w:rsidRDefault="0089023A"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Cs/>
                <w:iCs/>
                <w:color w:val="000000"/>
                <w:kern w:val="24"/>
                <w:sz w:val="18"/>
                <w:szCs w:val="24"/>
                <w:lang w:eastAsia="ru-RU"/>
              </w:rPr>
              <w:t>UKS capacity, kW</w:t>
            </w:r>
          </w:p>
        </w:tc>
        <w:tc>
          <w:tcPr>
            <w:tcW w:w="1115" w:type="dxa"/>
            <w:vMerge w:val="restart"/>
            <w:shd w:val="clear" w:color="auto" w:fill="FCE4D6"/>
            <w:tcMar>
              <w:top w:w="13" w:type="dxa"/>
              <w:left w:w="13" w:type="dxa"/>
              <w:bottom w:w="0" w:type="dxa"/>
              <w:right w:w="13" w:type="dxa"/>
            </w:tcMar>
            <w:vAlign w:val="center"/>
            <w:hideMark/>
          </w:tcPr>
          <w:p w:rsidR="0089023A" w:rsidRPr="009F3FDE" w:rsidRDefault="0089023A" w:rsidP="006522A1">
            <w:pPr>
              <w:spacing w:after="0" w:line="240" w:lineRule="auto"/>
              <w:jc w:val="center"/>
              <w:textAlignment w:val="center"/>
              <w:rPr>
                <w:rFonts w:ascii="Times New Roman" w:eastAsia="Times New Roman" w:hAnsi="Times New Roman" w:cs="Times New Roman"/>
                <w:sz w:val="18"/>
                <w:szCs w:val="36"/>
                <w:lang w:eastAsia="ru-RU"/>
              </w:rPr>
            </w:pPr>
            <w:r w:rsidRPr="009F3FDE">
              <w:rPr>
                <w:rFonts w:ascii="Times New Roman" w:eastAsia="Times New Roman" w:hAnsi="Times New Roman" w:cs="Times New Roman"/>
                <w:bCs/>
                <w:iCs/>
                <w:color w:val="000000"/>
                <w:kern w:val="24"/>
                <w:sz w:val="18"/>
                <w:szCs w:val="28"/>
                <w:lang w:eastAsia="ru-RU"/>
              </w:rPr>
              <w:t>Compression ratio</w:t>
            </w:r>
          </w:p>
        </w:tc>
      </w:tr>
      <w:tr w:rsidR="0089023A" w:rsidRPr="009F3FDE" w:rsidTr="00120F36">
        <w:trPr>
          <w:trHeight w:val="29"/>
          <w:jc w:val="center"/>
        </w:trPr>
        <w:tc>
          <w:tcPr>
            <w:tcW w:w="1696" w:type="dxa"/>
            <w:vMerge/>
            <w:vAlign w:val="center"/>
            <w:hideMark/>
          </w:tcPr>
          <w:p w:rsidR="0089023A" w:rsidRPr="009F3FDE" w:rsidRDefault="0089023A" w:rsidP="006522A1">
            <w:pPr>
              <w:spacing w:after="0" w:line="240" w:lineRule="auto"/>
              <w:rPr>
                <w:rFonts w:ascii="Times New Roman" w:eastAsia="Times New Roman" w:hAnsi="Times New Roman" w:cs="Times New Roman"/>
                <w:sz w:val="18"/>
                <w:szCs w:val="24"/>
                <w:lang w:eastAsia="ru-RU"/>
              </w:rPr>
            </w:pPr>
          </w:p>
        </w:tc>
        <w:tc>
          <w:tcPr>
            <w:tcW w:w="1134" w:type="dxa"/>
            <w:vMerge/>
            <w:vAlign w:val="center"/>
            <w:hideMark/>
          </w:tcPr>
          <w:p w:rsidR="0089023A" w:rsidRPr="009F3FDE" w:rsidRDefault="0089023A" w:rsidP="006522A1">
            <w:pPr>
              <w:spacing w:after="0" w:line="240" w:lineRule="auto"/>
              <w:rPr>
                <w:rFonts w:ascii="Times New Roman" w:eastAsia="Times New Roman" w:hAnsi="Times New Roman" w:cs="Times New Roman"/>
                <w:sz w:val="18"/>
                <w:szCs w:val="24"/>
                <w:lang w:eastAsia="ru-RU"/>
              </w:rPr>
            </w:pPr>
          </w:p>
        </w:tc>
        <w:tc>
          <w:tcPr>
            <w:tcW w:w="993" w:type="dxa"/>
            <w:shd w:val="clear" w:color="auto" w:fill="FCE4D6"/>
            <w:tcMar>
              <w:top w:w="13" w:type="dxa"/>
              <w:left w:w="13" w:type="dxa"/>
              <w:bottom w:w="0" w:type="dxa"/>
              <w:right w:w="13" w:type="dxa"/>
            </w:tcMar>
            <w:vAlign w:val="center"/>
            <w:hideMark/>
          </w:tcPr>
          <w:p w:rsidR="0089023A" w:rsidRPr="009F3FDE" w:rsidRDefault="0089023A"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Cs/>
                <w:iCs/>
                <w:color w:val="000000"/>
                <w:kern w:val="24"/>
                <w:sz w:val="18"/>
                <w:szCs w:val="24"/>
                <w:lang w:eastAsia="ru-RU"/>
              </w:rPr>
              <w:t>at the entrance</w:t>
            </w:r>
          </w:p>
        </w:tc>
        <w:tc>
          <w:tcPr>
            <w:tcW w:w="992" w:type="dxa"/>
            <w:shd w:val="clear" w:color="auto" w:fill="FCE4D6"/>
            <w:tcMar>
              <w:top w:w="13" w:type="dxa"/>
              <w:left w:w="13" w:type="dxa"/>
              <w:bottom w:w="0" w:type="dxa"/>
              <w:right w:w="13" w:type="dxa"/>
            </w:tcMar>
            <w:vAlign w:val="center"/>
            <w:hideMark/>
          </w:tcPr>
          <w:p w:rsidR="0089023A" w:rsidRPr="009F3FDE" w:rsidRDefault="0089023A"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Cs/>
                <w:iCs/>
                <w:color w:val="000000"/>
                <w:kern w:val="24"/>
                <w:sz w:val="18"/>
                <w:szCs w:val="24"/>
                <w:lang w:eastAsia="ru-RU"/>
              </w:rPr>
              <w:t>at the exit</w:t>
            </w:r>
          </w:p>
        </w:tc>
        <w:tc>
          <w:tcPr>
            <w:tcW w:w="992" w:type="dxa"/>
            <w:shd w:val="clear" w:color="auto" w:fill="FCE4D6"/>
            <w:tcMar>
              <w:top w:w="13" w:type="dxa"/>
              <w:left w:w="13" w:type="dxa"/>
              <w:bottom w:w="0" w:type="dxa"/>
              <w:right w:w="13" w:type="dxa"/>
            </w:tcMar>
            <w:vAlign w:val="center"/>
            <w:hideMark/>
          </w:tcPr>
          <w:p w:rsidR="0089023A" w:rsidRPr="009F3FDE" w:rsidRDefault="0089023A"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Cs/>
                <w:iCs/>
                <w:color w:val="000000"/>
                <w:kern w:val="24"/>
                <w:sz w:val="18"/>
                <w:szCs w:val="24"/>
                <w:lang w:eastAsia="ru-RU"/>
              </w:rPr>
              <w:t>at the entrance</w:t>
            </w:r>
          </w:p>
        </w:tc>
        <w:tc>
          <w:tcPr>
            <w:tcW w:w="851" w:type="dxa"/>
            <w:shd w:val="clear" w:color="auto" w:fill="FCE4D6"/>
            <w:tcMar>
              <w:top w:w="13" w:type="dxa"/>
              <w:left w:w="13" w:type="dxa"/>
              <w:bottom w:w="0" w:type="dxa"/>
              <w:right w:w="13" w:type="dxa"/>
            </w:tcMar>
            <w:vAlign w:val="center"/>
            <w:hideMark/>
          </w:tcPr>
          <w:p w:rsidR="0089023A" w:rsidRPr="009F3FDE" w:rsidRDefault="0089023A"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Cs/>
                <w:iCs/>
                <w:color w:val="000000"/>
                <w:kern w:val="24"/>
                <w:sz w:val="18"/>
                <w:szCs w:val="24"/>
                <w:lang w:eastAsia="ru-RU"/>
              </w:rPr>
              <w:t>at the exit</w:t>
            </w:r>
          </w:p>
        </w:tc>
        <w:tc>
          <w:tcPr>
            <w:tcW w:w="1176" w:type="dxa"/>
            <w:shd w:val="clear" w:color="auto" w:fill="FCE4D6"/>
            <w:tcMar>
              <w:top w:w="13" w:type="dxa"/>
              <w:left w:w="13" w:type="dxa"/>
              <w:bottom w:w="0" w:type="dxa"/>
              <w:right w:w="13" w:type="dxa"/>
            </w:tcMar>
            <w:vAlign w:val="center"/>
            <w:hideMark/>
          </w:tcPr>
          <w:p w:rsidR="0089023A" w:rsidRPr="009F3FDE" w:rsidRDefault="0089023A"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Cs/>
                <w:iCs/>
                <w:color w:val="000000"/>
                <w:kern w:val="24"/>
                <w:sz w:val="18"/>
                <w:szCs w:val="24"/>
                <w:lang w:eastAsia="ru-RU"/>
              </w:rPr>
              <w:t>consumed</w:t>
            </w:r>
          </w:p>
        </w:tc>
        <w:tc>
          <w:tcPr>
            <w:tcW w:w="1115" w:type="dxa"/>
            <w:vMerge/>
            <w:vAlign w:val="center"/>
            <w:hideMark/>
          </w:tcPr>
          <w:p w:rsidR="0089023A" w:rsidRPr="009F3FDE" w:rsidRDefault="0089023A" w:rsidP="006522A1">
            <w:pPr>
              <w:spacing w:after="0" w:line="240" w:lineRule="auto"/>
              <w:rPr>
                <w:rFonts w:ascii="Times New Roman" w:eastAsia="Times New Roman" w:hAnsi="Times New Roman" w:cs="Times New Roman"/>
                <w:sz w:val="18"/>
                <w:szCs w:val="36"/>
                <w:lang w:eastAsia="ru-RU"/>
              </w:rPr>
            </w:pPr>
          </w:p>
        </w:tc>
      </w:tr>
      <w:tr w:rsidR="00120F36" w:rsidRPr="009F3FDE" w:rsidTr="00120F36">
        <w:trPr>
          <w:trHeight w:val="29"/>
          <w:jc w:val="center"/>
        </w:trPr>
        <w:tc>
          <w:tcPr>
            <w:tcW w:w="1696"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UKS-1</w:t>
            </w:r>
            <w:r w:rsidR="00120F36" w:rsidRPr="009F3FDE">
              <w:rPr>
                <w:rFonts w:ascii="Times New Roman" w:eastAsia="Times New Roman" w:hAnsi="Times New Roman" w:cs="Times New Roman"/>
                <w:color w:val="000000"/>
                <w:kern w:val="24"/>
                <w:sz w:val="18"/>
                <w:szCs w:val="24"/>
                <w:lang w:eastAsia="ru-RU"/>
              </w:rPr>
              <w:t xml:space="preserve"> </w:t>
            </w:r>
            <w:r w:rsidRPr="009F3FDE">
              <w:rPr>
                <w:rFonts w:ascii="Times New Roman" w:eastAsia="Times New Roman" w:hAnsi="Times New Roman" w:cs="Times New Roman"/>
                <w:color w:val="000000"/>
                <w:kern w:val="24"/>
                <w:sz w:val="18"/>
                <w:szCs w:val="24"/>
                <w:lang w:eastAsia="ru-RU"/>
              </w:rPr>
              <w:t>(BVN-4)</w:t>
            </w:r>
          </w:p>
        </w:tc>
        <w:tc>
          <w:tcPr>
            <w:tcW w:w="1134"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1073.5</w:t>
            </w:r>
          </w:p>
        </w:tc>
        <w:tc>
          <w:tcPr>
            <w:tcW w:w="993"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1.1</w:t>
            </w:r>
          </w:p>
        </w:tc>
        <w:tc>
          <w:tcPr>
            <w:tcW w:w="992"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12.7</w:t>
            </w:r>
          </w:p>
        </w:tc>
        <w:tc>
          <w:tcPr>
            <w:tcW w:w="992"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35.0</w:t>
            </w:r>
          </w:p>
        </w:tc>
        <w:tc>
          <w:tcPr>
            <w:tcW w:w="851"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45.0</w:t>
            </w:r>
          </w:p>
        </w:tc>
        <w:tc>
          <w:tcPr>
            <w:tcW w:w="1176"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4200</w:t>
            </w:r>
          </w:p>
        </w:tc>
        <w:tc>
          <w:tcPr>
            <w:tcW w:w="1115"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36"/>
                <w:lang w:eastAsia="ru-RU"/>
              </w:rPr>
            </w:pPr>
            <w:r w:rsidRPr="009F3FDE">
              <w:rPr>
                <w:rFonts w:ascii="Times New Roman" w:eastAsia="Times New Roman" w:hAnsi="Times New Roman" w:cs="Times New Roman"/>
                <w:color w:val="000000"/>
                <w:kern w:val="24"/>
                <w:sz w:val="18"/>
                <w:szCs w:val="28"/>
                <w:lang w:eastAsia="ru-RU"/>
              </w:rPr>
              <w:t>6.6</w:t>
            </w:r>
          </w:p>
        </w:tc>
      </w:tr>
      <w:tr w:rsidR="00120F36" w:rsidRPr="009F3FDE" w:rsidTr="00120F36">
        <w:trPr>
          <w:trHeight w:val="29"/>
          <w:jc w:val="center"/>
        </w:trPr>
        <w:tc>
          <w:tcPr>
            <w:tcW w:w="1696"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UKS-2</w:t>
            </w:r>
            <w:r w:rsidR="00120F36" w:rsidRPr="009F3FDE">
              <w:rPr>
                <w:rFonts w:ascii="Times New Roman" w:eastAsia="Times New Roman" w:hAnsi="Times New Roman" w:cs="Times New Roman"/>
                <w:color w:val="000000"/>
                <w:kern w:val="24"/>
                <w:sz w:val="18"/>
                <w:szCs w:val="24"/>
                <w:lang w:eastAsia="ru-RU"/>
              </w:rPr>
              <w:t xml:space="preserve"> </w:t>
            </w:r>
            <w:r w:rsidRPr="009F3FDE">
              <w:rPr>
                <w:rFonts w:ascii="Times New Roman" w:eastAsia="Times New Roman" w:hAnsi="Times New Roman" w:cs="Times New Roman"/>
                <w:color w:val="000000"/>
                <w:kern w:val="24"/>
                <w:sz w:val="18"/>
                <w:szCs w:val="24"/>
                <w:lang w:eastAsia="ru-RU"/>
              </w:rPr>
              <w:t>(BVN-5 and BVN-6)</w:t>
            </w:r>
          </w:p>
        </w:tc>
        <w:tc>
          <w:tcPr>
            <w:tcW w:w="1134"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896.8</w:t>
            </w:r>
          </w:p>
        </w:tc>
        <w:tc>
          <w:tcPr>
            <w:tcW w:w="993"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1.1</w:t>
            </w:r>
          </w:p>
        </w:tc>
        <w:tc>
          <w:tcPr>
            <w:tcW w:w="992"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12.6</w:t>
            </w:r>
          </w:p>
        </w:tc>
        <w:tc>
          <w:tcPr>
            <w:tcW w:w="992"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35.0</w:t>
            </w:r>
          </w:p>
        </w:tc>
        <w:tc>
          <w:tcPr>
            <w:tcW w:w="851"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45.0</w:t>
            </w:r>
          </w:p>
        </w:tc>
        <w:tc>
          <w:tcPr>
            <w:tcW w:w="1176"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3300</w:t>
            </w:r>
          </w:p>
        </w:tc>
        <w:tc>
          <w:tcPr>
            <w:tcW w:w="1115"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36"/>
                <w:lang w:eastAsia="ru-RU"/>
              </w:rPr>
            </w:pPr>
            <w:r w:rsidRPr="009F3FDE">
              <w:rPr>
                <w:rFonts w:ascii="Times New Roman" w:eastAsia="Times New Roman" w:hAnsi="Times New Roman" w:cs="Times New Roman"/>
                <w:color w:val="000000"/>
                <w:kern w:val="24"/>
                <w:sz w:val="18"/>
                <w:szCs w:val="28"/>
                <w:lang w:eastAsia="ru-RU"/>
              </w:rPr>
              <w:t>6.4</w:t>
            </w:r>
          </w:p>
        </w:tc>
      </w:tr>
      <w:tr w:rsidR="00120F36" w:rsidRPr="009F3FDE" w:rsidTr="00120F36">
        <w:trPr>
          <w:trHeight w:val="29"/>
          <w:jc w:val="center"/>
        </w:trPr>
        <w:tc>
          <w:tcPr>
            <w:tcW w:w="1696"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UKS-3</w:t>
            </w:r>
            <w:r w:rsidR="00120F36" w:rsidRPr="009F3FDE">
              <w:rPr>
                <w:rFonts w:ascii="Times New Roman" w:eastAsia="Times New Roman" w:hAnsi="Times New Roman" w:cs="Times New Roman"/>
                <w:color w:val="000000"/>
                <w:kern w:val="24"/>
                <w:sz w:val="18"/>
                <w:szCs w:val="24"/>
                <w:lang w:eastAsia="ru-RU"/>
              </w:rPr>
              <w:t xml:space="preserve"> </w:t>
            </w:r>
            <w:r w:rsidRPr="009F3FDE">
              <w:rPr>
                <w:rFonts w:ascii="Times New Roman" w:eastAsia="Times New Roman" w:hAnsi="Times New Roman" w:cs="Times New Roman"/>
                <w:color w:val="000000"/>
                <w:kern w:val="24"/>
                <w:sz w:val="18"/>
                <w:szCs w:val="24"/>
                <w:lang w:eastAsia="ru-RU"/>
              </w:rPr>
              <w:t>(BVN-2r and BVN-2)</w:t>
            </w:r>
          </w:p>
        </w:tc>
        <w:tc>
          <w:tcPr>
            <w:tcW w:w="1134"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490.8</w:t>
            </w:r>
          </w:p>
        </w:tc>
        <w:tc>
          <w:tcPr>
            <w:tcW w:w="993"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1.1</w:t>
            </w:r>
          </w:p>
        </w:tc>
        <w:tc>
          <w:tcPr>
            <w:tcW w:w="992"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12.4</w:t>
            </w:r>
          </w:p>
        </w:tc>
        <w:tc>
          <w:tcPr>
            <w:tcW w:w="992"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35.0</w:t>
            </w:r>
          </w:p>
        </w:tc>
        <w:tc>
          <w:tcPr>
            <w:tcW w:w="851"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45.0</w:t>
            </w:r>
          </w:p>
        </w:tc>
        <w:tc>
          <w:tcPr>
            <w:tcW w:w="1176"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1800</w:t>
            </w:r>
          </w:p>
        </w:tc>
        <w:tc>
          <w:tcPr>
            <w:tcW w:w="1115" w:type="dxa"/>
            <w:tcMar>
              <w:top w:w="13" w:type="dxa"/>
              <w:left w:w="13" w:type="dxa"/>
              <w:bottom w:w="0" w:type="dxa"/>
              <w:right w:w="13" w:type="dxa"/>
            </w:tcMar>
            <w:vAlign w:val="center"/>
            <w:hideMark/>
          </w:tcPr>
          <w:p w:rsidR="00E26D39" w:rsidRPr="009F3FDE" w:rsidRDefault="00E26D39" w:rsidP="006522A1">
            <w:pPr>
              <w:spacing w:after="0" w:line="240" w:lineRule="auto"/>
              <w:jc w:val="center"/>
              <w:textAlignment w:val="center"/>
              <w:rPr>
                <w:rFonts w:ascii="Times New Roman" w:eastAsia="Times New Roman" w:hAnsi="Times New Roman" w:cs="Times New Roman"/>
                <w:sz w:val="18"/>
                <w:szCs w:val="36"/>
                <w:lang w:eastAsia="ru-RU"/>
              </w:rPr>
            </w:pPr>
            <w:r w:rsidRPr="009F3FDE">
              <w:rPr>
                <w:rFonts w:ascii="Times New Roman" w:eastAsia="Times New Roman" w:hAnsi="Times New Roman" w:cs="Times New Roman"/>
                <w:color w:val="000000"/>
                <w:kern w:val="24"/>
                <w:sz w:val="18"/>
                <w:szCs w:val="28"/>
                <w:lang w:eastAsia="ru-RU"/>
              </w:rPr>
              <w:t>6.3</w:t>
            </w:r>
          </w:p>
        </w:tc>
      </w:tr>
    </w:tbl>
    <w:p w:rsidR="00E26D39" w:rsidRPr="009F3FDE" w:rsidRDefault="00E26D39" w:rsidP="006522A1">
      <w:pPr>
        <w:spacing w:after="0" w:line="240" w:lineRule="auto"/>
        <w:ind w:left="-567" w:right="283" w:firstLine="567"/>
        <w:jc w:val="both"/>
        <w:rPr>
          <w:rFonts w:ascii="Times New Roman" w:hAnsi="Times New Roman" w:cs="Times New Roman"/>
          <w:sz w:val="20"/>
          <w:szCs w:val="28"/>
        </w:rPr>
      </w:pPr>
    </w:p>
    <w:p w:rsidR="006A01F3" w:rsidRPr="009F3FDE" w:rsidRDefault="00120F36" w:rsidP="006522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8"/>
        </w:rPr>
      </w:pPr>
      <w:r w:rsidRPr="009F3FDE">
        <w:rPr>
          <w:rFonts w:ascii="Times New Roman" w:hAnsi="Times New Roman" w:cs="Times New Roman"/>
          <w:b/>
          <w:sz w:val="20"/>
          <w:szCs w:val="28"/>
        </w:rPr>
        <w:t xml:space="preserve">TABLE 2. </w:t>
      </w:r>
      <w:r w:rsidR="006A01F3" w:rsidRPr="009F3FDE">
        <w:rPr>
          <w:rFonts w:ascii="Times New Roman" w:hAnsi="Times New Roman" w:cs="Times New Roman"/>
          <w:sz w:val="20"/>
          <w:szCs w:val="28"/>
        </w:rPr>
        <w:t>Comparative indicators of advantages and disadvantages by options</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21"/>
        <w:gridCol w:w="3011"/>
        <w:gridCol w:w="2268"/>
        <w:gridCol w:w="3409"/>
      </w:tblGrid>
      <w:tr w:rsidR="00444F38" w:rsidRPr="009F3FDE" w:rsidTr="00784CA0">
        <w:trPr>
          <w:trHeight w:val="22"/>
          <w:jc w:val="center"/>
        </w:trPr>
        <w:tc>
          <w:tcPr>
            <w:tcW w:w="421" w:type="dxa"/>
            <w:shd w:val="clear" w:color="auto" w:fill="F8CBAD"/>
            <w:tcMar>
              <w:top w:w="11" w:type="dxa"/>
              <w:left w:w="11" w:type="dxa"/>
              <w:bottom w:w="0" w:type="dxa"/>
              <w:right w:w="11" w:type="dxa"/>
            </w:tcMar>
            <w:vAlign w:val="center"/>
            <w:hideMark/>
          </w:tcPr>
          <w:p w:rsidR="006A01F3" w:rsidRPr="009F3FDE" w:rsidRDefault="006A01F3" w:rsidP="006522A1">
            <w:pPr>
              <w:spacing w:after="0" w:line="240" w:lineRule="auto"/>
              <w:ind w:left="-57" w:right="-57"/>
              <w:jc w:val="center"/>
              <w:textAlignment w:val="center"/>
              <w:rPr>
                <w:rFonts w:ascii="Times New Roman" w:eastAsia="Times New Roman" w:hAnsi="Times New Roman" w:cs="Times New Roman"/>
                <w:b/>
                <w:sz w:val="18"/>
                <w:szCs w:val="24"/>
                <w:lang w:eastAsia="ru-RU"/>
              </w:rPr>
            </w:pPr>
            <w:r w:rsidRPr="009F3FDE">
              <w:rPr>
                <w:rFonts w:ascii="Times New Roman" w:eastAsia="Times New Roman" w:hAnsi="Times New Roman" w:cs="Times New Roman"/>
                <w:b/>
                <w:bCs/>
                <w:iCs/>
                <w:color w:val="000000"/>
                <w:kern w:val="24"/>
                <w:sz w:val="18"/>
                <w:szCs w:val="24"/>
                <w:lang w:eastAsia="ru-RU"/>
              </w:rPr>
              <w:t>No.</w:t>
            </w:r>
          </w:p>
        </w:tc>
        <w:tc>
          <w:tcPr>
            <w:tcW w:w="3011" w:type="dxa"/>
            <w:shd w:val="clear" w:color="auto" w:fill="F8CBAD"/>
            <w:tcMar>
              <w:top w:w="11" w:type="dxa"/>
              <w:left w:w="11" w:type="dxa"/>
              <w:bottom w:w="0" w:type="dxa"/>
              <w:right w:w="11" w:type="dxa"/>
            </w:tcMar>
            <w:vAlign w:val="center"/>
            <w:hideMark/>
          </w:tcPr>
          <w:p w:rsidR="006A01F3" w:rsidRPr="009F3FDE" w:rsidRDefault="006A01F3" w:rsidP="006522A1">
            <w:pPr>
              <w:spacing w:after="0" w:line="240" w:lineRule="auto"/>
              <w:ind w:left="-57" w:right="-57"/>
              <w:jc w:val="center"/>
              <w:textAlignment w:val="center"/>
              <w:rPr>
                <w:rFonts w:ascii="Times New Roman" w:eastAsia="Times New Roman" w:hAnsi="Times New Roman" w:cs="Times New Roman"/>
                <w:b/>
                <w:sz w:val="18"/>
                <w:szCs w:val="24"/>
                <w:lang w:eastAsia="ru-RU"/>
              </w:rPr>
            </w:pPr>
            <w:r w:rsidRPr="009F3FDE">
              <w:rPr>
                <w:rFonts w:ascii="Times New Roman" w:eastAsia="Times New Roman" w:hAnsi="Times New Roman" w:cs="Times New Roman"/>
                <w:b/>
                <w:bCs/>
                <w:iCs/>
                <w:color w:val="000000"/>
                <w:kern w:val="24"/>
                <w:sz w:val="18"/>
                <w:szCs w:val="24"/>
                <w:lang w:eastAsia="ru-RU"/>
              </w:rPr>
              <w:t>Naming of indicators</w:t>
            </w:r>
          </w:p>
        </w:tc>
        <w:tc>
          <w:tcPr>
            <w:tcW w:w="2268" w:type="dxa"/>
            <w:shd w:val="clear" w:color="auto" w:fill="F8CBAD"/>
            <w:tcMar>
              <w:top w:w="11" w:type="dxa"/>
              <w:left w:w="11" w:type="dxa"/>
              <w:bottom w:w="0" w:type="dxa"/>
              <w:right w:w="11" w:type="dxa"/>
            </w:tcMar>
            <w:vAlign w:val="center"/>
            <w:hideMark/>
          </w:tcPr>
          <w:p w:rsidR="006A01F3" w:rsidRPr="009F3FDE" w:rsidRDefault="006A01F3" w:rsidP="006522A1">
            <w:pPr>
              <w:spacing w:after="0" w:line="240" w:lineRule="auto"/>
              <w:ind w:left="-57" w:right="-57"/>
              <w:jc w:val="center"/>
              <w:textAlignment w:val="center"/>
              <w:rPr>
                <w:rFonts w:ascii="Times New Roman" w:eastAsia="Times New Roman" w:hAnsi="Times New Roman" w:cs="Times New Roman"/>
                <w:b/>
                <w:sz w:val="18"/>
                <w:szCs w:val="24"/>
                <w:lang w:eastAsia="ru-RU"/>
              </w:rPr>
            </w:pPr>
            <w:r w:rsidRPr="009F3FDE">
              <w:rPr>
                <w:rFonts w:ascii="Times New Roman" w:eastAsia="Times New Roman" w:hAnsi="Times New Roman" w:cs="Times New Roman"/>
                <w:b/>
                <w:bCs/>
                <w:iCs/>
                <w:color w:val="000000"/>
                <w:kern w:val="24"/>
                <w:sz w:val="18"/>
                <w:szCs w:val="24"/>
                <w:lang w:eastAsia="ru-RU"/>
              </w:rPr>
              <w:t>Basic option</w:t>
            </w:r>
          </w:p>
        </w:tc>
        <w:tc>
          <w:tcPr>
            <w:tcW w:w="3409" w:type="dxa"/>
            <w:shd w:val="clear" w:color="auto" w:fill="F8CBAD"/>
            <w:tcMar>
              <w:top w:w="11" w:type="dxa"/>
              <w:left w:w="11" w:type="dxa"/>
              <w:bottom w:w="0" w:type="dxa"/>
              <w:right w:w="11" w:type="dxa"/>
            </w:tcMar>
            <w:vAlign w:val="center"/>
            <w:hideMark/>
          </w:tcPr>
          <w:p w:rsidR="006A01F3" w:rsidRPr="009F3FDE" w:rsidRDefault="006A01F3" w:rsidP="006522A1">
            <w:pPr>
              <w:spacing w:after="0" w:line="240" w:lineRule="auto"/>
              <w:ind w:left="-57" w:right="-57"/>
              <w:jc w:val="center"/>
              <w:textAlignment w:val="center"/>
              <w:rPr>
                <w:rFonts w:ascii="Times New Roman" w:eastAsia="Times New Roman" w:hAnsi="Times New Roman" w:cs="Times New Roman"/>
                <w:b/>
                <w:sz w:val="18"/>
                <w:szCs w:val="24"/>
                <w:lang w:eastAsia="ru-RU"/>
              </w:rPr>
            </w:pPr>
            <w:r w:rsidRPr="009F3FDE">
              <w:rPr>
                <w:rFonts w:ascii="Times New Roman" w:eastAsia="Times New Roman" w:hAnsi="Times New Roman" w:cs="Times New Roman"/>
                <w:b/>
                <w:bCs/>
                <w:iCs/>
                <w:color w:val="000000"/>
                <w:kern w:val="24"/>
                <w:sz w:val="18"/>
                <w:szCs w:val="24"/>
                <w:lang w:eastAsia="ru-RU"/>
              </w:rPr>
              <w:t>Proposed option</w:t>
            </w:r>
          </w:p>
        </w:tc>
      </w:tr>
      <w:tr w:rsidR="00444F38" w:rsidRPr="009F3FDE" w:rsidTr="00784CA0">
        <w:trPr>
          <w:trHeight w:val="22"/>
          <w:jc w:val="center"/>
        </w:trPr>
        <w:tc>
          <w:tcPr>
            <w:tcW w:w="421"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w:t>
            </w:r>
          </w:p>
        </w:tc>
        <w:tc>
          <w:tcPr>
            <w:tcW w:w="3011" w:type="dxa"/>
            <w:tcMar>
              <w:top w:w="11" w:type="dxa"/>
              <w:left w:w="11" w:type="dxa"/>
              <w:bottom w:w="0" w:type="dxa"/>
              <w:right w:w="11" w:type="dxa"/>
            </w:tcMar>
            <w:vAlign w:val="center"/>
            <w:hideMark/>
          </w:tcPr>
          <w:p w:rsidR="006A01F3" w:rsidRPr="009F3FDE" w:rsidRDefault="006A01F3" w:rsidP="006522A1">
            <w:pPr>
              <w:spacing w:after="0" w:line="240" w:lineRule="auto"/>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Description of options</w:t>
            </w:r>
          </w:p>
        </w:tc>
        <w:tc>
          <w:tcPr>
            <w:tcW w:w="2268"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
                <w:bCs/>
                <w:color w:val="000000"/>
                <w:kern w:val="24"/>
                <w:sz w:val="18"/>
                <w:szCs w:val="24"/>
                <w:lang w:eastAsia="ru-RU"/>
              </w:rPr>
              <w:t xml:space="preserve">Gas supply BCS Utilization JV </w:t>
            </w:r>
            <w:proofErr w:type="spellStart"/>
            <w:r w:rsidRPr="009F3FDE">
              <w:rPr>
                <w:rFonts w:ascii="Times New Roman" w:eastAsia="Times New Roman" w:hAnsi="Times New Roman" w:cs="Times New Roman"/>
                <w:b/>
                <w:bCs/>
                <w:color w:val="000000"/>
                <w:kern w:val="24"/>
                <w:sz w:val="18"/>
                <w:szCs w:val="24"/>
                <w:lang w:eastAsia="ru-RU"/>
              </w:rPr>
              <w:t>Kokdumalak-gaz</w:t>
            </w:r>
            <w:proofErr w:type="spellEnd"/>
            <w:r w:rsidRPr="009F3FDE">
              <w:rPr>
                <w:rFonts w:ascii="Times New Roman" w:eastAsia="Times New Roman" w:hAnsi="Times New Roman" w:cs="Times New Roman"/>
                <w:b/>
                <w:bCs/>
                <w:color w:val="000000"/>
                <w:kern w:val="24"/>
                <w:sz w:val="18"/>
                <w:szCs w:val="24"/>
                <w:lang w:eastAsia="ru-RU"/>
              </w:rPr>
              <w:t xml:space="preserve"> LLC</w:t>
            </w:r>
          </w:p>
        </w:tc>
        <w:tc>
          <w:tcPr>
            <w:tcW w:w="3409"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
                <w:bCs/>
                <w:color w:val="000000"/>
                <w:kern w:val="24"/>
                <w:sz w:val="18"/>
                <w:szCs w:val="24"/>
                <w:lang w:eastAsia="ru-RU"/>
              </w:rPr>
              <w:t xml:space="preserve">Construction of a UKS on separate BVNs with gas supply to the </w:t>
            </w:r>
            <w:proofErr w:type="spellStart"/>
            <w:r w:rsidRPr="009F3FDE">
              <w:rPr>
                <w:rFonts w:ascii="Times New Roman" w:eastAsia="Times New Roman" w:hAnsi="Times New Roman" w:cs="Times New Roman"/>
                <w:b/>
                <w:bCs/>
                <w:color w:val="000000"/>
                <w:kern w:val="24"/>
                <w:sz w:val="18"/>
                <w:szCs w:val="24"/>
                <w:lang w:eastAsia="ru-RU"/>
              </w:rPr>
              <w:t>Kokdumalak</w:t>
            </w:r>
            <w:proofErr w:type="spellEnd"/>
            <w:r w:rsidRPr="009F3FDE">
              <w:rPr>
                <w:rFonts w:ascii="Times New Roman" w:eastAsia="Times New Roman" w:hAnsi="Times New Roman" w:cs="Times New Roman"/>
                <w:b/>
                <w:bCs/>
                <w:color w:val="000000"/>
                <w:kern w:val="24"/>
                <w:sz w:val="18"/>
                <w:szCs w:val="24"/>
                <w:lang w:eastAsia="ru-RU"/>
              </w:rPr>
              <w:t xml:space="preserve"> DKS</w:t>
            </w:r>
          </w:p>
        </w:tc>
      </w:tr>
      <w:tr w:rsidR="00444F38" w:rsidRPr="009F3FDE" w:rsidTr="00784CA0">
        <w:trPr>
          <w:trHeight w:val="22"/>
          <w:jc w:val="center"/>
        </w:trPr>
        <w:tc>
          <w:tcPr>
            <w:tcW w:w="421"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2</w:t>
            </w:r>
          </w:p>
        </w:tc>
        <w:tc>
          <w:tcPr>
            <w:tcW w:w="3011" w:type="dxa"/>
            <w:tcMar>
              <w:top w:w="11" w:type="dxa"/>
              <w:left w:w="11" w:type="dxa"/>
              <w:bottom w:w="0" w:type="dxa"/>
              <w:right w:w="11" w:type="dxa"/>
            </w:tcMar>
            <w:vAlign w:val="center"/>
            <w:hideMark/>
          </w:tcPr>
          <w:p w:rsidR="006A01F3" w:rsidRPr="009F3FDE" w:rsidRDefault="006A01F3" w:rsidP="006522A1">
            <w:pPr>
              <w:spacing w:after="0" w:line="240" w:lineRule="auto"/>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CAPEX</w:t>
            </w:r>
          </w:p>
        </w:tc>
        <w:tc>
          <w:tcPr>
            <w:tcW w:w="2268" w:type="dxa"/>
            <w:shd w:val="clear" w:color="auto" w:fill="FFEB9C"/>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9C6500"/>
                <w:kern w:val="24"/>
                <w:sz w:val="18"/>
                <w:szCs w:val="24"/>
                <w:lang w:eastAsia="ru-RU"/>
              </w:rPr>
              <w:t>Average</w:t>
            </w:r>
          </w:p>
        </w:tc>
        <w:tc>
          <w:tcPr>
            <w:tcW w:w="3409" w:type="dxa"/>
            <w:shd w:val="clear" w:color="auto" w:fill="FFC7CE"/>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9C0006"/>
                <w:kern w:val="24"/>
                <w:sz w:val="18"/>
                <w:szCs w:val="24"/>
                <w:lang w:eastAsia="ru-RU"/>
              </w:rPr>
              <w:t>High</w:t>
            </w:r>
          </w:p>
        </w:tc>
      </w:tr>
      <w:tr w:rsidR="00444F38" w:rsidRPr="009F3FDE" w:rsidTr="006522A1">
        <w:trPr>
          <w:trHeight w:val="59"/>
          <w:jc w:val="center"/>
        </w:trPr>
        <w:tc>
          <w:tcPr>
            <w:tcW w:w="421"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3</w:t>
            </w:r>
          </w:p>
        </w:tc>
        <w:tc>
          <w:tcPr>
            <w:tcW w:w="3011" w:type="dxa"/>
            <w:tcMar>
              <w:top w:w="11" w:type="dxa"/>
              <w:left w:w="11" w:type="dxa"/>
              <w:bottom w:w="0" w:type="dxa"/>
              <w:right w:w="11" w:type="dxa"/>
            </w:tcMar>
            <w:vAlign w:val="center"/>
            <w:hideMark/>
          </w:tcPr>
          <w:p w:rsidR="006A01F3" w:rsidRPr="009F3FDE" w:rsidRDefault="006A01F3" w:rsidP="006522A1">
            <w:pPr>
              <w:spacing w:after="0" w:line="240" w:lineRule="auto"/>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Possibility of maximum extraction of residual reserves</w:t>
            </w:r>
          </w:p>
        </w:tc>
        <w:tc>
          <w:tcPr>
            <w:tcW w:w="2268" w:type="dxa"/>
            <w:shd w:val="clear" w:color="auto" w:fill="FFEB9C"/>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9C6500"/>
                <w:kern w:val="24"/>
                <w:sz w:val="18"/>
                <w:szCs w:val="24"/>
                <w:lang w:eastAsia="ru-RU"/>
              </w:rPr>
              <w:t>Average</w:t>
            </w:r>
          </w:p>
        </w:tc>
        <w:tc>
          <w:tcPr>
            <w:tcW w:w="3409" w:type="dxa"/>
            <w:shd w:val="clear" w:color="auto" w:fill="C6EFCE"/>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6100"/>
                <w:kern w:val="24"/>
                <w:sz w:val="18"/>
                <w:szCs w:val="24"/>
                <w:lang w:eastAsia="ru-RU"/>
              </w:rPr>
              <w:t>High</w:t>
            </w:r>
          </w:p>
        </w:tc>
      </w:tr>
      <w:tr w:rsidR="00444F38" w:rsidRPr="009F3FDE" w:rsidTr="00784CA0">
        <w:trPr>
          <w:trHeight w:val="22"/>
          <w:jc w:val="center"/>
        </w:trPr>
        <w:tc>
          <w:tcPr>
            <w:tcW w:w="421"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4</w:t>
            </w:r>
          </w:p>
        </w:tc>
        <w:tc>
          <w:tcPr>
            <w:tcW w:w="3011" w:type="dxa"/>
            <w:tcMar>
              <w:top w:w="11" w:type="dxa"/>
              <w:left w:w="11" w:type="dxa"/>
              <w:bottom w:w="0" w:type="dxa"/>
              <w:right w:w="11" w:type="dxa"/>
            </w:tcMar>
            <w:vAlign w:val="center"/>
            <w:hideMark/>
          </w:tcPr>
          <w:p w:rsidR="006A01F3" w:rsidRPr="009F3FDE" w:rsidRDefault="006A01F3" w:rsidP="006522A1">
            <w:pPr>
              <w:spacing w:after="0" w:line="240" w:lineRule="auto"/>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Costs of gas compression services</w:t>
            </w:r>
          </w:p>
        </w:tc>
        <w:tc>
          <w:tcPr>
            <w:tcW w:w="2268" w:type="dxa"/>
            <w:shd w:val="clear" w:color="auto" w:fill="FFC7CE"/>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9C0006"/>
                <w:kern w:val="24"/>
                <w:sz w:val="18"/>
                <w:szCs w:val="24"/>
                <w:lang w:eastAsia="ru-RU"/>
              </w:rPr>
              <w:t>Tall</w:t>
            </w:r>
          </w:p>
        </w:tc>
        <w:tc>
          <w:tcPr>
            <w:tcW w:w="3409" w:type="dxa"/>
            <w:shd w:val="clear" w:color="auto" w:fill="C6EFCE"/>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6100"/>
                <w:kern w:val="24"/>
                <w:sz w:val="18"/>
                <w:szCs w:val="24"/>
                <w:lang w:eastAsia="ru-RU"/>
              </w:rPr>
              <w:t>Low</w:t>
            </w:r>
          </w:p>
        </w:tc>
      </w:tr>
      <w:tr w:rsidR="00444F38" w:rsidRPr="009F3FDE" w:rsidTr="00784CA0">
        <w:trPr>
          <w:trHeight w:val="22"/>
          <w:jc w:val="center"/>
        </w:trPr>
        <w:tc>
          <w:tcPr>
            <w:tcW w:w="421"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5</w:t>
            </w:r>
          </w:p>
        </w:tc>
        <w:tc>
          <w:tcPr>
            <w:tcW w:w="3011" w:type="dxa"/>
            <w:tcMar>
              <w:top w:w="11" w:type="dxa"/>
              <w:left w:w="11" w:type="dxa"/>
              <w:bottom w:w="0" w:type="dxa"/>
              <w:right w:w="11" w:type="dxa"/>
            </w:tcMar>
            <w:vAlign w:val="center"/>
            <w:hideMark/>
          </w:tcPr>
          <w:p w:rsidR="006A01F3" w:rsidRPr="009F3FDE" w:rsidRDefault="006A01F3" w:rsidP="006522A1">
            <w:pPr>
              <w:spacing w:after="0" w:line="240" w:lineRule="auto"/>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Extraction of liquid hydrocarbons from produced gas under field conditions</w:t>
            </w:r>
          </w:p>
        </w:tc>
        <w:tc>
          <w:tcPr>
            <w:tcW w:w="2268" w:type="dxa"/>
            <w:shd w:val="clear" w:color="auto" w:fill="FFEB9C"/>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9C6500"/>
                <w:kern w:val="24"/>
                <w:sz w:val="18"/>
                <w:szCs w:val="24"/>
                <w:lang w:eastAsia="ru-RU"/>
              </w:rPr>
              <w:t>Average</w:t>
            </w:r>
          </w:p>
        </w:tc>
        <w:tc>
          <w:tcPr>
            <w:tcW w:w="3409" w:type="dxa"/>
            <w:shd w:val="clear" w:color="auto" w:fill="C6EFCE"/>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6100"/>
                <w:kern w:val="24"/>
                <w:sz w:val="18"/>
                <w:szCs w:val="24"/>
                <w:lang w:eastAsia="ru-RU"/>
              </w:rPr>
              <w:t>High</w:t>
            </w:r>
          </w:p>
        </w:tc>
      </w:tr>
      <w:tr w:rsidR="00444F38" w:rsidRPr="009F3FDE" w:rsidTr="00784CA0">
        <w:trPr>
          <w:trHeight w:val="22"/>
          <w:jc w:val="center"/>
        </w:trPr>
        <w:tc>
          <w:tcPr>
            <w:tcW w:w="421"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6</w:t>
            </w:r>
          </w:p>
        </w:tc>
        <w:tc>
          <w:tcPr>
            <w:tcW w:w="3011" w:type="dxa"/>
            <w:tcMar>
              <w:top w:w="11" w:type="dxa"/>
              <w:left w:w="11" w:type="dxa"/>
              <w:bottom w:w="0" w:type="dxa"/>
              <w:right w:w="11" w:type="dxa"/>
            </w:tcMar>
            <w:vAlign w:val="center"/>
            <w:hideMark/>
          </w:tcPr>
          <w:p w:rsidR="006A01F3" w:rsidRPr="009F3FDE" w:rsidRDefault="006A01F3" w:rsidP="006522A1">
            <w:pPr>
              <w:spacing w:after="0" w:line="240" w:lineRule="auto"/>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Possibility of loading existing preparation and compression capacities</w:t>
            </w:r>
          </w:p>
        </w:tc>
        <w:tc>
          <w:tcPr>
            <w:tcW w:w="2268" w:type="dxa"/>
            <w:shd w:val="clear" w:color="auto" w:fill="FFC7CE"/>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9C0006"/>
                <w:kern w:val="24"/>
                <w:sz w:val="18"/>
                <w:szCs w:val="24"/>
                <w:lang w:eastAsia="ru-RU"/>
              </w:rPr>
              <w:t>Low</w:t>
            </w:r>
          </w:p>
        </w:tc>
        <w:tc>
          <w:tcPr>
            <w:tcW w:w="3409" w:type="dxa"/>
            <w:shd w:val="clear" w:color="auto" w:fill="C6EFCE"/>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6100"/>
                <w:kern w:val="24"/>
                <w:sz w:val="18"/>
                <w:szCs w:val="24"/>
                <w:lang w:eastAsia="ru-RU"/>
              </w:rPr>
              <w:t>High</w:t>
            </w:r>
          </w:p>
        </w:tc>
      </w:tr>
      <w:tr w:rsidR="006A01F3" w:rsidRPr="009F3FDE" w:rsidTr="00A8347D">
        <w:trPr>
          <w:trHeight w:val="22"/>
          <w:jc w:val="center"/>
        </w:trPr>
        <w:tc>
          <w:tcPr>
            <w:tcW w:w="9109" w:type="dxa"/>
            <w:gridSpan w:val="4"/>
            <w:shd w:val="clear" w:color="auto" w:fill="F8CBAD"/>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b/>
                <w:bCs/>
                <w:i/>
                <w:iCs/>
                <w:color w:val="000000"/>
                <w:kern w:val="24"/>
                <w:sz w:val="18"/>
                <w:szCs w:val="24"/>
                <w:lang w:eastAsia="ru-RU"/>
              </w:rPr>
              <w:t>Final scores:</w:t>
            </w:r>
          </w:p>
        </w:tc>
      </w:tr>
      <w:tr w:rsidR="00444F38" w:rsidRPr="009F3FDE" w:rsidTr="00784CA0">
        <w:trPr>
          <w:trHeight w:val="22"/>
          <w:jc w:val="center"/>
        </w:trPr>
        <w:tc>
          <w:tcPr>
            <w:tcW w:w="421"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w:t>
            </w:r>
          </w:p>
        </w:tc>
        <w:tc>
          <w:tcPr>
            <w:tcW w:w="3011" w:type="dxa"/>
            <w:shd w:val="clear" w:color="auto" w:fill="C6EFCE"/>
            <w:tcMar>
              <w:top w:w="11" w:type="dxa"/>
              <w:left w:w="11" w:type="dxa"/>
              <w:bottom w:w="0" w:type="dxa"/>
              <w:right w:w="11" w:type="dxa"/>
            </w:tcMar>
            <w:vAlign w:val="center"/>
            <w:hideMark/>
          </w:tcPr>
          <w:p w:rsidR="006A01F3" w:rsidRPr="009F3FDE" w:rsidRDefault="006A01F3" w:rsidP="006522A1">
            <w:pPr>
              <w:spacing w:after="0" w:line="240" w:lineRule="auto"/>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6100"/>
                <w:kern w:val="24"/>
                <w:sz w:val="18"/>
                <w:szCs w:val="24"/>
                <w:lang w:eastAsia="ru-RU"/>
              </w:rPr>
              <w:t>Good - 3 points</w:t>
            </w:r>
          </w:p>
        </w:tc>
        <w:tc>
          <w:tcPr>
            <w:tcW w:w="2268"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0</w:t>
            </w:r>
          </w:p>
        </w:tc>
        <w:tc>
          <w:tcPr>
            <w:tcW w:w="3409"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12</w:t>
            </w:r>
          </w:p>
        </w:tc>
      </w:tr>
      <w:tr w:rsidR="00444F38" w:rsidRPr="009F3FDE" w:rsidTr="00784CA0">
        <w:trPr>
          <w:trHeight w:val="22"/>
          <w:jc w:val="center"/>
        </w:trPr>
        <w:tc>
          <w:tcPr>
            <w:tcW w:w="421"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2</w:t>
            </w:r>
          </w:p>
        </w:tc>
        <w:tc>
          <w:tcPr>
            <w:tcW w:w="3011" w:type="dxa"/>
            <w:shd w:val="clear" w:color="auto" w:fill="FFEB9C"/>
            <w:tcMar>
              <w:top w:w="11" w:type="dxa"/>
              <w:left w:w="11" w:type="dxa"/>
              <w:bottom w:w="0" w:type="dxa"/>
              <w:right w:w="11" w:type="dxa"/>
            </w:tcMar>
            <w:vAlign w:val="center"/>
            <w:hideMark/>
          </w:tcPr>
          <w:p w:rsidR="006A01F3" w:rsidRPr="009F3FDE" w:rsidRDefault="006A01F3" w:rsidP="006522A1">
            <w:pPr>
              <w:spacing w:after="0" w:line="240" w:lineRule="auto"/>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9C6500"/>
                <w:kern w:val="24"/>
                <w:sz w:val="18"/>
                <w:szCs w:val="24"/>
                <w:lang w:eastAsia="ru-RU"/>
              </w:rPr>
              <w:t>Neutral - 2 points</w:t>
            </w:r>
          </w:p>
        </w:tc>
        <w:tc>
          <w:tcPr>
            <w:tcW w:w="2268"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6</w:t>
            </w:r>
          </w:p>
        </w:tc>
        <w:tc>
          <w:tcPr>
            <w:tcW w:w="3409"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0</w:t>
            </w:r>
          </w:p>
        </w:tc>
      </w:tr>
      <w:tr w:rsidR="00444F38" w:rsidRPr="009F3FDE" w:rsidTr="00784CA0">
        <w:trPr>
          <w:trHeight w:val="22"/>
          <w:jc w:val="center"/>
        </w:trPr>
        <w:tc>
          <w:tcPr>
            <w:tcW w:w="421"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3</w:t>
            </w:r>
          </w:p>
        </w:tc>
        <w:tc>
          <w:tcPr>
            <w:tcW w:w="3011" w:type="dxa"/>
            <w:shd w:val="clear" w:color="auto" w:fill="FFC7CE"/>
            <w:tcMar>
              <w:top w:w="11" w:type="dxa"/>
              <w:left w:w="11" w:type="dxa"/>
              <w:bottom w:w="0" w:type="dxa"/>
              <w:right w:w="11" w:type="dxa"/>
            </w:tcMar>
            <w:vAlign w:val="center"/>
            <w:hideMark/>
          </w:tcPr>
          <w:p w:rsidR="006A01F3" w:rsidRPr="009F3FDE" w:rsidRDefault="006A01F3" w:rsidP="006522A1">
            <w:pPr>
              <w:spacing w:after="0" w:line="240" w:lineRule="auto"/>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9C0006"/>
                <w:kern w:val="24"/>
                <w:sz w:val="18"/>
                <w:szCs w:val="24"/>
                <w:lang w:eastAsia="ru-RU"/>
              </w:rPr>
              <w:t>Bad - 1 point</w:t>
            </w:r>
          </w:p>
        </w:tc>
        <w:tc>
          <w:tcPr>
            <w:tcW w:w="2268"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2</w:t>
            </w:r>
          </w:p>
        </w:tc>
        <w:tc>
          <w:tcPr>
            <w:tcW w:w="3409" w:type="dxa"/>
            <w:tcMar>
              <w:top w:w="11" w:type="dxa"/>
              <w:left w:w="11" w:type="dxa"/>
              <w:bottom w:w="0" w:type="dxa"/>
              <w:right w:w="11" w:type="dxa"/>
            </w:tcMar>
            <w:vAlign w:val="center"/>
            <w:hideMark/>
          </w:tcPr>
          <w:p w:rsidR="006A01F3" w:rsidRPr="009F3FDE" w:rsidRDefault="006A01F3" w:rsidP="006522A1">
            <w:pPr>
              <w:spacing w:after="0" w:line="240" w:lineRule="auto"/>
              <w:jc w:val="center"/>
              <w:textAlignment w:val="center"/>
              <w:rPr>
                <w:rFonts w:ascii="Times New Roman" w:eastAsia="Times New Roman" w:hAnsi="Times New Roman" w:cs="Times New Roman"/>
                <w:sz w:val="18"/>
                <w:szCs w:val="24"/>
                <w:lang w:eastAsia="ru-RU"/>
              </w:rPr>
            </w:pPr>
            <w:r w:rsidRPr="009F3FDE">
              <w:rPr>
                <w:rFonts w:ascii="Times New Roman" w:eastAsia="Times New Roman" w:hAnsi="Times New Roman" w:cs="Times New Roman"/>
                <w:color w:val="000000"/>
                <w:kern w:val="24"/>
                <w:sz w:val="18"/>
                <w:szCs w:val="24"/>
                <w:lang w:eastAsia="ru-RU"/>
              </w:rPr>
              <w:t>1</w:t>
            </w:r>
          </w:p>
        </w:tc>
      </w:tr>
    </w:tbl>
    <w:p w:rsidR="006A01F3" w:rsidRPr="009F3FDE" w:rsidRDefault="006A01F3" w:rsidP="00C77F9B">
      <w:pPr>
        <w:spacing w:after="0" w:line="240" w:lineRule="auto"/>
        <w:ind w:left="-567" w:right="283" w:firstLine="567"/>
        <w:jc w:val="both"/>
        <w:rPr>
          <w:rFonts w:ascii="Times New Roman" w:hAnsi="Times New Roman" w:cs="Times New Roman"/>
          <w:sz w:val="20"/>
          <w:szCs w:val="28"/>
        </w:rPr>
      </w:pPr>
    </w:p>
    <w:p w:rsidR="006522A1" w:rsidRPr="009F3FDE" w:rsidRDefault="006522A1" w:rsidP="006522A1">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The gas collection and transportation system consists of production well sites and pipelines connected to gas pipelines-collectors, </w:t>
      </w:r>
      <w:r w:rsidRPr="009F3FDE">
        <w:rPr>
          <w:rFonts w:ascii="Times New Roman" w:hAnsi="Times New Roman" w:cs="Times New Roman"/>
          <w:color w:val="000000"/>
          <w:sz w:val="20"/>
        </w:rPr>
        <w:t>which</w:t>
      </w:r>
      <w:r w:rsidRPr="009F3FDE">
        <w:rPr>
          <w:rFonts w:ascii="Times New Roman" w:hAnsi="Times New Roman" w:cs="Times New Roman"/>
          <w:sz w:val="20"/>
          <w:szCs w:val="28"/>
        </w:rPr>
        <w:t xml:space="preserve"> in turn are sent to a comprehensive gas treatment plant (CGTP) [7, 18].</w:t>
      </w:r>
    </w:p>
    <w:p w:rsidR="006522A1" w:rsidRPr="009F3FDE" w:rsidRDefault="006522A1" w:rsidP="006522A1">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lastRenderedPageBreak/>
        <w:t xml:space="preserve">Only part of the gas is sent to the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gas treatment plant and then to the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booster compressor station </w:t>
      </w:r>
      <w:r w:rsidRPr="009F3FDE">
        <w:rPr>
          <w:rFonts w:ascii="Times New Roman" w:hAnsi="Times New Roman" w:cs="Times New Roman"/>
          <w:color w:val="000000"/>
          <w:sz w:val="20"/>
        </w:rPr>
        <w:t>for</w:t>
      </w:r>
      <w:r w:rsidRPr="009F3FDE">
        <w:rPr>
          <w:rFonts w:ascii="Times New Roman" w:hAnsi="Times New Roman" w:cs="Times New Roman"/>
          <w:sz w:val="20"/>
          <w:szCs w:val="28"/>
        </w:rPr>
        <w:t xml:space="preserve"> compression and further transportation to the Moscow gas processing plant, while the other part is fed to the </w:t>
      </w:r>
      <w:proofErr w:type="spellStart"/>
      <w:r w:rsidRPr="009F3FDE">
        <w:rPr>
          <w:rFonts w:ascii="Times New Roman" w:hAnsi="Times New Roman" w:cs="Times New Roman"/>
          <w:sz w:val="20"/>
          <w:szCs w:val="28"/>
        </w:rPr>
        <w:t>Kokdumalak</w:t>
      </w:r>
      <w:proofErr w:type="spellEnd"/>
      <w:r w:rsidRPr="009F3FDE">
        <w:rPr>
          <w:rFonts w:ascii="Times New Roman" w:hAnsi="Times New Roman" w:cs="Times New Roman"/>
          <w:sz w:val="20"/>
          <w:szCs w:val="28"/>
        </w:rPr>
        <w:t xml:space="preserve"> booster compressor station for further compression.</w:t>
      </w:r>
    </w:p>
    <w:p w:rsidR="006522A1" w:rsidRPr="009F3FDE" w:rsidRDefault="006522A1" w:rsidP="006522A1">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At the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gas treatment plant, extracted natural gas is processed to separate hydrocarbon condensate, formation fluid, and mechanical impurities from the gas flow under field conditions under actual </w:t>
      </w:r>
      <w:r w:rsidRPr="009F3FDE">
        <w:rPr>
          <w:rFonts w:ascii="Times New Roman" w:hAnsi="Times New Roman" w:cs="Times New Roman"/>
          <w:color w:val="000000"/>
          <w:sz w:val="20"/>
        </w:rPr>
        <w:t>process</w:t>
      </w:r>
      <w:r w:rsidRPr="009F3FDE">
        <w:rPr>
          <w:rFonts w:ascii="Times New Roman" w:hAnsi="Times New Roman" w:cs="Times New Roman"/>
          <w:sz w:val="20"/>
          <w:szCs w:val="28"/>
        </w:rPr>
        <w:t xml:space="preserve"> parameters.</w:t>
      </w:r>
    </w:p>
    <w:p w:rsidR="009E73A1" w:rsidRPr="009F3FDE" w:rsidRDefault="009E73A1" w:rsidP="009E73A1">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According to the basic version of the assessment of the production capabilities of the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gas condensate </w:t>
      </w:r>
      <w:r w:rsidRPr="009F3FDE">
        <w:rPr>
          <w:rFonts w:ascii="Times New Roman" w:hAnsi="Times New Roman" w:cs="Times New Roman"/>
          <w:color w:val="000000"/>
          <w:sz w:val="20"/>
        </w:rPr>
        <w:t>field</w:t>
      </w:r>
      <w:r w:rsidRPr="009F3FDE">
        <w:rPr>
          <w:rFonts w:ascii="Times New Roman" w:hAnsi="Times New Roman" w:cs="Times New Roman"/>
          <w:sz w:val="20"/>
          <w:szCs w:val="28"/>
        </w:rPr>
        <w:t>, the implementation of measures is not envisaged [23, 28].</w:t>
      </w:r>
    </w:p>
    <w:p w:rsidR="009E73A1" w:rsidRPr="009F3FDE" w:rsidRDefault="009E73A1" w:rsidP="009E73A1">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Gas from the above-mentioned field is to be prepared at the existing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and </w:t>
      </w:r>
      <w:proofErr w:type="spellStart"/>
      <w:r w:rsidRPr="009F3FDE">
        <w:rPr>
          <w:rFonts w:ascii="Times New Roman" w:hAnsi="Times New Roman" w:cs="Times New Roman"/>
          <w:sz w:val="20"/>
          <w:szCs w:val="28"/>
        </w:rPr>
        <w:t>Kokdumalak</w:t>
      </w:r>
      <w:proofErr w:type="spellEnd"/>
      <w:r w:rsidRPr="009F3FDE">
        <w:rPr>
          <w:rFonts w:ascii="Times New Roman" w:hAnsi="Times New Roman" w:cs="Times New Roman"/>
          <w:sz w:val="20"/>
          <w:szCs w:val="28"/>
        </w:rPr>
        <w:t xml:space="preserve"> gas treatment </w:t>
      </w:r>
      <w:r w:rsidRPr="009F3FDE">
        <w:rPr>
          <w:rFonts w:ascii="Times New Roman" w:hAnsi="Times New Roman" w:cs="Times New Roman"/>
          <w:color w:val="000000"/>
          <w:sz w:val="20"/>
        </w:rPr>
        <w:t>plants</w:t>
      </w:r>
      <w:r w:rsidRPr="009F3FDE">
        <w:rPr>
          <w:rFonts w:ascii="Times New Roman" w:hAnsi="Times New Roman" w:cs="Times New Roman"/>
          <w:sz w:val="20"/>
          <w:szCs w:val="28"/>
        </w:rPr>
        <w:t>.</w:t>
      </w:r>
    </w:p>
    <w:p w:rsidR="009E73A1" w:rsidRPr="009F3FDE" w:rsidRDefault="009E73A1" w:rsidP="009E73A1">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sz w:val="20"/>
          <w:szCs w:val="28"/>
        </w:rPr>
        <w:t xml:space="preserve">Description of the designed systems. Based on preliminary calculations and the proposed field development concept, it was determined that the increase and maintenance of natural gas production from the South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field is projected to occur with the restoration of the current well stock from 84 to 91 units between 2023 and 2024, as well as with the implementation of additional measures to further develop the above-ground portion and modernize the current systems [8, 10].</w:t>
      </w:r>
    </w:p>
    <w:p w:rsidR="004F6D73" w:rsidRPr="009F3FDE" w:rsidRDefault="004F6D73" w:rsidP="00B81C66">
      <w:pPr>
        <w:spacing w:after="0" w:line="240" w:lineRule="auto"/>
        <w:ind w:firstLine="284"/>
        <w:jc w:val="both"/>
        <w:rPr>
          <w:rFonts w:ascii="Times New Roman" w:hAnsi="Times New Roman" w:cs="Times New Roman"/>
          <w:sz w:val="20"/>
          <w:szCs w:val="28"/>
        </w:rPr>
      </w:pPr>
      <w:r w:rsidRPr="009F3FDE">
        <w:rPr>
          <w:rFonts w:ascii="Times New Roman" w:hAnsi="Times New Roman" w:cs="Times New Roman"/>
          <w:color w:val="0070C0"/>
          <w:sz w:val="20"/>
          <w:szCs w:val="28"/>
        </w:rPr>
        <w:t xml:space="preserve">Gas </w:t>
      </w:r>
      <w:r w:rsidRPr="009F3FDE">
        <w:rPr>
          <w:rFonts w:ascii="Times New Roman" w:hAnsi="Times New Roman" w:cs="Times New Roman"/>
          <w:sz w:val="20"/>
          <w:szCs w:val="28"/>
        </w:rPr>
        <w:t xml:space="preserve">from the above-mentioned fields is to be prepared at the existing </w:t>
      </w:r>
      <w:r w:rsidR="00120F36" w:rsidRPr="009F3FDE">
        <w:rPr>
          <w:rFonts w:ascii="Times New Roman" w:hAnsi="Times New Roman" w:cs="Times New Roman"/>
          <w:sz w:val="20"/>
          <w:szCs w:val="28"/>
        </w:rPr>
        <w:t>South</w:t>
      </w:r>
      <w:r w:rsidRPr="009F3FDE">
        <w:rPr>
          <w:rFonts w:ascii="Times New Roman" w:hAnsi="Times New Roman" w:cs="Times New Roman"/>
          <w:sz w:val="20"/>
          <w:szCs w:val="28"/>
        </w:rPr>
        <w:t xml:space="preserve"> </w:t>
      </w:r>
      <w:proofErr w:type="spellStart"/>
      <w:r w:rsidRPr="009F3FDE">
        <w:rPr>
          <w:rFonts w:ascii="Times New Roman" w:hAnsi="Times New Roman" w:cs="Times New Roman"/>
          <w:sz w:val="20"/>
          <w:szCs w:val="28"/>
        </w:rPr>
        <w:t>Kemachi</w:t>
      </w:r>
      <w:proofErr w:type="spellEnd"/>
      <w:r w:rsidRPr="009F3FDE">
        <w:rPr>
          <w:rFonts w:ascii="Times New Roman" w:hAnsi="Times New Roman" w:cs="Times New Roman"/>
          <w:sz w:val="20"/>
          <w:szCs w:val="28"/>
        </w:rPr>
        <w:t xml:space="preserve"> and </w:t>
      </w:r>
      <w:proofErr w:type="spellStart"/>
      <w:r w:rsidRPr="009F3FDE">
        <w:rPr>
          <w:rFonts w:ascii="Times New Roman" w:hAnsi="Times New Roman" w:cs="Times New Roman"/>
          <w:sz w:val="20"/>
          <w:szCs w:val="28"/>
        </w:rPr>
        <w:t>Kokdumalak</w:t>
      </w:r>
      <w:proofErr w:type="spellEnd"/>
      <w:r w:rsidRPr="009F3FDE">
        <w:rPr>
          <w:rFonts w:ascii="Times New Roman" w:hAnsi="Times New Roman" w:cs="Times New Roman"/>
          <w:sz w:val="20"/>
          <w:szCs w:val="28"/>
        </w:rPr>
        <w:t xml:space="preserve"> gas treatment </w:t>
      </w:r>
      <w:r w:rsidRPr="009F3FDE">
        <w:rPr>
          <w:rFonts w:ascii="Times New Roman" w:hAnsi="Times New Roman" w:cs="Times New Roman"/>
          <w:color w:val="000000"/>
          <w:sz w:val="20"/>
        </w:rPr>
        <w:t>plants</w:t>
      </w:r>
      <w:r w:rsidRPr="009F3FDE">
        <w:rPr>
          <w:rFonts w:ascii="Times New Roman" w:hAnsi="Times New Roman" w:cs="Times New Roman"/>
          <w:sz w:val="20"/>
          <w:szCs w:val="28"/>
        </w:rPr>
        <w:t>.</w:t>
      </w:r>
    </w:p>
    <w:p w:rsidR="00B81C66" w:rsidRPr="009F3FDE" w:rsidRDefault="00B81C66" w:rsidP="00B81C66">
      <w:pPr>
        <w:spacing w:after="0" w:line="240" w:lineRule="auto"/>
        <w:ind w:firstLine="284"/>
        <w:jc w:val="both"/>
        <w:rPr>
          <w:rFonts w:ascii="Times New Roman" w:hAnsi="Times New Roman" w:cs="Times New Roman"/>
          <w:sz w:val="20"/>
        </w:rPr>
      </w:pPr>
      <w:r w:rsidRPr="009F3FDE">
        <w:rPr>
          <w:rFonts w:ascii="Times New Roman" w:hAnsi="Times New Roman" w:cs="Times New Roman"/>
          <w:sz w:val="20"/>
        </w:rPr>
        <w:t xml:space="preserve">The obtained </w:t>
      </w:r>
      <w:r w:rsidRPr="009F3FDE">
        <w:rPr>
          <w:rFonts w:ascii="Times New Roman" w:hAnsi="Times New Roman" w:cs="Times New Roman"/>
          <w:color w:val="000000"/>
          <w:sz w:val="20"/>
        </w:rPr>
        <w:t>results</w:t>
      </w:r>
      <w:r w:rsidRPr="009F3FDE">
        <w:rPr>
          <w:rFonts w:ascii="Times New Roman" w:hAnsi="Times New Roman" w:cs="Times New Roman"/>
          <w:sz w:val="20"/>
        </w:rPr>
        <w:t xml:space="preserve"> are consistent with global experience in the development of gas condensate fields at a late stage of exploitation</w:t>
      </w:r>
      <w:r w:rsidR="00BF156F" w:rsidRPr="009F3FDE">
        <w:rPr>
          <w:rFonts w:ascii="Times New Roman" w:hAnsi="Times New Roman" w:cs="Times New Roman"/>
          <w:sz w:val="20"/>
        </w:rPr>
        <w:t xml:space="preserve"> [36, 25]</w:t>
      </w:r>
      <w:r w:rsidRPr="009F3FDE">
        <w:rPr>
          <w:rFonts w:ascii="Times New Roman" w:hAnsi="Times New Roman" w:cs="Times New Roman"/>
          <w:sz w:val="20"/>
        </w:rPr>
        <w:t>. The study confirms that the introduction of wellhead compression is an effective technological solution for maintaining production under conditions of declining reservoir and wellhead pressure. Furthermore, the modernization of surface infrastructure enables a balanced integration of new equipment with existing facilities, ensuring technical feasibility and long-term production stability.</w:t>
      </w:r>
    </w:p>
    <w:p w:rsidR="00B81C66" w:rsidRPr="009F3FDE" w:rsidRDefault="00B81C66" w:rsidP="00B81C66">
      <w:pPr>
        <w:spacing w:after="0" w:line="240" w:lineRule="auto"/>
        <w:ind w:firstLine="284"/>
        <w:jc w:val="both"/>
        <w:rPr>
          <w:rFonts w:ascii="Times New Roman" w:hAnsi="Times New Roman" w:cs="Times New Roman"/>
          <w:sz w:val="20"/>
        </w:rPr>
      </w:pPr>
      <w:r w:rsidRPr="009F3FDE">
        <w:rPr>
          <w:rFonts w:ascii="Times New Roman" w:hAnsi="Times New Roman" w:cs="Times New Roman"/>
          <w:sz w:val="20"/>
        </w:rPr>
        <w:t xml:space="preserve">Overall, the </w:t>
      </w:r>
      <w:r w:rsidRPr="009F3FDE">
        <w:rPr>
          <w:rFonts w:ascii="Times New Roman" w:hAnsi="Times New Roman" w:cs="Times New Roman"/>
          <w:color w:val="000000"/>
          <w:sz w:val="20"/>
        </w:rPr>
        <w:t>results</w:t>
      </w:r>
      <w:r w:rsidRPr="009F3FDE">
        <w:rPr>
          <w:rFonts w:ascii="Times New Roman" w:hAnsi="Times New Roman" w:cs="Times New Roman"/>
          <w:sz w:val="20"/>
        </w:rPr>
        <w:t xml:space="preserve"> demonstrate that the proposed modernization measures provide a reliable and efficient pathway for extending the productive life of the South </w:t>
      </w:r>
      <w:proofErr w:type="spellStart"/>
      <w:r w:rsidRPr="009F3FDE">
        <w:rPr>
          <w:rFonts w:ascii="Times New Roman" w:hAnsi="Times New Roman" w:cs="Times New Roman"/>
          <w:sz w:val="20"/>
        </w:rPr>
        <w:t>Kemachi</w:t>
      </w:r>
      <w:proofErr w:type="spellEnd"/>
      <w:r w:rsidRPr="009F3FDE">
        <w:rPr>
          <w:rFonts w:ascii="Times New Roman" w:hAnsi="Times New Roman" w:cs="Times New Roman"/>
          <w:sz w:val="20"/>
        </w:rPr>
        <w:t xml:space="preserve"> field while achieving higher hydrocarbon recovery and improved economic performance.</w:t>
      </w:r>
    </w:p>
    <w:p w:rsidR="004F6D73" w:rsidRPr="009F3FDE" w:rsidRDefault="00B81C66" w:rsidP="00B81C66">
      <w:pPr>
        <w:pStyle w:val="a9"/>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9F3FDE">
        <w:rPr>
          <w:rFonts w:ascii="Times New Roman" w:hAnsi="Times New Roman" w:cs="Times New Roman"/>
          <w:b/>
          <w:sz w:val="24"/>
          <w:szCs w:val="24"/>
        </w:rPr>
        <w:t>CONCLUSIONS</w:t>
      </w:r>
    </w:p>
    <w:p w:rsidR="00B81C66" w:rsidRPr="009F3FDE" w:rsidRDefault="00B81C66" w:rsidP="00B81C66">
      <w:pPr>
        <w:spacing w:after="0" w:line="240" w:lineRule="auto"/>
        <w:ind w:firstLine="284"/>
        <w:jc w:val="both"/>
        <w:rPr>
          <w:rFonts w:ascii="Times New Roman" w:hAnsi="Times New Roman" w:cs="Times New Roman"/>
          <w:sz w:val="20"/>
        </w:rPr>
      </w:pPr>
      <w:r w:rsidRPr="009F3FDE">
        <w:rPr>
          <w:rFonts w:ascii="Times New Roman" w:hAnsi="Times New Roman" w:cs="Times New Roman"/>
          <w:sz w:val="20"/>
        </w:rPr>
        <w:t xml:space="preserve">The conducted study confirms that the decline in gas production at the South </w:t>
      </w:r>
      <w:proofErr w:type="spellStart"/>
      <w:r w:rsidRPr="009F3FDE">
        <w:rPr>
          <w:rFonts w:ascii="Times New Roman" w:hAnsi="Times New Roman" w:cs="Times New Roman"/>
          <w:sz w:val="20"/>
        </w:rPr>
        <w:t>Kemachi</w:t>
      </w:r>
      <w:proofErr w:type="spellEnd"/>
      <w:r w:rsidRPr="009F3FDE">
        <w:rPr>
          <w:rFonts w:ascii="Times New Roman" w:hAnsi="Times New Roman" w:cs="Times New Roman"/>
          <w:sz w:val="20"/>
        </w:rPr>
        <w:t xml:space="preserve"> oil and gas condensate field is </w:t>
      </w:r>
      <w:r w:rsidRPr="009F3FDE">
        <w:rPr>
          <w:rFonts w:ascii="Times New Roman" w:hAnsi="Times New Roman" w:cs="Times New Roman"/>
          <w:color w:val="000000"/>
          <w:sz w:val="20"/>
        </w:rPr>
        <w:t>primarily</w:t>
      </w:r>
      <w:r w:rsidRPr="009F3FDE">
        <w:rPr>
          <w:rFonts w:ascii="Times New Roman" w:hAnsi="Times New Roman" w:cs="Times New Roman"/>
          <w:sz w:val="20"/>
        </w:rPr>
        <w:t xml:space="preserve"> caused by decreasing reservoir and wellhead pressures, high water cut, and the limited ability of the existing gas collection and compression system to handle low-pressure gas. Under these conditions, maintaining stable production without modernization measures is technically and economically inefficient</w:t>
      </w:r>
      <w:r w:rsidR="00BF156F" w:rsidRPr="009F3FDE">
        <w:rPr>
          <w:rFonts w:ascii="Times New Roman" w:hAnsi="Times New Roman" w:cs="Times New Roman"/>
          <w:sz w:val="20"/>
        </w:rPr>
        <w:t xml:space="preserve"> [1, 19]</w:t>
      </w:r>
      <w:r w:rsidRPr="009F3FDE">
        <w:rPr>
          <w:rFonts w:ascii="Times New Roman" w:hAnsi="Times New Roman" w:cs="Times New Roman"/>
          <w:sz w:val="20"/>
        </w:rPr>
        <w:t>.</w:t>
      </w:r>
    </w:p>
    <w:p w:rsidR="00B81C66" w:rsidRPr="009F3FDE" w:rsidRDefault="00B81C66" w:rsidP="00B81C66">
      <w:pPr>
        <w:spacing w:after="0" w:line="240" w:lineRule="auto"/>
        <w:ind w:firstLine="284"/>
        <w:jc w:val="both"/>
        <w:rPr>
          <w:rFonts w:ascii="Times New Roman" w:hAnsi="Times New Roman" w:cs="Times New Roman"/>
          <w:sz w:val="20"/>
        </w:rPr>
      </w:pPr>
      <w:r w:rsidRPr="009F3FDE">
        <w:rPr>
          <w:rFonts w:ascii="Times New Roman" w:hAnsi="Times New Roman" w:cs="Times New Roman"/>
          <w:sz w:val="20"/>
        </w:rPr>
        <w:t xml:space="preserve">The variant-based analysis demonstrates that the implementation of wellhead compressor stations and the modernization of surface infrastructure significantly improve the performance of the gas collection and compression system at the late stage of field development. Compared with the baseline scenario, the proposed option </w:t>
      </w:r>
      <w:r w:rsidRPr="009F3FDE">
        <w:rPr>
          <w:rFonts w:ascii="Times New Roman" w:hAnsi="Times New Roman" w:cs="Times New Roman"/>
          <w:color w:val="000000"/>
          <w:sz w:val="20"/>
        </w:rPr>
        <w:t>enables</w:t>
      </w:r>
      <w:r w:rsidRPr="009F3FDE">
        <w:rPr>
          <w:rFonts w:ascii="Times New Roman" w:hAnsi="Times New Roman" w:cs="Times New Roman"/>
          <w:sz w:val="20"/>
        </w:rPr>
        <w:t xml:space="preserve"> an additional cumulative production of 681.2 million m³ of natural gas and 14.3 thousand tons of condensate over the forecast period from 2023 to 2035.</w:t>
      </w:r>
    </w:p>
    <w:p w:rsidR="00B81C66" w:rsidRPr="009F3FDE" w:rsidRDefault="00B81C66" w:rsidP="00B81C66">
      <w:pPr>
        <w:spacing w:after="0" w:line="240" w:lineRule="auto"/>
        <w:ind w:firstLine="284"/>
        <w:jc w:val="both"/>
        <w:rPr>
          <w:rFonts w:ascii="Times New Roman" w:hAnsi="Times New Roman" w:cs="Times New Roman"/>
          <w:sz w:val="20"/>
        </w:rPr>
      </w:pPr>
      <w:r w:rsidRPr="009F3FDE">
        <w:rPr>
          <w:rFonts w:ascii="Times New Roman" w:hAnsi="Times New Roman" w:cs="Times New Roman"/>
          <w:sz w:val="20"/>
        </w:rPr>
        <w:t xml:space="preserve">The results show that wellhead compression ensures stable gas transportation under declining wellhead pressure, increases the </w:t>
      </w:r>
      <w:r w:rsidRPr="009F3FDE">
        <w:rPr>
          <w:rFonts w:ascii="Times New Roman" w:hAnsi="Times New Roman" w:cs="Times New Roman"/>
          <w:color w:val="000000"/>
          <w:sz w:val="20"/>
        </w:rPr>
        <w:t>utilization</w:t>
      </w:r>
      <w:r w:rsidRPr="009F3FDE">
        <w:rPr>
          <w:rFonts w:ascii="Times New Roman" w:hAnsi="Times New Roman" w:cs="Times New Roman"/>
          <w:sz w:val="20"/>
        </w:rPr>
        <w:t xml:space="preserve"> of existing gas treatment and booster compressor station capacities, and reduces dependence on third-party compression services</w:t>
      </w:r>
      <w:r w:rsidR="00BF156F" w:rsidRPr="009F3FDE">
        <w:rPr>
          <w:rFonts w:ascii="Times New Roman" w:hAnsi="Times New Roman" w:cs="Times New Roman"/>
          <w:sz w:val="20"/>
        </w:rPr>
        <w:t xml:space="preserve"> [20, 21]</w:t>
      </w:r>
      <w:r w:rsidRPr="009F3FDE">
        <w:rPr>
          <w:rFonts w:ascii="Times New Roman" w:hAnsi="Times New Roman" w:cs="Times New Roman"/>
          <w:sz w:val="20"/>
        </w:rPr>
        <w:t>. Despite higher capital expenditures, the proposed modernization measures provide clear operational and economic benefits by lowering operating costs and enhancing recovery of residual hydrocarbon reserves.</w:t>
      </w:r>
    </w:p>
    <w:p w:rsidR="00B81C66" w:rsidRPr="009F3FDE" w:rsidRDefault="00B81C66" w:rsidP="00B81C66">
      <w:pPr>
        <w:spacing w:after="0" w:line="240" w:lineRule="auto"/>
        <w:ind w:firstLine="284"/>
        <w:jc w:val="both"/>
        <w:rPr>
          <w:rFonts w:ascii="Times New Roman" w:hAnsi="Times New Roman" w:cs="Times New Roman"/>
          <w:sz w:val="20"/>
        </w:rPr>
      </w:pPr>
      <w:r w:rsidRPr="009F3FDE">
        <w:rPr>
          <w:rFonts w:ascii="Times New Roman" w:hAnsi="Times New Roman" w:cs="Times New Roman"/>
          <w:sz w:val="20"/>
        </w:rPr>
        <w:t xml:space="preserve">Overall, the </w:t>
      </w:r>
      <w:r w:rsidRPr="009F3FDE">
        <w:rPr>
          <w:rFonts w:ascii="Times New Roman" w:hAnsi="Times New Roman" w:cs="Times New Roman"/>
          <w:color w:val="000000"/>
          <w:sz w:val="20"/>
        </w:rPr>
        <w:t>proposed</w:t>
      </w:r>
      <w:r w:rsidRPr="009F3FDE">
        <w:rPr>
          <w:rFonts w:ascii="Times New Roman" w:hAnsi="Times New Roman" w:cs="Times New Roman"/>
          <w:sz w:val="20"/>
        </w:rPr>
        <w:t xml:space="preserve"> development concept represents a technically feasible and economically justified solution for extending the productive life of the South </w:t>
      </w:r>
      <w:proofErr w:type="spellStart"/>
      <w:r w:rsidRPr="009F3FDE">
        <w:rPr>
          <w:rFonts w:ascii="Times New Roman" w:hAnsi="Times New Roman" w:cs="Times New Roman"/>
          <w:sz w:val="20"/>
        </w:rPr>
        <w:t>Kemachi</w:t>
      </w:r>
      <w:proofErr w:type="spellEnd"/>
      <w:r w:rsidRPr="009F3FDE">
        <w:rPr>
          <w:rFonts w:ascii="Times New Roman" w:hAnsi="Times New Roman" w:cs="Times New Roman"/>
          <w:sz w:val="20"/>
        </w:rPr>
        <w:t xml:space="preserve"> field. The findings of this study may be applied to other mature oil and gas condensate fields facing similar challenges associated with low-pressure gas production and declining reservoir energy.</w:t>
      </w:r>
    </w:p>
    <w:p w:rsidR="00D305F5" w:rsidRPr="009F3FDE" w:rsidRDefault="00D305F5" w:rsidP="00D305F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9F3FDE">
        <w:rPr>
          <w:rFonts w:ascii="Times New Roman" w:hAnsi="Times New Roman" w:cs="Times New Roman"/>
          <w:b/>
          <w:sz w:val="24"/>
          <w:szCs w:val="24"/>
        </w:rPr>
        <w:t>REFERENCES</w:t>
      </w:r>
    </w:p>
    <w:p w:rsidR="004F6D73" w:rsidRPr="009F3FDE" w:rsidRDefault="004F6D73" w:rsidP="00C52A72">
      <w:pPr>
        <w:pStyle w:val="af9"/>
        <w:numPr>
          <w:ilvl w:val="0"/>
          <w:numId w:val="7"/>
        </w:numPr>
        <w:tabs>
          <w:tab w:val="left" w:pos="322"/>
        </w:tabs>
        <w:spacing w:before="0" w:beforeAutospacing="0" w:after="0" w:afterAutospacing="0"/>
        <w:ind w:left="0" w:firstLine="0"/>
        <w:jc w:val="both"/>
        <w:rPr>
          <w:sz w:val="20"/>
          <w:szCs w:val="28"/>
          <w:lang w:val="en-US"/>
        </w:rPr>
      </w:pPr>
      <w:r w:rsidRPr="009F3FDE">
        <w:rPr>
          <w:sz w:val="20"/>
          <w:lang w:val="en-US"/>
        </w:rPr>
        <w:t>Nazarov</w:t>
      </w:r>
      <w:r w:rsidRPr="009F3FDE">
        <w:rPr>
          <w:sz w:val="20"/>
          <w:szCs w:val="28"/>
          <w:lang w:val="en-US"/>
        </w:rPr>
        <w:t xml:space="preserve"> U.S., Makhmudov F.M., Kuzmich A.E., </w:t>
      </w:r>
      <w:proofErr w:type="spellStart"/>
      <w:r w:rsidRPr="009F3FDE">
        <w:rPr>
          <w:sz w:val="20"/>
          <w:szCs w:val="28"/>
          <w:lang w:val="en-US"/>
        </w:rPr>
        <w:t>Igamberdiev</w:t>
      </w:r>
      <w:proofErr w:type="spellEnd"/>
      <w:r w:rsidRPr="009F3FDE">
        <w:rPr>
          <w:sz w:val="20"/>
          <w:szCs w:val="28"/>
          <w:lang w:val="en-US"/>
        </w:rPr>
        <w:t xml:space="preserve"> R.A., Born R.I. Guidance document. Integrated design of systems for the development (further development) and arrangement (further arrangement) of hydrocarbon deposits // RH 39.0-110:2012. Tashkent - 2012. - 103 p.</w:t>
      </w:r>
    </w:p>
    <w:p w:rsidR="004F6D73" w:rsidRPr="009F3FDE" w:rsidRDefault="004F6D73" w:rsidP="00C52A72">
      <w:pPr>
        <w:pStyle w:val="af9"/>
        <w:numPr>
          <w:ilvl w:val="0"/>
          <w:numId w:val="7"/>
        </w:numPr>
        <w:tabs>
          <w:tab w:val="left" w:pos="322"/>
        </w:tabs>
        <w:spacing w:before="0" w:beforeAutospacing="0" w:after="0" w:afterAutospacing="0"/>
        <w:ind w:left="0" w:firstLine="0"/>
        <w:jc w:val="both"/>
        <w:rPr>
          <w:sz w:val="20"/>
          <w:szCs w:val="28"/>
          <w:lang w:val="en-US"/>
        </w:rPr>
      </w:pPr>
      <w:r w:rsidRPr="009F3FDE">
        <w:rPr>
          <w:sz w:val="20"/>
          <w:szCs w:val="28"/>
          <w:lang w:val="en-US"/>
        </w:rPr>
        <w:t xml:space="preserve">Lee A.R. Gas collection system equipment during the drop gas production period of gas condensate fields // “Technical </w:t>
      </w:r>
      <w:r w:rsidRPr="009F3FDE">
        <w:rPr>
          <w:sz w:val="20"/>
          <w:lang w:val="en-US"/>
        </w:rPr>
        <w:t>science</w:t>
      </w:r>
      <w:r w:rsidRPr="009F3FDE">
        <w:rPr>
          <w:sz w:val="20"/>
          <w:szCs w:val="28"/>
          <w:lang w:val="en-US"/>
        </w:rPr>
        <w:t xml:space="preserve"> and innovation” 2021, No. 1(07). Tashkent, 2021. - p. 176-183.</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lastRenderedPageBreak/>
        <w:t xml:space="preserve">Wu, K., Qu, L., Zhou, J., He, Y., Wu, Y., Zhou, Z., Qin, C., Chen, L., Zhang, C., 2025. Design and adaptability analysis of integrated pressurization–gas lifting multifunctional compressor for enhanced shale gas production flexibility. </w:t>
      </w:r>
      <w:r w:rsidRPr="009F3FDE">
        <w:rPr>
          <w:rStyle w:val="afa"/>
          <w:rFonts w:eastAsiaTheme="majorEastAsia"/>
          <w:sz w:val="20"/>
          <w:lang w:val="en-US"/>
        </w:rPr>
        <w:t>Processes</w:t>
      </w:r>
      <w:r w:rsidRPr="009F3FDE">
        <w:rPr>
          <w:sz w:val="20"/>
          <w:lang w:val="en-US"/>
        </w:rPr>
        <w:t xml:space="preserve"> 13(4), 1233. https://doi.org/10.3390/pr13041233</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Kurz, R., Brun, K., 2019. Upstream compression applications. In: Brun, K., Kurz, R. (Eds.), </w:t>
      </w:r>
      <w:r w:rsidRPr="009F3FDE">
        <w:rPr>
          <w:rStyle w:val="afa"/>
          <w:rFonts w:eastAsiaTheme="majorEastAsia"/>
          <w:sz w:val="20"/>
          <w:lang w:val="en-US"/>
        </w:rPr>
        <w:t>Compression Machinery for Oil and Gas</w:t>
      </w:r>
      <w:r w:rsidRPr="009F3FDE">
        <w:rPr>
          <w:sz w:val="20"/>
          <w:lang w:val="en-US"/>
        </w:rPr>
        <w:t>. Elsevier, Oxford, pp. 375–385.</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Chen, Y., Liu, P., Zhang, J., 2019. A methodology for the optimal design of gas gathering pipeline systems. </w:t>
      </w:r>
      <w:r w:rsidRPr="009F3FDE">
        <w:rPr>
          <w:rStyle w:val="afa"/>
          <w:rFonts w:eastAsiaTheme="majorEastAsia"/>
          <w:sz w:val="20"/>
          <w:lang w:val="en-US"/>
        </w:rPr>
        <w:t>Energy</w:t>
      </w:r>
      <w:r w:rsidRPr="009F3FDE">
        <w:rPr>
          <w:sz w:val="20"/>
          <w:lang w:val="en-US"/>
        </w:rPr>
        <w:t xml:space="preserve"> 170, 994–1005. https://doi.org/10.1016/j.energy.2018.12.151</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Al-</w:t>
      </w:r>
      <w:proofErr w:type="spellStart"/>
      <w:r w:rsidRPr="009F3FDE">
        <w:rPr>
          <w:sz w:val="20"/>
          <w:lang w:val="en-US"/>
        </w:rPr>
        <w:t>Kayiem</w:t>
      </w:r>
      <w:proofErr w:type="spellEnd"/>
      <w:r w:rsidRPr="009F3FDE">
        <w:rPr>
          <w:sz w:val="20"/>
          <w:lang w:val="en-US"/>
        </w:rPr>
        <w:t xml:space="preserve">, H.H., Saad, A., 2024. Modelling and optimization of an existing onshore gas gathering network. </w:t>
      </w:r>
      <w:r w:rsidRPr="009F3FDE">
        <w:rPr>
          <w:rStyle w:val="afa"/>
          <w:rFonts w:eastAsiaTheme="majorEastAsia"/>
          <w:sz w:val="20"/>
          <w:lang w:val="en-US"/>
        </w:rPr>
        <w:t>Journal of Natural Gas Science and Engineering</w:t>
      </w:r>
      <w:r w:rsidRPr="009F3FDE">
        <w:rPr>
          <w:sz w:val="20"/>
          <w:lang w:val="en-US"/>
        </w:rPr>
        <w:t xml:space="preserve"> 120, 105210. https://doi.org/10.1016/j.jngse.2023.105210</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Li, X., Wang, Z., Sun, B., 2025. Integrated wellbore–surface pressure control production optimization for shale gas wells. </w:t>
      </w:r>
      <w:r w:rsidRPr="009F3FDE">
        <w:rPr>
          <w:rStyle w:val="afa"/>
          <w:rFonts w:eastAsiaTheme="majorEastAsia"/>
          <w:sz w:val="20"/>
          <w:lang w:val="en-US"/>
        </w:rPr>
        <w:t>Natural Gas Industry B</w:t>
      </w:r>
      <w:r w:rsidRPr="009F3FDE">
        <w:rPr>
          <w:sz w:val="20"/>
          <w:lang w:val="en-US"/>
        </w:rPr>
        <w:t xml:space="preserve"> 12(2), 123–134. https://doi.org/10.1016/j.ngib.2025.02.003</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Aghadiyeva, T., 2024. Improving energy security by increasing the efficiency of system gathering production oil and gas wells. </w:t>
      </w:r>
      <w:r w:rsidRPr="009F3FDE">
        <w:rPr>
          <w:rStyle w:val="afa"/>
          <w:rFonts w:eastAsiaTheme="majorEastAsia"/>
          <w:sz w:val="20"/>
          <w:lang w:val="en-US"/>
        </w:rPr>
        <w:t>Herald of Azerbaijan Engineering Academy</w:t>
      </w:r>
      <w:r w:rsidRPr="009F3FDE">
        <w:rPr>
          <w:sz w:val="20"/>
          <w:lang w:val="en-US"/>
        </w:rPr>
        <w:t xml:space="preserve"> 16(1), 111–120. https://doi.org/10.52171/2076-0515_2024_16_01_111_120</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szCs w:val="28"/>
          <w:lang w:val="en-US"/>
        </w:rPr>
      </w:pPr>
      <w:proofErr w:type="spellStart"/>
      <w:r w:rsidRPr="009F3FDE">
        <w:rPr>
          <w:sz w:val="20"/>
          <w:lang w:val="en-US"/>
        </w:rPr>
        <w:t>Shirkovsky</w:t>
      </w:r>
      <w:proofErr w:type="spellEnd"/>
      <w:r w:rsidRPr="009F3FDE">
        <w:rPr>
          <w:sz w:val="20"/>
          <w:szCs w:val="28"/>
          <w:lang w:val="en-US"/>
        </w:rPr>
        <w:t xml:space="preserve"> A.N. Development and operation of gas and gas condensate fields: Textbook for universities, Moscow: Nedra, 1987. - 306 p.</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Shpotakovsky, M.M., 2016. Improving gas cooling technology at its compression in the booster compressor station. </w:t>
      </w:r>
      <w:r w:rsidRPr="009F3FDE">
        <w:rPr>
          <w:rStyle w:val="afa"/>
          <w:rFonts w:eastAsiaTheme="majorEastAsia"/>
          <w:sz w:val="20"/>
          <w:lang w:val="en-US"/>
        </w:rPr>
        <w:t>Procedia Engineering</w:t>
      </w:r>
      <w:r w:rsidRPr="009F3FDE">
        <w:rPr>
          <w:sz w:val="20"/>
          <w:lang w:val="en-US"/>
        </w:rPr>
        <w:t xml:space="preserve"> 152, 233–239. https://doi.org/10.1016/j.proeng.2016.07.696</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szCs w:val="28"/>
          <w:lang w:val="en-US"/>
        </w:rPr>
      </w:pPr>
      <w:r w:rsidRPr="009F3FDE">
        <w:rPr>
          <w:sz w:val="20"/>
          <w:szCs w:val="28"/>
          <w:lang w:val="en-US"/>
        </w:rPr>
        <w:t>Zakirov S.N. Theory and design of development of gas and gas condensate fields. – M.: Nedra, 1989, 330 p.</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Schweighofer, M., 2025. </w:t>
      </w:r>
      <w:r w:rsidRPr="009F3FDE">
        <w:rPr>
          <w:rStyle w:val="afa"/>
          <w:rFonts w:eastAsiaTheme="majorEastAsia"/>
          <w:sz w:val="20"/>
          <w:lang w:val="en-US"/>
        </w:rPr>
        <w:t>Casing Gas Compression: Technology, Markets, Potential and Business Cases</w:t>
      </w:r>
      <w:r w:rsidRPr="009F3FDE">
        <w:rPr>
          <w:sz w:val="20"/>
          <w:lang w:val="en-US"/>
        </w:rPr>
        <w:t xml:space="preserve">. Master’s Thesis, </w:t>
      </w:r>
      <w:proofErr w:type="spellStart"/>
      <w:r w:rsidRPr="009F3FDE">
        <w:rPr>
          <w:sz w:val="20"/>
          <w:lang w:val="en-US"/>
        </w:rPr>
        <w:t>Montanuniversität</w:t>
      </w:r>
      <w:proofErr w:type="spellEnd"/>
      <w:r w:rsidRPr="009F3FDE">
        <w:rPr>
          <w:sz w:val="20"/>
          <w:lang w:val="en-US"/>
        </w:rPr>
        <w:t xml:space="preserve"> Leoben, Austria.</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Brun, K., Kurz, R., 2019. Wet gas compression. In: Brun, K., Kurz, R. (Eds.), </w:t>
      </w:r>
      <w:r w:rsidRPr="009F3FDE">
        <w:rPr>
          <w:rStyle w:val="afa"/>
          <w:rFonts w:eastAsiaTheme="majorEastAsia"/>
          <w:sz w:val="20"/>
          <w:lang w:val="en-US"/>
        </w:rPr>
        <w:t>Compression Machinery for Oil and Gas</w:t>
      </w:r>
      <w:r w:rsidRPr="009F3FDE">
        <w:rPr>
          <w:sz w:val="20"/>
          <w:lang w:val="en-US"/>
        </w:rPr>
        <w:t>. Elsevier, Oxford, pp. 485–541.</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Abdirazakov, A., </w:t>
      </w:r>
      <w:proofErr w:type="spellStart"/>
      <w:r w:rsidRPr="009F3FDE">
        <w:rPr>
          <w:sz w:val="20"/>
          <w:lang w:val="en-US"/>
        </w:rPr>
        <w:t>Boyqobilova</w:t>
      </w:r>
      <w:proofErr w:type="spellEnd"/>
      <w:r w:rsidRPr="009F3FDE">
        <w:rPr>
          <w:sz w:val="20"/>
          <w:lang w:val="en-US"/>
        </w:rPr>
        <w:t xml:space="preserve">, M., 2025. Analysis of methods for increasing the efficiency of gas and gas condensate wells repair. </w:t>
      </w:r>
      <w:proofErr w:type="spellStart"/>
      <w:r w:rsidRPr="009F3FDE">
        <w:rPr>
          <w:rStyle w:val="afa"/>
          <w:rFonts w:eastAsiaTheme="majorEastAsia"/>
          <w:sz w:val="20"/>
          <w:lang w:val="en-US"/>
        </w:rPr>
        <w:t>TechScience</w:t>
      </w:r>
      <w:proofErr w:type="spellEnd"/>
      <w:r w:rsidRPr="009F3FDE">
        <w:rPr>
          <w:rStyle w:val="afa"/>
          <w:rFonts w:eastAsiaTheme="majorEastAsia"/>
          <w:sz w:val="20"/>
          <w:lang w:val="en-US"/>
        </w:rPr>
        <w:t xml:space="preserve"> Uz – Topical Issues of Technical Sciences</w:t>
      </w:r>
      <w:r w:rsidRPr="009F3FDE">
        <w:rPr>
          <w:sz w:val="20"/>
          <w:lang w:val="en-US"/>
        </w:rPr>
        <w:t xml:space="preserve"> 3(9), 55–62. https://doi.org/10.47390/ts-v3i9y2025No9</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Azizova, D.G., </w:t>
      </w:r>
      <w:proofErr w:type="spellStart"/>
      <w:r w:rsidRPr="009F3FDE">
        <w:rPr>
          <w:sz w:val="20"/>
          <w:lang w:val="en-US"/>
        </w:rPr>
        <w:t>Avlayarova</w:t>
      </w:r>
      <w:proofErr w:type="spellEnd"/>
      <w:r w:rsidRPr="009F3FDE">
        <w:rPr>
          <w:sz w:val="20"/>
          <w:lang w:val="en-US"/>
        </w:rPr>
        <w:t xml:space="preserve">, N.M., </w:t>
      </w:r>
      <w:proofErr w:type="spellStart"/>
      <w:r w:rsidRPr="009F3FDE">
        <w:rPr>
          <w:sz w:val="20"/>
          <w:lang w:val="en-US"/>
        </w:rPr>
        <w:t>Oripova</w:t>
      </w:r>
      <w:proofErr w:type="spellEnd"/>
      <w:r w:rsidRPr="009F3FDE">
        <w:rPr>
          <w:sz w:val="20"/>
          <w:lang w:val="en-US"/>
        </w:rPr>
        <w:t xml:space="preserve">, L.N., 2021. Increased gas recovery at the final stage of development of natural gas fields in a water pressure mode. </w:t>
      </w:r>
      <w:r w:rsidRPr="009F3FDE">
        <w:rPr>
          <w:rStyle w:val="afa"/>
          <w:rFonts w:eastAsiaTheme="majorEastAsia"/>
          <w:sz w:val="20"/>
          <w:lang w:val="en-US"/>
        </w:rPr>
        <w:t>International Journal of Advanced Research in Science, Engineering and Technology</w:t>
      </w:r>
      <w:r w:rsidRPr="009F3FDE">
        <w:rPr>
          <w:sz w:val="20"/>
          <w:lang w:val="en-US"/>
        </w:rPr>
        <w:t xml:space="preserve"> 8(7), 17840–17845.</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Zhang, H., Liu, X., Zhao, Y., 2024. Optimization of gas injection pressurization processes in underground gas storage. </w:t>
      </w:r>
      <w:r w:rsidRPr="009F3FDE">
        <w:rPr>
          <w:rStyle w:val="afa"/>
          <w:rFonts w:eastAsiaTheme="majorEastAsia"/>
          <w:sz w:val="20"/>
          <w:lang w:val="en-US"/>
        </w:rPr>
        <w:t>Sustainability</w:t>
      </w:r>
      <w:r w:rsidRPr="009F3FDE">
        <w:rPr>
          <w:sz w:val="20"/>
          <w:lang w:val="en-US"/>
        </w:rPr>
        <w:t xml:space="preserve"> 16(20), 8902. https://doi.org/10.3390/su16208902</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Wang, Q., Chen, G., 2023. Multi-period optimization of compressor schemes for shale gas gathering and transportation systems. </w:t>
      </w:r>
      <w:r w:rsidRPr="009F3FDE">
        <w:rPr>
          <w:rStyle w:val="afa"/>
          <w:rFonts w:eastAsiaTheme="majorEastAsia"/>
          <w:sz w:val="20"/>
          <w:lang w:val="en-US"/>
        </w:rPr>
        <w:t>Processes</w:t>
      </w:r>
      <w:r w:rsidRPr="009F3FDE">
        <w:rPr>
          <w:sz w:val="20"/>
          <w:lang w:val="en-US"/>
        </w:rPr>
        <w:t xml:space="preserve"> 11(11), 3101. https://doi.org/10.3390/pr11113101</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Safarov J., </w:t>
      </w:r>
      <w:proofErr w:type="spellStart"/>
      <w:r w:rsidRPr="009F3FDE">
        <w:rPr>
          <w:sz w:val="20"/>
          <w:lang w:val="en-US"/>
        </w:rPr>
        <w:t>Khujakulov</w:t>
      </w:r>
      <w:proofErr w:type="spellEnd"/>
      <w:r w:rsidRPr="009F3FDE">
        <w:rPr>
          <w:sz w:val="20"/>
          <w:lang w:val="en-US"/>
        </w:rPr>
        <w:t xml:space="preserve"> A., Sultanova Sh., </w:t>
      </w:r>
      <w:proofErr w:type="spellStart"/>
      <w:r w:rsidRPr="009F3FDE">
        <w:rPr>
          <w:sz w:val="20"/>
          <w:lang w:val="en-US"/>
        </w:rPr>
        <w:t>Khujakulov</w:t>
      </w:r>
      <w:proofErr w:type="spellEnd"/>
      <w:r w:rsidRPr="009F3FDE">
        <w:rPr>
          <w:sz w:val="20"/>
          <w:lang w:val="en-US"/>
        </w:rPr>
        <w:t xml:space="preserve"> U., Sunil Verma. Research on energy efficient kinetics of drying raw material. // E3S Web of Conferences: Rudenko International Conference “Methodological problems in reliability study of large energy systems” (RSES 2020). Vol. 216, 2020. P.1-5.  doi.org/10.1051/e3sconf/202021601093</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proofErr w:type="spellStart"/>
      <w:r w:rsidRPr="009F3FDE">
        <w:rPr>
          <w:sz w:val="20"/>
          <w:lang w:val="en-US"/>
        </w:rPr>
        <w:t>Ganat</w:t>
      </w:r>
      <w:proofErr w:type="spellEnd"/>
      <w:r w:rsidRPr="009F3FDE">
        <w:rPr>
          <w:sz w:val="20"/>
          <w:lang w:val="en-US"/>
        </w:rPr>
        <w:t xml:space="preserve">, T.A., Lashari, N., </w:t>
      </w:r>
      <w:proofErr w:type="spellStart"/>
      <w:r w:rsidRPr="009F3FDE">
        <w:rPr>
          <w:sz w:val="20"/>
          <w:lang w:val="en-US"/>
        </w:rPr>
        <w:t>Oun</w:t>
      </w:r>
      <w:proofErr w:type="spellEnd"/>
      <w:r w:rsidRPr="009F3FDE">
        <w:rPr>
          <w:sz w:val="20"/>
          <w:lang w:val="en-US"/>
        </w:rPr>
        <w:t xml:space="preserve">, M., Otchere, D.A., Ali, I., 2020. Development of optimum gas lift methods to improve gas lift efficiency. </w:t>
      </w:r>
      <w:r w:rsidRPr="009F3FDE">
        <w:rPr>
          <w:rStyle w:val="afa"/>
          <w:rFonts w:eastAsiaTheme="majorEastAsia"/>
          <w:sz w:val="20"/>
          <w:lang w:val="en-US"/>
        </w:rPr>
        <w:t>International Journal of Advanced Research in Engineering and Technology</w:t>
      </w:r>
      <w:r w:rsidRPr="009F3FDE">
        <w:rPr>
          <w:sz w:val="20"/>
          <w:lang w:val="en-US"/>
        </w:rPr>
        <w:t xml:space="preserve"> 11(11), 1096–1114.</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Mahmoud, M., Elkatatny, S., 2022. Production optimization techniques for mature gas fields: A review. </w:t>
      </w:r>
      <w:r w:rsidRPr="009F3FDE">
        <w:rPr>
          <w:rStyle w:val="afa"/>
          <w:rFonts w:eastAsiaTheme="majorEastAsia"/>
          <w:sz w:val="20"/>
          <w:lang w:val="en-US"/>
        </w:rPr>
        <w:t>Journal of Petroleum Science and Engineering</w:t>
      </w:r>
      <w:r w:rsidRPr="009F3FDE">
        <w:rPr>
          <w:sz w:val="20"/>
          <w:lang w:val="en-US"/>
        </w:rPr>
        <w:t xml:space="preserve"> 208, 109303. https://doi.org/10.1016/j.petrol.2021.109303</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proofErr w:type="spellStart"/>
      <w:r w:rsidRPr="009F3FDE">
        <w:rPr>
          <w:sz w:val="20"/>
          <w:lang w:val="en-US"/>
        </w:rPr>
        <w:t>Kidnay</w:t>
      </w:r>
      <w:proofErr w:type="spellEnd"/>
      <w:r w:rsidRPr="009F3FDE">
        <w:rPr>
          <w:sz w:val="20"/>
          <w:lang w:val="en-US"/>
        </w:rPr>
        <w:t xml:space="preserve">, A.J., Parrish, W.R., McCartney, D.G., 2019. </w:t>
      </w:r>
      <w:r w:rsidRPr="009F3FDE">
        <w:rPr>
          <w:rStyle w:val="afa"/>
          <w:rFonts w:eastAsiaTheme="majorEastAsia"/>
          <w:sz w:val="20"/>
          <w:lang w:val="en-US"/>
        </w:rPr>
        <w:t>Fundamentals of Natural Gas Processing</w:t>
      </w:r>
      <w:r w:rsidRPr="009F3FDE">
        <w:rPr>
          <w:sz w:val="20"/>
          <w:lang w:val="en-US"/>
        </w:rPr>
        <w:t>, 3rd ed. CRC Press, Boca Raton.</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Sultanova Sh., Safarov J., Usenov A., Samandarov D., Azimov T. Ultrasonic extraction and determination of flavonoids. XVII International scientific-technical conference “Dynamics of technical systems” (DTS-2021). AIP Conference Proceedings 2507, 050005. 2023. P.1-5. doi.org/10.1063/5.0110524</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Mokhatab, S., Poe, W.A., Mak, J.Y., 2018. </w:t>
      </w:r>
      <w:r w:rsidRPr="009F3FDE">
        <w:rPr>
          <w:rStyle w:val="afa"/>
          <w:rFonts w:eastAsiaTheme="majorEastAsia"/>
          <w:sz w:val="20"/>
          <w:lang w:val="en-US"/>
        </w:rPr>
        <w:t>Handbook of Natural Gas Transmission and Processing</w:t>
      </w:r>
      <w:r w:rsidRPr="009F3FDE">
        <w:rPr>
          <w:sz w:val="20"/>
          <w:lang w:val="en-US"/>
        </w:rPr>
        <w:t>, 4th ed. Gulf Professional Publishing, Houston.</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Belyaev, A.Y., 2021. Optimization of gas gathering systems at late stages of field development. </w:t>
      </w:r>
      <w:r w:rsidRPr="009F3FDE">
        <w:rPr>
          <w:rStyle w:val="afa"/>
          <w:rFonts w:eastAsiaTheme="majorEastAsia"/>
          <w:sz w:val="20"/>
          <w:lang w:val="en-US"/>
        </w:rPr>
        <w:t>Energy Reports</w:t>
      </w:r>
      <w:r w:rsidRPr="009F3FDE">
        <w:rPr>
          <w:sz w:val="20"/>
          <w:lang w:val="en-US"/>
        </w:rPr>
        <w:t xml:space="preserve"> 7, 4231–4242. https://doi.org/10.1016/j.egyr.2021.07.038</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Luo, D., Li, J., Sun, Y., 2020. Energy-efficient design of natural gas compressor stations. </w:t>
      </w:r>
      <w:r w:rsidRPr="009F3FDE">
        <w:rPr>
          <w:rStyle w:val="afa"/>
          <w:rFonts w:eastAsiaTheme="majorEastAsia"/>
          <w:sz w:val="20"/>
          <w:lang w:val="en-US"/>
        </w:rPr>
        <w:t>Applied Energy</w:t>
      </w:r>
      <w:r w:rsidRPr="009F3FDE">
        <w:rPr>
          <w:sz w:val="20"/>
          <w:lang w:val="en-US"/>
        </w:rPr>
        <w:t xml:space="preserve"> 261, 114403. https://doi.org/10.1016/j.apenergy.2019.114403</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Liu, H., Zhao, J., 2022. Technologies of associated petroleum gas utilization and compression. </w:t>
      </w:r>
      <w:r w:rsidRPr="009F3FDE">
        <w:rPr>
          <w:rStyle w:val="afa"/>
          <w:rFonts w:eastAsiaTheme="majorEastAsia"/>
          <w:sz w:val="20"/>
          <w:lang w:val="en-US"/>
        </w:rPr>
        <w:t>Journal of Cleaner Production</w:t>
      </w:r>
      <w:r w:rsidRPr="009F3FDE">
        <w:rPr>
          <w:sz w:val="20"/>
          <w:lang w:val="en-US"/>
        </w:rPr>
        <w:t xml:space="preserve"> 337, 130512. https://doi.org/10.1016/j.jclepro.2022.130512</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lastRenderedPageBreak/>
        <w:t xml:space="preserve">Wang, Y., Chen, X., 2021. Performance analysis of low-pressure gas compression systems. </w:t>
      </w:r>
      <w:r w:rsidRPr="009F3FDE">
        <w:rPr>
          <w:rStyle w:val="afa"/>
          <w:rFonts w:eastAsiaTheme="majorEastAsia"/>
          <w:sz w:val="20"/>
          <w:lang w:val="en-US"/>
        </w:rPr>
        <w:t>Energy Conversion and Management</w:t>
      </w:r>
      <w:r w:rsidRPr="009F3FDE">
        <w:rPr>
          <w:sz w:val="20"/>
          <w:lang w:val="en-US"/>
        </w:rPr>
        <w:t xml:space="preserve"> 243, 114355. https://doi.org/10.1016/j.enconman.2021.114355</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European Patent Office, 2012. System for gathering gas from a gas field comprising a high-pressure compressor. EP2530329A1.</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Sultanova Sh., Safarov J., Usenov A., </w:t>
      </w:r>
      <w:proofErr w:type="spellStart"/>
      <w:r w:rsidRPr="009F3FDE">
        <w:rPr>
          <w:sz w:val="20"/>
          <w:lang w:val="en-US"/>
        </w:rPr>
        <w:t>Raxmanova</w:t>
      </w:r>
      <w:proofErr w:type="spellEnd"/>
      <w:r w:rsidRPr="009F3FDE">
        <w:rPr>
          <w:sz w:val="20"/>
          <w:lang w:val="en-US"/>
        </w:rPr>
        <w:t xml:space="preserve"> T. Definitions of useful energy and temperature at the outlet of solar collectors. // E3S Web of Conferences: Rudenko International Conference “Methodological problems in reliability study of large energy systems” (RSES 2020). Vol. 216, 2020. P.1-5.  doi.org/10.1051/e3sconf/202021601094</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Zhao, L., Guo, X., 2023. Optimization problems in natural gas transportation systems. </w:t>
      </w:r>
      <w:r w:rsidRPr="009F3FDE">
        <w:rPr>
          <w:rStyle w:val="afa"/>
          <w:rFonts w:eastAsiaTheme="majorEastAsia"/>
          <w:sz w:val="20"/>
          <w:lang w:val="en-US"/>
        </w:rPr>
        <w:t>Energy Systems</w:t>
      </w:r>
      <w:r w:rsidRPr="009F3FDE">
        <w:rPr>
          <w:sz w:val="20"/>
          <w:lang w:val="en-US"/>
        </w:rPr>
        <w:t xml:space="preserve"> 14, 895–914. https://doi.org/10.1007/s12667-022-00541-6</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Al-Fatlawi, O., Hameed, H., 2020. Gas field surface facility optimization under declining reservoir pressure. </w:t>
      </w:r>
      <w:r w:rsidRPr="009F3FDE">
        <w:rPr>
          <w:rStyle w:val="afa"/>
          <w:rFonts w:eastAsiaTheme="majorEastAsia"/>
          <w:sz w:val="20"/>
          <w:lang w:val="en-US"/>
        </w:rPr>
        <w:t>Journal of Natural Gas Science and Engineering</w:t>
      </w:r>
      <w:r w:rsidRPr="009F3FDE">
        <w:rPr>
          <w:sz w:val="20"/>
          <w:lang w:val="en-US"/>
        </w:rPr>
        <w:t xml:space="preserve"> 81, 103448. https://doi.org/10.1016/j.jngse.2020.103448</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SPE, 2021. Best practices for low-pressure gas field development. </w:t>
      </w:r>
      <w:r w:rsidRPr="009F3FDE">
        <w:rPr>
          <w:rStyle w:val="afa"/>
          <w:rFonts w:eastAsiaTheme="majorEastAsia"/>
          <w:sz w:val="20"/>
          <w:lang w:val="en-US"/>
        </w:rPr>
        <w:t>SPE Technical Paper</w:t>
      </w:r>
      <w:r w:rsidRPr="009F3FDE">
        <w:rPr>
          <w:sz w:val="20"/>
          <w:lang w:val="en-US"/>
        </w:rPr>
        <w:t xml:space="preserve"> 204371. https://doi.org/10.2118/204371-MS</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Chen, S., Xu, Y., 2024. Integrated production and surface facility optimization for mature gas fields. </w:t>
      </w:r>
      <w:r w:rsidRPr="009F3FDE">
        <w:rPr>
          <w:rStyle w:val="afa"/>
          <w:rFonts w:eastAsiaTheme="majorEastAsia"/>
          <w:sz w:val="20"/>
          <w:lang w:val="en-US"/>
        </w:rPr>
        <w:t>Energy</w:t>
      </w:r>
      <w:r w:rsidRPr="009F3FDE">
        <w:rPr>
          <w:sz w:val="20"/>
          <w:lang w:val="en-US"/>
        </w:rPr>
        <w:t xml:space="preserve"> 287, 128611. https://doi.org/10.1016/j.energy.2023.128611</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Sultanova </w:t>
      </w:r>
      <w:proofErr w:type="spellStart"/>
      <w:r w:rsidRPr="009F3FDE">
        <w:rPr>
          <w:sz w:val="20"/>
          <w:lang w:val="en-US"/>
        </w:rPr>
        <w:t>Sh.A</w:t>
      </w:r>
      <w:proofErr w:type="spellEnd"/>
      <w:r w:rsidRPr="009F3FDE">
        <w:rPr>
          <w:sz w:val="20"/>
          <w:lang w:val="en-US"/>
        </w:rPr>
        <w:t xml:space="preserve">., Safarov J.E., Usenov A.B., </w:t>
      </w:r>
      <w:proofErr w:type="spellStart"/>
      <w:r w:rsidRPr="009F3FDE">
        <w:rPr>
          <w:sz w:val="20"/>
          <w:lang w:val="en-US"/>
        </w:rPr>
        <w:t>Muminova</w:t>
      </w:r>
      <w:proofErr w:type="spellEnd"/>
      <w:r w:rsidRPr="009F3FDE">
        <w:rPr>
          <w:sz w:val="20"/>
          <w:lang w:val="en-US"/>
        </w:rPr>
        <w:t xml:space="preserve"> D. Analysis of the design of ultrasonic electronic generators. // Journal of Physics: Conference Series. International Conference "High-tech and Innovations in Research and Manufacturing" (HIRM 2021). 2176 (2022) 012007. doi:10.1088/1742-6596/2176/1/012007</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Li, Z., Zhang, R., 2022. Compressor performance degradation and mitigation strategies. </w:t>
      </w:r>
      <w:r w:rsidRPr="009F3FDE">
        <w:rPr>
          <w:rStyle w:val="afa"/>
          <w:rFonts w:eastAsiaTheme="majorEastAsia"/>
          <w:sz w:val="20"/>
          <w:lang w:val="en-US"/>
        </w:rPr>
        <w:t>Mechanical Systems and Signal Processing</w:t>
      </w:r>
      <w:r w:rsidRPr="009F3FDE">
        <w:rPr>
          <w:sz w:val="20"/>
          <w:lang w:val="en-US"/>
        </w:rPr>
        <w:t xml:space="preserve"> 165, 108378. https://doi.org/10.1016/j.ymssp.2021.108378</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Rahman, M.M., Hasan, M.M., 2023. Techno-economic evaluation of gas compression projects. </w:t>
      </w:r>
      <w:r w:rsidRPr="009F3FDE">
        <w:rPr>
          <w:rStyle w:val="afa"/>
          <w:rFonts w:eastAsiaTheme="majorEastAsia"/>
          <w:sz w:val="20"/>
          <w:lang w:val="en-US"/>
        </w:rPr>
        <w:t>Energy Reports</w:t>
      </w:r>
      <w:r w:rsidRPr="009F3FDE">
        <w:rPr>
          <w:sz w:val="20"/>
          <w:lang w:val="en-US"/>
        </w:rPr>
        <w:t xml:space="preserve"> 9, 395–406. https://doi.org/10.1016/j.egyr.2022.12.046</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Zhang, Y., Sun, J., 2021. Enhancing condensate recovery under field conditions. </w:t>
      </w:r>
      <w:r w:rsidRPr="009F3FDE">
        <w:rPr>
          <w:rStyle w:val="afa"/>
          <w:rFonts w:eastAsiaTheme="majorEastAsia"/>
          <w:sz w:val="20"/>
          <w:lang w:val="en-US"/>
        </w:rPr>
        <w:t>Journal of Petroleum Exploration and Production Technology</w:t>
      </w:r>
      <w:r w:rsidRPr="009F3FDE">
        <w:rPr>
          <w:sz w:val="20"/>
          <w:lang w:val="en-US"/>
        </w:rPr>
        <w:t xml:space="preserve"> 11, 3029–3040. https://doi.org/10.1007/s13202-021-01245-7</w:t>
      </w:r>
    </w:p>
    <w:p w:rsidR="00C52A72" w:rsidRPr="009F3FDE" w:rsidRDefault="00C52A72" w:rsidP="00C52A72">
      <w:pPr>
        <w:pStyle w:val="af9"/>
        <w:numPr>
          <w:ilvl w:val="0"/>
          <w:numId w:val="7"/>
        </w:numPr>
        <w:tabs>
          <w:tab w:val="left" w:pos="322"/>
        </w:tabs>
        <w:spacing w:before="0" w:beforeAutospacing="0" w:after="0" w:afterAutospacing="0"/>
        <w:ind w:left="0" w:firstLine="0"/>
        <w:jc w:val="both"/>
        <w:rPr>
          <w:sz w:val="20"/>
          <w:lang w:val="en-US"/>
        </w:rPr>
      </w:pPr>
      <w:r w:rsidRPr="009F3FDE">
        <w:rPr>
          <w:sz w:val="20"/>
          <w:lang w:val="en-US"/>
        </w:rPr>
        <w:t xml:space="preserve">Kamel, A., Hussein, I., 2020. Field-scale evaluation of gas gathering system modernization. </w:t>
      </w:r>
      <w:r w:rsidRPr="009F3FDE">
        <w:rPr>
          <w:rStyle w:val="afa"/>
          <w:rFonts w:eastAsiaTheme="majorEastAsia"/>
          <w:sz w:val="20"/>
          <w:lang w:val="en-US"/>
        </w:rPr>
        <w:t>Energy Procedia</w:t>
      </w:r>
      <w:r w:rsidRPr="009F3FDE">
        <w:rPr>
          <w:sz w:val="20"/>
          <w:lang w:val="en-US"/>
        </w:rPr>
        <w:t xml:space="preserve"> 158, 3504–3509. https://doi.org/10.1016/j.egypro.2019.01.912</w:t>
      </w:r>
    </w:p>
    <w:sectPr w:rsidR="00C52A72" w:rsidRPr="009F3FDE" w:rsidSect="006522A1">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CC7" w:rsidRDefault="00A61CC7" w:rsidP="00EA0EBC">
      <w:pPr>
        <w:spacing w:after="0" w:line="240" w:lineRule="auto"/>
      </w:pPr>
      <w:r>
        <w:separator/>
      </w:r>
    </w:p>
  </w:endnote>
  <w:endnote w:type="continuationSeparator" w:id="0">
    <w:p w:rsidR="00A61CC7" w:rsidRDefault="00A61CC7" w:rsidP="00EA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CC7" w:rsidRDefault="00A61CC7" w:rsidP="00EA0EBC">
      <w:pPr>
        <w:spacing w:after="0" w:line="240" w:lineRule="auto"/>
      </w:pPr>
      <w:r>
        <w:separator/>
      </w:r>
    </w:p>
  </w:footnote>
  <w:footnote w:type="continuationSeparator" w:id="0">
    <w:p w:rsidR="00A61CC7" w:rsidRDefault="00A61CC7" w:rsidP="00EA0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E06"/>
    <w:multiLevelType w:val="hybridMultilevel"/>
    <w:tmpl w:val="6590AA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EE7248"/>
    <w:multiLevelType w:val="hybridMultilevel"/>
    <w:tmpl w:val="0930F8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EB26904"/>
    <w:multiLevelType w:val="hybridMultilevel"/>
    <w:tmpl w:val="378A1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412DA7"/>
    <w:multiLevelType w:val="hybridMultilevel"/>
    <w:tmpl w:val="4DDA1B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341255"/>
    <w:multiLevelType w:val="hybridMultilevel"/>
    <w:tmpl w:val="F1BEB944"/>
    <w:lvl w:ilvl="0" w:tplc="EA9ABD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62012">
      <w:start w:val="1"/>
      <w:numFmt w:val="lowerLetter"/>
      <w:lvlText w:val="%2"/>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6990A">
      <w:start w:val="1"/>
      <w:numFmt w:val="lowerRoman"/>
      <w:lvlText w:val="%3"/>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02C0A">
      <w:start w:val="1"/>
      <w:numFmt w:val="decimal"/>
      <w:lvlText w:val="%4"/>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465C28">
      <w:start w:val="1"/>
      <w:numFmt w:val="lowerLetter"/>
      <w:lvlText w:val="%5"/>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EA6B4">
      <w:start w:val="1"/>
      <w:numFmt w:val="lowerRoman"/>
      <w:lvlText w:val="%6"/>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CB012">
      <w:start w:val="1"/>
      <w:numFmt w:val="decimal"/>
      <w:lvlText w:val="%7"/>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EE2050">
      <w:start w:val="1"/>
      <w:numFmt w:val="lowerLetter"/>
      <w:lvlText w:val="%8"/>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788ED2">
      <w:start w:val="1"/>
      <w:numFmt w:val="lowerRoman"/>
      <w:lvlText w:val="%9"/>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EB035E"/>
    <w:multiLevelType w:val="hybridMultilevel"/>
    <w:tmpl w:val="ABAC9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2C3C6C"/>
    <w:multiLevelType w:val="hybridMultilevel"/>
    <w:tmpl w:val="51BC1B4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6496" w:hanging="360"/>
      </w:pPr>
      <w:rPr>
        <w:rFonts w:ascii="Courier New" w:hAnsi="Courier New" w:cs="Courier New" w:hint="default"/>
      </w:rPr>
    </w:lvl>
    <w:lvl w:ilvl="2" w:tplc="04090005" w:tentative="1">
      <w:start w:val="1"/>
      <w:numFmt w:val="bullet"/>
      <w:lvlText w:val=""/>
      <w:lvlJc w:val="left"/>
      <w:pPr>
        <w:ind w:left="-5776" w:hanging="360"/>
      </w:pPr>
      <w:rPr>
        <w:rFonts w:ascii="Wingdings" w:hAnsi="Wingdings" w:hint="default"/>
      </w:rPr>
    </w:lvl>
    <w:lvl w:ilvl="3" w:tplc="04090001" w:tentative="1">
      <w:start w:val="1"/>
      <w:numFmt w:val="bullet"/>
      <w:lvlText w:val=""/>
      <w:lvlJc w:val="left"/>
      <w:pPr>
        <w:ind w:left="-505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3616" w:hanging="360"/>
      </w:pPr>
      <w:rPr>
        <w:rFonts w:ascii="Wingdings" w:hAnsi="Wingdings" w:hint="default"/>
      </w:rPr>
    </w:lvl>
    <w:lvl w:ilvl="6" w:tplc="04090001" w:tentative="1">
      <w:start w:val="1"/>
      <w:numFmt w:val="bullet"/>
      <w:lvlText w:val=""/>
      <w:lvlJc w:val="left"/>
      <w:pPr>
        <w:ind w:left="-2896" w:hanging="360"/>
      </w:pPr>
      <w:rPr>
        <w:rFonts w:ascii="Symbol" w:hAnsi="Symbol" w:hint="default"/>
      </w:rPr>
    </w:lvl>
    <w:lvl w:ilvl="7" w:tplc="04090003" w:tentative="1">
      <w:start w:val="1"/>
      <w:numFmt w:val="bullet"/>
      <w:lvlText w:val="o"/>
      <w:lvlJc w:val="left"/>
      <w:pPr>
        <w:ind w:left="-2176" w:hanging="360"/>
      </w:pPr>
      <w:rPr>
        <w:rFonts w:ascii="Courier New" w:hAnsi="Courier New" w:cs="Courier New" w:hint="default"/>
      </w:rPr>
    </w:lvl>
    <w:lvl w:ilvl="8" w:tplc="04090005" w:tentative="1">
      <w:start w:val="1"/>
      <w:numFmt w:val="bullet"/>
      <w:lvlText w:val=""/>
      <w:lvlJc w:val="left"/>
      <w:pPr>
        <w:ind w:left="-1456" w:hanging="360"/>
      </w:pPr>
      <w:rPr>
        <w:rFonts w:ascii="Wingdings" w:hAnsi="Wingdings" w:hint="default"/>
      </w:rPr>
    </w:lvl>
  </w:abstractNum>
  <w:abstractNum w:abstractNumId="7" w15:restartNumberingAfterBreak="0">
    <w:nsid w:val="5CE16B0F"/>
    <w:multiLevelType w:val="hybridMultilevel"/>
    <w:tmpl w:val="CACC7B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975519092">
    <w:abstractNumId w:val="6"/>
  </w:num>
  <w:num w:numId="2" w16cid:durableId="1135677955">
    <w:abstractNumId w:val="0"/>
  </w:num>
  <w:num w:numId="3" w16cid:durableId="132136219">
    <w:abstractNumId w:val="7"/>
  </w:num>
  <w:num w:numId="4" w16cid:durableId="1518351051">
    <w:abstractNumId w:val="2"/>
  </w:num>
  <w:num w:numId="5" w16cid:durableId="1484194932">
    <w:abstractNumId w:val="4"/>
  </w:num>
  <w:num w:numId="6" w16cid:durableId="695079480">
    <w:abstractNumId w:val="5"/>
  </w:num>
  <w:num w:numId="7" w16cid:durableId="415324202">
    <w:abstractNumId w:val="1"/>
  </w:num>
  <w:num w:numId="8" w16cid:durableId="1023164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6F"/>
    <w:rsid w:val="000033DC"/>
    <w:rsid w:val="00006A19"/>
    <w:rsid w:val="00006C94"/>
    <w:rsid w:val="000074FD"/>
    <w:rsid w:val="000176B6"/>
    <w:rsid w:val="00031A60"/>
    <w:rsid w:val="00032F9B"/>
    <w:rsid w:val="000346D4"/>
    <w:rsid w:val="000359FB"/>
    <w:rsid w:val="00045985"/>
    <w:rsid w:val="00045A42"/>
    <w:rsid w:val="00051FB3"/>
    <w:rsid w:val="00053CBE"/>
    <w:rsid w:val="00066983"/>
    <w:rsid w:val="00080CD4"/>
    <w:rsid w:val="00082252"/>
    <w:rsid w:val="00085F36"/>
    <w:rsid w:val="00087D79"/>
    <w:rsid w:val="00096DB4"/>
    <w:rsid w:val="00097896"/>
    <w:rsid w:val="000A2F9F"/>
    <w:rsid w:val="000A4665"/>
    <w:rsid w:val="000A6C79"/>
    <w:rsid w:val="000A71BE"/>
    <w:rsid w:val="000B319F"/>
    <w:rsid w:val="000B4A45"/>
    <w:rsid w:val="000B56BF"/>
    <w:rsid w:val="000C06D4"/>
    <w:rsid w:val="000D4539"/>
    <w:rsid w:val="000D5115"/>
    <w:rsid w:val="000D548D"/>
    <w:rsid w:val="000E0305"/>
    <w:rsid w:val="000E37D5"/>
    <w:rsid w:val="000F29E3"/>
    <w:rsid w:val="000F4B5F"/>
    <w:rsid w:val="000F7169"/>
    <w:rsid w:val="001063F8"/>
    <w:rsid w:val="00114DB4"/>
    <w:rsid w:val="00120F36"/>
    <w:rsid w:val="00121B01"/>
    <w:rsid w:val="001235D8"/>
    <w:rsid w:val="00125770"/>
    <w:rsid w:val="0013244F"/>
    <w:rsid w:val="00140BC4"/>
    <w:rsid w:val="0014426A"/>
    <w:rsid w:val="0015121A"/>
    <w:rsid w:val="00151FA5"/>
    <w:rsid w:val="0015296B"/>
    <w:rsid w:val="00162935"/>
    <w:rsid w:val="00163FF6"/>
    <w:rsid w:val="00165CF8"/>
    <w:rsid w:val="0016766C"/>
    <w:rsid w:val="00167DC7"/>
    <w:rsid w:val="00172330"/>
    <w:rsid w:val="00172E7A"/>
    <w:rsid w:val="001A314A"/>
    <w:rsid w:val="001A7112"/>
    <w:rsid w:val="001B1DD6"/>
    <w:rsid w:val="001C31DC"/>
    <w:rsid w:val="001C4B96"/>
    <w:rsid w:val="001D31F9"/>
    <w:rsid w:val="001E133D"/>
    <w:rsid w:val="001E7007"/>
    <w:rsid w:val="001F1FD8"/>
    <w:rsid w:val="001F3EA5"/>
    <w:rsid w:val="00231DD6"/>
    <w:rsid w:val="0024392D"/>
    <w:rsid w:val="00243D91"/>
    <w:rsid w:val="00246BE8"/>
    <w:rsid w:val="0024784E"/>
    <w:rsid w:val="0026077C"/>
    <w:rsid w:val="00266250"/>
    <w:rsid w:val="002816A2"/>
    <w:rsid w:val="00285206"/>
    <w:rsid w:val="002927F8"/>
    <w:rsid w:val="00293CE1"/>
    <w:rsid w:val="002C49C6"/>
    <w:rsid w:val="002C5EDF"/>
    <w:rsid w:val="002C6E8E"/>
    <w:rsid w:val="002D0378"/>
    <w:rsid w:val="002D796B"/>
    <w:rsid w:val="002E1AC3"/>
    <w:rsid w:val="002E2F3E"/>
    <w:rsid w:val="002E721C"/>
    <w:rsid w:val="002F3417"/>
    <w:rsid w:val="002F4049"/>
    <w:rsid w:val="002F44F4"/>
    <w:rsid w:val="00301B24"/>
    <w:rsid w:val="00302DB8"/>
    <w:rsid w:val="003055AD"/>
    <w:rsid w:val="003132CD"/>
    <w:rsid w:val="00314B17"/>
    <w:rsid w:val="0032251D"/>
    <w:rsid w:val="003272D7"/>
    <w:rsid w:val="00331828"/>
    <w:rsid w:val="0033658E"/>
    <w:rsid w:val="003437B4"/>
    <w:rsid w:val="00355E22"/>
    <w:rsid w:val="00356D41"/>
    <w:rsid w:val="0036755C"/>
    <w:rsid w:val="003722D0"/>
    <w:rsid w:val="00377B7B"/>
    <w:rsid w:val="003806BF"/>
    <w:rsid w:val="00380C23"/>
    <w:rsid w:val="00383F3C"/>
    <w:rsid w:val="0038542B"/>
    <w:rsid w:val="00385470"/>
    <w:rsid w:val="00392A52"/>
    <w:rsid w:val="00393C3C"/>
    <w:rsid w:val="003B0341"/>
    <w:rsid w:val="003B781E"/>
    <w:rsid w:val="003C7D2A"/>
    <w:rsid w:val="003D4B97"/>
    <w:rsid w:val="00404D92"/>
    <w:rsid w:val="0040640B"/>
    <w:rsid w:val="00407457"/>
    <w:rsid w:val="00410364"/>
    <w:rsid w:val="004148DE"/>
    <w:rsid w:val="00421488"/>
    <w:rsid w:val="004218B9"/>
    <w:rsid w:val="00423845"/>
    <w:rsid w:val="00432A98"/>
    <w:rsid w:val="00434751"/>
    <w:rsid w:val="00444F38"/>
    <w:rsid w:val="00450B26"/>
    <w:rsid w:val="00456235"/>
    <w:rsid w:val="004672EB"/>
    <w:rsid w:val="004705FF"/>
    <w:rsid w:val="0047514F"/>
    <w:rsid w:val="00477354"/>
    <w:rsid w:val="0048214B"/>
    <w:rsid w:val="00483CAB"/>
    <w:rsid w:val="0048477D"/>
    <w:rsid w:val="004951C7"/>
    <w:rsid w:val="004A0F5C"/>
    <w:rsid w:val="004A203B"/>
    <w:rsid w:val="004A5661"/>
    <w:rsid w:val="004B2E74"/>
    <w:rsid w:val="004C00D1"/>
    <w:rsid w:val="004C447E"/>
    <w:rsid w:val="004C44F5"/>
    <w:rsid w:val="004C491F"/>
    <w:rsid w:val="004E3EF4"/>
    <w:rsid w:val="004F0C51"/>
    <w:rsid w:val="004F4EE0"/>
    <w:rsid w:val="004F6D73"/>
    <w:rsid w:val="00515B18"/>
    <w:rsid w:val="00521DCD"/>
    <w:rsid w:val="0052596D"/>
    <w:rsid w:val="00526FEE"/>
    <w:rsid w:val="005315F9"/>
    <w:rsid w:val="00532BF2"/>
    <w:rsid w:val="005444D4"/>
    <w:rsid w:val="00553168"/>
    <w:rsid w:val="00557C02"/>
    <w:rsid w:val="00573804"/>
    <w:rsid w:val="00577AA7"/>
    <w:rsid w:val="00580DA2"/>
    <w:rsid w:val="00586A3A"/>
    <w:rsid w:val="00586A7B"/>
    <w:rsid w:val="005873DE"/>
    <w:rsid w:val="00590F86"/>
    <w:rsid w:val="00591BFD"/>
    <w:rsid w:val="005928AE"/>
    <w:rsid w:val="00593427"/>
    <w:rsid w:val="00595500"/>
    <w:rsid w:val="00595CD2"/>
    <w:rsid w:val="005B012E"/>
    <w:rsid w:val="005B3961"/>
    <w:rsid w:val="005B448E"/>
    <w:rsid w:val="005C1CE1"/>
    <w:rsid w:val="005C59EC"/>
    <w:rsid w:val="005D7991"/>
    <w:rsid w:val="005E0C3C"/>
    <w:rsid w:val="005E202D"/>
    <w:rsid w:val="005E6328"/>
    <w:rsid w:val="005F07DE"/>
    <w:rsid w:val="005F2BF1"/>
    <w:rsid w:val="005F62F6"/>
    <w:rsid w:val="00617B71"/>
    <w:rsid w:val="00620E04"/>
    <w:rsid w:val="006259AE"/>
    <w:rsid w:val="00625DAC"/>
    <w:rsid w:val="00650581"/>
    <w:rsid w:val="006522A1"/>
    <w:rsid w:val="0065253D"/>
    <w:rsid w:val="00653378"/>
    <w:rsid w:val="00661ED0"/>
    <w:rsid w:val="006745C3"/>
    <w:rsid w:val="00676D14"/>
    <w:rsid w:val="0068236F"/>
    <w:rsid w:val="006975B5"/>
    <w:rsid w:val="006A01F3"/>
    <w:rsid w:val="006B72AA"/>
    <w:rsid w:val="006B7D6A"/>
    <w:rsid w:val="006C5A83"/>
    <w:rsid w:val="006D608B"/>
    <w:rsid w:val="0071075E"/>
    <w:rsid w:val="00714362"/>
    <w:rsid w:val="00716EF0"/>
    <w:rsid w:val="00723CA6"/>
    <w:rsid w:val="00731E29"/>
    <w:rsid w:val="007507BB"/>
    <w:rsid w:val="0075087A"/>
    <w:rsid w:val="00755DA1"/>
    <w:rsid w:val="00767429"/>
    <w:rsid w:val="00773567"/>
    <w:rsid w:val="00776DAC"/>
    <w:rsid w:val="007817B8"/>
    <w:rsid w:val="00784B44"/>
    <w:rsid w:val="00784CA0"/>
    <w:rsid w:val="007921A9"/>
    <w:rsid w:val="00793FBE"/>
    <w:rsid w:val="00794C93"/>
    <w:rsid w:val="007A5019"/>
    <w:rsid w:val="007C0944"/>
    <w:rsid w:val="007C1774"/>
    <w:rsid w:val="007C3826"/>
    <w:rsid w:val="007C727A"/>
    <w:rsid w:val="007D0C29"/>
    <w:rsid w:val="007D3059"/>
    <w:rsid w:val="007E3D1C"/>
    <w:rsid w:val="007F0CC4"/>
    <w:rsid w:val="00800EC2"/>
    <w:rsid w:val="008139B4"/>
    <w:rsid w:val="008143AC"/>
    <w:rsid w:val="0083331E"/>
    <w:rsid w:val="00840E16"/>
    <w:rsid w:val="00842F3B"/>
    <w:rsid w:val="0084729F"/>
    <w:rsid w:val="00850D24"/>
    <w:rsid w:val="008510B1"/>
    <w:rsid w:val="00856258"/>
    <w:rsid w:val="00860B8A"/>
    <w:rsid w:val="008676C1"/>
    <w:rsid w:val="00871E64"/>
    <w:rsid w:val="00875181"/>
    <w:rsid w:val="0089023A"/>
    <w:rsid w:val="00894B4D"/>
    <w:rsid w:val="008A0275"/>
    <w:rsid w:val="008A2DED"/>
    <w:rsid w:val="008A4504"/>
    <w:rsid w:val="008C69C7"/>
    <w:rsid w:val="008D27B8"/>
    <w:rsid w:val="008F45E0"/>
    <w:rsid w:val="00912E35"/>
    <w:rsid w:val="0091640F"/>
    <w:rsid w:val="00917F58"/>
    <w:rsid w:val="00936F34"/>
    <w:rsid w:val="0094639C"/>
    <w:rsid w:val="009531F4"/>
    <w:rsid w:val="00955587"/>
    <w:rsid w:val="00957214"/>
    <w:rsid w:val="00967E7F"/>
    <w:rsid w:val="00973923"/>
    <w:rsid w:val="00973F85"/>
    <w:rsid w:val="0097577B"/>
    <w:rsid w:val="009806E1"/>
    <w:rsid w:val="00981996"/>
    <w:rsid w:val="009841FA"/>
    <w:rsid w:val="0098470E"/>
    <w:rsid w:val="009964ED"/>
    <w:rsid w:val="009A2D2F"/>
    <w:rsid w:val="009A5293"/>
    <w:rsid w:val="009A5CB9"/>
    <w:rsid w:val="009A6CB6"/>
    <w:rsid w:val="009A72A3"/>
    <w:rsid w:val="009C6037"/>
    <w:rsid w:val="009D0A15"/>
    <w:rsid w:val="009D175F"/>
    <w:rsid w:val="009D3D0F"/>
    <w:rsid w:val="009D4D1C"/>
    <w:rsid w:val="009E0356"/>
    <w:rsid w:val="009E45CA"/>
    <w:rsid w:val="009E73A1"/>
    <w:rsid w:val="009E7E2A"/>
    <w:rsid w:val="009F3FDE"/>
    <w:rsid w:val="00A01A3C"/>
    <w:rsid w:val="00A02719"/>
    <w:rsid w:val="00A04055"/>
    <w:rsid w:val="00A04995"/>
    <w:rsid w:val="00A10BCB"/>
    <w:rsid w:val="00A12EB9"/>
    <w:rsid w:val="00A41830"/>
    <w:rsid w:val="00A47036"/>
    <w:rsid w:val="00A53921"/>
    <w:rsid w:val="00A55469"/>
    <w:rsid w:val="00A56967"/>
    <w:rsid w:val="00A6000C"/>
    <w:rsid w:val="00A61CC7"/>
    <w:rsid w:val="00A70E5E"/>
    <w:rsid w:val="00A8347D"/>
    <w:rsid w:val="00A85644"/>
    <w:rsid w:val="00A94EA2"/>
    <w:rsid w:val="00AA76C0"/>
    <w:rsid w:val="00AB507C"/>
    <w:rsid w:val="00AC0E8E"/>
    <w:rsid w:val="00AC4570"/>
    <w:rsid w:val="00AE0986"/>
    <w:rsid w:val="00AF3643"/>
    <w:rsid w:val="00B034D4"/>
    <w:rsid w:val="00B103DD"/>
    <w:rsid w:val="00B106AA"/>
    <w:rsid w:val="00B124F2"/>
    <w:rsid w:val="00B1506C"/>
    <w:rsid w:val="00B15833"/>
    <w:rsid w:val="00B203B4"/>
    <w:rsid w:val="00B22578"/>
    <w:rsid w:val="00B53916"/>
    <w:rsid w:val="00B55286"/>
    <w:rsid w:val="00B55FBC"/>
    <w:rsid w:val="00B60C0C"/>
    <w:rsid w:val="00B65A2C"/>
    <w:rsid w:val="00B81C66"/>
    <w:rsid w:val="00B90F97"/>
    <w:rsid w:val="00B93839"/>
    <w:rsid w:val="00B95BF9"/>
    <w:rsid w:val="00B969F8"/>
    <w:rsid w:val="00BA1A87"/>
    <w:rsid w:val="00BA510B"/>
    <w:rsid w:val="00BB0BF3"/>
    <w:rsid w:val="00BB3F3C"/>
    <w:rsid w:val="00BB406F"/>
    <w:rsid w:val="00BB7F7D"/>
    <w:rsid w:val="00BC4667"/>
    <w:rsid w:val="00BD3833"/>
    <w:rsid w:val="00BD5720"/>
    <w:rsid w:val="00BF0B40"/>
    <w:rsid w:val="00BF156F"/>
    <w:rsid w:val="00BF6E5C"/>
    <w:rsid w:val="00BF733A"/>
    <w:rsid w:val="00C171BD"/>
    <w:rsid w:val="00C26A66"/>
    <w:rsid w:val="00C27B96"/>
    <w:rsid w:val="00C424F2"/>
    <w:rsid w:val="00C47CE7"/>
    <w:rsid w:val="00C52A72"/>
    <w:rsid w:val="00C53580"/>
    <w:rsid w:val="00C61DFA"/>
    <w:rsid w:val="00C630BC"/>
    <w:rsid w:val="00C71C7C"/>
    <w:rsid w:val="00C77F9B"/>
    <w:rsid w:val="00C937D4"/>
    <w:rsid w:val="00C96270"/>
    <w:rsid w:val="00CA2CD4"/>
    <w:rsid w:val="00CB01B8"/>
    <w:rsid w:val="00CB526B"/>
    <w:rsid w:val="00CC2F84"/>
    <w:rsid w:val="00CC61B6"/>
    <w:rsid w:val="00CD2E45"/>
    <w:rsid w:val="00CD3AE2"/>
    <w:rsid w:val="00CE5D12"/>
    <w:rsid w:val="00CF6848"/>
    <w:rsid w:val="00CF7CAE"/>
    <w:rsid w:val="00D0590E"/>
    <w:rsid w:val="00D14129"/>
    <w:rsid w:val="00D164D7"/>
    <w:rsid w:val="00D205D1"/>
    <w:rsid w:val="00D305F5"/>
    <w:rsid w:val="00D31805"/>
    <w:rsid w:val="00D36223"/>
    <w:rsid w:val="00D37427"/>
    <w:rsid w:val="00D406DC"/>
    <w:rsid w:val="00D40EFF"/>
    <w:rsid w:val="00D61DDB"/>
    <w:rsid w:val="00D7004E"/>
    <w:rsid w:val="00D713D1"/>
    <w:rsid w:val="00D75B85"/>
    <w:rsid w:val="00DA6591"/>
    <w:rsid w:val="00DA736F"/>
    <w:rsid w:val="00DC03AC"/>
    <w:rsid w:val="00DC2112"/>
    <w:rsid w:val="00DC2EB1"/>
    <w:rsid w:val="00DD0D03"/>
    <w:rsid w:val="00DD3CFF"/>
    <w:rsid w:val="00DE7CDE"/>
    <w:rsid w:val="00DF4BAA"/>
    <w:rsid w:val="00DF5934"/>
    <w:rsid w:val="00DF645E"/>
    <w:rsid w:val="00DF6B7B"/>
    <w:rsid w:val="00DF7535"/>
    <w:rsid w:val="00E07D88"/>
    <w:rsid w:val="00E15574"/>
    <w:rsid w:val="00E161AF"/>
    <w:rsid w:val="00E17509"/>
    <w:rsid w:val="00E26D39"/>
    <w:rsid w:val="00E31551"/>
    <w:rsid w:val="00E324F9"/>
    <w:rsid w:val="00E32EB9"/>
    <w:rsid w:val="00E36C35"/>
    <w:rsid w:val="00E50B9C"/>
    <w:rsid w:val="00E56F4A"/>
    <w:rsid w:val="00E60B1B"/>
    <w:rsid w:val="00E64C00"/>
    <w:rsid w:val="00E65ED7"/>
    <w:rsid w:val="00E75028"/>
    <w:rsid w:val="00E800EC"/>
    <w:rsid w:val="00E840B3"/>
    <w:rsid w:val="00E85411"/>
    <w:rsid w:val="00E864E7"/>
    <w:rsid w:val="00E87B99"/>
    <w:rsid w:val="00E90C43"/>
    <w:rsid w:val="00E95383"/>
    <w:rsid w:val="00EA0EBC"/>
    <w:rsid w:val="00EA2AC1"/>
    <w:rsid w:val="00EB288B"/>
    <w:rsid w:val="00EB5487"/>
    <w:rsid w:val="00EC62B1"/>
    <w:rsid w:val="00ED0DB5"/>
    <w:rsid w:val="00EF6A36"/>
    <w:rsid w:val="00EF75AF"/>
    <w:rsid w:val="00F041F2"/>
    <w:rsid w:val="00F0466D"/>
    <w:rsid w:val="00F07807"/>
    <w:rsid w:val="00F14736"/>
    <w:rsid w:val="00F15095"/>
    <w:rsid w:val="00F2333E"/>
    <w:rsid w:val="00F30142"/>
    <w:rsid w:val="00F34298"/>
    <w:rsid w:val="00F35F3B"/>
    <w:rsid w:val="00F3635F"/>
    <w:rsid w:val="00F365AD"/>
    <w:rsid w:val="00F6253C"/>
    <w:rsid w:val="00F718A0"/>
    <w:rsid w:val="00F74585"/>
    <w:rsid w:val="00F74DFD"/>
    <w:rsid w:val="00F93687"/>
    <w:rsid w:val="00FA38F3"/>
    <w:rsid w:val="00FB1B0E"/>
    <w:rsid w:val="00FB6705"/>
    <w:rsid w:val="00FC64E9"/>
    <w:rsid w:val="00FD1E05"/>
    <w:rsid w:val="00FD2179"/>
    <w:rsid w:val="00FD2A02"/>
    <w:rsid w:val="00FE0CC2"/>
    <w:rsid w:val="00FF5F91"/>
    <w:rsid w:val="00FF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8955"/>
  <w15:chartTrackingRefBased/>
  <w15:docId w15:val="{416B96A3-EC20-4B5B-A4C5-7B5E5B53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77F9B"/>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C77F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плом"/>
    <w:basedOn w:val="a"/>
    <w:qFormat/>
    <w:rsid w:val="00F2333E"/>
    <w:pPr>
      <w:spacing w:after="0" w:line="360" w:lineRule="auto"/>
      <w:ind w:firstLine="851"/>
      <w:contextualSpacing/>
      <w:jc w:val="both"/>
    </w:pPr>
    <w:rPr>
      <w:rFonts w:ascii="Times New Roman" w:hAnsi="Times New Roman" w:cs="Times New Roman"/>
      <w:bCs/>
      <w:sz w:val="28"/>
      <w:szCs w:val="28"/>
      <w:lang w:val="ru-RU"/>
    </w:rPr>
  </w:style>
  <w:style w:type="paragraph" w:customStyle="1" w:styleId="a4">
    <w:name w:val="Отчет"/>
    <w:basedOn w:val="a3"/>
    <w:link w:val="a5"/>
    <w:autoRedefine/>
    <w:qFormat/>
    <w:rsid w:val="00383F3C"/>
    <w:pPr>
      <w:spacing w:after="200"/>
      <w:ind w:firstLine="709"/>
      <w:jc w:val="center"/>
      <w:outlineLvl w:val="0"/>
    </w:pPr>
    <w:rPr>
      <w:rFonts w:eastAsiaTheme="majorEastAsia"/>
      <w:spacing w:val="-10"/>
      <w:kern w:val="28"/>
      <w:lang w:val="en-US" w:eastAsia="ru-RU"/>
    </w:rPr>
  </w:style>
  <w:style w:type="character" w:customStyle="1" w:styleId="a5">
    <w:name w:val="Отчет Знак"/>
    <w:basedOn w:val="a0"/>
    <w:link w:val="a4"/>
    <w:rsid w:val="00383F3C"/>
    <w:rPr>
      <w:rFonts w:ascii="Times New Roman" w:eastAsiaTheme="majorEastAsia" w:hAnsi="Times New Roman" w:cs="Times New Roman"/>
      <w:bCs/>
      <w:spacing w:val="-10"/>
      <w:kern w:val="28"/>
      <w:sz w:val="28"/>
      <w:szCs w:val="28"/>
      <w:lang w:eastAsia="ru-RU"/>
    </w:rPr>
  </w:style>
  <w:style w:type="paragraph" w:customStyle="1" w:styleId="a6">
    <w:name w:val="Статьи УЗЛИТИ"/>
    <w:basedOn w:val="a"/>
    <w:link w:val="a7"/>
    <w:qFormat/>
    <w:rsid w:val="00C71C7C"/>
    <w:pPr>
      <w:spacing w:after="0" w:line="360" w:lineRule="auto"/>
      <w:ind w:firstLine="709"/>
      <w:jc w:val="both"/>
    </w:pPr>
    <w:rPr>
      <w:rFonts w:ascii="Times New Roman" w:hAnsi="Times New Roman"/>
      <w:sz w:val="28"/>
    </w:rPr>
  </w:style>
  <w:style w:type="character" w:customStyle="1" w:styleId="a7">
    <w:name w:val="Статьи УЗЛИТИ Знак"/>
    <w:basedOn w:val="a0"/>
    <w:link w:val="a6"/>
    <w:rsid w:val="00C71C7C"/>
    <w:rPr>
      <w:rFonts w:ascii="Times New Roman" w:hAnsi="Times New Roman"/>
      <w:sz w:val="28"/>
    </w:rPr>
  </w:style>
  <w:style w:type="paragraph" w:styleId="1">
    <w:name w:val="toc 1"/>
    <w:basedOn w:val="a"/>
    <w:next w:val="a"/>
    <w:autoRedefine/>
    <w:uiPriority w:val="39"/>
    <w:unhideWhenUsed/>
    <w:rsid w:val="0094639C"/>
    <w:pPr>
      <w:spacing w:after="100" w:line="240" w:lineRule="auto"/>
    </w:pPr>
    <w:rPr>
      <w:rFonts w:ascii="Times New Roman" w:eastAsia="Times New Roman" w:hAnsi="Times New Roman" w:cs="Times New Roman"/>
      <w:sz w:val="28"/>
      <w:szCs w:val="20"/>
      <w:lang w:val="ru-RU" w:eastAsia="ru-RU"/>
    </w:rPr>
  </w:style>
  <w:style w:type="table" w:styleId="a8">
    <w:name w:val="Table Grid"/>
    <w:basedOn w:val="a1"/>
    <w:uiPriority w:val="39"/>
    <w:rsid w:val="002E2F3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Абзац вправо-1,List Paragraph1"/>
    <w:basedOn w:val="a"/>
    <w:link w:val="aa"/>
    <w:uiPriority w:val="34"/>
    <w:qFormat/>
    <w:rsid w:val="00AB507C"/>
    <w:pPr>
      <w:ind w:left="720"/>
      <w:contextualSpacing/>
    </w:pPr>
  </w:style>
  <w:style w:type="paragraph" w:styleId="ab">
    <w:name w:val="header"/>
    <w:basedOn w:val="a"/>
    <w:link w:val="ac"/>
    <w:uiPriority w:val="99"/>
    <w:unhideWhenUsed/>
    <w:rsid w:val="00EA0EB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A0EBC"/>
  </w:style>
  <w:style w:type="paragraph" w:styleId="ad">
    <w:name w:val="footer"/>
    <w:basedOn w:val="a"/>
    <w:link w:val="ae"/>
    <w:uiPriority w:val="99"/>
    <w:unhideWhenUsed/>
    <w:rsid w:val="00EA0EB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A0EBC"/>
  </w:style>
  <w:style w:type="character" w:customStyle="1" w:styleId="FontStyle48">
    <w:name w:val="Font Style48"/>
    <w:uiPriority w:val="99"/>
    <w:rsid w:val="00755DA1"/>
    <w:rPr>
      <w:rFonts w:ascii="Book Antiqua" w:hAnsi="Book Antiqua" w:cs="Book Antiqua" w:hint="default"/>
      <w:color w:val="000000"/>
      <w:spacing w:val="10"/>
      <w:sz w:val="16"/>
      <w:szCs w:val="16"/>
    </w:rPr>
  </w:style>
  <w:style w:type="character" w:styleId="af">
    <w:name w:val="Strong"/>
    <w:uiPriority w:val="22"/>
    <w:qFormat/>
    <w:rsid w:val="00FA38F3"/>
    <w:rPr>
      <w:rFonts w:cs="Times New Roman"/>
      <w:b/>
      <w:bCs/>
    </w:rPr>
  </w:style>
  <w:style w:type="paragraph" w:styleId="af0">
    <w:name w:val="Body Text Indent"/>
    <w:basedOn w:val="a"/>
    <w:link w:val="af1"/>
    <w:uiPriority w:val="99"/>
    <w:unhideWhenUsed/>
    <w:rsid w:val="00FA38F3"/>
    <w:pPr>
      <w:widowControl w:val="0"/>
      <w:tabs>
        <w:tab w:val="left" w:pos="288"/>
        <w:tab w:val="left" w:pos="720"/>
        <w:tab w:val="left" w:pos="1584"/>
      </w:tabs>
      <w:snapToGrid w:val="0"/>
      <w:spacing w:after="0" w:line="240" w:lineRule="auto"/>
      <w:jc w:val="both"/>
    </w:pPr>
    <w:rPr>
      <w:rFonts w:ascii="Times New Roman" w:eastAsia="Times New Roman" w:hAnsi="Times New Roman" w:cs="Times New Roman"/>
      <w:sz w:val="24"/>
      <w:szCs w:val="20"/>
      <w:lang w:val="ru-RU" w:eastAsia="ru-RU"/>
    </w:rPr>
  </w:style>
  <w:style w:type="character" w:customStyle="1" w:styleId="af1">
    <w:name w:val="Основной текст с отступом Знак"/>
    <w:basedOn w:val="a0"/>
    <w:link w:val="af0"/>
    <w:uiPriority w:val="99"/>
    <w:rsid w:val="00FA38F3"/>
    <w:rPr>
      <w:rFonts w:ascii="Times New Roman" w:eastAsia="Times New Roman" w:hAnsi="Times New Roman" w:cs="Times New Roman"/>
      <w:sz w:val="24"/>
      <w:szCs w:val="20"/>
      <w:lang w:val="ru-RU" w:eastAsia="ru-RU"/>
    </w:rPr>
  </w:style>
  <w:style w:type="paragraph" w:styleId="af2">
    <w:name w:val="Plain Text"/>
    <w:aliases w:val="Знак4 Знак Знак2,Знак4,Знак4 Знак Знак Знак,Знак4 Знак Знак Знак Знак Знак Знак Знак Знак Знак Знак Знак Знак Знак Знак Знак Знак Знак Знак Знак Знак Знак Знак,Знак1,Знак4 Знак,Знак4 Знак Знак,Знак Знак1 Знак,Текст1"/>
    <w:basedOn w:val="a"/>
    <w:link w:val="10"/>
    <w:uiPriority w:val="99"/>
    <w:unhideWhenUsed/>
    <w:rsid w:val="002816A2"/>
    <w:pPr>
      <w:spacing w:after="0" w:line="240" w:lineRule="auto"/>
    </w:pPr>
    <w:rPr>
      <w:rFonts w:ascii="Courier New" w:eastAsia="Times New Roman" w:hAnsi="Courier New" w:cs="Courier New"/>
      <w:lang w:val="ru-RU"/>
    </w:rPr>
  </w:style>
  <w:style w:type="character" w:customStyle="1" w:styleId="af3">
    <w:name w:val="Текст Знак"/>
    <w:basedOn w:val="a0"/>
    <w:uiPriority w:val="99"/>
    <w:semiHidden/>
    <w:rsid w:val="002816A2"/>
    <w:rPr>
      <w:rFonts w:ascii="Consolas" w:hAnsi="Consolas"/>
      <w:sz w:val="21"/>
      <w:szCs w:val="21"/>
    </w:rPr>
  </w:style>
  <w:style w:type="character" w:customStyle="1" w:styleId="10">
    <w:name w:val="Текст Знак1"/>
    <w:aliases w:val="Знак4 Знак Знак2 Знак,Знак4 Знак1,Знак4 Знак Знак Знак Знак,Знак4 Знак Знак Знак Знак Знак Знак Знак Знак Знак Знак Знак Знак Знак Знак Знак Знак Знак Знак Знак Знак Знак Знак Знак,Знак1 Знак,Знак4 Знак Знак1,Знак4 Знак Знак Знак1"/>
    <w:link w:val="af2"/>
    <w:uiPriority w:val="99"/>
    <w:locked/>
    <w:rsid w:val="002816A2"/>
    <w:rPr>
      <w:rFonts w:ascii="Courier New" w:eastAsia="Times New Roman" w:hAnsi="Courier New" w:cs="Courier New"/>
      <w:lang w:val="ru-RU"/>
    </w:rPr>
  </w:style>
  <w:style w:type="paragraph" w:styleId="af4">
    <w:name w:val="No Spacing"/>
    <w:link w:val="af5"/>
    <w:uiPriority w:val="1"/>
    <w:qFormat/>
    <w:rsid w:val="008D27B8"/>
    <w:pPr>
      <w:spacing w:after="0" w:line="240" w:lineRule="auto"/>
    </w:pPr>
    <w:rPr>
      <w:lang w:val="ru-RU"/>
    </w:rPr>
  </w:style>
  <w:style w:type="character" w:customStyle="1" w:styleId="af5">
    <w:name w:val="Без интервала Знак"/>
    <w:link w:val="af4"/>
    <w:uiPriority w:val="1"/>
    <w:locked/>
    <w:rsid w:val="008D27B8"/>
    <w:rPr>
      <w:lang w:val="ru-RU"/>
    </w:rPr>
  </w:style>
  <w:style w:type="paragraph" w:customStyle="1" w:styleId="af6">
    <w:name w:val="Текст основной"/>
    <w:basedOn w:val="a"/>
    <w:link w:val="af7"/>
    <w:qFormat/>
    <w:rsid w:val="008D27B8"/>
    <w:pPr>
      <w:spacing w:after="0" w:line="324" w:lineRule="auto"/>
      <w:ind w:firstLine="709"/>
      <w:jc w:val="both"/>
    </w:pPr>
    <w:rPr>
      <w:rFonts w:ascii="Times New Roman" w:eastAsia="Calibri" w:hAnsi="Times New Roman" w:cs="Times New Roman"/>
      <w:sz w:val="28"/>
      <w:szCs w:val="26"/>
      <w:lang w:val="ru-RU"/>
    </w:rPr>
  </w:style>
  <w:style w:type="character" w:customStyle="1" w:styleId="af7">
    <w:name w:val="Текст основной Знак"/>
    <w:link w:val="af6"/>
    <w:rsid w:val="008D27B8"/>
    <w:rPr>
      <w:rFonts w:ascii="Times New Roman" w:eastAsia="Calibri" w:hAnsi="Times New Roman" w:cs="Times New Roman"/>
      <w:sz w:val="28"/>
      <w:szCs w:val="26"/>
      <w:lang w:val="ru-RU"/>
    </w:rPr>
  </w:style>
  <w:style w:type="paragraph" w:customStyle="1" w:styleId="af8">
    <w:name w:val="Стиль"/>
    <w:rsid w:val="00C630B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table" w:customStyle="1" w:styleId="11">
    <w:name w:val="Сетка таблицы1"/>
    <w:basedOn w:val="a1"/>
    <w:next w:val="a8"/>
    <w:uiPriority w:val="39"/>
    <w:rsid w:val="0028520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semiHidden/>
    <w:unhideWhenUsed/>
    <w:rsid w:val="004E3E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C77F9B"/>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semiHidden/>
    <w:rsid w:val="00C77F9B"/>
    <w:rPr>
      <w:rFonts w:asciiTheme="majorHAnsi" w:eastAsiaTheme="majorEastAsia" w:hAnsiTheme="majorHAnsi" w:cstheme="majorBidi"/>
      <w:color w:val="1F3763" w:themeColor="accent1" w:themeShade="7F"/>
      <w:sz w:val="24"/>
      <w:szCs w:val="24"/>
    </w:rPr>
  </w:style>
  <w:style w:type="character" w:styleId="afa">
    <w:name w:val="Emphasis"/>
    <w:basedOn w:val="a0"/>
    <w:uiPriority w:val="20"/>
    <w:qFormat/>
    <w:rsid w:val="00C52A72"/>
    <w:rPr>
      <w:i/>
      <w:iCs/>
    </w:rPr>
  </w:style>
  <w:style w:type="paragraph" w:customStyle="1" w:styleId="AuthorName">
    <w:name w:val="Author Name"/>
    <w:basedOn w:val="a"/>
    <w:next w:val="a"/>
    <w:rsid w:val="00B81C66"/>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B81C66"/>
    <w:pPr>
      <w:spacing w:after="0" w:line="240" w:lineRule="auto"/>
      <w:jc w:val="center"/>
    </w:pPr>
    <w:rPr>
      <w:rFonts w:ascii="Times New Roman" w:eastAsia="Times New Roman" w:hAnsi="Times New Roman" w:cs="Times New Roman"/>
      <w:i/>
      <w:sz w:val="20"/>
      <w:szCs w:val="20"/>
    </w:rPr>
  </w:style>
  <w:style w:type="character" w:styleId="afb">
    <w:name w:val="Hyperlink"/>
    <w:basedOn w:val="a0"/>
    <w:uiPriority w:val="99"/>
    <w:unhideWhenUsed/>
    <w:rsid w:val="00B81C66"/>
    <w:rPr>
      <w:color w:val="0563C1" w:themeColor="hyperlink"/>
      <w:u w:val="single"/>
    </w:rPr>
  </w:style>
  <w:style w:type="character" w:customStyle="1" w:styleId="aa">
    <w:name w:val="Абзац списка Знак"/>
    <w:aliases w:val="Абзац вправо-1 Знак,List Paragraph1 Знак"/>
    <w:link w:val="a9"/>
    <w:uiPriority w:val="34"/>
    <w:locked/>
    <w:rsid w:val="00B81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1767">
      <w:bodyDiv w:val="1"/>
      <w:marLeft w:val="0"/>
      <w:marRight w:val="0"/>
      <w:marTop w:val="0"/>
      <w:marBottom w:val="0"/>
      <w:divBdr>
        <w:top w:val="none" w:sz="0" w:space="0" w:color="auto"/>
        <w:left w:val="none" w:sz="0" w:space="0" w:color="auto"/>
        <w:bottom w:val="none" w:sz="0" w:space="0" w:color="auto"/>
        <w:right w:val="none" w:sz="0" w:space="0" w:color="auto"/>
      </w:divBdr>
    </w:div>
    <w:div w:id="546257185">
      <w:bodyDiv w:val="1"/>
      <w:marLeft w:val="0"/>
      <w:marRight w:val="0"/>
      <w:marTop w:val="0"/>
      <w:marBottom w:val="0"/>
      <w:divBdr>
        <w:top w:val="none" w:sz="0" w:space="0" w:color="auto"/>
        <w:left w:val="none" w:sz="0" w:space="0" w:color="auto"/>
        <w:bottom w:val="none" w:sz="0" w:space="0" w:color="auto"/>
        <w:right w:val="none" w:sz="0" w:space="0" w:color="auto"/>
      </w:divBdr>
    </w:div>
    <w:div w:id="720180149">
      <w:bodyDiv w:val="1"/>
      <w:marLeft w:val="0"/>
      <w:marRight w:val="0"/>
      <w:marTop w:val="0"/>
      <w:marBottom w:val="0"/>
      <w:divBdr>
        <w:top w:val="none" w:sz="0" w:space="0" w:color="auto"/>
        <w:left w:val="none" w:sz="0" w:space="0" w:color="auto"/>
        <w:bottom w:val="none" w:sz="0" w:space="0" w:color="auto"/>
        <w:right w:val="none" w:sz="0" w:space="0" w:color="auto"/>
      </w:divBdr>
    </w:div>
    <w:div w:id="867376208">
      <w:bodyDiv w:val="1"/>
      <w:marLeft w:val="0"/>
      <w:marRight w:val="0"/>
      <w:marTop w:val="0"/>
      <w:marBottom w:val="0"/>
      <w:divBdr>
        <w:top w:val="none" w:sz="0" w:space="0" w:color="auto"/>
        <w:left w:val="none" w:sz="0" w:space="0" w:color="auto"/>
        <w:bottom w:val="none" w:sz="0" w:space="0" w:color="auto"/>
        <w:right w:val="none" w:sz="0" w:space="0" w:color="auto"/>
      </w:divBdr>
    </w:div>
    <w:div w:id="922571957">
      <w:bodyDiv w:val="1"/>
      <w:marLeft w:val="0"/>
      <w:marRight w:val="0"/>
      <w:marTop w:val="0"/>
      <w:marBottom w:val="0"/>
      <w:divBdr>
        <w:top w:val="none" w:sz="0" w:space="0" w:color="auto"/>
        <w:left w:val="none" w:sz="0" w:space="0" w:color="auto"/>
        <w:bottom w:val="none" w:sz="0" w:space="0" w:color="auto"/>
        <w:right w:val="none" w:sz="0" w:space="0" w:color="auto"/>
      </w:divBdr>
    </w:div>
    <w:div w:id="1014308452">
      <w:bodyDiv w:val="1"/>
      <w:marLeft w:val="0"/>
      <w:marRight w:val="0"/>
      <w:marTop w:val="0"/>
      <w:marBottom w:val="0"/>
      <w:divBdr>
        <w:top w:val="none" w:sz="0" w:space="0" w:color="auto"/>
        <w:left w:val="none" w:sz="0" w:space="0" w:color="auto"/>
        <w:bottom w:val="none" w:sz="0" w:space="0" w:color="auto"/>
        <w:right w:val="none" w:sz="0" w:space="0" w:color="auto"/>
      </w:divBdr>
    </w:div>
    <w:div w:id="1094789838">
      <w:bodyDiv w:val="1"/>
      <w:marLeft w:val="0"/>
      <w:marRight w:val="0"/>
      <w:marTop w:val="0"/>
      <w:marBottom w:val="0"/>
      <w:divBdr>
        <w:top w:val="none" w:sz="0" w:space="0" w:color="auto"/>
        <w:left w:val="none" w:sz="0" w:space="0" w:color="auto"/>
        <w:bottom w:val="none" w:sz="0" w:space="0" w:color="auto"/>
        <w:right w:val="none" w:sz="0" w:space="0" w:color="auto"/>
      </w:divBdr>
    </w:div>
    <w:div w:id="1101418433">
      <w:bodyDiv w:val="1"/>
      <w:marLeft w:val="0"/>
      <w:marRight w:val="0"/>
      <w:marTop w:val="0"/>
      <w:marBottom w:val="0"/>
      <w:divBdr>
        <w:top w:val="none" w:sz="0" w:space="0" w:color="auto"/>
        <w:left w:val="none" w:sz="0" w:space="0" w:color="auto"/>
        <w:bottom w:val="none" w:sz="0" w:space="0" w:color="auto"/>
        <w:right w:val="none" w:sz="0" w:space="0" w:color="auto"/>
      </w:divBdr>
    </w:div>
    <w:div w:id="1112170672">
      <w:bodyDiv w:val="1"/>
      <w:marLeft w:val="0"/>
      <w:marRight w:val="0"/>
      <w:marTop w:val="0"/>
      <w:marBottom w:val="0"/>
      <w:divBdr>
        <w:top w:val="none" w:sz="0" w:space="0" w:color="auto"/>
        <w:left w:val="none" w:sz="0" w:space="0" w:color="auto"/>
        <w:bottom w:val="none" w:sz="0" w:space="0" w:color="auto"/>
        <w:right w:val="none" w:sz="0" w:space="0" w:color="auto"/>
      </w:divBdr>
    </w:div>
    <w:div w:id="1179006175">
      <w:bodyDiv w:val="1"/>
      <w:marLeft w:val="0"/>
      <w:marRight w:val="0"/>
      <w:marTop w:val="0"/>
      <w:marBottom w:val="0"/>
      <w:divBdr>
        <w:top w:val="none" w:sz="0" w:space="0" w:color="auto"/>
        <w:left w:val="none" w:sz="0" w:space="0" w:color="auto"/>
        <w:bottom w:val="none" w:sz="0" w:space="0" w:color="auto"/>
        <w:right w:val="none" w:sz="0" w:space="0" w:color="auto"/>
      </w:divBdr>
    </w:div>
    <w:div w:id="1646352052">
      <w:bodyDiv w:val="1"/>
      <w:marLeft w:val="0"/>
      <w:marRight w:val="0"/>
      <w:marTop w:val="0"/>
      <w:marBottom w:val="0"/>
      <w:divBdr>
        <w:top w:val="none" w:sz="0" w:space="0" w:color="auto"/>
        <w:left w:val="none" w:sz="0" w:space="0" w:color="auto"/>
        <w:bottom w:val="none" w:sz="0" w:space="0" w:color="auto"/>
        <w:right w:val="none" w:sz="0" w:space="0" w:color="auto"/>
      </w:divBdr>
    </w:div>
    <w:div w:id="1774327648">
      <w:bodyDiv w:val="1"/>
      <w:marLeft w:val="0"/>
      <w:marRight w:val="0"/>
      <w:marTop w:val="0"/>
      <w:marBottom w:val="0"/>
      <w:divBdr>
        <w:top w:val="none" w:sz="0" w:space="0" w:color="auto"/>
        <w:left w:val="none" w:sz="0" w:space="0" w:color="auto"/>
        <w:bottom w:val="none" w:sz="0" w:space="0" w:color="auto"/>
        <w:right w:val="none" w:sz="0" w:space="0" w:color="auto"/>
      </w:divBdr>
    </w:div>
    <w:div w:id="1919561310">
      <w:bodyDiv w:val="1"/>
      <w:marLeft w:val="0"/>
      <w:marRight w:val="0"/>
      <w:marTop w:val="0"/>
      <w:marBottom w:val="0"/>
      <w:divBdr>
        <w:top w:val="none" w:sz="0" w:space="0" w:color="auto"/>
        <w:left w:val="none" w:sz="0" w:space="0" w:color="auto"/>
        <w:bottom w:val="none" w:sz="0" w:space="0" w:color="auto"/>
        <w:right w:val="none" w:sz="0" w:space="0" w:color="auto"/>
      </w:divBdr>
    </w:div>
    <w:div w:id="21121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ybek.daminov@tdtu.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34CBE-8984-47EB-A759-E6D0F479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3375</Words>
  <Characters>19243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Кан</dc:creator>
  <cp:keywords/>
  <dc:description/>
  <cp:lastModifiedBy>Пользователь</cp:lastModifiedBy>
  <cp:revision>22</cp:revision>
  <dcterms:created xsi:type="dcterms:W3CDTF">2025-12-12T06:39:00Z</dcterms:created>
  <dcterms:modified xsi:type="dcterms:W3CDTF">2025-12-28T04:40:00Z</dcterms:modified>
</cp:coreProperties>
</file>