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A42B6" w14:textId="1982A65F" w:rsidR="001E129E" w:rsidRPr="00287E0A" w:rsidRDefault="00B83E51" w:rsidP="008745D5">
      <w:pPr>
        <w:spacing w:before="1200" w:after="200" w:line="240" w:lineRule="auto"/>
        <w:ind w:firstLine="567"/>
        <w:jc w:val="center"/>
        <w:rPr>
          <w:rFonts w:ascii="Times New Roman" w:hAnsi="Times New Roman" w:cs="Times New Roman"/>
          <w:b/>
          <w:sz w:val="36"/>
          <w:szCs w:val="36"/>
        </w:rPr>
      </w:pPr>
      <w:r w:rsidRPr="00B83E51">
        <w:rPr>
          <w:rFonts w:ascii="Times New Roman" w:hAnsi="Times New Roman" w:cs="Times New Roman"/>
          <w:b/>
          <w:sz w:val="36"/>
          <w:szCs w:val="36"/>
        </w:rPr>
        <w:t xml:space="preserve">Financial stability and </w:t>
      </w:r>
      <w:r>
        <w:rPr>
          <w:rFonts w:ascii="Times New Roman" w:hAnsi="Times New Roman" w:cs="Times New Roman"/>
          <w:b/>
          <w:sz w:val="36"/>
          <w:szCs w:val="36"/>
        </w:rPr>
        <w:t>d</w:t>
      </w:r>
      <w:r w:rsidRPr="00B83E51">
        <w:rPr>
          <w:rFonts w:ascii="Times New Roman" w:hAnsi="Times New Roman" w:cs="Times New Roman"/>
          <w:b/>
          <w:sz w:val="36"/>
          <w:szCs w:val="36"/>
        </w:rPr>
        <w:t xml:space="preserve">evelopment </w:t>
      </w:r>
      <w:r>
        <w:rPr>
          <w:rFonts w:ascii="Times New Roman" w:hAnsi="Times New Roman" w:cs="Times New Roman"/>
          <w:b/>
          <w:sz w:val="36"/>
          <w:szCs w:val="36"/>
        </w:rPr>
        <w:t>t</w:t>
      </w:r>
      <w:r w:rsidRPr="00B83E51">
        <w:rPr>
          <w:rFonts w:ascii="Times New Roman" w:hAnsi="Times New Roman" w:cs="Times New Roman"/>
          <w:b/>
          <w:sz w:val="36"/>
          <w:szCs w:val="36"/>
        </w:rPr>
        <w:t xml:space="preserve">rends of the </w:t>
      </w:r>
      <w:r>
        <w:rPr>
          <w:rFonts w:ascii="Times New Roman" w:hAnsi="Times New Roman" w:cs="Times New Roman"/>
          <w:b/>
          <w:sz w:val="36"/>
          <w:szCs w:val="36"/>
        </w:rPr>
        <w:t>e</w:t>
      </w:r>
      <w:r w:rsidRPr="00B83E51">
        <w:rPr>
          <w:rFonts w:ascii="Times New Roman" w:hAnsi="Times New Roman" w:cs="Times New Roman"/>
          <w:b/>
          <w:sz w:val="36"/>
          <w:szCs w:val="36"/>
        </w:rPr>
        <w:t xml:space="preserve">conomic </w:t>
      </w:r>
      <w:r>
        <w:rPr>
          <w:rFonts w:ascii="Times New Roman" w:hAnsi="Times New Roman" w:cs="Times New Roman"/>
          <w:b/>
          <w:sz w:val="36"/>
          <w:szCs w:val="36"/>
        </w:rPr>
        <w:t>a</w:t>
      </w:r>
      <w:r w:rsidRPr="00B83E51">
        <w:rPr>
          <w:rFonts w:ascii="Times New Roman" w:hAnsi="Times New Roman" w:cs="Times New Roman"/>
          <w:b/>
          <w:sz w:val="36"/>
          <w:szCs w:val="36"/>
        </w:rPr>
        <w:t xml:space="preserve">ctivity of </w:t>
      </w:r>
      <w:proofErr w:type="spellStart"/>
      <w:r w:rsidRPr="00B83E51">
        <w:rPr>
          <w:rFonts w:ascii="Times New Roman" w:hAnsi="Times New Roman" w:cs="Times New Roman"/>
          <w:b/>
          <w:sz w:val="36"/>
          <w:szCs w:val="36"/>
        </w:rPr>
        <w:t>Uzbekneftegaz</w:t>
      </w:r>
      <w:proofErr w:type="spellEnd"/>
      <w:r w:rsidRPr="00B83E51">
        <w:rPr>
          <w:rFonts w:ascii="Times New Roman" w:hAnsi="Times New Roman" w:cs="Times New Roman"/>
          <w:b/>
          <w:sz w:val="36"/>
          <w:szCs w:val="36"/>
        </w:rPr>
        <w:t xml:space="preserve"> JSC</w:t>
      </w:r>
    </w:p>
    <w:p w14:paraId="1F5E1B4F" w14:textId="616CDECC" w:rsidR="00CA398A" w:rsidRPr="001970E3" w:rsidRDefault="00B83E51" w:rsidP="008745D5">
      <w:pPr>
        <w:pStyle w:val="AuthorName"/>
        <w:spacing w:before="240" w:after="200"/>
        <w:rPr>
          <w:sz w:val="20"/>
          <w:lang w:val="uz-Cyrl-UZ" w:eastAsia="en-GB"/>
        </w:rPr>
      </w:pPr>
      <w:proofErr w:type="spellStart"/>
      <w:r w:rsidRPr="00B83E51">
        <w:t>Sarvinoz</w:t>
      </w:r>
      <w:proofErr w:type="spellEnd"/>
      <w:r w:rsidRPr="00B83E51">
        <w:t xml:space="preserve"> Salomova</w:t>
      </w:r>
      <w:r w:rsidRPr="00B83E51">
        <w:rPr>
          <w:vertAlign w:val="superscript"/>
        </w:rPr>
        <w:t>a)</w:t>
      </w:r>
      <w:r w:rsidRPr="00B83E51">
        <w:t xml:space="preserve">, Barno Tillayeva, Saodat Ibragimova, </w:t>
      </w:r>
      <w:proofErr w:type="spellStart"/>
      <w:r w:rsidRPr="00B83E51">
        <w:t>Gulchexra</w:t>
      </w:r>
      <w:proofErr w:type="spellEnd"/>
      <w:r w:rsidRPr="00B83E51">
        <w:t xml:space="preserve"> Yusupxodjaeva</w:t>
      </w:r>
    </w:p>
    <w:p w14:paraId="4709ED4E" w14:textId="71C7DB20" w:rsidR="008745D5" w:rsidRDefault="00CA398A" w:rsidP="00A4691D">
      <w:pPr>
        <w:pStyle w:val="AuthorAffiliation"/>
      </w:pPr>
      <w:r w:rsidRPr="00287E0A">
        <w:t>Tashkent state technical university named after Islam Karimov,</w:t>
      </w:r>
      <w:r w:rsidR="004622A3">
        <w:t xml:space="preserve"> Tashkent,</w:t>
      </w:r>
      <w:r w:rsidRPr="00287E0A">
        <w:t xml:space="preserve"> Uzbekistan</w:t>
      </w:r>
      <w:r w:rsidR="001970E3">
        <w:rPr>
          <w:lang w:val="uz-Cyrl-UZ"/>
        </w:rPr>
        <w:t xml:space="preserve"> </w:t>
      </w:r>
    </w:p>
    <w:p w14:paraId="1397C91D" w14:textId="43A15771" w:rsidR="00CA398A" w:rsidRPr="00287E0A" w:rsidRDefault="008745D5" w:rsidP="008745D5">
      <w:pPr>
        <w:pStyle w:val="AuthorAffiliation"/>
        <w:spacing w:before="200" w:after="200"/>
      </w:pPr>
      <w:r w:rsidRPr="00FE6DBA">
        <w:rPr>
          <w:szCs w:val="18"/>
          <w:vertAlign w:val="superscript"/>
        </w:rPr>
        <w:t>a)</w:t>
      </w:r>
      <w:r w:rsidRPr="00FE6DBA">
        <w:rPr>
          <w:szCs w:val="18"/>
        </w:rPr>
        <w:t xml:space="preserve"> Corresponding author: </w:t>
      </w:r>
      <w:r w:rsidR="00B83E51" w:rsidRPr="00B83E51">
        <w:rPr>
          <w:rStyle w:val="a6"/>
          <w:color w:val="0000FF"/>
        </w:rPr>
        <w:t>salomovass87@gmail.com</w:t>
      </w:r>
    </w:p>
    <w:p w14:paraId="410B173B" w14:textId="6C2D0F29" w:rsidR="00BC4E3B" w:rsidRPr="00287E0A" w:rsidRDefault="00E25282" w:rsidP="000C106A">
      <w:pPr>
        <w:spacing w:before="360" w:after="360" w:line="240" w:lineRule="auto"/>
        <w:ind w:left="284" w:right="284"/>
        <w:jc w:val="both"/>
        <w:rPr>
          <w:rFonts w:ascii="Times New Roman" w:hAnsi="Times New Roman" w:cs="Times New Roman"/>
          <w:sz w:val="18"/>
          <w:szCs w:val="18"/>
        </w:rPr>
      </w:pPr>
      <w:r w:rsidRPr="00287E0A">
        <w:rPr>
          <w:rFonts w:ascii="Times New Roman" w:hAnsi="Times New Roman" w:cs="Times New Roman"/>
          <w:b/>
          <w:sz w:val="18"/>
          <w:szCs w:val="18"/>
        </w:rPr>
        <w:t>Abstract</w:t>
      </w:r>
      <w:r w:rsidR="00CA398A" w:rsidRPr="00287E0A">
        <w:rPr>
          <w:rFonts w:ascii="Times New Roman" w:hAnsi="Times New Roman" w:cs="Times New Roman"/>
          <w:b/>
          <w:sz w:val="18"/>
          <w:szCs w:val="18"/>
        </w:rPr>
        <w:t>.</w:t>
      </w:r>
      <w:r w:rsidR="000C106A" w:rsidRPr="00287E0A">
        <w:rPr>
          <w:iCs/>
          <w:sz w:val="18"/>
          <w:szCs w:val="18"/>
          <w:lang w:val="uz-Cyrl-UZ"/>
        </w:rPr>
        <w:t xml:space="preserve"> </w:t>
      </w:r>
      <w:r w:rsidR="00B83E51" w:rsidRPr="00B83E51">
        <w:rPr>
          <w:rFonts w:ascii="Times New Roman" w:hAnsi="Times New Roman" w:cs="Times New Roman"/>
          <w:iCs/>
          <w:sz w:val="18"/>
          <w:szCs w:val="18"/>
          <w:lang w:val="uz-Cyrl-UZ"/>
        </w:rPr>
        <w:t>This article presents a comprehensive empirical analysis of the financial stability, economic performance, and transformational development trends of Uzbekneftegaz JSC. The relevance of the study is determined by the company’s critical role not only in ensuring Uzbekistan’s energy security, but also in maintaining national fiscal stability, supporting industrial development, and influencing the country’s external trade balance. In recent years, a series of structural reforms implemented within the company</w:t>
      </w:r>
      <w:r w:rsidR="002C5B48">
        <w:rPr>
          <w:rFonts w:ascii="Times New Roman" w:hAnsi="Times New Roman" w:cs="Times New Roman"/>
          <w:iCs/>
          <w:sz w:val="18"/>
          <w:szCs w:val="18"/>
          <w:lang w:val="uz-Cyrl-UZ"/>
        </w:rPr>
        <w:t>-</w:t>
      </w:r>
      <w:r w:rsidR="00B83E51" w:rsidRPr="00B83E51">
        <w:rPr>
          <w:rFonts w:ascii="Times New Roman" w:hAnsi="Times New Roman" w:cs="Times New Roman"/>
          <w:iCs/>
          <w:sz w:val="18"/>
          <w:szCs w:val="18"/>
          <w:lang w:val="uz-Cyrl-UZ"/>
        </w:rPr>
        <w:t>including optimization of the asset portfolio and management system, enhancement of financial reporting in compliance with Internationa</w:t>
      </w:r>
      <w:r w:rsidR="002C5B48">
        <w:rPr>
          <w:rFonts w:ascii="Times New Roman" w:hAnsi="Times New Roman" w:cs="Times New Roman"/>
          <w:iCs/>
          <w:sz w:val="18"/>
          <w:szCs w:val="18"/>
          <w:lang w:val="uz-Cyrl-UZ"/>
        </w:rPr>
        <w:t>l Financial Reporting Standards</w:t>
      </w:r>
      <w:r w:rsidR="00B83E51" w:rsidRPr="00B83E51">
        <w:rPr>
          <w:rFonts w:ascii="Times New Roman" w:hAnsi="Times New Roman" w:cs="Times New Roman"/>
          <w:iCs/>
          <w:sz w:val="18"/>
          <w:szCs w:val="18"/>
          <w:lang w:val="uz-Cyrl-UZ"/>
        </w:rPr>
        <w:t>, acceleration of access to capital markets, and expansion of investment programs</w:t>
      </w:r>
      <w:r w:rsidR="002C5B48">
        <w:rPr>
          <w:rFonts w:ascii="Times New Roman" w:hAnsi="Times New Roman" w:cs="Times New Roman"/>
          <w:iCs/>
          <w:sz w:val="18"/>
          <w:szCs w:val="18"/>
          <w:lang w:val="uz-Cyrl-UZ"/>
        </w:rPr>
        <w:t>-</w:t>
      </w:r>
      <w:r w:rsidR="00B83E51" w:rsidRPr="00B83E51">
        <w:rPr>
          <w:rFonts w:ascii="Times New Roman" w:hAnsi="Times New Roman" w:cs="Times New Roman"/>
          <w:iCs/>
          <w:sz w:val="18"/>
          <w:szCs w:val="18"/>
          <w:lang w:val="uz-Cyrl-UZ"/>
        </w:rPr>
        <w:t>have generated complex and multidimensional changes in its economic performance. The study provides an analytical assessment of these transformations and identifies key factors shaping the financial sustainability and long-term development trajectory of Uzbekneftegaz JSC under conditions of ongoing economic and institutional reforms.</w:t>
      </w:r>
    </w:p>
    <w:p w14:paraId="61870707" w14:textId="1ED93274" w:rsidR="008A22AB" w:rsidRPr="00287E0A" w:rsidRDefault="00CA398A" w:rsidP="00CA398A">
      <w:pPr>
        <w:spacing w:before="240" w:after="240" w:line="240" w:lineRule="auto"/>
        <w:ind w:firstLine="567"/>
        <w:jc w:val="center"/>
        <w:rPr>
          <w:rFonts w:ascii="Times New Roman" w:hAnsi="Times New Roman" w:cs="Times New Roman"/>
          <w:b/>
          <w:sz w:val="24"/>
          <w:szCs w:val="24"/>
        </w:rPr>
      </w:pPr>
      <w:r w:rsidRPr="00287E0A">
        <w:rPr>
          <w:rFonts w:ascii="Times New Roman" w:hAnsi="Times New Roman" w:cs="Times New Roman"/>
          <w:b/>
          <w:sz w:val="24"/>
          <w:szCs w:val="24"/>
        </w:rPr>
        <w:t>INTRODUCTION</w:t>
      </w:r>
    </w:p>
    <w:p w14:paraId="16DEF981" w14:textId="77777777" w:rsidR="002C5B48" w:rsidRPr="002C5B48" w:rsidRDefault="002C5B48" w:rsidP="002C5B48">
      <w:pPr>
        <w:spacing w:after="0" w:line="240" w:lineRule="auto"/>
        <w:ind w:firstLine="284"/>
        <w:jc w:val="both"/>
        <w:rPr>
          <w:rFonts w:ascii="Times New Roman" w:hAnsi="Times New Roman" w:cs="Times New Roman"/>
          <w:sz w:val="20"/>
          <w:lang w:val="uz-Cyrl-UZ"/>
        </w:rPr>
      </w:pPr>
      <w:r w:rsidRPr="002C5B48">
        <w:rPr>
          <w:rFonts w:ascii="Times New Roman" w:hAnsi="Times New Roman" w:cs="Times New Roman"/>
          <w:sz w:val="20"/>
          <w:lang w:val="uz-Cyrl-UZ"/>
        </w:rPr>
        <w:t>The oil and gas sector of Uzbekistan plays a decisive role in shaping state revenues, ensuring the stability of the foreign trade balance, and enhancing the value-added potential of industrial production. Within this sector, Uzbekneftegaz JSC, as the largest and leading entity, represents a vertically integrated system encompassing hydrocarbon extraction, processing, transportation, and sales, thereby constituting one of the strategic pillars of the national economy. In recent years, increasing volatility in global energy markets, unstable hydrocarbon price dynamics, rising domestic demand, and the natural depletion of resource reserves have necessitated new approaches and comprehensive transformations in managing the company’s financial stability.</w:t>
      </w:r>
    </w:p>
    <w:p w14:paraId="10186CB0" w14:textId="77777777" w:rsidR="002C5B48" w:rsidRPr="002C5B48" w:rsidRDefault="002C5B48" w:rsidP="002C5B48">
      <w:pPr>
        <w:spacing w:after="0" w:line="240" w:lineRule="auto"/>
        <w:ind w:firstLine="284"/>
        <w:jc w:val="both"/>
        <w:rPr>
          <w:rFonts w:ascii="Times New Roman" w:hAnsi="Times New Roman" w:cs="Times New Roman"/>
          <w:sz w:val="20"/>
          <w:lang w:val="uz-Cyrl-UZ"/>
        </w:rPr>
      </w:pPr>
      <w:r w:rsidRPr="002C5B48">
        <w:rPr>
          <w:rFonts w:ascii="Times New Roman" w:hAnsi="Times New Roman" w:cs="Times New Roman"/>
          <w:sz w:val="20"/>
          <w:lang w:val="uz-Cyrl-UZ"/>
        </w:rPr>
        <w:t>During the period 2020–2023, Uzbekneftegaz JSC experienced notable structural shifts in its financial performance. Despite an increase in production costs within the range of 18–22%, the expansion of refining capacities, diversification of exports, and growth in foreign currency revenues contributed to a positive trend in net profit generation. At the same time, the increasing complexity of the asset structure, rising investment volumes, and expansion of the credit portfolio require an in-depth assessment of key financial stability indicators.</w:t>
      </w:r>
    </w:p>
    <w:p w14:paraId="2D33260A" w14:textId="4156BDAD" w:rsidR="002C5B48" w:rsidRDefault="002C5B48" w:rsidP="002C5B48">
      <w:pPr>
        <w:spacing w:after="0" w:line="240" w:lineRule="auto"/>
        <w:ind w:firstLine="284"/>
        <w:jc w:val="both"/>
        <w:rPr>
          <w:rFonts w:ascii="Times New Roman" w:hAnsi="Times New Roman" w:cs="Times New Roman"/>
          <w:sz w:val="20"/>
          <w:lang w:val="uz-Cyrl-UZ"/>
        </w:rPr>
      </w:pPr>
      <w:r w:rsidRPr="002C5B48">
        <w:rPr>
          <w:rFonts w:ascii="Times New Roman" w:hAnsi="Times New Roman" w:cs="Times New Roman"/>
          <w:sz w:val="20"/>
          <w:lang w:val="uz-Cyrl-UZ"/>
        </w:rPr>
        <w:t>The relevance of this study lies in conducting a systematic analysis of the economic and financial performance of Uzbekneftegaz JSC, identifying the core indicators of financial stability, and examining their development trends in order to substantiate strategic directions for the company’s long-term sustainable development.</w:t>
      </w:r>
    </w:p>
    <w:p w14:paraId="1091B844" w14:textId="77777777" w:rsidR="002C5B48" w:rsidRPr="002C5B48" w:rsidRDefault="002C5B48" w:rsidP="002C5B48">
      <w:pPr>
        <w:pStyle w:val="a4"/>
        <w:keepNext/>
        <w:overflowPunct w:val="0"/>
        <w:autoSpaceDE w:val="0"/>
        <w:autoSpaceDN w:val="0"/>
        <w:adjustRightInd w:val="0"/>
        <w:spacing w:before="240" w:after="240" w:line="240" w:lineRule="auto"/>
        <w:ind w:left="0" w:firstLine="284"/>
        <w:jc w:val="center"/>
        <w:textAlignment w:val="baseline"/>
        <w:outlineLvl w:val="5"/>
        <w:rPr>
          <w:rFonts w:ascii="Times New Roman" w:hAnsi="Times New Roman" w:cs="Times New Roman"/>
          <w:b/>
          <w:sz w:val="24"/>
          <w:szCs w:val="24"/>
        </w:rPr>
      </w:pPr>
      <w:r w:rsidRPr="002C5B48">
        <w:rPr>
          <w:rFonts w:ascii="Times New Roman" w:hAnsi="Times New Roman" w:cs="Times New Roman"/>
          <w:b/>
          <w:sz w:val="24"/>
          <w:szCs w:val="24"/>
        </w:rPr>
        <w:t>EXPERIMENTAL RESEARCH</w:t>
      </w:r>
    </w:p>
    <w:p w14:paraId="6313DC53" w14:textId="77777777" w:rsidR="0058199D" w:rsidRPr="0058199D" w:rsidRDefault="0058199D" w:rsidP="0058199D">
      <w:pPr>
        <w:spacing w:after="0" w:line="240" w:lineRule="auto"/>
        <w:ind w:firstLine="284"/>
        <w:jc w:val="both"/>
        <w:rPr>
          <w:rFonts w:ascii="Times New Roman" w:hAnsi="Times New Roman" w:cs="Times New Roman"/>
          <w:sz w:val="20"/>
          <w:lang w:val="uz-Cyrl-UZ"/>
        </w:rPr>
      </w:pPr>
      <w:r w:rsidRPr="0058199D">
        <w:rPr>
          <w:rFonts w:ascii="Times New Roman" w:hAnsi="Times New Roman" w:cs="Times New Roman"/>
          <w:sz w:val="20"/>
          <w:lang w:val="uz-Cyrl-UZ"/>
        </w:rPr>
        <w:t xml:space="preserve">In recent years, Uzbekneftegaz JSC has intensified its transformation processes, placing particular emphasis on restructuring its asset portfolio, strengthening consolidated financial reporting in compliance with IFRS requirements, accelerating access to capital markets, and expanding large-scale investment programs. The consolidated financial statements for 2022–2023 provide an empirical basis for assessing the impact of these reforms on the company’s financial performance. In 2023, total sales and other revenues amounted to 30,148 billion UZS, compared to 28,215 </w:t>
      </w:r>
      <w:r w:rsidRPr="0058199D">
        <w:rPr>
          <w:rFonts w:ascii="Times New Roman" w:hAnsi="Times New Roman" w:cs="Times New Roman"/>
          <w:sz w:val="20"/>
          <w:lang w:val="uz-Cyrl-UZ"/>
        </w:rPr>
        <w:lastRenderedPageBreak/>
        <w:t>billion UZS in 2022, reflecting a nominal growth of 6.8%. This increase was primarily driven by positive revenue dynamics in the gas processing and retail segments.</w:t>
      </w:r>
    </w:p>
    <w:p w14:paraId="4F723DF5" w14:textId="77777777" w:rsidR="0058199D" w:rsidRPr="0058199D" w:rsidRDefault="0058199D" w:rsidP="0058199D">
      <w:pPr>
        <w:spacing w:after="0" w:line="240" w:lineRule="auto"/>
        <w:ind w:firstLine="284"/>
        <w:jc w:val="both"/>
        <w:rPr>
          <w:rFonts w:ascii="Times New Roman" w:hAnsi="Times New Roman" w:cs="Times New Roman"/>
          <w:sz w:val="20"/>
          <w:lang w:val="uz-Cyrl-UZ"/>
        </w:rPr>
      </w:pPr>
      <w:r w:rsidRPr="0058199D">
        <w:rPr>
          <w:rFonts w:ascii="Times New Roman" w:hAnsi="Times New Roman" w:cs="Times New Roman"/>
          <w:sz w:val="20"/>
          <w:lang w:val="uz-Cyrl-UZ"/>
        </w:rPr>
        <w:t>At the same time, net profit declined sharply, decreasing from 2,853 billion UZS in 2022 to 628 billion UZS in 2023. The significant contraction in profit margins was influenced by exchange rate fluctuations, increased financing costs, and operational pressures in certain business segments.</w:t>
      </w:r>
    </w:p>
    <w:p w14:paraId="754B9D2E" w14:textId="0DD0F831" w:rsidR="002C5B48" w:rsidRDefault="0058199D" w:rsidP="0058199D">
      <w:pPr>
        <w:spacing w:after="0" w:line="240" w:lineRule="auto"/>
        <w:ind w:firstLine="284"/>
        <w:jc w:val="both"/>
        <w:rPr>
          <w:rFonts w:ascii="Times New Roman" w:hAnsi="Times New Roman" w:cs="Times New Roman"/>
          <w:sz w:val="20"/>
          <w:lang w:val="uz-Cyrl-UZ"/>
        </w:rPr>
      </w:pPr>
      <w:r w:rsidRPr="0058199D">
        <w:rPr>
          <w:rFonts w:ascii="Times New Roman" w:hAnsi="Times New Roman" w:cs="Times New Roman"/>
          <w:sz w:val="20"/>
          <w:lang w:val="uz-Cyrl-UZ"/>
        </w:rPr>
        <w:t>In the oil and gas industry, the efficient management of economic resources constitutes a fundamental determinant of financial stability. The structure and dynamics of Uzbekneftegaz JSC’s assets during the period 2019–2024 reflect the company’s investment capacity, material base, and trends in the development of its production infrastructure [2]. According to the table data, changes in the composition of corporate assets over the analyzed five-year period were shaped not only by internal economic factors but also by external market conditions and exchange rate movements. In this regard, asset analysis should be oriented not merely toward accounting indicators, but also toward qualitative characteristics of the company’s material and financial resource provision.</w:t>
      </w:r>
    </w:p>
    <w:p w14:paraId="24CE2168" w14:textId="77777777" w:rsidR="000A28CE" w:rsidRDefault="000A28CE" w:rsidP="0058199D">
      <w:pPr>
        <w:spacing w:after="0" w:line="240" w:lineRule="auto"/>
        <w:ind w:firstLine="284"/>
        <w:jc w:val="both"/>
        <w:rPr>
          <w:rFonts w:ascii="Times New Roman" w:hAnsi="Times New Roman" w:cs="Times New Roman"/>
          <w:sz w:val="20"/>
          <w:lang w:val="uz-Cyrl-UZ"/>
        </w:rPr>
      </w:pPr>
    </w:p>
    <w:p w14:paraId="34DFEE97" w14:textId="5716023B" w:rsidR="000A28CE" w:rsidRPr="008745D5" w:rsidRDefault="000A28CE" w:rsidP="000A28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t>TABLE 1.</w:t>
      </w:r>
      <w:r w:rsidRPr="008745D5">
        <w:rPr>
          <w:rFonts w:ascii="Times New Roman" w:hAnsi="Times New Roman" w:cs="Times New Roman"/>
          <w:sz w:val="20"/>
          <w:szCs w:val="20"/>
          <w:lang w:eastAsia="de-DE"/>
        </w:rPr>
        <w:t xml:space="preserve"> </w:t>
      </w:r>
      <w:r w:rsidR="00DD5FE0" w:rsidRPr="00DD5FE0">
        <w:rPr>
          <w:rFonts w:ascii="Times New Roman" w:hAnsi="Times New Roman" w:cs="Times New Roman"/>
          <w:sz w:val="20"/>
          <w:szCs w:val="20"/>
          <w:lang w:eastAsia="de-DE"/>
        </w:rPr>
        <w:t xml:space="preserve">Analysis of the </w:t>
      </w:r>
      <w:r w:rsidR="00DD5FE0">
        <w:rPr>
          <w:rFonts w:ascii="Times New Roman" w:hAnsi="Times New Roman" w:cs="Times New Roman"/>
          <w:sz w:val="20"/>
          <w:szCs w:val="20"/>
          <w:lang w:eastAsia="de-DE"/>
        </w:rPr>
        <w:t>a</w:t>
      </w:r>
      <w:r w:rsidR="00DD5FE0" w:rsidRPr="00DD5FE0">
        <w:rPr>
          <w:rFonts w:ascii="Times New Roman" w:hAnsi="Times New Roman" w:cs="Times New Roman"/>
          <w:sz w:val="20"/>
          <w:szCs w:val="20"/>
          <w:lang w:eastAsia="de-DE"/>
        </w:rPr>
        <w:t xml:space="preserve">sset </w:t>
      </w:r>
      <w:r w:rsidR="00DD5FE0">
        <w:rPr>
          <w:rFonts w:ascii="Times New Roman" w:hAnsi="Times New Roman" w:cs="Times New Roman"/>
          <w:sz w:val="20"/>
          <w:szCs w:val="20"/>
          <w:lang w:eastAsia="de-DE"/>
        </w:rPr>
        <w:t>s</w:t>
      </w:r>
      <w:r w:rsidR="00DD5FE0" w:rsidRPr="00DD5FE0">
        <w:rPr>
          <w:rFonts w:ascii="Times New Roman" w:hAnsi="Times New Roman" w:cs="Times New Roman"/>
          <w:sz w:val="20"/>
          <w:szCs w:val="20"/>
          <w:lang w:eastAsia="de-DE"/>
        </w:rPr>
        <w:t>tructure (Funds) of JSC “</w:t>
      </w:r>
      <w:proofErr w:type="spellStart"/>
      <w:r w:rsidR="00DD5FE0" w:rsidRPr="00DD5FE0">
        <w:rPr>
          <w:rFonts w:ascii="Times New Roman" w:hAnsi="Times New Roman" w:cs="Times New Roman"/>
          <w:sz w:val="20"/>
          <w:szCs w:val="20"/>
          <w:lang w:eastAsia="de-DE"/>
        </w:rPr>
        <w:t>Uzbekneftegaz</w:t>
      </w:r>
      <w:proofErr w:type="spellEnd"/>
      <w:r w:rsidR="00DD5FE0" w:rsidRPr="00DD5FE0">
        <w:rPr>
          <w:rFonts w:ascii="Times New Roman" w:hAnsi="Times New Roman" w:cs="Times New Roman"/>
          <w:sz w:val="20"/>
          <w:szCs w:val="20"/>
          <w:lang w:eastAsia="de-DE"/>
        </w:rPr>
        <w:t>” for 2019–2024 (million UZS)</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2"/>
        <w:gridCol w:w="870"/>
        <w:gridCol w:w="852"/>
        <w:gridCol w:w="846"/>
        <w:gridCol w:w="846"/>
        <w:gridCol w:w="846"/>
        <w:gridCol w:w="1553"/>
        <w:gridCol w:w="1842"/>
      </w:tblGrid>
      <w:tr w:rsidR="00ED04A0" w:rsidRPr="00E26088" w14:paraId="3CE7A048" w14:textId="77777777" w:rsidTr="00505AE6">
        <w:trPr>
          <w:trHeight w:val="55"/>
          <w:jc w:val="center"/>
        </w:trPr>
        <w:tc>
          <w:tcPr>
            <w:tcW w:w="1412" w:type="dxa"/>
            <w:vMerge w:val="restart"/>
            <w:vAlign w:val="center"/>
          </w:tcPr>
          <w:p w14:paraId="7F6CDD55" w14:textId="66A3AC03" w:rsidR="00ED04A0" w:rsidRPr="00E26088" w:rsidRDefault="00ED04A0" w:rsidP="005D601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Assets of the company</w:t>
            </w:r>
          </w:p>
        </w:tc>
        <w:tc>
          <w:tcPr>
            <w:tcW w:w="4260" w:type="dxa"/>
            <w:gridSpan w:val="5"/>
            <w:vAlign w:val="center"/>
          </w:tcPr>
          <w:p w14:paraId="0E73F839" w14:textId="1E42AD54" w:rsidR="00ED04A0" w:rsidRPr="00E26088" w:rsidRDefault="00ED04A0" w:rsidP="00DD31AB">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Years</w:t>
            </w:r>
          </w:p>
        </w:tc>
        <w:tc>
          <w:tcPr>
            <w:tcW w:w="1553" w:type="dxa"/>
            <w:vAlign w:val="center"/>
          </w:tcPr>
          <w:p w14:paraId="12065D61" w14:textId="0FC699B7" w:rsidR="00ED04A0" w:rsidRPr="00E26088" w:rsidRDefault="00ED04A0" w:rsidP="005D601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Change in 2024 compared to 2023 (thousand UZS)</w:t>
            </w:r>
          </w:p>
        </w:tc>
        <w:tc>
          <w:tcPr>
            <w:tcW w:w="1842" w:type="dxa"/>
            <w:vAlign w:val="center"/>
          </w:tcPr>
          <w:p w14:paraId="19390E55" w14:textId="28549DF2" w:rsidR="00ED04A0" w:rsidRPr="00E26088" w:rsidRDefault="00ED04A0" w:rsidP="00ED04A0">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Change in 2024 compared to 2023(%)</w:t>
            </w:r>
          </w:p>
        </w:tc>
      </w:tr>
      <w:tr w:rsidR="00ED04A0" w:rsidRPr="00E26088" w14:paraId="272C53AE" w14:textId="77777777" w:rsidTr="00505AE6">
        <w:trPr>
          <w:jc w:val="center"/>
        </w:trPr>
        <w:tc>
          <w:tcPr>
            <w:tcW w:w="1412" w:type="dxa"/>
            <w:vMerge/>
            <w:vAlign w:val="center"/>
          </w:tcPr>
          <w:p w14:paraId="1CFCB5FC" w14:textId="77777777" w:rsidR="00ED04A0" w:rsidRPr="00E26088" w:rsidRDefault="00ED04A0" w:rsidP="005D601A">
            <w:pPr>
              <w:spacing w:after="0" w:line="240" w:lineRule="auto"/>
              <w:jc w:val="center"/>
              <w:rPr>
                <w:rFonts w:ascii="Times New Roman" w:hAnsi="Times New Roman" w:cs="Times New Roman"/>
                <w:sz w:val="18"/>
                <w:szCs w:val="18"/>
              </w:rPr>
            </w:pPr>
          </w:p>
        </w:tc>
        <w:tc>
          <w:tcPr>
            <w:tcW w:w="870" w:type="dxa"/>
            <w:vAlign w:val="center"/>
          </w:tcPr>
          <w:p w14:paraId="25DE577F" w14:textId="77777777" w:rsidR="00ED04A0" w:rsidRPr="00E26088" w:rsidRDefault="00ED04A0" w:rsidP="005D601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2019</w:t>
            </w:r>
          </w:p>
        </w:tc>
        <w:tc>
          <w:tcPr>
            <w:tcW w:w="852" w:type="dxa"/>
            <w:vAlign w:val="center"/>
          </w:tcPr>
          <w:p w14:paraId="5DCF5988" w14:textId="77777777" w:rsidR="00ED04A0" w:rsidRPr="00E26088" w:rsidRDefault="00ED04A0" w:rsidP="005D601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2020</w:t>
            </w:r>
          </w:p>
        </w:tc>
        <w:tc>
          <w:tcPr>
            <w:tcW w:w="846" w:type="dxa"/>
            <w:vAlign w:val="center"/>
          </w:tcPr>
          <w:p w14:paraId="76AAB1A9" w14:textId="77777777" w:rsidR="00ED04A0" w:rsidRPr="00E26088" w:rsidRDefault="00ED04A0" w:rsidP="005D601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2021</w:t>
            </w:r>
          </w:p>
        </w:tc>
        <w:tc>
          <w:tcPr>
            <w:tcW w:w="846" w:type="dxa"/>
            <w:vAlign w:val="center"/>
          </w:tcPr>
          <w:p w14:paraId="0D6E98E2" w14:textId="77777777" w:rsidR="00ED04A0" w:rsidRPr="00E26088" w:rsidRDefault="00ED04A0" w:rsidP="005D601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2022</w:t>
            </w:r>
          </w:p>
        </w:tc>
        <w:tc>
          <w:tcPr>
            <w:tcW w:w="846" w:type="dxa"/>
            <w:vAlign w:val="center"/>
          </w:tcPr>
          <w:p w14:paraId="66EBCC93" w14:textId="77777777" w:rsidR="00ED04A0" w:rsidRPr="00E26088" w:rsidRDefault="00ED04A0" w:rsidP="005D601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2023</w:t>
            </w:r>
          </w:p>
        </w:tc>
        <w:tc>
          <w:tcPr>
            <w:tcW w:w="1553" w:type="dxa"/>
            <w:vAlign w:val="center"/>
          </w:tcPr>
          <w:p w14:paraId="7F13FF43" w14:textId="77777777" w:rsidR="00ED04A0" w:rsidRPr="00E26088" w:rsidRDefault="00ED04A0" w:rsidP="005D601A">
            <w:pPr>
              <w:spacing w:after="0" w:line="240" w:lineRule="auto"/>
              <w:jc w:val="center"/>
              <w:rPr>
                <w:rFonts w:ascii="Times New Roman" w:hAnsi="Times New Roman" w:cs="Times New Roman"/>
                <w:sz w:val="18"/>
                <w:szCs w:val="18"/>
              </w:rPr>
            </w:pPr>
          </w:p>
        </w:tc>
        <w:tc>
          <w:tcPr>
            <w:tcW w:w="1842" w:type="dxa"/>
            <w:vAlign w:val="center"/>
          </w:tcPr>
          <w:p w14:paraId="3D34A1B4" w14:textId="77777777" w:rsidR="00ED04A0" w:rsidRPr="00E26088" w:rsidRDefault="00ED04A0" w:rsidP="005D601A">
            <w:pPr>
              <w:spacing w:after="0" w:line="240" w:lineRule="auto"/>
              <w:jc w:val="center"/>
              <w:rPr>
                <w:rFonts w:ascii="Times New Roman" w:hAnsi="Times New Roman" w:cs="Times New Roman"/>
                <w:sz w:val="18"/>
                <w:szCs w:val="18"/>
              </w:rPr>
            </w:pPr>
          </w:p>
        </w:tc>
      </w:tr>
      <w:tr w:rsidR="00ED04A0" w:rsidRPr="00E26088" w14:paraId="51AC475A" w14:textId="77777777" w:rsidTr="00505AE6">
        <w:trPr>
          <w:jc w:val="center"/>
        </w:trPr>
        <w:tc>
          <w:tcPr>
            <w:tcW w:w="1412" w:type="dxa"/>
            <w:vAlign w:val="center"/>
          </w:tcPr>
          <w:p w14:paraId="6A92F327" w14:textId="76117E39"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Total assets</w:t>
            </w:r>
          </w:p>
        </w:tc>
        <w:tc>
          <w:tcPr>
            <w:tcW w:w="870" w:type="dxa"/>
            <w:vAlign w:val="center"/>
          </w:tcPr>
          <w:p w14:paraId="2287212C" w14:textId="4AFDCD2D"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64,092.0</w:t>
            </w:r>
          </w:p>
        </w:tc>
        <w:tc>
          <w:tcPr>
            <w:tcW w:w="852" w:type="dxa"/>
            <w:vAlign w:val="center"/>
          </w:tcPr>
          <w:p w14:paraId="35104E15" w14:textId="1035C67F"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39,417.0</w:t>
            </w:r>
          </w:p>
        </w:tc>
        <w:tc>
          <w:tcPr>
            <w:tcW w:w="846" w:type="dxa"/>
            <w:vAlign w:val="center"/>
          </w:tcPr>
          <w:p w14:paraId="4D903ED7" w14:textId="54606BDC"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64,982.0</w:t>
            </w:r>
          </w:p>
        </w:tc>
        <w:tc>
          <w:tcPr>
            <w:tcW w:w="846" w:type="dxa"/>
            <w:vAlign w:val="center"/>
          </w:tcPr>
          <w:p w14:paraId="31C79553" w14:textId="0C796FA7"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65,115.0</w:t>
            </w:r>
          </w:p>
        </w:tc>
        <w:tc>
          <w:tcPr>
            <w:tcW w:w="846" w:type="dxa"/>
            <w:vAlign w:val="center"/>
          </w:tcPr>
          <w:p w14:paraId="50B8551D" w14:textId="547A5871"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65,454.0</w:t>
            </w:r>
          </w:p>
        </w:tc>
        <w:tc>
          <w:tcPr>
            <w:tcW w:w="1553" w:type="dxa"/>
            <w:vAlign w:val="center"/>
          </w:tcPr>
          <w:p w14:paraId="4AA609B5" w14:textId="2F44C1AD"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372.0</w:t>
            </w:r>
          </w:p>
        </w:tc>
        <w:tc>
          <w:tcPr>
            <w:tcW w:w="1842" w:type="dxa"/>
            <w:vAlign w:val="center"/>
          </w:tcPr>
          <w:p w14:paraId="5ECF4C3A" w14:textId="140357B0"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0.5</w:t>
            </w:r>
          </w:p>
        </w:tc>
      </w:tr>
      <w:tr w:rsidR="00ED04A0" w:rsidRPr="00E26088" w14:paraId="1A624065" w14:textId="77777777" w:rsidTr="00505AE6">
        <w:trPr>
          <w:trHeight w:val="52"/>
          <w:jc w:val="center"/>
        </w:trPr>
        <w:tc>
          <w:tcPr>
            <w:tcW w:w="1412" w:type="dxa"/>
            <w:vAlign w:val="center"/>
          </w:tcPr>
          <w:p w14:paraId="593A3251" w14:textId="29630C49"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1. Non-current assets</w:t>
            </w:r>
          </w:p>
        </w:tc>
        <w:tc>
          <w:tcPr>
            <w:tcW w:w="870" w:type="dxa"/>
            <w:vAlign w:val="center"/>
          </w:tcPr>
          <w:p w14:paraId="28A93979" w14:textId="4A1DF594"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54,880.0</w:t>
            </w:r>
          </w:p>
        </w:tc>
        <w:tc>
          <w:tcPr>
            <w:tcW w:w="852" w:type="dxa"/>
            <w:vAlign w:val="center"/>
          </w:tcPr>
          <w:p w14:paraId="7F0EADF2" w14:textId="1EF0DEF5"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30,188.0</w:t>
            </w:r>
          </w:p>
        </w:tc>
        <w:tc>
          <w:tcPr>
            <w:tcW w:w="846" w:type="dxa"/>
            <w:vAlign w:val="center"/>
          </w:tcPr>
          <w:p w14:paraId="713418B1" w14:textId="342464AC"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45,586.0</w:t>
            </w:r>
          </w:p>
        </w:tc>
        <w:tc>
          <w:tcPr>
            <w:tcW w:w="846" w:type="dxa"/>
            <w:vAlign w:val="center"/>
          </w:tcPr>
          <w:p w14:paraId="76A44133" w14:textId="7CB79DDC" w:rsidR="0026085A" w:rsidRPr="00E26088" w:rsidRDefault="0026085A" w:rsidP="0026085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51,610.0</w:t>
            </w:r>
          </w:p>
        </w:tc>
        <w:tc>
          <w:tcPr>
            <w:tcW w:w="846" w:type="dxa"/>
            <w:vAlign w:val="center"/>
          </w:tcPr>
          <w:p w14:paraId="166627F5" w14:textId="3D521980" w:rsidR="0026085A" w:rsidRPr="00E26088" w:rsidRDefault="0026085A" w:rsidP="00ED5675">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54,</w:t>
            </w:r>
            <w:r w:rsidR="00ED5675" w:rsidRPr="00E26088">
              <w:rPr>
                <w:rFonts w:ascii="Times New Roman" w:hAnsi="Times New Roman" w:cs="Times New Roman"/>
                <w:sz w:val="18"/>
                <w:szCs w:val="18"/>
              </w:rPr>
              <w:t>931</w:t>
            </w:r>
            <w:r w:rsidRPr="00E26088">
              <w:rPr>
                <w:rFonts w:ascii="Times New Roman" w:hAnsi="Times New Roman" w:cs="Times New Roman"/>
                <w:sz w:val="18"/>
                <w:szCs w:val="18"/>
              </w:rPr>
              <w:t>.0</w:t>
            </w:r>
          </w:p>
        </w:tc>
        <w:tc>
          <w:tcPr>
            <w:tcW w:w="1553" w:type="dxa"/>
            <w:vAlign w:val="center"/>
          </w:tcPr>
          <w:p w14:paraId="6817A12B" w14:textId="6A50B3F2" w:rsidR="0026085A" w:rsidRPr="00E26088" w:rsidRDefault="0026085A" w:rsidP="00ED5675">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5,</w:t>
            </w:r>
            <w:r w:rsidR="00ED5675" w:rsidRPr="00E26088">
              <w:rPr>
                <w:rFonts w:ascii="Times New Roman" w:hAnsi="Times New Roman" w:cs="Times New Roman"/>
                <w:sz w:val="18"/>
                <w:szCs w:val="18"/>
              </w:rPr>
              <w:t>054</w:t>
            </w:r>
            <w:r w:rsidRPr="00E26088">
              <w:rPr>
                <w:rFonts w:ascii="Times New Roman" w:hAnsi="Times New Roman" w:cs="Times New Roman"/>
                <w:sz w:val="18"/>
                <w:szCs w:val="18"/>
              </w:rPr>
              <w:t>.0</w:t>
            </w:r>
          </w:p>
        </w:tc>
        <w:tc>
          <w:tcPr>
            <w:tcW w:w="1842" w:type="dxa"/>
            <w:vAlign w:val="center"/>
          </w:tcPr>
          <w:p w14:paraId="6D8ECD2E" w14:textId="44F829A4" w:rsidR="0026085A" w:rsidRPr="00E26088" w:rsidRDefault="00ED5675" w:rsidP="00ED5675">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11.3</w:t>
            </w:r>
          </w:p>
        </w:tc>
      </w:tr>
      <w:tr w:rsidR="00ED04A0" w:rsidRPr="00E26088" w14:paraId="7FCD0127" w14:textId="77777777" w:rsidTr="00505AE6">
        <w:trPr>
          <w:jc w:val="center"/>
        </w:trPr>
        <w:tc>
          <w:tcPr>
            <w:tcW w:w="1412" w:type="dxa"/>
            <w:vAlign w:val="center"/>
          </w:tcPr>
          <w:p w14:paraId="464D1EB5" w14:textId="2572E46E" w:rsidR="007B24D3" w:rsidRPr="00E26088" w:rsidRDefault="007B24D3"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 xml:space="preserve">2. Current assets </w:t>
            </w:r>
          </w:p>
        </w:tc>
        <w:tc>
          <w:tcPr>
            <w:tcW w:w="870" w:type="dxa"/>
            <w:vAlign w:val="center"/>
          </w:tcPr>
          <w:p w14:paraId="179FF28D" w14:textId="470A4D51" w:rsidR="007B24D3" w:rsidRPr="00E26088" w:rsidRDefault="007B24D3"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9,212.0</w:t>
            </w:r>
          </w:p>
        </w:tc>
        <w:tc>
          <w:tcPr>
            <w:tcW w:w="852" w:type="dxa"/>
            <w:vAlign w:val="center"/>
          </w:tcPr>
          <w:p w14:paraId="6E28DB2B" w14:textId="7DB99F98" w:rsidR="007B24D3" w:rsidRPr="00E26088" w:rsidRDefault="007B24D3"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9,229.0</w:t>
            </w:r>
          </w:p>
        </w:tc>
        <w:tc>
          <w:tcPr>
            <w:tcW w:w="846" w:type="dxa"/>
            <w:vAlign w:val="center"/>
          </w:tcPr>
          <w:p w14:paraId="306CF98F" w14:textId="2AC10C39" w:rsidR="007B24D3" w:rsidRPr="00E26088" w:rsidRDefault="007B24D3"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19,396.0</w:t>
            </w:r>
          </w:p>
        </w:tc>
        <w:tc>
          <w:tcPr>
            <w:tcW w:w="846" w:type="dxa"/>
            <w:vAlign w:val="center"/>
          </w:tcPr>
          <w:p w14:paraId="5FAE9D04" w14:textId="25F1DD4A" w:rsidR="007B24D3" w:rsidRPr="00E26088" w:rsidRDefault="007B24D3"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13,505.0</w:t>
            </w:r>
          </w:p>
        </w:tc>
        <w:tc>
          <w:tcPr>
            <w:tcW w:w="846" w:type="dxa"/>
            <w:vAlign w:val="center"/>
          </w:tcPr>
          <w:p w14:paraId="48CA99E3" w14:textId="3B9641E4" w:rsidR="007B24D3" w:rsidRPr="00E26088" w:rsidRDefault="007B24D3"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14,985.0</w:t>
            </w:r>
          </w:p>
        </w:tc>
        <w:tc>
          <w:tcPr>
            <w:tcW w:w="1553" w:type="dxa"/>
            <w:vAlign w:val="center"/>
          </w:tcPr>
          <w:p w14:paraId="1F7E87D6" w14:textId="2D2A7EE3" w:rsidR="007B24D3" w:rsidRPr="00E26088" w:rsidRDefault="007B24D3"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1,263.0</w:t>
            </w:r>
          </w:p>
        </w:tc>
        <w:tc>
          <w:tcPr>
            <w:tcW w:w="1842" w:type="dxa"/>
            <w:vAlign w:val="center"/>
          </w:tcPr>
          <w:p w14:paraId="542DE592" w14:textId="462B84E1" w:rsidR="007B24D3" w:rsidRPr="00E26088" w:rsidRDefault="007B24D3"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2.1</w:t>
            </w:r>
          </w:p>
        </w:tc>
      </w:tr>
      <w:tr w:rsidR="00ED04A0" w:rsidRPr="00E26088" w14:paraId="3EB10A8F" w14:textId="77777777" w:rsidTr="00505AE6">
        <w:trPr>
          <w:jc w:val="center"/>
        </w:trPr>
        <w:tc>
          <w:tcPr>
            <w:tcW w:w="1412" w:type="dxa"/>
            <w:vAlign w:val="center"/>
          </w:tcPr>
          <w:p w14:paraId="76B243AE" w14:textId="2B3FE33B" w:rsidR="005D601A" w:rsidRPr="00E26088" w:rsidRDefault="005D601A" w:rsidP="005D601A">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Total assets value of the enterprise</w:t>
            </w:r>
          </w:p>
        </w:tc>
        <w:tc>
          <w:tcPr>
            <w:tcW w:w="870" w:type="dxa"/>
            <w:vAlign w:val="center"/>
          </w:tcPr>
          <w:p w14:paraId="2FDB56A2" w14:textId="599566A6" w:rsidR="005D601A" w:rsidRPr="00E26088" w:rsidRDefault="005D601A"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64</w:t>
            </w:r>
            <w:r w:rsidR="007B24D3" w:rsidRPr="00E26088">
              <w:rPr>
                <w:rFonts w:ascii="Times New Roman" w:hAnsi="Times New Roman" w:cs="Times New Roman"/>
                <w:sz w:val="18"/>
                <w:szCs w:val="18"/>
              </w:rPr>
              <w:t>,</w:t>
            </w:r>
            <w:r w:rsidRPr="00E26088">
              <w:rPr>
                <w:rFonts w:ascii="Times New Roman" w:hAnsi="Times New Roman" w:cs="Times New Roman"/>
                <w:sz w:val="18"/>
                <w:szCs w:val="18"/>
              </w:rPr>
              <w:t>092</w:t>
            </w:r>
            <w:r w:rsidR="007B24D3" w:rsidRPr="00E26088">
              <w:rPr>
                <w:rFonts w:ascii="Times New Roman" w:hAnsi="Times New Roman" w:cs="Times New Roman"/>
                <w:sz w:val="18"/>
                <w:szCs w:val="18"/>
              </w:rPr>
              <w:t>.</w:t>
            </w:r>
            <w:r w:rsidRPr="00E26088">
              <w:rPr>
                <w:rFonts w:ascii="Times New Roman" w:hAnsi="Times New Roman" w:cs="Times New Roman"/>
                <w:sz w:val="18"/>
                <w:szCs w:val="18"/>
              </w:rPr>
              <w:t>0</w:t>
            </w:r>
          </w:p>
        </w:tc>
        <w:tc>
          <w:tcPr>
            <w:tcW w:w="852" w:type="dxa"/>
            <w:vAlign w:val="center"/>
          </w:tcPr>
          <w:p w14:paraId="0C975866" w14:textId="133E4FB6" w:rsidR="005D601A" w:rsidRPr="00E26088" w:rsidRDefault="005D601A"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39</w:t>
            </w:r>
            <w:r w:rsidR="007B24D3" w:rsidRPr="00E26088">
              <w:rPr>
                <w:rFonts w:ascii="Times New Roman" w:hAnsi="Times New Roman" w:cs="Times New Roman"/>
                <w:sz w:val="18"/>
                <w:szCs w:val="18"/>
              </w:rPr>
              <w:t>,</w:t>
            </w:r>
            <w:r w:rsidRPr="00E26088">
              <w:rPr>
                <w:rFonts w:ascii="Times New Roman" w:hAnsi="Times New Roman" w:cs="Times New Roman"/>
                <w:sz w:val="18"/>
                <w:szCs w:val="18"/>
              </w:rPr>
              <w:t>417</w:t>
            </w:r>
            <w:r w:rsidR="007B24D3" w:rsidRPr="00E26088">
              <w:rPr>
                <w:rFonts w:ascii="Times New Roman" w:hAnsi="Times New Roman" w:cs="Times New Roman"/>
                <w:sz w:val="18"/>
                <w:szCs w:val="18"/>
              </w:rPr>
              <w:t>.</w:t>
            </w:r>
            <w:r w:rsidRPr="00E26088">
              <w:rPr>
                <w:rFonts w:ascii="Times New Roman" w:hAnsi="Times New Roman" w:cs="Times New Roman"/>
                <w:sz w:val="18"/>
                <w:szCs w:val="18"/>
              </w:rPr>
              <w:t>0</w:t>
            </w:r>
          </w:p>
        </w:tc>
        <w:tc>
          <w:tcPr>
            <w:tcW w:w="846" w:type="dxa"/>
            <w:vAlign w:val="center"/>
          </w:tcPr>
          <w:p w14:paraId="252708D7" w14:textId="68F6AB15" w:rsidR="005D601A" w:rsidRPr="00E26088" w:rsidRDefault="005D601A" w:rsidP="007B24D3">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64</w:t>
            </w:r>
            <w:r w:rsidR="007B24D3" w:rsidRPr="00E26088">
              <w:rPr>
                <w:rFonts w:ascii="Times New Roman" w:hAnsi="Times New Roman" w:cs="Times New Roman"/>
                <w:sz w:val="18"/>
                <w:szCs w:val="18"/>
              </w:rPr>
              <w:t>,</w:t>
            </w:r>
            <w:r w:rsidRPr="00E26088">
              <w:rPr>
                <w:rFonts w:ascii="Times New Roman" w:hAnsi="Times New Roman" w:cs="Times New Roman"/>
                <w:sz w:val="18"/>
                <w:szCs w:val="18"/>
              </w:rPr>
              <w:t>982</w:t>
            </w:r>
            <w:r w:rsidR="007B24D3" w:rsidRPr="00E26088">
              <w:rPr>
                <w:rFonts w:ascii="Times New Roman" w:hAnsi="Times New Roman" w:cs="Times New Roman"/>
                <w:sz w:val="18"/>
                <w:szCs w:val="18"/>
              </w:rPr>
              <w:t>.</w:t>
            </w:r>
            <w:r w:rsidRPr="00E26088">
              <w:rPr>
                <w:rFonts w:ascii="Times New Roman" w:hAnsi="Times New Roman" w:cs="Times New Roman"/>
                <w:sz w:val="18"/>
                <w:szCs w:val="18"/>
              </w:rPr>
              <w:t>0</w:t>
            </w:r>
          </w:p>
        </w:tc>
        <w:tc>
          <w:tcPr>
            <w:tcW w:w="846" w:type="dxa"/>
            <w:vAlign w:val="center"/>
          </w:tcPr>
          <w:p w14:paraId="658AD407" w14:textId="3BB1567D" w:rsidR="005D601A" w:rsidRPr="00E26088" w:rsidRDefault="005D601A" w:rsidP="00DD31AB">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65</w:t>
            </w:r>
            <w:r w:rsidR="00DD31AB" w:rsidRPr="00E26088">
              <w:rPr>
                <w:rFonts w:ascii="Times New Roman" w:hAnsi="Times New Roman" w:cs="Times New Roman"/>
                <w:sz w:val="18"/>
                <w:szCs w:val="18"/>
              </w:rPr>
              <w:t>,</w:t>
            </w:r>
            <w:r w:rsidRPr="00E26088">
              <w:rPr>
                <w:rFonts w:ascii="Times New Roman" w:hAnsi="Times New Roman" w:cs="Times New Roman"/>
                <w:sz w:val="18"/>
                <w:szCs w:val="18"/>
              </w:rPr>
              <w:t>1</w:t>
            </w:r>
            <w:r w:rsidR="00DD31AB" w:rsidRPr="00E26088">
              <w:rPr>
                <w:rFonts w:ascii="Times New Roman" w:hAnsi="Times New Roman" w:cs="Times New Roman"/>
                <w:sz w:val="18"/>
                <w:szCs w:val="18"/>
              </w:rPr>
              <w:t>1</w:t>
            </w:r>
            <w:r w:rsidRPr="00E26088">
              <w:rPr>
                <w:rFonts w:ascii="Times New Roman" w:hAnsi="Times New Roman" w:cs="Times New Roman"/>
                <w:sz w:val="18"/>
                <w:szCs w:val="18"/>
              </w:rPr>
              <w:t>5</w:t>
            </w:r>
            <w:r w:rsidR="00DD31AB" w:rsidRPr="00E26088">
              <w:rPr>
                <w:rFonts w:ascii="Times New Roman" w:hAnsi="Times New Roman" w:cs="Times New Roman"/>
                <w:sz w:val="18"/>
                <w:szCs w:val="18"/>
              </w:rPr>
              <w:t>.</w:t>
            </w:r>
            <w:r w:rsidRPr="00E26088">
              <w:rPr>
                <w:rFonts w:ascii="Times New Roman" w:hAnsi="Times New Roman" w:cs="Times New Roman"/>
                <w:sz w:val="18"/>
                <w:szCs w:val="18"/>
              </w:rPr>
              <w:t>0</w:t>
            </w:r>
          </w:p>
        </w:tc>
        <w:tc>
          <w:tcPr>
            <w:tcW w:w="846" w:type="dxa"/>
            <w:vAlign w:val="center"/>
          </w:tcPr>
          <w:p w14:paraId="19F50C07" w14:textId="176AF940" w:rsidR="005D601A" w:rsidRPr="00E26088" w:rsidRDefault="005D601A" w:rsidP="00DD31AB">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65</w:t>
            </w:r>
            <w:r w:rsidR="00DD31AB" w:rsidRPr="00E26088">
              <w:rPr>
                <w:rFonts w:ascii="Times New Roman" w:hAnsi="Times New Roman" w:cs="Times New Roman"/>
                <w:sz w:val="18"/>
                <w:szCs w:val="18"/>
              </w:rPr>
              <w:t>,4</w:t>
            </w:r>
            <w:r w:rsidRPr="00E26088">
              <w:rPr>
                <w:rFonts w:ascii="Times New Roman" w:hAnsi="Times New Roman" w:cs="Times New Roman"/>
                <w:sz w:val="18"/>
                <w:szCs w:val="18"/>
              </w:rPr>
              <w:t>54</w:t>
            </w:r>
            <w:r w:rsidR="00DD31AB" w:rsidRPr="00E26088">
              <w:rPr>
                <w:rFonts w:ascii="Times New Roman" w:hAnsi="Times New Roman" w:cs="Times New Roman"/>
                <w:sz w:val="18"/>
                <w:szCs w:val="18"/>
              </w:rPr>
              <w:t>.</w:t>
            </w:r>
            <w:r w:rsidRPr="00E26088">
              <w:rPr>
                <w:rFonts w:ascii="Times New Roman" w:hAnsi="Times New Roman" w:cs="Times New Roman"/>
                <w:sz w:val="18"/>
                <w:szCs w:val="18"/>
              </w:rPr>
              <w:t>0</w:t>
            </w:r>
          </w:p>
        </w:tc>
        <w:tc>
          <w:tcPr>
            <w:tcW w:w="1553" w:type="dxa"/>
            <w:vAlign w:val="center"/>
          </w:tcPr>
          <w:p w14:paraId="68DB2934" w14:textId="698540E6" w:rsidR="005D601A" w:rsidRPr="00E26088" w:rsidRDefault="005D601A" w:rsidP="00DD31AB">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372</w:t>
            </w:r>
            <w:r w:rsidR="00DD31AB" w:rsidRPr="00E26088">
              <w:rPr>
                <w:rFonts w:ascii="Times New Roman" w:hAnsi="Times New Roman" w:cs="Times New Roman"/>
                <w:sz w:val="18"/>
                <w:szCs w:val="18"/>
              </w:rPr>
              <w:t>.</w:t>
            </w:r>
            <w:r w:rsidRPr="00E26088">
              <w:rPr>
                <w:rFonts w:ascii="Times New Roman" w:hAnsi="Times New Roman" w:cs="Times New Roman"/>
                <w:sz w:val="18"/>
                <w:szCs w:val="18"/>
              </w:rPr>
              <w:t>0</w:t>
            </w:r>
          </w:p>
        </w:tc>
        <w:tc>
          <w:tcPr>
            <w:tcW w:w="1842" w:type="dxa"/>
            <w:vAlign w:val="center"/>
          </w:tcPr>
          <w:p w14:paraId="3AC8A6BA" w14:textId="7D2B8A99" w:rsidR="005D601A" w:rsidRPr="00E26088" w:rsidRDefault="005D601A" w:rsidP="00DD31AB">
            <w:pPr>
              <w:spacing w:after="0" w:line="240" w:lineRule="auto"/>
              <w:jc w:val="center"/>
              <w:rPr>
                <w:rFonts w:ascii="Times New Roman" w:hAnsi="Times New Roman" w:cs="Times New Roman"/>
                <w:sz w:val="18"/>
                <w:szCs w:val="18"/>
              </w:rPr>
            </w:pPr>
            <w:r w:rsidRPr="00E26088">
              <w:rPr>
                <w:rFonts w:ascii="Times New Roman" w:hAnsi="Times New Roman" w:cs="Times New Roman"/>
                <w:sz w:val="18"/>
                <w:szCs w:val="18"/>
              </w:rPr>
              <w:t>0</w:t>
            </w:r>
            <w:r w:rsidR="00DD31AB" w:rsidRPr="00E26088">
              <w:rPr>
                <w:rFonts w:ascii="Times New Roman" w:hAnsi="Times New Roman" w:cs="Times New Roman"/>
                <w:sz w:val="18"/>
                <w:szCs w:val="18"/>
              </w:rPr>
              <w:t>.</w:t>
            </w:r>
            <w:r w:rsidRPr="00E26088">
              <w:rPr>
                <w:rFonts w:ascii="Times New Roman" w:hAnsi="Times New Roman" w:cs="Times New Roman"/>
                <w:sz w:val="18"/>
                <w:szCs w:val="18"/>
              </w:rPr>
              <w:t>5</w:t>
            </w:r>
          </w:p>
        </w:tc>
      </w:tr>
    </w:tbl>
    <w:p w14:paraId="74BF6DC9" w14:textId="77777777" w:rsidR="002C5B48" w:rsidRPr="000A28CE" w:rsidRDefault="002C5B48" w:rsidP="00DE4111">
      <w:pPr>
        <w:spacing w:after="0" w:line="240" w:lineRule="auto"/>
        <w:ind w:firstLine="284"/>
        <w:jc w:val="both"/>
        <w:rPr>
          <w:rFonts w:ascii="Times New Roman" w:hAnsi="Times New Roman" w:cs="Times New Roman"/>
          <w:sz w:val="20"/>
        </w:rPr>
      </w:pPr>
    </w:p>
    <w:p w14:paraId="4A8DC5E4" w14:textId="77777777" w:rsidR="00A05A48" w:rsidRPr="00A05A48" w:rsidRDefault="00A05A48" w:rsidP="00A05A48">
      <w:pPr>
        <w:spacing w:after="0" w:line="240" w:lineRule="auto"/>
        <w:ind w:firstLine="284"/>
        <w:jc w:val="both"/>
        <w:rPr>
          <w:rFonts w:ascii="Times New Roman" w:hAnsi="Times New Roman" w:cs="Times New Roman"/>
          <w:sz w:val="20"/>
          <w:lang w:val="uz-Cyrl-UZ"/>
        </w:rPr>
      </w:pPr>
      <w:r w:rsidRPr="00A05A48">
        <w:rPr>
          <w:rFonts w:ascii="Times New Roman" w:hAnsi="Times New Roman" w:cs="Times New Roman"/>
          <w:sz w:val="20"/>
          <w:lang w:val="uz-Cyrl-UZ"/>
        </w:rPr>
        <w:t>During the period 2019–2023, the total asset value of Uzbekneftegaz JSC increased from 64,092.0 million UZS to 65,454.0 million UZS. This represents a growth factor of 1.02, indicating a stable expansion of the company’s asset base over the analyzed years. At the same time, compared to 2023, the total asset value in 2024 is projected to increase by 372.0 million UZS, or 0.5%. This growth is primarily driven by a substantial increase in long-term assets, which rose by 11.3%. Such dynamics reflect the effectiveness of Uzbekneftegaz JSC’s strategic focus on capital construction, project-based investments, and technological modernization.</w:t>
      </w:r>
    </w:p>
    <w:p w14:paraId="2EA6D0E8" w14:textId="2BD5F792" w:rsidR="002C5B48" w:rsidRDefault="00A05A48" w:rsidP="00A05A48">
      <w:pPr>
        <w:spacing w:after="0" w:line="240" w:lineRule="auto"/>
        <w:ind w:firstLine="284"/>
        <w:jc w:val="both"/>
        <w:rPr>
          <w:rFonts w:ascii="Times New Roman" w:hAnsi="Times New Roman" w:cs="Times New Roman"/>
          <w:sz w:val="20"/>
          <w:lang w:val="uz-Cyrl-UZ"/>
        </w:rPr>
      </w:pPr>
      <w:r w:rsidRPr="00A05A48">
        <w:rPr>
          <w:rFonts w:ascii="Times New Roman" w:hAnsi="Times New Roman" w:cs="Times New Roman"/>
          <w:sz w:val="20"/>
          <w:lang w:val="uz-Cyrl-UZ"/>
        </w:rPr>
        <w:t>According to the table data, in 2023 long-term assets amounted to 54,931.0 million UZS and occupied a dominant position in the overall asset structure. This, in turn, indicates a high level of investment activity directed toward the modernization of oil and gas extraction, processing, and transportation infrastructure. Current assets totaled 14,985.0 million UZS, and their projected growth of 2.1% in 2024 reflects the company’s effective policy aimed at improving working capital turnover and maintaining liquidity. This trend demonstrates a balanced approach to resource management: long-term investments ensure strategic stability, while current assets guarantee the company’s short-term solvency.</w:t>
      </w:r>
    </w:p>
    <w:p w14:paraId="4A876D7C" w14:textId="77777777" w:rsidR="00F038AD" w:rsidRPr="00F038AD" w:rsidRDefault="00F038AD" w:rsidP="00A05A48">
      <w:pPr>
        <w:spacing w:after="0" w:line="240" w:lineRule="auto"/>
        <w:ind w:firstLine="284"/>
        <w:jc w:val="both"/>
        <w:rPr>
          <w:rFonts w:ascii="Times New Roman" w:hAnsi="Times New Roman" w:cs="Times New Roman"/>
          <w:sz w:val="10"/>
          <w:szCs w:val="10"/>
          <w:lang w:val="uz-Cyrl-UZ"/>
        </w:rPr>
      </w:pPr>
    </w:p>
    <w:p w14:paraId="434105EE" w14:textId="61086474" w:rsidR="002C5B48" w:rsidRPr="00CB081A" w:rsidRDefault="00CB081A" w:rsidP="007B0CAD">
      <w:pPr>
        <w:spacing w:after="0" w:line="240" w:lineRule="auto"/>
        <w:ind w:firstLine="284"/>
        <w:jc w:val="center"/>
        <w:rPr>
          <w:rFonts w:ascii="Times New Roman" w:hAnsi="Times New Roman" w:cs="Times New Roman"/>
          <w:sz w:val="20"/>
          <w:lang w:val="uz-Cyrl-UZ"/>
        </w:rPr>
      </w:pPr>
      <w:r w:rsidRPr="00CB081A">
        <w:rPr>
          <w:rFonts w:ascii="Times New Roman" w:hAnsi="Times New Roman" w:cs="Times New Roman"/>
          <w:noProof/>
          <w:sz w:val="20"/>
          <w:lang w:val="ru-RU" w:eastAsia="ru-RU"/>
        </w:rPr>
        <w:drawing>
          <wp:inline distT="0" distB="0" distL="0" distR="0" wp14:anchorId="1A02AFE7" wp14:editId="678495C2">
            <wp:extent cx="3967511" cy="2097741"/>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2346"/>
                    <a:stretch/>
                  </pic:blipFill>
                  <pic:spPr bwMode="auto">
                    <a:xfrm>
                      <a:off x="0" y="0"/>
                      <a:ext cx="4065490" cy="2149545"/>
                    </a:xfrm>
                    <a:prstGeom prst="rect">
                      <a:avLst/>
                    </a:prstGeom>
                    <a:ln>
                      <a:noFill/>
                    </a:ln>
                    <a:extLst>
                      <a:ext uri="{53640926-AAD7-44D8-BBD7-CCE9431645EC}">
                        <a14:shadowObscured xmlns:a14="http://schemas.microsoft.com/office/drawing/2010/main"/>
                      </a:ext>
                    </a:extLst>
                  </pic:spPr>
                </pic:pic>
              </a:graphicData>
            </a:graphic>
          </wp:inline>
        </w:drawing>
      </w:r>
    </w:p>
    <w:p w14:paraId="7760B13C" w14:textId="7245DE61" w:rsidR="00F404CD" w:rsidRPr="00F038AD" w:rsidRDefault="00F404CD" w:rsidP="0029654D">
      <w:pPr>
        <w:spacing w:before="120" w:after="0" w:line="240" w:lineRule="auto"/>
        <w:ind w:firstLine="284"/>
        <w:jc w:val="center"/>
        <w:rPr>
          <w:rFonts w:ascii="Times New Roman" w:hAnsi="Times New Roman"/>
          <w:sz w:val="20"/>
          <w:szCs w:val="20"/>
        </w:rPr>
      </w:pPr>
      <w:r w:rsidRPr="0029654D">
        <w:rPr>
          <w:rFonts w:ascii="Times New Roman" w:hAnsi="Times New Roman"/>
          <w:b/>
          <w:sz w:val="20"/>
          <w:szCs w:val="20"/>
        </w:rPr>
        <w:t xml:space="preserve">FIGURE </w:t>
      </w:r>
      <w:r w:rsidR="00CF1F4C" w:rsidRPr="0029654D">
        <w:rPr>
          <w:rFonts w:ascii="Times New Roman" w:hAnsi="Times New Roman"/>
          <w:b/>
          <w:sz w:val="20"/>
          <w:szCs w:val="20"/>
        </w:rPr>
        <w:t>1</w:t>
      </w:r>
      <w:r w:rsidRPr="0029654D">
        <w:rPr>
          <w:rFonts w:ascii="Times New Roman" w:hAnsi="Times New Roman"/>
          <w:b/>
          <w:sz w:val="20"/>
          <w:szCs w:val="20"/>
        </w:rPr>
        <w:t xml:space="preserve">. </w:t>
      </w:r>
      <w:r w:rsidRPr="0029654D">
        <w:rPr>
          <w:rFonts w:ascii="Times New Roman" w:hAnsi="Times New Roman"/>
          <w:sz w:val="20"/>
          <w:szCs w:val="20"/>
        </w:rPr>
        <w:t>Analysis of the Asset Structure (Funds) of JSC “</w:t>
      </w:r>
      <w:proofErr w:type="spellStart"/>
      <w:r w:rsidRPr="0029654D">
        <w:rPr>
          <w:rFonts w:ascii="Times New Roman" w:hAnsi="Times New Roman"/>
          <w:sz w:val="20"/>
          <w:szCs w:val="20"/>
        </w:rPr>
        <w:t>Uzbekneftegaz</w:t>
      </w:r>
      <w:proofErr w:type="spellEnd"/>
      <w:r w:rsidRPr="0029654D">
        <w:rPr>
          <w:rFonts w:ascii="Times New Roman" w:hAnsi="Times New Roman"/>
          <w:sz w:val="20"/>
          <w:szCs w:val="20"/>
        </w:rPr>
        <w:t>” for 2019–2024 (million UZS)</w:t>
      </w:r>
    </w:p>
    <w:p w14:paraId="442669BF" w14:textId="5E65B573" w:rsidR="00F404CD" w:rsidRPr="00F404CD" w:rsidRDefault="00F404CD" w:rsidP="00F404CD">
      <w:pPr>
        <w:spacing w:after="0" w:line="240" w:lineRule="auto"/>
        <w:ind w:firstLine="284"/>
        <w:jc w:val="both"/>
        <w:rPr>
          <w:rFonts w:ascii="Times New Roman" w:hAnsi="Times New Roman" w:cs="Times New Roman"/>
          <w:sz w:val="20"/>
          <w:lang w:val="uz-Cyrl-UZ"/>
        </w:rPr>
      </w:pPr>
      <w:r w:rsidRPr="00F404CD">
        <w:rPr>
          <w:rFonts w:ascii="Times New Roman" w:hAnsi="Times New Roman" w:cs="Times New Roman"/>
          <w:sz w:val="20"/>
          <w:lang w:val="uz-Cyrl-UZ"/>
        </w:rPr>
        <w:lastRenderedPageBreak/>
        <w:t>The results of the analysis indicate that a process of capital reallocation toward technological factors is underway in the asset structure of JSC “Uzbekneftegaz.” In particular, the company is implementing its financial strategy through the modernization of the resource support system and alignment with ESG principles. This approach ensures not only quantitative growth in the value of property and assets, but also their qualitative development. The transformation is reflected not merely in the increasing share of fixed assets, but also in the capitalization of intangible assets, including technologies, licenses, and project engineering solutions</w:t>
      </w:r>
      <w:r w:rsidR="0019146C">
        <w:rPr>
          <w:rFonts w:ascii="Times New Roman" w:hAnsi="Times New Roman" w:cs="Times New Roman"/>
          <w:sz w:val="20"/>
        </w:rPr>
        <w:t xml:space="preserve"> []</w:t>
      </w:r>
      <w:r w:rsidRPr="00F404CD">
        <w:rPr>
          <w:rFonts w:ascii="Times New Roman" w:hAnsi="Times New Roman" w:cs="Times New Roman"/>
          <w:sz w:val="20"/>
          <w:lang w:val="uz-Cyrl-UZ"/>
        </w:rPr>
        <w:t>.</w:t>
      </w:r>
    </w:p>
    <w:p w14:paraId="6EB7A88D" w14:textId="57621660" w:rsidR="002C5B48" w:rsidRDefault="00F404CD" w:rsidP="00F404CD">
      <w:pPr>
        <w:spacing w:after="0" w:line="240" w:lineRule="auto"/>
        <w:ind w:firstLine="284"/>
        <w:jc w:val="both"/>
        <w:rPr>
          <w:rFonts w:ascii="Times New Roman" w:hAnsi="Times New Roman" w:cs="Times New Roman"/>
          <w:sz w:val="20"/>
          <w:lang w:val="uz-Cyrl-UZ"/>
        </w:rPr>
      </w:pPr>
      <w:r w:rsidRPr="00F404CD">
        <w:rPr>
          <w:rFonts w:ascii="Times New Roman" w:hAnsi="Times New Roman" w:cs="Times New Roman"/>
          <w:sz w:val="20"/>
          <w:lang w:val="uz-Cyrl-UZ"/>
        </w:rPr>
        <w:t>In conclusion, the analysis of JSC “Uzbekneftegaz” assets for the period 2019–2024 demonstrates a clear trend toward diversification of economic resources, balanced development of the capital structure, and improved efficiency in the utilization of fixed assets. These trends contribute to strengthening the company’s financial stability, enhancing rational resource management, and preserving production capacity in the long-term perspective.</w:t>
      </w:r>
    </w:p>
    <w:p w14:paraId="66398DC7" w14:textId="3FDDF207" w:rsidR="007562D2" w:rsidRDefault="007B0CAD" w:rsidP="00DE4111">
      <w:pPr>
        <w:spacing w:after="0" w:line="240" w:lineRule="auto"/>
        <w:ind w:firstLine="284"/>
        <w:jc w:val="both"/>
        <w:rPr>
          <w:rFonts w:ascii="Times New Roman" w:hAnsi="Times New Roman" w:cs="Times New Roman"/>
          <w:sz w:val="20"/>
          <w:lang w:val="uz-Cyrl-UZ"/>
        </w:rPr>
      </w:pPr>
      <w:r w:rsidRPr="007B0CAD">
        <w:rPr>
          <w:rFonts w:ascii="Times New Roman" w:hAnsi="Times New Roman" w:cs="Times New Roman"/>
          <w:sz w:val="20"/>
          <w:lang w:val="uz-Cyrl-UZ"/>
        </w:rPr>
        <w:t>The liabilities of an enterprise represent the sources of its financial resources and reflect the key directions of its financing strategy. They consist of equity and liabilities, thereby determining both the internal capacity for financial stability (development based on own capital) and external financing opportunities (funding through borrowed resources). In the case of Uzbekneftegaz JSC, an analysis of liability dynamics makes it possible to assess how the company’s economic resource base has been restructured since 2020. This, in turn, provides insights into changes in the balance between equity and borrowed capital, the evolution of the company’s financial leverage, and the sustainability of its long-term development strategy.</w:t>
      </w:r>
    </w:p>
    <w:p w14:paraId="21F8E347" w14:textId="77777777" w:rsidR="00CD6A1B" w:rsidRDefault="00CD6A1B" w:rsidP="00CD6A1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0"/>
          <w:szCs w:val="20"/>
          <w:lang w:eastAsia="de-DE"/>
        </w:rPr>
      </w:pPr>
    </w:p>
    <w:p w14:paraId="57A1A112" w14:textId="74454F1C" w:rsidR="007B0CAD" w:rsidRPr="007B0CAD" w:rsidRDefault="007B0CAD" w:rsidP="007B0CA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r w:rsidRPr="008745D5">
        <w:rPr>
          <w:rFonts w:ascii="Times New Roman" w:hAnsi="Times New Roman" w:cs="Times New Roman"/>
          <w:b/>
          <w:sz w:val="20"/>
          <w:szCs w:val="20"/>
          <w:lang w:eastAsia="de-DE"/>
        </w:rPr>
        <w:t xml:space="preserve">TABLE </w:t>
      </w:r>
      <w:r w:rsidRPr="000E6653">
        <w:rPr>
          <w:rFonts w:ascii="Times New Roman" w:hAnsi="Times New Roman" w:cs="Times New Roman"/>
          <w:b/>
          <w:sz w:val="20"/>
          <w:szCs w:val="20"/>
          <w:lang w:eastAsia="de-DE"/>
        </w:rPr>
        <w:t>2</w:t>
      </w:r>
      <w:r w:rsidRPr="008745D5">
        <w:rPr>
          <w:rFonts w:ascii="Times New Roman" w:hAnsi="Times New Roman" w:cs="Times New Roman"/>
          <w:b/>
          <w:sz w:val="20"/>
          <w:szCs w:val="20"/>
          <w:lang w:eastAsia="de-DE"/>
        </w:rPr>
        <w:t>.</w:t>
      </w:r>
      <w:r w:rsidRPr="007B0CAD">
        <w:rPr>
          <w:rFonts w:ascii="Times New Roman" w:hAnsi="Times New Roman" w:cs="Times New Roman"/>
          <w:b/>
          <w:sz w:val="20"/>
          <w:szCs w:val="20"/>
          <w:lang w:eastAsia="de-DE"/>
        </w:rPr>
        <w:t xml:space="preserve"> </w:t>
      </w:r>
      <w:r w:rsidR="000E6653" w:rsidRPr="000E6653">
        <w:rPr>
          <w:rFonts w:ascii="Times New Roman" w:hAnsi="Times New Roman" w:cs="Times New Roman"/>
          <w:sz w:val="20"/>
          <w:szCs w:val="20"/>
          <w:lang w:eastAsia="de-DE"/>
        </w:rPr>
        <w:t xml:space="preserve">Analysis of </w:t>
      </w:r>
      <w:r w:rsidR="00CF1F4C" w:rsidRPr="00CF1F4C">
        <w:rPr>
          <w:rFonts w:ascii="Times New Roman" w:hAnsi="Times New Roman" w:cs="Times New Roman"/>
          <w:sz w:val="20"/>
          <w:szCs w:val="20"/>
          <w:lang w:eastAsia="de-DE"/>
        </w:rPr>
        <w:t>l</w:t>
      </w:r>
      <w:r w:rsidR="000E6653" w:rsidRPr="000E6653">
        <w:rPr>
          <w:rFonts w:ascii="Times New Roman" w:hAnsi="Times New Roman" w:cs="Times New Roman"/>
          <w:sz w:val="20"/>
          <w:szCs w:val="20"/>
          <w:lang w:eastAsia="de-DE"/>
        </w:rPr>
        <w:t>iabilities (</w:t>
      </w:r>
      <w:r w:rsidR="00CF1F4C">
        <w:rPr>
          <w:rFonts w:ascii="Times New Roman" w:hAnsi="Times New Roman" w:cs="Times New Roman"/>
          <w:sz w:val="20"/>
          <w:szCs w:val="20"/>
          <w:lang w:eastAsia="de-DE"/>
        </w:rPr>
        <w:t>s</w:t>
      </w:r>
      <w:r w:rsidR="000E6653" w:rsidRPr="000E6653">
        <w:rPr>
          <w:rFonts w:ascii="Times New Roman" w:hAnsi="Times New Roman" w:cs="Times New Roman"/>
          <w:sz w:val="20"/>
          <w:szCs w:val="20"/>
          <w:lang w:eastAsia="de-DE"/>
        </w:rPr>
        <w:t xml:space="preserve">ources of </w:t>
      </w:r>
      <w:r w:rsidR="00CF1F4C">
        <w:rPr>
          <w:rFonts w:ascii="Times New Roman" w:hAnsi="Times New Roman" w:cs="Times New Roman"/>
          <w:sz w:val="20"/>
          <w:szCs w:val="20"/>
          <w:lang w:eastAsia="de-DE"/>
        </w:rPr>
        <w:t>f</w:t>
      </w:r>
      <w:r w:rsidR="000E6653" w:rsidRPr="000E6653">
        <w:rPr>
          <w:rFonts w:ascii="Times New Roman" w:hAnsi="Times New Roman" w:cs="Times New Roman"/>
          <w:sz w:val="20"/>
          <w:szCs w:val="20"/>
          <w:lang w:eastAsia="de-DE"/>
        </w:rPr>
        <w:t>unds) of “</w:t>
      </w:r>
      <w:proofErr w:type="spellStart"/>
      <w:r w:rsidR="000E6653" w:rsidRPr="000E6653">
        <w:rPr>
          <w:rFonts w:ascii="Times New Roman" w:hAnsi="Times New Roman" w:cs="Times New Roman"/>
          <w:sz w:val="20"/>
          <w:szCs w:val="20"/>
          <w:lang w:eastAsia="de-DE"/>
        </w:rPr>
        <w:t>Uzbekneftegaz</w:t>
      </w:r>
      <w:proofErr w:type="spellEnd"/>
      <w:r w:rsidR="000E6653" w:rsidRPr="000E6653">
        <w:rPr>
          <w:rFonts w:ascii="Times New Roman" w:hAnsi="Times New Roman" w:cs="Times New Roman"/>
          <w:sz w:val="20"/>
          <w:szCs w:val="20"/>
          <w:lang w:eastAsia="de-DE"/>
        </w:rPr>
        <w:t>” JSC for 2019–2024 (million UZS)</w:t>
      </w:r>
      <w:r w:rsidR="00FA618A">
        <w:rPr>
          <w:rStyle w:val="a9"/>
          <w:rFonts w:ascii="Times New Roman" w:hAnsi="Times New Roman" w:cs="Times New Roman"/>
          <w:sz w:val="20"/>
          <w:szCs w:val="20"/>
          <w:lang w:eastAsia="de-DE"/>
        </w:rPr>
        <w:footnoteReference w:id="1"/>
      </w:r>
      <w:r w:rsidRPr="007B0CAD">
        <w:rPr>
          <w:rFonts w:ascii="Times New Roman" w:hAnsi="Times New Roman" w:cs="Times New Roman"/>
          <w:sz w:val="20"/>
          <w:szCs w:val="20"/>
          <w:lang w:eastAsia="de-DE"/>
        </w:rPr>
        <w:t>.</w:t>
      </w:r>
    </w:p>
    <w:tbl>
      <w:tblPr>
        <w:tblW w:w="8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27"/>
        <w:gridCol w:w="740"/>
        <w:gridCol w:w="772"/>
        <w:gridCol w:w="850"/>
        <w:gridCol w:w="851"/>
        <w:gridCol w:w="746"/>
        <w:gridCol w:w="1564"/>
        <w:gridCol w:w="1275"/>
      </w:tblGrid>
      <w:tr w:rsidR="00AC34C9" w:rsidRPr="00F51AF1" w14:paraId="6B6C5CE5" w14:textId="77777777" w:rsidTr="00505AE6">
        <w:trPr>
          <w:trHeight w:val="283"/>
          <w:jc w:val="center"/>
        </w:trPr>
        <w:tc>
          <w:tcPr>
            <w:tcW w:w="2027" w:type="dxa"/>
            <w:vMerge w:val="restart"/>
            <w:vAlign w:val="center"/>
          </w:tcPr>
          <w:p w14:paraId="02A0D6AA" w14:textId="1A4E27B9" w:rsidR="00AC34C9" w:rsidRPr="00F51AF1" w:rsidRDefault="00F51AF1" w:rsidP="00CD6A1B">
            <w:pPr>
              <w:spacing w:after="0" w:line="240" w:lineRule="auto"/>
              <w:jc w:val="center"/>
              <w:rPr>
                <w:rFonts w:ascii="Times New Roman" w:hAnsi="Times New Roman" w:cs="Times New Roman"/>
                <w:sz w:val="20"/>
                <w:szCs w:val="20"/>
              </w:rPr>
            </w:pPr>
            <w:r w:rsidRPr="00F51AF1">
              <w:rPr>
                <w:rFonts w:ascii="Times New Roman" w:hAnsi="Times New Roman" w:cs="Times New Roman"/>
                <w:sz w:val="20"/>
                <w:szCs w:val="20"/>
              </w:rPr>
              <w:t>Liabilities of the enterprise</w:t>
            </w:r>
          </w:p>
        </w:tc>
        <w:tc>
          <w:tcPr>
            <w:tcW w:w="3959" w:type="dxa"/>
            <w:gridSpan w:val="5"/>
            <w:vAlign w:val="center"/>
          </w:tcPr>
          <w:p w14:paraId="6F57D9D9" w14:textId="64833FE3" w:rsidR="00AC34C9" w:rsidRPr="00F51AF1" w:rsidRDefault="00CD6A1B" w:rsidP="00CD6A1B">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Years</w:t>
            </w:r>
          </w:p>
        </w:tc>
        <w:tc>
          <w:tcPr>
            <w:tcW w:w="1564" w:type="dxa"/>
            <w:vMerge w:val="restart"/>
            <w:vAlign w:val="center"/>
          </w:tcPr>
          <w:p w14:paraId="184D4C7A" w14:textId="25A40300" w:rsidR="00AC34C9" w:rsidRPr="00F51AF1" w:rsidRDefault="00CD6A1B" w:rsidP="00CD6A1B">
            <w:pPr>
              <w:spacing w:after="0" w:line="240" w:lineRule="auto"/>
              <w:jc w:val="center"/>
              <w:rPr>
                <w:rFonts w:ascii="Times New Roman" w:hAnsi="Times New Roman" w:cs="Times New Roman"/>
                <w:sz w:val="20"/>
                <w:szCs w:val="20"/>
              </w:rPr>
            </w:pPr>
            <w:r w:rsidRPr="00CD6A1B">
              <w:rPr>
                <w:rFonts w:ascii="Times New Roman" w:hAnsi="Times New Roman" w:cs="Times New Roman"/>
                <w:sz w:val="20"/>
                <w:szCs w:val="20"/>
              </w:rPr>
              <w:t>Change in 2024 compared to 2023 (million UZS)</w:t>
            </w:r>
          </w:p>
        </w:tc>
        <w:tc>
          <w:tcPr>
            <w:tcW w:w="1275" w:type="dxa"/>
            <w:vMerge w:val="restart"/>
            <w:vAlign w:val="center"/>
          </w:tcPr>
          <w:p w14:paraId="687BAB6D" w14:textId="62E89CA5" w:rsidR="00AC34C9" w:rsidRPr="00F51AF1" w:rsidRDefault="00CD6A1B" w:rsidP="00CD6A1B">
            <w:pPr>
              <w:spacing w:after="0" w:line="240" w:lineRule="auto"/>
              <w:jc w:val="center"/>
              <w:rPr>
                <w:rFonts w:ascii="Times New Roman" w:hAnsi="Times New Roman" w:cs="Times New Roman"/>
                <w:sz w:val="20"/>
                <w:szCs w:val="20"/>
              </w:rPr>
            </w:pPr>
            <w:r w:rsidRPr="00CD6A1B">
              <w:rPr>
                <w:rFonts w:ascii="Times New Roman" w:hAnsi="Times New Roman" w:cs="Times New Roman"/>
                <w:sz w:val="20"/>
                <w:szCs w:val="20"/>
              </w:rPr>
              <w:t>Change in 2024 compared to 2023 (%)</w:t>
            </w:r>
          </w:p>
        </w:tc>
      </w:tr>
      <w:tr w:rsidR="00AC34C9" w:rsidRPr="00F51AF1" w14:paraId="7E955338" w14:textId="77777777" w:rsidTr="00505AE6">
        <w:trPr>
          <w:trHeight w:val="52"/>
          <w:jc w:val="center"/>
        </w:trPr>
        <w:tc>
          <w:tcPr>
            <w:tcW w:w="2027" w:type="dxa"/>
            <w:vMerge/>
            <w:vAlign w:val="center"/>
          </w:tcPr>
          <w:p w14:paraId="3734B766" w14:textId="77777777" w:rsidR="00AC34C9" w:rsidRPr="00F51AF1" w:rsidRDefault="00AC34C9" w:rsidP="00CD6A1B">
            <w:pPr>
              <w:spacing w:after="0" w:line="240" w:lineRule="auto"/>
              <w:jc w:val="center"/>
              <w:rPr>
                <w:rFonts w:ascii="Times New Roman" w:hAnsi="Times New Roman" w:cs="Times New Roman"/>
                <w:sz w:val="20"/>
                <w:szCs w:val="20"/>
              </w:rPr>
            </w:pPr>
          </w:p>
        </w:tc>
        <w:tc>
          <w:tcPr>
            <w:tcW w:w="740" w:type="dxa"/>
            <w:vAlign w:val="center"/>
          </w:tcPr>
          <w:p w14:paraId="7C6CA7C8" w14:textId="77777777" w:rsidR="00AC34C9" w:rsidRPr="00F51AF1" w:rsidRDefault="00AC34C9" w:rsidP="00CD6A1B">
            <w:pPr>
              <w:spacing w:after="0" w:line="240" w:lineRule="auto"/>
              <w:jc w:val="center"/>
              <w:rPr>
                <w:rFonts w:ascii="Times New Roman" w:hAnsi="Times New Roman" w:cs="Times New Roman"/>
                <w:sz w:val="20"/>
                <w:szCs w:val="20"/>
              </w:rPr>
            </w:pPr>
            <w:r w:rsidRPr="00F51AF1">
              <w:rPr>
                <w:rFonts w:ascii="Times New Roman" w:hAnsi="Times New Roman" w:cs="Times New Roman"/>
                <w:sz w:val="20"/>
                <w:szCs w:val="20"/>
              </w:rPr>
              <w:t>2019</w:t>
            </w:r>
          </w:p>
        </w:tc>
        <w:tc>
          <w:tcPr>
            <w:tcW w:w="772" w:type="dxa"/>
            <w:vAlign w:val="center"/>
          </w:tcPr>
          <w:p w14:paraId="6F6D9ACA" w14:textId="77777777" w:rsidR="00AC34C9" w:rsidRPr="00F51AF1" w:rsidRDefault="00AC34C9" w:rsidP="00CD6A1B">
            <w:pPr>
              <w:spacing w:after="0" w:line="240" w:lineRule="auto"/>
              <w:jc w:val="center"/>
              <w:rPr>
                <w:rFonts w:ascii="Times New Roman" w:hAnsi="Times New Roman" w:cs="Times New Roman"/>
                <w:sz w:val="20"/>
                <w:szCs w:val="20"/>
              </w:rPr>
            </w:pPr>
            <w:r w:rsidRPr="00F51AF1">
              <w:rPr>
                <w:rFonts w:ascii="Times New Roman" w:hAnsi="Times New Roman" w:cs="Times New Roman"/>
                <w:sz w:val="20"/>
                <w:szCs w:val="20"/>
              </w:rPr>
              <w:t>2020</w:t>
            </w:r>
          </w:p>
        </w:tc>
        <w:tc>
          <w:tcPr>
            <w:tcW w:w="850" w:type="dxa"/>
            <w:vAlign w:val="center"/>
          </w:tcPr>
          <w:p w14:paraId="5AD83064" w14:textId="77777777" w:rsidR="00AC34C9" w:rsidRPr="00F51AF1" w:rsidRDefault="00AC34C9" w:rsidP="00CD6A1B">
            <w:pPr>
              <w:spacing w:after="0" w:line="240" w:lineRule="auto"/>
              <w:jc w:val="center"/>
              <w:rPr>
                <w:rFonts w:ascii="Times New Roman" w:hAnsi="Times New Roman" w:cs="Times New Roman"/>
                <w:sz w:val="20"/>
                <w:szCs w:val="20"/>
              </w:rPr>
            </w:pPr>
            <w:r w:rsidRPr="00F51AF1">
              <w:rPr>
                <w:rFonts w:ascii="Times New Roman" w:hAnsi="Times New Roman" w:cs="Times New Roman"/>
                <w:sz w:val="20"/>
                <w:szCs w:val="20"/>
              </w:rPr>
              <w:t>2021</w:t>
            </w:r>
          </w:p>
        </w:tc>
        <w:tc>
          <w:tcPr>
            <w:tcW w:w="851" w:type="dxa"/>
            <w:vAlign w:val="center"/>
          </w:tcPr>
          <w:p w14:paraId="32C553A8" w14:textId="77777777" w:rsidR="00AC34C9" w:rsidRPr="00F51AF1" w:rsidRDefault="00AC34C9" w:rsidP="00CD6A1B">
            <w:pPr>
              <w:spacing w:after="0" w:line="240" w:lineRule="auto"/>
              <w:jc w:val="center"/>
              <w:rPr>
                <w:rFonts w:ascii="Times New Roman" w:hAnsi="Times New Roman" w:cs="Times New Roman"/>
                <w:sz w:val="20"/>
                <w:szCs w:val="20"/>
              </w:rPr>
            </w:pPr>
            <w:r w:rsidRPr="00F51AF1">
              <w:rPr>
                <w:rFonts w:ascii="Times New Roman" w:hAnsi="Times New Roman" w:cs="Times New Roman"/>
                <w:sz w:val="20"/>
                <w:szCs w:val="20"/>
              </w:rPr>
              <w:t>2022</w:t>
            </w:r>
          </w:p>
        </w:tc>
        <w:tc>
          <w:tcPr>
            <w:tcW w:w="746" w:type="dxa"/>
            <w:vAlign w:val="center"/>
          </w:tcPr>
          <w:p w14:paraId="57271A03" w14:textId="77777777" w:rsidR="00AC34C9" w:rsidRPr="00F51AF1" w:rsidRDefault="00AC34C9" w:rsidP="00CD6A1B">
            <w:pPr>
              <w:spacing w:after="0" w:line="240" w:lineRule="auto"/>
              <w:jc w:val="center"/>
              <w:rPr>
                <w:rFonts w:ascii="Times New Roman" w:hAnsi="Times New Roman" w:cs="Times New Roman"/>
                <w:sz w:val="20"/>
                <w:szCs w:val="20"/>
              </w:rPr>
            </w:pPr>
            <w:r w:rsidRPr="00F51AF1">
              <w:rPr>
                <w:rFonts w:ascii="Times New Roman" w:hAnsi="Times New Roman" w:cs="Times New Roman"/>
                <w:sz w:val="20"/>
                <w:szCs w:val="20"/>
              </w:rPr>
              <w:t>2023</w:t>
            </w:r>
          </w:p>
        </w:tc>
        <w:tc>
          <w:tcPr>
            <w:tcW w:w="1564" w:type="dxa"/>
            <w:vMerge/>
            <w:vAlign w:val="center"/>
          </w:tcPr>
          <w:p w14:paraId="121DD7F5" w14:textId="77777777" w:rsidR="00AC34C9" w:rsidRPr="00F51AF1" w:rsidRDefault="00AC34C9" w:rsidP="00CD6A1B">
            <w:pPr>
              <w:spacing w:after="0" w:line="240" w:lineRule="auto"/>
              <w:jc w:val="center"/>
              <w:rPr>
                <w:rFonts w:ascii="Times New Roman" w:hAnsi="Times New Roman" w:cs="Times New Roman"/>
                <w:sz w:val="20"/>
                <w:szCs w:val="20"/>
              </w:rPr>
            </w:pPr>
          </w:p>
        </w:tc>
        <w:tc>
          <w:tcPr>
            <w:tcW w:w="1275" w:type="dxa"/>
            <w:vMerge/>
            <w:vAlign w:val="center"/>
          </w:tcPr>
          <w:p w14:paraId="1DF296F1" w14:textId="77777777" w:rsidR="00AC34C9" w:rsidRPr="00F51AF1" w:rsidRDefault="00AC34C9" w:rsidP="00CD6A1B">
            <w:pPr>
              <w:spacing w:after="0" w:line="240" w:lineRule="auto"/>
              <w:jc w:val="center"/>
              <w:rPr>
                <w:rFonts w:ascii="Times New Roman" w:hAnsi="Times New Roman" w:cs="Times New Roman"/>
                <w:sz w:val="20"/>
                <w:szCs w:val="20"/>
              </w:rPr>
            </w:pPr>
          </w:p>
        </w:tc>
      </w:tr>
      <w:tr w:rsidR="00505AE6" w:rsidRPr="00F51AF1" w14:paraId="53CE47E0" w14:textId="77777777" w:rsidTr="00505AE6">
        <w:trPr>
          <w:trHeight w:val="129"/>
          <w:jc w:val="center"/>
        </w:trPr>
        <w:tc>
          <w:tcPr>
            <w:tcW w:w="2027" w:type="dxa"/>
            <w:vAlign w:val="center"/>
          </w:tcPr>
          <w:p w14:paraId="0F91514D" w14:textId="42EE4F41" w:rsidR="00505AE6" w:rsidRPr="00F51AF1" w:rsidRDefault="00505AE6" w:rsidP="00505AE6">
            <w:pPr>
              <w:spacing w:after="0" w:line="240" w:lineRule="auto"/>
              <w:jc w:val="center"/>
              <w:rPr>
                <w:rFonts w:ascii="Times New Roman" w:hAnsi="Times New Roman" w:cs="Times New Roman"/>
                <w:sz w:val="20"/>
                <w:szCs w:val="20"/>
              </w:rPr>
            </w:pPr>
            <w:r w:rsidRPr="00CD6A1B">
              <w:rPr>
                <w:rFonts w:ascii="Times New Roman" w:hAnsi="Times New Roman" w:cs="Times New Roman"/>
                <w:sz w:val="20"/>
                <w:szCs w:val="20"/>
              </w:rPr>
              <w:t>Total sources of funds</w:t>
            </w:r>
          </w:p>
        </w:tc>
        <w:tc>
          <w:tcPr>
            <w:tcW w:w="740" w:type="dxa"/>
          </w:tcPr>
          <w:p w14:paraId="54E8C160" w14:textId="74F0B850"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64,092.0</w:t>
            </w:r>
          </w:p>
        </w:tc>
        <w:tc>
          <w:tcPr>
            <w:tcW w:w="772" w:type="dxa"/>
          </w:tcPr>
          <w:p w14:paraId="004F67E1" w14:textId="754FF463"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55,619.0</w:t>
            </w:r>
          </w:p>
        </w:tc>
        <w:tc>
          <w:tcPr>
            <w:tcW w:w="850" w:type="dxa"/>
          </w:tcPr>
          <w:p w14:paraId="0150DAB7" w14:textId="4326C93B"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64,981.0</w:t>
            </w:r>
          </w:p>
        </w:tc>
        <w:tc>
          <w:tcPr>
            <w:tcW w:w="851" w:type="dxa"/>
          </w:tcPr>
          <w:p w14:paraId="15E345E6" w14:textId="7BDE1B32"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65,115.0</w:t>
            </w:r>
          </w:p>
        </w:tc>
        <w:tc>
          <w:tcPr>
            <w:tcW w:w="746" w:type="dxa"/>
          </w:tcPr>
          <w:p w14:paraId="4AFD38DF" w14:textId="5AD554DD"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65,487.0</w:t>
            </w:r>
          </w:p>
        </w:tc>
        <w:tc>
          <w:tcPr>
            <w:tcW w:w="1564" w:type="dxa"/>
            <w:vAlign w:val="center"/>
          </w:tcPr>
          <w:p w14:paraId="6F7B9787" w14:textId="7EE523EE"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525.0</w:t>
            </w:r>
          </w:p>
        </w:tc>
        <w:tc>
          <w:tcPr>
            <w:tcW w:w="1275" w:type="dxa"/>
            <w:vAlign w:val="center"/>
          </w:tcPr>
          <w:p w14:paraId="7371120C" w14:textId="1CC73FFD"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0.9</w:t>
            </w:r>
          </w:p>
        </w:tc>
      </w:tr>
      <w:tr w:rsidR="00505AE6" w:rsidRPr="00F51AF1" w14:paraId="740EEA00" w14:textId="77777777" w:rsidTr="00505AE6">
        <w:trPr>
          <w:trHeight w:val="52"/>
          <w:jc w:val="center"/>
        </w:trPr>
        <w:tc>
          <w:tcPr>
            <w:tcW w:w="2027" w:type="dxa"/>
            <w:vAlign w:val="center"/>
          </w:tcPr>
          <w:p w14:paraId="0CDC339B" w14:textId="25ABB095" w:rsidR="00505AE6" w:rsidRPr="00F51AF1" w:rsidRDefault="00505AE6" w:rsidP="00505AE6">
            <w:pPr>
              <w:spacing w:after="0" w:line="240" w:lineRule="auto"/>
              <w:jc w:val="center"/>
              <w:rPr>
                <w:rFonts w:ascii="Times New Roman" w:hAnsi="Times New Roman" w:cs="Times New Roman"/>
                <w:sz w:val="20"/>
                <w:szCs w:val="20"/>
              </w:rPr>
            </w:pPr>
            <w:r w:rsidRPr="00F51AF1">
              <w:rPr>
                <w:rFonts w:ascii="Times New Roman" w:hAnsi="Times New Roman" w:cs="Times New Roman"/>
                <w:sz w:val="20"/>
                <w:szCs w:val="20"/>
              </w:rPr>
              <w:t>1.</w:t>
            </w:r>
            <w:r>
              <w:t xml:space="preserve"> </w:t>
            </w:r>
            <w:r w:rsidRPr="00CD6A1B">
              <w:rPr>
                <w:rFonts w:ascii="Times New Roman" w:hAnsi="Times New Roman" w:cs="Times New Roman"/>
                <w:sz w:val="20"/>
                <w:szCs w:val="20"/>
              </w:rPr>
              <w:t>Equity capital</w:t>
            </w:r>
          </w:p>
        </w:tc>
        <w:tc>
          <w:tcPr>
            <w:tcW w:w="740" w:type="dxa"/>
          </w:tcPr>
          <w:p w14:paraId="76B48125" w14:textId="4DC39F02"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31,257.0</w:t>
            </w:r>
          </w:p>
        </w:tc>
        <w:tc>
          <w:tcPr>
            <w:tcW w:w="772" w:type="dxa"/>
          </w:tcPr>
          <w:p w14:paraId="05CB5F5B" w14:textId="7DBC1A87"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21,203.0</w:t>
            </w:r>
          </w:p>
        </w:tc>
        <w:tc>
          <w:tcPr>
            <w:tcW w:w="850" w:type="dxa"/>
          </w:tcPr>
          <w:p w14:paraId="6615E3B9" w14:textId="6096D52F"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34,169.0</w:t>
            </w:r>
          </w:p>
        </w:tc>
        <w:tc>
          <w:tcPr>
            <w:tcW w:w="851" w:type="dxa"/>
          </w:tcPr>
          <w:p w14:paraId="70CE1CDA" w14:textId="04E3F1AC"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46,763.0</w:t>
            </w:r>
          </w:p>
        </w:tc>
        <w:tc>
          <w:tcPr>
            <w:tcW w:w="746" w:type="dxa"/>
          </w:tcPr>
          <w:p w14:paraId="2E35BF92" w14:textId="1B82CE80"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48,652.0</w:t>
            </w:r>
          </w:p>
        </w:tc>
        <w:tc>
          <w:tcPr>
            <w:tcW w:w="1564" w:type="dxa"/>
            <w:vAlign w:val="center"/>
          </w:tcPr>
          <w:p w14:paraId="5F031EED" w14:textId="2A495BB4"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2,705.0</w:t>
            </w:r>
          </w:p>
        </w:tc>
        <w:tc>
          <w:tcPr>
            <w:tcW w:w="1275" w:type="dxa"/>
            <w:vAlign w:val="center"/>
          </w:tcPr>
          <w:p w14:paraId="15C6509A" w14:textId="37521300"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9.8</w:t>
            </w:r>
          </w:p>
        </w:tc>
      </w:tr>
      <w:tr w:rsidR="00505AE6" w:rsidRPr="00F51AF1" w14:paraId="4A900290" w14:textId="77777777" w:rsidTr="00505AE6">
        <w:trPr>
          <w:trHeight w:val="52"/>
          <w:jc w:val="center"/>
        </w:trPr>
        <w:tc>
          <w:tcPr>
            <w:tcW w:w="2027" w:type="dxa"/>
            <w:vAlign w:val="center"/>
          </w:tcPr>
          <w:p w14:paraId="7B33FBD5" w14:textId="672E8BC5" w:rsidR="00505AE6" w:rsidRPr="00F51AF1" w:rsidRDefault="00505AE6" w:rsidP="00505AE6">
            <w:pPr>
              <w:spacing w:after="0" w:line="240" w:lineRule="auto"/>
              <w:jc w:val="center"/>
              <w:rPr>
                <w:rFonts w:ascii="Times New Roman" w:hAnsi="Times New Roman" w:cs="Times New Roman"/>
                <w:sz w:val="20"/>
                <w:szCs w:val="20"/>
              </w:rPr>
            </w:pPr>
            <w:r w:rsidRPr="00F51AF1">
              <w:rPr>
                <w:rFonts w:ascii="Times New Roman" w:hAnsi="Times New Roman" w:cs="Times New Roman"/>
                <w:sz w:val="20"/>
                <w:szCs w:val="20"/>
              </w:rPr>
              <w:t xml:space="preserve">2. </w:t>
            </w:r>
            <w:r w:rsidRPr="00CD6A1B">
              <w:rPr>
                <w:rFonts w:ascii="Times New Roman" w:hAnsi="Times New Roman" w:cs="Times New Roman"/>
                <w:sz w:val="20"/>
                <w:szCs w:val="20"/>
              </w:rPr>
              <w:t>Liabilities of “</w:t>
            </w:r>
            <w:proofErr w:type="spellStart"/>
            <w:r w:rsidRPr="00CD6A1B">
              <w:rPr>
                <w:rFonts w:ascii="Times New Roman" w:hAnsi="Times New Roman" w:cs="Times New Roman"/>
                <w:sz w:val="20"/>
                <w:szCs w:val="20"/>
              </w:rPr>
              <w:t>Uzbekneftegaz</w:t>
            </w:r>
            <w:proofErr w:type="spellEnd"/>
            <w:r w:rsidRPr="00CD6A1B">
              <w:rPr>
                <w:rFonts w:ascii="Times New Roman" w:hAnsi="Times New Roman" w:cs="Times New Roman"/>
                <w:sz w:val="20"/>
                <w:szCs w:val="20"/>
              </w:rPr>
              <w:t>” JSC</w:t>
            </w:r>
          </w:p>
        </w:tc>
        <w:tc>
          <w:tcPr>
            <w:tcW w:w="740" w:type="dxa"/>
          </w:tcPr>
          <w:p w14:paraId="145101B5" w14:textId="11C84309"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32,835.0</w:t>
            </w:r>
          </w:p>
        </w:tc>
        <w:tc>
          <w:tcPr>
            <w:tcW w:w="772" w:type="dxa"/>
          </w:tcPr>
          <w:p w14:paraId="02BB42D1" w14:textId="51E4C660"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18,213.0</w:t>
            </w:r>
          </w:p>
        </w:tc>
        <w:tc>
          <w:tcPr>
            <w:tcW w:w="850" w:type="dxa"/>
          </w:tcPr>
          <w:p w14:paraId="64FEF908" w14:textId="6F2978F7"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30,812.0</w:t>
            </w:r>
          </w:p>
        </w:tc>
        <w:tc>
          <w:tcPr>
            <w:tcW w:w="851" w:type="dxa"/>
          </w:tcPr>
          <w:p w14:paraId="24A48F16" w14:textId="52BBF69D"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18,352.0</w:t>
            </w:r>
          </w:p>
        </w:tc>
        <w:tc>
          <w:tcPr>
            <w:tcW w:w="746" w:type="dxa"/>
          </w:tcPr>
          <w:p w14:paraId="58120E0A" w14:textId="20CC1514"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17,852.0</w:t>
            </w:r>
          </w:p>
        </w:tc>
        <w:tc>
          <w:tcPr>
            <w:tcW w:w="1564" w:type="dxa"/>
            <w:vAlign w:val="center"/>
          </w:tcPr>
          <w:p w14:paraId="47B187AC" w14:textId="338B2E3B"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-1,528.0</w:t>
            </w:r>
          </w:p>
        </w:tc>
        <w:tc>
          <w:tcPr>
            <w:tcW w:w="1275" w:type="dxa"/>
            <w:vAlign w:val="center"/>
          </w:tcPr>
          <w:p w14:paraId="00AEBCDC" w14:textId="77777777" w:rsidR="00505AE6" w:rsidRPr="00505AE6" w:rsidRDefault="00505AE6" w:rsidP="00505AE6">
            <w:pPr>
              <w:spacing w:after="0" w:line="240" w:lineRule="auto"/>
              <w:jc w:val="center"/>
              <w:rPr>
                <w:rFonts w:ascii="Times New Roman" w:hAnsi="Times New Roman" w:cs="Times New Roman"/>
                <w:sz w:val="20"/>
                <w:szCs w:val="20"/>
              </w:rPr>
            </w:pPr>
            <w:r w:rsidRPr="00505AE6">
              <w:rPr>
                <w:rFonts w:ascii="Times New Roman" w:hAnsi="Times New Roman" w:cs="Times New Roman"/>
                <w:sz w:val="20"/>
                <w:szCs w:val="20"/>
              </w:rPr>
              <w:t>-5.2</w:t>
            </w:r>
          </w:p>
        </w:tc>
      </w:tr>
    </w:tbl>
    <w:p w14:paraId="4431E634" w14:textId="495926F7" w:rsidR="007562D2" w:rsidRDefault="007562D2" w:rsidP="00DE4111">
      <w:pPr>
        <w:spacing w:after="0" w:line="240" w:lineRule="auto"/>
        <w:ind w:firstLine="284"/>
        <w:jc w:val="both"/>
        <w:rPr>
          <w:rFonts w:ascii="Times New Roman" w:hAnsi="Times New Roman" w:cs="Times New Roman"/>
          <w:sz w:val="20"/>
          <w:lang w:val="uz-Cyrl-UZ"/>
        </w:rPr>
      </w:pPr>
    </w:p>
    <w:p w14:paraId="4D36E26D" w14:textId="77777777" w:rsidR="00732CD6" w:rsidRPr="00732CD6" w:rsidRDefault="00732CD6" w:rsidP="00732CD6">
      <w:pPr>
        <w:spacing w:after="0" w:line="240" w:lineRule="auto"/>
        <w:ind w:firstLine="284"/>
        <w:jc w:val="both"/>
        <w:rPr>
          <w:rFonts w:ascii="Times New Roman" w:hAnsi="Times New Roman" w:cs="Times New Roman"/>
          <w:sz w:val="20"/>
          <w:lang w:val="uz-Cyrl-UZ"/>
        </w:rPr>
      </w:pPr>
      <w:r w:rsidRPr="00732CD6">
        <w:rPr>
          <w:rFonts w:ascii="Times New Roman" w:hAnsi="Times New Roman" w:cs="Times New Roman"/>
          <w:sz w:val="20"/>
          <w:lang w:val="uz-Cyrl-UZ"/>
        </w:rPr>
        <w:t>During the period 2019–2024, the total financial sources (liabilities) of JSC “Uzbekneftegaz” increased from 64,092.2 billion UZS to 65,647.8 billion UZS by 2024, corresponding to an average growth rate of 0.9%. This dynamic does not indicate a decline, but rather reflects the preservation of a stable core capital base. At the same time, the reduction in the share of liabilities after the peak level observed in 2020 (65.2 trillion UZS) demonstrates a positive trend aimed at decreasing debt pressure, which can be interpreted as a result of a deliberate financial stabilization strategy.</w:t>
      </w:r>
    </w:p>
    <w:p w14:paraId="0C38C426" w14:textId="77777777" w:rsidR="00732CD6" w:rsidRPr="00732CD6" w:rsidRDefault="00732CD6" w:rsidP="00732CD6">
      <w:pPr>
        <w:spacing w:after="0" w:line="240" w:lineRule="auto"/>
        <w:ind w:firstLine="284"/>
        <w:jc w:val="both"/>
        <w:rPr>
          <w:rFonts w:ascii="Times New Roman" w:hAnsi="Times New Roman" w:cs="Times New Roman"/>
          <w:sz w:val="20"/>
          <w:lang w:val="uz-Cyrl-UZ"/>
        </w:rPr>
      </w:pPr>
      <w:r w:rsidRPr="00732CD6">
        <w:rPr>
          <w:rFonts w:ascii="Times New Roman" w:hAnsi="Times New Roman" w:cs="Times New Roman"/>
          <w:sz w:val="20"/>
          <w:lang w:val="uz-Cyrl-UZ"/>
        </w:rPr>
        <w:t>According to the analytical data, the company’s equity capital amounted to 31,257.7 billion UZS in 2019 and increased to 48,652.0 billion UZS by 2024, reflecting a growth rate of 9.8%. This indicates a strengthening of the company’s ability to finance its activities through internal resources. In terms of the Internal Financial Resilience Ratio (IFR), the growing share of stable financing sources (equity capital) has reduced dependence on borrowed funds. This trend enhances the capitalization level of the enterprise and reflects the reinvestment of retained earnings as a key driver of financial stability.</w:t>
      </w:r>
    </w:p>
    <w:p w14:paraId="68D39348" w14:textId="77777777" w:rsidR="00732CD6" w:rsidRPr="00732CD6" w:rsidRDefault="00732CD6" w:rsidP="00732CD6">
      <w:pPr>
        <w:spacing w:after="0" w:line="240" w:lineRule="auto"/>
        <w:ind w:firstLine="284"/>
        <w:jc w:val="both"/>
        <w:rPr>
          <w:rFonts w:ascii="Times New Roman" w:hAnsi="Times New Roman" w:cs="Times New Roman"/>
          <w:sz w:val="20"/>
          <w:lang w:val="uz-Cyrl-UZ"/>
        </w:rPr>
      </w:pPr>
      <w:r w:rsidRPr="00732CD6">
        <w:rPr>
          <w:rFonts w:ascii="Times New Roman" w:hAnsi="Times New Roman" w:cs="Times New Roman"/>
          <w:sz w:val="20"/>
          <w:lang w:val="uz-Cyrl-UZ"/>
        </w:rPr>
        <w:t>Over the period 2020–2024, the liabilities (debt resources) of JSC “Uzbekneftegaz” declined from 32,835.0 billion UZS to 17,852.0 billion UZS, corresponding to a decrease of 5.2%. This represents a positive financial outcome, confirming the effectiveness of the company’s debt portfolio optimization policy. At the same time, improvements in the Debt Service Coverage Ratio (DSCR) and the Interest Coverage Ratio (ICR) are expected, as the reduction in debt obligations alleviates liquidity pressure and contributes to higher profitability.</w:t>
      </w:r>
    </w:p>
    <w:p w14:paraId="241032E5" w14:textId="77777777" w:rsidR="00D6438C" w:rsidRPr="00287E0A" w:rsidRDefault="00D6438C" w:rsidP="00D6438C">
      <w:pPr>
        <w:overflowPunct w:val="0"/>
        <w:autoSpaceDE w:val="0"/>
        <w:autoSpaceDN w:val="0"/>
        <w:adjustRightInd w:val="0"/>
        <w:spacing w:before="240" w:after="240" w:line="240" w:lineRule="auto"/>
        <w:jc w:val="center"/>
        <w:textAlignment w:val="baseline"/>
        <w:rPr>
          <w:rFonts w:ascii="Times New Roman" w:eastAsia="Times New Roman" w:hAnsi="Times New Roman" w:cs="Times New Roman"/>
          <w:b/>
          <w:sz w:val="24"/>
          <w:szCs w:val="24"/>
          <w:lang w:eastAsia="de-DE"/>
        </w:rPr>
      </w:pPr>
      <w:r w:rsidRPr="00287E0A">
        <w:rPr>
          <w:rFonts w:ascii="Times New Roman" w:eastAsia="Times New Roman" w:hAnsi="Times New Roman" w:cs="Times New Roman"/>
          <w:b/>
          <w:sz w:val="24"/>
          <w:szCs w:val="24"/>
          <w:lang w:eastAsia="de-DE"/>
        </w:rPr>
        <w:t>RESEARCH RESULTS</w:t>
      </w:r>
    </w:p>
    <w:p w14:paraId="298E6607" w14:textId="09278AAF" w:rsidR="00732CD6" w:rsidRPr="00732CD6" w:rsidRDefault="00732CD6" w:rsidP="00732CD6">
      <w:pPr>
        <w:spacing w:after="0" w:line="240" w:lineRule="auto"/>
        <w:ind w:firstLine="284"/>
        <w:jc w:val="both"/>
        <w:rPr>
          <w:rFonts w:ascii="Times New Roman" w:hAnsi="Times New Roman" w:cs="Times New Roman"/>
          <w:sz w:val="20"/>
          <w:lang w:val="uz-Cyrl-UZ"/>
        </w:rPr>
      </w:pPr>
      <w:r w:rsidRPr="00732CD6">
        <w:rPr>
          <w:rFonts w:ascii="Times New Roman" w:hAnsi="Times New Roman" w:cs="Times New Roman"/>
          <w:sz w:val="20"/>
          <w:lang w:val="uz-Cyrl-UZ"/>
        </w:rPr>
        <w:t xml:space="preserve">Overall, the dynamics of the company’s liabilities indicate that the core focus of financial management has been placed on reducing debt burden and strengthening the equity base. Such changes contribute to a decrease in the weighted average cost of capital (WACC), as the declining share of debt financing optimizes overall capital costs. In this manner, the management architecture of JSC “Uzbekneftegaz” maintains a balanced relationship between </w:t>
      </w:r>
      <w:r w:rsidRPr="00732CD6">
        <w:rPr>
          <w:rFonts w:ascii="Times New Roman" w:hAnsi="Times New Roman" w:cs="Times New Roman"/>
          <w:sz w:val="20"/>
          <w:lang w:val="uz-Cyrl-UZ"/>
        </w:rPr>
        <w:lastRenderedPageBreak/>
        <w:t>resource allocation and debt management, thereby forming a development trajectory aligned with the principles of long-term financial sustainability.</w:t>
      </w:r>
    </w:p>
    <w:p w14:paraId="7C38B5E8" w14:textId="573515A4" w:rsidR="007562D2" w:rsidRDefault="00732CD6" w:rsidP="00732CD6">
      <w:pPr>
        <w:spacing w:after="0" w:line="240" w:lineRule="auto"/>
        <w:ind w:firstLine="284"/>
        <w:jc w:val="both"/>
        <w:rPr>
          <w:rFonts w:ascii="Times New Roman" w:hAnsi="Times New Roman" w:cs="Times New Roman"/>
          <w:sz w:val="20"/>
          <w:lang w:val="uz-Cyrl-UZ"/>
        </w:rPr>
      </w:pPr>
      <w:r w:rsidRPr="00732CD6">
        <w:rPr>
          <w:rFonts w:ascii="Times New Roman" w:hAnsi="Times New Roman" w:cs="Times New Roman"/>
          <w:sz w:val="20"/>
          <w:lang w:val="uz-Cyrl-UZ"/>
        </w:rPr>
        <w:t>The production potential of an enterprise reflects the degree of optimal allocation of material and financial resources, the efficiency of fixed asset utilization, and the level of investment activity. This indicator not only characterizes internal drivers of economic growth but also serves as a fundamental factor in ensuring financial stability. For JSC “Uzbekneftegaz,” changes in the structure of production potential during the period 2020–2023 were manifested not only in quantitative indicators but also in improvements in structural efficiency.</w:t>
      </w:r>
    </w:p>
    <w:p w14:paraId="5BD09991" w14:textId="6472304E" w:rsidR="002C5B48" w:rsidRDefault="002C5B48" w:rsidP="00DE4111">
      <w:pPr>
        <w:spacing w:after="0" w:line="240" w:lineRule="auto"/>
        <w:ind w:firstLine="284"/>
        <w:jc w:val="both"/>
        <w:rPr>
          <w:rFonts w:ascii="Times New Roman" w:hAnsi="Times New Roman" w:cs="Times New Roman"/>
          <w:sz w:val="20"/>
          <w:lang w:val="uz-Cyrl-UZ"/>
        </w:rPr>
      </w:pPr>
    </w:p>
    <w:p w14:paraId="0BB411B5" w14:textId="7EA4ED88" w:rsidR="00F038AD" w:rsidRPr="007D4561" w:rsidRDefault="003775EB" w:rsidP="007D4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r w:rsidRPr="008745D5">
        <w:rPr>
          <w:rFonts w:ascii="Times New Roman" w:hAnsi="Times New Roman" w:cs="Times New Roman"/>
          <w:b/>
          <w:sz w:val="20"/>
          <w:szCs w:val="20"/>
          <w:lang w:eastAsia="de-DE"/>
        </w:rPr>
        <w:t xml:space="preserve">TABLE </w:t>
      </w:r>
      <w:r w:rsidR="007D4561" w:rsidRPr="007D4561">
        <w:rPr>
          <w:rFonts w:ascii="Times New Roman" w:hAnsi="Times New Roman" w:cs="Times New Roman"/>
          <w:b/>
          <w:sz w:val="20"/>
          <w:szCs w:val="20"/>
          <w:lang w:eastAsia="de-DE"/>
        </w:rPr>
        <w:t>3</w:t>
      </w:r>
      <w:r w:rsidRPr="008745D5">
        <w:rPr>
          <w:rFonts w:ascii="Times New Roman" w:hAnsi="Times New Roman" w:cs="Times New Roman"/>
          <w:b/>
          <w:sz w:val="20"/>
          <w:szCs w:val="20"/>
          <w:lang w:eastAsia="de-DE"/>
        </w:rPr>
        <w:t>.</w:t>
      </w:r>
      <w:r w:rsidRPr="007B0CAD">
        <w:rPr>
          <w:rFonts w:ascii="Times New Roman" w:hAnsi="Times New Roman" w:cs="Times New Roman"/>
          <w:b/>
          <w:sz w:val="20"/>
          <w:szCs w:val="20"/>
          <w:lang w:eastAsia="de-DE"/>
        </w:rPr>
        <w:t xml:space="preserve"> </w:t>
      </w:r>
      <w:r w:rsidR="008A0E80" w:rsidRPr="007D4561">
        <w:rPr>
          <w:rFonts w:ascii="Times New Roman" w:hAnsi="Times New Roman" w:cs="Times New Roman"/>
          <w:sz w:val="20"/>
          <w:szCs w:val="20"/>
          <w:lang w:eastAsia="de-DE"/>
        </w:rPr>
        <w:t>Analysis of production potential of JSC “</w:t>
      </w:r>
      <w:proofErr w:type="spellStart"/>
      <w:r w:rsidR="008A0E80" w:rsidRPr="007D4561">
        <w:rPr>
          <w:rFonts w:ascii="Times New Roman" w:hAnsi="Times New Roman" w:cs="Times New Roman"/>
          <w:sz w:val="20"/>
          <w:szCs w:val="20"/>
          <w:lang w:eastAsia="de-DE"/>
        </w:rPr>
        <w:t>Uzbekneftegaz</w:t>
      </w:r>
      <w:proofErr w:type="spellEnd"/>
      <w:r w:rsidR="008A0E80" w:rsidRPr="007D4561">
        <w:rPr>
          <w:rFonts w:ascii="Times New Roman" w:hAnsi="Times New Roman" w:cs="Times New Roman"/>
          <w:sz w:val="20"/>
          <w:szCs w:val="20"/>
          <w:lang w:eastAsia="de-DE"/>
        </w:rPr>
        <w:t>” (2020–2023) (million UZS)</w:t>
      </w:r>
    </w:p>
    <w:tbl>
      <w:tblPr>
        <w:tblW w:w="9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5"/>
        <w:gridCol w:w="916"/>
        <w:gridCol w:w="688"/>
        <w:gridCol w:w="916"/>
        <w:gridCol w:w="688"/>
        <w:gridCol w:w="916"/>
        <w:gridCol w:w="688"/>
        <w:gridCol w:w="916"/>
        <w:gridCol w:w="688"/>
      </w:tblGrid>
      <w:tr w:rsidR="00004BC8" w:rsidRPr="00004BC8" w14:paraId="39076EBC" w14:textId="77777777" w:rsidTr="000705BF">
        <w:trPr>
          <w:trHeight w:val="60"/>
        </w:trPr>
        <w:tc>
          <w:tcPr>
            <w:tcW w:w="2725" w:type="dxa"/>
            <w:vAlign w:val="center"/>
            <w:hideMark/>
          </w:tcPr>
          <w:p w14:paraId="3FA08DB4" w14:textId="19DB6C03" w:rsidR="00004BC8" w:rsidRPr="00004BC8" w:rsidRDefault="00004BC8" w:rsidP="00004BC8">
            <w:pPr>
              <w:spacing w:after="0" w:line="240" w:lineRule="auto"/>
              <w:jc w:val="center"/>
              <w:rPr>
                <w:rFonts w:ascii="Times New Roman" w:hAnsi="Times New Roman" w:cs="Times New Roman"/>
                <w:sz w:val="20"/>
                <w:szCs w:val="20"/>
              </w:rPr>
            </w:pPr>
            <w:bookmarkStart w:id="0" w:name="_Hlk199824753"/>
            <w:r w:rsidRPr="00004BC8">
              <w:rPr>
                <w:rFonts w:ascii="Times New Roman" w:hAnsi="Times New Roman" w:cs="Times New Roman"/>
                <w:sz w:val="20"/>
                <w:szCs w:val="20"/>
              </w:rPr>
              <w:t>Indicators</w:t>
            </w:r>
          </w:p>
        </w:tc>
        <w:tc>
          <w:tcPr>
            <w:tcW w:w="916" w:type="dxa"/>
            <w:vAlign w:val="center"/>
            <w:hideMark/>
          </w:tcPr>
          <w:p w14:paraId="0D690ACF" w14:textId="6FDA1C60"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hAnsi="Times New Roman" w:cs="Times New Roman"/>
                <w:sz w:val="20"/>
                <w:szCs w:val="20"/>
              </w:rPr>
              <w:t>2020</w:t>
            </w:r>
          </w:p>
        </w:tc>
        <w:tc>
          <w:tcPr>
            <w:tcW w:w="688" w:type="dxa"/>
            <w:vAlign w:val="center"/>
            <w:hideMark/>
          </w:tcPr>
          <w:p w14:paraId="11D06791" w14:textId="7EFB78CD" w:rsidR="00004BC8" w:rsidRPr="000705BF" w:rsidRDefault="00004BC8" w:rsidP="00004BC8">
            <w:pPr>
              <w:spacing w:after="0" w:line="240" w:lineRule="auto"/>
              <w:jc w:val="center"/>
              <w:rPr>
                <w:rFonts w:ascii="Times New Roman" w:hAnsi="Times New Roman" w:cs="Times New Roman"/>
                <w:sz w:val="18"/>
                <w:szCs w:val="18"/>
              </w:rPr>
            </w:pPr>
            <w:r w:rsidRPr="000705BF">
              <w:rPr>
                <w:rFonts w:ascii="Times New Roman" w:hAnsi="Times New Roman" w:cs="Times New Roman"/>
                <w:sz w:val="18"/>
                <w:szCs w:val="18"/>
              </w:rPr>
              <w:t>share, %</w:t>
            </w:r>
          </w:p>
        </w:tc>
        <w:tc>
          <w:tcPr>
            <w:tcW w:w="916" w:type="dxa"/>
            <w:vAlign w:val="center"/>
            <w:hideMark/>
          </w:tcPr>
          <w:p w14:paraId="0321DA48" w14:textId="2F17AB58"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hAnsi="Times New Roman" w:cs="Times New Roman"/>
                <w:sz w:val="20"/>
                <w:szCs w:val="20"/>
              </w:rPr>
              <w:t>2021</w:t>
            </w:r>
          </w:p>
        </w:tc>
        <w:tc>
          <w:tcPr>
            <w:tcW w:w="688" w:type="dxa"/>
            <w:vAlign w:val="center"/>
            <w:hideMark/>
          </w:tcPr>
          <w:p w14:paraId="44BF9CE6" w14:textId="71C2ECF8"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hAnsi="Times New Roman" w:cs="Times New Roman"/>
                <w:sz w:val="20"/>
                <w:szCs w:val="20"/>
              </w:rPr>
              <w:t>share, %</w:t>
            </w:r>
          </w:p>
        </w:tc>
        <w:tc>
          <w:tcPr>
            <w:tcW w:w="916" w:type="dxa"/>
            <w:vAlign w:val="center"/>
            <w:hideMark/>
          </w:tcPr>
          <w:p w14:paraId="05F30BDC" w14:textId="578C4D3A"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hAnsi="Times New Roman" w:cs="Times New Roman"/>
                <w:sz w:val="20"/>
                <w:szCs w:val="20"/>
              </w:rPr>
              <w:t>2022</w:t>
            </w:r>
          </w:p>
        </w:tc>
        <w:tc>
          <w:tcPr>
            <w:tcW w:w="688" w:type="dxa"/>
            <w:vAlign w:val="center"/>
            <w:hideMark/>
          </w:tcPr>
          <w:p w14:paraId="581ABB68" w14:textId="450185D7"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hAnsi="Times New Roman" w:cs="Times New Roman"/>
                <w:sz w:val="20"/>
                <w:szCs w:val="20"/>
              </w:rPr>
              <w:t>share, %</w:t>
            </w:r>
          </w:p>
        </w:tc>
        <w:tc>
          <w:tcPr>
            <w:tcW w:w="916" w:type="dxa"/>
            <w:vAlign w:val="center"/>
            <w:hideMark/>
          </w:tcPr>
          <w:p w14:paraId="14945F5F" w14:textId="68FEF922"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hAnsi="Times New Roman" w:cs="Times New Roman"/>
                <w:sz w:val="20"/>
                <w:szCs w:val="20"/>
              </w:rPr>
              <w:t>2023</w:t>
            </w:r>
          </w:p>
        </w:tc>
        <w:tc>
          <w:tcPr>
            <w:tcW w:w="688" w:type="dxa"/>
            <w:vAlign w:val="center"/>
            <w:hideMark/>
          </w:tcPr>
          <w:p w14:paraId="1B1B8A25" w14:textId="50858DC2"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hAnsi="Times New Roman" w:cs="Times New Roman"/>
                <w:sz w:val="20"/>
                <w:szCs w:val="20"/>
              </w:rPr>
              <w:t>share, %</w:t>
            </w:r>
          </w:p>
        </w:tc>
      </w:tr>
      <w:tr w:rsidR="00004BC8" w:rsidRPr="00004BC8" w14:paraId="1398A398" w14:textId="77777777" w:rsidTr="000705BF">
        <w:trPr>
          <w:trHeight w:val="173"/>
        </w:trPr>
        <w:tc>
          <w:tcPr>
            <w:tcW w:w="2725" w:type="dxa"/>
            <w:vAlign w:val="center"/>
            <w:hideMark/>
          </w:tcPr>
          <w:p w14:paraId="6D2FF132" w14:textId="0EA86AA7" w:rsidR="00004BC8" w:rsidRPr="00004BC8" w:rsidRDefault="00004BC8" w:rsidP="00004BC8">
            <w:pPr>
              <w:spacing w:after="0" w:line="240" w:lineRule="auto"/>
              <w:jc w:val="both"/>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Fixed assets</w:t>
            </w:r>
          </w:p>
        </w:tc>
        <w:tc>
          <w:tcPr>
            <w:tcW w:w="916" w:type="dxa"/>
            <w:vAlign w:val="center"/>
          </w:tcPr>
          <w:p w14:paraId="6344EF44" w14:textId="07FB139E"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26,374.0</w:t>
            </w:r>
          </w:p>
        </w:tc>
        <w:tc>
          <w:tcPr>
            <w:tcW w:w="688" w:type="dxa"/>
            <w:vAlign w:val="center"/>
          </w:tcPr>
          <w:p w14:paraId="669BF751" w14:textId="2B77F1EE"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40.2</w:t>
            </w:r>
          </w:p>
        </w:tc>
        <w:tc>
          <w:tcPr>
            <w:tcW w:w="916" w:type="dxa"/>
            <w:vAlign w:val="center"/>
            <w:hideMark/>
          </w:tcPr>
          <w:p w14:paraId="086BC2AF" w14:textId="27E03CE5"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24,713.0</w:t>
            </w:r>
          </w:p>
        </w:tc>
        <w:tc>
          <w:tcPr>
            <w:tcW w:w="688" w:type="dxa"/>
            <w:vAlign w:val="center"/>
            <w:hideMark/>
          </w:tcPr>
          <w:p w14:paraId="29186867" w14:textId="17672830"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38.0</w:t>
            </w:r>
          </w:p>
        </w:tc>
        <w:tc>
          <w:tcPr>
            <w:tcW w:w="916" w:type="dxa"/>
            <w:vAlign w:val="center"/>
            <w:hideMark/>
          </w:tcPr>
          <w:p w14:paraId="2869ED12" w14:textId="49E9EF16"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27,537.0</w:t>
            </w:r>
          </w:p>
        </w:tc>
        <w:tc>
          <w:tcPr>
            <w:tcW w:w="688" w:type="dxa"/>
            <w:vAlign w:val="center"/>
            <w:hideMark/>
          </w:tcPr>
          <w:p w14:paraId="02B8811E" w14:textId="674E3687"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42.3</w:t>
            </w:r>
          </w:p>
        </w:tc>
        <w:tc>
          <w:tcPr>
            <w:tcW w:w="916" w:type="dxa"/>
            <w:vAlign w:val="center"/>
          </w:tcPr>
          <w:p w14:paraId="7B3E0A80" w14:textId="071A6F9E"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28,426.0</w:t>
            </w:r>
          </w:p>
        </w:tc>
        <w:tc>
          <w:tcPr>
            <w:tcW w:w="688" w:type="dxa"/>
            <w:vAlign w:val="center"/>
          </w:tcPr>
          <w:p w14:paraId="1625CFF5" w14:textId="462B6C1E"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44.1</w:t>
            </w:r>
          </w:p>
        </w:tc>
      </w:tr>
      <w:tr w:rsidR="00004BC8" w:rsidRPr="00004BC8" w14:paraId="45F4E589" w14:textId="77777777" w:rsidTr="000705BF">
        <w:trPr>
          <w:trHeight w:val="192"/>
        </w:trPr>
        <w:tc>
          <w:tcPr>
            <w:tcW w:w="2725" w:type="dxa"/>
            <w:vAlign w:val="center"/>
            <w:hideMark/>
          </w:tcPr>
          <w:p w14:paraId="61C8C985" w14:textId="018C75D9" w:rsidR="00004BC8" w:rsidRPr="00004BC8" w:rsidRDefault="00004BC8" w:rsidP="00004BC8">
            <w:pPr>
              <w:spacing w:after="0" w:line="240" w:lineRule="auto"/>
              <w:jc w:val="both"/>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Short-term investments (030)</w:t>
            </w:r>
          </w:p>
        </w:tc>
        <w:tc>
          <w:tcPr>
            <w:tcW w:w="916" w:type="dxa"/>
            <w:vAlign w:val="center"/>
          </w:tcPr>
          <w:p w14:paraId="6EE7E235" w14:textId="3CAABBBB"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30,180.0</w:t>
            </w:r>
          </w:p>
        </w:tc>
        <w:tc>
          <w:tcPr>
            <w:tcW w:w="688" w:type="dxa"/>
            <w:vAlign w:val="center"/>
          </w:tcPr>
          <w:p w14:paraId="50DE04DD" w14:textId="3DCECCE1"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46.0</w:t>
            </w:r>
          </w:p>
        </w:tc>
        <w:tc>
          <w:tcPr>
            <w:tcW w:w="916" w:type="dxa"/>
            <w:vAlign w:val="center"/>
            <w:hideMark/>
          </w:tcPr>
          <w:p w14:paraId="706D64A1" w14:textId="4923FFC1"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14,217.0</w:t>
            </w:r>
          </w:p>
        </w:tc>
        <w:tc>
          <w:tcPr>
            <w:tcW w:w="688" w:type="dxa"/>
            <w:vAlign w:val="center"/>
            <w:hideMark/>
          </w:tcPr>
          <w:p w14:paraId="2FBA663B" w14:textId="6C1701D9"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21.9</w:t>
            </w:r>
          </w:p>
        </w:tc>
        <w:tc>
          <w:tcPr>
            <w:tcW w:w="916" w:type="dxa"/>
            <w:vAlign w:val="center"/>
            <w:hideMark/>
          </w:tcPr>
          <w:p w14:paraId="1CF0B516" w14:textId="527BE389"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14,253.0</w:t>
            </w:r>
          </w:p>
        </w:tc>
        <w:tc>
          <w:tcPr>
            <w:tcW w:w="688" w:type="dxa"/>
            <w:vAlign w:val="center"/>
            <w:hideMark/>
          </w:tcPr>
          <w:p w14:paraId="595FC3B0" w14:textId="048627D1"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21.9</w:t>
            </w:r>
          </w:p>
        </w:tc>
        <w:tc>
          <w:tcPr>
            <w:tcW w:w="916" w:type="dxa"/>
            <w:vAlign w:val="center"/>
          </w:tcPr>
          <w:p w14:paraId="49E327B4" w14:textId="35BDDCA8"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14,442.0</w:t>
            </w:r>
          </w:p>
        </w:tc>
        <w:tc>
          <w:tcPr>
            <w:tcW w:w="688" w:type="dxa"/>
            <w:vAlign w:val="center"/>
          </w:tcPr>
          <w:p w14:paraId="2A770C65" w14:textId="1E7725A7"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22.1</w:t>
            </w:r>
          </w:p>
        </w:tc>
      </w:tr>
      <w:tr w:rsidR="00004BC8" w:rsidRPr="00004BC8" w14:paraId="6834F886" w14:textId="77777777" w:rsidTr="000705BF">
        <w:trPr>
          <w:trHeight w:val="100"/>
        </w:trPr>
        <w:tc>
          <w:tcPr>
            <w:tcW w:w="2725" w:type="dxa"/>
            <w:vAlign w:val="center"/>
            <w:hideMark/>
          </w:tcPr>
          <w:p w14:paraId="5F168113" w14:textId="6567DE68" w:rsidR="00004BC8" w:rsidRPr="00004BC8" w:rsidRDefault="00004BC8" w:rsidP="00004BC8">
            <w:pPr>
              <w:spacing w:after="0" w:line="240" w:lineRule="auto"/>
              <w:jc w:val="both"/>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Equipment to be installed (090)</w:t>
            </w:r>
          </w:p>
        </w:tc>
        <w:tc>
          <w:tcPr>
            <w:tcW w:w="916" w:type="dxa"/>
            <w:vAlign w:val="center"/>
          </w:tcPr>
          <w:p w14:paraId="7D629A9A" w14:textId="0EFDB395"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403.0</w:t>
            </w:r>
          </w:p>
        </w:tc>
        <w:tc>
          <w:tcPr>
            <w:tcW w:w="688" w:type="dxa"/>
            <w:vAlign w:val="center"/>
          </w:tcPr>
          <w:p w14:paraId="4AD20AF1" w14:textId="48AAA8B5"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0.6</w:t>
            </w:r>
          </w:p>
        </w:tc>
        <w:tc>
          <w:tcPr>
            <w:tcW w:w="916" w:type="dxa"/>
            <w:vAlign w:val="center"/>
            <w:hideMark/>
          </w:tcPr>
          <w:p w14:paraId="76FAA946" w14:textId="49325215"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268.0</w:t>
            </w:r>
          </w:p>
        </w:tc>
        <w:tc>
          <w:tcPr>
            <w:tcW w:w="688" w:type="dxa"/>
            <w:vAlign w:val="center"/>
            <w:hideMark/>
          </w:tcPr>
          <w:p w14:paraId="093CC796" w14:textId="1F2AB75E"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0.4</w:t>
            </w:r>
          </w:p>
        </w:tc>
        <w:tc>
          <w:tcPr>
            <w:tcW w:w="916" w:type="dxa"/>
            <w:vAlign w:val="center"/>
            <w:hideMark/>
          </w:tcPr>
          <w:p w14:paraId="7BC1815B" w14:textId="7C0F151E"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261.0</w:t>
            </w:r>
          </w:p>
        </w:tc>
        <w:tc>
          <w:tcPr>
            <w:tcW w:w="688" w:type="dxa"/>
            <w:vAlign w:val="center"/>
            <w:hideMark/>
          </w:tcPr>
          <w:p w14:paraId="498C8548" w14:textId="3BF7F5B7"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0.4</w:t>
            </w:r>
          </w:p>
        </w:tc>
        <w:tc>
          <w:tcPr>
            <w:tcW w:w="916" w:type="dxa"/>
            <w:vAlign w:val="center"/>
          </w:tcPr>
          <w:p w14:paraId="2EE1F380" w14:textId="60EEA625"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302.0</w:t>
            </w:r>
          </w:p>
        </w:tc>
        <w:tc>
          <w:tcPr>
            <w:tcW w:w="688" w:type="dxa"/>
            <w:vAlign w:val="center"/>
          </w:tcPr>
          <w:p w14:paraId="2D472EE6" w14:textId="5375EE86"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0.5</w:t>
            </w:r>
          </w:p>
        </w:tc>
      </w:tr>
      <w:tr w:rsidR="00004BC8" w:rsidRPr="00004BC8" w14:paraId="5384F810" w14:textId="77777777" w:rsidTr="000705BF">
        <w:trPr>
          <w:trHeight w:val="150"/>
        </w:trPr>
        <w:tc>
          <w:tcPr>
            <w:tcW w:w="2725" w:type="dxa"/>
            <w:vAlign w:val="center"/>
            <w:hideMark/>
          </w:tcPr>
          <w:p w14:paraId="532F1880" w14:textId="1D3F1EB4" w:rsidR="00004BC8" w:rsidRPr="00004BC8" w:rsidRDefault="00004BC8" w:rsidP="00004BC8">
            <w:pPr>
              <w:spacing w:after="0" w:line="240" w:lineRule="auto"/>
              <w:jc w:val="both"/>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Capital investments (100)</w:t>
            </w:r>
          </w:p>
        </w:tc>
        <w:tc>
          <w:tcPr>
            <w:tcW w:w="916" w:type="dxa"/>
            <w:vAlign w:val="center"/>
          </w:tcPr>
          <w:p w14:paraId="50CBCEF3" w14:textId="046E2BD8"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2,880.0</w:t>
            </w:r>
          </w:p>
        </w:tc>
        <w:tc>
          <w:tcPr>
            <w:tcW w:w="688" w:type="dxa"/>
            <w:vAlign w:val="center"/>
          </w:tcPr>
          <w:p w14:paraId="35CF220F" w14:textId="119CB6D9"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4.4</w:t>
            </w:r>
          </w:p>
        </w:tc>
        <w:tc>
          <w:tcPr>
            <w:tcW w:w="916" w:type="dxa"/>
            <w:vAlign w:val="center"/>
            <w:hideMark/>
          </w:tcPr>
          <w:p w14:paraId="665A74DC" w14:textId="7FC37770"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2,842.0</w:t>
            </w:r>
          </w:p>
        </w:tc>
        <w:tc>
          <w:tcPr>
            <w:tcW w:w="688" w:type="dxa"/>
            <w:vAlign w:val="center"/>
            <w:hideMark/>
          </w:tcPr>
          <w:p w14:paraId="37420CD7" w14:textId="49FB4874"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4.4</w:t>
            </w:r>
          </w:p>
        </w:tc>
        <w:tc>
          <w:tcPr>
            <w:tcW w:w="916" w:type="dxa"/>
            <w:vAlign w:val="center"/>
            <w:hideMark/>
          </w:tcPr>
          <w:p w14:paraId="7BF363AD" w14:textId="43FECA62"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4,545.0</w:t>
            </w:r>
          </w:p>
        </w:tc>
        <w:tc>
          <w:tcPr>
            <w:tcW w:w="688" w:type="dxa"/>
            <w:vAlign w:val="center"/>
            <w:hideMark/>
          </w:tcPr>
          <w:p w14:paraId="4343E04E" w14:textId="3D305068"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7.0</w:t>
            </w:r>
          </w:p>
        </w:tc>
        <w:tc>
          <w:tcPr>
            <w:tcW w:w="916" w:type="dxa"/>
            <w:vAlign w:val="center"/>
          </w:tcPr>
          <w:p w14:paraId="1E00DEF0" w14:textId="120EB2A7"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4,654.0</w:t>
            </w:r>
          </w:p>
        </w:tc>
        <w:tc>
          <w:tcPr>
            <w:tcW w:w="688" w:type="dxa"/>
            <w:vAlign w:val="center"/>
          </w:tcPr>
          <w:p w14:paraId="2275656C" w14:textId="69113D30"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8.1</w:t>
            </w:r>
          </w:p>
        </w:tc>
      </w:tr>
      <w:tr w:rsidR="00004BC8" w:rsidRPr="00004BC8" w14:paraId="416A0BF4" w14:textId="77777777" w:rsidTr="000705BF">
        <w:trPr>
          <w:trHeight w:val="60"/>
        </w:trPr>
        <w:tc>
          <w:tcPr>
            <w:tcW w:w="2725" w:type="dxa"/>
            <w:vAlign w:val="center"/>
            <w:hideMark/>
          </w:tcPr>
          <w:p w14:paraId="2F2D6717" w14:textId="505DC318" w:rsidR="00004BC8" w:rsidRPr="00004BC8" w:rsidRDefault="00004BC8" w:rsidP="00004BC8">
            <w:pPr>
              <w:spacing w:after="0" w:line="240" w:lineRule="auto"/>
              <w:jc w:val="both"/>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Inventories, total (140)</w:t>
            </w:r>
          </w:p>
        </w:tc>
        <w:tc>
          <w:tcPr>
            <w:tcW w:w="916" w:type="dxa"/>
            <w:vAlign w:val="center"/>
          </w:tcPr>
          <w:p w14:paraId="7BD898B2" w14:textId="281D27C0"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835.0</w:t>
            </w:r>
          </w:p>
        </w:tc>
        <w:tc>
          <w:tcPr>
            <w:tcW w:w="688" w:type="dxa"/>
            <w:vAlign w:val="center"/>
          </w:tcPr>
          <w:p w14:paraId="3F66DF79" w14:textId="405AA4C4"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1.3</w:t>
            </w:r>
          </w:p>
        </w:tc>
        <w:tc>
          <w:tcPr>
            <w:tcW w:w="916" w:type="dxa"/>
            <w:vAlign w:val="center"/>
            <w:hideMark/>
          </w:tcPr>
          <w:p w14:paraId="6897F3B4" w14:textId="0C6D5863"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675.0</w:t>
            </w:r>
          </w:p>
        </w:tc>
        <w:tc>
          <w:tcPr>
            <w:tcW w:w="688" w:type="dxa"/>
            <w:vAlign w:val="center"/>
            <w:hideMark/>
          </w:tcPr>
          <w:p w14:paraId="286D3CEC" w14:textId="2C5833F8"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1.0</w:t>
            </w:r>
          </w:p>
        </w:tc>
        <w:tc>
          <w:tcPr>
            <w:tcW w:w="916" w:type="dxa"/>
            <w:vAlign w:val="center"/>
            <w:hideMark/>
          </w:tcPr>
          <w:p w14:paraId="01C6FF3B" w14:textId="61A127EE"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816.0</w:t>
            </w:r>
          </w:p>
        </w:tc>
        <w:tc>
          <w:tcPr>
            <w:tcW w:w="688" w:type="dxa"/>
            <w:vAlign w:val="center"/>
            <w:hideMark/>
          </w:tcPr>
          <w:p w14:paraId="4A3A3793" w14:textId="6C0FD2B5"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1.2</w:t>
            </w:r>
          </w:p>
        </w:tc>
        <w:tc>
          <w:tcPr>
            <w:tcW w:w="916" w:type="dxa"/>
            <w:vAlign w:val="center"/>
          </w:tcPr>
          <w:p w14:paraId="3672E4A3" w14:textId="209E3BB8"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846.0</w:t>
            </w:r>
          </w:p>
        </w:tc>
        <w:tc>
          <w:tcPr>
            <w:tcW w:w="688" w:type="dxa"/>
            <w:vAlign w:val="center"/>
          </w:tcPr>
          <w:p w14:paraId="70BA10B6" w14:textId="6A594960"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1.4</w:t>
            </w:r>
          </w:p>
        </w:tc>
      </w:tr>
      <w:tr w:rsidR="00004BC8" w:rsidRPr="00004BC8" w14:paraId="41A4F547" w14:textId="77777777" w:rsidTr="000705BF">
        <w:trPr>
          <w:trHeight w:val="60"/>
        </w:trPr>
        <w:tc>
          <w:tcPr>
            <w:tcW w:w="2725" w:type="dxa"/>
            <w:vAlign w:val="center"/>
            <w:hideMark/>
          </w:tcPr>
          <w:p w14:paraId="1C5976E5" w14:textId="2EF357C3" w:rsidR="00004BC8" w:rsidRPr="00004BC8" w:rsidRDefault="00004BC8" w:rsidP="00004BC8">
            <w:pPr>
              <w:spacing w:after="0" w:line="240" w:lineRule="auto"/>
              <w:jc w:val="both"/>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Production inventories (150)</w:t>
            </w:r>
          </w:p>
        </w:tc>
        <w:tc>
          <w:tcPr>
            <w:tcW w:w="916" w:type="dxa"/>
            <w:vAlign w:val="center"/>
          </w:tcPr>
          <w:p w14:paraId="2F32EE35" w14:textId="642A762A"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766.0</w:t>
            </w:r>
          </w:p>
        </w:tc>
        <w:tc>
          <w:tcPr>
            <w:tcW w:w="688" w:type="dxa"/>
            <w:vAlign w:val="center"/>
          </w:tcPr>
          <w:p w14:paraId="4FE937E0" w14:textId="527E962A"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1.2</w:t>
            </w:r>
          </w:p>
        </w:tc>
        <w:tc>
          <w:tcPr>
            <w:tcW w:w="916" w:type="dxa"/>
            <w:vAlign w:val="center"/>
            <w:hideMark/>
          </w:tcPr>
          <w:p w14:paraId="4111774C" w14:textId="6ED26EAA"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606.0</w:t>
            </w:r>
          </w:p>
        </w:tc>
        <w:tc>
          <w:tcPr>
            <w:tcW w:w="688" w:type="dxa"/>
            <w:vAlign w:val="center"/>
            <w:hideMark/>
          </w:tcPr>
          <w:p w14:paraId="561A802A" w14:textId="19AABA81"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0.9</w:t>
            </w:r>
          </w:p>
        </w:tc>
        <w:tc>
          <w:tcPr>
            <w:tcW w:w="916" w:type="dxa"/>
            <w:vAlign w:val="center"/>
            <w:hideMark/>
          </w:tcPr>
          <w:p w14:paraId="51B3B821" w14:textId="2F536CE4"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747.0</w:t>
            </w:r>
          </w:p>
        </w:tc>
        <w:tc>
          <w:tcPr>
            <w:tcW w:w="688" w:type="dxa"/>
            <w:vAlign w:val="center"/>
            <w:hideMark/>
          </w:tcPr>
          <w:p w14:paraId="76ABA0E7" w14:textId="472327E8"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1.2</w:t>
            </w:r>
          </w:p>
        </w:tc>
        <w:tc>
          <w:tcPr>
            <w:tcW w:w="916" w:type="dxa"/>
            <w:vAlign w:val="center"/>
          </w:tcPr>
          <w:p w14:paraId="3148B2BB" w14:textId="76448444"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764.0</w:t>
            </w:r>
          </w:p>
        </w:tc>
        <w:tc>
          <w:tcPr>
            <w:tcW w:w="688" w:type="dxa"/>
            <w:vAlign w:val="center"/>
          </w:tcPr>
          <w:p w14:paraId="4CFD90AA" w14:textId="4D21B650"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1.3</w:t>
            </w:r>
          </w:p>
        </w:tc>
      </w:tr>
      <w:tr w:rsidR="00004BC8" w:rsidRPr="00004BC8" w14:paraId="5744EECF" w14:textId="77777777" w:rsidTr="000705BF">
        <w:trPr>
          <w:trHeight w:val="60"/>
        </w:trPr>
        <w:tc>
          <w:tcPr>
            <w:tcW w:w="2725" w:type="dxa"/>
            <w:vAlign w:val="center"/>
            <w:hideMark/>
          </w:tcPr>
          <w:p w14:paraId="70626F1F" w14:textId="24BF0563" w:rsidR="00004BC8" w:rsidRPr="00004BC8" w:rsidRDefault="00004BC8" w:rsidP="00004BC8">
            <w:pPr>
              <w:spacing w:after="0" w:line="240" w:lineRule="auto"/>
              <w:jc w:val="both"/>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Work in progress (160)</w:t>
            </w:r>
          </w:p>
        </w:tc>
        <w:tc>
          <w:tcPr>
            <w:tcW w:w="916" w:type="dxa"/>
            <w:vAlign w:val="center"/>
          </w:tcPr>
          <w:p w14:paraId="0B4DD94C" w14:textId="5EDABE95"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58.1</w:t>
            </w:r>
          </w:p>
        </w:tc>
        <w:tc>
          <w:tcPr>
            <w:tcW w:w="688" w:type="dxa"/>
            <w:vAlign w:val="center"/>
          </w:tcPr>
          <w:p w14:paraId="4495F4C7" w14:textId="6A5BDAE0"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0.1</w:t>
            </w:r>
          </w:p>
        </w:tc>
        <w:tc>
          <w:tcPr>
            <w:tcW w:w="916" w:type="dxa"/>
            <w:vAlign w:val="center"/>
            <w:hideMark/>
          </w:tcPr>
          <w:p w14:paraId="47DC4AA9" w14:textId="59651BD0"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1.6</w:t>
            </w:r>
          </w:p>
        </w:tc>
        <w:tc>
          <w:tcPr>
            <w:tcW w:w="688" w:type="dxa"/>
            <w:vAlign w:val="center"/>
            <w:hideMark/>
          </w:tcPr>
          <w:p w14:paraId="69292376" w14:textId="7D5A22E3"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0.02</w:t>
            </w:r>
          </w:p>
        </w:tc>
        <w:tc>
          <w:tcPr>
            <w:tcW w:w="916" w:type="dxa"/>
            <w:vAlign w:val="center"/>
            <w:hideMark/>
          </w:tcPr>
          <w:p w14:paraId="6A425F8C" w14:textId="4BA02D35"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1.3</w:t>
            </w:r>
          </w:p>
        </w:tc>
        <w:tc>
          <w:tcPr>
            <w:tcW w:w="688" w:type="dxa"/>
            <w:vAlign w:val="center"/>
            <w:hideMark/>
          </w:tcPr>
          <w:p w14:paraId="0F587D77" w14:textId="3F3D818D"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0.01</w:t>
            </w:r>
          </w:p>
        </w:tc>
        <w:tc>
          <w:tcPr>
            <w:tcW w:w="916" w:type="dxa"/>
            <w:vAlign w:val="center"/>
          </w:tcPr>
          <w:p w14:paraId="50D1FE85" w14:textId="50618D49"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1.4</w:t>
            </w:r>
          </w:p>
        </w:tc>
        <w:tc>
          <w:tcPr>
            <w:tcW w:w="688" w:type="dxa"/>
            <w:vAlign w:val="center"/>
          </w:tcPr>
          <w:p w14:paraId="231E0850" w14:textId="505A475C" w:rsidR="00004BC8" w:rsidRPr="00004BC8" w:rsidRDefault="00004BC8" w:rsidP="00004BC8">
            <w:pPr>
              <w:spacing w:after="0" w:line="240" w:lineRule="auto"/>
              <w:jc w:val="center"/>
              <w:rPr>
                <w:rFonts w:ascii="Times New Roman" w:hAnsi="Times New Roman" w:cs="Times New Roman"/>
                <w:sz w:val="20"/>
                <w:szCs w:val="20"/>
              </w:rPr>
            </w:pPr>
            <w:r w:rsidRPr="00416682">
              <w:rPr>
                <w:rFonts w:ascii="Times New Roman" w:eastAsia="Times New Roman" w:hAnsi="Times New Roman" w:cs="Times New Roman"/>
                <w:sz w:val="20"/>
                <w:szCs w:val="20"/>
                <w:lang w:eastAsia="ru-RU"/>
              </w:rPr>
              <w:t>0.01</w:t>
            </w:r>
          </w:p>
        </w:tc>
      </w:tr>
      <w:tr w:rsidR="00004BC8" w:rsidRPr="00004BC8" w14:paraId="146A30BD" w14:textId="77777777" w:rsidTr="000705BF">
        <w:trPr>
          <w:trHeight w:val="60"/>
        </w:trPr>
        <w:tc>
          <w:tcPr>
            <w:tcW w:w="2725" w:type="dxa"/>
            <w:vAlign w:val="center"/>
            <w:hideMark/>
          </w:tcPr>
          <w:p w14:paraId="0A8A5292" w14:textId="1A53B183" w:rsidR="00004BC8" w:rsidRPr="00004BC8" w:rsidRDefault="00004BC8" w:rsidP="00004BC8">
            <w:pPr>
              <w:spacing w:after="0" w:line="240" w:lineRule="auto"/>
              <w:jc w:val="both"/>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Production potential</w:t>
            </w:r>
          </w:p>
        </w:tc>
        <w:tc>
          <w:tcPr>
            <w:tcW w:w="916" w:type="dxa"/>
            <w:vAlign w:val="center"/>
          </w:tcPr>
          <w:p w14:paraId="778E5692" w14:textId="1EAD2D3B"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61,496.1</w:t>
            </w:r>
          </w:p>
        </w:tc>
        <w:tc>
          <w:tcPr>
            <w:tcW w:w="688" w:type="dxa"/>
            <w:vAlign w:val="center"/>
          </w:tcPr>
          <w:p w14:paraId="2A9C0D56" w14:textId="27C4526A"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93.8</w:t>
            </w:r>
          </w:p>
        </w:tc>
        <w:tc>
          <w:tcPr>
            <w:tcW w:w="916" w:type="dxa"/>
            <w:vAlign w:val="center"/>
            <w:hideMark/>
          </w:tcPr>
          <w:p w14:paraId="3FB85E1B" w14:textId="0BBFC872"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43,322.6</w:t>
            </w:r>
          </w:p>
        </w:tc>
        <w:tc>
          <w:tcPr>
            <w:tcW w:w="688" w:type="dxa"/>
            <w:vAlign w:val="center"/>
            <w:hideMark/>
          </w:tcPr>
          <w:p w14:paraId="1EFEFEB0" w14:textId="68403442"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66.7</w:t>
            </w:r>
          </w:p>
        </w:tc>
        <w:tc>
          <w:tcPr>
            <w:tcW w:w="916" w:type="dxa"/>
            <w:vAlign w:val="center"/>
            <w:hideMark/>
          </w:tcPr>
          <w:p w14:paraId="377D675A" w14:textId="61C7C3E3"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48,160.3</w:t>
            </w:r>
          </w:p>
        </w:tc>
        <w:tc>
          <w:tcPr>
            <w:tcW w:w="688" w:type="dxa"/>
            <w:vAlign w:val="center"/>
            <w:hideMark/>
          </w:tcPr>
          <w:p w14:paraId="60F2B120" w14:textId="2EB150B3"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74.0</w:t>
            </w:r>
          </w:p>
        </w:tc>
        <w:tc>
          <w:tcPr>
            <w:tcW w:w="916" w:type="dxa"/>
            <w:vAlign w:val="center"/>
          </w:tcPr>
          <w:p w14:paraId="5981F2C3" w14:textId="1D814129"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49,687.0</w:t>
            </w:r>
          </w:p>
        </w:tc>
        <w:tc>
          <w:tcPr>
            <w:tcW w:w="688" w:type="dxa"/>
            <w:vAlign w:val="center"/>
          </w:tcPr>
          <w:p w14:paraId="694B1062" w14:textId="539C2DC3"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81.0</w:t>
            </w:r>
          </w:p>
        </w:tc>
      </w:tr>
      <w:tr w:rsidR="00004BC8" w:rsidRPr="00004BC8" w14:paraId="0D83EFC5" w14:textId="77777777" w:rsidTr="000705BF">
        <w:trPr>
          <w:trHeight w:val="60"/>
        </w:trPr>
        <w:tc>
          <w:tcPr>
            <w:tcW w:w="2725" w:type="dxa"/>
            <w:vAlign w:val="center"/>
            <w:hideMark/>
          </w:tcPr>
          <w:p w14:paraId="48DC8053" w14:textId="4889E3EE" w:rsidR="00004BC8" w:rsidRPr="00004BC8" w:rsidRDefault="00004BC8" w:rsidP="00004BC8">
            <w:pPr>
              <w:spacing w:after="0" w:line="240" w:lineRule="auto"/>
              <w:jc w:val="both"/>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Total assets of the enterprise</w:t>
            </w:r>
          </w:p>
        </w:tc>
        <w:tc>
          <w:tcPr>
            <w:tcW w:w="916" w:type="dxa"/>
            <w:vAlign w:val="center"/>
          </w:tcPr>
          <w:p w14:paraId="4E33DCCC" w14:textId="3CD747B1"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65,569.0</w:t>
            </w:r>
          </w:p>
        </w:tc>
        <w:tc>
          <w:tcPr>
            <w:tcW w:w="688" w:type="dxa"/>
            <w:vAlign w:val="center"/>
          </w:tcPr>
          <w:p w14:paraId="36AA667C" w14:textId="7A8B3E5B"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100</w:t>
            </w:r>
          </w:p>
        </w:tc>
        <w:tc>
          <w:tcPr>
            <w:tcW w:w="916" w:type="dxa"/>
            <w:vAlign w:val="center"/>
            <w:hideMark/>
          </w:tcPr>
          <w:p w14:paraId="422A7DDC" w14:textId="2C71D3B6"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64,982.0</w:t>
            </w:r>
          </w:p>
        </w:tc>
        <w:tc>
          <w:tcPr>
            <w:tcW w:w="688" w:type="dxa"/>
            <w:vAlign w:val="center"/>
            <w:hideMark/>
          </w:tcPr>
          <w:p w14:paraId="732B4074" w14:textId="4670AE9A"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100</w:t>
            </w:r>
          </w:p>
        </w:tc>
        <w:tc>
          <w:tcPr>
            <w:tcW w:w="916" w:type="dxa"/>
            <w:vAlign w:val="center"/>
            <w:hideMark/>
          </w:tcPr>
          <w:p w14:paraId="5D5492AE" w14:textId="1C8890E0"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65,115.0</w:t>
            </w:r>
          </w:p>
        </w:tc>
        <w:tc>
          <w:tcPr>
            <w:tcW w:w="688" w:type="dxa"/>
            <w:vAlign w:val="center"/>
            <w:hideMark/>
          </w:tcPr>
          <w:p w14:paraId="108C16D3" w14:textId="06299801"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100</w:t>
            </w:r>
          </w:p>
        </w:tc>
        <w:tc>
          <w:tcPr>
            <w:tcW w:w="916" w:type="dxa"/>
            <w:vAlign w:val="center"/>
          </w:tcPr>
          <w:p w14:paraId="6954488F" w14:textId="4B2D73EF"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66,012.0</w:t>
            </w:r>
          </w:p>
        </w:tc>
        <w:tc>
          <w:tcPr>
            <w:tcW w:w="688" w:type="dxa"/>
            <w:vAlign w:val="center"/>
          </w:tcPr>
          <w:p w14:paraId="617080B8" w14:textId="147E7143" w:rsidR="00004BC8" w:rsidRPr="00004BC8" w:rsidRDefault="00004BC8" w:rsidP="00004BC8">
            <w:pPr>
              <w:spacing w:after="0" w:line="240" w:lineRule="auto"/>
              <w:jc w:val="center"/>
              <w:rPr>
                <w:rFonts w:ascii="Times New Roman" w:hAnsi="Times New Roman" w:cs="Times New Roman"/>
                <w:sz w:val="20"/>
                <w:szCs w:val="20"/>
              </w:rPr>
            </w:pPr>
            <w:r w:rsidRPr="00004BC8">
              <w:rPr>
                <w:rFonts w:ascii="Times New Roman" w:eastAsia="Times New Roman" w:hAnsi="Times New Roman" w:cs="Times New Roman"/>
                <w:b/>
                <w:bCs/>
                <w:sz w:val="20"/>
                <w:szCs w:val="20"/>
                <w:lang w:eastAsia="ru-RU"/>
              </w:rPr>
              <w:t>100</w:t>
            </w:r>
          </w:p>
        </w:tc>
      </w:tr>
      <w:bookmarkEnd w:id="0"/>
    </w:tbl>
    <w:p w14:paraId="30C814E0" w14:textId="06D5A627" w:rsidR="00F038AD" w:rsidRDefault="00F038AD" w:rsidP="00DE4111">
      <w:pPr>
        <w:spacing w:after="0" w:line="240" w:lineRule="auto"/>
        <w:ind w:firstLine="284"/>
        <w:jc w:val="both"/>
        <w:rPr>
          <w:rFonts w:ascii="Times New Roman" w:hAnsi="Times New Roman" w:cs="Times New Roman"/>
          <w:sz w:val="20"/>
          <w:lang w:val="uz-Cyrl-UZ"/>
        </w:rPr>
      </w:pPr>
    </w:p>
    <w:p w14:paraId="3714B623" w14:textId="166E37B2" w:rsidR="00DA1564" w:rsidRPr="00DA1564" w:rsidRDefault="00DA1564" w:rsidP="00DA1564">
      <w:pPr>
        <w:spacing w:after="0" w:line="240" w:lineRule="auto"/>
        <w:ind w:firstLine="284"/>
        <w:jc w:val="both"/>
        <w:rPr>
          <w:rFonts w:ascii="Times New Roman" w:hAnsi="Times New Roman" w:cs="Times New Roman"/>
          <w:sz w:val="20"/>
          <w:lang w:val="uz-Cyrl-UZ"/>
        </w:rPr>
      </w:pPr>
      <w:r w:rsidRPr="00DA1564">
        <w:rPr>
          <w:rFonts w:ascii="Times New Roman" w:hAnsi="Times New Roman" w:cs="Times New Roman"/>
          <w:sz w:val="20"/>
          <w:lang w:val="uz-Cyrl-UZ"/>
        </w:rPr>
        <w:t xml:space="preserve">According to the data presented in Table 3, in 2020 the value of fixed assets amounted to 26,374.0 billion UZS, accounting for 40.2% of the company’s total assets. By 2023, this indicator increased to 28,426.0 billion UZS, while its share rose to 44.1%. This positive </w:t>
      </w:r>
      <w:r w:rsidR="00040ECC" w:rsidRPr="00040ECC">
        <w:rPr>
          <w:rFonts w:ascii="Times New Roman" w:hAnsi="Times New Roman" w:cs="Times New Roman"/>
          <w:sz w:val="20"/>
          <w:lang w:val="uz-Cyrl-UZ"/>
        </w:rPr>
        <w:t>dynamics</w:t>
      </w:r>
      <w:r w:rsidRPr="00DA1564">
        <w:rPr>
          <w:rFonts w:ascii="Times New Roman" w:hAnsi="Times New Roman" w:cs="Times New Roman"/>
          <w:sz w:val="20"/>
          <w:lang w:val="uz-Cyrl-UZ"/>
        </w:rPr>
        <w:t xml:space="preserve"> is primarily associated with the implementation of modernization programs by “Uzbekneftegaz” JSC, including projects such as Shurtan Gas Chemical Complex–2 and the Gas Processing Administration, which aimed at upgrading fixed assets and improving production efficiency. The increase in the share of fixed assets by approximately 4 percentage points reflects a strategic shift toward greater investment in tangible productive assets.</w:t>
      </w:r>
    </w:p>
    <w:p w14:paraId="708A3DEC" w14:textId="77777777" w:rsidR="00DA1564" w:rsidRPr="00DA1564" w:rsidRDefault="00DA1564" w:rsidP="00DA1564">
      <w:pPr>
        <w:spacing w:after="0" w:line="240" w:lineRule="auto"/>
        <w:ind w:firstLine="284"/>
        <w:jc w:val="both"/>
        <w:rPr>
          <w:rFonts w:ascii="Times New Roman" w:hAnsi="Times New Roman" w:cs="Times New Roman"/>
          <w:sz w:val="20"/>
          <w:lang w:val="uz-Cyrl-UZ"/>
        </w:rPr>
      </w:pPr>
      <w:r w:rsidRPr="00DA1564">
        <w:rPr>
          <w:rFonts w:ascii="Times New Roman" w:hAnsi="Times New Roman" w:cs="Times New Roman"/>
          <w:sz w:val="20"/>
          <w:lang w:val="uz-Cyrl-UZ"/>
        </w:rPr>
        <w:t>The volume of short-term investments declined significantly from 30,180.0 billion UZS in 2020 to 14,217.0 billion UZS in 2021, and subsequently stabilized at 14,442.0 billion UZS in 2023. This trend indicates not a deterioration of financial performance, but rather a strategic reallocation of financial resources toward long-term capital projects. In this context, the reduction in short-term investments reflects a deliberate transition toward enhancing long-term operational efficiency and sustainable asset development.</w:t>
      </w:r>
    </w:p>
    <w:p w14:paraId="18C18FE6" w14:textId="77777777" w:rsidR="00DA1564" w:rsidRPr="00DA1564" w:rsidRDefault="00DA1564" w:rsidP="00DA1564">
      <w:pPr>
        <w:spacing w:after="0" w:line="240" w:lineRule="auto"/>
        <w:ind w:firstLine="284"/>
        <w:jc w:val="both"/>
        <w:rPr>
          <w:rFonts w:ascii="Times New Roman" w:hAnsi="Times New Roman" w:cs="Times New Roman"/>
          <w:sz w:val="20"/>
          <w:lang w:val="uz-Cyrl-UZ"/>
        </w:rPr>
      </w:pPr>
      <w:r w:rsidRPr="00DA1564">
        <w:rPr>
          <w:rFonts w:ascii="Times New Roman" w:hAnsi="Times New Roman" w:cs="Times New Roman"/>
          <w:sz w:val="20"/>
          <w:lang w:val="uz-Cyrl-UZ"/>
        </w:rPr>
        <w:t>The value of inventories amounted to 835.0 billion UZS in 2020 and increased slightly to 846.0 billion UZS in 2023. Within this category, production inventories decreased marginally from 766.0 billion UZS to 764.0 billion UZS, demonstrating the implementation of an inventory optimization strategy. This trend represents a positive aspect of financial management, as excessive inventories tend to immobilize working capital, while maintaining optimal stock levels ensures production continuity and supply chain stability.</w:t>
      </w:r>
    </w:p>
    <w:p w14:paraId="05AB843A" w14:textId="77777777" w:rsidR="00DA1564" w:rsidRPr="00DA1564" w:rsidRDefault="00DA1564" w:rsidP="00DA1564">
      <w:pPr>
        <w:spacing w:after="0" w:line="240" w:lineRule="auto"/>
        <w:ind w:firstLine="284"/>
        <w:jc w:val="both"/>
        <w:rPr>
          <w:rFonts w:ascii="Times New Roman" w:hAnsi="Times New Roman" w:cs="Times New Roman"/>
          <w:sz w:val="20"/>
          <w:lang w:val="uz-Cyrl-UZ"/>
        </w:rPr>
      </w:pPr>
      <w:r w:rsidRPr="00DA1564">
        <w:rPr>
          <w:rFonts w:ascii="Times New Roman" w:hAnsi="Times New Roman" w:cs="Times New Roman"/>
          <w:sz w:val="20"/>
          <w:lang w:val="uz-Cyrl-UZ"/>
        </w:rPr>
        <w:t>In 2020, the company’s total production potential reached 61,496.1 billion UZS, while in 2023 it amounted to 49,687.0 billion UZS. The relative decline in this indicator is largely attributable to the redistribution of current assets in 2021 and reflects the adoption of a financial strategy focused on qualitative efficiency rather than quantitative expansion. In other words, the company transitioned to a model emphasizing higher productivity with optimized resource utilization. This shift indicates an improvement in production efficiency in qualitative terms.</w:t>
      </w:r>
    </w:p>
    <w:p w14:paraId="30FA2C38" w14:textId="77777777" w:rsidR="00DA1564" w:rsidRPr="00DA1564" w:rsidRDefault="00DA1564" w:rsidP="00DA1564">
      <w:pPr>
        <w:spacing w:after="0" w:line="240" w:lineRule="auto"/>
        <w:ind w:firstLine="284"/>
        <w:jc w:val="both"/>
        <w:rPr>
          <w:rFonts w:ascii="Times New Roman" w:hAnsi="Times New Roman" w:cs="Times New Roman"/>
          <w:sz w:val="20"/>
          <w:lang w:val="uz-Cyrl-UZ"/>
        </w:rPr>
      </w:pPr>
      <w:r w:rsidRPr="00DA1564">
        <w:rPr>
          <w:rFonts w:ascii="Times New Roman" w:hAnsi="Times New Roman" w:cs="Times New Roman"/>
          <w:sz w:val="20"/>
          <w:lang w:val="uz-Cyrl-UZ"/>
        </w:rPr>
        <w:t>Overall, the analysis demonstrates that during 2020–2023, the production potential of “Uzbekneftegaz” JSC followed a stable development trajectory driven primarily by investments in fixed assets and capital expenditures. Growth in fixed assets, optimization of short-term investments, and balanced inventory management collectively indicate that financial stability is increasingly being ensured through internal resources. This trend is further reflected in improved value-added performance, as asset profitability and capital efficiency exhibit positive dynamics.</w:t>
      </w:r>
    </w:p>
    <w:p w14:paraId="4D53D24D" w14:textId="757F39E8" w:rsidR="00F038AD" w:rsidRDefault="00DA1564" w:rsidP="00DA1564">
      <w:pPr>
        <w:spacing w:after="0" w:line="240" w:lineRule="auto"/>
        <w:ind w:firstLine="284"/>
        <w:jc w:val="both"/>
        <w:rPr>
          <w:rFonts w:ascii="Times New Roman" w:hAnsi="Times New Roman" w:cs="Times New Roman"/>
          <w:sz w:val="20"/>
          <w:lang w:val="uz-Cyrl-UZ"/>
        </w:rPr>
      </w:pPr>
      <w:r w:rsidRPr="00DA1564">
        <w:rPr>
          <w:rFonts w:ascii="Times New Roman" w:hAnsi="Times New Roman" w:cs="Times New Roman"/>
          <w:sz w:val="20"/>
          <w:lang w:val="uz-Cyrl-UZ"/>
        </w:rPr>
        <w:t>Furthermore, an analysis of the financial indicators of “Uzbekneftegaz” JSC over the 2016–2023 period reveals key trends in the company’s economic sustainability, profitability potential, and liquidity capacity. A multi-year assessment of financial stability enables not only the identification of existing tendencies but also an evaluation of the effectiveness of strategic management decisions. The presented indicators include return on assets (ROA), return on equity, overall solvency ratios, capital adequacy measures, and the balance between liabilities and assets, all of which collectively characterize the company’s long-term financial resilience</w:t>
      </w:r>
      <w:r w:rsidR="0019146C">
        <w:rPr>
          <w:rFonts w:ascii="Times New Roman" w:hAnsi="Times New Roman" w:cs="Times New Roman"/>
          <w:sz w:val="20"/>
        </w:rPr>
        <w:t xml:space="preserve"> [4]</w:t>
      </w:r>
      <w:r w:rsidRPr="00DA1564">
        <w:rPr>
          <w:rFonts w:ascii="Times New Roman" w:hAnsi="Times New Roman" w:cs="Times New Roman"/>
          <w:sz w:val="20"/>
          <w:lang w:val="uz-Cyrl-UZ"/>
        </w:rPr>
        <w:t>.</w:t>
      </w:r>
    </w:p>
    <w:p w14:paraId="6AFDC128" w14:textId="300F351A" w:rsidR="007D4561" w:rsidRPr="00BD1668" w:rsidRDefault="007D4561" w:rsidP="007D4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sz w:val="20"/>
          <w:szCs w:val="20"/>
          <w:lang w:eastAsia="de-DE"/>
        </w:rPr>
      </w:pPr>
      <w:r w:rsidRPr="008745D5">
        <w:rPr>
          <w:rFonts w:ascii="Times New Roman" w:hAnsi="Times New Roman" w:cs="Times New Roman"/>
          <w:b/>
          <w:sz w:val="20"/>
          <w:szCs w:val="20"/>
          <w:lang w:eastAsia="de-DE"/>
        </w:rPr>
        <w:lastRenderedPageBreak/>
        <w:t xml:space="preserve">TABLE </w:t>
      </w:r>
      <w:r w:rsidR="00D6438C">
        <w:rPr>
          <w:rFonts w:ascii="Times New Roman" w:hAnsi="Times New Roman" w:cs="Times New Roman"/>
          <w:b/>
          <w:sz w:val="20"/>
          <w:szCs w:val="20"/>
          <w:lang w:eastAsia="de-DE"/>
        </w:rPr>
        <w:t>4</w:t>
      </w:r>
      <w:r w:rsidRPr="008745D5">
        <w:rPr>
          <w:rFonts w:ascii="Times New Roman" w:hAnsi="Times New Roman" w:cs="Times New Roman"/>
          <w:b/>
          <w:sz w:val="20"/>
          <w:szCs w:val="20"/>
          <w:lang w:eastAsia="de-DE"/>
        </w:rPr>
        <w:t>.</w:t>
      </w:r>
      <w:r w:rsidRPr="007B0CAD">
        <w:rPr>
          <w:rFonts w:ascii="Times New Roman" w:hAnsi="Times New Roman" w:cs="Times New Roman"/>
          <w:b/>
          <w:sz w:val="20"/>
          <w:szCs w:val="20"/>
          <w:lang w:eastAsia="de-DE"/>
        </w:rPr>
        <w:t xml:space="preserve"> </w:t>
      </w:r>
      <w:r w:rsidR="00BD1668" w:rsidRPr="00BD1668">
        <w:rPr>
          <w:rFonts w:ascii="Times New Roman" w:hAnsi="Times New Roman" w:cs="Times New Roman"/>
          <w:sz w:val="20"/>
          <w:szCs w:val="20"/>
          <w:lang w:eastAsia="de-DE"/>
        </w:rPr>
        <w:t>Financial Stability and Profitability Indicators of “</w:t>
      </w:r>
      <w:proofErr w:type="spellStart"/>
      <w:r w:rsidR="00BD1668" w:rsidRPr="00BD1668">
        <w:rPr>
          <w:rFonts w:ascii="Times New Roman" w:hAnsi="Times New Roman" w:cs="Times New Roman"/>
          <w:sz w:val="20"/>
          <w:szCs w:val="20"/>
          <w:lang w:eastAsia="de-DE"/>
        </w:rPr>
        <w:t>Uzbekneftegaz</w:t>
      </w:r>
      <w:proofErr w:type="spellEnd"/>
      <w:r w:rsidR="00BD1668" w:rsidRPr="00BD1668">
        <w:rPr>
          <w:rFonts w:ascii="Times New Roman" w:hAnsi="Times New Roman" w:cs="Times New Roman"/>
          <w:sz w:val="20"/>
          <w:szCs w:val="20"/>
          <w:lang w:eastAsia="de-DE"/>
        </w:rPr>
        <w:t>” JSC (2016–2023).</w:t>
      </w:r>
    </w:p>
    <w:tbl>
      <w:tblPr>
        <w:tblpPr w:leftFromText="180" w:rightFromText="180" w:vertAnchor="text" w:horzAnchor="margin" w:tblpXSpec="center" w:tblpY="94"/>
        <w:tblW w:w="9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620"/>
        <w:gridCol w:w="707"/>
        <w:gridCol w:w="685"/>
        <w:gridCol w:w="666"/>
        <w:gridCol w:w="702"/>
        <w:gridCol w:w="666"/>
        <w:gridCol w:w="618"/>
        <w:gridCol w:w="672"/>
      </w:tblGrid>
      <w:tr w:rsidR="000049D6" w:rsidRPr="00BD1668" w14:paraId="369B2CEC" w14:textId="77777777" w:rsidTr="000049D6">
        <w:trPr>
          <w:trHeight w:val="139"/>
        </w:trPr>
        <w:tc>
          <w:tcPr>
            <w:tcW w:w="3887" w:type="dxa"/>
            <w:vAlign w:val="center"/>
          </w:tcPr>
          <w:p w14:paraId="15C0F879" w14:textId="7835F071"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Indicator</w:t>
            </w:r>
          </w:p>
        </w:tc>
        <w:tc>
          <w:tcPr>
            <w:tcW w:w="620" w:type="dxa"/>
            <w:vAlign w:val="center"/>
          </w:tcPr>
          <w:p w14:paraId="27090603" w14:textId="2BCBA8D9"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2016</w:t>
            </w:r>
          </w:p>
        </w:tc>
        <w:tc>
          <w:tcPr>
            <w:tcW w:w="707" w:type="dxa"/>
            <w:vAlign w:val="center"/>
          </w:tcPr>
          <w:p w14:paraId="20386294" w14:textId="479C7EAC"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2017</w:t>
            </w:r>
          </w:p>
        </w:tc>
        <w:tc>
          <w:tcPr>
            <w:tcW w:w="685" w:type="dxa"/>
            <w:vAlign w:val="center"/>
          </w:tcPr>
          <w:p w14:paraId="2E2A982A" w14:textId="7861B459"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2018</w:t>
            </w:r>
          </w:p>
        </w:tc>
        <w:tc>
          <w:tcPr>
            <w:tcW w:w="666" w:type="dxa"/>
            <w:vAlign w:val="center"/>
          </w:tcPr>
          <w:p w14:paraId="331C5947" w14:textId="4D9E1C46"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2019</w:t>
            </w:r>
          </w:p>
        </w:tc>
        <w:tc>
          <w:tcPr>
            <w:tcW w:w="702" w:type="dxa"/>
            <w:vAlign w:val="center"/>
          </w:tcPr>
          <w:p w14:paraId="6199C059" w14:textId="7A7F51E6"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2020</w:t>
            </w:r>
          </w:p>
        </w:tc>
        <w:tc>
          <w:tcPr>
            <w:tcW w:w="666" w:type="dxa"/>
            <w:vAlign w:val="center"/>
          </w:tcPr>
          <w:p w14:paraId="62750214" w14:textId="1FED39A5"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2021</w:t>
            </w:r>
          </w:p>
        </w:tc>
        <w:tc>
          <w:tcPr>
            <w:tcW w:w="618" w:type="dxa"/>
            <w:vAlign w:val="center"/>
          </w:tcPr>
          <w:p w14:paraId="3DDD9ABF" w14:textId="45E32A60"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2022</w:t>
            </w:r>
          </w:p>
        </w:tc>
        <w:tc>
          <w:tcPr>
            <w:tcW w:w="672" w:type="dxa"/>
            <w:vAlign w:val="center"/>
          </w:tcPr>
          <w:p w14:paraId="79867749" w14:textId="692251DC"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b/>
                <w:bCs/>
                <w:sz w:val="20"/>
                <w:szCs w:val="20"/>
                <w:lang w:eastAsia="ru-RU"/>
              </w:rPr>
              <w:t>2023</w:t>
            </w:r>
          </w:p>
        </w:tc>
      </w:tr>
      <w:tr w:rsidR="000049D6" w:rsidRPr="00BD1668" w14:paraId="0636B15C" w14:textId="77777777" w:rsidTr="000049D6">
        <w:trPr>
          <w:trHeight w:val="55"/>
        </w:trPr>
        <w:tc>
          <w:tcPr>
            <w:tcW w:w="3887" w:type="dxa"/>
            <w:vAlign w:val="center"/>
          </w:tcPr>
          <w:p w14:paraId="7A1727E2" w14:textId="1ABB77AF"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Return on Assets (ROA)</w:t>
            </w:r>
          </w:p>
        </w:tc>
        <w:tc>
          <w:tcPr>
            <w:tcW w:w="620" w:type="dxa"/>
            <w:vAlign w:val="center"/>
          </w:tcPr>
          <w:p w14:paraId="6561F43F" w14:textId="6E82F456"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0.23</w:t>
            </w:r>
          </w:p>
        </w:tc>
        <w:tc>
          <w:tcPr>
            <w:tcW w:w="707" w:type="dxa"/>
            <w:vAlign w:val="center"/>
          </w:tcPr>
          <w:p w14:paraId="79E40B7F" w14:textId="4A3871A5"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0.98</w:t>
            </w:r>
          </w:p>
        </w:tc>
        <w:tc>
          <w:tcPr>
            <w:tcW w:w="685" w:type="dxa"/>
            <w:vAlign w:val="center"/>
          </w:tcPr>
          <w:p w14:paraId="3C99F595" w14:textId="4AE29B87"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0.32</w:t>
            </w:r>
          </w:p>
        </w:tc>
        <w:tc>
          <w:tcPr>
            <w:tcW w:w="666" w:type="dxa"/>
            <w:vAlign w:val="center"/>
          </w:tcPr>
          <w:p w14:paraId="796F2513" w14:textId="1E1DD469"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0.71</w:t>
            </w:r>
          </w:p>
        </w:tc>
        <w:tc>
          <w:tcPr>
            <w:tcW w:w="702" w:type="dxa"/>
            <w:vAlign w:val="center"/>
          </w:tcPr>
          <w:p w14:paraId="37EE42D6" w14:textId="081B3BD0"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0.86</w:t>
            </w:r>
          </w:p>
        </w:tc>
        <w:tc>
          <w:tcPr>
            <w:tcW w:w="666" w:type="dxa"/>
            <w:vAlign w:val="center"/>
          </w:tcPr>
          <w:p w14:paraId="4A86EC2D" w14:textId="77BE41AF"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0.65</w:t>
            </w:r>
          </w:p>
        </w:tc>
        <w:tc>
          <w:tcPr>
            <w:tcW w:w="618" w:type="dxa"/>
            <w:vAlign w:val="center"/>
          </w:tcPr>
          <w:p w14:paraId="351F4B6C" w14:textId="43AEA882"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0.52</w:t>
            </w:r>
          </w:p>
        </w:tc>
        <w:tc>
          <w:tcPr>
            <w:tcW w:w="672" w:type="dxa"/>
            <w:vAlign w:val="center"/>
          </w:tcPr>
          <w:p w14:paraId="0C9D363E" w14:textId="2DF2A53E"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0.41</w:t>
            </w:r>
          </w:p>
        </w:tc>
      </w:tr>
      <w:tr w:rsidR="000049D6" w:rsidRPr="00BD1668" w14:paraId="1966B770" w14:textId="77777777" w:rsidTr="000049D6">
        <w:tc>
          <w:tcPr>
            <w:tcW w:w="3887" w:type="dxa"/>
            <w:vAlign w:val="center"/>
          </w:tcPr>
          <w:p w14:paraId="7B3EB8D0" w14:textId="0968B549"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Return on Authorized Capital</w:t>
            </w:r>
          </w:p>
        </w:tc>
        <w:tc>
          <w:tcPr>
            <w:tcW w:w="620" w:type="dxa"/>
            <w:vAlign w:val="center"/>
          </w:tcPr>
          <w:p w14:paraId="3044EBB7" w14:textId="32002EBB"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0.01</w:t>
            </w:r>
          </w:p>
        </w:tc>
        <w:tc>
          <w:tcPr>
            <w:tcW w:w="707" w:type="dxa"/>
            <w:vAlign w:val="center"/>
          </w:tcPr>
          <w:p w14:paraId="5F139189" w14:textId="3E8B51DF"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0.037</w:t>
            </w:r>
          </w:p>
        </w:tc>
        <w:tc>
          <w:tcPr>
            <w:tcW w:w="685" w:type="dxa"/>
            <w:vAlign w:val="center"/>
          </w:tcPr>
          <w:p w14:paraId="0CC32E9B" w14:textId="3E3B2A41"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0.038</w:t>
            </w:r>
          </w:p>
        </w:tc>
        <w:tc>
          <w:tcPr>
            <w:tcW w:w="666" w:type="dxa"/>
            <w:vAlign w:val="center"/>
          </w:tcPr>
          <w:p w14:paraId="36DFB11F" w14:textId="2EFC2B41"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0.031</w:t>
            </w:r>
          </w:p>
        </w:tc>
        <w:tc>
          <w:tcPr>
            <w:tcW w:w="702" w:type="dxa"/>
            <w:vAlign w:val="center"/>
          </w:tcPr>
          <w:p w14:paraId="3E9AD0AC" w14:textId="6F96E789"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0.88</w:t>
            </w:r>
          </w:p>
        </w:tc>
        <w:tc>
          <w:tcPr>
            <w:tcW w:w="666" w:type="dxa"/>
            <w:vAlign w:val="center"/>
          </w:tcPr>
          <w:p w14:paraId="54442B3A" w14:textId="4FA449E0"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0.31</w:t>
            </w:r>
          </w:p>
        </w:tc>
        <w:tc>
          <w:tcPr>
            <w:tcW w:w="618" w:type="dxa"/>
            <w:vAlign w:val="center"/>
          </w:tcPr>
          <w:p w14:paraId="563B3A9E" w14:textId="29121001"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0.88</w:t>
            </w:r>
          </w:p>
        </w:tc>
        <w:tc>
          <w:tcPr>
            <w:tcW w:w="672" w:type="dxa"/>
            <w:vAlign w:val="center"/>
          </w:tcPr>
          <w:p w14:paraId="3944A47A" w14:textId="61C0AD14"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1.75</w:t>
            </w:r>
          </w:p>
        </w:tc>
      </w:tr>
      <w:tr w:rsidR="000049D6" w:rsidRPr="00BD1668" w14:paraId="586DD5D5" w14:textId="77777777" w:rsidTr="000049D6">
        <w:tc>
          <w:tcPr>
            <w:tcW w:w="3887" w:type="dxa"/>
            <w:vAlign w:val="center"/>
          </w:tcPr>
          <w:p w14:paraId="1497F25F" w14:textId="5F70ABCE"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Overall Solvency Coverage Ratio</w:t>
            </w:r>
          </w:p>
        </w:tc>
        <w:tc>
          <w:tcPr>
            <w:tcW w:w="620" w:type="dxa"/>
            <w:vAlign w:val="center"/>
          </w:tcPr>
          <w:p w14:paraId="2439E035" w14:textId="2A0DD985"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1.99</w:t>
            </w:r>
          </w:p>
        </w:tc>
        <w:tc>
          <w:tcPr>
            <w:tcW w:w="707" w:type="dxa"/>
            <w:vAlign w:val="center"/>
          </w:tcPr>
          <w:p w14:paraId="5B5B25D9" w14:textId="78AEA57A"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2.68</w:t>
            </w:r>
          </w:p>
        </w:tc>
        <w:tc>
          <w:tcPr>
            <w:tcW w:w="685" w:type="dxa"/>
            <w:vAlign w:val="center"/>
          </w:tcPr>
          <w:p w14:paraId="52C7D271" w14:textId="66359A64"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2.68</w:t>
            </w:r>
          </w:p>
        </w:tc>
        <w:tc>
          <w:tcPr>
            <w:tcW w:w="666" w:type="dxa"/>
            <w:vAlign w:val="center"/>
          </w:tcPr>
          <w:p w14:paraId="56E1265F" w14:textId="5084F6BB"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2.56</w:t>
            </w:r>
          </w:p>
        </w:tc>
        <w:tc>
          <w:tcPr>
            <w:tcW w:w="702" w:type="dxa"/>
            <w:vAlign w:val="center"/>
          </w:tcPr>
          <w:p w14:paraId="1689E4E1" w14:textId="75998CAD"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1.79</w:t>
            </w:r>
          </w:p>
        </w:tc>
        <w:tc>
          <w:tcPr>
            <w:tcW w:w="666" w:type="dxa"/>
            <w:vAlign w:val="center"/>
          </w:tcPr>
          <w:p w14:paraId="431E4176" w14:textId="65826716"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2.55</w:t>
            </w:r>
          </w:p>
        </w:tc>
        <w:tc>
          <w:tcPr>
            <w:tcW w:w="618" w:type="dxa"/>
            <w:vAlign w:val="center"/>
          </w:tcPr>
          <w:p w14:paraId="7AC22EC5" w14:textId="29BF187D"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0.65</w:t>
            </w:r>
          </w:p>
        </w:tc>
        <w:tc>
          <w:tcPr>
            <w:tcW w:w="672" w:type="dxa"/>
            <w:vAlign w:val="center"/>
          </w:tcPr>
          <w:p w14:paraId="068932C8" w14:textId="68E847FF"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1.35</w:t>
            </w:r>
          </w:p>
        </w:tc>
      </w:tr>
      <w:tr w:rsidR="000049D6" w:rsidRPr="00BD1668" w14:paraId="38296997" w14:textId="77777777" w:rsidTr="000049D6">
        <w:tc>
          <w:tcPr>
            <w:tcW w:w="3887" w:type="dxa"/>
            <w:vAlign w:val="center"/>
          </w:tcPr>
          <w:p w14:paraId="08B1288B" w14:textId="6ACD0451"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Absolute Liquidity Ratio</w:t>
            </w:r>
          </w:p>
        </w:tc>
        <w:tc>
          <w:tcPr>
            <w:tcW w:w="620" w:type="dxa"/>
            <w:vAlign w:val="center"/>
          </w:tcPr>
          <w:p w14:paraId="0F6D2003" w14:textId="611730A6"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0.20</w:t>
            </w:r>
          </w:p>
        </w:tc>
        <w:tc>
          <w:tcPr>
            <w:tcW w:w="707" w:type="dxa"/>
            <w:vAlign w:val="center"/>
          </w:tcPr>
          <w:p w14:paraId="6871B973" w14:textId="40238445"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0.40</w:t>
            </w:r>
          </w:p>
        </w:tc>
        <w:tc>
          <w:tcPr>
            <w:tcW w:w="685" w:type="dxa"/>
            <w:vAlign w:val="center"/>
          </w:tcPr>
          <w:p w14:paraId="6DE470FA" w14:textId="74B68294"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0.40</w:t>
            </w:r>
          </w:p>
        </w:tc>
        <w:tc>
          <w:tcPr>
            <w:tcW w:w="666" w:type="dxa"/>
            <w:vAlign w:val="center"/>
          </w:tcPr>
          <w:p w14:paraId="6FCF1EDA" w14:textId="0E270FD8"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0.106</w:t>
            </w:r>
          </w:p>
        </w:tc>
        <w:tc>
          <w:tcPr>
            <w:tcW w:w="702" w:type="dxa"/>
            <w:vAlign w:val="center"/>
          </w:tcPr>
          <w:p w14:paraId="77DF9118" w14:textId="4D78393C"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0.83</w:t>
            </w:r>
          </w:p>
        </w:tc>
        <w:tc>
          <w:tcPr>
            <w:tcW w:w="666" w:type="dxa"/>
            <w:vAlign w:val="center"/>
          </w:tcPr>
          <w:p w14:paraId="56CE4851" w14:textId="4C63FBCB"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0.10</w:t>
            </w:r>
          </w:p>
        </w:tc>
        <w:tc>
          <w:tcPr>
            <w:tcW w:w="618" w:type="dxa"/>
            <w:vAlign w:val="center"/>
          </w:tcPr>
          <w:p w14:paraId="42B93C58" w14:textId="746A215D"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0.19</w:t>
            </w:r>
          </w:p>
        </w:tc>
        <w:tc>
          <w:tcPr>
            <w:tcW w:w="672" w:type="dxa"/>
            <w:vAlign w:val="center"/>
          </w:tcPr>
          <w:p w14:paraId="574CCB8B" w14:textId="4FFC0790"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0.12</w:t>
            </w:r>
          </w:p>
        </w:tc>
      </w:tr>
      <w:tr w:rsidR="000049D6" w:rsidRPr="00BD1668" w14:paraId="757262CD" w14:textId="77777777" w:rsidTr="000049D6">
        <w:tc>
          <w:tcPr>
            <w:tcW w:w="3887" w:type="dxa"/>
            <w:vAlign w:val="center"/>
          </w:tcPr>
          <w:p w14:paraId="27C49462" w14:textId="290C4951"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Ratio of Own Funds to Equity</w:t>
            </w:r>
          </w:p>
        </w:tc>
        <w:tc>
          <w:tcPr>
            <w:tcW w:w="620" w:type="dxa"/>
            <w:vAlign w:val="center"/>
          </w:tcPr>
          <w:p w14:paraId="3B7D34DD" w14:textId="6A7A30EF"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0.50</w:t>
            </w:r>
          </w:p>
        </w:tc>
        <w:tc>
          <w:tcPr>
            <w:tcW w:w="707" w:type="dxa"/>
            <w:vAlign w:val="center"/>
          </w:tcPr>
          <w:p w14:paraId="4D61E424" w14:textId="5A9416B0"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0.90</w:t>
            </w:r>
          </w:p>
        </w:tc>
        <w:tc>
          <w:tcPr>
            <w:tcW w:w="685" w:type="dxa"/>
            <w:vAlign w:val="center"/>
          </w:tcPr>
          <w:p w14:paraId="3F7A1B76" w14:textId="28B6CFB5"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0.93</w:t>
            </w:r>
          </w:p>
        </w:tc>
        <w:tc>
          <w:tcPr>
            <w:tcW w:w="666" w:type="dxa"/>
            <w:vAlign w:val="center"/>
          </w:tcPr>
          <w:p w14:paraId="4A7C444D" w14:textId="4306C26A"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1.46</w:t>
            </w:r>
          </w:p>
        </w:tc>
        <w:tc>
          <w:tcPr>
            <w:tcW w:w="702" w:type="dxa"/>
            <w:vAlign w:val="center"/>
          </w:tcPr>
          <w:p w14:paraId="1C550DEC" w14:textId="12D59333"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4.51</w:t>
            </w:r>
          </w:p>
        </w:tc>
        <w:tc>
          <w:tcPr>
            <w:tcW w:w="666" w:type="dxa"/>
            <w:vAlign w:val="center"/>
          </w:tcPr>
          <w:p w14:paraId="0603E94F" w14:textId="1A67DEA9"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1.51</w:t>
            </w:r>
          </w:p>
        </w:tc>
        <w:tc>
          <w:tcPr>
            <w:tcW w:w="618" w:type="dxa"/>
            <w:vAlign w:val="center"/>
          </w:tcPr>
          <w:p w14:paraId="5F1A359E" w14:textId="294FF8F2"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0.62</w:t>
            </w:r>
          </w:p>
        </w:tc>
        <w:tc>
          <w:tcPr>
            <w:tcW w:w="672" w:type="dxa"/>
            <w:vAlign w:val="center"/>
          </w:tcPr>
          <w:p w14:paraId="0B87D7E7" w14:textId="439C338D"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1.44</w:t>
            </w:r>
          </w:p>
        </w:tc>
      </w:tr>
      <w:tr w:rsidR="000049D6" w:rsidRPr="00BD1668" w14:paraId="022796DF" w14:textId="77777777" w:rsidTr="000049D6">
        <w:tc>
          <w:tcPr>
            <w:tcW w:w="3887" w:type="dxa"/>
            <w:vAlign w:val="center"/>
          </w:tcPr>
          <w:p w14:paraId="404540EB" w14:textId="74EBFD61"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Equity-to-Debt Ratio of the Issuer</w:t>
            </w:r>
          </w:p>
        </w:tc>
        <w:tc>
          <w:tcPr>
            <w:tcW w:w="620" w:type="dxa"/>
            <w:vAlign w:val="center"/>
          </w:tcPr>
          <w:p w14:paraId="3BD84752" w14:textId="53C97355"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0.50</w:t>
            </w:r>
          </w:p>
        </w:tc>
        <w:tc>
          <w:tcPr>
            <w:tcW w:w="707" w:type="dxa"/>
            <w:vAlign w:val="center"/>
          </w:tcPr>
          <w:p w14:paraId="7334E75B" w14:textId="11487C52"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2.67</w:t>
            </w:r>
          </w:p>
        </w:tc>
        <w:tc>
          <w:tcPr>
            <w:tcW w:w="685" w:type="dxa"/>
            <w:vAlign w:val="center"/>
          </w:tcPr>
          <w:p w14:paraId="4F9C94B4" w14:textId="40795B08"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2.67</w:t>
            </w:r>
          </w:p>
        </w:tc>
        <w:tc>
          <w:tcPr>
            <w:tcW w:w="666" w:type="dxa"/>
            <w:vAlign w:val="center"/>
          </w:tcPr>
          <w:p w14:paraId="4501A6F7" w14:textId="2354EB1C"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4.51</w:t>
            </w:r>
          </w:p>
        </w:tc>
        <w:tc>
          <w:tcPr>
            <w:tcW w:w="702" w:type="dxa"/>
            <w:vAlign w:val="center"/>
          </w:tcPr>
          <w:p w14:paraId="6B6F28F2" w14:textId="39D0BF2E"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0.22</w:t>
            </w:r>
          </w:p>
        </w:tc>
        <w:tc>
          <w:tcPr>
            <w:tcW w:w="666" w:type="dxa"/>
            <w:vAlign w:val="center"/>
          </w:tcPr>
          <w:p w14:paraId="2282B63D" w14:textId="610C3FAC"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1.55</w:t>
            </w:r>
          </w:p>
        </w:tc>
        <w:tc>
          <w:tcPr>
            <w:tcW w:w="618" w:type="dxa"/>
            <w:vAlign w:val="center"/>
          </w:tcPr>
          <w:p w14:paraId="0B961269" w14:textId="728BD29D"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1.29</w:t>
            </w:r>
          </w:p>
        </w:tc>
        <w:tc>
          <w:tcPr>
            <w:tcW w:w="672" w:type="dxa"/>
            <w:vAlign w:val="center"/>
          </w:tcPr>
          <w:p w14:paraId="174D0E3A" w14:textId="3A3FAE08"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0.70</w:t>
            </w:r>
          </w:p>
        </w:tc>
      </w:tr>
      <w:tr w:rsidR="000049D6" w:rsidRPr="00BD1668" w14:paraId="74E53E0B" w14:textId="77777777" w:rsidTr="000049D6">
        <w:tc>
          <w:tcPr>
            <w:tcW w:w="3887" w:type="dxa"/>
            <w:vAlign w:val="center"/>
          </w:tcPr>
          <w:p w14:paraId="43D3ADA5" w14:textId="72ECA9C6"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Debt Ratio (Total Liabilities/Total Assets), %</w:t>
            </w:r>
          </w:p>
        </w:tc>
        <w:tc>
          <w:tcPr>
            <w:tcW w:w="620" w:type="dxa"/>
            <w:vAlign w:val="center"/>
          </w:tcPr>
          <w:p w14:paraId="2AB97B78" w14:textId="55CE2418"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51.8</w:t>
            </w:r>
          </w:p>
        </w:tc>
        <w:tc>
          <w:tcPr>
            <w:tcW w:w="707" w:type="dxa"/>
            <w:vAlign w:val="center"/>
          </w:tcPr>
          <w:p w14:paraId="28C283FC" w14:textId="4E811615"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43.92</w:t>
            </w:r>
          </w:p>
        </w:tc>
        <w:tc>
          <w:tcPr>
            <w:tcW w:w="685" w:type="dxa"/>
            <w:vAlign w:val="center"/>
          </w:tcPr>
          <w:p w14:paraId="494E28C6" w14:textId="2CE4994C"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46.21</w:t>
            </w:r>
          </w:p>
        </w:tc>
        <w:tc>
          <w:tcPr>
            <w:tcW w:w="666" w:type="dxa"/>
            <w:vAlign w:val="center"/>
          </w:tcPr>
          <w:p w14:paraId="567EFFAE" w14:textId="36FE1C5D"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47.42</w:t>
            </w:r>
          </w:p>
        </w:tc>
        <w:tc>
          <w:tcPr>
            <w:tcW w:w="702" w:type="dxa"/>
            <w:vAlign w:val="center"/>
          </w:tcPr>
          <w:p w14:paraId="6123A88D" w14:textId="1A4D4825"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28.18</w:t>
            </w:r>
          </w:p>
        </w:tc>
        <w:tc>
          <w:tcPr>
            <w:tcW w:w="666" w:type="dxa"/>
            <w:vAlign w:val="center"/>
          </w:tcPr>
          <w:p w14:paraId="30060A1B" w14:textId="138C4F07"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23.58</w:t>
            </w:r>
          </w:p>
        </w:tc>
        <w:tc>
          <w:tcPr>
            <w:tcW w:w="618" w:type="dxa"/>
            <w:vAlign w:val="center"/>
          </w:tcPr>
          <w:p w14:paraId="72BE8253" w14:textId="5BEC42C3"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22.8</w:t>
            </w:r>
          </w:p>
        </w:tc>
        <w:tc>
          <w:tcPr>
            <w:tcW w:w="672" w:type="dxa"/>
            <w:vAlign w:val="center"/>
          </w:tcPr>
          <w:p w14:paraId="119AA629" w14:textId="0EFF04C4" w:rsidR="00BD1668" w:rsidRPr="00BD1668" w:rsidRDefault="00BD1668" w:rsidP="000049D6">
            <w:pPr>
              <w:spacing w:after="0" w:line="240" w:lineRule="auto"/>
              <w:rPr>
                <w:rFonts w:ascii="Times New Roman" w:hAnsi="Times New Roman" w:cs="Times New Roman"/>
                <w:iCs/>
                <w:sz w:val="20"/>
                <w:szCs w:val="20"/>
              </w:rPr>
            </w:pPr>
            <w:r w:rsidRPr="00F77CA9">
              <w:rPr>
                <w:rFonts w:ascii="Times New Roman" w:eastAsia="Times New Roman" w:hAnsi="Times New Roman" w:cs="Times New Roman"/>
                <w:sz w:val="20"/>
                <w:szCs w:val="20"/>
                <w:lang w:eastAsia="ru-RU"/>
              </w:rPr>
              <w:t>20.3</w:t>
            </w:r>
          </w:p>
        </w:tc>
      </w:tr>
    </w:tbl>
    <w:p w14:paraId="430EB205" w14:textId="77777777" w:rsidR="00BD1668" w:rsidRPr="00BD1668" w:rsidRDefault="00BD1668" w:rsidP="007D45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cs="Times New Roman"/>
          <w:b/>
          <w:sz w:val="20"/>
          <w:szCs w:val="20"/>
          <w:lang w:eastAsia="de-DE"/>
        </w:rPr>
      </w:pPr>
    </w:p>
    <w:p w14:paraId="7A7D6986" w14:textId="77777777" w:rsidR="000049D6" w:rsidRPr="000049D6" w:rsidRDefault="000049D6" w:rsidP="000049D6">
      <w:pPr>
        <w:spacing w:after="0" w:line="240" w:lineRule="auto"/>
        <w:ind w:firstLine="284"/>
        <w:jc w:val="both"/>
        <w:rPr>
          <w:rFonts w:ascii="Times New Roman" w:hAnsi="Times New Roman" w:cs="Times New Roman"/>
          <w:sz w:val="20"/>
          <w:lang w:val="uz-Cyrl-UZ"/>
        </w:rPr>
      </w:pPr>
      <w:r w:rsidRPr="000049D6">
        <w:rPr>
          <w:rFonts w:ascii="Times New Roman" w:hAnsi="Times New Roman" w:cs="Times New Roman"/>
          <w:sz w:val="20"/>
          <w:lang w:val="uz-Cyrl-UZ"/>
        </w:rPr>
        <w:t>Return on assets (ROA) amounted to 0.23% in 2016, increased to 0.71% in 2019, and subsequently declined to 0.34% in 2023. This trend may be attributed to a decrease in the efficiency of asset utilization, particularly due to the relatively low turnover of working capital. At the same time, the return on authorized capital increased significantly over the period 2016–2023, rising from 0.01 to 0.88, which indicates a substantial strengthening of the company’s internal capital potential.</w:t>
      </w:r>
    </w:p>
    <w:p w14:paraId="77FC724C" w14:textId="77777777" w:rsidR="000049D6" w:rsidRPr="000049D6" w:rsidRDefault="000049D6" w:rsidP="000049D6">
      <w:pPr>
        <w:spacing w:after="0" w:line="240" w:lineRule="auto"/>
        <w:ind w:firstLine="284"/>
        <w:jc w:val="both"/>
        <w:rPr>
          <w:rFonts w:ascii="Times New Roman" w:hAnsi="Times New Roman" w:cs="Times New Roman"/>
          <w:sz w:val="20"/>
          <w:lang w:val="uz-Cyrl-UZ"/>
        </w:rPr>
      </w:pPr>
      <w:r w:rsidRPr="000049D6">
        <w:rPr>
          <w:rFonts w:ascii="Times New Roman" w:hAnsi="Times New Roman" w:cs="Times New Roman"/>
          <w:sz w:val="20"/>
          <w:lang w:val="uz-Cyrl-UZ"/>
        </w:rPr>
        <w:t>The overall solvency coverage ratio stood at 1.99 in 2016, increased to 2.55 by 2020, and later stabilized at 1.35 in 2023. This demonstrates that Uzbekneftegaz JSC has maintained a sufficiently high capacity to meet its obligations through current assets. Meanwhile, the absolute liquidity ratio decreased from 0.20 in 2016 to 0.12 in 2023, reflecting the reallocation of a portion of liquid assets into the production cycle. This indicates increased financial activity and a stronger orientation of cash flows toward operational and production processes.</w:t>
      </w:r>
    </w:p>
    <w:p w14:paraId="3150C1F8" w14:textId="77777777" w:rsidR="000049D6" w:rsidRPr="000049D6" w:rsidRDefault="000049D6" w:rsidP="000049D6">
      <w:pPr>
        <w:spacing w:after="0" w:line="240" w:lineRule="auto"/>
        <w:ind w:firstLine="284"/>
        <w:jc w:val="both"/>
        <w:rPr>
          <w:rFonts w:ascii="Times New Roman" w:hAnsi="Times New Roman" w:cs="Times New Roman"/>
          <w:sz w:val="20"/>
          <w:lang w:val="uz-Cyrl-UZ"/>
        </w:rPr>
      </w:pPr>
      <w:r w:rsidRPr="000049D6">
        <w:rPr>
          <w:rFonts w:ascii="Times New Roman" w:hAnsi="Times New Roman" w:cs="Times New Roman"/>
          <w:sz w:val="20"/>
          <w:lang w:val="uz-Cyrl-UZ"/>
        </w:rPr>
        <w:t>The ratio of own funds to equity capital increased from 0.50 in 2016 to 0.74 in 2023, signaling an improvement in financial independence and a reduction in reliance on external borrowing. In parallel, the equity-to-debt ratio declined from 2.67 in 2017 to 0.70 in 2023, confirming a decrease in the share of borrowed funds within the overall capital structure and the consolidation of equity as the primary financial foundation. This shift contributes to a reduction in the weighted average cost of capital (WACC), as the declining share of debt optimizes capital costs.</w:t>
      </w:r>
    </w:p>
    <w:p w14:paraId="3C20001D" w14:textId="77777777" w:rsidR="000049D6" w:rsidRPr="000049D6" w:rsidRDefault="000049D6" w:rsidP="000049D6">
      <w:pPr>
        <w:spacing w:after="0" w:line="240" w:lineRule="auto"/>
        <w:ind w:firstLine="284"/>
        <w:jc w:val="both"/>
        <w:rPr>
          <w:rFonts w:ascii="Times New Roman" w:hAnsi="Times New Roman" w:cs="Times New Roman"/>
          <w:sz w:val="20"/>
          <w:lang w:val="uz-Cyrl-UZ"/>
        </w:rPr>
      </w:pPr>
      <w:r w:rsidRPr="000049D6">
        <w:rPr>
          <w:rFonts w:ascii="Times New Roman" w:hAnsi="Times New Roman" w:cs="Times New Roman"/>
          <w:sz w:val="20"/>
          <w:lang w:val="uz-Cyrl-UZ"/>
        </w:rPr>
        <w:t>The debt-to-assets ratio decreased substantially from 51.8% in 2016 to 20.3% in 2023, indicating a marked improvement in financial stability. This trend reflects a significantly enhanced ability of Uzbekneftegaz JSC to cover liabilities through its asset base.</w:t>
      </w:r>
    </w:p>
    <w:p w14:paraId="659FE8EB" w14:textId="5087F0D6" w:rsidR="007D4561" w:rsidRDefault="000049D6" w:rsidP="000049D6">
      <w:pPr>
        <w:spacing w:after="0" w:line="240" w:lineRule="auto"/>
        <w:ind w:firstLine="284"/>
        <w:jc w:val="both"/>
        <w:rPr>
          <w:rFonts w:ascii="Times New Roman" w:hAnsi="Times New Roman" w:cs="Times New Roman"/>
          <w:sz w:val="20"/>
          <w:lang w:val="uz-Cyrl-UZ"/>
        </w:rPr>
      </w:pPr>
      <w:r w:rsidRPr="000049D6">
        <w:rPr>
          <w:rFonts w:ascii="Times New Roman" w:hAnsi="Times New Roman" w:cs="Times New Roman"/>
          <w:sz w:val="20"/>
          <w:lang w:val="uz-Cyrl-UZ"/>
        </w:rPr>
        <w:t>Overall, during 2016–2023, Uzbekneftegaz JSC demonstrated a stable upward trajectory in profitability and capital efficiency indicators. The sustained level of solvency, the increasing share of own funds, and the declining debt burden collectively strengthened the company’s internal financial resilience. These results suggest that the company’s financial management strategy has been effectively implemented with a focus on diversification, innovation, and risk minimization, thereby supporting a model of long-term sustainable development.</w:t>
      </w:r>
    </w:p>
    <w:p w14:paraId="6612C18D" w14:textId="77777777" w:rsidR="00D6438C" w:rsidRPr="00287E0A" w:rsidRDefault="00D6438C" w:rsidP="00D6438C">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t>CONCLUSIONS</w:t>
      </w:r>
    </w:p>
    <w:p w14:paraId="7AEBB711" w14:textId="77777777" w:rsidR="00D6438C" w:rsidRPr="00D6438C" w:rsidRDefault="00D6438C" w:rsidP="00D6438C">
      <w:pPr>
        <w:spacing w:after="0" w:line="240" w:lineRule="auto"/>
        <w:ind w:firstLine="284"/>
        <w:jc w:val="both"/>
        <w:rPr>
          <w:rFonts w:ascii="Times New Roman" w:hAnsi="Times New Roman" w:cs="Times New Roman"/>
          <w:sz w:val="20"/>
          <w:lang w:val="uz-Cyrl-UZ"/>
        </w:rPr>
      </w:pPr>
      <w:r w:rsidRPr="00D6438C">
        <w:rPr>
          <w:rFonts w:ascii="Times New Roman" w:hAnsi="Times New Roman" w:cs="Times New Roman"/>
          <w:sz w:val="20"/>
          <w:lang w:val="uz-Cyrl-UZ"/>
        </w:rPr>
        <w:t>An empirical analysis based on the consolidated financial statements of JSC “Uzbekneftegaz” for 2022–2023 indicates that the company has entered an active phase of transformation, focusing on optimizing its asset portfolio, strengthening financial reporting in compliance with IFRS requirements, accessing capital markets, and expanding its investment programs in order to reinforce its institutional and production capacity. In 2023, the 6.8% increase in sales and other operating revenues (to UZS 30,148 billion), alongside a 54% expansion in capital expenditures (to UZS 10,727 billion), confirms the intensification of the company’s modernization and capacity expansion strategy. At the same time, growth in total assets and equity suggests that balance sheet stability has been preserved to a certain extent despite large-scale investment activity.</w:t>
      </w:r>
    </w:p>
    <w:p w14:paraId="73E7EF3E" w14:textId="4F07B962" w:rsidR="00F038AD" w:rsidRDefault="00D6438C" w:rsidP="00D6438C">
      <w:pPr>
        <w:spacing w:after="0" w:line="240" w:lineRule="auto"/>
        <w:ind w:firstLine="284"/>
        <w:jc w:val="both"/>
        <w:rPr>
          <w:rFonts w:ascii="Times New Roman" w:hAnsi="Times New Roman" w:cs="Times New Roman"/>
          <w:sz w:val="20"/>
          <w:lang w:val="uz-Cyrl-UZ"/>
        </w:rPr>
      </w:pPr>
      <w:r w:rsidRPr="00D6438C">
        <w:rPr>
          <w:rFonts w:ascii="Times New Roman" w:hAnsi="Times New Roman" w:cs="Times New Roman"/>
          <w:sz w:val="20"/>
          <w:lang w:val="uz-Cyrl-UZ"/>
        </w:rPr>
        <w:t>However, against the backdrop of rising revenues, the sharp decline in net profit by 78% (to UZS 628 billion) and the contraction of the net profit margin from 10.1% to 2.1% reveal increasing pressure on the company’s financial sustainability. These dynamics primarily reflect the impact of foreign exchange losses, rising debt servicing costs, and insufficient operational efficiency in certain business segments. The pronounced divergence in segment-level net results highlights the need for portfolio rebalancing, identification of value-chain loss points, and strengthening of risk management practices. Consequently, in the medium term, enhancing financial stability will require improvements in hedging policies, optimization of financing costs, expansion of high value-added processing activities, and the generation of stable cash flows from associated and integrated assets, which should remain key strategic priorities for the company.</w:t>
      </w:r>
    </w:p>
    <w:p w14:paraId="5FF2BC5A" w14:textId="585DE9F0" w:rsidR="00F84944" w:rsidRPr="009F3903" w:rsidRDefault="00CA398A" w:rsidP="00007550">
      <w:pPr>
        <w:overflowPunct w:val="0"/>
        <w:autoSpaceDE w:val="0"/>
        <w:autoSpaceDN w:val="0"/>
        <w:adjustRightInd w:val="0"/>
        <w:spacing w:before="240" w:after="240" w:line="240" w:lineRule="auto"/>
        <w:ind w:firstLine="284"/>
        <w:jc w:val="center"/>
        <w:textAlignment w:val="baseline"/>
        <w:rPr>
          <w:rFonts w:ascii="Times New Roman" w:hAnsi="Times New Roman" w:cs="Times New Roman"/>
          <w:b/>
          <w:sz w:val="24"/>
          <w:szCs w:val="24"/>
        </w:rPr>
      </w:pPr>
      <w:r w:rsidRPr="00287E0A">
        <w:rPr>
          <w:rFonts w:ascii="Times New Roman" w:hAnsi="Times New Roman" w:cs="Times New Roman"/>
          <w:b/>
          <w:sz w:val="24"/>
          <w:szCs w:val="24"/>
        </w:rPr>
        <w:lastRenderedPageBreak/>
        <w:t>REFERENCES</w:t>
      </w:r>
    </w:p>
    <w:p w14:paraId="62FA5374" w14:textId="681F66F0" w:rsidR="009F3903" w:rsidRPr="009F3903" w:rsidRDefault="009F3903" w:rsidP="009F3903">
      <w:pPr>
        <w:tabs>
          <w:tab w:val="left" w:pos="284"/>
          <w:tab w:val="left" w:pos="993"/>
        </w:tabs>
        <w:spacing w:after="0" w:line="240" w:lineRule="auto"/>
        <w:jc w:val="both"/>
        <w:rPr>
          <w:rFonts w:ascii="Times New Roman" w:hAnsi="Times New Roman" w:cs="Times New Roman"/>
          <w:sz w:val="20"/>
          <w:szCs w:val="20"/>
        </w:rPr>
      </w:pPr>
      <w:r w:rsidRPr="009F3903">
        <w:rPr>
          <w:rFonts w:ascii="Times New Roman" w:hAnsi="Times New Roman" w:cs="Times New Roman"/>
          <w:sz w:val="20"/>
          <w:szCs w:val="20"/>
        </w:rPr>
        <w:t>1.</w:t>
      </w:r>
      <w:r w:rsidRPr="009F3903">
        <w:rPr>
          <w:rFonts w:ascii="Times New Roman" w:hAnsi="Times New Roman" w:cs="Times New Roman"/>
          <w:sz w:val="20"/>
          <w:szCs w:val="20"/>
        </w:rPr>
        <w:tab/>
      </w:r>
      <w:proofErr w:type="spellStart"/>
      <w:r w:rsidRPr="008915CD">
        <w:rPr>
          <w:rFonts w:ascii="Times New Roman" w:hAnsi="Times New Roman" w:cs="Times New Roman"/>
          <w:bCs/>
          <w:sz w:val="20"/>
          <w:szCs w:val="20"/>
        </w:rPr>
        <w:t>Uzbekneftegaz</w:t>
      </w:r>
      <w:proofErr w:type="spellEnd"/>
      <w:r w:rsidRPr="008915CD">
        <w:rPr>
          <w:rFonts w:ascii="Times New Roman" w:hAnsi="Times New Roman" w:cs="Times New Roman"/>
          <w:bCs/>
          <w:sz w:val="20"/>
          <w:szCs w:val="20"/>
        </w:rPr>
        <w:t xml:space="preserve"> JSC.</w:t>
      </w:r>
      <w:r w:rsidRPr="009F3903">
        <w:rPr>
          <w:rFonts w:ascii="Times New Roman" w:hAnsi="Times New Roman" w:cs="Times New Roman"/>
          <w:sz w:val="20"/>
          <w:szCs w:val="20"/>
        </w:rPr>
        <w:t xml:space="preserve"> Consolidated financial statements and key performance indicators. Available at:</w:t>
      </w:r>
      <w:r w:rsidR="008915CD">
        <w:rPr>
          <w:rFonts w:ascii="Times New Roman" w:hAnsi="Times New Roman" w:cs="Times New Roman"/>
          <w:sz w:val="20"/>
          <w:szCs w:val="20"/>
        </w:rPr>
        <w:t xml:space="preserve"> </w:t>
      </w:r>
      <w:hyperlink r:id="rId9" w:tgtFrame="_new" w:history="1">
        <w:r w:rsidRPr="009F3903">
          <w:rPr>
            <w:rStyle w:val="a6"/>
            <w:rFonts w:ascii="Times New Roman" w:hAnsi="Times New Roman" w:cs="Times New Roman"/>
            <w:sz w:val="20"/>
            <w:szCs w:val="20"/>
          </w:rPr>
          <w:t>https://webdev.ung.uz/media/allfiles/files/2054e7971d4b4be680bdab01d654e94e.pdf</w:t>
        </w:r>
      </w:hyperlink>
    </w:p>
    <w:p w14:paraId="386077F6" w14:textId="77777777" w:rsidR="009F3903" w:rsidRPr="009F3903" w:rsidRDefault="009F3903" w:rsidP="009F3903">
      <w:pPr>
        <w:tabs>
          <w:tab w:val="left" w:pos="284"/>
          <w:tab w:val="left" w:pos="993"/>
        </w:tabs>
        <w:spacing w:after="0" w:line="240" w:lineRule="auto"/>
        <w:jc w:val="both"/>
        <w:rPr>
          <w:rFonts w:ascii="Times New Roman" w:hAnsi="Times New Roman" w:cs="Times New Roman"/>
          <w:sz w:val="20"/>
          <w:szCs w:val="20"/>
        </w:rPr>
      </w:pPr>
      <w:r w:rsidRPr="009F3903">
        <w:rPr>
          <w:rFonts w:ascii="Times New Roman" w:hAnsi="Times New Roman" w:cs="Times New Roman"/>
          <w:sz w:val="20"/>
          <w:szCs w:val="20"/>
        </w:rPr>
        <w:t>2.</w:t>
      </w:r>
      <w:r w:rsidRPr="009F3903">
        <w:rPr>
          <w:rFonts w:ascii="Times New Roman" w:hAnsi="Times New Roman" w:cs="Times New Roman"/>
          <w:sz w:val="20"/>
          <w:szCs w:val="20"/>
        </w:rPr>
        <w:tab/>
        <w:t>Salomova S. Increasing the efficiency of oil and gas industry enterprises in Uzbekistan // AIP Conference Proceedings. 2025. Vol. 3331. Art. no. 040075. https://doi.org/10.1063/5.0305986</w:t>
      </w:r>
    </w:p>
    <w:p w14:paraId="67E6E4A4" w14:textId="529D1216" w:rsidR="009F3903" w:rsidRDefault="009F3903" w:rsidP="009F3903">
      <w:pPr>
        <w:tabs>
          <w:tab w:val="left" w:pos="284"/>
          <w:tab w:val="left" w:pos="993"/>
        </w:tabs>
        <w:spacing w:after="0" w:line="240" w:lineRule="auto"/>
        <w:jc w:val="both"/>
        <w:rPr>
          <w:rFonts w:ascii="Times New Roman" w:hAnsi="Times New Roman" w:cs="Times New Roman"/>
          <w:sz w:val="20"/>
          <w:szCs w:val="20"/>
        </w:rPr>
      </w:pPr>
      <w:r w:rsidRPr="009F3903">
        <w:rPr>
          <w:rFonts w:ascii="Times New Roman" w:hAnsi="Times New Roman" w:cs="Times New Roman"/>
          <w:sz w:val="20"/>
          <w:szCs w:val="20"/>
        </w:rPr>
        <w:t>3.</w:t>
      </w:r>
      <w:r w:rsidRPr="009F3903">
        <w:rPr>
          <w:rFonts w:ascii="Times New Roman" w:hAnsi="Times New Roman" w:cs="Times New Roman"/>
          <w:sz w:val="20"/>
          <w:szCs w:val="20"/>
        </w:rPr>
        <w:tab/>
        <w:t xml:space="preserve">Salomova S., </w:t>
      </w:r>
      <w:proofErr w:type="spellStart"/>
      <w:r w:rsidRPr="009F3903">
        <w:rPr>
          <w:rFonts w:ascii="Times New Roman" w:hAnsi="Times New Roman" w:cs="Times New Roman"/>
          <w:sz w:val="20"/>
          <w:szCs w:val="20"/>
        </w:rPr>
        <w:t>Saidkarimova</w:t>
      </w:r>
      <w:proofErr w:type="spellEnd"/>
      <w:r w:rsidRPr="009F3903">
        <w:rPr>
          <w:rFonts w:ascii="Times New Roman" w:hAnsi="Times New Roman" w:cs="Times New Roman"/>
          <w:sz w:val="20"/>
          <w:szCs w:val="20"/>
        </w:rPr>
        <w:t xml:space="preserve"> M., </w:t>
      </w:r>
      <w:proofErr w:type="spellStart"/>
      <w:r w:rsidRPr="009F3903">
        <w:rPr>
          <w:rFonts w:ascii="Times New Roman" w:hAnsi="Times New Roman" w:cs="Times New Roman"/>
          <w:sz w:val="20"/>
          <w:szCs w:val="20"/>
        </w:rPr>
        <w:t>Karieva</w:t>
      </w:r>
      <w:proofErr w:type="spellEnd"/>
      <w:r w:rsidRPr="009F3903">
        <w:rPr>
          <w:rFonts w:ascii="Times New Roman" w:hAnsi="Times New Roman" w:cs="Times New Roman"/>
          <w:sz w:val="20"/>
          <w:szCs w:val="20"/>
        </w:rPr>
        <w:t xml:space="preserve"> L., Ibragimova K., </w:t>
      </w:r>
      <w:proofErr w:type="spellStart"/>
      <w:r w:rsidRPr="009F3903">
        <w:rPr>
          <w:rFonts w:ascii="Times New Roman" w:hAnsi="Times New Roman" w:cs="Times New Roman"/>
          <w:sz w:val="20"/>
          <w:szCs w:val="20"/>
        </w:rPr>
        <w:t>Saidova</w:t>
      </w:r>
      <w:proofErr w:type="spellEnd"/>
      <w:r w:rsidRPr="009F3903">
        <w:rPr>
          <w:rFonts w:ascii="Times New Roman" w:hAnsi="Times New Roman" w:cs="Times New Roman"/>
          <w:sz w:val="20"/>
          <w:szCs w:val="20"/>
        </w:rPr>
        <w:t xml:space="preserve"> G., </w:t>
      </w:r>
      <w:proofErr w:type="spellStart"/>
      <w:r w:rsidRPr="009F3903">
        <w:rPr>
          <w:rFonts w:ascii="Times New Roman" w:hAnsi="Times New Roman" w:cs="Times New Roman"/>
          <w:sz w:val="20"/>
          <w:szCs w:val="20"/>
        </w:rPr>
        <w:t>Khikmatov</w:t>
      </w:r>
      <w:proofErr w:type="spellEnd"/>
      <w:r w:rsidRPr="009F3903">
        <w:rPr>
          <w:rFonts w:ascii="Times New Roman" w:hAnsi="Times New Roman" w:cs="Times New Roman"/>
          <w:sz w:val="20"/>
          <w:szCs w:val="20"/>
        </w:rPr>
        <w:t xml:space="preserve"> R. Improving the efficiency of energy enterprises // AIP Conference Proceedings. 2025. Vol. 3331. Art. no. 040076. https://doi.org/10.1063/5.0305987</w:t>
      </w:r>
    </w:p>
    <w:p w14:paraId="1FDE6456" w14:textId="77777777" w:rsidR="009F3903" w:rsidRPr="009F3903" w:rsidRDefault="009F3903" w:rsidP="009F3903">
      <w:pPr>
        <w:tabs>
          <w:tab w:val="left" w:pos="284"/>
          <w:tab w:val="left" w:pos="993"/>
        </w:tabs>
        <w:spacing w:after="0" w:line="240" w:lineRule="auto"/>
        <w:jc w:val="both"/>
        <w:rPr>
          <w:rFonts w:ascii="Times New Roman" w:hAnsi="Times New Roman" w:cs="Times New Roman"/>
          <w:sz w:val="20"/>
          <w:szCs w:val="20"/>
        </w:rPr>
      </w:pPr>
      <w:r w:rsidRPr="009F3903">
        <w:rPr>
          <w:rFonts w:ascii="Times New Roman" w:hAnsi="Times New Roman" w:cs="Times New Roman"/>
          <w:sz w:val="20"/>
          <w:szCs w:val="20"/>
        </w:rPr>
        <w:t>4.</w:t>
      </w:r>
      <w:r w:rsidRPr="009F3903">
        <w:rPr>
          <w:rFonts w:ascii="Times New Roman" w:hAnsi="Times New Roman" w:cs="Times New Roman"/>
          <w:sz w:val="20"/>
          <w:szCs w:val="20"/>
        </w:rPr>
        <w:tab/>
        <w:t>Salomova S. Ways to use intellectual platforms in the Republic of Uzbekistan // E3S Web of Conferences. 2023. Vol. 384. Art. no. 01060. 6 p. https://doi.org/10.1051/e3sconf/202338401060</w:t>
      </w:r>
    </w:p>
    <w:p w14:paraId="31BBFB47" w14:textId="77777777" w:rsidR="009F3903" w:rsidRPr="009F3903" w:rsidRDefault="009F3903" w:rsidP="009F3903">
      <w:pPr>
        <w:tabs>
          <w:tab w:val="left" w:pos="284"/>
          <w:tab w:val="left" w:pos="993"/>
        </w:tabs>
        <w:spacing w:after="0" w:line="240" w:lineRule="auto"/>
        <w:jc w:val="both"/>
        <w:rPr>
          <w:rFonts w:ascii="Times New Roman" w:hAnsi="Times New Roman" w:cs="Times New Roman"/>
          <w:sz w:val="20"/>
          <w:szCs w:val="20"/>
        </w:rPr>
      </w:pPr>
      <w:r w:rsidRPr="009F3903">
        <w:rPr>
          <w:rFonts w:ascii="Times New Roman" w:hAnsi="Times New Roman" w:cs="Times New Roman"/>
          <w:sz w:val="20"/>
          <w:szCs w:val="20"/>
        </w:rPr>
        <w:t>5.</w:t>
      </w:r>
      <w:r w:rsidRPr="009F3903">
        <w:rPr>
          <w:rFonts w:ascii="Times New Roman" w:hAnsi="Times New Roman" w:cs="Times New Roman"/>
          <w:sz w:val="20"/>
          <w:szCs w:val="20"/>
        </w:rPr>
        <w:tab/>
        <w:t>U.S. Department of Commerce. Uzbekistan Oil and Gas Market Overview. Available at: https://www.trade.gov/country-commercial-guides/uzbekistan-oil-and-gas</w:t>
      </w:r>
    </w:p>
    <w:p w14:paraId="13A3A9F0" w14:textId="77777777" w:rsidR="009F3903" w:rsidRPr="009F3903" w:rsidRDefault="009F3903" w:rsidP="009F3903">
      <w:pPr>
        <w:tabs>
          <w:tab w:val="left" w:pos="284"/>
          <w:tab w:val="left" w:pos="993"/>
        </w:tabs>
        <w:spacing w:after="0" w:line="240" w:lineRule="auto"/>
        <w:jc w:val="both"/>
        <w:rPr>
          <w:rFonts w:ascii="Times New Roman" w:hAnsi="Times New Roman" w:cs="Times New Roman"/>
          <w:sz w:val="20"/>
          <w:szCs w:val="20"/>
        </w:rPr>
      </w:pPr>
      <w:r w:rsidRPr="009F3903">
        <w:rPr>
          <w:rFonts w:ascii="Times New Roman" w:hAnsi="Times New Roman" w:cs="Times New Roman"/>
          <w:sz w:val="20"/>
          <w:szCs w:val="20"/>
        </w:rPr>
        <w:t>6.</w:t>
      </w:r>
      <w:r w:rsidRPr="009F3903">
        <w:rPr>
          <w:rFonts w:ascii="Times New Roman" w:hAnsi="Times New Roman" w:cs="Times New Roman"/>
          <w:sz w:val="20"/>
          <w:szCs w:val="20"/>
        </w:rPr>
        <w:tab/>
      </w:r>
      <w:proofErr w:type="spellStart"/>
      <w:r w:rsidRPr="009F3903">
        <w:rPr>
          <w:rFonts w:ascii="Times New Roman" w:hAnsi="Times New Roman" w:cs="Times New Roman"/>
          <w:sz w:val="20"/>
          <w:szCs w:val="20"/>
        </w:rPr>
        <w:t>Rismukhamedov</w:t>
      </w:r>
      <w:proofErr w:type="spellEnd"/>
      <w:r w:rsidRPr="009F3903">
        <w:rPr>
          <w:rFonts w:ascii="Times New Roman" w:hAnsi="Times New Roman" w:cs="Times New Roman"/>
          <w:sz w:val="20"/>
          <w:szCs w:val="20"/>
        </w:rPr>
        <w:t xml:space="preserve"> D., </w:t>
      </w:r>
      <w:proofErr w:type="spellStart"/>
      <w:r w:rsidRPr="009F3903">
        <w:rPr>
          <w:rFonts w:ascii="Times New Roman" w:hAnsi="Times New Roman" w:cs="Times New Roman"/>
          <w:sz w:val="20"/>
          <w:szCs w:val="20"/>
        </w:rPr>
        <w:t>Shamsutdinov</w:t>
      </w:r>
      <w:proofErr w:type="spellEnd"/>
      <w:r w:rsidRPr="009F3903">
        <w:rPr>
          <w:rFonts w:ascii="Times New Roman" w:hAnsi="Times New Roman" w:cs="Times New Roman"/>
          <w:sz w:val="20"/>
          <w:szCs w:val="20"/>
        </w:rPr>
        <w:t xml:space="preserve"> Kh., </w:t>
      </w:r>
      <w:proofErr w:type="spellStart"/>
      <w:r w:rsidRPr="009F3903">
        <w:rPr>
          <w:rFonts w:ascii="Times New Roman" w:hAnsi="Times New Roman" w:cs="Times New Roman"/>
          <w:sz w:val="20"/>
          <w:szCs w:val="20"/>
        </w:rPr>
        <w:t>Rozmetov</w:t>
      </w:r>
      <w:proofErr w:type="spellEnd"/>
      <w:r w:rsidRPr="009F3903">
        <w:rPr>
          <w:rFonts w:ascii="Times New Roman" w:hAnsi="Times New Roman" w:cs="Times New Roman"/>
          <w:sz w:val="20"/>
          <w:szCs w:val="20"/>
        </w:rPr>
        <w:t xml:space="preserve"> Kh., </w:t>
      </w:r>
      <w:proofErr w:type="spellStart"/>
      <w:r w:rsidRPr="009F3903">
        <w:rPr>
          <w:rFonts w:ascii="Times New Roman" w:hAnsi="Times New Roman" w:cs="Times New Roman"/>
          <w:sz w:val="20"/>
          <w:szCs w:val="20"/>
        </w:rPr>
        <w:t>Khusanov</w:t>
      </w:r>
      <w:proofErr w:type="spellEnd"/>
      <w:r w:rsidRPr="009F3903">
        <w:rPr>
          <w:rFonts w:ascii="Times New Roman" w:hAnsi="Times New Roman" w:cs="Times New Roman"/>
          <w:sz w:val="20"/>
          <w:szCs w:val="20"/>
        </w:rPr>
        <w:t xml:space="preserve"> Sh., </w:t>
      </w:r>
      <w:proofErr w:type="spellStart"/>
      <w:r w:rsidRPr="009F3903">
        <w:rPr>
          <w:rFonts w:ascii="Times New Roman" w:hAnsi="Times New Roman" w:cs="Times New Roman"/>
          <w:sz w:val="20"/>
          <w:szCs w:val="20"/>
        </w:rPr>
        <w:t>Rismukhamedov</w:t>
      </w:r>
      <w:proofErr w:type="spellEnd"/>
      <w:r w:rsidRPr="009F3903">
        <w:rPr>
          <w:rFonts w:ascii="Times New Roman" w:hAnsi="Times New Roman" w:cs="Times New Roman"/>
          <w:sz w:val="20"/>
          <w:szCs w:val="20"/>
        </w:rPr>
        <w:t xml:space="preserve"> S. Improvement of electromagnetic properties of pole-changing windings // AIP Conference Proceedings. 2025. Vol. 3331. Art. no. 040058. https://doi.org/10.1063/5.0305959</w:t>
      </w:r>
    </w:p>
    <w:p w14:paraId="71718FE5" w14:textId="1C1963C6" w:rsidR="00817B38" w:rsidRDefault="009F3903" w:rsidP="009F3903">
      <w:pPr>
        <w:tabs>
          <w:tab w:val="left" w:pos="284"/>
          <w:tab w:val="left" w:pos="993"/>
        </w:tabs>
        <w:spacing w:after="0" w:line="240" w:lineRule="auto"/>
        <w:jc w:val="both"/>
        <w:rPr>
          <w:rFonts w:ascii="Times New Roman" w:hAnsi="Times New Roman" w:cs="Times New Roman"/>
          <w:sz w:val="20"/>
          <w:szCs w:val="20"/>
        </w:rPr>
      </w:pPr>
      <w:r w:rsidRPr="009F3903">
        <w:rPr>
          <w:rFonts w:ascii="Times New Roman" w:hAnsi="Times New Roman" w:cs="Times New Roman"/>
          <w:sz w:val="20"/>
          <w:szCs w:val="20"/>
        </w:rPr>
        <w:t>7.</w:t>
      </w:r>
      <w:r w:rsidRPr="009F3903">
        <w:rPr>
          <w:rFonts w:ascii="Times New Roman" w:hAnsi="Times New Roman" w:cs="Times New Roman"/>
          <w:sz w:val="20"/>
          <w:szCs w:val="20"/>
        </w:rPr>
        <w:tab/>
      </w:r>
      <w:proofErr w:type="spellStart"/>
      <w:r w:rsidRPr="009F3903">
        <w:rPr>
          <w:rFonts w:ascii="Times New Roman" w:hAnsi="Times New Roman" w:cs="Times New Roman"/>
          <w:sz w:val="20"/>
          <w:szCs w:val="20"/>
        </w:rPr>
        <w:t>Rismukhamedov</w:t>
      </w:r>
      <w:proofErr w:type="spellEnd"/>
      <w:r w:rsidRPr="009F3903">
        <w:rPr>
          <w:rFonts w:ascii="Times New Roman" w:hAnsi="Times New Roman" w:cs="Times New Roman"/>
          <w:sz w:val="20"/>
          <w:szCs w:val="20"/>
        </w:rPr>
        <w:t xml:space="preserve"> D., </w:t>
      </w:r>
      <w:proofErr w:type="spellStart"/>
      <w:r w:rsidRPr="009F3903">
        <w:rPr>
          <w:rFonts w:ascii="Times New Roman" w:hAnsi="Times New Roman" w:cs="Times New Roman"/>
          <w:sz w:val="20"/>
          <w:szCs w:val="20"/>
        </w:rPr>
        <w:t>Shamsutdinov</w:t>
      </w:r>
      <w:proofErr w:type="spellEnd"/>
      <w:r w:rsidRPr="009F3903">
        <w:rPr>
          <w:rFonts w:ascii="Times New Roman" w:hAnsi="Times New Roman" w:cs="Times New Roman"/>
          <w:sz w:val="20"/>
          <w:szCs w:val="20"/>
        </w:rPr>
        <w:t xml:space="preserve"> Kh., </w:t>
      </w:r>
      <w:proofErr w:type="spellStart"/>
      <w:r w:rsidRPr="009F3903">
        <w:rPr>
          <w:rFonts w:ascii="Times New Roman" w:hAnsi="Times New Roman" w:cs="Times New Roman"/>
          <w:sz w:val="20"/>
          <w:szCs w:val="20"/>
        </w:rPr>
        <w:t>Magdiev</w:t>
      </w:r>
      <w:proofErr w:type="spellEnd"/>
      <w:r w:rsidRPr="009F3903">
        <w:rPr>
          <w:rFonts w:ascii="Times New Roman" w:hAnsi="Times New Roman" w:cs="Times New Roman"/>
          <w:sz w:val="20"/>
          <w:szCs w:val="20"/>
        </w:rPr>
        <w:t xml:space="preserve"> Kh., </w:t>
      </w:r>
      <w:proofErr w:type="spellStart"/>
      <w:r w:rsidRPr="009F3903">
        <w:rPr>
          <w:rFonts w:ascii="Times New Roman" w:hAnsi="Times New Roman" w:cs="Times New Roman"/>
          <w:sz w:val="20"/>
          <w:szCs w:val="20"/>
        </w:rPr>
        <w:t>Peysenov</w:t>
      </w:r>
      <w:proofErr w:type="spellEnd"/>
      <w:r w:rsidRPr="009F3903">
        <w:rPr>
          <w:rFonts w:ascii="Times New Roman" w:hAnsi="Times New Roman" w:cs="Times New Roman"/>
          <w:sz w:val="20"/>
          <w:szCs w:val="20"/>
        </w:rPr>
        <w:t xml:space="preserve"> M., </w:t>
      </w:r>
      <w:proofErr w:type="spellStart"/>
      <w:r w:rsidRPr="009F3903">
        <w:rPr>
          <w:rFonts w:ascii="Times New Roman" w:hAnsi="Times New Roman" w:cs="Times New Roman"/>
          <w:sz w:val="20"/>
          <w:szCs w:val="20"/>
        </w:rPr>
        <w:t>Nurmatov</w:t>
      </w:r>
      <w:proofErr w:type="spellEnd"/>
      <w:r w:rsidRPr="009F3903">
        <w:rPr>
          <w:rFonts w:ascii="Times New Roman" w:hAnsi="Times New Roman" w:cs="Times New Roman"/>
          <w:sz w:val="20"/>
          <w:szCs w:val="20"/>
        </w:rPr>
        <w:t xml:space="preserve"> O. Construction of pole-switchable windings for two-speed motors of mechanisms with a stress operating mode // AIP Conference Proceedings. 2025. Vol. 3331. Art. no. 040059. </w:t>
      </w:r>
      <w:hyperlink r:id="rId10" w:history="1">
        <w:r w:rsidR="009C6104" w:rsidRPr="00AD63A1">
          <w:rPr>
            <w:rStyle w:val="a6"/>
            <w:rFonts w:ascii="Times New Roman" w:hAnsi="Times New Roman" w:cs="Times New Roman"/>
            <w:sz w:val="20"/>
            <w:szCs w:val="20"/>
          </w:rPr>
          <w:t>https://doi.org/10.1063/5.0305963</w:t>
        </w:r>
      </w:hyperlink>
    </w:p>
    <w:p w14:paraId="5B30AF25" w14:textId="07820326" w:rsidR="00683229" w:rsidRPr="0019146C" w:rsidRDefault="009C6104" w:rsidP="0019146C">
      <w:pPr>
        <w:tabs>
          <w:tab w:val="left" w:pos="284"/>
          <w:tab w:val="left" w:pos="993"/>
        </w:tabs>
        <w:spacing w:after="0" w:line="240" w:lineRule="auto"/>
        <w:jc w:val="both"/>
        <w:rPr>
          <w:rFonts w:ascii="Times New Roman" w:hAnsi="Times New Roman" w:cs="Times New Roman"/>
          <w:sz w:val="20"/>
          <w:szCs w:val="20"/>
        </w:rPr>
      </w:pPr>
      <w:r w:rsidRPr="009C6104">
        <w:rPr>
          <w:rFonts w:ascii="Times New Roman" w:hAnsi="Times New Roman" w:cs="Times New Roman"/>
          <w:sz w:val="20"/>
          <w:szCs w:val="20"/>
        </w:rPr>
        <w:t>8.</w:t>
      </w:r>
      <w:r w:rsidRPr="009C6104">
        <w:rPr>
          <w:rFonts w:ascii="Times New Roman" w:hAnsi="Times New Roman" w:cs="Times New Roman"/>
          <w:sz w:val="20"/>
          <w:szCs w:val="20"/>
        </w:rPr>
        <w:tab/>
      </w:r>
      <w:proofErr w:type="spellStart"/>
      <w:r w:rsidRPr="009C6104">
        <w:rPr>
          <w:rFonts w:ascii="Times New Roman" w:hAnsi="Times New Roman" w:cs="Times New Roman"/>
          <w:sz w:val="20"/>
          <w:szCs w:val="20"/>
        </w:rPr>
        <w:t>Bobojanov</w:t>
      </w:r>
      <w:proofErr w:type="spellEnd"/>
      <w:r w:rsidRPr="009C6104">
        <w:rPr>
          <w:rFonts w:ascii="Times New Roman" w:hAnsi="Times New Roman" w:cs="Times New Roman"/>
          <w:sz w:val="20"/>
          <w:szCs w:val="20"/>
        </w:rPr>
        <w:t xml:space="preserve"> M. K., </w:t>
      </w:r>
      <w:proofErr w:type="spellStart"/>
      <w:r w:rsidRPr="009C6104">
        <w:rPr>
          <w:rFonts w:ascii="Times New Roman" w:hAnsi="Times New Roman" w:cs="Times New Roman"/>
          <w:sz w:val="20"/>
          <w:szCs w:val="20"/>
        </w:rPr>
        <w:t>Rismukhamedov</w:t>
      </w:r>
      <w:proofErr w:type="spellEnd"/>
      <w:r w:rsidRPr="009C6104">
        <w:rPr>
          <w:rFonts w:ascii="Times New Roman" w:hAnsi="Times New Roman" w:cs="Times New Roman"/>
          <w:sz w:val="20"/>
          <w:szCs w:val="20"/>
        </w:rPr>
        <w:t xml:space="preserve"> D. A., </w:t>
      </w:r>
      <w:proofErr w:type="spellStart"/>
      <w:r w:rsidRPr="009C6104">
        <w:rPr>
          <w:rFonts w:ascii="Times New Roman" w:hAnsi="Times New Roman" w:cs="Times New Roman"/>
          <w:sz w:val="20"/>
          <w:szCs w:val="20"/>
        </w:rPr>
        <w:t>Tuychiev</w:t>
      </w:r>
      <w:proofErr w:type="spellEnd"/>
      <w:r w:rsidRPr="009C6104">
        <w:rPr>
          <w:rFonts w:ascii="Times New Roman" w:hAnsi="Times New Roman" w:cs="Times New Roman"/>
          <w:sz w:val="20"/>
          <w:szCs w:val="20"/>
        </w:rPr>
        <w:t xml:space="preserve"> F. N., </w:t>
      </w:r>
      <w:proofErr w:type="spellStart"/>
      <w:r w:rsidRPr="009C6104">
        <w:rPr>
          <w:rFonts w:ascii="Times New Roman" w:hAnsi="Times New Roman" w:cs="Times New Roman"/>
          <w:sz w:val="20"/>
          <w:szCs w:val="20"/>
        </w:rPr>
        <w:t>Shamsutdinov</w:t>
      </w:r>
      <w:proofErr w:type="spellEnd"/>
      <w:r w:rsidRPr="009C6104">
        <w:rPr>
          <w:rFonts w:ascii="Times New Roman" w:hAnsi="Times New Roman" w:cs="Times New Roman"/>
          <w:sz w:val="20"/>
          <w:szCs w:val="20"/>
        </w:rPr>
        <w:t xml:space="preserve"> Kh. E., and </w:t>
      </w:r>
      <w:proofErr w:type="spellStart"/>
      <w:r w:rsidRPr="009C6104">
        <w:rPr>
          <w:rFonts w:ascii="Times New Roman" w:hAnsi="Times New Roman" w:cs="Times New Roman"/>
          <w:sz w:val="20"/>
          <w:szCs w:val="20"/>
        </w:rPr>
        <w:t>Ganiev</w:t>
      </w:r>
      <w:proofErr w:type="spellEnd"/>
      <w:r w:rsidRPr="009C6104">
        <w:rPr>
          <w:rFonts w:ascii="Times New Roman" w:hAnsi="Times New Roman" w:cs="Times New Roman"/>
          <w:sz w:val="20"/>
          <w:szCs w:val="20"/>
        </w:rPr>
        <w:t xml:space="preserve"> S. T., Construction methodology and analysis of electromagnetic properties of pole-changing winding, AIP Conference Proceedings 3331, 0267444 (2025). </w:t>
      </w:r>
      <w:hyperlink r:id="rId11" w:history="1">
        <w:r w:rsidR="0019146C" w:rsidRPr="00A85F87">
          <w:rPr>
            <w:rStyle w:val="a6"/>
            <w:rFonts w:ascii="Times New Roman" w:hAnsi="Times New Roman" w:cs="Times New Roman"/>
            <w:sz w:val="20"/>
            <w:szCs w:val="20"/>
          </w:rPr>
          <w:t>https://doi.org/10.1063/5.0267444</w:t>
        </w:r>
      </w:hyperlink>
      <w:r w:rsidR="0019146C">
        <w:rPr>
          <w:rFonts w:ascii="Times New Roman" w:hAnsi="Times New Roman" w:cs="Times New Roman"/>
          <w:sz w:val="20"/>
          <w:szCs w:val="20"/>
        </w:rPr>
        <w:t xml:space="preserve"> </w:t>
      </w:r>
    </w:p>
    <w:sectPr w:rsidR="00683229" w:rsidRPr="0019146C" w:rsidSect="00D21FFC">
      <w:pgSz w:w="12240" w:h="15840"/>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4E9A51" w14:textId="77777777" w:rsidR="004A08DE" w:rsidRDefault="004A08DE" w:rsidP="00FA618A">
      <w:pPr>
        <w:spacing w:after="0" w:line="240" w:lineRule="auto"/>
      </w:pPr>
      <w:r>
        <w:separator/>
      </w:r>
    </w:p>
  </w:endnote>
  <w:endnote w:type="continuationSeparator" w:id="0">
    <w:p w14:paraId="38C3FEB4" w14:textId="77777777" w:rsidR="004A08DE" w:rsidRDefault="004A08DE" w:rsidP="00FA6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New York">
    <w:altName w:val="Times New Roman"/>
    <w:panose1 w:val="02040503060506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DFDAA" w14:textId="77777777" w:rsidR="004A08DE" w:rsidRDefault="004A08DE" w:rsidP="00FA618A">
      <w:pPr>
        <w:spacing w:after="0" w:line="240" w:lineRule="auto"/>
      </w:pPr>
      <w:r>
        <w:separator/>
      </w:r>
    </w:p>
  </w:footnote>
  <w:footnote w:type="continuationSeparator" w:id="0">
    <w:p w14:paraId="0756DC20" w14:textId="77777777" w:rsidR="004A08DE" w:rsidRDefault="004A08DE" w:rsidP="00FA618A">
      <w:pPr>
        <w:spacing w:after="0" w:line="240" w:lineRule="auto"/>
      </w:pPr>
      <w:r>
        <w:continuationSeparator/>
      </w:r>
    </w:p>
  </w:footnote>
  <w:footnote w:id="1">
    <w:p w14:paraId="3D109E6B" w14:textId="62D18FF9" w:rsidR="00FA618A" w:rsidRPr="00FA618A" w:rsidRDefault="00FA618A">
      <w:pPr>
        <w:pStyle w:val="a7"/>
        <w:rPr>
          <w:rFonts w:ascii="Times New Roman" w:hAnsi="Times New Roman" w:cs="Times New Roman"/>
        </w:rPr>
      </w:pPr>
      <w:r>
        <w:rPr>
          <w:rStyle w:val="a9"/>
        </w:rPr>
        <w:footnoteRef/>
      </w:r>
      <w:r>
        <w:t xml:space="preserve"> </w:t>
      </w:r>
      <w:r w:rsidRPr="00FA618A">
        <w:rPr>
          <w:rFonts w:ascii="Times New Roman" w:hAnsi="Times New Roman" w:cs="Times New Roman"/>
        </w:rPr>
        <w:t xml:space="preserve">Author’s compilation based on the </w:t>
      </w:r>
      <w:r w:rsidR="006A00D3">
        <w:rPr>
          <w:rFonts w:ascii="Times New Roman" w:hAnsi="Times New Roman" w:cs="Times New Roman"/>
        </w:rPr>
        <w:t>b</w:t>
      </w:r>
      <w:r w:rsidRPr="00FA618A">
        <w:rPr>
          <w:rFonts w:ascii="Times New Roman" w:hAnsi="Times New Roman" w:cs="Times New Roman"/>
        </w:rPr>
        <w:t xml:space="preserve">alance </w:t>
      </w:r>
      <w:r w:rsidR="006A00D3">
        <w:rPr>
          <w:rFonts w:ascii="Times New Roman" w:hAnsi="Times New Roman" w:cs="Times New Roman"/>
        </w:rPr>
        <w:t>s</w:t>
      </w:r>
      <w:r w:rsidRPr="00FA618A">
        <w:rPr>
          <w:rFonts w:ascii="Times New Roman" w:hAnsi="Times New Roman" w:cs="Times New Roman"/>
        </w:rPr>
        <w:t xml:space="preserve">heet (Form No. 1) of </w:t>
      </w:r>
      <w:proofErr w:type="spellStart"/>
      <w:r w:rsidRPr="00FA618A">
        <w:rPr>
          <w:rFonts w:ascii="Times New Roman" w:hAnsi="Times New Roman" w:cs="Times New Roman"/>
        </w:rPr>
        <w:t>Uzbekneftegaz</w:t>
      </w:r>
      <w:proofErr w:type="spellEnd"/>
      <w:r w:rsidRPr="00FA618A">
        <w:rPr>
          <w:rFonts w:ascii="Times New Roman" w:hAnsi="Times New Roman" w:cs="Times New Roman"/>
        </w:rPr>
        <w:t xml:space="preserve"> JSC.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72176"/>
    <w:multiLevelType w:val="hybridMultilevel"/>
    <w:tmpl w:val="FC04E8CE"/>
    <w:lvl w:ilvl="0" w:tplc="6E6EFBFE">
      <w:start w:val="1"/>
      <w:numFmt w:val="decimal"/>
      <w:lvlText w:val="%1."/>
      <w:lvlJc w:val="left"/>
      <w:pPr>
        <w:ind w:left="705" w:hanging="360"/>
      </w:pPr>
      <w:rPr>
        <w:rFonts w:eastAsiaTheme="minorHAnsi"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1" w15:restartNumberingAfterBreak="0">
    <w:nsid w:val="219D2DA8"/>
    <w:multiLevelType w:val="hybridMultilevel"/>
    <w:tmpl w:val="6CBA9D44"/>
    <w:lvl w:ilvl="0" w:tplc="0407000F">
      <w:start w:val="1"/>
      <w:numFmt w:val="decimal"/>
      <w:lvlText w:val="%1."/>
      <w:lvlJc w:val="left"/>
      <w:pPr>
        <w:tabs>
          <w:tab w:val="num" w:pos="1080"/>
        </w:tabs>
        <w:ind w:left="1080" w:hanging="360"/>
      </w:p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2" w15:restartNumberingAfterBreak="0">
    <w:nsid w:val="320F33CA"/>
    <w:multiLevelType w:val="hybridMultilevel"/>
    <w:tmpl w:val="715EABCE"/>
    <w:lvl w:ilvl="0" w:tplc="7CB0DC3E">
      <w:start w:val="1"/>
      <w:numFmt w:val="decimal"/>
      <w:lvlText w:val="%1."/>
      <w:lvlJc w:val="left"/>
      <w:pPr>
        <w:ind w:left="3621" w:hanging="360"/>
      </w:pPr>
      <w:rPr>
        <w:rFonts w:ascii="Times New Roman" w:hAnsi="Times New Roman" w:cs="Times New Roman" w:hint="default"/>
        <w:b w:val="0"/>
        <w:color w:val="auto"/>
        <w:lang w:val="en-U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CB4187"/>
    <w:multiLevelType w:val="hybridMultilevel"/>
    <w:tmpl w:val="5DF0202E"/>
    <w:lvl w:ilvl="0" w:tplc="24949584">
      <w:start w:val="1"/>
      <w:numFmt w:val="decimal"/>
      <w:lvlText w:val="%1."/>
      <w:lvlJc w:val="left"/>
      <w:pPr>
        <w:ind w:left="810" w:hanging="450"/>
      </w:pPr>
      <w:rPr>
        <w:rFonts w:ascii="Times" w:hAnsi="Times" w:cs="New York"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17B4902"/>
    <w:multiLevelType w:val="hybridMultilevel"/>
    <w:tmpl w:val="19AA0DA2"/>
    <w:lvl w:ilvl="0" w:tplc="4D8AFEAA">
      <w:start w:val="1"/>
      <w:numFmt w:val="decimal"/>
      <w:lvlText w:val="%1."/>
      <w:lvlJc w:val="left"/>
      <w:pPr>
        <w:ind w:left="927" w:hanging="360"/>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365058288">
    <w:abstractNumId w:val="1"/>
  </w:num>
  <w:num w:numId="2" w16cid:durableId="924339141">
    <w:abstractNumId w:val="0"/>
  </w:num>
  <w:num w:numId="3" w16cid:durableId="1998992611">
    <w:abstractNumId w:val="4"/>
  </w:num>
  <w:num w:numId="4" w16cid:durableId="458913911">
    <w:abstractNumId w:val="3"/>
  </w:num>
  <w:num w:numId="5" w16cid:durableId="9960359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4778"/>
    <w:rsid w:val="0000016C"/>
    <w:rsid w:val="00001210"/>
    <w:rsid w:val="00001E82"/>
    <w:rsid w:val="00002F5E"/>
    <w:rsid w:val="00003FC1"/>
    <w:rsid w:val="00004967"/>
    <w:rsid w:val="000049D6"/>
    <w:rsid w:val="00004BC8"/>
    <w:rsid w:val="00004CED"/>
    <w:rsid w:val="00004F95"/>
    <w:rsid w:val="000059A6"/>
    <w:rsid w:val="00005DAE"/>
    <w:rsid w:val="00006A2B"/>
    <w:rsid w:val="000072FA"/>
    <w:rsid w:val="00007550"/>
    <w:rsid w:val="00007E11"/>
    <w:rsid w:val="0001128F"/>
    <w:rsid w:val="00011FFE"/>
    <w:rsid w:val="00012A47"/>
    <w:rsid w:val="000138E1"/>
    <w:rsid w:val="00013A31"/>
    <w:rsid w:val="0001455C"/>
    <w:rsid w:val="00014A5C"/>
    <w:rsid w:val="00015508"/>
    <w:rsid w:val="00015700"/>
    <w:rsid w:val="0001623C"/>
    <w:rsid w:val="00016345"/>
    <w:rsid w:val="00020836"/>
    <w:rsid w:val="00021B81"/>
    <w:rsid w:val="00021CB5"/>
    <w:rsid w:val="0002386B"/>
    <w:rsid w:val="00025826"/>
    <w:rsid w:val="00025BFC"/>
    <w:rsid w:val="00026F3C"/>
    <w:rsid w:val="00027027"/>
    <w:rsid w:val="00027F63"/>
    <w:rsid w:val="00030131"/>
    <w:rsid w:val="000301A2"/>
    <w:rsid w:val="00030C61"/>
    <w:rsid w:val="00030D05"/>
    <w:rsid w:val="00031CA1"/>
    <w:rsid w:val="000325D5"/>
    <w:rsid w:val="00032DF8"/>
    <w:rsid w:val="00033360"/>
    <w:rsid w:val="00033A1E"/>
    <w:rsid w:val="00033BA1"/>
    <w:rsid w:val="000340B8"/>
    <w:rsid w:val="0003479C"/>
    <w:rsid w:val="0003562A"/>
    <w:rsid w:val="00035836"/>
    <w:rsid w:val="0003592F"/>
    <w:rsid w:val="000363B1"/>
    <w:rsid w:val="0003648E"/>
    <w:rsid w:val="000364C4"/>
    <w:rsid w:val="0003672F"/>
    <w:rsid w:val="00036D11"/>
    <w:rsid w:val="00036E9C"/>
    <w:rsid w:val="00037002"/>
    <w:rsid w:val="0003742E"/>
    <w:rsid w:val="00037FB4"/>
    <w:rsid w:val="000409BE"/>
    <w:rsid w:val="00040B5D"/>
    <w:rsid w:val="00040B6D"/>
    <w:rsid w:val="00040D26"/>
    <w:rsid w:val="00040ECC"/>
    <w:rsid w:val="00042766"/>
    <w:rsid w:val="00042F29"/>
    <w:rsid w:val="00043A80"/>
    <w:rsid w:val="00043AD5"/>
    <w:rsid w:val="00043C4E"/>
    <w:rsid w:val="00043F51"/>
    <w:rsid w:val="00044327"/>
    <w:rsid w:val="00044481"/>
    <w:rsid w:val="000444D2"/>
    <w:rsid w:val="0004471B"/>
    <w:rsid w:val="00045113"/>
    <w:rsid w:val="000455E1"/>
    <w:rsid w:val="0004584B"/>
    <w:rsid w:val="000464CD"/>
    <w:rsid w:val="00046AC0"/>
    <w:rsid w:val="00046BCF"/>
    <w:rsid w:val="0004765D"/>
    <w:rsid w:val="00047B34"/>
    <w:rsid w:val="000509D3"/>
    <w:rsid w:val="0005172C"/>
    <w:rsid w:val="000520AF"/>
    <w:rsid w:val="00052102"/>
    <w:rsid w:val="000539E5"/>
    <w:rsid w:val="000545F6"/>
    <w:rsid w:val="00054725"/>
    <w:rsid w:val="00055CE4"/>
    <w:rsid w:val="000568C9"/>
    <w:rsid w:val="00057311"/>
    <w:rsid w:val="0005762A"/>
    <w:rsid w:val="0006022A"/>
    <w:rsid w:val="0006102F"/>
    <w:rsid w:val="000613C6"/>
    <w:rsid w:val="0006153F"/>
    <w:rsid w:val="00061B1F"/>
    <w:rsid w:val="0006206A"/>
    <w:rsid w:val="00062357"/>
    <w:rsid w:val="000633D9"/>
    <w:rsid w:val="000634FC"/>
    <w:rsid w:val="00063F1F"/>
    <w:rsid w:val="00064498"/>
    <w:rsid w:val="00064735"/>
    <w:rsid w:val="000648B1"/>
    <w:rsid w:val="00064B58"/>
    <w:rsid w:val="00066C85"/>
    <w:rsid w:val="0006719E"/>
    <w:rsid w:val="00070570"/>
    <w:rsid w:val="000705BF"/>
    <w:rsid w:val="000710AD"/>
    <w:rsid w:val="00072072"/>
    <w:rsid w:val="00072186"/>
    <w:rsid w:val="0007267C"/>
    <w:rsid w:val="00073048"/>
    <w:rsid w:val="0007417B"/>
    <w:rsid w:val="00074E7C"/>
    <w:rsid w:val="00075DA4"/>
    <w:rsid w:val="00076B7F"/>
    <w:rsid w:val="00077644"/>
    <w:rsid w:val="00077708"/>
    <w:rsid w:val="00077780"/>
    <w:rsid w:val="00077D8E"/>
    <w:rsid w:val="000802BC"/>
    <w:rsid w:val="00080EBA"/>
    <w:rsid w:val="000822B0"/>
    <w:rsid w:val="0008245E"/>
    <w:rsid w:val="000829DD"/>
    <w:rsid w:val="00083E18"/>
    <w:rsid w:val="000841C9"/>
    <w:rsid w:val="0008473C"/>
    <w:rsid w:val="00084A48"/>
    <w:rsid w:val="00084EF6"/>
    <w:rsid w:val="0008575B"/>
    <w:rsid w:val="00086315"/>
    <w:rsid w:val="00086945"/>
    <w:rsid w:val="00087371"/>
    <w:rsid w:val="0008756A"/>
    <w:rsid w:val="000901DD"/>
    <w:rsid w:val="00090244"/>
    <w:rsid w:val="00090957"/>
    <w:rsid w:val="00091886"/>
    <w:rsid w:val="000930F8"/>
    <w:rsid w:val="00093182"/>
    <w:rsid w:val="00093368"/>
    <w:rsid w:val="00093D02"/>
    <w:rsid w:val="00093E2B"/>
    <w:rsid w:val="000944FE"/>
    <w:rsid w:val="0009457F"/>
    <w:rsid w:val="00096DB6"/>
    <w:rsid w:val="000970CC"/>
    <w:rsid w:val="000978D2"/>
    <w:rsid w:val="000A04CB"/>
    <w:rsid w:val="000A09B0"/>
    <w:rsid w:val="000A1A8D"/>
    <w:rsid w:val="000A21F3"/>
    <w:rsid w:val="000A25CA"/>
    <w:rsid w:val="000A28CE"/>
    <w:rsid w:val="000A360E"/>
    <w:rsid w:val="000A3D05"/>
    <w:rsid w:val="000A4BAF"/>
    <w:rsid w:val="000A6AAD"/>
    <w:rsid w:val="000A6D80"/>
    <w:rsid w:val="000A6F05"/>
    <w:rsid w:val="000A7254"/>
    <w:rsid w:val="000A7CFE"/>
    <w:rsid w:val="000B0647"/>
    <w:rsid w:val="000B1213"/>
    <w:rsid w:val="000B13E6"/>
    <w:rsid w:val="000B14DA"/>
    <w:rsid w:val="000B18FA"/>
    <w:rsid w:val="000B1A8D"/>
    <w:rsid w:val="000B2276"/>
    <w:rsid w:val="000B3198"/>
    <w:rsid w:val="000B3461"/>
    <w:rsid w:val="000B3DB2"/>
    <w:rsid w:val="000B3EFD"/>
    <w:rsid w:val="000B55A9"/>
    <w:rsid w:val="000B78DB"/>
    <w:rsid w:val="000B7A08"/>
    <w:rsid w:val="000B7A33"/>
    <w:rsid w:val="000B7F56"/>
    <w:rsid w:val="000C06C8"/>
    <w:rsid w:val="000C0EAF"/>
    <w:rsid w:val="000C0FF4"/>
    <w:rsid w:val="000C106A"/>
    <w:rsid w:val="000C161A"/>
    <w:rsid w:val="000C1C4A"/>
    <w:rsid w:val="000C24F0"/>
    <w:rsid w:val="000C2F96"/>
    <w:rsid w:val="000C3F06"/>
    <w:rsid w:val="000C46FF"/>
    <w:rsid w:val="000C472C"/>
    <w:rsid w:val="000C4BC1"/>
    <w:rsid w:val="000C5BC8"/>
    <w:rsid w:val="000C6ACA"/>
    <w:rsid w:val="000C73F0"/>
    <w:rsid w:val="000C7ADC"/>
    <w:rsid w:val="000D036C"/>
    <w:rsid w:val="000D0A11"/>
    <w:rsid w:val="000D0F23"/>
    <w:rsid w:val="000D1E43"/>
    <w:rsid w:val="000D22EA"/>
    <w:rsid w:val="000D3FC5"/>
    <w:rsid w:val="000D4A00"/>
    <w:rsid w:val="000D4EBB"/>
    <w:rsid w:val="000D5175"/>
    <w:rsid w:val="000D5BD0"/>
    <w:rsid w:val="000D5C99"/>
    <w:rsid w:val="000D6054"/>
    <w:rsid w:val="000D6309"/>
    <w:rsid w:val="000D6312"/>
    <w:rsid w:val="000D6D22"/>
    <w:rsid w:val="000E0054"/>
    <w:rsid w:val="000E010D"/>
    <w:rsid w:val="000E01E2"/>
    <w:rsid w:val="000E0454"/>
    <w:rsid w:val="000E0BE8"/>
    <w:rsid w:val="000E0EDC"/>
    <w:rsid w:val="000E0F02"/>
    <w:rsid w:val="000E1978"/>
    <w:rsid w:val="000E1C80"/>
    <w:rsid w:val="000E2CB7"/>
    <w:rsid w:val="000E47FF"/>
    <w:rsid w:val="000E5508"/>
    <w:rsid w:val="000E57FE"/>
    <w:rsid w:val="000E607E"/>
    <w:rsid w:val="000E6198"/>
    <w:rsid w:val="000E6653"/>
    <w:rsid w:val="000E6875"/>
    <w:rsid w:val="000E6C94"/>
    <w:rsid w:val="000E7343"/>
    <w:rsid w:val="000E7DD4"/>
    <w:rsid w:val="000F1750"/>
    <w:rsid w:val="000F28F1"/>
    <w:rsid w:val="000F38C9"/>
    <w:rsid w:val="000F47F9"/>
    <w:rsid w:val="000F48CA"/>
    <w:rsid w:val="000F6192"/>
    <w:rsid w:val="000F65C0"/>
    <w:rsid w:val="000F7427"/>
    <w:rsid w:val="000F7CF5"/>
    <w:rsid w:val="001004DA"/>
    <w:rsid w:val="001005F6"/>
    <w:rsid w:val="001006F5"/>
    <w:rsid w:val="001015AF"/>
    <w:rsid w:val="00101B2C"/>
    <w:rsid w:val="0010233E"/>
    <w:rsid w:val="00102C62"/>
    <w:rsid w:val="001031AF"/>
    <w:rsid w:val="00103976"/>
    <w:rsid w:val="0010476B"/>
    <w:rsid w:val="001055EE"/>
    <w:rsid w:val="00106481"/>
    <w:rsid w:val="001065DB"/>
    <w:rsid w:val="0010742E"/>
    <w:rsid w:val="001078B6"/>
    <w:rsid w:val="0011008A"/>
    <w:rsid w:val="001106E1"/>
    <w:rsid w:val="00111777"/>
    <w:rsid w:val="00111F3B"/>
    <w:rsid w:val="001123C1"/>
    <w:rsid w:val="001128A7"/>
    <w:rsid w:val="0011394C"/>
    <w:rsid w:val="00113B35"/>
    <w:rsid w:val="0011562E"/>
    <w:rsid w:val="001156BA"/>
    <w:rsid w:val="00115F2A"/>
    <w:rsid w:val="00116347"/>
    <w:rsid w:val="001170CC"/>
    <w:rsid w:val="001174B9"/>
    <w:rsid w:val="00117F92"/>
    <w:rsid w:val="001208BC"/>
    <w:rsid w:val="00120B26"/>
    <w:rsid w:val="00121780"/>
    <w:rsid w:val="00121C7E"/>
    <w:rsid w:val="0012201F"/>
    <w:rsid w:val="0012225B"/>
    <w:rsid w:val="00123565"/>
    <w:rsid w:val="00123B48"/>
    <w:rsid w:val="00123C42"/>
    <w:rsid w:val="00123D38"/>
    <w:rsid w:val="001242E4"/>
    <w:rsid w:val="00124834"/>
    <w:rsid w:val="001259DE"/>
    <w:rsid w:val="00125CFF"/>
    <w:rsid w:val="00126838"/>
    <w:rsid w:val="00126BDE"/>
    <w:rsid w:val="00126F0E"/>
    <w:rsid w:val="00127A1E"/>
    <w:rsid w:val="00127CD1"/>
    <w:rsid w:val="00127F82"/>
    <w:rsid w:val="001309BB"/>
    <w:rsid w:val="00131133"/>
    <w:rsid w:val="0013176D"/>
    <w:rsid w:val="001319C3"/>
    <w:rsid w:val="00131B75"/>
    <w:rsid w:val="00132096"/>
    <w:rsid w:val="00132114"/>
    <w:rsid w:val="001323B2"/>
    <w:rsid w:val="00132506"/>
    <w:rsid w:val="001329A2"/>
    <w:rsid w:val="001335A5"/>
    <w:rsid w:val="0013369A"/>
    <w:rsid w:val="001339A1"/>
    <w:rsid w:val="00133A39"/>
    <w:rsid w:val="00133D75"/>
    <w:rsid w:val="001358AA"/>
    <w:rsid w:val="00136343"/>
    <w:rsid w:val="00136357"/>
    <w:rsid w:val="00136A89"/>
    <w:rsid w:val="00137C82"/>
    <w:rsid w:val="00141026"/>
    <w:rsid w:val="00141535"/>
    <w:rsid w:val="0014260F"/>
    <w:rsid w:val="00142E3C"/>
    <w:rsid w:val="00143B5E"/>
    <w:rsid w:val="0014403C"/>
    <w:rsid w:val="001445D1"/>
    <w:rsid w:val="00144820"/>
    <w:rsid w:val="001450D3"/>
    <w:rsid w:val="00145FB4"/>
    <w:rsid w:val="0014679B"/>
    <w:rsid w:val="00146F9A"/>
    <w:rsid w:val="001471A7"/>
    <w:rsid w:val="00147990"/>
    <w:rsid w:val="00152451"/>
    <w:rsid w:val="00152BE8"/>
    <w:rsid w:val="00153004"/>
    <w:rsid w:val="0015363B"/>
    <w:rsid w:val="00153646"/>
    <w:rsid w:val="001537A5"/>
    <w:rsid w:val="001541FD"/>
    <w:rsid w:val="00154D07"/>
    <w:rsid w:val="00155F32"/>
    <w:rsid w:val="001578A4"/>
    <w:rsid w:val="001579FA"/>
    <w:rsid w:val="00157B44"/>
    <w:rsid w:val="00157CAA"/>
    <w:rsid w:val="00157DFF"/>
    <w:rsid w:val="00160935"/>
    <w:rsid w:val="00160BAD"/>
    <w:rsid w:val="00161B28"/>
    <w:rsid w:val="00162073"/>
    <w:rsid w:val="00162CC2"/>
    <w:rsid w:val="00162CEA"/>
    <w:rsid w:val="001640B7"/>
    <w:rsid w:val="00164289"/>
    <w:rsid w:val="00164412"/>
    <w:rsid w:val="001647D7"/>
    <w:rsid w:val="001676D6"/>
    <w:rsid w:val="00170358"/>
    <w:rsid w:val="00170749"/>
    <w:rsid w:val="00172649"/>
    <w:rsid w:val="0017355E"/>
    <w:rsid w:val="0017398C"/>
    <w:rsid w:val="00173A85"/>
    <w:rsid w:val="00173B2B"/>
    <w:rsid w:val="001744E6"/>
    <w:rsid w:val="001748AF"/>
    <w:rsid w:val="00174E2C"/>
    <w:rsid w:val="00174F5D"/>
    <w:rsid w:val="0017547F"/>
    <w:rsid w:val="0017758E"/>
    <w:rsid w:val="00177702"/>
    <w:rsid w:val="00181BFF"/>
    <w:rsid w:val="001823AF"/>
    <w:rsid w:val="0018300E"/>
    <w:rsid w:val="00183BE3"/>
    <w:rsid w:val="00183ED5"/>
    <w:rsid w:val="001847B4"/>
    <w:rsid w:val="00184CDF"/>
    <w:rsid w:val="001868CE"/>
    <w:rsid w:val="00186F60"/>
    <w:rsid w:val="00187083"/>
    <w:rsid w:val="00187986"/>
    <w:rsid w:val="00187AC4"/>
    <w:rsid w:val="001902FA"/>
    <w:rsid w:val="00190A27"/>
    <w:rsid w:val="0019146C"/>
    <w:rsid w:val="00191477"/>
    <w:rsid w:val="00191BE7"/>
    <w:rsid w:val="00191EB2"/>
    <w:rsid w:val="00192A0C"/>
    <w:rsid w:val="00192A43"/>
    <w:rsid w:val="00193576"/>
    <w:rsid w:val="00193D9D"/>
    <w:rsid w:val="00193E8E"/>
    <w:rsid w:val="00194261"/>
    <w:rsid w:val="001946BA"/>
    <w:rsid w:val="001953ED"/>
    <w:rsid w:val="00195FB6"/>
    <w:rsid w:val="00196038"/>
    <w:rsid w:val="001970E3"/>
    <w:rsid w:val="00197489"/>
    <w:rsid w:val="001979E4"/>
    <w:rsid w:val="00197CC4"/>
    <w:rsid w:val="001A0103"/>
    <w:rsid w:val="001A059C"/>
    <w:rsid w:val="001A0C96"/>
    <w:rsid w:val="001A10D5"/>
    <w:rsid w:val="001A115A"/>
    <w:rsid w:val="001A125C"/>
    <w:rsid w:val="001A18EF"/>
    <w:rsid w:val="001A21DD"/>
    <w:rsid w:val="001A3B20"/>
    <w:rsid w:val="001A3BD4"/>
    <w:rsid w:val="001A3F0C"/>
    <w:rsid w:val="001A5E28"/>
    <w:rsid w:val="001A5F63"/>
    <w:rsid w:val="001A6CE9"/>
    <w:rsid w:val="001A72E4"/>
    <w:rsid w:val="001A792D"/>
    <w:rsid w:val="001B066C"/>
    <w:rsid w:val="001B0C73"/>
    <w:rsid w:val="001B1B9B"/>
    <w:rsid w:val="001B203F"/>
    <w:rsid w:val="001B2C94"/>
    <w:rsid w:val="001B2E07"/>
    <w:rsid w:val="001B4006"/>
    <w:rsid w:val="001B4EBB"/>
    <w:rsid w:val="001B5848"/>
    <w:rsid w:val="001B59BB"/>
    <w:rsid w:val="001B6002"/>
    <w:rsid w:val="001B6104"/>
    <w:rsid w:val="001B638F"/>
    <w:rsid w:val="001B6E39"/>
    <w:rsid w:val="001B6F82"/>
    <w:rsid w:val="001B741B"/>
    <w:rsid w:val="001B769A"/>
    <w:rsid w:val="001B7D7E"/>
    <w:rsid w:val="001C006C"/>
    <w:rsid w:val="001C05CA"/>
    <w:rsid w:val="001C078C"/>
    <w:rsid w:val="001C09B1"/>
    <w:rsid w:val="001C126F"/>
    <w:rsid w:val="001C16D5"/>
    <w:rsid w:val="001C1BED"/>
    <w:rsid w:val="001C1FBA"/>
    <w:rsid w:val="001C2494"/>
    <w:rsid w:val="001C24E4"/>
    <w:rsid w:val="001C255B"/>
    <w:rsid w:val="001C27ED"/>
    <w:rsid w:val="001C2ED2"/>
    <w:rsid w:val="001C2F75"/>
    <w:rsid w:val="001C35F1"/>
    <w:rsid w:val="001C4C23"/>
    <w:rsid w:val="001C51A5"/>
    <w:rsid w:val="001C5E2A"/>
    <w:rsid w:val="001C6661"/>
    <w:rsid w:val="001C6D47"/>
    <w:rsid w:val="001C6F3D"/>
    <w:rsid w:val="001C7739"/>
    <w:rsid w:val="001C7C44"/>
    <w:rsid w:val="001D03C1"/>
    <w:rsid w:val="001D049E"/>
    <w:rsid w:val="001D1623"/>
    <w:rsid w:val="001D1CF4"/>
    <w:rsid w:val="001D2545"/>
    <w:rsid w:val="001D2A0D"/>
    <w:rsid w:val="001D3AF5"/>
    <w:rsid w:val="001D59AC"/>
    <w:rsid w:val="001D59F9"/>
    <w:rsid w:val="001D60B7"/>
    <w:rsid w:val="001D62A4"/>
    <w:rsid w:val="001D632D"/>
    <w:rsid w:val="001D6C7F"/>
    <w:rsid w:val="001D70CF"/>
    <w:rsid w:val="001E129E"/>
    <w:rsid w:val="001E23A5"/>
    <w:rsid w:val="001E268B"/>
    <w:rsid w:val="001E26B6"/>
    <w:rsid w:val="001E2972"/>
    <w:rsid w:val="001E30A3"/>
    <w:rsid w:val="001E312D"/>
    <w:rsid w:val="001E31AD"/>
    <w:rsid w:val="001E3EDA"/>
    <w:rsid w:val="001E41CE"/>
    <w:rsid w:val="001E4313"/>
    <w:rsid w:val="001E4426"/>
    <w:rsid w:val="001E494B"/>
    <w:rsid w:val="001E565B"/>
    <w:rsid w:val="001E56BC"/>
    <w:rsid w:val="001E5E7A"/>
    <w:rsid w:val="001E6397"/>
    <w:rsid w:val="001E6BD7"/>
    <w:rsid w:val="001E7C9B"/>
    <w:rsid w:val="001E7FCB"/>
    <w:rsid w:val="001F06E5"/>
    <w:rsid w:val="001F06EC"/>
    <w:rsid w:val="001F16CD"/>
    <w:rsid w:val="001F16DE"/>
    <w:rsid w:val="001F198B"/>
    <w:rsid w:val="001F2524"/>
    <w:rsid w:val="001F4555"/>
    <w:rsid w:val="001F47FE"/>
    <w:rsid w:val="001F507A"/>
    <w:rsid w:val="001F5613"/>
    <w:rsid w:val="001F576A"/>
    <w:rsid w:val="001F57DA"/>
    <w:rsid w:val="001F6CBE"/>
    <w:rsid w:val="001F6DC6"/>
    <w:rsid w:val="001F7630"/>
    <w:rsid w:val="001F78B4"/>
    <w:rsid w:val="001F7AB6"/>
    <w:rsid w:val="0020033F"/>
    <w:rsid w:val="00200623"/>
    <w:rsid w:val="00200DCE"/>
    <w:rsid w:val="00202534"/>
    <w:rsid w:val="00203802"/>
    <w:rsid w:val="002039C4"/>
    <w:rsid w:val="00203C4D"/>
    <w:rsid w:val="00203E8E"/>
    <w:rsid w:val="002052E0"/>
    <w:rsid w:val="00205C3B"/>
    <w:rsid w:val="00205F53"/>
    <w:rsid w:val="00207173"/>
    <w:rsid w:val="00207593"/>
    <w:rsid w:val="0021022B"/>
    <w:rsid w:val="0021123B"/>
    <w:rsid w:val="0021156E"/>
    <w:rsid w:val="00212556"/>
    <w:rsid w:val="00212F48"/>
    <w:rsid w:val="00213A54"/>
    <w:rsid w:val="00213AAB"/>
    <w:rsid w:val="00214777"/>
    <w:rsid w:val="00214C39"/>
    <w:rsid w:val="00215FC2"/>
    <w:rsid w:val="0021707C"/>
    <w:rsid w:val="002170D5"/>
    <w:rsid w:val="002176BA"/>
    <w:rsid w:val="002213B8"/>
    <w:rsid w:val="00221CDE"/>
    <w:rsid w:val="002222C7"/>
    <w:rsid w:val="0022259E"/>
    <w:rsid w:val="0022261C"/>
    <w:rsid w:val="0022267D"/>
    <w:rsid w:val="00222683"/>
    <w:rsid w:val="002227FA"/>
    <w:rsid w:val="00223284"/>
    <w:rsid w:val="00223863"/>
    <w:rsid w:val="00224D22"/>
    <w:rsid w:val="002254B7"/>
    <w:rsid w:val="00226774"/>
    <w:rsid w:val="002269E1"/>
    <w:rsid w:val="00226A25"/>
    <w:rsid w:val="00226FD3"/>
    <w:rsid w:val="0022708D"/>
    <w:rsid w:val="002274E3"/>
    <w:rsid w:val="00230243"/>
    <w:rsid w:val="0023180D"/>
    <w:rsid w:val="00232911"/>
    <w:rsid w:val="00232EA4"/>
    <w:rsid w:val="00233407"/>
    <w:rsid w:val="0023395D"/>
    <w:rsid w:val="00233C5D"/>
    <w:rsid w:val="002341BE"/>
    <w:rsid w:val="002349AF"/>
    <w:rsid w:val="00234E13"/>
    <w:rsid w:val="00234E94"/>
    <w:rsid w:val="0023614C"/>
    <w:rsid w:val="002361CA"/>
    <w:rsid w:val="00236471"/>
    <w:rsid w:val="00236868"/>
    <w:rsid w:val="0024023C"/>
    <w:rsid w:val="0024058E"/>
    <w:rsid w:val="00241D5C"/>
    <w:rsid w:val="002421E1"/>
    <w:rsid w:val="0024323B"/>
    <w:rsid w:val="002434DD"/>
    <w:rsid w:val="00243529"/>
    <w:rsid w:val="00244F00"/>
    <w:rsid w:val="002459B2"/>
    <w:rsid w:val="002466F0"/>
    <w:rsid w:val="00247009"/>
    <w:rsid w:val="002471A8"/>
    <w:rsid w:val="00247218"/>
    <w:rsid w:val="0025006C"/>
    <w:rsid w:val="00250A37"/>
    <w:rsid w:val="00250F29"/>
    <w:rsid w:val="0025293E"/>
    <w:rsid w:val="00253D6F"/>
    <w:rsid w:val="00255BD8"/>
    <w:rsid w:val="00256353"/>
    <w:rsid w:val="0025698C"/>
    <w:rsid w:val="00256C5C"/>
    <w:rsid w:val="00257072"/>
    <w:rsid w:val="002570D6"/>
    <w:rsid w:val="0025712A"/>
    <w:rsid w:val="0026084E"/>
    <w:rsid w:val="0026085A"/>
    <w:rsid w:val="00260E5D"/>
    <w:rsid w:val="002617B0"/>
    <w:rsid w:val="002618B8"/>
    <w:rsid w:val="00261A2E"/>
    <w:rsid w:val="00263301"/>
    <w:rsid w:val="00264749"/>
    <w:rsid w:val="00264F62"/>
    <w:rsid w:val="002657C2"/>
    <w:rsid w:val="002661F1"/>
    <w:rsid w:val="0026641C"/>
    <w:rsid w:val="00266462"/>
    <w:rsid w:val="0026761C"/>
    <w:rsid w:val="00267BAA"/>
    <w:rsid w:val="00270533"/>
    <w:rsid w:val="00270A2D"/>
    <w:rsid w:val="00271884"/>
    <w:rsid w:val="002719B6"/>
    <w:rsid w:val="00271E9F"/>
    <w:rsid w:val="00272255"/>
    <w:rsid w:val="0027225F"/>
    <w:rsid w:val="0027227B"/>
    <w:rsid w:val="00272473"/>
    <w:rsid w:val="00272BBB"/>
    <w:rsid w:val="00273E0D"/>
    <w:rsid w:val="00274528"/>
    <w:rsid w:val="00275243"/>
    <w:rsid w:val="0027529D"/>
    <w:rsid w:val="002769EE"/>
    <w:rsid w:val="00276B51"/>
    <w:rsid w:val="00276BAA"/>
    <w:rsid w:val="002800AF"/>
    <w:rsid w:val="00280145"/>
    <w:rsid w:val="0028087A"/>
    <w:rsid w:val="00281CE0"/>
    <w:rsid w:val="00282402"/>
    <w:rsid w:val="00282584"/>
    <w:rsid w:val="00282623"/>
    <w:rsid w:val="002846D8"/>
    <w:rsid w:val="002854C3"/>
    <w:rsid w:val="00285B09"/>
    <w:rsid w:val="002871AD"/>
    <w:rsid w:val="0028734D"/>
    <w:rsid w:val="00287E0A"/>
    <w:rsid w:val="00291160"/>
    <w:rsid w:val="002912FF"/>
    <w:rsid w:val="00291460"/>
    <w:rsid w:val="002918F7"/>
    <w:rsid w:val="002928E6"/>
    <w:rsid w:val="00292B11"/>
    <w:rsid w:val="00292B45"/>
    <w:rsid w:val="00293400"/>
    <w:rsid w:val="002938EA"/>
    <w:rsid w:val="00293D8A"/>
    <w:rsid w:val="00294382"/>
    <w:rsid w:val="00294AE5"/>
    <w:rsid w:val="0029525B"/>
    <w:rsid w:val="0029654D"/>
    <w:rsid w:val="00297176"/>
    <w:rsid w:val="002972CE"/>
    <w:rsid w:val="002978F3"/>
    <w:rsid w:val="002A03FD"/>
    <w:rsid w:val="002A109C"/>
    <w:rsid w:val="002A118A"/>
    <w:rsid w:val="002A1DB0"/>
    <w:rsid w:val="002A2665"/>
    <w:rsid w:val="002A2841"/>
    <w:rsid w:val="002A477E"/>
    <w:rsid w:val="002A4C13"/>
    <w:rsid w:val="002A517D"/>
    <w:rsid w:val="002A5FAE"/>
    <w:rsid w:val="002A695A"/>
    <w:rsid w:val="002A75D9"/>
    <w:rsid w:val="002A79E4"/>
    <w:rsid w:val="002B126F"/>
    <w:rsid w:val="002B1814"/>
    <w:rsid w:val="002B1EFC"/>
    <w:rsid w:val="002B2CD1"/>
    <w:rsid w:val="002B5796"/>
    <w:rsid w:val="002B62DF"/>
    <w:rsid w:val="002B6610"/>
    <w:rsid w:val="002B6661"/>
    <w:rsid w:val="002B66FD"/>
    <w:rsid w:val="002B7A96"/>
    <w:rsid w:val="002C1094"/>
    <w:rsid w:val="002C1E88"/>
    <w:rsid w:val="002C3167"/>
    <w:rsid w:val="002C3E2D"/>
    <w:rsid w:val="002C4705"/>
    <w:rsid w:val="002C4986"/>
    <w:rsid w:val="002C5B0B"/>
    <w:rsid w:val="002C5B48"/>
    <w:rsid w:val="002C6B65"/>
    <w:rsid w:val="002C6BAB"/>
    <w:rsid w:val="002C7695"/>
    <w:rsid w:val="002C7A1E"/>
    <w:rsid w:val="002D02A7"/>
    <w:rsid w:val="002D0B5E"/>
    <w:rsid w:val="002D0C2B"/>
    <w:rsid w:val="002D0FA2"/>
    <w:rsid w:val="002D16AD"/>
    <w:rsid w:val="002D1EB5"/>
    <w:rsid w:val="002D30E5"/>
    <w:rsid w:val="002D4366"/>
    <w:rsid w:val="002D59BD"/>
    <w:rsid w:val="002D73C2"/>
    <w:rsid w:val="002E06E6"/>
    <w:rsid w:val="002E0E57"/>
    <w:rsid w:val="002E0F4A"/>
    <w:rsid w:val="002E101C"/>
    <w:rsid w:val="002E1CD9"/>
    <w:rsid w:val="002E1EA7"/>
    <w:rsid w:val="002E20A0"/>
    <w:rsid w:val="002E2951"/>
    <w:rsid w:val="002E2B93"/>
    <w:rsid w:val="002E2FB2"/>
    <w:rsid w:val="002E33EA"/>
    <w:rsid w:val="002E41C6"/>
    <w:rsid w:val="002E4747"/>
    <w:rsid w:val="002E565A"/>
    <w:rsid w:val="002E57CA"/>
    <w:rsid w:val="002E6087"/>
    <w:rsid w:val="002E6956"/>
    <w:rsid w:val="002E69D0"/>
    <w:rsid w:val="002E7E92"/>
    <w:rsid w:val="002F00CC"/>
    <w:rsid w:val="002F06CD"/>
    <w:rsid w:val="002F1B3F"/>
    <w:rsid w:val="002F1B72"/>
    <w:rsid w:val="002F1F29"/>
    <w:rsid w:val="002F2321"/>
    <w:rsid w:val="002F2F03"/>
    <w:rsid w:val="002F3041"/>
    <w:rsid w:val="002F3B87"/>
    <w:rsid w:val="002F426F"/>
    <w:rsid w:val="002F4462"/>
    <w:rsid w:val="002F47BD"/>
    <w:rsid w:val="002F548C"/>
    <w:rsid w:val="002F56C0"/>
    <w:rsid w:val="002F5B5B"/>
    <w:rsid w:val="002F7090"/>
    <w:rsid w:val="002F786E"/>
    <w:rsid w:val="003008E2"/>
    <w:rsid w:val="00300B6C"/>
    <w:rsid w:val="00300F56"/>
    <w:rsid w:val="00301104"/>
    <w:rsid w:val="003012CD"/>
    <w:rsid w:val="0030155A"/>
    <w:rsid w:val="003049A2"/>
    <w:rsid w:val="00305EEB"/>
    <w:rsid w:val="00305FE0"/>
    <w:rsid w:val="0030727D"/>
    <w:rsid w:val="003075D8"/>
    <w:rsid w:val="003079CA"/>
    <w:rsid w:val="003103D0"/>
    <w:rsid w:val="00311F9F"/>
    <w:rsid w:val="0031230B"/>
    <w:rsid w:val="00313C9B"/>
    <w:rsid w:val="0031403D"/>
    <w:rsid w:val="0031417B"/>
    <w:rsid w:val="0031486C"/>
    <w:rsid w:val="00314AB3"/>
    <w:rsid w:val="00314EDF"/>
    <w:rsid w:val="00314F5F"/>
    <w:rsid w:val="00315BD3"/>
    <w:rsid w:val="00315E41"/>
    <w:rsid w:val="00315F25"/>
    <w:rsid w:val="003167BE"/>
    <w:rsid w:val="003167C2"/>
    <w:rsid w:val="00317170"/>
    <w:rsid w:val="003177CE"/>
    <w:rsid w:val="00317DC9"/>
    <w:rsid w:val="0032083B"/>
    <w:rsid w:val="0032088E"/>
    <w:rsid w:val="00321720"/>
    <w:rsid w:val="0032215F"/>
    <w:rsid w:val="003224C0"/>
    <w:rsid w:val="00322633"/>
    <w:rsid w:val="00322D01"/>
    <w:rsid w:val="00322F9E"/>
    <w:rsid w:val="003231D7"/>
    <w:rsid w:val="00323278"/>
    <w:rsid w:val="0032343C"/>
    <w:rsid w:val="00323AD1"/>
    <w:rsid w:val="00323F55"/>
    <w:rsid w:val="003240B1"/>
    <w:rsid w:val="0032482A"/>
    <w:rsid w:val="00324CB8"/>
    <w:rsid w:val="00325607"/>
    <w:rsid w:val="003272D6"/>
    <w:rsid w:val="00327E91"/>
    <w:rsid w:val="003305EC"/>
    <w:rsid w:val="0033221D"/>
    <w:rsid w:val="0033229A"/>
    <w:rsid w:val="00334084"/>
    <w:rsid w:val="003343A2"/>
    <w:rsid w:val="00334773"/>
    <w:rsid w:val="00334F45"/>
    <w:rsid w:val="0033555B"/>
    <w:rsid w:val="00335DDB"/>
    <w:rsid w:val="003363AD"/>
    <w:rsid w:val="00336AE5"/>
    <w:rsid w:val="0033717F"/>
    <w:rsid w:val="00337838"/>
    <w:rsid w:val="00340376"/>
    <w:rsid w:val="00340A60"/>
    <w:rsid w:val="003411C7"/>
    <w:rsid w:val="00342355"/>
    <w:rsid w:val="00343833"/>
    <w:rsid w:val="00343BB8"/>
    <w:rsid w:val="00343E0C"/>
    <w:rsid w:val="0034471F"/>
    <w:rsid w:val="003452D3"/>
    <w:rsid w:val="00345369"/>
    <w:rsid w:val="0034572F"/>
    <w:rsid w:val="00345BDC"/>
    <w:rsid w:val="00345BF9"/>
    <w:rsid w:val="00347D6A"/>
    <w:rsid w:val="00351E11"/>
    <w:rsid w:val="003521E1"/>
    <w:rsid w:val="0035259A"/>
    <w:rsid w:val="00352904"/>
    <w:rsid w:val="00352E3E"/>
    <w:rsid w:val="003546EA"/>
    <w:rsid w:val="003560C6"/>
    <w:rsid w:val="003561CE"/>
    <w:rsid w:val="00356383"/>
    <w:rsid w:val="00356A62"/>
    <w:rsid w:val="00356B29"/>
    <w:rsid w:val="00356EBD"/>
    <w:rsid w:val="00357603"/>
    <w:rsid w:val="00357660"/>
    <w:rsid w:val="003577CE"/>
    <w:rsid w:val="00357DFC"/>
    <w:rsid w:val="003608AE"/>
    <w:rsid w:val="00361040"/>
    <w:rsid w:val="003610DF"/>
    <w:rsid w:val="0036160A"/>
    <w:rsid w:val="00361FA0"/>
    <w:rsid w:val="003641EE"/>
    <w:rsid w:val="00364C0F"/>
    <w:rsid w:val="00364F7C"/>
    <w:rsid w:val="00365172"/>
    <w:rsid w:val="0036673B"/>
    <w:rsid w:val="0036777A"/>
    <w:rsid w:val="00367FE9"/>
    <w:rsid w:val="00370359"/>
    <w:rsid w:val="003717EE"/>
    <w:rsid w:val="00373570"/>
    <w:rsid w:val="0037403D"/>
    <w:rsid w:val="00375958"/>
    <w:rsid w:val="003765F5"/>
    <w:rsid w:val="0037670C"/>
    <w:rsid w:val="003771B2"/>
    <w:rsid w:val="003774C7"/>
    <w:rsid w:val="003775EB"/>
    <w:rsid w:val="00377635"/>
    <w:rsid w:val="003779BB"/>
    <w:rsid w:val="00377DA4"/>
    <w:rsid w:val="00377EC5"/>
    <w:rsid w:val="00380250"/>
    <w:rsid w:val="00380E6E"/>
    <w:rsid w:val="0038227A"/>
    <w:rsid w:val="00383DBC"/>
    <w:rsid w:val="003841CD"/>
    <w:rsid w:val="0038432E"/>
    <w:rsid w:val="00385090"/>
    <w:rsid w:val="00385353"/>
    <w:rsid w:val="003854C2"/>
    <w:rsid w:val="00385716"/>
    <w:rsid w:val="0038659C"/>
    <w:rsid w:val="003867BB"/>
    <w:rsid w:val="00386CDC"/>
    <w:rsid w:val="00386D23"/>
    <w:rsid w:val="003874E1"/>
    <w:rsid w:val="003875BB"/>
    <w:rsid w:val="00390520"/>
    <w:rsid w:val="00390C42"/>
    <w:rsid w:val="003918CE"/>
    <w:rsid w:val="00391FA5"/>
    <w:rsid w:val="00392057"/>
    <w:rsid w:val="003928BB"/>
    <w:rsid w:val="00392A55"/>
    <w:rsid w:val="00393F2A"/>
    <w:rsid w:val="00394536"/>
    <w:rsid w:val="00394AE5"/>
    <w:rsid w:val="00394BC2"/>
    <w:rsid w:val="00394C36"/>
    <w:rsid w:val="00396000"/>
    <w:rsid w:val="003967A8"/>
    <w:rsid w:val="003A0295"/>
    <w:rsid w:val="003A1513"/>
    <w:rsid w:val="003A1B8B"/>
    <w:rsid w:val="003A1D94"/>
    <w:rsid w:val="003A1F81"/>
    <w:rsid w:val="003A1F88"/>
    <w:rsid w:val="003A2187"/>
    <w:rsid w:val="003A2F1F"/>
    <w:rsid w:val="003A344E"/>
    <w:rsid w:val="003A360A"/>
    <w:rsid w:val="003A3848"/>
    <w:rsid w:val="003A3968"/>
    <w:rsid w:val="003A3D15"/>
    <w:rsid w:val="003A3D7E"/>
    <w:rsid w:val="003A439C"/>
    <w:rsid w:val="003A46BF"/>
    <w:rsid w:val="003A5588"/>
    <w:rsid w:val="003A5D20"/>
    <w:rsid w:val="003A65F2"/>
    <w:rsid w:val="003A69E5"/>
    <w:rsid w:val="003A71F6"/>
    <w:rsid w:val="003B24C5"/>
    <w:rsid w:val="003B2DF7"/>
    <w:rsid w:val="003B41F6"/>
    <w:rsid w:val="003B5357"/>
    <w:rsid w:val="003B548B"/>
    <w:rsid w:val="003B5EBE"/>
    <w:rsid w:val="003B665E"/>
    <w:rsid w:val="003B6862"/>
    <w:rsid w:val="003B7808"/>
    <w:rsid w:val="003B7B04"/>
    <w:rsid w:val="003C02DD"/>
    <w:rsid w:val="003C06E7"/>
    <w:rsid w:val="003C12DF"/>
    <w:rsid w:val="003C153D"/>
    <w:rsid w:val="003C1772"/>
    <w:rsid w:val="003C18CA"/>
    <w:rsid w:val="003C2A07"/>
    <w:rsid w:val="003C44B1"/>
    <w:rsid w:val="003C4FAA"/>
    <w:rsid w:val="003C632D"/>
    <w:rsid w:val="003C64B1"/>
    <w:rsid w:val="003C6EAC"/>
    <w:rsid w:val="003C6F19"/>
    <w:rsid w:val="003C70C2"/>
    <w:rsid w:val="003C716B"/>
    <w:rsid w:val="003C7C98"/>
    <w:rsid w:val="003D056E"/>
    <w:rsid w:val="003D06E7"/>
    <w:rsid w:val="003D1618"/>
    <w:rsid w:val="003D2040"/>
    <w:rsid w:val="003D2079"/>
    <w:rsid w:val="003D2B74"/>
    <w:rsid w:val="003D3C62"/>
    <w:rsid w:val="003D3CBD"/>
    <w:rsid w:val="003D58DF"/>
    <w:rsid w:val="003D636C"/>
    <w:rsid w:val="003D6D4B"/>
    <w:rsid w:val="003D773A"/>
    <w:rsid w:val="003D79B8"/>
    <w:rsid w:val="003E025D"/>
    <w:rsid w:val="003E0633"/>
    <w:rsid w:val="003E08A9"/>
    <w:rsid w:val="003E096A"/>
    <w:rsid w:val="003E0F04"/>
    <w:rsid w:val="003E125A"/>
    <w:rsid w:val="003E12BA"/>
    <w:rsid w:val="003E14A8"/>
    <w:rsid w:val="003E17FA"/>
    <w:rsid w:val="003E1A4E"/>
    <w:rsid w:val="003E29C9"/>
    <w:rsid w:val="003E3930"/>
    <w:rsid w:val="003E4394"/>
    <w:rsid w:val="003E43D4"/>
    <w:rsid w:val="003E4996"/>
    <w:rsid w:val="003E4B5B"/>
    <w:rsid w:val="003E4CDE"/>
    <w:rsid w:val="003E4DA6"/>
    <w:rsid w:val="003E4DB3"/>
    <w:rsid w:val="003E525A"/>
    <w:rsid w:val="003E5DB5"/>
    <w:rsid w:val="003E63FC"/>
    <w:rsid w:val="003E6AE9"/>
    <w:rsid w:val="003E6E43"/>
    <w:rsid w:val="003E6E50"/>
    <w:rsid w:val="003E71A3"/>
    <w:rsid w:val="003E7410"/>
    <w:rsid w:val="003E74AC"/>
    <w:rsid w:val="003E7A37"/>
    <w:rsid w:val="003E7F26"/>
    <w:rsid w:val="003E7F46"/>
    <w:rsid w:val="003F02A5"/>
    <w:rsid w:val="003F0B18"/>
    <w:rsid w:val="003F11A6"/>
    <w:rsid w:val="003F1E3E"/>
    <w:rsid w:val="003F23D6"/>
    <w:rsid w:val="003F3D1E"/>
    <w:rsid w:val="003F44D0"/>
    <w:rsid w:val="003F513B"/>
    <w:rsid w:val="003F52BF"/>
    <w:rsid w:val="003F5FB1"/>
    <w:rsid w:val="003F6029"/>
    <w:rsid w:val="003F616B"/>
    <w:rsid w:val="003F668A"/>
    <w:rsid w:val="003F6997"/>
    <w:rsid w:val="003F6A6B"/>
    <w:rsid w:val="003F7AC4"/>
    <w:rsid w:val="003F7E58"/>
    <w:rsid w:val="004000B8"/>
    <w:rsid w:val="0040077A"/>
    <w:rsid w:val="00400D27"/>
    <w:rsid w:val="00400D79"/>
    <w:rsid w:val="00401358"/>
    <w:rsid w:val="0040148D"/>
    <w:rsid w:val="00401ADD"/>
    <w:rsid w:val="00401BC9"/>
    <w:rsid w:val="00401E5E"/>
    <w:rsid w:val="00401E63"/>
    <w:rsid w:val="004020B4"/>
    <w:rsid w:val="00402C77"/>
    <w:rsid w:val="00402E3C"/>
    <w:rsid w:val="00403EE9"/>
    <w:rsid w:val="00404900"/>
    <w:rsid w:val="0040536B"/>
    <w:rsid w:val="00405E28"/>
    <w:rsid w:val="00406320"/>
    <w:rsid w:val="00407295"/>
    <w:rsid w:val="0041036D"/>
    <w:rsid w:val="004106E7"/>
    <w:rsid w:val="00410C2F"/>
    <w:rsid w:val="00410E21"/>
    <w:rsid w:val="00410F02"/>
    <w:rsid w:val="00411AD0"/>
    <w:rsid w:val="00411F33"/>
    <w:rsid w:val="004137CD"/>
    <w:rsid w:val="0041390B"/>
    <w:rsid w:val="00414134"/>
    <w:rsid w:val="0041484A"/>
    <w:rsid w:val="00414FB1"/>
    <w:rsid w:val="0041506A"/>
    <w:rsid w:val="0041622D"/>
    <w:rsid w:val="00417C11"/>
    <w:rsid w:val="00420575"/>
    <w:rsid w:val="0042072D"/>
    <w:rsid w:val="00421289"/>
    <w:rsid w:val="00422171"/>
    <w:rsid w:val="00423916"/>
    <w:rsid w:val="00424503"/>
    <w:rsid w:val="00425593"/>
    <w:rsid w:val="00425791"/>
    <w:rsid w:val="00425793"/>
    <w:rsid w:val="00425A35"/>
    <w:rsid w:val="004261DC"/>
    <w:rsid w:val="004261F7"/>
    <w:rsid w:val="00426303"/>
    <w:rsid w:val="004269D5"/>
    <w:rsid w:val="00427539"/>
    <w:rsid w:val="00430D64"/>
    <w:rsid w:val="004314FD"/>
    <w:rsid w:val="004315A4"/>
    <w:rsid w:val="0043225A"/>
    <w:rsid w:val="0043241D"/>
    <w:rsid w:val="004325ED"/>
    <w:rsid w:val="00432616"/>
    <w:rsid w:val="004339FB"/>
    <w:rsid w:val="00433F0C"/>
    <w:rsid w:val="00435A01"/>
    <w:rsid w:val="00435F5A"/>
    <w:rsid w:val="00435F74"/>
    <w:rsid w:val="004368B3"/>
    <w:rsid w:val="00436971"/>
    <w:rsid w:val="00440123"/>
    <w:rsid w:val="004409A3"/>
    <w:rsid w:val="00440FBE"/>
    <w:rsid w:val="00442662"/>
    <w:rsid w:val="004430E4"/>
    <w:rsid w:val="004431EB"/>
    <w:rsid w:val="0044332A"/>
    <w:rsid w:val="0044415B"/>
    <w:rsid w:val="0044429E"/>
    <w:rsid w:val="00444A78"/>
    <w:rsid w:val="00445FD7"/>
    <w:rsid w:val="00446530"/>
    <w:rsid w:val="00446694"/>
    <w:rsid w:val="00446CAF"/>
    <w:rsid w:val="00447196"/>
    <w:rsid w:val="004476EE"/>
    <w:rsid w:val="004478FD"/>
    <w:rsid w:val="004501F9"/>
    <w:rsid w:val="00450556"/>
    <w:rsid w:val="00451004"/>
    <w:rsid w:val="00451793"/>
    <w:rsid w:val="004517D9"/>
    <w:rsid w:val="00451BB7"/>
    <w:rsid w:val="0045382C"/>
    <w:rsid w:val="00454536"/>
    <w:rsid w:val="00454A5B"/>
    <w:rsid w:val="0045552E"/>
    <w:rsid w:val="004557C9"/>
    <w:rsid w:val="004566A5"/>
    <w:rsid w:val="00456B7B"/>
    <w:rsid w:val="00456CAC"/>
    <w:rsid w:val="004570BF"/>
    <w:rsid w:val="00457373"/>
    <w:rsid w:val="004622A3"/>
    <w:rsid w:val="00462BA2"/>
    <w:rsid w:val="004655B9"/>
    <w:rsid w:val="00465E5F"/>
    <w:rsid w:val="00466260"/>
    <w:rsid w:val="0046678D"/>
    <w:rsid w:val="00467614"/>
    <w:rsid w:val="00470177"/>
    <w:rsid w:val="004707EF"/>
    <w:rsid w:val="004714D3"/>
    <w:rsid w:val="00471CB3"/>
    <w:rsid w:val="00472688"/>
    <w:rsid w:val="004736C9"/>
    <w:rsid w:val="004745E2"/>
    <w:rsid w:val="00474778"/>
    <w:rsid w:val="004761E3"/>
    <w:rsid w:val="004768C3"/>
    <w:rsid w:val="00477343"/>
    <w:rsid w:val="00477582"/>
    <w:rsid w:val="00477D96"/>
    <w:rsid w:val="00480C43"/>
    <w:rsid w:val="004821CC"/>
    <w:rsid w:val="0048366C"/>
    <w:rsid w:val="004836E7"/>
    <w:rsid w:val="00483D88"/>
    <w:rsid w:val="004847BE"/>
    <w:rsid w:val="0048512B"/>
    <w:rsid w:val="004852D8"/>
    <w:rsid w:val="00485944"/>
    <w:rsid w:val="0048600F"/>
    <w:rsid w:val="004860A2"/>
    <w:rsid w:val="00487CEA"/>
    <w:rsid w:val="00491A0F"/>
    <w:rsid w:val="0049214D"/>
    <w:rsid w:val="004923AA"/>
    <w:rsid w:val="00493930"/>
    <w:rsid w:val="004947AA"/>
    <w:rsid w:val="00495A0F"/>
    <w:rsid w:val="00495F81"/>
    <w:rsid w:val="0049682D"/>
    <w:rsid w:val="004969AA"/>
    <w:rsid w:val="00496FDC"/>
    <w:rsid w:val="00497D1F"/>
    <w:rsid w:val="00497D47"/>
    <w:rsid w:val="00497DAF"/>
    <w:rsid w:val="004A082D"/>
    <w:rsid w:val="004A08DE"/>
    <w:rsid w:val="004A0AD5"/>
    <w:rsid w:val="004A0BCE"/>
    <w:rsid w:val="004A0C3E"/>
    <w:rsid w:val="004A0C63"/>
    <w:rsid w:val="004A0D9C"/>
    <w:rsid w:val="004A0DDD"/>
    <w:rsid w:val="004A1917"/>
    <w:rsid w:val="004A2BDD"/>
    <w:rsid w:val="004A3B69"/>
    <w:rsid w:val="004A4377"/>
    <w:rsid w:val="004A4A04"/>
    <w:rsid w:val="004A4A08"/>
    <w:rsid w:val="004A5116"/>
    <w:rsid w:val="004A589C"/>
    <w:rsid w:val="004A69D8"/>
    <w:rsid w:val="004A7854"/>
    <w:rsid w:val="004A79CB"/>
    <w:rsid w:val="004A7D12"/>
    <w:rsid w:val="004B0384"/>
    <w:rsid w:val="004B08EE"/>
    <w:rsid w:val="004B0A71"/>
    <w:rsid w:val="004B1C2F"/>
    <w:rsid w:val="004B1DC7"/>
    <w:rsid w:val="004B2369"/>
    <w:rsid w:val="004B2752"/>
    <w:rsid w:val="004B3CBC"/>
    <w:rsid w:val="004B569F"/>
    <w:rsid w:val="004B577E"/>
    <w:rsid w:val="004B5D5D"/>
    <w:rsid w:val="004B6B93"/>
    <w:rsid w:val="004B78E8"/>
    <w:rsid w:val="004B7B6A"/>
    <w:rsid w:val="004B7C8F"/>
    <w:rsid w:val="004B7D6C"/>
    <w:rsid w:val="004C0446"/>
    <w:rsid w:val="004C15B7"/>
    <w:rsid w:val="004C1BB7"/>
    <w:rsid w:val="004C1E37"/>
    <w:rsid w:val="004C2613"/>
    <w:rsid w:val="004C4131"/>
    <w:rsid w:val="004C419E"/>
    <w:rsid w:val="004C4322"/>
    <w:rsid w:val="004C4E6A"/>
    <w:rsid w:val="004C5669"/>
    <w:rsid w:val="004C58A6"/>
    <w:rsid w:val="004C6336"/>
    <w:rsid w:val="004C6699"/>
    <w:rsid w:val="004C672D"/>
    <w:rsid w:val="004C69A3"/>
    <w:rsid w:val="004C6B04"/>
    <w:rsid w:val="004C75B8"/>
    <w:rsid w:val="004C7A61"/>
    <w:rsid w:val="004C7DAD"/>
    <w:rsid w:val="004D1976"/>
    <w:rsid w:val="004D1A0C"/>
    <w:rsid w:val="004D1B64"/>
    <w:rsid w:val="004D2295"/>
    <w:rsid w:val="004D236F"/>
    <w:rsid w:val="004D2B1C"/>
    <w:rsid w:val="004D3AD2"/>
    <w:rsid w:val="004D3B34"/>
    <w:rsid w:val="004D3FEE"/>
    <w:rsid w:val="004D4208"/>
    <w:rsid w:val="004D47A2"/>
    <w:rsid w:val="004D52F3"/>
    <w:rsid w:val="004D55C3"/>
    <w:rsid w:val="004D6B0B"/>
    <w:rsid w:val="004E00DA"/>
    <w:rsid w:val="004E038A"/>
    <w:rsid w:val="004E0466"/>
    <w:rsid w:val="004E19F5"/>
    <w:rsid w:val="004E201E"/>
    <w:rsid w:val="004E2798"/>
    <w:rsid w:val="004E2D6E"/>
    <w:rsid w:val="004E3326"/>
    <w:rsid w:val="004E4FA7"/>
    <w:rsid w:val="004E511B"/>
    <w:rsid w:val="004E5361"/>
    <w:rsid w:val="004E563C"/>
    <w:rsid w:val="004E600D"/>
    <w:rsid w:val="004E61DE"/>
    <w:rsid w:val="004E649B"/>
    <w:rsid w:val="004E676C"/>
    <w:rsid w:val="004E6C8A"/>
    <w:rsid w:val="004E6F95"/>
    <w:rsid w:val="004E6FEE"/>
    <w:rsid w:val="004E7892"/>
    <w:rsid w:val="004E7B59"/>
    <w:rsid w:val="004E7BA4"/>
    <w:rsid w:val="004E7CFD"/>
    <w:rsid w:val="004F0776"/>
    <w:rsid w:val="004F0837"/>
    <w:rsid w:val="004F0EC4"/>
    <w:rsid w:val="004F0ECD"/>
    <w:rsid w:val="004F12CF"/>
    <w:rsid w:val="004F182B"/>
    <w:rsid w:val="004F273A"/>
    <w:rsid w:val="004F2981"/>
    <w:rsid w:val="004F2AC8"/>
    <w:rsid w:val="004F32E1"/>
    <w:rsid w:val="004F3498"/>
    <w:rsid w:val="004F3557"/>
    <w:rsid w:val="004F3719"/>
    <w:rsid w:val="004F3A9D"/>
    <w:rsid w:val="004F3FE3"/>
    <w:rsid w:val="004F6700"/>
    <w:rsid w:val="004F6F3C"/>
    <w:rsid w:val="004F7259"/>
    <w:rsid w:val="004F7588"/>
    <w:rsid w:val="0050025B"/>
    <w:rsid w:val="00500388"/>
    <w:rsid w:val="005017CF"/>
    <w:rsid w:val="00502EFB"/>
    <w:rsid w:val="005041C6"/>
    <w:rsid w:val="0050451E"/>
    <w:rsid w:val="0050528D"/>
    <w:rsid w:val="00505AE6"/>
    <w:rsid w:val="00505FF6"/>
    <w:rsid w:val="00506178"/>
    <w:rsid w:val="0050631E"/>
    <w:rsid w:val="00506851"/>
    <w:rsid w:val="00507171"/>
    <w:rsid w:val="00507ED1"/>
    <w:rsid w:val="0051016C"/>
    <w:rsid w:val="00510668"/>
    <w:rsid w:val="00510BDB"/>
    <w:rsid w:val="005112FE"/>
    <w:rsid w:val="0051133C"/>
    <w:rsid w:val="00512023"/>
    <w:rsid w:val="005122FF"/>
    <w:rsid w:val="00512550"/>
    <w:rsid w:val="00512E40"/>
    <w:rsid w:val="0051392F"/>
    <w:rsid w:val="005143E9"/>
    <w:rsid w:val="0051449F"/>
    <w:rsid w:val="00514FD0"/>
    <w:rsid w:val="00516814"/>
    <w:rsid w:val="005170C3"/>
    <w:rsid w:val="00517760"/>
    <w:rsid w:val="00517BA3"/>
    <w:rsid w:val="00520A96"/>
    <w:rsid w:val="005210EA"/>
    <w:rsid w:val="00522168"/>
    <w:rsid w:val="005221A8"/>
    <w:rsid w:val="005226B1"/>
    <w:rsid w:val="00522D06"/>
    <w:rsid w:val="005232A2"/>
    <w:rsid w:val="00523B75"/>
    <w:rsid w:val="00525A75"/>
    <w:rsid w:val="00525D07"/>
    <w:rsid w:val="00526966"/>
    <w:rsid w:val="0053006C"/>
    <w:rsid w:val="005305A8"/>
    <w:rsid w:val="00531D76"/>
    <w:rsid w:val="00531E93"/>
    <w:rsid w:val="005322AC"/>
    <w:rsid w:val="0053361D"/>
    <w:rsid w:val="005339C1"/>
    <w:rsid w:val="00533DC6"/>
    <w:rsid w:val="00533F57"/>
    <w:rsid w:val="005341E1"/>
    <w:rsid w:val="005349DC"/>
    <w:rsid w:val="00535225"/>
    <w:rsid w:val="00535353"/>
    <w:rsid w:val="00535438"/>
    <w:rsid w:val="00535783"/>
    <w:rsid w:val="00535EDD"/>
    <w:rsid w:val="005360B7"/>
    <w:rsid w:val="00537870"/>
    <w:rsid w:val="00540343"/>
    <w:rsid w:val="00541403"/>
    <w:rsid w:val="00541B3F"/>
    <w:rsid w:val="005421B1"/>
    <w:rsid w:val="0054230B"/>
    <w:rsid w:val="005426F0"/>
    <w:rsid w:val="0054329D"/>
    <w:rsid w:val="005435F4"/>
    <w:rsid w:val="00543E19"/>
    <w:rsid w:val="00544322"/>
    <w:rsid w:val="005443A2"/>
    <w:rsid w:val="0054518F"/>
    <w:rsid w:val="00545DCE"/>
    <w:rsid w:val="00546521"/>
    <w:rsid w:val="005469BD"/>
    <w:rsid w:val="005474C2"/>
    <w:rsid w:val="00547E0A"/>
    <w:rsid w:val="00547E63"/>
    <w:rsid w:val="005509D8"/>
    <w:rsid w:val="00550A89"/>
    <w:rsid w:val="00550F46"/>
    <w:rsid w:val="0055107F"/>
    <w:rsid w:val="005515D4"/>
    <w:rsid w:val="005526AD"/>
    <w:rsid w:val="0055297F"/>
    <w:rsid w:val="00552AA4"/>
    <w:rsid w:val="005531A2"/>
    <w:rsid w:val="0055368D"/>
    <w:rsid w:val="00553B68"/>
    <w:rsid w:val="00554630"/>
    <w:rsid w:val="00554C61"/>
    <w:rsid w:val="00555EB1"/>
    <w:rsid w:val="005560B2"/>
    <w:rsid w:val="00556E30"/>
    <w:rsid w:val="005573FB"/>
    <w:rsid w:val="00557804"/>
    <w:rsid w:val="0055781B"/>
    <w:rsid w:val="00560482"/>
    <w:rsid w:val="00560513"/>
    <w:rsid w:val="005614CF"/>
    <w:rsid w:val="0056278A"/>
    <w:rsid w:val="00562CF9"/>
    <w:rsid w:val="00563243"/>
    <w:rsid w:val="00564E9B"/>
    <w:rsid w:val="005652D0"/>
    <w:rsid w:val="005654C4"/>
    <w:rsid w:val="00566F02"/>
    <w:rsid w:val="00567B1C"/>
    <w:rsid w:val="00567DBF"/>
    <w:rsid w:val="00567EC9"/>
    <w:rsid w:val="0057083F"/>
    <w:rsid w:val="00570A52"/>
    <w:rsid w:val="00571A4D"/>
    <w:rsid w:val="00572E89"/>
    <w:rsid w:val="00572F8F"/>
    <w:rsid w:val="005733A6"/>
    <w:rsid w:val="00575142"/>
    <w:rsid w:val="00575B8C"/>
    <w:rsid w:val="00576B04"/>
    <w:rsid w:val="00576D16"/>
    <w:rsid w:val="00576D73"/>
    <w:rsid w:val="00577617"/>
    <w:rsid w:val="00577636"/>
    <w:rsid w:val="005802F4"/>
    <w:rsid w:val="00580AA4"/>
    <w:rsid w:val="0058199D"/>
    <w:rsid w:val="00581D36"/>
    <w:rsid w:val="005827A2"/>
    <w:rsid w:val="00583897"/>
    <w:rsid w:val="00583D2D"/>
    <w:rsid w:val="00584BC1"/>
    <w:rsid w:val="00585B56"/>
    <w:rsid w:val="00586608"/>
    <w:rsid w:val="00586908"/>
    <w:rsid w:val="0058760D"/>
    <w:rsid w:val="005902D7"/>
    <w:rsid w:val="00590771"/>
    <w:rsid w:val="005914E5"/>
    <w:rsid w:val="00591635"/>
    <w:rsid w:val="00591A3E"/>
    <w:rsid w:val="00592237"/>
    <w:rsid w:val="00592CCC"/>
    <w:rsid w:val="00592F30"/>
    <w:rsid w:val="00593054"/>
    <w:rsid w:val="005930FD"/>
    <w:rsid w:val="00593453"/>
    <w:rsid w:val="0059379B"/>
    <w:rsid w:val="00594A95"/>
    <w:rsid w:val="00594E8F"/>
    <w:rsid w:val="0059513F"/>
    <w:rsid w:val="00595229"/>
    <w:rsid w:val="00595685"/>
    <w:rsid w:val="00595F4A"/>
    <w:rsid w:val="0059757A"/>
    <w:rsid w:val="00597A1D"/>
    <w:rsid w:val="005A02AB"/>
    <w:rsid w:val="005A0423"/>
    <w:rsid w:val="005A0D56"/>
    <w:rsid w:val="005A1BF9"/>
    <w:rsid w:val="005A1F31"/>
    <w:rsid w:val="005A205B"/>
    <w:rsid w:val="005A2667"/>
    <w:rsid w:val="005A2763"/>
    <w:rsid w:val="005A2858"/>
    <w:rsid w:val="005A2BC4"/>
    <w:rsid w:val="005A3368"/>
    <w:rsid w:val="005A37A5"/>
    <w:rsid w:val="005A4E0E"/>
    <w:rsid w:val="005A5F8E"/>
    <w:rsid w:val="005A6239"/>
    <w:rsid w:val="005A6408"/>
    <w:rsid w:val="005A6FCF"/>
    <w:rsid w:val="005B06FC"/>
    <w:rsid w:val="005B1CCB"/>
    <w:rsid w:val="005B2202"/>
    <w:rsid w:val="005B2802"/>
    <w:rsid w:val="005B2AF7"/>
    <w:rsid w:val="005B48F1"/>
    <w:rsid w:val="005B54DA"/>
    <w:rsid w:val="005B5B19"/>
    <w:rsid w:val="005B5B98"/>
    <w:rsid w:val="005B72B0"/>
    <w:rsid w:val="005B7F0A"/>
    <w:rsid w:val="005C0561"/>
    <w:rsid w:val="005C0B2C"/>
    <w:rsid w:val="005C11B5"/>
    <w:rsid w:val="005C1290"/>
    <w:rsid w:val="005C158C"/>
    <w:rsid w:val="005C170D"/>
    <w:rsid w:val="005C174E"/>
    <w:rsid w:val="005C1DA6"/>
    <w:rsid w:val="005C27C9"/>
    <w:rsid w:val="005C2804"/>
    <w:rsid w:val="005C349E"/>
    <w:rsid w:val="005C4684"/>
    <w:rsid w:val="005C47DB"/>
    <w:rsid w:val="005C492B"/>
    <w:rsid w:val="005C55B3"/>
    <w:rsid w:val="005C5D39"/>
    <w:rsid w:val="005C61CA"/>
    <w:rsid w:val="005C621F"/>
    <w:rsid w:val="005C6449"/>
    <w:rsid w:val="005C6C38"/>
    <w:rsid w:val="005C6D9A"/>
    <w:rsid w:val="005C6FC6"/>
    <w:rsid w:val="005D0E7F"/>
    <w:rsid w:val="005D17F4"/>
    <w:rsid w:val="005D28A2"/>
    <w:rsid w:val="005D28DB"/>
    <w:rsid w:val="005D2B60"/>
    <w:rsid w:val="005D2B65"/>
    <w:rsid w:val="005D36FF"/>
    <w:rsid w:val="005D3C08"/>
    <w:rsid w:val="005D4B1D"/>
    <w:rsid w:val="005D4F32"/>
    <w:rsid w:val="005D593B"/>
    <w:rsid w:val="005D5C01"/>
    <w:rsid w:val="005D601A"/>
    <w:rsid w:val="005D798F"/>
    <w:rsid w:val="005D7B01"/>
    <w:rsid w:val="005E013C"/>
    <w:rsid w:val="005E21EE"/>
    <w:rsid w:val="005E233A"/>
    <w:rsid w:val="005E2682"/>
    <w:rsid w:val="005E2A9D"/>
    <w:rsid w:val="005E2BD4"/>
    <w:rsid w:val="005E2D6E"/>
    <w:rsid w:val="005E2F94"/>
    <w:rsid w:val="005E3167"/>
    <w:rsid w:val="005E319A"/>
    <w:rsid w:val="005E34C3"/>
    <w:rsid w:val="005E3DCC"/>
    <w:rsid w:val="005E3EB0"/>
    <w:rsid w:val="005E4434"/>
    <w:rsid w:val="005E5E19"/>
    <w:rsid w:val="005E6653"/>
    <w:rsid w:val="005E68C5"/>
    <w:rsid w:val="005E699E"/>
    <w:rsid w:val="005E7438"/>
    <w:rsid w:val="005E7B58"/>
    <w:rsid w:val="005F110D"/>
    <w:rsid w:val="005F1418"/>
    <w:rsid w:val="005F29E0"/>
    <w:rsid w:val="005F33F5"/>
    <w:rsid w:val="005F3839"/>
    <w:rsid w:val="005F3866"/>
    <w:rsid w:val="005F404C"/>
    <w:rsid w:val="005F4E10"/>
    <w:rsid w:val="005F5060"/>
    <w:rsid w:val="005F5120"/>
    <w:rsid w:val="005F53BC"/>
    <w:rsid w:val="005F5B80"/>
    <w:rsid w:val="005F654D"/>
    <w:rsid w:val="005F678B"/>
    <w:rsid w:val="005F6805"/>
    <w:rsid w:val="005F7BCB"/>
    <w:rsid w:val="00600B64"/>
    <w:rsid w:val="00600B7A"/>
    <w:rsid w:val="00601641"/>
    <w:rsid w:val="00601934"/>
    <w:rsid w:val="00601E4F"/>
    <w:rsid w:val="00601FD2"/>
    <w:rsid w:val="00602CF9"/>
    <w:rsid w:val="00602DFA"/>
    <w:rsid w:val="006032AF"/>
    <w:rsid w:val="00603389"/>
    <w:rsid w:val="00603885"/>
    <w:rsid w:val="00604686"/>
    <w:rsid w:val="0060509C"/>
    <w:rsid w:val="006052FC"/>
    <w:rsid w:val="0060548E"/>
    <w:rsid w:val="006063A8"/>
    <w:rsid w:val="006071FF"/>
    <w:rsid w:val="00607D00"/>
    <w:rsid w:val="006108E5"/>
    <w:rsid w:val="00610EAD"/>
    <w:rsid w:val="00612226"/>
    <w:rsid w:val="006123FA"/>
    <w:rsid w:val="0061304D"/>
    <w:rsid w:val="006137A0"/>
    <w:rsid w:val="00613DC4"/>
    <w:rsid w:val="00613E92"/>
    <w:rsid w:val="006143C1"/>
    <w:rsid w:val="00614F2D"/>
    <w:rsid w:val="006153F3"/>
    <w:rsid w:val="00615856"/>
    <w:rsid w:val="00615ADE"/>
    <w:rsid w:val="006166BB"/>
    <w:rsid w:val="00616724"/>
    <w:rsid w:val="00617179"/>
    <w:rsid w:val="00617583"/>
    <w:rsid w:val="00620A5C"/>
    <w:rsid w:val="006222DA"/>
    <w:rsid w:val="00622573"/>
    <w:rsid w:val="00622B92"/>
    <w:rsid w:val="00624664"/>
    <w:rsid w:val="00624B4C"/>
    <w:rsid w:val="00624B9C"/>
    <w:rsid w:val="00624DF2"/>
    <w:rsid w:val="006252F3"/>
    <w:rsid w:val="00625D51"/>
    <w:rsid w:val="00626A44"/>
    <w:rsid w:val="00627698"/>
    <w:rsid w:val="00627A5F"/>
    <w:rsid w:val="00627BD3"/>
    <w:rsid w:val="0063078B"/>
    <w:rsid w:val="006311D3"/>
    <w:rsid w:val="00631443"/>
    <w:rsid w:val="00631544"/>
    <w:rsid w:val="0063227F"/>
    <w:rsid w:val="0063375F"/>
    <w:rsid w:val="006338D3"/>
    <w:rsid w:val="00633906"/>
    <w:rsid w:val="00633AD9"/>
    <w:rsid w:val="00633FEE"/>
    <w:rsid w:val="006355CB"/>
    <w:rsid w:val="006356FE"/>
    <w:rsid w:val="00635BDC"/>
    <w:rsid w:val="00635E50"/>
    <w:rsid w:val="0063619B"/>
    <w:rsid w:val="006362AE"/>
    <w:rsid w:val="0063704D"/>
    <w:rsid w:val="00637864"/>
    <w:rsid w:val="00637C79"/>
    <w:rsid w:val="00637F7C"/>
    <w:rsid w:val="006400A1"/>
    <w:rsid w:val="006400C2"/>
    <w:rsid w:val="00642499"/>
    <w:rsid w:val="00642EA1"/>
    <w:rsid w:val="0064308D"/>
    <w:rsid w:val="0064399A"/>
    <w:rsid w:val="00644029"/>
    <w:rsid w:val="00644E3D"/>
    <w:rsid w:val="00644FA9"/>
    <w:rsid w:val="00645D3A"/>
    <w:rsid w:val="00645FD4"/>
    <w:rsid w:val="0064643F"/>
    <w:rsid w:val="00646976"/>
    <w:rsid w:val="00646C69"/>
    <w:rsid w:val="00647067"/>
    <w:rsid w:val="00650875"/>
    <w:rsid w:val="00651511"/>
    <w:rsid w:val="00651D45"/>
    <w:rsid w:val="006520BC"/>
    <w:rsid w:val="00653491"/>
    <w:rsid w:val="00653D2D"/>
    <w:rsid w:val="006543AC"/>
    <w:rsid w:val="0065517C"/>
    <w:rsid w:val="00655B39"/>
    <w:rsid w:val="00655DC8"/>
    <w:rsid w:val="0065789C"/>
    <w:rsid w:val="00660BE6"/>
    <w:rsid w:val="00660E8A"/>
    <w:rsid w:val="00661A5E"/>
    <w:rsid w:val="00661B4C"/>
    <w:rsid w:val="00661FF8"/>
    <w:rsid w:val="00662387"/>
    <w:rsid w:val="006627B6"/>
    <w:rsid w:val="00662C29"/>
    <w:rsid w:val="00663009"/>
    <w:rsid w:val="006636F8"/>
    <w:rsid w:val="00663C59"/>
    <w:rsid w:val="00664054"/>
    <w:rsid w:val="00664429"/>
    <w:rsid w:val="00664693"/>
    <w:rsid w:val="00665933"/>
    <w:rsid w:val="00666071"/>
    <w:rsid w:val="00666240"/>
    <w:rsid w:val="00666368"/>
    <w:rsid w:val="0066653C"/>
    <w:rsid w:val="00666F94"/>
    <w:rsid w:val="00667216"/>
    <w:rsid w:val="00670265"/>
    <w:rsid w:val="00670B1A"/>
    <w:rsid w:val="00670C95"/>
    <w:rsid w:val="00670CC5"/>
    <w:rsid w:val="00670D33"/>
    <w:rsid w:val="00672A2A"/>
    <w:rsid w:val="00672B94"/>
    <w:rsid w:val="0067312A"/>
    <w:rsid w:val="0067376F"/>
    <w:rsid w:val="006739EB"/>
    <w:rsid w:val="00673E0B"/>
    <w:rsid w:val="006745E2"/>
    <w:rsid w:val="0067481F"/>
    <w:rsid w:val="00674DE8"/>
    <w:rsid w:val="00674EE2"/>
    <w:rsid w:val="00675999"/>
    <w:rsid w:val="00675B55"/>
    <w:rsid w:val="00675CD4"/>
    <w:rsid w:val="00676237"/>
    <w:rsid w:val="00676529"/>
    <w:rsid w:val="0067691E"/>
    <w:rsid w:val="00676D42"/>
    <w:rsid w:val="0067761B"/>
    <w:rsid w:val="00677C1B"/>
    <w:rsid w:val="006800BA"/>
    <w:rsid w:val="0068158C"/>
    <w:rsid w:val="0068198D"/>
    <w:rsid w:val="00681A2E"/>
    <w:rsid w:val="006820B6"/>
    <w:rsid w:val="0068215D"/>
    <w:rsid w:val="0068248B"/>
    <w:rsid w:val="00682880"/>
    <w:rsid w:val="00683229"/>
    <w:rsid w:val="006836D1"/>
    <w:rsid w:val="00683BEA"/>
    <w:rsid w:val="00684063"/>
    <w:rsid w:val="00684E4B"/>
    <w:rsid w:val="006854AF"/>
    <w:rsid w:val="006858D1"/>
    <w:rsid w:val="00685FA8"/>
    <w:rsid w:val="00687064"/>
    <w:rsid w:val="006874F4"/>
    <w:rsid w:val="00687606"/>
    <w:rsid w:val="00687B47"/>
    <w:rsid w:val="00687BED"/>
    <w:rsid w:val="006924C4"/>
    <w:rsid w:val="006929AB"/>
    <w:rsid w:val="00693043"/>
    <w:rsid w:val="0069350C"/>
    <w:rsid w:val="00693FCD"/>
    <w:rsid w:val="0069437F"/>
    <w:rsid w:val="00695E42"/>
    <w:rsid w:val="00697AD0"/>
    <w:rsid w:val="00697C64"/>
    <w:rsid w:val="006A00D3"/>
    <w:rsid w:val="006A019C"/>
    <w:rsid w:val="006A06F3"/>
    <w:rsid w:val="006A0835"/>
    <w:rsid w:val="006A139E"/>
    <w:rsid w:val="006A1844"/>
    <w:rsid w:val="006A1DC4"/>
    <w:rsid w:val="006A3EB0"/>
    <w:rsid w:val="006A44B6"/>
    <w:rsid w:val="006A4554"/>
    <w:rsid w:val="006A54C7"/>
    <w:rsid w:val="006A5B32"/>
    <w:rsid w:val="006A6307"/>
    <w:rsid w:val="006A6DB7"/>
    <w:rsid w:val="006A75B7"/>
    <w:rsid w:val="006B0356"/>
    <w:rsid w:val="006B08A7"/>
    <w:rsid w:val="006B09A1"/>
    <w:rsid w:val="006B10EA"/>
    <w:rsid w:val="006B143C"/>
    <w:rsid w:val="006B1B6B"/>
    <w:rsid w:val="006B2BD7"/>
    <w:rsid w:val="006B3456"/>
    <w:rsid w:val="006B4657"/>
    <w:rsid w:val="006B562C"/>
    <w:rsid w:val="006B57D8"/>
    <w:rsid w:val="006B5BD7"/>
    <w:rsid w:val="006B6437"/>
    <w:rsid w:val="006B7026"/>
    <w:rsid w:val="006B7B43"/>
    <w:rsid w:val="006C014C"/>
    <w:rsid w:val="006C0744"/>
    <w:rsid w:val="006C0789"/>
    <w:rsid w:val="006C0D7B"/>
    <w:rsid w:val="006C18FB"/>
    <w:rsid w:val="006C1AF9"/>
    <w:rsid w:val="006C2F01"/>
    <w:rsid w:val="006C3192"/>
    <w:rsid w:val="006C3298"/>
    <w:rsid w:val="006C35A8"/>
    <w:rsid w:val="006C397F"/>
    <w:rsid w:val="006C3B47"/>
    <w:rsid w:val="006C3C85"/>
    <w:rsid w:val="006C3C95"/>
    <w:rsid w:val="006C49C2"/>
    <w:rsid w:val="006C4BEB"/>
    <w:rsid w:val="006C4F58"/>
    <w:rsid w:val="006C519B"/>
    <w:rsid w:val="006C53B8"/>
    <w:rsid w:val="006C5CC4"/>
    <w:rsid w:val="006C6081"/>
    <w:rsid w:val="006C6266"/>
    <w:rsid w:val="006C6A74"/>
    <w:rsid w:val="006C79B6"/>
    <w:rsid w:val="006C7EE3"/>
    <w:rsid w:val="006D075D"/>
    <w:rsid w:val="006D0C27"/>
    <w:rsid w:val="006D1717"/>
    <w:rsid w:val="006D17E1"/>
    <w:rsid w:val="006D1A81"/>
    <w:rsid w:val="006D1DF5"/>
    <w:rsid w:val="006D23A6"/>
    <w:rsid w:val="006D2641"/>
    <w:rsid w:val="006D313B"/>
    <w:rsid w:val="006D397A"/>
    <w:rsid w:val="006D3AA2"/>
    <w:rsid w:val="006D4094"/>
    <w:rsid w:val="006D420D"/>
    <w:rsid w:val="006D4669"/>
    <w:rsid w:val="006D59B2"/>
    <w:rsid w:val="006D5B35"/>
    <w:rsid w:val="006D6534"/>
    <w:rsid w:val="006D6678"/>
    <w:rsid w:val="006D7F51"/>
    <w:rsid w:val="006E028E"/>
    <w:rsid w:val="006E0DBB"/>
    <w:rsid w:val="006E13C2"/>
    <w:rsid w:val="006E166C"/>
    <w:rsid w:val="006E235E"/>
    <w:rsid w:val="006E3D73"/>
    <w:rsid w:val="006E4C08"/>
    <w:rsid w:val="006E50AA"/>
    <w:rsid w:val="006E5507"/>
    <w:rsid w:val="006E5EDA"/>
    <w:rsid w:val="006E63C1"/>
    <w:rsid w:val="006E6545"/>
    <w:rsid w:val="006E7BB9"/>
    <w:rsid w:val="006F030F"/>
    <w:rsid w:val="006F077B"/>
    <w:rsid w:val="006F0884"/>
    <w:rsid w:val="006F09A0"/>
    <w:rsid w:val="006F1B81"/>
    <w:rsid w:val="006F2785"/>
    <w:rsid w:val="006F2971"/>
    <w:rsid w:val="006F2CF8"/>
    <w:rsid w:val="006F363B"/>
    <w:rsid w:val="006F3938"/>
    <w:rsid w:val="006F3BFD"/>
    <w:rsid w:val="006F4CB5"/>
    <w:rsid w:val="006F4E9E"/>
    <w:rsid w:val="006F629D"/>
    <w:rsid w:val="006F71AE"/>
    <w:rsid w:val="006F730C"/>
    <w:rsid w:val="00700577"/>
    <w:rsid w:val="00700760"/>
    <w:rsid w:val="007007E5"/>
    <w:rsid w:val="00700CD8"/>
    <w:rsid w:val="00700ECB"/>
    <w:rsid w:val="00702BCC"/>
    <w:rsid w:val="00703483"/>
    <w:rsid w:val="00703B79"/>
    <w:rsid w:val="00703CAE"/>
    <w:rsid w:val="00703D9A"/>
    <w:rsid w:val="00703FFD"/>
    <w:rsid w:val="00704E81"/>
    <w:rsid w:val="00705348"/>
    <w:rsid w:val="00705C95"/>
    <w:rsid w:val="0070711B"/>
    <w:rsid w:val="007072D7"/>
    <w:rsid w:val="00707D6B"/>
    <w:rsid w:val="00707EA1"/>
    <w:rsid w:val="0071045C"/>
    <w:rsid w:val="0071070C"/>
    <w:rsid w:val="0071111B"/>
    <w:rsid w:val="007121DA"/>
    <w:rsid w:val="00712273"/>
    <w:rsid w:val="007124AC"/>
    <w:rsid w:val="007125D4"/>
    <w:rsid w:val="00713750"/>
    <w:rsid w:val="007138EB"/>
    <w:rsid w:val="00713C69"/>
    <w:rsid w:val="007140BD"/>
    <w:rsid w:val="00714179"/>
    <w:rsid w:val="0071477F"/>
    <w:rsid w:val="00714E98"/>
    <w:rsid w:val="00715C00"/>
    <w:rsid w:val="00716C2E"/>
    <w:rsid w:val="00716C41"/>
    <w:rsid w:val="00716FEF"/>
    <w:rsid w:val="0071728E"/>
    <w:rsid w:val="007175D3"/>
    <w:rsid w:val="00720670"/>
    <w:rsid w:val="00720AE5"/>
    <w:rsid w:val="007218D4"/>
    <w:rsid w:val="007219C6"/>
    <w:rsid w:val="00722615"/>
    <w:rsid w:val="00722B44"/>
    <w:rsid w:val="0072332E"/>
    <w:rsid w:val="007236FF"/>
    <w:rsid w:val="007239BF"/>
    <w:rsid w:val="00724427"/>
    <w:rsid w:val="00724877"/>
    <w:rsid w:val="00724D66"/>
    <w:rsid w:val="00724FD3"/>
    <w:rsid w:val="00725C58"/>
    <w:rsid w:val="00725DC2"/>
    <w:rsid w:val="00726288"/>
    <w:rsid w:val="00726FD4"/>
    <w:rsid w:val="007270C0"/>
    <w:rsid w:val="007271A0"/>
    <w:rsid w:val="00727A5F"/>
    <w:rsid w:val="0073032A"/>
    <w:rsid w:val="00730F7F"/>
    <w:rsid w:val="0073200A"/>
    <w:rsid w:val="007328A5"/>
    <w:rsid w:val="00732CD6"/>
    <w:rsid w:val="007335C9"/>
    <w:rsid w:val="00734A22"/>
    <w:rsid w:val="00734ED1"/>
    <w:rsid w:val="00735053"/>
    <w:rsid w:val="00735263"/>
    <w:rsid w:val="00735BF3"/>
    <w:rsid w:val="00735D55"/>
    <w:rsid w:val="0073697B"/>
    <w:rsid w:val="00736E74"/>
    <w:rsid w:val="0073709B"/>
    <w:rsid w:val="007371E1"/>
    <w:rsid w:val="007400AE"/>
    <w:rsid w:val="00740130"/>
    <w:rsid w:val="0074062F"/>
    <w:rsid w:val="00740A13"/>
    <w:rsid w:val="00741C7D"/>
    <w:rsid w:val="00742AD6"/>
    <w:rsid w:val="007446A3"/>
    <w:rsid w:val="007448A0"/>
    <w:rsid w:val="00744A8C"/>
    <w:rsid w:val="00745646"/>
    <w:rsid w:val="007460C6"/>
    <w:rsid w:val="00746318"/>
    <w:rsid w:val="0074654F"/>
    <w:rsid w:val="00747433"/>
    <w:rsid w:val="00750358"/>
    <w:rsid w:val="00750A1E"/>
    <w:rsid w:val="00751284"/>
    <w:rsid w:val="007519EE"/>
    <w:rsid w:val="007519FA"/>
    <w:rsid w:val="007523E3"/>
    <w:rsid w:val="00752B85"/>
    <w:rsid w:val="0075378B"/>
    <w:rsid w:val="00753932"/>
    <w:rsid w:val="00753D15"/>
    <w:rsid w:val="00753D50"/>
    <w:rsid w:val="00755A65"/>
    <w:rsid w:val="007562D2"/>
    <w:rsid w:val="007569CF"/>
    <w:rsid w:val="00757283"/>
    <w:rsid w:val="00760072"/>
    <w:rsid w:val="00760169"/>
    <w:rsid w:val="0076019E"/>
    <w:rsid w:val="00761F6F"/>
    <w:rsid w:val="00762230"/>
    <w:rsid w:val="00762762"/>
    <w:rsid w:val="00762A4E"/>
    <w:rsid w:val="00765B85"/>
    <w:rsid w:val="00766E3E"/>
    <w:rsid w:val="00767482"/>
    <w:rsid w:val="00767814"/>
    <w:rsid w:val="0076790F"/>
    <w:rsid w:val="00767E8B"/>
    <w:rsid w:val="007728E9"/>
    <w:rsid w:val="00772AA6"/>
    <w:rsid w:val="00772C17"/>
    <w:rsid w:val="0077488A"/>
    <w:rsid w:val="00774D9A"/>
    <w:rsid w:val="0077714E"/>
    <w:rsid w:val="00780570"/>
    <w:rsid w:val="007808AA"/>
    <w:rsid w:val="00780F9C"/>
    <w:rsid w:val="007815C6"/>
    <w:rsid w:val="007817B8"/>
    <w:rsid w:val="007818CD"/>
    <w:rsid w:val="00782A67"/>
    <w:rsid w:val="00782B12"/>
    <w:rsid w:val="0078301B"/>
    <w:rsid w:val="0078313A"/>
    <w:rsid w:val="00783316"/>
    <w:rsid w:val="007837CA"/>
    <w:rsid w:val="00783F14"/>
    <w:rsid w:val="00784595"/>
    <w:rsid w:val="007871BF"/>
    <w:rsid w:val="007873BD"/>
    <w:rsid w:val="00787413"/>
    <w:rsid w:val="007874CC"/>
    <w:rsid w:val="00787D7A"/>
    <w:rsid w:val="00790738"/>
    <w:rsid w:val="00790CE3"/>
    <w:rsid w:val="007911BC"/>
    <w:rsid w:val="0079250A"/>
    <w:rsid w:val="007934C4"/>
    <w:rsid w:val="00794007"/>
    <w:rsid w:val="007961F6"/>
    <w:rsid w:val="007969BA"/>
    <w:rsid w:val="00796A1F"/>
    <w:rsid w:val="00797221"/>
    <w:rsid w:val="00797718"/>
    <w:rsid w:val="007A0009"/>
    <w:rsid w:val="007A02F5"/>
    <w:rsid w:val="007A2413"/>
    <w:rsid w:val="007A25D0"/>
    <w:rsid w:val="007A3338"/>
    <w:rsid w:val="007A45B1"/>
    <w:rsid w:val="007A4A34"/>
    <w:rsid w:val="007A51F3"/>
    <w:rsid w:val="007A60F1"/>
    <w:rsid w:val="007A659A"/>
    <w:rsid w:val="007A6E91"/>
    <w:rsid w:val="007A779F"/>
    <w:rsid w:val="007A78D9"/>
    <w:rsid w:val="007A7EE1"/>
    <w:rsid w:val="007B09AA"/>
    <w:rsid w:val="007B0CAD"/>
    <w:rsid w:val="007B0D2E"/>
    <w:rsid w:val="007B13A7"/>
    <w:rsid w:val="007B13C1"/>
    <w:rsid w:val="007B1DBE"/>
    <w:rsid w:val="007B1ED4"/>
    <w:rsid w:val="007B2022"/>
    <w:rsid w:val="007B24D3"/>
    <w:rsid w:val="007B352C"/>
    <w:rsid w:val="007B3915"/>
    <w:rsid w:val="007B3B6E"/>
    <w:rsid w:val="007B4101"/>
    <w:rsid w:val="007B423A"/>
    <w:rsid w:val="007B455F"/>
    <w:rsid w:val="007B468A"/>
    <w:rsid w:val="007B557A"/>
    <w:rsid w:val="007B5702"/>
    <w:rsid w:val="007B6553"/>
    <w:rsid w:val="007B78E5"/>
    <w:rsid w:val="007B7F43"/>
    <w:rsid w:val="007C006B"/>
    <w:rsid w:val="007C0A18"/>
    <w:rsid w:val="007C0E55"/>
    <w:rsid w:val="007C167E"/>
    <w:rsid w:val="007C1A55"/>
    <w:rsid w:val="007C1C24"/>
    <w:rsid w:val="007C1DA2"/>
    <w:rsid w:val="007C2176"/>
    <w:rsid w:val="007C3B5B"/>
    <w:rsid w:val="007C3B6D"/>
    <w:rsid w:val="007C3C9D"/>
    <w:rsid w:val="007C3CC0"/>
    <w:rsid w:val="007C3DAE"/>
    <w:rsid w:val="007C4158"/>
    <w:rsid w:val="007C4810"/>
    <w:rsid w:val="007C634F"/>
    <w:rsid w:val="007C6547"/>
    <w:rsid w:val="007C6AB1"/>
    <w:rsid w:val="007C6D28"/>
    <w:rsid w:val="007C70AB"/>
    <w:rsid w:val="007D0682"/>
    <w:rsid w:val="007D0945"/>
    <w:rsid w:val="007D131C"/>
    <w:rsid w:val="007D169B"/>
    <w:rsid w:val="007D2D75"/>
    <w:rsid w:val="007D3E64"/>
    <w:rsid w:val="007D4194"/>
    <w:rsid w:val="007D4561"/>
    <w:rsid w:val="007D48C9"/>
    <w:rsid w:val="007D4A7A"/>
    <w:rsid w:val="007D5321"/>
    <w:rsid w:val="007D69F1"/>
    <w:rsid w:val="007D7581"/>
    <w:rsid w:val="007D79DC"/>
    <w:rsid w:val="007D7A10"/>
    <w:rsid w:val="007D7B50"/>
    <w:rsid w:val="007D7B57"/>
    <w:rsid w:val="007D7D18"/>
    <w:rsid w:val="007D7F0D"/>
    <w:rsid w:val="007E01F3"/>
    <w:rsid w:val="007E043C"/>
    <w:rsid w:val="007E0AC4"/>
    <w:rsid w:val="007E14AC"/>
    <w:rsid w:val="007E20A8"/>
    <w:rsid w:val="007E2F3F"/>
    <w:rsid w:val="007E39CA"/>
    <w:rsid w:val="007E40F0"/>
    <w:rsid w:val="007E447D"/>
    <w:rsid w:val="007E44AA"/>
    <w:rsid w:val="007E4621"/>
    <w:rsid w:val="007E4FFB"/>
    <w:rsid w:val="007E5A10"/>
    <w:rsid w:val="007E5FDB"/>
    <w:rsid w:val="007E615B"/>
    <w:rsid w:val="007E68C2"/>
    <w:rsid w:val="007E6937"/>
    <w:rsid w:val="007E718F"/>
    <w:rsid w:val="007E751A"/>
    <w:rsid w:val="007F04EE"/>
    <w:rsid w:val="007F08BA"/>
    <w:rsid w:val="007F0968"/>
    <w:rsid w:val="007F0FE9"/>
    <w:rsid w:val="007F1128"/>
    <w:rsid w:val="007F1F81"/>
    <w:rsid w:val="007F26ED"/>
    <w:rsid w:val="007F274A"/>
    <w:rsid w:val="007F297D"/>
    <w:rsid w:val="007F32E5"/>
    <w:rsid w:val="007F3D68"/>
    <w:rsid w:val="007F45CE"/>
    <w:rsid w:val="007F4F65"/>
    <w:rsid w:val="007F50B9"/>
    <w:rsid w:val="00801C21"/>
    <w:rsid w:val="008025CC"/>
    <w:rsid w:val="00802DC7"/>
    <w:rsid w:val="00803106"/>
    <w:rsid w:val="00803D7F"/>
    <w:rsid w:val="00804520"/>
    <w:rsid w:val="008045E8"/>
    <w:rsid w:val="008057E8"/>
    <w:rsid w:val="00805C8D"/>
    <w:rsid w:val="00806418"/>
    <w:rsid w:val="008068CA"/>
    <w:rsid w:val="00806CA7"/>
    <w:rsid w:val="0080721D"/>
    <w:rsid w:val="00807A2D"/>
    <w:rsid w:val="008107A6"/>
    <w:rsid w:val="00810BC7"/>
    <w:rsid w:val="00810E8C"/>
    <w:rsid w:val="0081110B"/>
    <w:rsid w:val="008117ED"/>
    <w:rsid w:val="00812391"/>
    <w:rsid w:val="00813368"/>
    <w:rsid w:val="008139FF"/>
    <w:rsid w:val="00813BD1"/>
    <w:rsid w:val="00813F2E"/>
    <w:rsid w:val="008140C3"/>
    <w:rsid w:val="008141CA"/>
    <w:rsid w:val="00814281"/>
    <w:rsid w:val="0081469D"/>
    <w:rsid w:val="0081509D"/>
    <w:rsid w:val="008156A1"/>
    <w:rsid w:val="008156C4"/>
    <w:rsid w:val="0081601B"/>
    <w:rsid w:val="0081641F"/>
    <w:rsid w:val="00817685"/>
    <w:rsid w:val="0081769F"/>
    <w:rsid w:val="00817B38"/>
    <w:rsid w:val="0082028A"/>
    <w:rsid w:val="00821ECA"/>
    <w:rsid w:val="00821FA2"/>
    <w:rsid w:val="00822003"/>
    <w:rsid w:val="00822189"/>
    <w:rsid w:val="00822BB7"/>
    <w:rsid w:val="00823131"/>
    <w:rsid w:val="0082329E"/>
    <w:rsid w:val="00823BBE"/>
    <w:rsid w:val="00824236"/>
    <w:rsid w:val="008250E2"/>
    <w:rsid w:val="00825855"/>
    <w:rsid w:val="00825E41"/>
    <w:rsid w:val="00826460"/>
    <w:rsid w:val="008265B3"/>
    <w:rsid w:val="00826E18"/>
    <w:rsid w:val="00826E2F"/>
    <w:rsid w:val="008274EC"/>
    <w:rsid w:val="00827736"/>
    <w:rsid w:val="0082775C"/>
    <w:rsid w:val="00830D22"/>
    <w:rsid w:val="00831E93"/>
    <w:rsid w:val="00832804"/>
    <w:rsid w:val="008329AD"/>
    <w:rsid w:val="00833303"/>
    <w:rsid w:val="008336E6"/>
    <w:rsid w:val="008337F1"/>
    <w:rsid w:val="00834261"/>
    <w:rsid w:val="00834484"/>
    <w:rsid w:val="00834634"/>
    <w:rsid w:val="0083470D"/>
    <w:rsid w:val="00835D26"/>
    <w:rsid w:val="00836422"/>
    <w:rsid w:val="008364F3"/>
    <w:rsid w:val="0083665E"/>
    <w:rsid w:val="00836B3F"/>
    <w:rsid w:val="00837058"/>
    <w:rsid w:val="008370C6"/>
    <w:rsid w:val="00837D1F"/>
    <w:rsid w:val="008407EE"/>
    <w:rsid w:val="00840B86"/>
    <w:rsid w:val="00842913"/>
    <w:rsid w:val="00842BB2"/>
    <w:rsid w:val="00842F0E"/>
    <w:rsid w:val="00843481"/>
    <w:rsid w:val="00843DEE"/>
    <w:rsid w:val="00844098"/>
    <w:rsid w:val="00844143"/>
    <w:rsid w:val="00844203"/>
    <w:rsid w:val="00844477"/>
    <w:rsid w:val="00844987"/>
    <w:rsid w:val="008449D8"/>
    <w:rsid w:val="008459F4"/>
    <w:rsid w:val="00846DDD"/>
    <w:rsid w:val="00847DAA"/>
    <w:rsid w:val="0085035B"/>
    <w:rsid w:val="0085085E"/>
    <w:rsid w:val="0085114C"/>
    <w:rsid w:val="008511BE"/>
    <w:rsid w:val="00851758"/>
    <w:rsid w:val="008517D2"/>
    <w:rsid w:val="00851843"/>
    <w:rsid w:val="00851910"/>
    <w:rsid w:val="00851DF1"/>
    <w:rsid w:val="00851F3E"/>
    <w:rsid w:val="00852616"/>
    <w:rsid w:val="008527E7"/>
    <w:rsid w:val="00852A3E"/>
    <w:rsid w:val="00852D04"/>
    <w:rsid w:val="008534F8"/>
    <w:rsid w:val="008536F6"/>
    <w:rsid w:val="00853A40"/>
    <w:rsid w:val="00853B98"/>
    <w:rsid w:val="008542E5"/>
    <w:rsid w:val="00854949"/>
    <w:rsid w:val="00854EF2"/>
    <w:rsid w:val="00855F69"/>
    <w:rsid w:val="008563B0"/>
    <w:rsid w:val="00856655"/>
    <w:rsid w:val="00856662"/>
    <w:rsid w:val="00857020"/>
    <w:rsid w:val="008572F6"/>
    <w:rsid w:val="0085758D"/>
    <w:rsid w:val="00857A73"/>
    <w:rsid w:val="00860829"/>
    <w:rsid w:val="00860B8B"/>
    <w:rsid w:val="00861039"/>
    <w:rsid w:val="00861A9B"/>
    <w:rsid w:val="00861CB0"/>
    <w:rsid w:val="00861D6F"/>
    <w:rsid w:val="00862166"/>
    <w:rsid w:val="008623B3"/>
    <w:rsid w:val="008623CD"/>
    <w:rsid w:val="00862F69"/>
    <w:rsid w:val="00863B55"/>
    <w:rsid w:val="0086406B"/>
    <w:rsid w:val="00864491"/>
    <w:rsid w:val="008644B4"/>
    <w:rsid w:val="00864648"/>
    <w:rsid w:val="00864664"/>
    <w:rsid w:val="00865C10"/>
    <w:rsid w:val="008667FF"/>
    <w:rsid w:val="00866A04"/>
    <w:rsid w:val="00866D60"/>
    <w:rsid w:val="0086751C"/>
    <w:rsid w:val="008677D4"/>
    <w:rsid w:val="00867C32"/>
    <w:rsid w:val="00870077"/>
    <w:rsid w:val="008703B0"/>
    <w:rsid w:val="00870863"/>
    <w:rsid w:val="00870F1D"/>
    <w:rsid w:val="008735BA"/>
    <w:rsid w:val="008745D5"/>
    <w:rsid w:val="00875AD1"/>
    <w:rsid w:val="00876717"/>
    <w:rsid w:val="00876D93"/>
    <w:rsid w:val="0087765E"/>
    <w:rsid w:val="008776A8"/>
    <w:rsid w:val="00880111"/>
    <w:rsid w:val="008802D9"/>
    <w:rsid w:val="00881037"/>
    <w:rsid w:val="00881086"/>
    <w:rsid w:val="00881EFA"/>
    <w:rsid w:val="00882E47"/>
    <w:rsid w:val="008833F6"/>
    <w:rsid w:val="00884528"/>
    <w:rsid w:val="0088522D"/>
    <w:rsid w:val="00885C87"/>
    <w:rsid w:val="0088704C"/>
    <w:rsid w:val="00887DA3"/>
    <w:rsid w:val="0089067D"/>
    <w:rsid w:val="00890AE6"/>
    <w:rsid w:val="00890B11"/>
    <w:rsid w:val="00890E6B"/>
    <w:rsid w:val="00891053"/>
    <w:rsid w:val="00891449"/>
    <w:rsid w:val="008915CD"/>
    <w:rsid w:val="00892242"/>
    <w:rsid w:val="008923DF"/>
    <w:rsid w:val="008925BA"/>
    <w:rsid w:val="00893122"/>
    <w:rsid w:val="00893308"/>
    <w:rsid w:val="008936EB"/>
    <w:rsid w:val="00893741"/>
    <w:rsid w:val="00894146"/>
    <w:rsid w:val="0089416A"/>
    <w:rsid w:val="0089500E"/>
    <w:rsid w:val="0089550F"/>
    <w:rsid w:val="00895D25"/>
    <w:rsid w:val="008960EE"/>
    <w:rsid w:val="0089626A"/>
    <w:rsid w:val="008963D9"/>
    <w:rsid w:val="00897264"/>
    <w:rsid w:val="008A08C8"/>
    <w:rsid w:val="008A08D8"/>
    <w:rsid w:val="008A0E80"/>
    <w:rsid w:val="008A18F5"/>
    <w:rsid w:val="008A1AB9"/>
    <w:rsid w:val="008A2131"/>
    <w:rsid w:val="008A219D"/>
    <w:rsid w:val="008A22AB"/>
    <w:rsid w:val="008A4BFB"/>
    <w:rsid w:val="008A4EEB"/>
    <w:rsid w:val="008A4F3E"/>
    <w:rsid w:val="008A713D"/>
    <w:rsid w:val="008B07F1"/>
    <w:rsid w:val="008B12F7"/>
    <w:rsid w:val="008B149C"/>
    <w:rsid w:val="008B2537"/>
    <w:rsid w:val="008B2898"/>
    <w:rsid w:val="008B2D36"/>
    <w:rsid w:val="008B3443"/>
    <w:rsid w:val="008B3497"/>
    <w:rsid w:val="008B40A5"/>
    <w:rsid w:val="008B4465"/>
    <w:rsid w:val="008B540D"/>
    <w:rsid w:val="008B5A5C"/>
    <w:rsid w:val="008B6553"/>
    <w:rsid w:val="008B6B75"/>
    <w:rsid w:val="008B7B63"/>
    <w:rsid w:val="008B7C19"/>
    <w:rsid w:val="008C1C84"/>
    <w:rsid w:val="008C230E"/>
    <w:rsid w:val="008C2578"/>
    <w:rsid w:val="008C2751"/>
    <w:rsid w:val="008C2890"/>
    <w:rsid w:val="008C28A4"/>
    <w:rsid w:val="008C412A"/>
    <w:rsid w:val="008C4526"/>
    <w:rsid w:val="008C5601"/>
    <w:rsid w:val="008C587E"/>
    <w:rsid w:val="008C6380"/>
    <w:rsid w:val="008C6775"/>
    <w:rsid w:val="008C6F65"/>
    <w:rsid w:val="008C7001"/>
    <w:rsid w:val="008D0439"/>
    <w:rsid w:val="008D048A"/>
    <w:rsid w:val="008D06FA"/>
    <w:rsid w:val="008D0966"/>
    <w:rsid w:val="008D0C3F"/>
    <w:rsid w:val="008D0D3E"/>
    <w:rsid w:val="008D2B1C"/>
    <w:rsid w:val="008D3A26"/>
    <w:rsid w:val="008D4057"/>
    <w:rsid w:val="008D4AFF"/>
    <w:rsid w:val="008D4F3C"/>
    <w:rsid w:val="008D5617"/>
    <w:rsid w:val="008D5B01"/>
    <w:rsid w:val="008D687E"/>
    <w:rsid w:val="008D7B16"/>
    <w:rsid w:val="008E01F3"/>
    <w:rsid w:val="008E029C"/>
    <w:rsid w:val="008E067B"/>
    <w:rsid w:val="008E08CC"/>
    <w:rsid w:val="008E0D50"/>
    <w:rsid w:val="008E11B0"/>
    <w:rsid w:val="008E16E5"/>
    <w:rsid w:val="008E2580"/>
    <w:rsid w:val="008E2DE8"/>
    <w:rsid w:val="008E3B33"/>
    <w:rsid w:val="008E3B8D"/>
    <w:rsid w:val="008E43BC"/>
    <w:rsid w:val="008E4588"/>
    <w:rsid w:val="008E53C8"/>
    <w:rsid w:val="008E550C"/>
    <w:rsid w:val="008E57FB"/>
    <w:rsid w:val="008E5AC3"/>
    <w:rsid w:val="008E5EEF"/>
    <w:rsid w:val="008E611B"/>
    <w:rsid w:val="008E628F"/>
    <w:rsid w:val="008E66CE"/>
    <w:rsid w:val="008E6760"/>
    <w:rsid w:val="008E6F35"/>
    <w:rsid w:val="008E7162"/>
    <w:rsid w:val="008E76C1"/>
    <w:rsid w:val="008E7E1B"/>
    <w:rsid w:val="008F1B2E"/>
    <w:rsid w:val="008F4607"/>
    <w:rsid w:val="008F509C"/>
    <w:rsid w:val="008F57C6"/>
    <w:rsid w:val="008F58F7"/>
    <w:rsid w:val="008F5955"/>
    <w:rsid w:val="008F5997"/>
    <w:rsid w:val="008F5C21"/>
    <w:rsid w:val="008F668E"/>
    <w:rsid w:val="008F7B2D"/>
    <w:rsid w:val="008F7F5E"/>
    <w:rsid w:val="00900A1F"/>
    <w:rsid w:val="00901456"/>
    <w:rsid w:val="0090398A"/>
    <w:rsid w:val="00904898"/>
    <w:rsid w:val="009048ED"/>
    <w:rsid w:val="00904945"/>
    <w:rsid w:val="00904D95"/>
    <w:rsid w:val="00904FE2"/>
    <w:rsid w:val="009053BF"/>
    <w:rsid w:val="00905D45"/>
    <w:rsid w:val="00906BBC"/>
    <w:rsid w:val="0090796B"/>
    <w:rsid w:val="00907BD3"/>
    <w:rsid w:val="00907FA2"/>
    <w:rsid w:val="00912FF8"/>
    <w:rsid w:val="00913F25"/>
    <w:rsid w:val="009144DF"/>
    <w:rsid w:val="00914BA7"/>
    <w:rsid w:val="00914F29"/>
    <w:rsid w:val="009153F4"/>
    <w:rsid w:val="009158DA"/>
    <w:rsid w:val="00915BAC"/>
    <w:rsid w:val="00915F24"/>
    <w:rsid w:val="009161B9"/>
    <w:rsid w:val="0091642B"/>
    <w:rsid w:val="00916901"/>
    <w:rsid w:val="00916924"/>
    <w:rsid w:val="00917797"/>
    <w:rsid w:val="00917EE0"/>
    <w:rsid w:val="009201B5"/>
    <w:rsid w:val="00920492"/>
    <w:rsid w:val="0092097C"/>
    <w:rsid w:val="00920A71"/>
    <w:rsid w:val="00921393"/>
    <w:rsid w:val="0092156E"/>
    <w:rsid w:val="00922B81"/>
    <w:rsid w:val="00922F48"/>
    <w:rsid w:val="0092377D"/>
    <w:rsid w:val="00923F5A"/>
    <w:rsid w:val="0092486E"/>
    <w:rsid w:val="0092535E"/>
    <w:rsid w:val="00925CA4"/>
    <w:rsid w:val="00926546"/>
    <w:rsid w:val="009265C0"/>
    <w:rsid w:val="009265EE"/>
    <w:rsid w:val="009267A7"/>
    <w:rsid w:val="00926B5C"/>
    <w:rsid w:val="0092719B"/>
    <w:rsid w:val="00927227"/>
    <w:rsid w:val="0092772A"/>
    <w:rsid w:val="00930709"/>
    <w:rsid w:val="00930D7E"/>
    <w:rsid w:val="0093225F"/>
    <w:rsid w:val="0093255C"/>
    <w:rsid w:val="00932918"/>
    <w:rsid w:val="00932C72"/>
    <w:rsid w:val="00933A6B"/>
    <w:rsid w:val="00934606"/>
    <w:rsid w:val="00934DDF"/>
    <w:rsid w:val="009351B7"/>
    <w:rsid w:val="0093617B"/>
    <w:rsid w:val="00937AFB"/>
    <w:rsid w:val="00937C88"/>
    <w:rsid w:val="00940AC3"/>
    <w:rsid w:val="00940BFE"/>
    <w:rsid w:val="0094153E"/>
    <w:rsid w:val="00941EDB"/>
    <w:rsid w:val="00941F1F"/>
    <w:rsid w:val="00942011"/>
    <w:rsid w:val="00942496"/>
    <w:rsid w:val="009424B7"/>
    <w:rsid w:val="00942A01"/>
    <w:rsid w:val="00942A7F"/>
    <w:rsid w:val="00942B2C"/>
    <w:rsid w:val="00943BAD"/>
    <w:rsid w:val="00943CF5"/>
    <w:rsid w:val="00943D0D"/>
    <w:rsid w:val="0094460E"/>
    <w:rsid w:val="009453FD"/>
    <w:rsid w:val="009456F4"/>
    <w:rsid w:val="009465B7"/>
    <w:rsid w:val="00946B55"/>
    <w:rsid w:val="0094746F"/>
    <w:rsid w:val="0094782C"/>
    <w:rsid w:val="009503C3"/>
    <w:rsid w:val="00950581"/>
    <w:rsid w:val="00950CA0"/>
    <w:rsid w:val="00951679"/>
    <w:rsid w:val="00951A7F"/>
    <w:rsid w:val="00952D53"/>
    <w:rsid w:val="00953984"/>
    <w:rsid w:val="009542A2"/>
    <w:rsid w:val="00955D88"/>
    <w:rsid w:val="009561BB"/>
    <w:rsid w:val="009565EB"/>
    <w:rsid w:val="009569E5"/>
    <w:rsid w:val="00956A39"/>
    <w:rsid w:val="00957086"/>
    <w:rsid w:val="009571BE"/>
    <w:rsid w:val="00960154"/>
    <w:rsid w:val="00960AD5"/>
    <w:rsid w:val="00961533"/>
    <w:rsid w:val="00963590"/>
    <w:rsid w:val="00963C60"/>
    <w:rsid w:val="00964B0A"/>
    <w:rsid w:val="0096514A"/>
    <w:rsid w:val="00965544"/>
    <w:rsid w:val="00970380"/>
    <w:rsid w:val="00970A5B"/>
    <w:rsid w:val="00970D2B"/>
    <w:rsid w:val="00970E5A"/>
    <w:rsid w:val="00970FED"/>
    <w:rsid w:val="00971113"/>
    <w:rsid w:val="009712A5"/>
    <w:rsid w:val="00971708"/>
    <w:rsid w:val="00971C72"/>
    <w:rsid w:val="00971FFD"/>
    <w:rsid w:val="00972632"/>
    <w:rsid w:val="00972717"/>
    <w:rsid w:val="009732AE"/>
    <w:rsid w:val="00973330"/>
    <w:rsid w:val="00973398"/>
    <w:rsid w:val="0097350F"/>
    <w:rsid w:val="00973AC8"/>
    <w:rsid w:val="00973AC9"/>
    <w:rsid w:val="009745C6"/>
    <w:rsid w:val="009754F5"/>
    <w:rsid w:val="00977367"/>
    <w:rsid w:val="009779CB"/>
    <w:rsid w:val="009801B7"/>
    <w:rsid w:val="009802B0"/>
    <w:rsid w:val="009809FF"/>
    <w:rsid w:val="00980ED6"/>
    <w:rsid w:val="00980FD0"/>
    <w:rsid w:val="00982AD1"/>
    <w:rsid w:val="00982FE8"/>
    <w:rsid w:val="0098378D"/>
    <w:rsid w:val="00983939"/>
    <w:rsid w:val="00984945"/>
    <w:rsid w:val="00985005"/>
    <w:rsid w:val="009851CB"/>
    <w:rsid w:val="00987640"/>
    <w:rsid w:val="00987A00"/>
    <w:rsid w:val="009902E9"/>
    <w:rsid w:val="00990436"/>
    <w:rsid w:val="00990794"/>
    <w:rsid w:val="0099239C"/>
    <w:rsid w:val="00992669"/>
    <w:rsid w:val="00992BED"/>
    <w:rsid w:val="0099320D"/>
    <w:rsid w:val="00993593"/>
    <w:rsid w:val="00993882"/>
    <w:rsid w:val="00993AEC"/>
    <w:rsid w:val="009945CC"/>
    <w:rsid w:val="00994DC2"/>
    <w:rsid w:val="0099509D"/>
    <w:rsid w:val="00995614"/>
    <w:rsid w:val="00995F03"/>
    <w:rsid w:val="00995FE5"/>
    <w:rsid w:val="0099733E"/>
    <w:rsid w:val="00997629"/>
    <w:rsid w:val="00997A44"/>
    <w:rsid w:val="009A03DC"/>
    <w:rsid w:val="009A1016"/>
    <w:rsid w:val="009A11B9"/>
    <w:rsid w:val="009A2EDD"/>
    <w:rsid w:val="009A2F7C"/>
    <w:rsid w:val="009A31CF"/>
    <w:rsid w:val="009A3862"/>
    <w:rsid w:val="009A38FB"/>
    <w:rsid w:val="009A3C00"/>
    <w:rsid w:val="009A3DA0"/>
    <w:rsid w:val="009A4263"/>
    <w:rsid w:val="009A47E2"/>
    <w:rsid w:val="009A519C"/>
    <w:rsid w:val="009A573B"/>
    <w:rsid w:val="009A5784"/>
    <w:rsid w:val="009A5AC1"/>
    <w:rsid w:val="009A5BF1"/>
    <w:rsid w:val="009A6230"/>
    <w:rsid w:val="009A65DC"/>
    <w:rsid w:val="009A6FF5"/>
    <w:rsid w:val="009A769F"/>
    <w:rsid w:val="009A7817"/>
    <w:rsid w:val="009B0793"/>
    <w:rsid w:val="009B0990"/>
    <w:rsid w:val="009B2177"/>
    <w:rsid w:val="009B2217"/>
    <w:rsid w:val="009B24C8"/>
    <w:rsid w:val="009B285E"/>
    <w:rsid w:val="009B33D1"/>
    <w:rsid w:val="009B34F2"/>
    <w:rsid w:val="009B3982"/>
    <w:rsid w:val="009B3B00"/>
    <w:rsid w:val="009B4992"/>
    <w:rsid w:val="009B5237"/>
    <w:rsid w:val="009B5D4B"/>
    <w:rsid w:val="009B6761"/>
    <w:rsid w:val="009B6CF3"/>
    <w:rsid w:val="009C06E8"/>
    <w:rsid w:val="009C169F"/>
    <w:rsid w:val="009C1773"/>
    <w:rsid w:val="009C1FBE"/>
    <w:rsid w:val="009C2A6C"/>
    <w:rsid w:val="009C2E98"/>
    <w:rsid w:val="009C36EB"/>
    <w:rsid w:val="009C38D7"/>
    <w:rsid w:val="009C3EC4"/>
    <w:rsid w:val="009C4F6E"/>
    <w:rsid w:val="009C54A5"/>
    <w:rsid w:val="009C57C9"/>
    <w:rsid w:val="009C5AAA"/>
    <w:rsid w:val="009C5DCE"/>
    <w:rsid w:val="009C6104"/>
    <w:rsid w:val="009C627B"/>
    <w:rsid w:val="009C6392"/>
    <w:rsid w:val="009C6473"/>
    <w:rsid w:val="009C760B"/>
    <w:rsid w:val="009C7B8A"/>
    <w:rsid w:val="009D06F3"/>
    <w:rsid w:val="009D1211"/>
    <w:rsid w:val="009D160E"/>
    <w:rsid w:val="009D28E8"/>
    <w:rsid w:val="009D292F"/>
    <w:rsid w:val="009D2F25"/>
    <w:rsid w:val="009D2F4E"/>
    <w:rsid w:val="009D3742"/>
    <w:rsid w:val="009D386C"/>
    <w:rsid w:val="009D3AD3"/>
    <w:rsid w:val="009D478F"/>
    <w:rsid w:val="009D49CE"/>
    <w:rsid w:val="009D5F6F"/>
    <w:rsid w:val="009D680C"/>
    <w:rsid w:val="009D682F"/>
    <w:rsid w:val="009D7032"/>
    <w:rsid w:val="009D7089"/>
    <w:rsid w:val="009D7708"/>
    <w:rsid w:val="009D7AE4"/>
    <w:rsid w:val="009E070F"/>
    <w:rsid w:val="009E0747"/>
    <w:rsid w:val="009E2E8F"/>
    <w:rsid w:val="009E3847"/>
    <w:rsid w:val="009E38E3"/>
    <w:rsid w:val="009E4AE8"/>
    <w:rsid w:val="009E4B6D"/>
    <w:rsid w:val="009E6886"/>
    <w:rsid w:val="009E7BA6"/>
    <w:rsid w:val="009E7D51"/>
    <w:rsid w:val="009F0A6A"/>
    <w:rsid w:val="009F1DDD"/>
    <w:rsid w:val="009F1F54"/>
    <w:rsid w:val="009F2333"/>
    <w:rsid w:val="009F239D"/>
    <w:rsid w:val="009F249C"/>
    <w:rsid w:val="009F2AC6"/>
    <w:rsid w:val="009F2D48"/>
    <w:rsid w:val="009F3387"/>
    <w:rsid w:val="009F3792"/>
    <w:rsid w:val="009F38F0"/>
    <w:rsid w:val="009F3903"/>
    <w:rsid w:val="009F4F79"/>
    <w:rsid w:val="009F5463"/>
    <w:rsid w:val="009F5AC9"/>
    <w:rsid w:val="009F6C6B"/>
    <w:rsid w:val="009F7607"/>
    <w:rsid w:val="009F7CE9"/>
    <w:rsid w:val="009F7D00"/>
    <w:rsid w:val="00A00268"/>
    <w:rsid w:val="00A008CE"/>
    <w:rsid w:val="00A01018"/>
    <w:rsid w:val="00A0114A"/>
    <w:rsid w:val="00A01AF1"/>
    <w:rsid w:val="00A01EBA"/>
    <w:rsid w:val="00A0222D"/>
    <w:rsid w:val="00A02CD7"/>
    <w:rsid w:val="00A03989"/>
    <w:rsid w:val="00A03A70"/>
    <w:rsid w:val="00A0451F"/>
    <w:rsid w:val="00A053ED"/>
    <w:rsid w:val="00A0597C"/>
    <w:rsid w:val="00A05A48"/>
    <w:rsid w:val="00A0607D"/>
    <w:rsid w:val="00A06232"/>
    <w:rsid w:val="00A06822"/>
    <w:rsid w:val="00A06D67"/>
    <w:rsid w:val="00A06E81"/>
    <w:rsid w:val="00A06FFF"/>
    <w:rsid w:val="00A072E0"/>
    <w:rsid w:val="00A10794"/>
    <w:rsid w:val="00A11423"/>
    <w:rsid w:val="00A115B5"/>
    <w:rsid w:val="00A124F8"/>
    <w:rsid w:val="00A125F7"/>
    <w:rsid w:val="00A12857"/>
    <w:rsid w:val="00A12DF3"/>
    <w:rsid w:val="00A12E39"/>
    <w:rsid w:val="00A1319E"/>
    <w:rsid w:val="00A14606"/>
    <w:rsid w:val="00A149A8"/>
    <w:rsid w:val="00A15876"/>
    <w:rsid w:val="00A16899"/>
    <w:rsid w:val="00A16AFF"/>
    <w:rsid w:val="00A16C44"/>
    <w:rsid w:val="00A16CAF"/>
    <w:rsid w:val="00A1780F"/>
    <w:rsid w:val="00A179A3"/>
    <w:rsid w:val="00A17A12"/>
    <w:rsid w:val="00A20167"/>
    <w:rsid w:val="00A20B88"/>
    <w:rsid w:val="00A211B3"/>
    <w:rsid w:val="00A2176C"/>
    <w:rsid w:val="00A217B5"/>
    <w:rsid w:val="00A21D3D"/>
    <w:rsid w:val="00A22311"/>
    <w:rsid w:val="00A22A7A"/>
    <w:rsid w:val="00A22EED"/>
    <w:rsid w:val="00A23823"/>
    <w:rsid w:val="00A23E48"/>
    <w:rsid w:val="00A248D1"/>
    <w:rsid w:val="00A24E4A"/>
    <w:rsid w:val="00A251D7"/>
    <w:rsid w:val="00A25A27"/>
    <w:rsid w:val="00A25C51"/>
    <w:rsid w:val="00A25FA8"/>
    <w:rsid w:val="00A2619C"/>
    <w:rsid w:val="00A26B92"/>
    <w:rsid w:val="00A272D8"/>
    <w:rsid w:val="00A27762"/>
    <w:rsid w:val="00A30844"/>
    <w:rsid w:val="00A30B85"/>
    <w:rsid w:val="00A30E27"/>
    <w:rsid w:val="00A31D0B"/>
    <w:rsid w:val="00A3224D"/>
    <w:rsid w:val="00A32790"/>
    <w:rsid w:val="00A339E7"/>
    <w:rsid w:val="00A342A3"/>
    <w:rsid w:val="00A34C62"/>
    <w:rsid w:val="00A34D27"/>
    <w:rsid w:val="00A34E82"/>
    <w:rsid w:val="00A35105"/>
    <w:rsid w:val="00A35119"/>
    <w:rsid w:val="00A36100"/>
    <w:rsid w:val="00A36505"/>
    <w:rsid w:val="00A36D3A"/>
    <w:rsid w:val="00A3747B"/>
    <w:rsid w:val="00A37D24"/>
    <w:rsid w:val="00A400CE"/>
    <w:rsid w:val="00A401FF"/>
    <w:rsid w:val="00A41BBC"/>
    <w:rsid w:val="00A41D80"/>
    <w:rsid w:val="00A41DAC"/>
    <w:rsid w:val="00A4284F"/>
    <w:rsid w:val="00A440B7"/>
    <w:rsid w:val="00A44DD6"/>
    <w:rsid w:val="00A4508C"/>
    <w:rsid w:val="00A452F9"/>
    <w:rsid w:val="00A4676E"/>
    <w:rsid w:val="00A46782"/>
    <w:rsid w:val="00A4691D"/>
    <w:rsid w:val="00A46B56"/>
    <w:rsid w:val="00A510C2"/>
    <w:rsid w:val="00A5135D"/>
    <w:rsid w:val="00A51EFB"/>
    <w:rsid w:val="00A52416"/>
    <w:rsid w:val="00A53AA5"/>
    <w:rsid w:val="00A54BB3"/>
    <w:rsid w:val="00A557B6"/>
    <w:rsid w:val="00A56036"/>
    <w:rsid w:val="00A56646"/>
    <w:rsid w:val="00A56D83"/>
    <w:rsid w:val="00A571B9"/>
    <w:rsid w:val="00A576F0"/>
    <w:rsid w:val="00A6077D"/>
    <w:rsid w:val="00A60B7A"/>
    <w:rsid w:val="00A614DF"/>
    <w:rsid w:val="00A626A5"/>
    <w:rsid w:val="00A6281A"/>
    <w:rsid w:val="00A62B93"/>
    <w:rsid w:val="00A62EE2"/>
    <w:rsid w:val="00A63B90"/>
    <w:rsid w:val="00A63F44"/>
    <w:rsid w:val="00A6469C"/>
    <w:rsid w:val="00A65066"/>
    <w:rsid w:val="00A65244"/>
    <w:rsid w:val="00A6552F"/>
    <w:rsid w:val="00A664C2"/>
    <w:rsid w:val="00A6674A"/>
    <w:rsid w:val="00A66E03"/>
    <w:rsid w:val="00A67288"/>
    <w:rsid w:val="00A67B77"/>
    <w:rsid w:val="00A7047E"/>
    <w:rsid w:val="00A706B4"/>
    <w:rsid w:val="00A7095C"/>
    <w:rsid w:val="00A717CD"/>
    <w:rsid w:val="00A72178"/>
    <w:rsid w:val="00A73946"/>
    <w:rsid w:val="00A748C0"/>
    <w:rsid w:val="00A74B34"/>
    <w:rsid w:val="00A756DE"/>
    <w:rsid w:val="00A7690D"/>
    <w:rsid w:val="00A76A27"/>
    <w:rsid w:val="00A77A30"/>
    <w:rsid w:val="00A806D0"/>
    <w:rsid w:val="00A80FA8"/>
    <w:rsid w:val="00A81021"/>
    <w:rsid w:val="00A829FC"/>
    <w:rsid w:val="00A82A47"/>
    <w:rsid w:val="00A82E16"/>
    <w:rsid w:val="00A83618"/>
    <w:rsid w:val="00A83BCD"/>
    <w:rsid w:val="00A83C2B"/>
    <w:rsid w:val="00A83E78"/>
    <w:rsid w:val="00A83FD9"/>
    <w:rsid w:val="00A84BCE"/>
    <w:rsid w:val="00A84C09"/>
    <w:rsid w:val="00A84D83"/>
    <w:rsid w:val="00A853D5"/>
    <w:rsid w:val="00A86810"/>
    <w:rsid w:val="00A92019"/>
    <w:rsid w:val="00A921DE"/>
    <w:rsid w:val="00A927C9"/>
    <w:rsid w:val="00A92B5F"/>
    <w:rsid w:val="00A92C24"/>
    <w:rsid w:val="00A93D6A"/>
    <w:rsid w:val="00A94255"/>
    <w:rsid w:val="00A95057"/>
    <w:rsid w:val="00A95453"/>
    <w:rsid w:val="00A969CE"/>
    <w:rsid w:val="00AA07F8"/>
    <w:rsid w:val="00AA0A8D"/>
    <w:rsid w:val="00AA0BFD"/>
    <w:rsid w:val="00AA0CEE"/>
    <w:rsid w:val="00AA155D"/>
    <w:rsid w:val="00AA1B03"/>
    <w:rsid w:val="00AA27EF"/>
    <w:rsid w:val="00AA2DAD"/>
    <w:rsid w:val="00AA3AA4"/>
    <w:rsid w:val="00AA3BA7"/>
    <w:rsid w:val="00AA4885"/>
    <w:rsid w:val="00AA4F91"/>
    <w:rsid w:val="00AA56D1"/>
    <w:rsid w:val="00AA58B7"/>
    <w:rsid w:val="00AA6087"/>
    <w:rsid w:val="00AA686B"/>
    <w:rsid w:val="00AA6D07"/>
    <w:rsid w:val="00AA7554"/>
    <w:rsid w:val="00AA770F"/>
    <w:rsid w:val="00AB03D5"/>
    <w:rsid w:val="00AB0801"/>
    <w:rsid w:val="00AB09AE"/>
    <w:rsid w:val="00AB130D"/>
    <w:rsid w:val="00AB180D"/>
    <w:rsid w:val="00AB197A"/>
    <w:rsid w:val="00AB2966"/>
    <w:rsid w:val="00AB389C"/>
    <w:rsid w:val="00AB42B3"/>
    <w:rsid w:val="00AB5160"/>
    <w:rsid w:val="00AB57C3"/>
    <w:rsid w:val="00AB5818"/>
    <w:rsid w:val="00AB6166"/>
    <w:rsid w:val="00AB6E41"/>
    <w:rsid w:val="00AB7720"/>
    <w:rsid w:val="00AB784F"/>
    <w:rsid w:val="00AB7E0A"/>
    <w:rsid w:val="00AC11A5"/>
    <w:rsid w:val="00AC1962"/>
    <w:rsid w:val="00AC1A3B"/>
    <w:rsid w:val="00AC1D72"/>
    <w:rsid w:val="00AC1F92"/>
    <w:rsid w:val="00AC2605"/>
    <w:rsid w:val="00AC2676"/>
    <w:rsid w:val="00AC2AD9"/>
    <w:rsid w:val="00AC2CB7"/>
    <w:rsid w:val="00AC336F"/>
    <w:rsid w:val="00AC34C9"/>
    <w:rsid w:val="00AC36EB"/>
    <w:rsid w:val="00AC3878"/>
    <w:rsid w:val="00AC3EF4"/>
    <w:rsid w:val="00AC3FE5"/>
    <w:rsid w:val="00AC47B9"/>
    <w:rsid w:val="00AC50DF"/>
    <w:rsid w:val="00AC59DE"/>
    <w:rsid w:val="00AC637C"/>
    <w:rsid w:val="00AD00E0"/>
    <w:rsid w:val="00AD08C7"/>
    <w:rsid w:val="00AD15A6"/>
    <w:rsid w:val="00AD20F7"/>
    <w:rsid w:val="00AD2D82"/>
    <w:rsid w:val="00AD334B"/>
    <w:rsid w:val="00AD344B"/>
    <w:rsid w:val="00AD3544"/>
    <w:rsid w:val="00AD4344"/>
    <w:rsid w:val="00AD50CB"/>
    <w:rsid w:val="00AD5E16"/>
    <w:rsid w:val="00AD5F7F"/>
    <w:rsid w:val="00AD6703"/>
    <w:rsid w:val="00AD6AF7"/>
    <w:rsid w:val="00AD6D38"/>
    <w:rsid w:val="00AD72EF"/>
    <w:rsid w:val="00AD7C2A"/>
    <w:rsid w:val="00AD7C65"/>
    <w:rsid w:val="00AE03D8"/>
    <w:rsid w:val="00AE09B1"/>
    <w:rsid w:val="00AE15F9"/>
    <w:rsid w:val="00AE207B"/>
    <w:rsid w:val="00AE2443"/>
    <w:rsid w:val="00AE2D31"/>
    <w:rsid w:val="00AE3E45"/>
    <w:rsid w:val="00AE46C8"/>
    <w:rsid w:val="00AE5882"/>
    <w:rsid w:val="00AE624F"/>
    <w:rsid w:val="00AE64F7"/>
    <w:rsid w:val="00AE6F6E"/>
    <w:rsid w:val="00AF0E3D"/>
    <w:rsid w:val="00AF1A27"/>
    <w:rsid w:val="00AF1CF2"/>
    <w:rsid w:val="00AF2182"/>
    <w:rsid w:val="00AF2A0B"/>
    <w:rsid w:val="00AF2A10"/>
    <w:rsid w:val="00AF3848"/>
    <w:rsid w:val="00AF44F5"/>
    <w:rsid w:val="00AF4F85"/>
    <w:rsid w:val="00AF53B0"/>
    <w:rsid w:val="00AF6E80"/>
    <w:rsid w:val="00AF79C3"/>
    <w:rsid w:val="00AF7A23"/>
    <w:rsid w:val="00B000B6"/>
    <w:rsid w:val="00B00D63"/>
    <w:rsid w:val="00B0123E"/>
    <w:rsid w:val="00B01A5D"/>
    <w:rsid w:val="00B01A84"/>
    <w:rsid w:val="00B021F8"/>
    <w:rsid w:val="00B0265A"/>
    <w:rsid w:val="00B0355D"/>
    <w:rsid w:val="00B03638"/>
    <w:rsid w:val="00B047B3"/>
    <w:rsid w:val="00B04A9C"/>
    <w:rsid w:val="00B04CCF"/>
    <w:rsid w:val="00B0582E"/>
    <w:rsid w:val="00B0689E"/>
    <w:rsid w:val="00B06CEF"/>
    <w:rsid w:val="00B071F9"/>
    <w:rsid w:val="00B075FC"/>
    <w:rsid w:val="00B10480"/>
    <w:rsid w:val="00B106A8"/>
    <w:rsid w:val="00B106C6"/>
    <w:rsid w:val="00B11014"/>
    <w:rsid w:val="00B111E1"/>
    <w:rsid w:val="00B11A5B"/>
    <w:rsid w:val="00B11AD0"/>
    <w:rsid w:val="00B14BB7"/>
    <w:rsid w:val="00B1603B"/>
    <w:rsid w:val="00B16041"/>
    <w:rsid w:val="00B16276"/>
    <w:rsid w:val="00B1665D"/>
    <w:rsid w:val="00B175CD"/>
    <w:rsid w:val="00B1766D"/>
    <w:rsid w:val="00B178A7"/>
    <w:rsid w:val="00B17934"/>
    <w:rsid w:val="00B17F8E"/>
    <w:rsid w:val="00B2046D"/>
    <w:rsid w:val="00B2155D"/>
    <w:rsid w:val="00B2243B"/>
    <w:rsid w:val="00B23FAC"/>
    <w:rsid w:val="00B255CD"/>
    <w:rsid w:val="00B25771"/>
    <w:rsid w:val="00B264A9"/>
    <w:rsid w:val="00B27573"/>
    <w:rsid w:val="00B27DA5"/>
    <w:rsid w:val="00B30B95"/>
    <w:rsid w:val="00B31823"/>
    <w:rsid w:val="00B31B6E"/>
    <w:rsid w:val="00B31E8A"/>
    <w:rsid w:val="00B327D6"/>
    <w:rsid w:val="00B32AD6"/>
    <w:rsid w:val="00B33AF6"/>
    <w:rsid w:val="00B33EA9"/>
    <w:rsid w:val="00B34029"/>
    <w:rsid w:val="00B340A5"/>
    <w:rsid w:val="00B3415A"/>
    <w:rsid w:val="00B344F7"/>
    <w:rsid w:val="00B34993"/>
    <w:rsid w:val="00B35412"/>
    <w:rsid w:val="00B35D97"/>
    <w:rsid w:val="00B35E58"/>
    <w:rsid w:val="00B3653B"/>
    <w:rsid w:val="00B36A1F"/>
    <w:rsid w:val="00B36AAD"/>
    <w:rsid w:val="00B37C1A"/>
    <w:rsid w:val="00B37D76"/>
    <w:rsid w:val="00B42304"/>
    <w:rsid w:val="00B444FF"/>
    <w:rsid w:val="00B44C0D"/>
    <w:rsid w:val="00B4509B"/>
    <w:rsid w:val="00B45799"/>
    <w:rsid w:val="00B45E1F"/>
    <w:rsid w:val="00B460AE"/>
    <w:rsid w:val="00B46338"/>
    <w:rsid w:val="00B468DB"/>
    <w:rsid w:val="00B4752A"/>
    <w:rsid w:val="00B479C1"/>
    <w:rsid w:val="00B50481"/>
    <w:rsid w:val="00B50F85"/>
    <w:rsid w:val="00B51480"/>
    <w:rsid w:val="00B515B2"/>
    <w:rsid w:val="00B518F0"/>
    <w:rsid w:val="00B51A65"/>
    <w:rsid w:val="00B52267"/>
    <w:rsid w:val="00B53BA8"/>
    <w:rsid w:val="00B54585"/>
    <w:rsid w:val="00B54C39"/>
    <w:rsid w:val="00B54CFB"/>
    <w:rsid w:val="00B54FCC"/>
    <w:rsid w:val="00B5500C"/>
    <w:rsid w:val="00B55193"/>
    <w:rsid w:val="00B55D40"/>
    <w:rsid w:val="00B55EC0"/>
    <w:rsid w:val="00B5632A"/>
    <w:rsid w:val="00B564BD"/>
    <w:rsid w:val="00B56A80"/>
    <w:rsid w:val="00B57370"/>
    <w:rsid w:val="00B5772D"/>
    <w:rsid w:val="00B57A44"/>
    <w:rsid w:val="00B57CCD"/>
    <w:rsid w:val="00B6077B"/>
    <w:rsid w:val="00B60D28"/>
    <w:rsid w:val="00B60F64"/>
    <w:rsid w:val="00B6124C"/>
    <w:rsid w:val="00B6148A"/>
    <w:rsid w:val="00B62EF4"/>
    <w:rsid w:val="00B62F53"/>
    <w:rsid w:val="00B63522"/>
    <w:rsid w:val="00B63DD3"/>
    <w:rsid w:val="00B63FE3"/>
    <w:rsid w:val="00B650DA"/>
    <w:rsid w:val="00B65D6E"/>
    <w:rsid w:val="00B66108"/>
    <w:rsid w:val="00B667DD"/>
    <w:rsid w:val="00B67616"/>
    <w:rsid w:val="00B67CA5"/>
    <w:rsid w:val="00B70635"/>
    <w:rsid w:val="00B70927"/>
    <w:rsid w:val="00B71C85"/>
    <w:rsid w:val="00B726FF"/>
    <w:rsid w:val="00B72E3E"/>
    <w:rsid w:val="00B7324B"/>
    <w:rsid w:val="00B73AEF"/>
    <w:rsid w:val="00B74204"/>
    <w:rsid w:val="00B74849"/>
    <w:rsid w:val="00B752A4"/>
    <w:rsid w:val="00B753CD"/>
    <w:rsid w:val="00B75460"/>
    <w:rsid w:val="00B7564C"/>
    <w:rsid w:val="00B759CC"/>
    <w:rsid w:val="00B75E51"/>
    <w:rsid w:val="00B761EA"/>
    <w:rsid w:val="00B77456"/>
    <w:rsid w:val="00B7762D"/>
    <w:rsid w:val="00B77C9C"/>
    <w:rsid w:val="00B80124"/>
    <w:rsid w:val="00B8022D"/>
    <w:rsid w:val="00B8106D"/>
    <w:rsid w:val="00B81268"/>
    <w:rsid w:val="00B81289"/>
    <w:rsid w:val="00B812B6"/>
    <w:rsid w:val="00B82504"/>
    <w:rsid w:val="00B83276"/>
    <w:rsid w:val="00B83E2B"/>
    <w:rsid w:val="00B83E51"/>
    <w:rsid w:val="00B83FF1"/>
    <w:rsid w:val="00B849CA"/>
    <w:rsid w:val="00B852A7"/>
    <w:rsid w:val="00B85930"/>
    <w:rsid w:val="00B85B6A"/>
    <w:rsid w:val="00B87737"/>
    <w:rsid w:val="00B90B80"/>
    <w:rsid w:val="00B917DC"/>
    <w:rsid w:val="00B9219A"/>
    <w:rsid w:val="00B92B16"/>
    <w:rsid w:val="00B932DD"/>
    <w:rsid w:val="00B93438"/>
    <w:rsid w:val="00B93AB5"/>
    <w:rsid w:val="00B9450B"/>
    <w:rsid w:val="00B94AD2"/>
    <w:rsid w:val="00B9599F"/>
    <w:rsid w:val="00B95DDB"/>
    <w:rsid w:val="00B9652D"/>
    <w:rsid w:val="00B977B3"/>
    <w:rsid w:val="00B9790A"/>
    <w:rsid w:val="00BA06F6"/>
    <w:rsid w:val="00BA1AC4"/>
    <w:rsid w:val="00BA1B73"/>
    <w:rsid w:val="00BA316A"/>
    <w:rsid w:val="00BA3401"/>
    <w:rsid w:val="00BA38F4"/>
    <w:rsid w:val="00BA4686"/>
    <w:rsid w:val="00BA5F1D"/>
    <w:rsid w:val="00BA5F2B"/>
    <w:rsid w:val="00BA63A7"/>
    <w:rsid w:val="00BA6564"/>
    <w:rsid w:val="00BA69F9"/>
    <w:rsid w:val="00BA6BD9"/>
    <w:rsid w:val="00BA77F7"/>
    <w:rsid w:val="00BB04BD"/>
    <w:rsid w:val="00BB0E9F"/>
    <w:rsid w:val="00BB3759"/>
    <w:rsid w:val="00BB3DA7"/>
    <w:rsid w:val="00BB4F5E"/>
    <w:rsid w:val="00BB506B"/>
    <w:rsid w:val="00BB5974"/>
    <w:rsid w:val="00BB61D1"/>
    <w:rsid w:val="00BB77CA"/>
    <w:rsid w:val="00BC0CE8"/>
    <w:rsid w:val="00BC2373"/>
    <w:rsid w:val="00BC2709"/>
    <w:rsid w:val="00BC3876"/>
    <w:rsid w:val="00BC3E9A"/>
    <w:rsid w:val="00BC4CC4"/>
    <w:rsid w:val="00BC4E04"/>
    <w:rsid w:val="00BC4E3B"/>
    <w:rsid w:val="00BC5762"/>
    <w:rsid w:val="00BC594E"/>
    <w:rsid w:val="00BC5BF0"/>
    <w:rsid w:val="00BC5E9C"/>
    <w:rsid w:val="00BC6D8A"/>
    <w:rsid w:val="00BC6FB3"/>
    <w:rsid w:val="00BD066A"/>
    <w:rsid w:val="00BD0B4B"/>
    <w:rsid w:val="00BD0B8E"/>
    <w:rsid w:val="00BD1193"/>
    <w:rsid w:val="00BD1239"/>
    <w:rsid w:val="00BD1668"/>
    <w:rsid w:val="00BD2011"/>
    <w:rsid w:val="00BD23DC"/>
    <w:rsid w:val="00BD24D1"/>
    <w:rsid w:val="00BD3089"/>
    <w:rsid w:val="00BD3690"/>
    <w:rsid w:val="00BD4353"/>
    <w:rsid w:val="00BD4D85"/>
    <w:rsid w:val="00BD521E"/>
    <w:rsid w:val="00BD5605"/>
    <w:rsid w:val="00BD5711"/>
    <w:rsid w:val="00BD57CA"/>
    <w:rsid w:val="00BD5B68"/>
    <w:rsid w:val="00BD6B1B"/>
    <w:rsid w:val="00BD75A2"/>
    <w:rsid w:val="00BD78B3"/>
    <w:rsid w:val="00BE0673"/>
    <w:rsid w:val="00BE1137"/>
    <w:rsid w:val="00BE15D1"/>
    <w:rsid w:val="00BE1794"/>
    <w:rsid w:val="00BE18C6"/>
    <w:rsid w:val="00BE1DC9"/>
    <w:rsid w:val="00BE20D4"/>
    <w:rsid w:val="00BE2448"/>
    <w:rsid w:val="00BE270F"/>
    <w:rsid w:val="00BE27B8"/>
    <w:rsid w:val="00BE3066"/>
    <w:rsid w:val="00BE365D"/>
    <w:rsid w:val="00BE376D"/>
    <w:rsid w:val="00BE3C57"/>
    <w:rsid w:val="00BE445A"/>
    <w:rsid w:val="00BE4F11"/>
    <w:rsid w:val="00BE53AC"/>
    <w:rsid w:val="00BE56DE"/>
    <w:rsid w:val="00BE57EE"/>
    <w:rsid w:val="00BE5BD5"/>
    <w:rsid w:val="00BE6235"/>
    <w:rsid w:val="00BE6397"/>
    <w:rsid w:val="00BE65E6"/>
    <w:rsid w:val="00BE6AA0"/>
    <w:rsid w:val="00BE6D40"/>
    <w:rsid w:val="00BE7C22"/>
    <w:rsid w:val="00BF0005"/>
    <w:rsid w:val="00BF0A68"/>
    <w:rsid w:val="00BF0B6E"/>
    <w:rsid w:val="00BF22F2"/>
    <w:rsid w:val="00BF238D"/>
    <w:rsid w:val="00BF2B4A"/>
    <w:rsid w:val="00BF31CF"/>
    <w:rsid w:val="00BF3C19"/>
    <w:rsid w:val="00BF3D3A"/>
    <w:rsid w:val="00BF5355"/>
    <w:rsid w:val="00BF5767"/>
    <w:rsid w:val="00BF5D9B"/>
    <w:rsid w:val="00BF5FB7"/>
    <w:rsid w:val="00BF6707"/>
    <w:rsid w:val="00BF6DCB"/>
    <w:rsid w:val="00BF6E9B"/>
    <w:rsid w:val="00C008E9"/>
    <w:rsid w:val="00C00AC0"/>
    <w:rsid w:val="00C0201D"/>
    <w:rsid w:val="00C02084"/>
    <w:rsid w:val="00C022E6"/>
    <w:rsid w:val="00C02618"/>
    <w:rsid w:val="00C02806"/>
    <w:rsid w:val="00C02A31"/>
    <w:rsid w:val="00C03D4E"/>
    <w:rsid w:val="00C04377"/>
    <w:rsid w:val="00C046F1"/>
    <w:rsid w:val="00C0500D"/>
    <w:rsid w:val="00C06166"/>
    <w:rsid w:val="00C063DA"/>
    <w:rsid w:val="00C067DB"/>
    <w:rsid w:val="00C073E2"/>
    <w:rsid w:val="00C1018C"/>
    <w:rsid w:val="00C1068C"/>
    <w:rsid w:val="00C10DD0"/>
    <w:rsid w:val="00C10FB1"/>
    <w:rsid w:val="00C1107A"/>
    <w:rsid w:val="00C11352"/>
    <w:rsid w:val="00C11EE4"/>
    <w:rsid w:val="00C11EF1"/>
    <w:rsid w:val="00C1266A"/>
    <w:rsid w:val="00C12781"/>
    <w:rsid w:val="00C12F47"/>
    <w:rsid w:val="00C13D3E"/>
    <w:rsid w:val="00C146A4"/>
    <w:rsid w:val="00C14BD1"/>
    <w:rsid w:val="00C15DDD"/>
    <w:rsid w:val="00C16D20"/>
    <w:rsid w:val="00C16D58"/>
    <w:rsid w:val="00C16ECC"/>
    <w:rsid w:val="00C207D2"/>
    <w:rsid w:val="00C20D0B"/>
    <w:rsid w:val="00C21370"/>
    <w:rsid w:val="00C24571"/>
    <w:rsid w:val="00C2535C"/>
    <w:rsid w:val="00C25DE0"/>
    <w:rsid w:val="00C25FB5"/>
    <w:rsid w:val="00C265C9"/>
    <w:rsid w:val="00C269B5"/>
    <w:rsid w:val="00C26C64"/>
    <w:rsid w:val="00C270BA"/>
    <w:rsid w:val="00C275B0"/>
    <w:rsid w:val="00C30B09"/>
    <w:rsid w:val="00C30CB1"/>
    <w:rsid w:val="00C312EA"/>
    <w:rsid w:val="00C31775"/>
    <w:rsid w:val="00C31A53"/>
    <w:rsid w:val="00C32102"/>
    <w:rsid w:val="00C32876"/>
    <w:rsid w:val="00C3336D"/>
    <w:rsid w:val="00C3363B"/>
    <w:rsid w:val="00C355FB"/>
    <w:rsid w:val="00C37217"/>
    <w:rsid w:val="00C379AB"/>
    <w:rsid w:val="00C4045C"/>
    <w:rsid w:val="00C41BCE"/>
    <w:rsid w:val="00C41FAF"/>
    <w:rsid w:val="00C42A90"/>
    <w:rsid w:val="00C434EB"/>
    <w:rsid w:val="00C43982"/>
    <w:rsid w:val="00C43EE5"/>
    <w:rsid w:val="00C44C97"/>
    <w:rsid w:val="00C44FFE"/>
    <w:rsid w:val="00C451CF"/>
    <w:rsid w:val="00C4548D"/>
    <w:rsid w:val="00C45E65"/>
    <w:rsid w:val="00C46D1E"/>
    <w:rsid w:val="00C47959"/>
    <w:rsid w:val="00C509FB"/>
    <w:rsid w:val="00C50CED"/>
    <w:rsid w:val="00C51F45"/>
    <w:rsid w:val="00C522E0"/>
    <w:rsid w:val="00C5247E"/>
    <w:rsid w:val="00C531DE"/>
    <w:rsid w:val="00C53C02"/>
    <w:rsid w:val="00C53E19"/>
    <w:rsid w:val="00C54377"/>
    <w:rsid w:val="00C54EC1"/>
    <w:rsid w:val="00C54ED0"/>
    <w:rsid w:val="00C5552F"/>
    <w:rsid w:val="00C562EE"/>
    <w:rsid w:val="00C568AC"/>
    <w:rsid w:val="00C57387"/>
    <w:rsid w:val="00C5774D"/>
    <w:rsid w:val="00C605EA"/>
    <w:rsid w:val="00C60CAE"/>
    <w:rsid w:val="00C6120C"/>
    <w:rsid w:val="00C6143D"/>
    <w:rsid w:val="00C6217E"/>
    <w:rsid w:val="00C626EE"/>
    <w:rsid w:val="00C627B5"/>
    <w:rsid w:val="00C628A2"/>
    <w:rsid w:val="00C63A53"/>
    <w:rsid w:val="00C63E42"/>
    <w:rsid w:val="00C648E5"/>
    <w:rsid w:val="00C65299"/>
    <w:rsid w:val="00C652DF"/>
    <w:rsid w:val="00C6534B"/>
    <w:rsid w:val="00C656FF"/>
    <w:rsid w:val="00C659E7"/>
    <w:rsid w:val="00C66860"/>
    <w:rsid w:val="00C66B96"/>
    <w:rsid w:val="00C6705F"/>
    <w:rsid w:val="00C670D5"/>
    <w:rsid w:val="00C6716E"/>
    <w:rsid w:val="00C6732A"/>
    <w:rsid w:val="00C678FB"/>
    <w:rsid w:val="00C700D0"/>
    <w:rsid w:val="00C726AB"/>
    <w:rsid w:val="00C73DF3"/>
    <w:rsid w:val="00C749FB"/>
    <w:rsid w:val="00C74E1E"/>
    <w:rsid w:val="00C75024"/>
    <w:rsid w:val="00C752F4"/>
    <w:rsid w:val="00C7553A"/>
    <w:rsid w:val="00C756EA"/>
    <w:rsid w:val="00C7624F"/>
    <w:rsid w:val="00C7637F"/>
    <w:rsid w:val="00C778D0"/>
    <w:rsid w:val="00C77BD2"/>
    <w:rsid w:val="00C81524"/>
    <w:rsid w:val="00C81915"/>
    <w:rsid w:val="00C81B6C"/>
    <w:rsid w:val="00C81CCD"/>
    <w:rsid w:val="00C8350C"/>
    <w:rsid w:val="00C837B1"/>
    <w:rsid w:val="00C838EA"/>
    <w:rsid w:val="00C83F4A"/>
    <w:rsid w:val="00C842F5"/>
    <w:rsid w:val="00C845EA"/>
    <w:rsid w:val="00C84667"/>
    <w:rsid w:val="00C84CEB"/>
    <w:rsid w:val="00C84E37"/>
    <w:rsid w:val="00C85585"/>
    <w:rsid w:val="00C85BD6"/>
    <w:rsid w:val="00C8629F"/>
    <w:rsid w:val="00C8766D"/>
    <w:rsid w:val="00C87EFE"/>
    <w:rsid w:val="00C9037C"/>
    <w:rsid w:val="00C9061B"/>
    <w:rsid w:val="00C908BC"/>
    <w:rsid w:val="00C90D68"/>
    <w:rsid w:val="00C93027"/>
    <w:rsid w:val="00C9339A"/>
    <w:rsid w:val="00C94AF6"/>
    <w:rsid w:val="00C94D4A"/>
    <w:rsid w:val="00C95D52"/>
    <w:rsid w:val="00C95EE5"/>
    <w:rsid w:val="00CA08FA"/>
    <w:rsid w:val="00CA09DF"/>
    <w:rsid w:val="00CA12E7"/>
    <w:rsid w:val="00CA1BA1"/>
    <w:rsid w:val="00CA1DA7"/>
    <w:rsid w:val="00CA20D0"/>
    <w:rsid w:val="00CA23CF"/>
    <w:rsid w:val="00CA2A59"/>
    <w:rsid w:val="00CA35FB"/>
    <w:rsid w:val="00CA36BF"/>
    <w:rsid w:val="00CA398A"/>
    <w:rsid w:val="00CA3D46"/>
    <w:rsid w:val="00CA406D"/>
    <w:rsid w:val="00CA457C"/>
    <w:rsid w:val="00CA4B3B"/>
    <w:rsid w:val="00CA4DA6"/>
    <w:rsid w:val="00CA5264"/>
    <w:rsid w:val="00CA583F"/>
    <w:rsid w:val="00CA628C"/>
    <w:rsid w:val="00CA62CB"/>
    <w:rsid w:val="00CA6914"/>
    <w:rsid w:val="00CA6AAA"/>
    <w:rsid w:val="00CA7045"/>
    <w:rsid w:val="00CA7ABB"/>
    <w:rsid w:val="00CA7CC8"/>
    <w:rsid w:val="00CA7EFB"/>
    <w:rsid w:val="00CB052E"/>
    <w:rsid w:val="00CB081A"/>
    <w:rsid w:val="00CB084B"/>
    <w:rsid w:val="00CB1197"/>
    <w:rsid w:val="00CB2358"/>
    <w:rsid w:val="00CB3BCC"/>
    <w:rsid w:val="00CB5109"/>
    <w:rsid w:val="00CB5F46"/>
    <w:rsid w:val="00CB77A3"/>
    <w:rsid w:val="00CB7FAF"/>
    <w:rsid w:val="00CC0A39"/>
    <w:rsid w:val="00CC10E2"/>
    <w:rsid w:val="00CC180D"/>
    <w:rsid w:val="00CC20D2"/>
    <w:rsid w:val="00CC2D3C"/>
    <w:rsid w:val="00CC51CC"/>
    <w:rsid w:val="00CC62A9"/>
    <w:rsid w:val="00CC640D"/>
    <w:rsid w:val="00CC6A99"/>
    <w:rsid w:val="00CC6AA9"/>
    <w:rsid w:val="00CC6C14"/>
    <w:rsid w:val="00CC766A"/>
    <w:rsid w:val="00CC779E"/>
    <w:rsid w:val="00CD0BF5"/>
    <w:rsid w:val="00CD1DF9"/>
    <w:rsid w:val="00CD2726"/>
    <w:rsid w:val="00CD5A21"/>
    <w:rsid w:val="00CD5FFF"/>
    <w:rsid w:val="00CD6274"/>
    <w:rsid w:val="00CD630E"/>
    <w:rsid w:val="00CD67D5"/>
    <w:rsid w:val="00CD6A1B"/>
    <w:rsid w:val="00CD6DC5"/>
    <w:rsid w:val="00CD71F8"/>
    <w:rsid w:val="00CD77C5"/>
    <w:rsid w:val="00CE05D2"/>
    <w:rsid w:val="00CE063B"/>
    <w:rsid w:val="00CE1263"/>
    <w:rsid w:val="00CE2048"/>
    <w:rsid w:val="00CE33B8"/>
    <w:rsid w:val="00CE369A"/>
    <w:rsid w:val="00CE3986"/>
    <w:rsid w:val="00CE41D7"/>
    <w:rsid w:val="00CE50E3"/>
    <w:rsid w:val="00CE5CFA"/>
    <w:rsid w:val="00CE60DE"/>
    <w:rsid w:val="00CE69E9"/>
    <w:rsid w:val="00CF0007"/>
    <w:rsid w:val="00CF0566"/>
    <w:rsid w:val="00CF11FA"/>
    <w:rsid w:val="00CF1D56"/>
    <w:rsid w:val="00CF1F4C"/>
    <w:rsid w:val="00CF2E84"/>
    <w:rsid w:val="00CF37D5"/>
    <w:rsid w:val="00CF4A82"/>
    <w:rsid w:val="00CF63D6"/>
    <w:rsid w:val="00CF642C"/>
    <w:rsid w:val="00D008B5"/>
    <w:rsid w:val="00D01AA0"/>
    <w:rsid w:val="00D0221E"/>
    <w:rsid w:val="00D02757"/>
    <w:rsid w:val="00D02C4D"/>
    <w:rsid w:val="00D03146"/>
    <w:rsid w:val="00D04B87"/>
    <w:rsid w:val="00D04ECD"/>
    <w:rsid w:val="00D06383"/>
    <w:rsid w:val="00D064F5"/>
    <w:rsid w:val="00D06A4C"/>
    <w:rsid w:val="00D0738B"/>
    <w:rsid w:val="00D07CE7"/>
    <w:rsid w:val="00D102A4"/>
    <w:rsid w:val="00D10CEC"/>
    <w:rsid w:val="00D11B69"/>
    <w:rsid w:val="00D11C0A"/>
    <w:rsid w:val="00D11CBC"/>
    <w:rsid w:val="00D12AD3"/>
    <w:rsid w:val="00D132C6"/>
    <w:rsid w:val="00D133FC"/>
    <w:rsid w:val="00D13612"/>
    <w:rsid w:val="00D13B62"/>
    <w:rsid w:val="00D13B76"/>
    <w:rsid w:val="00D144B0"/>
    <w:rsid w:val="00D144BF"/>
    <w:rsid w:val="00D14527"/>
    <w:rsid w:val="00D15003"/>
    <w:rsid w:val="00D1593C"/>
    <w:rsid w:val="00D15D90"/>
    <w:rsid w:val="00D15F95"/>
    <w:rsid w:val="00D175CE"/>
    <w:rsid w:val="00D176CF"/>
    <w:rsid w:val="00D1795A"/>
    <w:rsid w:val="00D17A0C"/>
    <w:rsid w:val="00D17CE0"/>
    <w:rsid w:val="00D203B4"/>
    <w:rsid w:val="00D2056D"/>
    <w:rsid w:val="00D2146B"/>
    <w:rsid w:val="00D21FA1"/>
    <w:rsid w:val="00D21FFC"/>
    <w:rsid w:val="00D22113"/>
    <w:rsid w:val="00D221EE"/>
    <w:rsid w:val="00D2272A"/>
    <w:rsid w:val="00D22882"/>
    <w:rsid w:val="00D229D6"/>
    <w:rsid w:val="00D22EDB"/>
    <w:rsid w:val="00D22FF6"/>
    <w:rsid w:val="00D236F7"/>
    <w:rsid w:val="00D23B9B"/>
    <w:rsid w:val="00D242D0"/>
    <w:rsid w:val="00D2491B"/>
    <w:rsid w:val="00D24A7F"/>
    <w:rsid w:val="00D2597D"/>
    <w:rsid w:val="00D2684F"/>
    <w:rsid w:val="00D27953"/>
    <w:rsid w:val="00D3007B"/>
    <w:rsid w:val="00D315D0"/>
    <w:rsid w:val="00D32099"/>
    <w:rsid w:val="00D3226A"/>
    <w:rsid w:val="00D32561"/>
    <w:rsid w:val="00D32CBD"/>
    <w:rsid w:val="00D32DEE"/>
    <w:rsid w:val="00D33432"/>
    <w:rsid w:val="00D338B4"/>
    <w:rsid w:val="00D33FDC"/>
    <w:rsid w:val="00D3480A"/>
    <w:rsid w:val="00D35664"/>
    <w:rsid w:val="00D36602"/>
    <w:rsid w:val="00D36DE9"/>
    <w:rsid w:val="00D36F1C"/>
    <w:rsid w:val="00D37BBF"/>
    <w:rsid w:val="00D37DEE"/>
    <w:rsid w:val="00D40AF6"/>
    <w:rsid w:val="00D40E46"/>
    <w:rsid w:val="00D434A0"/>
    <w:rsid w:val="00D43CCC"/>
    <w:rsid w:val="00D44B42"/>
    <w:rsid w:val="00D44E43"/>
    <w:rsid w:val="00D45E7E"/>
    <w:rsid w:val="00D46265"/>
    <w:rsid w:val="00D46E16"/>
    <w:rsid w:val="00D4705B"/>
    <w:rsid w:val="00D477CB"/>
    <w:rsid w:val="00D4791D"/>
    <w:rsid w:val="00D47A8D"/>
    <w:rsid w:val="00D5018E"/>
    <w:rsid w:val="00D505B9"/>
    <w:rsid w:val="00D51FB5"/>
    <w:rsid w:val="00D52142"/>
    <w:rsid w:val="00D52808"/>
    <w:rsid w:val="00D5301F"/>
    <w:rsid w:val="00D5337E"/>
    <w:rsid w:val="00D53410"/>
    <w:rsid w:val="00D53DED"/>
    <w:rsid w:val="00D55764"/>
    <w:rsid w:val="00D55DAA"/>
    <w:rsid w:val="00D563F8"/>
    <w:rsid w:val="00D56438"/>
    <w:rsid w:val="00D56E1A"/>
    <w:rsid w:val="00D57712"/>
    <w:rsid w:val="00D609F1"/>
    <w:rsid w:val="00D61A49"/>
    <w:rsid w:val="00D61D7D"/>
    <w:rsid w:val="00D61FED"/>
    <w:rsid w:val="00D61FFC"/>
    <w:rsid w:val="00D6217A"/>
    <w:rsid w:val="00D62240"/>
    <w:rsid w:val="00D6278E"/>
    <w:rsid w:val="00D6312B"/>
    <w:rsid w:val="00D63661"/>
    <w:rsid w:val="00D63F10"/>
    <w:rsid w:val="00D64289"/>
    <w:rsid w:val="00D6438C"/>
    <w:rsid w:val="00D64770"/>
    <w:rsid w:val="00D647E0"/>
    <w:rsid w:val="00D64AB5"/>
    <w:rsid w:val="00D64F78"/>
    <w:rsid w:val="00D65451"/>
    <w:rsid w:val="00D654BE"/>
    <w:rsid w:val="00D65924"/>
    <w:rsid w:val="00D66B57"/>
    <w:rsid w:val="00D66D57"/>
    <w:rsid w:val="00D66D84"/>
    <w:rsid w:val="00D671C6"/>
    <w:rsid w:val="00D67C5A"/>
    <w:rsid w:val="00D70314"/>
    <w:rsid w:val="00D70377"/>
    <w:rsid w:val="00D704F5"/>
    <w:rsid w:val="00D70EB4"/>
    <w:rsid w:val="00D71306"/>
    <w:rsid w:val="00D714F4"/>
    <w:rsid w:val="00D71740"/>
    <w:rsid w:val="00D7277C"/>
    <w:rsid w:val="00D7299B"/>
    <w:rsid w:val="00D73344"/>
    <w:rsid w:val="00D73A29"/>
    <w:rsid w:val="00D73A5A"/>
    <w:rsid w:val="00D74400"/>
    <w:rsid w:val="00D746C9"/>
    <w:rsid w:val="00D747E3"/>
    <w:rsid w:val="00D76D5F"/>
    <w:rsid w:val="00D77C7C"/>
    <w:rsid w:val="00D8039C"/>
    <w:rsid w:val="00D8061A"/>
    <w:rsid w:val="00D80645"/>
    <w:rsid w:val="00D80B91"/>
    <w:rsid w:val="00D80C1F"/>
    <w:rsid w:val="00D8277E"/>
    <w:rsid w:val="00D82BC6"/>
    <w:rsid w:val="00D8415E"/>
    <w:rsid w:val="00D856B3"/>
    <w:rsid w:val="00D87171"/>
    <w:rsid w:val="00D8749A"/>
    <w:rsid w:val="00D87CF9"/>
    <w:rsid w:val="00D9073F"/>
    <w:rsid w:val="00D9100F"/>
    <w:rsid w:val="00D913F6"/>
    <w:rsid w:val="00D91688"/>
    <w:rsid w:val="00D91A31"/>
    <w:rsid w:val="00D9329A"/>
    <w:rsid w:val="00D94C7B"/>
    <w:rsid w:val="00D9501A"/>
    <w:rsid w:val="00D95676"/>
    <w:rsid w:val="00D96354"/>
    <w:rsid w:val="00D9700F"/>
    <w:rsid w:val="00D9702C"/>
    <w:rsid w:val="00D97046"/>
    <w:rsid w:val="00D97628"/>
    <w:rsid w:val="00D977A1"/>
    <w:rsid w:val="00DA035D"/>
    <w:rsid w:val="00DA0E02"/>
    <w:rsid w:val="00DA0F5E"/>
    <w:rsid w:val="00DA1564"/>
    <w:rsid w:val="00DA1767"/>
    <w:rsid w:val="00DA1DB8"/>
    <w:rsid w:val="00DA23CA"/>
    <w:rsid w:val="00DA267E"/>
    <w:rsid w:val="00DA26F7"/>
    <w:rsid w:val="00DA2782"/>
    <w:rsid w:val="00DA2B4D"/>
    <w:rsid w:val="00DA2EBC"/>
    <w:rsid w:val="00DA3746"/>
    <w:rsid w:val="00DA37A0"/>
    <w:rsid w:val="00DA3CB5"/>
    <w:rsid w:val="00DA3EE8"/>
    <w:rsid w:val="00DA4673"/>
    <w:rsid w:val="00DA4BDF"/>
    <w:rsid w:val="00DA5962"/>
    <w:rsid w:val="00DA6141"/>
    <w:rsid w:val="00DA6625"/>
    <w:rsid w:val="00DA6655"/>
    <w:rsid w:val="00DA7DC5"/>
    <w:rsid w:val="00DB01EE"/>
    <w:rsid w:val="00DB0CBC"/>
    <w:rsid w:val="00DB12A1"/>
    <w:rsid w:val="00DB1EA1"/>
    <w:rsid w:val="00DB2F18"/>
    <w:rsid w:val="00DB3681"/>
    <w:rsid w:val="00DB48D4"/>
    <w:rsid w:val="00DB4A65"/>
    <w:rsid w:val="00DB4BFB"/>
    <w:rsid w:val="00DB5452"/>
    <w:rsid w:val="00DB6310"/>
    <w:rsid w:val="00DB6D4A"/>
    <w:rsid w:val="00DB7BAF"/>
    <w:rsid w:val="00DB7DA5"/>
    <w:rsid w:val="00DB7F2A"/>
    <w:rsid w:val="00DC0125"/>
    <w:rsid w:val="00DC10DB"/>
    <w:rsid w:val="00DC1D0A"/>
    <w:rsid w:val="00DC218F"/>
    <w:rsid w:val="00DC2574"/>
    <w:rsid w:val="00DC291E"/>
    <w:rsid w:val="00DC393E"/>
    <w:rsid w:val="00DC3D2F"/>
    <w:rsid w:val="00DC4201"/>
    <w:rsid w:val="00DC4310"/>
    <w:rsid w:val="00DC439B"/>
    <w:rsid w:val="00DC4B11"/>
    <w:rsid w:val="00DC5790"/>
    <w:rsid w:val="00DC6030"/>
    <w:rsid w:val="00DC71FD"/>
    <w:rsid w:val="00DC7413"/>
    <w:rsid w:val="00DC7728"/>
    <w:rsid w:val="00DC785C"/>
    <w:rsid w:val="00DD0101"/>
    <w:rsid w:val="00DD05C6"/>
    <w:rsid w:val="00DD08A2"/>
    <w:rsid w:val="00DD12EE"/>
    <w:rsid w:val="00DD1C19"/>
    <w:rsid w:val="00DD1E1A"/>
    <w:rsid w:val="00DD272E"/>
    <w:rsid w:val="00DD2A72"/>
    <w:rsid w:val="00DD31AB"/>
    <w:rsid w:val="00DD327F"/>
    <w:rsid w:val="00DD3631"/>
    <w:rsid w:val="00DD3CB3"/>
    <w:rsid w:val="00DD3E92"/>
    <w:rsid w:val="00DD4B29"/>
    <w:rsid w:val="00DD4B8C"/>
    <w:rsid w:val="00DD4CCD"/>
    <w:rsid w:val="00DD5981"/>
    <w:rsid w:val="00DD5FE0"/>
    <w:rsid w:val="00DD6419"/>
    <w:rsid w:val="00DD6697"/>
    <w:rsid w:val="00DD778E"/>
    <w:rsid w:val="00DD7990"/>
    <w:rsid w:val="00DE0401"/>
    <w:rsid w:val="00DE0A6A"/>
    <w:rsid w:val="00DE1430"/>
    <w:rsid w:val="00DE25DD"/>
    <w:rsid w:val="00DE329C"/>
    <w:rsid w:val="00DE4111"/>
    <w:rsid w:val="00DE53F7"/>
    <w:rsid w:val="00DE644D"/>
    <w:rsid w:val="00DE64F8"/>
    <w:rsid w:val="00DE671C"/>
    <w:rsid w:val="00DE6A51"/>
    <w:rsid w:val="00DE78F5"/>
    <w:rsid w:val="00DF0417"/>
    <w:rsid w:val="00DF0BFA"/>
    <w:rsid w:val="00DF1044"/>
    <w:rsid w:val="00DF25B3"/>
    <w:rsid w:val="00DF2831"/>
    <w:rsid w:val="00DF3954"/>
    <w:rsid w:val="00DF4681"/>
    <w:rsid w:val="00DF5A07"/>
    <w:rsid w:val="00DF5DF3"/>
    <w:rsid w:val="00DF6608"/>
    <w:rsid w:val="00DF6913"/>
    <w:rsid w:val="00DF6924"/>
    <w:rsid w:val="00DF6D54"/>
    <w:rsid w:val="00DF7391"/>
    <w:rsid w:val="00E004C3"/>
    <w:rsid w:val="00E01804"/>
    <w:rsid w:val="00E018A5"/>
    <w:rsid w:val="00E025AD"/>
    <w:rsid w:val="00E03D26"/>
    <w:rsid w:val="00E041D5"/>
    <w:rsid w:val="00E04344"/>
    <w:rsid w:val="00E0468C"/>
    <w:rsid w:val="00E05245"/>
    <w:rsid w:val="00E0589D"/>
    <w:rsid w:val="00E058F9"/>
    <w:rsid w:val="00E05FA8"/>
    <w:rsid w:val="00E0609C"/>
    <w:rsid w:val="00E06A1B"/>
    <w:rsid w:val="00E06B57"/>
    <w:rsid w:val="00E07769"/>
    <w:rsid w:val="00E07A79"/>
    <w:rsid w:val="00E11193"/>
    <w:rsid w:val="00E11B14"/>
    <w:rsid w:val="00E11C5C"/>
    <w:rsid w:val="00E1205B"/>
    <w:rsid w:val="00E123DD"/>
    <w:rsid w:val="00E13591"/>
    <w:rsid w:val="00E13D41"/>
    <w:rsid w:val="00E13DB9"/>
    <w:rsid w:val="00E14D37"/>
    <w:rsid w:val="00E15274"/>
    <w:rsid w:val="00E1546A"/>
    <w:rsid w:val="00E15670"/>
    <w:rsid w:val="00E159FA"/>
    <w:rsid w:val="00E16ED0"/>
    <w:rsid w:val="00E17147"/>
    <w:rsid w:val="00E2069D"/>
    <w:rsid w:val="00E20FF8"/>
    <w:rsid w:val="00E210BB"/>
    <w:rsid w:val="00E2118F"/>
    <w:rsid w:val="00E214F6"/>
    <w:rsid w:val="00E215A3"/>
    <w:rsid w:val="00E22376"/>
    <w:rsid w:val="00E2265B"/>
    <w:rsid w:val="00E2270C"/>
    <w:rsid w:val="00E228C3"/>
    <w:rsid w:val="00E22B0D"/>
    <w:rsid w:val="00E22DC2"/>
    <w:rsid w:val="00E232B0"/>
    <w:rsid w:val="00E23BEC"/>
    <w:rsid w:val="00E23F1F"/>
    <w:rsid w:val="00E25282"/>
    <w:rsid w:val="00E25BBB"/>
    <w:rsid w:val="00E25C34"/>
    <w:rsid w:val="00E26088"/>
    <w:rsid w:val="00E273A7"/>
    <w:rsid w:val="00E276A5"/>
    <w:rsid w:val="00E2799A"/>
    <w:rsid w:val="00E27F91"/>
    <w:rsid w:val="00E3044F"/>
    <w:rsid w:val="00E30691"/>
    <w:rsid w:val="00E30FF0"/>
    <w:rsid w:val="00E327AE"/>
    <w:rsid w:val="00E3391F"/>
    <w:rsid w:val="00E33B37"/>
    <w:rsid w:val="00E33E47"/>
    <w:rsid w:val="00E3456E"/>
    <w:rsid w:val="00E34B35"/>
    <w:rsid w:val="00E34ED1"/>
    <w:rsid w:val="00E357EB"/>
    <w:rsid w:val="00E36B37"/>
    <w:rsid w:val="00E373F1"/>
    <w:rsid w:val="00E37E33"/>
    <w:rsid w:val="00E37EBA"/>
    <w:rsid w:val="00E40731"/>
    <w:rsid w:val="00E40FA5"/>
    <w:rsid w:val="00E41354"/>
    <w:rsid w:val="00E41C50"/>
    <w:rsid w:val="00E41F09"/>
    <w:rsid w:val="00E41F9F"/>
    <w:rsid w:val="00E421B9"/>
    <w:rsid w:val="00E432D0"/>
    <w:rsid w:val="00E43B24"/>
    <w:rsid w:val="00E45531"/>
    <w:rsid w:val="00E4568F"/>
    <w:rsid w:val="00E45B33"/>
    <w:rsid w:val="00E467B8"/>
    <w:rsid w:val="00E467DC"/>
    <w:rsid w:val="00E46A8F"/>
    <w:rsid w:val="00E51030"/>
    <w:rsid w:val="00E51049"/>
    <w:rsid w:val="00E51354"/>
    <w:rsid w:val="00E52401"/>
    <w:rsid w:val="00E5254D"/>
    <w:rsid w:val="00E52986"/>
    <w:rsid w:val="00E5355F"/>
    <w:rsid w:val="00E536A2"/>
    <w:rsid w:val="00E54A74"/>
    <w:rsid w:val="00E562DF"/>
    <w:rsid w:val="00E569A5"/>
    <w:rsid w:val="00E57559"/>
    <w:rsid w:val="00E60171"/>
    <w:rsid w:val="00E60341"/>
    <w:rsid w:val="00E60A94"/>
    <w:rsid w:val="00E60BBD"/>
    <w:rsid w:val="00E615B2"/>
    <w:rsid w:val="00E61800"/>
    <w:rsid w:val="00E61A85"/>
    <w:rsid w:val="00E61E23"/>
    <w:rsid w:val="00E6212E"/>
    <w:rsid w:val="00E62382"/>
    <w:rsid w:val="00E623E2"/>
    <w:rsid w:val="00E62967"/>
    <w:rsid w:val="00E631DA"/>
    <w:rsid w:val="00E64241"/>
    <w:rsid w:val="00E661AA"/>
    <w:rsid w:val="00E6629C"/>
    <w:rsid w:val="00E676E1"/>
    <w:rsid w:val="00E70024"/>
    <w:rsid w:val="00E7087A"/>
    <w:rsid w:val="00E709AF"/>
    <w:rsid w:val="00E709D3"/>
    <w:rsid w:val="00E71351"/>
    <w:rsid w:val="00E719EA"/>
    <w:rsid w:val="00E72012"/>
    <w:rsid w:val="00E7210C"/>
    <w:rsid w:val="00E7311A"/>
    <w:rsid w:val="00E74ED1"/>
    <w:rsid w:val="00E76775"/>
    <w:rsid w:val="00E76CE0"/>
    <w:rsid w:val="00E800A9"/>
    <w:rsid w:val="00E8316C"/>
    <w:rsid w:val="00E84564"/>
    <w:rsid w:val="00E84654"/>
    <w:rsid w:val="00E84A66"/>
    <w:rsid w:val="00E850A6"/>
    <w:rsid w:val="00E853F1"/>
    <w:rsid w:val="00E85FB3"/>
    <w:rsid w:val="00E86FFB"/>
    <w:rsid w:val="00E87082"/>
    <w:rsid w:val="00E87586"/>
    <w:rsid w:val="00E87610"/>
    <w:rsid w:val="00E87628"/>
    <w:rsid w:val="00E92752"/>
    <w:rsid w:val="00E93373"/>
    <w:rsid w:val="00E94D69"/>
    <w:rsid w:val="00E95E4D"/>
    <w:rsid w:val="00E96EB6"/>
    <w:rsid w:val="00E97456"/>
    <w:rsid w:val="00E979D1"/>
    <w:rsid w:val="00EA002F"/>
    <w:rsid w:val="00EA1886"/>
    <w:rsid w:val="00EA2112"/>
    <w:rsid w:val="00EA2A68"/>
    <w:rsid w:val="00EA2F4C"/>
    <w:rsid w:val="00EA4513"/>
    <w:rsid w:val="00EA55F5"/>
    <w:rsid w:val="00EB13E8"/>
    <w:rsid w:val="00EB1B3C"/>
    <w:rsid w:val="00EB1BC7"/>
    <w:rsid w:val="00EB43BD"/>
    <w:rsid w:val="00EB57A3"/>
    <w:rsid w:val="00EB60F7"/>
    <w:rsid w:val="00EB62C0"/>
    <w:rsid w:val="00EB62F2"/>
    <w:rsid w:val="00EB670A"/>
    <w:rsid w:val="00EB7600"/>
    <w:rsid w:val="00EB7A95"/>
    <w:rsid w:val="00EB7B9E"/>
    <w:rsid w:val="00EB7C29"/>
    <w:rsid w:val="00EC0035"/>
    <w:rsid w:val="00EC0204"/>
    <w:rsid w:val="00EC0612"/>
    <w:rsid w:val="00EC071B"/>
    <w:rsid w:val="00EC08B5"/>
    <w:rsid w:val="00EC0CFA"/>
    <w:rsid w:val="00EC154C"/>
    <w:rsid w:val="00EC1722"/>
    <w:rsid w:val="00EC28F6"/>
    <w:rsid w:val="00EC2E38"/>
    <w:rsid w:val="00EC35B9"/>
    <w:rsid w:val="00EC795B"/>
    <w:rsid w:val="00ED0001"/>
    <w:rsid w:val="00ED04A0"/>
    <w:rsid w:val="00ED1D5F"/>
    <w:rsid w:val="00ED2155"/>
    <w:rsid w:val="00ED2D59"/>
    <w:rsid w:val="00ED3963"/>
    <w:rsid w:val="00ED3B4A"/>
    <w:rsid w:val="00ED4187"/>
    <w:rsid w:val="00ED4292"/>
    <w:rsid w:val="00ED47AA"/>
    <w:rsid w:val="00ED5675"/>
    <w:rsid w:val="00ED5E19"/>
    <w:rsid w:val="00ED6B61"/>
    <w:rsid w:val="00ED7091"/>
    <w:rsid w:val="00ED714F"/>
    <w:rsid w:val="00ED745D"/>
    <w:rsid w:val="00ED7E94"/>
    <w:rsid w:val="00ED7ED3"/>
    <w:rsid w:val="00EE021E"/>
    <w:rsid w:val="00EE057E"/>
    <w:rsid w:val="00EE09A5"/>
    <w:rsid w:val="00EE1AF6"/>
    <w:rsid w:val="00EE1E06"/>
    <w:rsid w:val="00EE306F"/>
    <w:rsid w:val="00EE3A6A"/>
    <w:rsid w:val="00EE429D"/>
    <w:rsid w:val="00EE4785"/>
    <w:rsid w:val="00EE4848"/>
    <w:rsid w:val="00EE4E58"/>
    <w:rsid w:val="00EE57F6"/>
    <w:rsid w:val="00EE5834"/>
    <w:rsid w:val="00EE5EFC"/>
    <w:rsid w:val="00EE6531"/>
    <w:rsid w:val="00EE676D"/>
    <w:rsid w:val="00EE6B98"/>
    <w:rsid w:val="00EE6D98"/>
    <w:rsid w:val="00EE6E3A"/>
    <w:rsid w:val="00EE7250"/>
    <w:rsid w:val="00EF013F"/>
    <w:rsid w:val="00EF0A1E"/>
    <w:rsid w:val="00EF0B21"/>
    <w:rsid w:val="00EF0F7B"/>
    <w:rsid w:val="00EF15CC"/>
    <w:rsid w:val="00EF1DE8"/>
    <w:rsid w:val="00EF3511"/>
    <w:rsid w:val="00EF537B"/>
    <w:rsid w:val="00EF6E17"/>
    <w:rsid w:val="00F013D0"/>
    <w:rsid w:val="00F01650"/>
    <w:rsid w:val="00F02661"/>
    <w:rsid w:val="00F031D6"/>
    <w:rsid w:val="00F0323F"/>
    <w:rsid w:val="00F0335C"/>
    <w:rsid w:val="00F034A2"/>
    <w:rsid w:val="00F03772"/>
    <w:rsid w:val="00F038AD"/>
    <w:rsid w:val="00F0398C"/>
    <w:rsid w:val="00F04668"/>
    <w:rsid w:val="00F046DB"/>
    <w:rsid w:val="00F05083"/>
    <w:rsid w:val="00F058C6"/>
    <w:rsid w:val="00F05985"/>
    <w:rsid w:val="00F05C52"/>
    <w:rsid w:val="00F07863"/>
    <w:rsid w:val="00F07BAE"/>
    <w:rsid w:val="00F07E99"/>
    <w:rsid w:val="00F07E9D"/>
    <w:rsid w:val="00F07F02"/>
    <w:rsid w:val="00F10C11"/>
    <w:rsid w:val="00F10E71"/>
    <w:rsid w:val="00F118EB"/>
    <w:rsid w:val="00F11D0C"/>
    <w:rsid w:val="00F12194"/>
    <w:rsid w:val="00F12E14"/>
    <w:rsid w:val="00F13160"/>
    <w:rsid w:val="00F13258"/>
    <w:rsid w:val="00F13E61"/>
    <w:rsid w:val="00F1448F"/>
    <w:rsid w:val="00F147B9"/>
    <w:rsid w:val="00F16324"/>
    <w:rsid w:val="00F16BF4"/>
    <w:rsid w:val="00F1733E"/>
    <w:rsid w:val="00F2075A"/>
    <w:rsid w:val="00F216CB"/>
    <w:rsid w:val="00F21FDE"/>
    <w:rsid w:val="00F2467B"/>
    <w:rsid w:val="00F24911"/>
    <w:rsid w:val="00F25E20"/>
    <w:rsid w:val="00F25EEF"/>
    <w:rsid w:val="00F267A3"/>
    <w:rsid w:val="00F26914"/>
    <w:rsid w:val="00F3051B"/>
    <w:rsid w:val="00F30B2C"/>
    <w:rsid w:val="00F30EA0"/>
    <w:rsid w:val="00F3104F"/>
    <w:rsid w:val="00F325F7"/>
    <w:rsid w:val="00F3331E"/>
    <w:rsid w:val="00F33368"/>
    <w:rsid w:val="00F333FA"/>
    <w:rsid w:val="00F33F5B"/>
    <w:rsid w:val="00F354F1"/>
    <w:rsid w:val="00F35511"/>
    <w:rsid w:val="00F35CD8"/>
    <w:rsid w:val="00F36D3D"/>
    <w:rsid w:val="00F37A43"/>
    <w:rsid w:val="00F37DFB"/>
    <w:rsid w:val="00F404CD"/>
    <w:rsid w:val="00F40AB1"/>
    <w:rsid w:val="00F40B8D"/>
    <w:rsid w:val="00F40C14"/>
    <w:rsid w:val="00F413E3"/>
    <w:rsid w:val="00F41A59"/>
    <w:rsid w:val="00F42048"/>
    <w:rsid w:val="00F42063"/>
    <w:rsid w:val="00F4318E"/>
    <w:rsid w:val="00F43802"/>
    <w:rsid w:val="00F439D7"/>
    <w:rsid w:val="00F443D0"/>
    <w:rsid w:val="00F4472B"/>
    <w:rsid w:val="00F452E6"/>
    <w:rsid w:val="00F4573D"/>
    <w:rsid w:val="00F45EFB"/>
    <w:rsid w:val="00F4618F"/>
    <w:rsid w:val="00F4662A"/>
    <w:rsid w:val="00F4730B"/>
    <w:rsid w:val="00F475CA"/>
    <w:rsid w:val="00F503FD"/>
    <w:rsid w:val="00F50498"/>
    <w:rsid w:val="00F506F6"/>
    <w:rsid w:val="00F50A38"/>
    <w:rsid w:val="00F50FD7"/>
    <w:rsid w:val="00F510C3"/>
    <w:rsid w:val="00F5177F"/>
    <w:rsid w:val="00F51AF1"/>
    <w:rsid w:val="00F51F21"/>
    <w:rsid w:val="00F525C8"/>
    <w:rsid w:val="00F52CCA"/>
    <w:rsid w:val="00F5314B"/>
    <w:rsid w:val="00F53273"/>
    <w:rsid w:val="00F53883"/>
    <w:rsid w:val="00F538F1"/>
    <w:rsid w:val="00F54623"/>
    <w:rsid w:val="00F549B4"/>
    <w:rsid w:val="00F550B1"/>
    <w:rsid w:val="00F5612E"/>
    <w:rsid w:val="00F573C0"/>
    <w:rsid w:val="00F57785"/>
    <w:rsid w:val="00F607AF"/>
    <w:rsid w:val="00F61724"/>
    <w:rsid w:val="00F649B6"/>
    <w:rsid w:val="00F64B90"/>
    <w:rsid w:val="00F64BA0"/>
    <w:rsid w:val="00F64FDA"/>
    <w:rsid w:val="00F658B6"/>
    <w:rsid w:val="00F65ABA"/>
    <w:rsid w:val="00F65C91"/>
    <w:rsid w:val="00F65FD9"/>
    <w:rsid w:val="00F6632D"/>
    <w:rsid w:val="00F70784"/>
    <w:rsid w:val="00F709AC"/>
    <w:rsid w:val="00F70C8A"/>
    <w:rsid w:val="00F714EB"/>
    <w:rsid w:val="00F71A6A"/>
    <w:rsid w:val="00F71CBE"/>
    <w:rsid w:val="00F72AE1"/>
    <w:rsid w:val="00F72DA6"/>
    <w:rsid w:val="00F72FE8"/>
    <w:rsid w:val="00F734D9"/>
    <w:rsid w:val="00F75ED7"/>
    <w:rsid w:val="00F76E8E"/>
    <w:rsid w:val="00F76F83"/>
    <w:rsid w:val="00F76FE9"/>
    <w:rsid w:val="00F774EF"/>
    <w:rsid w:val="00F77B36"/>
    <w:rsid w:val="00F8005B"/>
    <w:rsid w:val="00F803D6"/>
    <w:rsid w:val="00F80638"/>
    <w:rsid w:val="00F81400"/>
    <w:rsid w:val="00F81B78"/>
    <w:rsid w:val="00F825DC"/>
    <w:rsid w:val="00F825E9"/>
    <w:rsid w:val="00F82A08"/>
    <w:rsid w:val="00F82E75"/>
    <w:rsid w:val="00F82EA1"/>
    <w:rsid w:val="00F8315A"/>
    <w:rsid w:val="00F83368"/>
    <w:rsid w:val="00F840C8"/>
    <w:rsid w:val="00F843A1"/>
    <w:rsid w:val="00F846BB"/>
    <w:rsid w:val="00F84944"/>
    <w:rsid w:val="00F84E24"/>
    <w:rsid w:val="00F85015"/>
    <w:rsid w:val="00F85110"/>
    <w:rsid w:val="00F85223"/>
    <w:rsid w:val="00F85474"/>
    <w:rsid w:val="00F86BA4"/>
    <w:rsid w:val="00F86D16"/>
    <w:rsid w:val="00F8792D"/>
    <w:rsid w:val="00F879A6"/>
    <w:rsid w:val="00F87EF5"/>
    <w:rsid w:val="00F908A7"/>
    <w:rsid w:val="00F90D05"/>
    <w:rsid w:val="00F911D0"/>
    <w:rsid w:val="00F9147F"/>
    <w:rsid w:val="00F915A4"/>
    <w:rsid w:val="00F91EEE"/>
    <w:rsid w:val="00F92C5B"/>
    <w:rsid w:val="00F92D0B"/>
    <w:rsid w:val="00F93156"/>
    <w:rsid w:val="00F9327E"/>
    <w:rsid w:val="00F94539"/>
    <w:rsid w:val="00F9542E"/>
    <w:rsid w:val="00F95549"/>
    <w:rsid w:val="00F9617E"/>
    <w:rsid w:val="00F96BF2"/>
    <w:rsid w:val="00F9711D"/>
    <w:rsid w:val="00F97319"/>
    <w:rsid w:val="00FA0F5B"/>
    <w:rsid w:val="00FA0F7D"/>
    <w:rsid w:val="00FA26E8"/>
    <w:rsid w:val="00FA26F8"/>
    <w:rsid w:val="00FA2D1D"/>
    <w:rsid w:val="00FA3330"/>
    <w:rsid w:val="00FA35B7"/>
    <w:rsid w:val="00FA35BA"/>
    <w:rsid w:val="00FA4BB7"/>
    <w:rsid w:val="00FA4CFB"/>
    <w:rsid w:val="00FA5A62"/>
    <w:rsid w:val="00FA5EDE"/>
    <w:rsid w:val="00FA618A"/>
    <w:rsid w:val="00FA658D"/>
    <w:rsid w:val="00FA6773"/>
    <w:rsid w:val="00FA6DE9"/>
    <w:rsid w:val="00FB0C4B"/>
    <w:rsid w:val="00FB0DE5"/>
    <w:rsid w:val="00FB11DB"/>
    <w:rsid w:val="00FB3222"/>
    <w:rsid w:val="00FB39B8"/>
    <w:rsid w:val="00FB46A1"/>
    <w:rsid w:val="00FB473B"/>
    <w:rsid w:val="00FB4937"/>
    <w:rsid w:val="00FB508C"/>
    <w:rsid w:val="00FB5107"/>
    <w:rsid w:val="00FB553D"/>
    <w:rsid w:val="00FB5AB9"/>
    <w:rsid w:val="00FB6632"/>
    <w:rsid w:val="00FB6851"/>
    <w:rsid w:val="00FB7487"/>
    <w:rsid w:val="00FB7627"/>
    <w:rsid w:val="00FB7715"/>
    <w:rsid w:val="00FB79B9"/>
    <w:rsid w:val="00FB7B78"/>
    <w:rsid w:val="00FC006B"/>
    <w:rsid w:val="00FC0113"/>
    <w:rsid w:val="00FC0DF3"/>
    <w:rsid w:val="00FC23BD"/>
    <w:rsid w:val="00FC291B"/>
    <w:rsid w:val="00FC2E40"/>
    <w:rsid w:val="00FC2EA6"/>
    <w:rsid w:val="00FC48CA"/>
    <w:rsid w:val="00FC5EEB"/>
    <w:rsid w:val="00FC6874"/>
    <w:rsid w:val="00FD1C7D"/>
    <w:rsid w:val="00FD2C36"/>
    <w:rsid w:val="00FD366F"/>
    <w:rsid w:val="00FD3878"/>
    <w:rsid w:val="00FD5513"/>
    <w:rsid w:val="00FD585A"/>
    <w:rsid w:val="00FD60D9"/>
    <w:rsid w:val="00FD641D"/>
    <w:rsid w:val="00FD694E"/>
    <w:rsid w:val="00FD6E4A"/>
    <w:rsid w:val="00FD70C6"/>
    <w:rsid w:val="00FD7B3F"/>
    <w:rsid w:val="00FD7BCA"/>
    <w:rsid w:val="00FD7DB3"/>
    <w:rsid w:val="00FE0323"/>
    <w:rsid w:val="00FE0609"/>
    <w:rsid w:val="00FE0DC5"/>
    <w:rsid w:val="00FE13A9"/>
    <w:rsid w:val="00FE14AC"/>
    <w:rsid w:val="00FE1650"/>
    <w:rsid w:val="00FE16B5"/>
    <w:rsid w:val="00FE1923"/>
    <w:rsid w:val="00FE1F4E"/>
    <w:rsid w:val="00FE2346"/>
    <w:rsid w:val="00FE24C2"/>
    <w:rsid w:val="00FE255D"/>
    <w:rsid w:val="00FE2A1E"/>
    <w:rsid w:val="00FE2CF7"/>
    <w:rsid w:val="00FE2D66"/>
    <w:rsid w:val="00FE2EBC"/>
    <w:rsid w:val="00FE3152"/>
    <w:rsid w:val="00FE3308"/>
    <w:rsid w:val="00FE40AB"/>
    <w:rsid w:val="00FE4F4E"/>
    <w:rsid w:val="00FE5809"/>
    <w:rsid w:val="00FE59D6"/>
    <w:rsid w:val="00FE7C40"/>
    <w:rsid w:val="00FF05FF"/>
    <w:rsid w:val="00FF08A5"/>
    <w:rsid w:val="00FF190F"/>
    <w:rsid w:val="00FF19FE"/>
    <w:rsid w:val="00FF3655"/>
    <w:rsid w:val="00FF48B8"/>
    <w:rsid w:val="00FF4ADF"/>
    <w:rsid w:val="00FF4C6E"/>
    <w:rsid w:val="00FF6354"/>
    <w:rsid w:val="00FF6D16"/>
    <w:rsid w:val="00FF75DE"/>
    <w:rsid w:val="00FF760D"/>
    <w:rsid w:val="00FF79E4"/>
    <w:rsid w:val="00FF7D66"/>
    <w:rsid w:val="00FF7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C17DF"/>
  <w15:chartTrackingRefBased/>
  <w15:docId w15:val="{AC39AEA2-5294-4745-A5C7-683F6AB0F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438C"/>
  </w:style>
  <w:style w:type="paragraph" w:styleId="2">
    <w:name w:val="heading 2"/>
    <w:basedOn w:val="a"/>
    <w:next w:val="a"/>
    <w:link w:val="20"/>
    <w:uiPriority w:val="9"/>
    <w:unhideWhenUsed/>
    <w:qFormat/>
    <w:rsid w:val="0068322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22AB"/>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Абзац вправо-1,List Paragraph1"/>
    <w:basedOn w:val="a"/>
    <w:link w:val="a5"/>
    <w:uiPriority w:val="34"/>
    <w:qFormat/>
    <w:rsid w:val="000F28F1"/>
    <w:pPr>
      <w:ind w:left="720"/>
      <w:contextualSpacing/>
    </w:pPr>
  </w:style>
  <w:style w:type="character" w:styleId="a6">
    <w:name w:val="Hyperlink"/>
    <w:basedOn w:val="a0"/>
    <w:uiPriority w:val="99"/>
    <w:unhideWhenUsed/>
    <w:rsid w:val="00CA398A"/>
    <w:rPr>
      <w:color w:val="0563C1" w:themeColor="hyperlink"/>
      <w:u w:val="single"/>
    </w:rPr>
  </w:style>
  <w:style w:type="paragraph" w:customStyle="1" w:styleId="AuthorName">
    <w:name w:val="Author Name"/>
    <w:basedOn w:val="a"/>
    <w:next w:val="AuthorAffiliation"/>
    <w:rsid w:val="00CA398A"/>
    <w:pPr>
      <w:spacing w:before="360" w:after="360" w:line="240" w:lineRule="auto"/>
      <w:jc w:val="center"/>
    </w:pPr>
    <w:rPr>
      <w:rFonts w:ascii="Times New Roman" w:eastAsia="Times New Roman" w:hAnsi="Times New Roman" w:cs="Times New Roman"/>
      <w:sz w:val="28"/>
      <w:szCs w:val="20"/>
    </w:rPr>
  </w:style>
  <w:style w:type="paragraph" w:customStyle="1" w:styleId="AuthorAffiliation">
    <w:name w:val="Author Affiliation"/>
    <w:basedOn w:val="a"/>
    <w:rsid w:val="00CA398A"/>
    <w:pPr>
      <w:spacing w:after="0" w:line="240" w:lineRule="auto"/>
      <w:jc w:val="center"/>
    </w:pPr>
    <w:rPr>
      <w:rFonts w:ascii="Times New Roman" w:eastAsia="Times New Roman" w:hAnsi="Times New Roman" w:cs="Times New Roman"/>
      <w:i/>
      <w:sz w:val="20"/>
      <w:szCs w:val="20"/>
    </w:rPr>
  </w:style>
  <w:style w:type="paragraph" w:customStyle="1" w:styleId="AuthorEmail">
    <w:name w:val="Author Email"/>
    <w:basedOn w:val="a"/>
    <w:qFormat/>
    <w:rsid w:val="00CA398A"/>
    <w:pPr>
      <w:spacing w:after="0" w:line="240" w:lineRule="auto"/>
      <w:jc w:val="center"/>
    </w:pPr>
    <w:rPr>
      <w:rFonts w:ascii="Times New Roman" w:eastAsia="Times New Roman" w:hAnsi="Times New Roman" w:cs="Times New Roman"/>
      <w:sz w:val="20"/>
      <w:szCs w:val="20"/>
    </w:rPr>
  </w:style>
  <w:style w:type="character" w:customStyle="1" w:styleId="1">
    <w:name w:val="Неразрешенное упоминание1"/>
    <w:basedOn w:val="a0"/>
    <w:uiPriority w:val="99"/>
    <w:semiHidden/>
    <w:unhideWhenUsed/>
    <w:rsid w:val="000C106A"/>
    <w:rPr>
      <w:color w:val="605E5C"/>
      <w:shd w:val="clear" w:color="auto" w:fill="E1DFDD"/>
    </w:rPr>
  </w:style>
  <w:style w:type="paragraph" w:customStyle="1" w:styleId="Default">
    <w:name w:val="Default"/>
    <w:rsid w:val="00DE411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a5">
    <w:name w:val="Абзац списка Знак"/>
    <w:aliases w:val="Абзац вправо-1 Знак,List Paragraph1 Знак"/>
    <w:link w:val="a4"/>
    <w:uiPriority w:val="34"/>
    <w:locked/>
    <w:rsid w:val="006A4554"/>
  </w:style>
  <w:style w:type="character" w:customStyle="1" w:styleId="20">
    <w:name w:val="Заголовок 2 Знак"/>
    <w:basedOn w:val="a0"/>
    <w:link w:val="2"/>
    <w:uiPriority w:val="9"/>
    <w:rsid w:val="00683229"/>
    <w:rPr>
      <w:rFonts w:asciiTheme="majorHAnsi" w:eastAsiaTheme="majorEastAsia" w:hAnsiTheme="majorHAnsi" w:cstheme="majorBidi"/>
      <w:color w:val="2E74B5" w:themeColor="accent1" w:themeShade="BF"/>
      <w:sz w:val="26"/>
      <w:szCs w:val="26"/>
    </w:rPr>
  </w:style>
  <w:style w:type="paragraph" w:styleId="a7">
    <w:name w:val="footnote text"/>
    <w:basedOn w:val="a"/>
    <w:link w:val="a8"/>
    <w:uiPriority w:val="99"/>
    <w:semiHidden/>
    <w:unhideWhenUsed/>
    <w:rsid w:val="00FA618A"/>
    <w:pPr>
      <w:spacing w:after="0" w:line="240" w:lineRule="auto"/>
    </w:pPr>
    <w:rPr>
      <w:sz w:val="20"/>
      <w:szCs w:val="20"/>
    </w:rPr>
  </w:style>
  <w:style w:type="character" w:customStyle="1" w:styleId="a8">
    <w:name w:val="Текст сноски Знак"/>
    <w:basedOn w:val="a0"/>
    <w:link w:val="a7"/>
    <w:uiPriority w:val="99"/>
    <w:semiHidden/>
    <w:rsid w:val="00FA618A"/>
    <w:rPr>
      <w:sz w:val="20"/>
      <w:szCs w:val="20"/>
    </w:rPr>
  </w:style>
  <w:style w:type="character" w:styleId="a9">
    <w:name w:val="footnote reference"/>
    <w:basedOn w:val="a0"/>
    <w:uiPriority w:val="99"/>
    <w:semiHidden/>
    <w:unhideWhenUsed/>
    <w:rsid w:val="00FA618A"/>
    <w:rPr>
      <w:vertAlign w:val="superscript"/>
    </w:rPr>
  </w:style>
  <w:style w:type="character" w:styleId="aa">
    <w:name w:val="Unresolved Mention"/>
    <w:basedOn w:val="a0"/>
    <w:uiPriority w:val="99"/>
    <w:semiHidden/>
    <w:unhideWhenUsed/>
    <w:rsid w:val="001914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1833">
      <w:bodyDiv w:val="1"/>
      <w:marLeft w:val="0"/>
      <w:marRight w:val="0"/>
      <w:marTop w:val="0"/>
      <w:marBottom w:val="0"/>
      <w:divBdr>
        <w:top w:val="none" w:sz="0" w:space="0" w:color="auto"/>
        <w:left w:val="none" w:sz="0" w:space="0" w:color="auto"/>
        <w:bottom w:val="none" w:sz="0" w:space="0" w:color="auto"/>
        <w:right w:val="none" w:sz="0" w:space="0" w:color="auto"/>
      </w:divBdr>
    </w:div>
    <w:div w:id="141433964">
      <w:bodyDiv w:val="1"/>
      <w:marLeft w:val="0"/>
      <w:marRight w:val="0"/>
      <w:marTop w:val="0"/>
      <w:marBottom w:val="0"/>
      <w:divBdr>
        <w:top w:val="none" w:sz="0" w:space="0" w:color="auto"/>
        <w:left w:val="none" w:sz="0" w:space="0" w:color="auto"/>
        <w:bottom w:val="none" w:sz="0" w:space="0" w:color="auto"/>
        <w:right w:val="none" w:sz="0" w:space="0" w:color="auto"/>
      </w:divBdr>
    </w:div>
    <w:div w:id="966662708">
      <w:bodyDiv w:val="1"/>
      <w:marLeft w:val="0"/>
      <w:marRight w:val="0"/>
      <w:marTop w:val="0"/>
      <w:marBottom w:val="0"/>
      <w:divBdr>
        <w:top w:val="none" w:sz="0" w:space="0" w:color="auto"/>
        <w:left w:val="none" w:sz="0" w:space="0" w:color="auto"/>
        <w:bottom w:val="none" w:sz="0" w:space="0" w:color="auto"/>
        <w:right w:val="none" w:sz="0" w:space="0" w:color="auto"/>
      </w:divBdr>
    </w:div>
    <w:div w:id="1326591866">
      <w:bodyDiv w:val="1"/>
      <w:marLeft w:val="0"/>
      <w:marRight w:val="0"/>
      <w:marTop w:val="0"/>
      <w:marBottom w:val="0"/>
      <w:divBdr>
        <w:top w:val="none" w:sz="0" w:space="0" w:color="auto"/>
        <w:left w:val="none" w:sz="0" w:space="0" w:color="auto"/>
        <w:bottom w:val="none" w:sz="0" w:space="0" w:color="auto"/>
        <w:right w:val="none" w:sz="0" w:space="0" w:color="auto"/>
      </w:divBdr>
    </w:div>
    <w:div w:id="1662078753">
      <w:bodyDiv w:val="1"/>
      <w:marLeft w:val="0"/>
      <w:marRight w:val="0"/>
      <w:marTop w:val="0"/>
      <w:marBottom w:val="0"/>
      <w:divBdr>
        <w:top w:val="none" w:sz="0" w:space="0" w:color="auto"/>
        <w:left w:val="none" w:sz="0" w:space="0" w:color="auto"/>
        <w:bottom w:val="none" w:sz="0" w:space="0" w:color="auto"/>
        <w:right w:val="none" w:sz="0" w:space="0" w:color="auto"/>
      </w:divBdr>
    </w:div>
    <w:div w:id="1827475715">
      <w:bodyDiv w:val="1"/>
      <w:marLeft w:val="0"/>
      <w:marRight w:val="0"/>
      <w:marTop w:val="0"/>
      <w:marBottom w:val="0"/>
      <w:divBdr>
        <w:top w:val="none" w:sz="0" w:space="0" w:color="auto"/>
        <w:left w:val="none" w:sz="0" w:space="0" w:color="auto"/>
        <w:bottom w:val="none" w:sz="0" w:space="0" w:color="auto"/>
        <w:right w:val="none" w:sz="0" w:space="0" w:color="auto"/>
      </w:divBdr>
    </w:div>
    <w:div w:id="186590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63/5.0267444" TargetMode="External"/><Relationship Id="rId5" Type="http://schemas.openxmlformats.org/officeDocument/2006/relationships/webSettings" Target="webSettings.xml"/><Relationship Id="rId10" Type="http://schemas.openxmlformats.org/officeDocument/2006/relationships/hyperlink" Target="https://doi.org/10.1063/5.0305963" TargetMode="External"/><Relationship Id="rId4" Type="http://schemas.openxmlformats.org/officeDocument/2006/relationships/settings" Target="settings.xml"/><Relationship Id="rId9" Type="http://schemas.openxmlformats.org/officeDocument/2006/relationships/hyperlink" Target="https://webdev.ung.uz/media/allfiles/files/2054e7971d4b4be680bdab01d654e94e.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909D51-3157-49CB-B94A-C9E19633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Pages>
  <Words>3491</Words>
  <Characters>19905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eso</dc:creator>
  <cp:keywords/>
  <dc:description/>
  <cp:lastModifiedBy>Пользователь</cp:lastModifiedBy>
  <cp:revision>5</cp:revision>
  <cp:lastPrinted>2023-12-26T18:03:00Z</cp:lastPrinted>
  <dcterms:created xsi:type="dcterms:W3CDTF">2024-07-17T07:39:00Z</dcterms:created>
  <dcterms:modified xsi:type="dcterms:W3CDTF">2026-01-08T11:52:00Z</dcterms:modified>
</cp:coreProperties>
</file>