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7B272" w14:textId="0B91D12F" w:rsidR="008B791C" w:rsidRDefault="008B791C" w:rsidP="00CE67E4">
      <w:pPr>
        <w:pStyle w:val="AuthorName"/>
        <w:spacing w:before="1200" w:after="200"/>
        <w:rPr>
          <w:rFonts w:eastAsiaTheme="minorHAnsi"/>
          <w:b/>
          <w:sz w:val="36"/>
          <w:szCs w:val="36"/>
        </w:rPr>
      </w:pPr>
      <w:r w:rsidRPr="008B791C">
        <w:rPr>
          <w:rFonts w:eastAsiaTheme="minorHAnsi"/>
          <w:b/>
          <w:sz w:val="36"/>
          <w:szCs w:val="36"/>
        </w:rPr>
        <w:t>Development of a technological scheme for energy equipment based on renewable en</w:t>
      </w:r>
      <w:r w:rsidR="005C77B4">
        <w:rPr>
          <w:rFonts w:eastAsiaTheme="minorHAnsi"/>
          <w:b/>
          <w:sz w:val="36"/>
          <w:szCs w:val="36"/>
        </w:rPr>
        <w:t>ergy sources</w:t>
      </w:r>
      <w:bookmarkStart w:id="0" w:name="_GoBack"/>
      <w:bookmarkEnd w:id="0"/>
    </w:p>
    <w:p w14:paraId="1E359DE7" w14:textId="4CB13F75" w:rsidR="008B791C" w:rsidRPr="003B6E6D" w:rsidRDefault="008B791C" w:rsidP="008B791C">
      <w:pPr>
        <w:pStyle w:val="AuthorName"/>
        <w:spacing w:before="240" w:after="200"/>
        <w:rPr>
          <w:sz w:val="20"/>
          <w:lang w:eastAsia="en-GB"/>
        </w:rPr>
      </w:pPr>
      <w:r>
        <w:t>Kamoliddin Kadirov</w:t>
      </w:r>
      <w:r w:rsidRPr="001970E3">
        <w:rPr>
          <w:vertAlign w:val="superscript"/>
          <w:lang w:val="uz-Cyrl-UZ"/>
        </w:rPr>
        <w:t>1</w:t>
      </w:r>
      <w:r w:rsidRPr="00287E0A">
        <w:t xml:space="preserve">, </w:t>
      </w:r>
      <w:r>
        <w:t>Khusniya Ibragimova</w:t>
      </w:r>
      <w:r w:rsidRPr="001970E3">
        <w:rPr>
          <w:vertAlign w:val="superscript"/>
          <w:lang w:val="uz-Cyrl-UZ"/>
        </w:rPr>
        <w:t>2</w:t>
      </w:r>
      <w:r w:rsidR="003B6E6D">
        <w:rPr>
          <w:vertAlign w:val="superscript"/>
        </w:rPr>
        <w:t xml:space="preserve">, </w:t>
      </w:r>
      <w:r w:rsidR="009C3A55">
        <w:rPr>
          <w:vertAlign w:val="superscript"/>
        </w:rPr>
        <w:t>a)</w:t>
      </w:r>
    </w:p>
    <w:p w14:paraId="09F75C45" w14:textId="7ADE6F9D" w:rsidR="008B791C" w:rsidRDefault="008B791C" w:rsidP="008B791C">
      <w:pPr>
        <w:pStyle w:val="AuthorAffiliation"/>
      </w:pPr>
      <w:r w:rsidRPr="001970E3">
        <w:rPr>
          <w:vertAlign w:val="superscript"/>
          <w:lang w:val="uz-Cyrl-UZ"/>
        </w:rPr>
        <w:t>1</w:t>
      </w:r>
      <w:r w:rsidR="000D75AA">
        <w:t xml:space="preserve">Academy of sciences of the Republic of Uzbekistan </w:t>
      </w:r>
      <w:r>
        <w:t>Institute of Energy Problems, Tashkent,</w:t>
      </w:r>
      <w:r w:rsidRPr="00287E0A">
        <w:t xml:space="preserve"> Uzbekistan</w:t>
      </w:r>
      <w:r>
        <w:rPr>
          <w:lang w:val="uz-Cyrl-UZ"/>
        </w:rPr>
        <w:t xml:space="preserve"> </w:t>
      </w:r>
    </w:p>
    <w:p w14:paraId="719B8321" w14:textId="77777777" w:rsidR="008B791C" w:rsidRPr="00A4691D" w:rsidRDefault="008B791C" w:rsidP="008B791C">
      <w:pPr>
        <w:pStyle w:val="AuthorAffiliation"/>
      </w:pPr>
      <w:r w:rsidRPr="00A4691D">
        <w:rPr>
          <w:vertAlign w:val="superscript"/>
        </w:rPr>
        <w:t>2</w:t>
      </w:r>
      <w:r w:rsidR="000D75AA" w:rsidRPr="000D75AA">
        <w:t>Navoi State Mini</w:t>
      </w:r>
      <w:r w:rsidR="000D75AA">
        <w:t>ng and Technological University</w:t>
      </w:r>
      <w:r>
        <w:t>,</w:t>
      </w:r>
      <w:r w:rsidRPr="00A4691D">
        <w:t xml:space="preserve"> </w:t>
      </w:r>
      <w:r w:rsidR="000D75AA">
        <w:t>Navoiy</w:t>
      </w:r>
      <w:r>
        <w:t>,</w:t>
      </w:r>
      <w:r w:rsidRPr="00287E0A">
        <w:t xml:space="preserve"> Uzbekistan</w:t>
      </w:r>
    </w:p>
    <w:p w14:paraId="76026E70" w14:textId="77777777" w:rsidR="008B791C" w:rsidRPr="00287E0A" w:rsidRDefault="008B791C" w:rsidP="008B791C">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D75AA" w:rsidRPr="00476640">
          <w:rPr>
            <w:rStyle w:val="a6"/>
          </w:rPr>
          <w:t>ikhusniya@list.ru</w:t>
        </w:r>
      </w:hyperlink>
      <w:r w:rsidR="000D75AA">
        <w:t xml:space="preserve"> </w:t>
      </w:r>
    </w:p>
    <w:p w14:paraId="5653BCCA" w14:textId="77777777" w:rsidR="008B791C" w:rsidRPr="00287E0A" w:rsidRDefault="008B791C" w:rsidP="008B791C">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Pr="00287E0A">
        <w:rPr>
          <w:iCs/>
          <w:sz w:val="18"/>
          <w:szCs w:val="18"/>
          <w:lang w:val="uz-Cyrl-UZ"/>
        </w:rPr>
        <w:t xml:space="preserve"> </w:t>
      </w:r>
      <w:r w:rsidRPr="00287E0A">
        <w:rPr>
          <w:rFonts w:ascii="Times New Roman" w:hAnsi="Times New Roman" w:cs="Times New Roman"/>
          <w:iCs/>
          <w:sz w:val="18"/>
          <w:szCs w:val="18"/>
          <w:lang w:val="uz-Cyrl-UZ"/>
        </w:rPr>
        <w:t xml:space="preserve">In this article information on </w:t>
      </w:r>
      <w:r w:rsidR="000D75AA" w:rsidRPr="000D75AA">
        <w:rPr>
          <w:rFonts w:ascii="Times New Roman" w:hAnsi="Times New Roman" w:cs="Times New Roman"/>
          <w:iCs/>
          <w:sz w:val="18"/>
          <w:szCs w:val="18"/>
          <w:lang w:val="uz-Cyrl-UZ"/>
        </w:rPr>
        <w:t>the development of a technological scheme for energy equipment based on renewable energy sources, with a particular emphasis on inverter–based systems. As the share of solar and hybrid power plants continues to grow, ensuring reliable power conversion, harmonic mitigation, voltage stability, and efficient integration into the electrical grid becomes critically important. The proposed technological scheme incorporates advanced inverter control methods, filtration units, energy storage interfaces, and monitoring systems that enhance overall system performance. The research outlines the structural configuration of the inverter system, its operational algorithms, and the expected improvements in energy efficiency, power quality, and system stability. The results provide a foundation for designing modern renewable-energy power plants with high reliability, reduced losses, and improved dynamic response.</w:t>
      </w:r>
    </w:p>
    <w:p w14:paraId="657E8632" w14:textId="77777777" w:rsidR="008B791C" w:rsidRPr="00287E0A" w:rsidRDefault="008B791C" w:rsidP="008B791C">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1EF0CD2" w14:textId="1937D89A" w:rsidR="00FA65DD" w:rsidRPr="00AE4B5C" w:rsidRDefault="00FA65DD" w:rsidP="00FA65DD">
      <w:pPr>
        <w:spacing w:after="0" w:line="240" w:lineRule="auto"/>
        <w:ind w:firstLine="284"/>
        <w:jc w:val="both"/>
        <w:rPr>
          <w:rFonts w:ascii="Times New Roman" w:hAnsi="Times New Roman" w:cs="Times New Roman"/>
          <w:sz w:val="20"/>
        </w:rPr>
      </w:pPr>
      <w:r w:rsidRPr="00FA65DD">
        <w:rPr>
          <w:rFonts w:ascii="Times New Roman" w:hAnsi="Times New Roman" w:cs="Times New Roman"/>
          <w:sz w:val="20"/>
          <w:lang w:val="uz-Cyrl-UZ"/>
        </w:rPr>
        <w:t>The rapid global transition toward renewable energy sources has significantly increased the demand for efficient, stable, and highly reliable power conversion systems. Solar photovoltaic (PV) plants, hybrid solar–diesel stations, and distributed generation units rely heavily on inverter technologies to interface renewable energy with the electrical grid.</w:t>
      </w:r>
      <w:r w:rsidR="005C36C2" w:rsidRPr="005C36C2">
        <w:t xml:space="preserve"> </w:t>
      </w:r>
      <w:r w:rsidR="005C36C2" w:rsidRPr="005C36C2">
        <w:rPr>
          <w:rFonts w:ascii="Times New Roman" w:hAnsi="Times New Roman" w:cs="Times New Roman"/>
          <w:sz w:val="20"/>
          <w:lang w:val="uz-Cyrl-UZ"/>
        </w:rPr>
        <w:t>In addition to improving electricity performance, it is also necessary to use modern energy-saving devices and improve technological processes in accordance with the requirements of the time. Building an energy balance based on the analysis of technological processes of the enterprise, as well as forecasting electricity consumption is one of the urgent tasks. This article discusses the issues of energy conservation, efficiency improvement and forecasting in spinning workshops</w:t>
      </w:r>
      <w:r w:rsidR="00B0380A">
        <w:rPr>
          <w:rFonts w:ascii="Times New Roman" w:hAnsi="Times New Roman" w:cs="Times New Roman"/>
          <w:sz w:val="20"/>
        </w:rPr>
        <w:t xml:space="preserve"> </w:t>
      </w:r>
      <w:r w:rsidR="005C36C2">
        <w:rPr>
          <w:rFonts w:ascii="Times New Roman" w:hAnsi="Times New Roman" w:cs="Times New Roman"/>
          <w:sz w:val="20"/>
        </w:rPr>
        <w:t>[</w:t>
      </w:r>
      <w:r w:rsidR="00B0380A">
        <w:rPr>
          <w:rFonts w:ascii="Times New Roman" w:hAnsi="Times New Roman" w:cs="Times New Roman"/>
          <w:sz w:val="20"/>
        </w:rPr>
        <w:t>1</w:t>
      </w:r>
      <w:r w:rsidR="005C36C2">
        <w:rPr>
          <w:rFonts w:ascii="Times New Roman" w:hAnsi="Times New Roman" w:cs="Times New Roman"/>
          <w:sz w:val="20"/>
        </w:rPr>
        <w:t>]</w:t>
      </w:r>
      <w:r w:rsidR="005C36C2">
        <w:rPr>
          <w:rFonts w:ascii="Times New Roman" w:hAnsi="Times New Roman" w:cs="Times New Roman"/>
          <w:sz w:val="20"/>
          <w:lang w:val="uz-Cyrl-UZ"/>
        </w:rPr>
        <w:t>,</w:t>
      </w:r>
      <w:r w:rsidR="005C36C2" w:rsidRPr="005C36C2">
        <w:rPr>
          <w:rFonts w:ascii="Times New Roman" w:hAnsi="Times New Roman" w:cs="Times New Roman"/>
          <w:sz w:val="20"/>
          <w:lang w:val="uz-Cyrl-UZ"/>
        </w:rPr>
        <w:t xml:space="preserve"> the role of tariffs in the energy system and the creation of methods for managing and improving electricity consumption modes with the correct use of tariff periods in electricity consumption</w:t>
      </w:r>
      <w:r w:rsidR="00B0380A">
        <w:rPr>
          <w:rFonts w:ascii="Times New Roman" w:hAnsi="Times New Roman" w:cs="Times New Roman"/>
          <w:sz w:val="20"/>
        </w:rPr>
        <w:t xml:space="preserve"> </w:t>
      </w:r>
      <w:r w:rsidR="005C36C2">
        <w:rPr>
          <w:rFonts w:ascii="Times New Roman" w:hAnsi="Times New Roman" w:cs="Times New Roman"/>
          <w:sz w:val="20"/>
        </w:rPr>
        <w:t>[</w:t>
      </w:r>
      <w:r w:rsidR="00B0380A">
        <w:rPr>
          <w:rFonts w:ascii="Times New Roman" w:hAnsi="Times New Roman" w:cs="Times New Roman"/>
          <w:sz w:val="20"/>
        </w:rPr>
        <w:t>2</w:t>
      </w:r>
      <w:r w:rsidR="005C36C2" w:rsidRPr="005C36C2">
        <w:rPr>
          <w:rFonts w:ascii="Times New Roman" w:hAnsi="Times New Roman" w:cs="Times New Roman"/>
          <w:sz w:val="20"/>
        </w:rPr>
        <w:t>]</w:t>
      </w:r>
      <w:r w:rsidR="00B0380A">
        <w:rPr>
          <w:rFonts w:ascii="Times New Roman" w:hAnsi="Times New Roman" w:cs="Times New Roman"/>
          <w:sz w:val="20"/>
        </w:rPr>
        <w:t>.</w:t>
      </w:r>
      <w:r w:rsidR="005C36C2" w:rsidRPr="00FA65DD">
        <w:rPr>
          <w:rFonts w:ascii="Times New Roman" w:hAnsi="Times New Roman" w:cs="Times New Roman"/>
          <w:sz w:val="20"/>
          <w:lang w:val="uz-Cyrl-UZ"/>
        </w:rPr>
        <w:t xml:space="preserve"> </w:t>
      </w:r>
      <w:r w:rsidRPr="00FA65DD">
        <w:rPr>
          <w:rFonts w:ascii="Times New Roman" w:hAnsi="Times New Roman" w:cs="Times New Roman"/>
          <w:sz w:val="20"/>
          <w:lang w:val="uz-Cyrl-UZ"/>
        </w:rPr>
        <w:t>As a result, the operational quality of inverter systems</w:t>
      </w:r>
      <w:r w:rsidR="00B0380A">
        <w:rPr>
          <w:rFonts w:ascii="Times New Roman" w:hAnsi="Times New Roman" w:cs="Times New Roman"/>
          <w:sz w:val="20"/>
        </w:rPr>
        <w:t>-</w:t>
      </w:r>
      <w:r w:rsidRPr="00FA65DD">
        <w:rPr>
          <w:rFonts w:ascii="Times New Roman" w:hAnsi="Times New Roman" w:cs="Times New Roman"/>
          <w:sz w:val="20"/>
          <w:lang w:val="uz-Cyrl-UZ"/>
        </w:rPr>
        <w:t>particularly their ability to regulate voltage, maintain frequency stability, mitigate harmonic distortions, and support dynamic load conditions</w:t>
      </w:r>
      <w:r w:rsidR="00B0380A">
        <w:rPr>
          <w:rFonts w:ascii="Times New Roman" w:hAnsi="Times New Roman" w:cs="Times New Roman"/>
          <w:sz w:val="20"/>
        </w:rPr>
        <w:t>-</w:t>
      </w:r>
      <w:r w:rsidRPr="00FA65DD">
        <w:rPr>
          <w:rFonts w:ascii="Times New Roman" w:hAnsi="Times New Roman" w:cs="Times New Roman"/>
          <w:sz w:val="20"/>
          <w:lang w:val="uz-Cyrl-UZ"/>
        </w:rPr>
        <w:t>has become a critical research direction</w:t>
      </w:r>
      <w:r w:rsidR="00B0380A">
        <w:rPr>
          <w:rFonts w:ascii="Times New Roman" w:hAnsi="Times New Roman" w:cs="Times New Roman"/>
          <w:sz w:val="20"/>
        </w:rPr>
        <w:t xml:space="preserve"> </w:t>
      </w:r>
      <w:r w:rsidR="00AE4B5C">
        <w:rPr>
          <w:rFonts w:ascii="Times New Roman" w:hAnsi="Times New Roman" w:cs="Times New Roman"/>
          <w:sz w:val="20"/>
        </w:rPr>
        <w:t>[</w:t>
      </w:r>
      <w:r w:rsidR="00B0380A">
        <w:rPr>
          <w:rFonts w:ascii="Times New Roman" w:hAnsi="Times New Roman" w:cs="Times New Roman"/>
          <w:sz w:val="20"/>
        </w:rPr>
        <w:t>3</w:t>
      </w:r>
      <w:r w:rsidR="00AE4B5C">
        <w:rPr>
          <w:rFonts w:ascii="Times New Roman" w:hAnsi="Times New Roman" w:cs="Times New Roman"/>
          <w:sz w:val="20"/>
        </w:rPr>
        <w:t>]</w:t>
      </w:r>
      <w:r w:rsidR="00B0380A">
        <w:rPr>
          <w:rFonts w:ascii="Times New Roman" w:hAnsi="Times New Roman" w:cs="Times New Roman"/>
          <w:sz w:val="20"/>
        </w:rPr>
        <w:t xml:space="preserve">.   </w:t>
      </w:r>
    </w:p>
    <w:p w14:paraId="0ACBBA45" w14:textId="3ECB1F68" w:rsidR="008B791C" w:rsidRPr="00AE4B5C" w:rsidRDefault="00FA65DD" w:rsidP="00FA65DD">
      <w:pPr>
        <w:spacing w:after="0" w:line="240" w:lineRule="auto"/>
        <w:ind w:firstLine="284"/>
        <w:jc w:val="both"/>
        <w:rPr>
          <w:rFonts w:ascii="Times New Roman" w:hAnsi="Times New Roman" w:cs="Times New Roman"/>
        </w:rPr>
      </w:pPr>
      <w:r w:rsidRPr="00FA65DD">
        <w:rPr>
          <w:rFonts w:ascii="Times New Roman" w:hAnsi="Times New Roman" w:cs="Times New Roman"/>
          <w:sz w:val="20"/>
          <w:lang w:val="uz-Cyrl-UZ"/>
        </w:rPr>
        <w:t>In Uzbekistan, where solar energy potential is among the highest in the region, the development of advanced inverter-based technological schemes is of strategic importance. The integration of renewable energy into the national grid requires innovative engineering solutions capable of ensuring power quality, reducing conversion losses, and improving system resilience under variable environmental and load conditions.This study focuses on designing and optimizing a technological scheme for energy equipment based on renewable energy sources, with an emphasis on inverter systems and their control algorithms. The work investigates modern approaches to inverter control, energy storage interaction, harmonic filtering, and grid synchronization. The proposed scheme serves as a foundation for enhancing the efficiency and reliability of renewable power plants, supporting the ongoing energy transition and sustainable development goals</w:t>
      </w:r>
      <w:r w:rsidR="00B0380A">
        <w:rPr>
          <w:rFonts w:ascii="Times New Roman" w:hAnsi="Times New Roman" w:cs="Times New Roman"/>
          <w:sz w:val="20"/>
        </w:rPr>
        <w:t xml:space="preserve"> </w:t>
      </w:r>
      <w:r w:rsidR="005C36C2">
        <w:rPr>
          <w:rFonts w:ascii="Times New Roman" w:hAnsi="Times New Roman" w:cs="Times New Roman"/>
          <w:sz w:val="20"/>
        </w:rPr>
        <w:t>[</w:t>
      </w:r>
      <w:r w:rsidR="00B0380A">
        <w:rPr>
          <w:rFonts w:ascii="Times New Roman" w:hAnsi="Times New Roman" w:cs="Times New Roman"/>
          <w:sz w:val="20"/>
        </w:rPr>
        <w:t>4</w:t>
      </w:r>
      <w:r w:rsidR="005C36C2">
        <w:rPr>
          <w:rFonts w:ascii="Times New Roman" w:hAnsi="Times New Roman" w:cs="Times New Roman"/>
          <w:sz w:val="20"/>
        </w:rPr>
        <w:t>-</w:t>
      </w:r>
      <w:r w:rsidR="00B0380A">
        <w:rPr>
          <w:rFonts w:ascii="Times New Roman" w:hAnsi="Times New Roman" w:cs="Times New Roman"/>
          <w:sz w:val="20"/>
        </w:rPr>
        <w:t>7</w:t>
      </w:r>
      <w:r w:rsidR="00AE4B5C">
        <w:rPr>
          <w:rFonts w:ascii="Times New Roman" w:hAnsi="Times New Roman" w:cs="Times New Roman"/>
          <w:sz w:val="20"/>
        </w:rPr>
        <w:t>]</w:t>
      </w:r>
      <w:r w:rsidR="00B0380A">
        <w:rPr>
          <w:rFonts w:ascii="Times New Roman" w:hAnsi="Times New Roman" w:cs="Times New Roman"/>
          <w:sz w:val="20"/>
        </w:rPr>
        <w:t>.</w:t>
      </w:r>
    </w:p>
    <w:p w14:paraId="44B5A4B6" w14:textId="77777777" w:rsidR="008B791C" w:rsidRPr="00287E0A" w:rsidRDefault="008B791C" w:rsidP="008B791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077CA413" w14:textId="241A2033" w:rsidR="00570CB5" w:rsidRDefault="00A617AF" w:rsidP="008B791C">
      <w:pPr>
        <w:spacing w:after="0" w:line="240" w:lineRule="auto"/>
        <w:ind w:firstLine="284"/>
        <w:jc w:val="both"/>
        <w:rPr>
          <w:rFonts w:ascii="Times New Roman" w:hAnsi="Times New Roman" w:cs="Times New Roman"/>
          <w:sz w:val="20"/>
          <w:lang w:val="uz-Cyrl-UZ"/>
        </w:rPr>
      </w:pPr>
      <w:r w:rsidRPr="00A617AF">
        <w:rPr>
          <w:rFonts w:ascii="Times New Roman" w:hAnsi="Times New Roman" w:cs="Times New Roman"/>
          <w:sz w:val="20"/>
          <w:lang w:val="uz-Cyrl-UZ"/>
        </w:rPr>
        <w:t xml:space="preserve">One of the main elements of integration into the electric networks of power plants (IES) is inverter synchronization. Synchronization with the inverter allows you to synchronize the parameters of the microgrids - the amplitude, frequency and phase of the oscillations. In this jargon, antivirus software is still used as a means of protection against </w:t>
      </w:r>
      <w:r w:rsidRPr="00A617AF">
        <w:rPr>
          <w:rFonts w:ascii="Times New Roman" w:hAnsi="Times New Roman" w:cs="Times New Roman"/>
          <w:sz w:val="20"/>
          <w:lang w:val="uz-Cyrl-UZ"/>
        </w:rPr>
        <w:lastRenderedPageBreak/>
        <w:t>viruses, hybrid viruses, and electrical viruses.</w:t>
      </w:r>
      <w:r>
        <w:rPr>
          <w:rFonts w:ascii="Times New Roman" w:hAnsi="Times New Roman" w:cs="Times New Roman"/>
          <w:sz w:val="20"/>
          <w:lang w:val="uz-Cyrl-UZ"/>
        </w:rPr>
        <w:t xml:space="preserve"> </w:t>
      </w:r>
      <w:r w:rsidR="00570CB5" w:rsidRPr="00570CB5">
        <w:rPr>
          <w:rFonts w:ascii="Times New Roman" w:hAnsi="Times New Roman" w:cs="Times New Roman"/>
          <w:sz w:val="20"/>
          <w:lang w:val="uz-Cyrl-UZ"/>
        </w:rPr>
        <w:t>The development of a technological process scheme for electrical equipment based on renewable energy sources is not only an environmentally friendly solution, but also a matter of economic efficiency, energy independence, and the stability of power supply systems. A properly designed system with automation and backup capabilities ensures reliable operation of facilities under any conditions</w:t>
      </w:r>
      <w:r w:rsidR="00B0380A">
        <w:rPr>
          <w:rFonts w:ascii="Times New Roman" w:hAnsi="Times New Roman" w:cs="Times New Roman"/>
          <w:sz w:val="20"/>
        </w:rPr>
        <w:t xml:space="preserve"> [8-10]</w:t>
      </w:r>
      <w:r w:rsidR="00570CB5" w:rsidRPr="00570CB5">
        <w:rPr>
          <w:rFonts w:ascii="Times New Roman" w:hAnsi="Times New Roman" w:cs="Times New Roman"/>
          <w:sz w:val="20"/>
          <w:lang w:val="uz-Cyrl-UZ"/>
        </w:rPr>
        <w:t>.</w:t>
      </w:r>
    </w:p>
    <w:p w14:paraId="0A09E1E8" w14:textId="77777777" w:rsidR="003B6E6D" w:rsidRDefault="003B6E6D" w:rsidP="00F9356E">
      <w:pPr>
        <w:spacing w:after="0" w:line="240" w:lineRule="auto"/>
        <w:ind w:firstLine="284"/>
        <w:jc w:val="center"/>
        <w:rPr>
          <w:rFonts w:ascii="Times New Roman" w:hAnsi="Times New Roman" w:cs="Times New Roman"/>
          <w:b/>
          <w:sz w:val="20"/>
        </w:rPr>
      </w:pPr>
    </w:p>
    <w:p w14:paraId="0215086C" w14:textId="382C27DF" w:rsidR="00E72470" w:rsidRPr="003B6E6D" w:rsidRDefault="00E72470" w:rsidP="003B6E6D">
      <w:pPr>
        <w:spacing w:after="0" w:line="240" w:lineRule="auto"/>
        <w:ind w:firstLine="284"/>
        <w:jc w:val="center"/>
      </w:pPr>
      <w:r w:rsidRPr="00E72470">
        <w:rPr>
          <w:rFonts w:ascii="Times New Roman" w:hAnsi="Times New Roman" w:cs="Times New Roman"/>
          <w:b/>
          <w:sz w:val="20"/>
          <w:lang w:val="uz-Cyrl-UZ"/>
        </w:rPr>
        <w:t>TABLE</w:t>
      </w:r>
      <w:r>
        <w:rPr>
          <w:rFonts w:ascii="Times New Roman" w:hAnsi="Times New Roman" w:cs="Times New Roman"/>
          <w:b/>
          <w:sz w:val="20"/>
        </w:rPr>
        <w:t xml:space="preserve"> 1</w:t>
      </w:r>
      <w:r w:rsidRPr="00E72470">
        <w:rPr>
          <w:rFonts w:ascii="Times New Roman" w:hAnsi="Times New Roman" w:cs="Times New Roman"/>
          <w:b/>
          <w:sz w:val="20"/>
          <w:lang w:val="uz-Cyrl-UZ"/>
        </w:rPr>
        <w:t>:</w:t>
      </w:r>
      <w:r>
        <w:t xml:space="preserve"> </w:t>
      </w:r>
      <w:r w:rsidR="00A617AF" w:rsidRPr="00F9356E">
        <w:rPr>
          <w:rFonts w:ascii="Times New Roman" w:hAnsi="Times New Roman" w:cs="Times New Roman"/>
        </w:rPr>
        <w:t>Harmonic Distortion Levels Compared to GOST Standard</w:t>
      </w:r>
    </w:p>
    <w:tbl>
      <w:tblPr>
        <w:tblStyle w:val="a3"/>
        <w:tblW w:w="0" w:type="auto"/>
        <w:tblInd w:w="137" w:type="dxa"/>
        <w:tblLook w:val="04A0" w:firstRow="1" w:lastRow="0" w:firstColumn="1" w:lastColumn="0" w:noHBand="0" w:noVBand="1"/>
      </w:tblPr>
      <w:tblGrid>
        <w:gridCol w:w="2410"/>
        <w:gridCol w:w="2268"/>
        <w:gridCol w:w="2268"/>
        <w:gridCol w:w="2117"/>
      </w:tblGrid>
      <w:tr w:rsidR="00A617AF" w:rsidRPr="003B6E6D" w14:paraId="3FA9543D" w14:textId="77777777" w:rsidTr="00F9356E">
        <w:trPr>
          <w:trHeight w:val="231"/>
        </w:trPr>
        <w:tc>
          <w:tcPr>
            <w:tcW w:w="2410" w:type="dxa"/>
            <w:vAlign w:val="center"/>
          </w:tcPr>
          <w:p w14:paraId="7BF0BC65" w14:textId="623E5453" w:rsidR="00A617AF" w:rsidRPr="003B6E6D" w:rsidRDefault="00A617AF" w:rsidP="003B6E6D">
            <w:pPr>
              <w:jc w:val="center"/>
              <w:rPr>
                <w:sz w:val="18"/>
                <w:szCs w:val="18"/>
              </w:rPr>
            </w:pPr>
            <w:r w:rsidRPr="003B6E6D">
              <w:rPr>
                <w:rStyle w:val="ypks7kbdpwfgdykd3qb9"/>
                <w:sz w:val="18"/>
                <w:szCs w:val="18"/>
              </w:rPr>
              <w:t>Harmonic</w:t>
            </w:r>
          </w:p>
        </w:tc>
        <w:tc>
          <w:tcPr>
            <w:tcW w:w="2268" w:type="dxa"/>
            <w:vAlign w:val="center"/>
          </w:tcPr>
          <w:p w14:paraId="5D78727E" w14:textId="09965F25" w:rsidR="00A617AF" w:rsidRPr="003B6E6D" w:rsidRDefault="00A617AF" w:rsidP="003B6E6D">
            <w:pPr>
              <w:jc w:val="center"/>
              <w:rPr>
                <w:sz w:val="18"/>
                <w:szCs w:val="18"/>
              </w:rPr>
            </w:pPr>
            <w:r w:rsidRPr="003B6E6D">
              <w:rPr>
                <w:rStyle w:val="ypks7kbdpwfgdykd3qb9"/>
                <w:sz w:val="18"/>
                <w:szCs w:val="18"/>
              </w:rPr>
              <w:t>Average</w:t>
            </w:r>
            <w:r w:rsidRPr="003B6E6D">
              <w:rPr>
                <w:sz w:val="18"/>
                <w:szCs w:val="18"/>
              </w:rPr>
              <w:t xml:space="preserve"> </w:t>
            </w:r>
            <w:r w:rsidRPr="003B6E6D">
              <w:rPr>
                <w:rStyle w:val="ypks7kbdpwfgdykd3qb9"/>
                <w:sz w:val="18"/>
                <w:szCs w:val="18"/>
              </w:rPr>
              <w:t>amplitude,</w:t>
            </w:r>
            <w:r w:rsidRPr="003B6E6D">
              <w:rPr>
                <w:sz w:val="18"/>
                <w:szCs w:val="18"/>
              </w:rPr>
              <w:t xml:space="preserve"> </w:t>
            </w:r>
            <w:r w:rsidRPr="003B6E6D">
              <w:rPr>
                <w:rStyle w:val="ypks7kbdpwfgdykd3qb9"/>
                <w:sz w:val="18"/>
                <w:szCs w:val="18"/>
              </w:rPr>
              <w:t>%</w:t>
            </w:r>
          </w:p>
        </w:tc>
        <w:tc>
          <w:tcPr>
            <w:tcW w:w="2268" w:type="dxa"/>
            <w:vAlign w:val="center"/>
          </w:tcPr>
          <w:p w14:paraId="70CD29A8" w14:textId="68CCBDCB" w:rsidR="00A617AF" w:rsidRPr="003B6E6D" w:rsidRDefault="00A617AF" w:rsidP="003B6E6D">
            <w:pPr>
              <w:jc w:val="center"/>
              <w:rPr>
                <w:sz w:val="18"/>
                <w:szCs w:val="18"/>
              </w:rPr>
            </w:pPr>
            <w:r w:rsidRPr="003B6E6D">
              <w:rPr>
                <w:rStyle w:val="ypks7kbdpwfgdykd3qb9"/>
                <w:sz w:val="18"/>
                <w:szCs w:val="18"/>
              </w:rPr>
              <w:t>Maximum,</w:t>
            </w:r>
            <w:r w:rsidRPr="003B6E6D">
              <w:rPr>
                <w:sz w:val="18"/>
                <w:szCs w:val="18"/>
              </w:rPr>
              <w:t xml:space="preserve"> </w:t>
            </w:r>
            <w:r w:rsidRPr="003B6E6D">
              <w:rPr>
                <w:rStyle w:val="ypks7kbdpwfgdykd3qb9"/>
                <w:sz w:val="18"/>
                <w:szCs w:val="18"/>
              </w:rPr>
              <w:t>%</w:t>
            </w:r>
          </w:p>
        </w:tc>
        <w:tc>
          <w:tcPr>
            <w:tcW w:w="2117" w:type="dxa"/>
            <w:vAlign w:val="center"/>
          </w:tcPr>
          <w:p w14:paraId="09C402BA" w14:textId="77777777" w:rsidR="00A617AF" w:rsidRPr="003B6E6D" w:rsidRDefault="00A617AF" w:rsidP="003B6E6D">
            <w:pPr>
              <w:jc w:val="center"/>
              <w:rPr>
                <w:sz w:val="18"/>
                <w:szCs w:val="18"/>
              </w:rPr>
            </w:pPr>
            <w:r w:rsidRPr="003B6E6D">
              <w:rPr>
                <w:rStyle w:val="ypks7kbdpwfgdykd3qb9"/>
                <w:sz w:val="18"/>
                <w:szCs w:val="18"/>
              </w:rPr>
              <w:t>Standard</w:t>
            </w:r>
            <w:r w:rsidRPr="003B6E6D">
              <w:rPr>
                <w:sz w:val="18"/>
                <w:szCs w:val="18"/>
              </w:rPr>
              <w:t xml:space="preserve"> </w:t>
            </w:r>
            <w:r w:rsidRPr="003B6E6D">
              <w:rPr>
                <w:rStyle w:val="ypks7kbdpwfgdykd3qb9"/>
                <w:sz w:val="18"/>
                <w:szCs w:val="18"/>
              </w:rPr>
              <w:t>GOST</w:t>
            </w:r>
          </w:p>
        </w:tc>
      </w:tr>
      <w:tr w:rsidR="00A617AF" w:rsidRPr="003B6E6D" w14:paraId="322E3022" w14:textId="77777777" w:rsidTr="003B6E6D">
        <w:trPr>
          <w:trHeight w:val="70"/>
        </w:trPr>
        <w:tc>
          <w:tcPr>
            <w:tcW w:w="2410" w:type="dxa"/>
            <w:vAlign w:val="center"/>
          </w:tcPr>
          <w:p w14:paraId="5E118A9D" w14:textId="119A0D29" w:rsidR="00A617AF" w:rsidRPr="003B6E6D" w:rsidRDefault="00A617AF" w:rsidP="003B6E6D">
            <w:pPr>
              <w:jc w:val="center"/>
              <w:rPr>
                <w:sz w:val="18"/>
                <w:szCs w:val="18"/>
              </w:rPr>
            </w:pPr>
            <w:r w:rsidRPr="003B6E6D">
              <w:rPr>
                <w:rStyle w:val="ypks7kbdpwfgdykd3qb9"/>
                <w:sz w:val="18"/>
                <w:szCs w:val="18"/>
              </w:rPr>
              <w:t>3rd</w:t>
            </w:r>
          </w:p>
        </w:tc>
        <w:tc>
          <w:tcPr>
            <w:tcW w:w="2268" w:type="dxa"/>
            <w:vAlign w:val="center"/>
          </w:tcPr>
          <w:p w14:paraId="61FF9CCC" w14:textId="77777777" w:rsidR="00A617AF" w:rsidRPr="003B6E6D" w:rsidRDefault="00A617AF" w:rsidP="003B6E6D">
            <w:pPr>
              <w:jc w:val="center"/>
              <w:rPr>
                <w:sz w:val="18"/>
                <w:szCs w:val="18"/>
              </w:rPr>
            </w:pPr>
            <w:r w:rsidRPr="003B6E6D">
              <w:rPr>
                <w:sz w:val="18"/>
                <w:szCs w:val="18"/>
              </w:rPr>
              <w:t>2.5%</w:t>
            </w:r>
          </w:p>
        </w:tc>
        <w:tc>
          <w:tcPr>
            <w:tcW w:w="2268" w:type="dxa"/>
            <w:vAlign w:val="center"/>
          </w:tcPr>
          <w:p w14:paraId="262F304D" w14:textId="77777777" w:rsidR="00A617AF" w:rsidRPr="003B6E6D" w:rsidRDefault="00A617AF" w:rsidP="003B6E6D">
            <w:pPr>
              <w:jc w:val="center"/>
              <w:rPr>
                <w:sz w:val="18"/>
                <w:szCs w:val="18"/>
              </w:rPr>
            </w:pPr>
            <w:r w:rsidRPr="003B6E6D">
              <w:rPr>
                <w:sz w:val="18"/>
                <w:szCs w:val="18"/>
              </w:rPr>
              <w:t>7%</w:t>
            </w:r>
          </w:p>
        </w:tc>
        <w:tc>
          <w:tcPr>
            <w:tcW w:w="2117" w:type="dxa"/>
            <w:vAlign w:val="center"/>
          </w:tcPr>
          <w:p w14:paraId="7B5CCCEA" w14:textId="77777777" w:rsidR="00A617AF" w:rsidRPr="003B6E6D" w:rsidRDefault="00A617AF" w:rsidP="003B6E6D">
            <w:pPr>
              <w:jc w:val="center"/>
              <w:rPr>
                <w:sz w:val="18"/>
                <w:szCs w:val="18"/>
              </w:rPr>
            </w:pPr>
            <w:r w:rsidRPr="003B6E6D">
              <w:rPr>
                <w:sz w:val="18"/>
                <w:szCs w:val="18"/>
              </w:rPr>
              <w:t>≤ 5%</w:t>
            </w:r>
          </w:p>
        </w:tc>
      </w:tr>
      <w:tr w:rsidR="00A617AF" w:rsidRPr="003B6E6D" w14:paraId="40D95816" w14:textId="77777777" w:rsidTr="003B6E6D">
        <w:trPr>
          <w:trHeight w:val="70"/>
        </w:trPr>
        <w:tc>
          <w:tcPr>
            <w:tcW w:w="2410" w:type="dxa"/>
            <w:vAlign w:val="center"/>
          </w:tcPr>
          <w:p w14:paraId="30F95D65" w14:textId="7CF86209" w:rsidR="00A617AF" w:rsidRPr="003B6E6D" w:rsidRDefault="00A617AF" w:rsidP="003B6E6D">
            <w:pPr>
              <w:jc w:val="center"/>
              <w:rPr>
                <w:sz w:val="18"/>
                <w:szCs w:val="18"/>
              </w:rPr>
            </w:pPr>
            <w:r w:rsidRPr="003B6E6D">
              <w:rPr>
                <w:rStyle w:val="ypks7kbdpwfgdykd3qb9"/>
                <w:sz w:val="18"/>
                <w:szCs w:val="18"/>
              </w:rPr>
              <w:t>5th</w:t>
            </w:r>
          </w:p>
        </w:tc>
        <w:tc>
          <w:tcPr>
            <w:tcW w:w="2268" w:type="dxa"/>
            <w:vAlign w:val="center"/>
          </w:tcPr>
          <w:p w14:paraId="6980CBBF" w14:textId="77777777" w:rsidR="00A617AF" w:rsidRPr="003B6E6D" w:rsidRDefault="00A617AF" w:rsidP="003B6E6D">
            <w:pPr>
              <w:jc w:val="center"/>
              <w:rPr>
                <w:sz w:val="18"/>
                <w:szCs w:val="18"/>
              </w:rPr>
            </w:pPr>
            <w:r w:rsidRPr="003B6E6D">
              <w:rPr>
                <w:sz w:val="18"/>
                <w:szCs w:val="18"/>
              </w:rPr>
              <w:t>3.9%</w:t>
            </w:r>
          </w:p>
        </w:tc>
        <w:tc>
          <w:tcPr>
            <w:tcW w:w="2268" w:type="dxa"/>
            <w:vAlign w:val="center"/>
          </w:tcPr>
          <w:p w14:paraId="0D155959" w14:textId="77777777" w:rsidR="00A617AF" w:rsidRPr="003B6E6D" w:rsidRDefault="00A617AF" w:rsidP="003B6E6D">
            <w:pPr>
              <w:jc w:val="center"/>
              <w:rPr>
                <w:sz w:val="18"/>
                <w:szCs w:val="18"/>
              </w:rPr>
            </w:pPr>
            <w:r w:rsidRPr="003B6E6D">
              <w:rPr>
                <w:sz w:val="18"/>
                <w:szCs w:val="18"/>
              </w:rPr>
              <w:t>10%</w:t>
            </w:r>
          </w:p>
        </w:tc>
        <w:tc>
          <w:tcPr>
            <w:tcW w:w="2117" w:type="dxa"/>
            <w:vAlign w:val="center"/>
          </w:tcPr>
          <w:p w14:paraId="07116195" w14:textId="77777777" w:rsidR="00A617AF" w:rsidRPr="003B6E6D" w:rsidRDefault="00A617AF" w:rsidP="003B6E6D">
            <w:pPr>
              <w:jc w:val="center"/>
              <w:rPr>
                <w:sz w:val="18"/>
                <w:szCs w:val="18"/>
              </w:rPr>
            </w:pPr>
            <w:r w:rsidRPr="003B6E6D">
              <w:rPr>
                <w:sz w:val="18"/>
                <w:szCs w:val="18"/>
              </w:rPr>
              <w:t>≤ 6%</w:t>
            </w:r>
          </w:p>
        </w:tc>
      </w:tr>
      <w:tr w:rsidR="00A617AF" w:rsidRPr="003B6E6D" w14:paraId="675EAA11" w14:textId="77777777" w:rsidTr="003B6E6D">
        <w:trPr>
          <w:trHeight w:val="70"/>
        </w:trPr>
        <w:tc>
          <w:tcPr>
            <w:tcW w:w="2410" w:type="dxa"/>
            <w:vAlign w:val="center"/>
          </w:tcPr>
          <w:p w14:paraId="6D151E5A" w14:textId="5FD5E742" w:rsidR="00A617AF" w:rsidRPr="003B6E6D" w:rsidRDefault="00A617AF" w:rsidP="003B6E6D">
            <w:pPr>
              <w:jc w:val="center"/>
              <w:rPr>
                <w:sz w:val="18"/>
                <w:szCs w:val="18"/>
              </w:rPr>
            </w:pPr>
            <w:r w:rsidRPr="003B6E6D">
              <w:rPr>
                <w:rStyle w:val="ypks7kbdpwfgdykd3qb9"/>
                <w:sz w:val="18"/>
                <w:szCs w:val="18"/>
              </w:rPr>
              <w:t>7th</w:t>
            </w:r>
          </w:p>
        </w:tc>
        <w:tc>
          <w:tcPr>
            <w:tcW w:w="2268" w:type="dxa"/>
            <w:vAlign w:val="center"/>
          </w:tcPr>
          <w:p w14:paraId="5E3A6525" w14:textId="77777777" w:rsidR="00A617AF" w:rsidRPr="003B6E6D" w:rsidRDefault="00A617AF" w:rsidP="003B6E6D">
            <w:pPr>
              <w:jc w:val="center"/>
              <w:rPr>
                <w:sz w:val="18"/>
                <w:szCs w:val="18"/>
              </w:rPr>
            </w:pPr>
            <w:r w:rsidRPr="003B6E6D">
              <w:rPr>
                <w:sz w:val="18"/>
                <w:szCs w:val="18"/>
              </w:rPr>
              <w:t>2.2%</w:t>
            </w:r>
          </w:p>
        </w:tc>
        <w:tc>
          <w:tcPr>
            <w:tcW w:w="2268" w:type="dxa"/>
            <w:vAlign w:val="center"/>
          </w:tcPr>
          <w:p w14:paraId="01471F6D" w14:textId="77777777" w:rsidR="00A617AF" w:rsidRPr="003B6E6D" w:rsidRDefault="00A617AF" w:rsidP="003B6E6D">
            <w:pPr>
              <w:jc w:val="center"/>
              <w:rPr>
                <w:sz w:val="18"/>
                <w:szCs w:val="18"/>
              </w:rPr>
            </w:pPr>
            <w:r w:rsidRPr="003B6E6D">
              <w:rPr>
                <w:sz w:val="18"/>
                <w:szCs w:val="18"/>
              </w:rPr>
              <w:t>6%</w:t>
            </w:r>
          </w:p>
        </w:tc>
        <w:tc>
          <w:tcPr>
            <w:tcW w:w="2117" w:type="dxa"/>
            <w:vAlign w:val="center"/>
          </w:tcPr>
          <w:p w14:paraId="208D4A0D" w14:textId="77777777" w:rsidR="00A617AF" w:rsidRPr="003B6E6D" w:rsidRDefault="00A617AF" w:rsidP="003B6E6D">
            <w:pPr>
              <w:jc w:val="center"/>
              <w:rPr>
                <w:sz w:val="18"/>
                <w:szCs w:val="18"/>
              </w:rPr>
            </w:pPr>
            <w:r w:rsidRPr="003B6E6D">
              <w:rPr>
                <w:sz w:val="18"/>
                <w:szCs w:val="18"/>
              </w:rPr>
              <w:t>≤ 5%</w:t>
            </w:r>
          </w:p>
        </w:tc>
      </w:tr>
      <w:tr w:rsidR="00A617AF" w:rsidRPr="003B6E6D" w14:paraId="0DE89CF9" w14:textId="77777777" w:rsidTr="003B6E6D">
        <w:trPr>
          <w:trHeight w:val="70"/>
        </w:trPr>
        <w:tc>
          <w:tcPr>
            <w:tcW w:w="2410" w:type="dxa"/>
            <w:vAlign w:val="center"/>
          </w:tcPr>
          <w:p w14:paraId="35AF2F3F" w14:textId="2C15AFB6" w:rsidR="00A617AF" w:rsidRPr="003B6E6D" w:rsidRDefault="00A617AF" w:rsidP="003B6E6D">
            <w:pPr>
              <w:jc w:val="center"/>
              <w:rPr>
                <w:sz w:val="18"/>
                <w:szCs w:val="18"/>
              </w:rPr>
            </w:pPr>
            <w:r w:rsidRPr="003B6E6D">
              <w:rPr>
                <w:rStyle w:val="ypks7kbdpwfgdykd3qb9"/>
                <w:sz w:val="18"/>
                <w:szCs w:val="18"/>
              </w:rPr>
              <w:t>11th</w:t>
            </w:r>
          </w:p>
        </w:tc>
        <w:tc>
          <w:tcPr>
            <w:tcW w:w="2268" w:type="dxa"/>
            <w:vAlign w:val="center"/>
          </w:tcPr>
          <w:p w14:paraId="1CB4569C" w14:textId="77777777" w:rsidR="00A617AF" w:rsidRPr="003B6E6D" w:rsidRDefault="00A617AF" w:rsidP="003B6E6D">
            <w:pPr>
              <w:jc w:val="center"/>
              <w:rPr>
                <w:sz w:val="18"/>
                <w:szCs w:val="18"/>
              </w:rPr>
            </w:pPr>
            <w:r w:rsidRPr="003B6E6D">
              <w:rPr>
                <w:sz w:val="18"/>
                <w:szCs w:val="18"/>
              </w:rPr>
              <w:t>1.3%</w:t>
            </w:r>
          </w:p>
        </w:tc>
        <w:tc>
          <w:tcPr>
            <w:tcW w:w="2268" w:type="dxa"/>
            <w:vAlign w:val="center"/>
          </w:tcPr>
          <w:p w14:paraId="4D6B6687" w14:textId="77777777" w:rsidR="00A617AF" w:rsidRPr="003B6E6D" w:rsidRDefault="00A617AF" w:rsidP="003B6E6D">
            <w:pPr>
              <w:jc w:val="center"/>
              <w:rPr>
                <w:sz w:val="18"/>
                <w:szCs w:val="18"/>
              </w:rPr>
            </w:pPr>
            <w:r w:rsidRPr="003B6E6D">
              <w:rPr>
                <w:sz w:val="18"/>
                <w:szCs w:val="18"/>
              </w:rPr>
              <w:t>4%</w:t>
            </w:r>
          </w:p>
        </w:tc>
        <w:tc>
          <w:tcPr>
            <w:tcW w:w="2117" w:type="dxa"/>
            <w:vAlign w:val="center"/>
          </w:tcPr>
          <w:p w14:paraId="2C492A4D" w14:textId="77777777" w:rsidR="00A617AF" w:rsidRPr="003B6E6D" w:rsidRDefault="00A617AF" w:rsidP="003B6E6D">
            <w:pPr>
              <w:jc w:val="center"/>
              <w:rPr>
                <w:sz w:val="18"/>
                <w:szCs w:val="18"/>
              </w:rPr>
            </w:pPr>
            <w:r w:rsidRPr="003B6E6D">
              <w:rPr>
                <w:sz w:val="18"/>
                <w:szCs w:val="18"/>
              </w:rPr>
              <w:t>≤ 3%</w:t>
            </w:r>
          </w:p>
        </w:tc>
      </w:tr>
      <w:tr w:rsidR="00A617AF" w:rsidRPr="003B6E6D" w14:paraId="3BC51F59" w14:textId="77777777" w:rsidTr="003B6E6D">
        <w:trPr>
          <w:trHeight w:val="70"/>
        </w:trPr>
        <w:tc>
          <w:tcPr>
            <w:tcW w:w="2410" w:type="dxa"/>
            <w:vAlign w:val="center"/>
          </w:tcPr>
          <w:p w14:paraId="2FDABD7F" w14:textId="77777777" w:rsidR="00A617AF" w:rsidRPr="003B6E6D" w:rsidRDefault="00A617AF" w:rsidP="003B6E6D">
            <w:pPr>
              <w:jc w:val="center"/>
              <w:rPr>
                <w:sz w:val="18"/>
                <w:szCs w:val="18"/>
              </w:rPr>
            </w:pPr>
            <w:r w:rsidRPr="003B6E6D">
              <w:rPr>
                <w:rStyle w:val="ypks7kbdpwfgdykd3qb9"/>
                <w:sz w:val="18"/>
                <w:szCs w:val="18"/>
              </w:rPr>
              <w:t>13th</w:t>
            </w:r>
          </w:p>
        </w:tc>
        <w:tc>
          <w:tcPr>
            <w:tcW w:w="2268" w:type="dxa"/>
            <w:vAlign w:val="center"/>
          </w:tcPr>
          <w:p w14:paraId="75A47E16" w14:textId="77777777" w:rsidR="00A617AF" w:rsidRPr="003B6E6D" w:rsidRDefault="00A617AF" w:rsidP="003B6E6D">
            <w:pPr>
              <w:jc w:val="center"/>
              <w:rPr>
                <w:sz w:val="18"/>
                <w:szCs w:val="18"/>
              </w:rPr>
            </w:pPr>
            <w:r w:rsidRPr="003B6E6D">
              <w:rPr>
                <w:sz w:val="18"/>
                <w:szCs w:val="18"/>
              </w:rPr>
              <w:t>1.0%</w:t>
            </w:r>
          </w:p>
        </w:tc>
        <w:tc>
          <w:tcPr>
            <w:tcW w:w="2268" w:type="dxa"/>
            <w:vAlign w:val="center"/>
          </w:tcPr>
          <w:p w14:paraId="428600BD" w14:textId="77777777" w:rsidR="00A617AF" w:rsidRPr="003B6E6D" w:rsidRDefault="00A617AF" w:rsidP="003B6E6D">
            <w:pPr>
              <w:jc w:val="center"/>
              <w:rPr>
                <w:sz w:val="18"/>
                <w:szCs w:val="18"/>
              </w:rPr>
            </w:pPr>
            <w:r w:rsidRPr="003B6E6D">
              <w:rPr>
                <w:sz w:val="18"/>
                <w:szCs w:val="18"/>
              </w:rPr>
              <w:t>3%</w:t>
            </w:r>
          </w:p>
        </w:tc>
        <w:tc>
          <w:tcPr>
            <w:tcW w:w="2117" w:type="dxa"/>
            <w:vAlign w:val="center"/>
          </w:tcPr>
          <w:p w14:paraId="29D7181F" w14:textId="77777777" w:rsidR="00A617AF" w:rsidRPr="003B6E6D" w:rsidRDefault="00A617AF" w:rsidP="003B6E6D">
            <w:pPr>
              <w:jc w:val="center"/>
              <w:rPr>
                <w:sz w:val="18"/>
                <w:szCs w:val="18"/>
              </w:rPr>
            </w:pPr>
            <w:r w:rsidRPr="003B6E6D">
              <w:rPr>
                <w:sz w:val="18"/>
                <w:szCs w:val="18"/>
              </w:rPr>
              <w:t>≤ 3%</w:t>
            </w:r>
          </w:p>
        </w:tc>
      </w:tr>
      <w:tr w:rsidR="00A617AF" w:rsidRPr="003B6E6D" w14:paraId="1CF102DD" w14:textId="77777777" w:rsidTr="003B6E6D">
        <w:trPr>
          <w:trHeight w:val="70"/>
        </w:trPr>
        <w:tc>
          <w:tcPr>
            <w:tcW w:w="2410" w:type="dxa"/>
            <w:vAlign w:val="center"/>
          </w:tcPr>
          <w:p w14:paraId="14507B1E" w14:textId="77777777" w:rsidR="00A617AF" w:rsidRPr="003B6E6D" w:rsidRDefault="00A617AF" w:rsidP="003B6E6D">
            <w:pPr>
              <w:jc w:val="center"/>
              <w:rPr>
                <w:sz w:val="18"/>
                <w:szCs w:val="18"/>
              </w:rPr>
            </w:pPr>
            <w:r w:rsidRPr="003B6E6D">
              <w:rPr>
                <w:rStyle w:val="ypks7kbdpwfgdykd3qb9"/>
                <w:sz w:val="18"/>
                <w:szCs w:val="18"/>
              </w:rPr>
              <w:t>Interharmonics</w:t>
            </w:r>
            <w:r w:rsidRPr="003B6E6D">
              <w:rPr>
                <w:sz w:val="18"/>
                <w:szCs w:val="18"/>
              </w:rPr>
              <w:t xml:space="preserve"> </w:t>
            </w:r>
            <w:r w:rsidRPr="003B6E6D">
              <w:rPr>
                <w:rStyle w:val="ypks7kbdpwfgdykd3qb9"/>
                <w:sz w:val="18"/>
                <w:szCs w:val="18"/>
              </w:rPr>
              <w:t>(20-80</w:t>
            </w:r>
            <w:r w:rsidRPr="003B6E6D">
              <w:rPr>
                <w:sz w:val="18"/>
                <w:szCs w:val="18"/>
              </w:rPr>
              <w:t xml:space="preserve"> </w:t>
            </w:r>
            <w:r w:rsidRPr="003B6E6D">
              <w:rPr>
                <w:rStyle w:val="ypks7kbdpwfgdykd3qb9"/>
                <w:sz w:val="18"/>
                <w:szCs w:val="18"/>
              </w:rPr>
              <w:t>Hz)</w:t>
            </w:r>
          </w:p>
        </w:tc>
        <w:tc>
          <w:tcPr>
            <w:tcW w:w="2268" w:type="dxa"/>
            <w:vAlign w:val="center"/>
          </w:tcPr>
          <w:p w14:paraId="6E8FE2F2" w14:textId="77777777" w:rsidR="00A617AF" w:rsidRPr="003B6E6D" w:rsidRDefault="00A617AF" w:rsidP="003B6E6D">
            <w:pPr>
              <w:jc w:val="center"/>
              <w:rPr>
                <w:sz w:val="18"/>
                <w:szCs w:val="18"/>
              </w:rPr>
            </w:pPr>
            <w:r w:rsidRPr="003B6E6D">
              <w:rPr>
                <w:sz w:val="18"/>
                <w:szCs w:val="18"/>
              </w:rPr>
              <w:t>0.8%</w:t>
            </w:r>
          </w:p>
        </w:tc>
        <w:tc>
          <w:tcPr>
            <w:tcW w:w="2268" w:type="dxa"/>
            <w:vAlign w:val="center"/>
          </w:tcPr>
          <w:p w14:paraId="70971106" w14:textId="77777777" w:rsidR="00A617AF" w:rsidRPr="003B6E6D" w:rsidRDefault="00E72470" w:rsidP="003B6E6D">
            <w:pPr>
              <w:jc w:val="center"/>
              <w:rPr>
                <w:sz w:val="18"/>
                <w:szCs w:val="18"/>
              </w:rPr>
            </w:pPr>
            <w:r w:rsidRPr="003B6E6D">
              <w:rPr>
                <w:sz w:val="18"/>
                <w:szCs w:val="18"/>
              </w:rPr>
              <w:t xml:space="preserve">up to </w:t>
            </w:r>
            <w:r w:rsidR="00A617AF" w:rsidRPr="003B6E6D">
              <w:rPr>
                <w:sz w:val="18"/>
                <w:szCs w:val="18"/>
              </w:rPr>
              <w:t>2%</w:t>
            </w:r>
          </w:p>
        </w:tc>
        <w:tc>
          <w:tcPr>
            <w:tcW w:w="2117" w:type="dxa"/>
            <w:vAlign w:val="center"/>
          </w:tcPr>
          <w:p w14:paraId="6E75169A" w14:textId="77777777" w:rsidR="00A617AF" w:rsidRPr="003B6E6D" w:rsidRDefault="00A617AF" w:rsidP="003B6E6D">
            <w:pPr>
              <w:jc w:val="center"/>
              <w:rPr>
                <w:sz w:val="18"/>
                <w:szCs w:val="18"/>
              </w:rPr>
            </w:pPr>
            <w:r w:rsidRPr="003B6E6D">
              <w:rPr>
                <w:rStyle w:val="ypks7kbdpwfgdykd3qb9"/>
                <w:sz w:val="18"/>
                <w:szCs w:val="18"/>
              </w:rPr>
              <w:t>not</w:t>
            </w:r>
            <w:r w:rsidRPr="003B6E6D">
              <w:rPr>
                <w:sz w:val="18"/>
                <w:szCs w:val="18"/>
              </w:rPr>
              <w:t xml:space="preserve"> </w:t>
            </w:r>
            <w:r w:rsidRPr="003B6E6D">
              <w:rPr>
                <w:rStyle w:val="ypks7kbdpwfgdykd3qb9"/>
                <w:sz w:val="18"/>
                <w:szCs w:val="18"/>
              </w:rPr>
              <w:t>standardized</w:t>
            </w:r>
          </w:p>
        </w:tc>
      </w:tr>
      <w:tr w:rsidR="00A617AF" w:rsidRPr="003B6E6D" w14:paraId="02D81084" w14:textId="77777777" w:rsidTr="003B6E6D">
        <w:trPr>
          <w:trHeight w:val="70"/>
        </w:trPr>
        <w:tc>
          <w:tcPr>
            <w:tcW w:w="2410" w:type="dxa"/>
            <w:vAlign w:val="center"/>
          </w:tcPr>
          <w:p w14:paraId="6507A7EF" w14:textId="77777777" w:rsidR="00A617AF" w:rsidRPr="003B6E6D" w:rsidRDefault="00A617AF" w:rsidP="003B6E6D">
            <w:pPr>
              <w:jc w:val="center"/>
              <w:rPr>
                <w:sz w:val="18"/>
                <w:szCs w:val="18"/>
              </w:rPr>
            </w:pPr>
            <w:r w:rsidRPr="003B6E6D">
              <w:rPr>
                <w:rStyle w:val="ypks7kbdpwfgdykd3qb9"/>
                <w:sz w:val="18"/>
                <w:szCs w:val="18"/>
              </w:rPr>
              <w:t>100</w:t>
            </w:r>
            <w:r w:rsidRPr="003B6E6D">
              <w:rPr>
                <w:sz w:val="18"/>
                <w:szCs w:val="18"/>
              </w:rPr>
              <w:t xml:space="preserve"> </w:t>
            </w:r>
            <w:r w:rsidRPr="003B6E6D">
              <w:rPr>
                <w:rStyle w:val="ypks7kbdpwfgdykd3qb9"/>
                <w:sz w:val="18"/>
                <w:szCs w:val="18"/>
              </w:rPr>
              <w:t>Hz</w:t>
            </w:r>
            <w:r w:rsidRPr="003B6E6D">
              <w:rPr>
                <w:sz w:val="18"/>
                <w:szCs w:val="18"/>
              </w:rPr>
              <w:t xml:space="preserve"> </w:t>
            </w:r>
            <w:r w:rsidRPr="003B6E6D">
              <w:rPr>
                <w:rStyle w:val="ypks7kbdpwfgdykd3qb9"/>
                <w:sz w:val="18"/>
                <w:szCs w:val="18"/>
              </w:rPr>
              <w:t>ripple</w:t>
            </w:r>
            <w:r w:rsidRPr="003B6E6D">
              <w:rPr>
                <w:sz w:val="18"/>
                <w:szCs w:val="18"/>
              </w:rPr>
              <w:t xml:space="preserve"> </w:t>
            </w:r>
            <w:r w:rsidRPr="003B6E6D">
              <w:rPr>
                <w:rStyle w:val="ypks7kbdpwfgdykd3qb9"/>
                <w:sz w:val="18"/>
                <w:szCs w:val="18"/>
              </w:rPr>
              <w:t>(2nd)</w:t>
            </w:r>
          </w:p>
        </w:tc>
        <w:tc>
          <w:tcPr>
            <w:tcW w:w="2268" w:type="dxa"/>
            <w:vAlign w:val="center"/>
          </w:tcPr>
          <w:p w14:paraId="71C258E2" w14:textId="77777777" w:rsidR="00A617AF" w:rsidRPr="003B6E6D" w:rsidRDefault="00A617AF" w:rsidP="003B6E6D">
            <w:pPr>
              <w:jc w:val="center"/>
              <w:rPr>
                <w:sz w:val="18"/>
                <w:szCs w:val="18"/>
              </w:rPr>
            </w:pPr>
            <w:r w:rsidRPr="003B6E6D">
              <w:rPr>
                <w:sz w:val="18"/>
                <w:szCs w:val="18"/>
              </w:rPr>
              <w:t>1.7%</w:t>
            </w:r>
          </w:p>
        </w:tc>
        <w:tc>
          <w:tcPr>
            <w:tcW w:w="2268" w:type="dxa"/>
            <w:vAlign w:val="center"/>
          </w:tcPr>
          <w:p w14:paraId="47D8C6DE" w14:textId="77777777" w:rsidR="00A617AF" w:rsidRPr="003B6E6D" w:rsidRDefault="00A617AF" w:rsidP="003B6E6D">
            <w:pPr>
              <w:jc w:val="center"/>
              <w:rPr>
                <w:sz w:val="18"/>
                <w:szCs w:val="18"/>
              </w:rPr>
            </w:pPr>
            <w:r w:rsidRPr="003B6E6D">
              <w:rPr>
                <w:sz w:val="18"/>
                <w:szCs w:val="18"/>
              </w:rPr>
              <w:t>5%</w:t>
            </w:r>
          </w:p>
        </w:tc>
        <w:tc>
          <w:tcPr>
            <w:tcW w:w="2117" w:type="dxa"/>
            <w:vAlign w:val="center"/>
          </w:tcPr>
          <w:p w14:paraId="62521AB9" w14:textId="77777777" w:rsidR="00A617AF" w:rsidRPr="003B6E6D" w:rsidRDefault="00A617AF" w:rsidP="003B6E6D">
            <w:pPr>
              <w:jc w:val="center"/>
              <w:rPr>
                <w:sz w:val="18"/>
                <w:szCs w:val="18"/>
                <w:lang w:val="uz-Cyrl-UZ"/>
              </w:rPr>
            </w:pPr>
            <w:r w:rsidRPr="003B6E6D">
              <w:rPr>
                <w:sz w:val="18"/>
                <w:szCs w:val="18"/>
              </w:rPr>
              <w:t>≤ 3%</w:t>
            </w:r>
          </w:p>
        </w:tc>
      </w:tr>
    </w:tbl>
    <w:p w14:paraId="35FE3B3F" w14:textId="77777777" w:rsidR="00E72470" w:rsidRDefault="00E72470" w:rsidP="00E72470">
      <w:pPr>
        <w:pStyle w:val="aa"/>
        <w:jc w:val="both"/>
        <w:rPr>
          <w:rFonts w:ascii="Times New Roman" w:hAnsi="Times New Roman" w:cs="Times New Roman"/>
          <w:sz w:val="20"/>
          <w:lang w:val="uz-Cyrl-UZ"/>
        </w:rPr>
      </w:pPr>
      <w:r w:rsidRPr="00E72470">
        <w:rPr>
          <w:rFonts w:ascii="Times New Roman" w:hAnsi="Times New Roman" w:cs="Times New Roman"/>
          <w:sz w:val="20"/>
          <w:lang w:val="uz-Cyrl-UZ"/>
        </w:rPr>
        <w:t xml:space="preserve"> </w:t>
      </w:r>
    </w:p>
    <w:p w14:paraId="37BD635A" w14:textId="77777777" w:rsidR="00F9356E" w:rsidRDefault="00E72470" w:rsidP="00F9356E">
      <w:pPr>
        <w:pStyle w:val="aa"/>
        <w:ind w:firstLine="284"/>
        <w:jc w:val="both"/>
        <w:rPr>
          <w:rFonts w:ascii="Times New Roman" w:hAnsi="Times New Roman" w:cs="Times New Roman"/>
          <w:sz w:val="20"/>
        </w:rPr>
      </w:pPr>
      <w:r w:rsidRPr="00E72470">
        <w:rPr>
          <w:rFonts w:ascii="Times New Roman" w:hAnsi="Times New Roman" w:cs="Times New Roman"/>
          <w:sz w:val="20"/>
          <w:lang w:val="uz-Cyrl-UZ"/>
        </w:rPr>
        <w:t>The presented table summarizes the measured harmonic distortion levels in the hybrid PV–Diesel power system and compares them with the permissible limits established by the GOST power quality standard. The data include the average amplitude, maximum recorded values, and allowable limits for the primary odd harmonics (3rd, 5th, 7th, 11th, 13th), as well as interharmonics within 20–80 Hz and the 100 Hz second harmonic (ripple).</w:t>
      </w:r>
    </w:p>
    <w:p w14:paraId="23068CB8" w14:textId="0B72C10C" w:rsidR="00F9356E" w:rsidRDefault="00E72470" w:rsidP="00F9356E">
      <w:pPr>
        <w:pStyle w:val="aa"/>
        <w:ind w:firstLine="284"/>
        <w:jc w:val="both"/>
        <w:rPr>
          <w:rFonts w:ascii="Times New Roman" w:hAnsi="Times New Roman" w:cs="Times New Roman"/>
          <w:sz w:val="20"/>
        </w:rPr>
      </w:pPr>
      <w:r w:rsidRPr="00E72470">
        <w:rPr>
          <w:rFonts w:ascii="Times New Roman" w:hAnsi="Times New Roman" w:cs="Times New Roman"/>
          <w:sz w:val="20"/>
          <w:lang w:val="uz-Cyrl-UZ"/>
        </w:rPr>
        <w:t>This harmonic analysis is critical because excessive harmonic distortion can severely degrade the stability, efficiency, and power quality of hybrid renewable–diesel systems. Harmonics originate from nonlinear loads, inverter switching, diesel generator frequency fluctuations, and dynamic interactions between filters and the grid. Understanding these distortions is essential for improving system reliability and ensuring compliance with energy standards. Inverters are essential components of hybrid PV–Diesel power systems, performing the DC-to-AC conversion required to integrate renewable sources into the grid. However, the conversion process inherently introduces harmonic distortions, which can degrade the stability, efficiency, and power quality of the entire system</w:t>
      </w:r>
      <w:r w:rsidR="0087004C">
        <w:rPr>
          <w:rFonts w:ascii="Times New Roman" w:hAnsi="Times New Roman" w:cs="Times New Roman"/>
          <w:sz w:val="20"/>
        </w:rPr>
        <w:t xml:space="preserve"> [12,13]</w:t>
      </w:r>
      <w:r w:rsidRPr="00E72470">
        <w:rPr>
          <w:rFonts w:ascii="Times New Roman" w:hAnsi="Times New Roman" w:cs="Times New Roman"/>
          <w:sz w:val="20"/>
          <w:lang w:val="uz-Cyrl-UZ"/>
        </w:rPr>
        <w:t>.</w:t>
      </w:r>
    </w:p>
    <w:p w14:paraId="1DCB7140" w14:textId="64FAB8A8" w:rsidR="00E72470" w:rsidRPr="00F9356E" w:rsidRDefault="00E72470" w:rsidP="00F9356E">
      <w:pPr>
        <w:pStyle w:val="aa"/>
        <w:ind w:firstLine="284"/>
        <w:jc w:val="both"/>
        <w:rPr>
          <w:rFonts w:ascii="Times New Roman" w:hAnsi="Times New Roman" w:cs="Times New Roman"/>
          <w:sz w:val="20"/>
          <w:lang w:val="uz-Cyrl-UZ"/>
        </w:rPr>
      </w:pPr>
      <w:r w:rsidRPr="00E72470">
        <w:rPr>
          <w:rFonts w:ascii="Times New Roman" w:hAnsi="Times New Roman" w:cs="Times New Roman"/>
          <w:sz w:val="20"/>
          <w:lang w:val="uz-Cyrl-UZ"/>
        </w:rPr>
        <w:t>The harmonics generated by the inverter arise from switching operations, nonlinear filtering processes, and dynamic interactions between the inverter, the load, and the grid. These distortions often lead to elevated Total Harmonic Distortion (THD), voltage oscillations, resonances, and excessive thermal stress on system components. High-Frequency PWM Switching. This switching produces:high-frequency harmonics,sideband,components around the switching frequency,electromagnetic noise.If the PWM frequency is too low or the output filter is improperly designed, these harmonics leak into the output voltage and current. Output filters are designed to attenuate high-frequency harmonics. Problems occur when:filter parameters are improperly selected,the filter has high quality factor (Q), leading to sharp resonance peaks,damping resistors are absent or ineffective,component tolerances cause detuning.As a result:5th and 7th harmonics become dominant,resonance amplifies certain frequency components,THD increases significantly</w:t>
      </w:r>
      <w:r w:rsidR="0087004C">
        <w:rPr>
          <w:rFonts w:ascii="Times New Roman" w:hAnsi="Times New Roman" w:cs="Times New Roman"/>
          <w:sz w:val="20"/>
        </w:rPr>
        <w:t xml:space="preserve"> [14-18]</w:t>
      </w:r>
      <w:r w:rsidRPr="00E72470">
        <w:rPr>
          <w:rFonts w:ascii="Times New Roman" w:hAnsi="Times New Roman" w:cs="Times New Roman"/>
          <w:sz w:val="20"/>
          <w:lang w:val="uz-Cyrl-UZ"/>
        </w:rPr>
        <w:t>.</w:t>
      </w:r>
    </w:p>
    <w:p w14:paraId="2A2C4C4D" w14:textId="77777777" w:rsidR="00570CB5" w:rsidRDefault="00570CB5" w:rsidP="00F9356E">
      <w:pPr>
        <w:spacing w:after="0" w:line="240" w:lineRule="auto"/>
        <w:ind w:firstLine="284"/>
        <w:jc w:val="center"/>
        <w:rPr>
          <w:rFonts w:ascii="Times New Roman" w:hAnsi="Times New Roman" w:cs="Times New Roman"/>
          <w:b/>
          <w:sz w:val="20"/>
          <w:lang w:val="uz-Cyrl-UZ"/>
        </w:rPr>
      </w:pPr>
      <w:r w:rsidRPr="00570CB5">
        <w:rPr>
          <w:rFonts w:ascii="Times New Roman" w:hAnsi="Times New Roman" w:cs="Times New Roman"/>
          <w:b/>
          <w:sz w:val="20"/>
          <w:lang w:val="uz-Cyrl-UZ"/>
        </w:rPr>
        <w:t xml:space="preserve">TABLE </w:t>
      </w:r>
      <w:r w:rsidR="00E72470">
        <w:rPr>
          <w:rFonts w:ascii="Times New Roman" w:hAnsi="Times New Roman" w:cs="Times New Roman"/>
          <w:b/>
          <w:sz w:val="20"/>
        </w:rPr>
        <w:t>2</w:t>
      </w:r>
      <w:r w:rsidRPr="00570CB5">
        <w:rPr>
          <w:rFonts w:ascii="Times New Roman" w:hAnsi="Times New Roman" w:cs="Times New Roman"/>
          <w:b/>
          <w:sz w:val="20"/>
          <w:lang w:val="uz-Cyrl-UZ"/>
        </w:rPr>
        <w:t>.</w:t>
      </w:r>
      <w:r w:rsidRPr="00570CB5">
        <w:t xml:space="preserve"> </w:t>
      </w:r>
      <w:r w:rsidRPr="006B72B1">
        <w:rPr>
          <w:rFonts w:ascii="Times New Roman" w:hAnsi="Times New Roman" w:cs="Times New Roman"/>
          <w:sz w:val="20"/>
          <w:lang w:val="uz-Cyrl-UZ"/>
        </w:rPr>
        <w:t>Performance Parameters of Hybrid Energy System Components</w:t>
      </w:r>
    </w:p>
    <w:p w14:paraId="0077EAE9" w14:textId="77777777" w:rsidR="00A617AF" w:rsidRPr="00570CB5" w:rsidRDefault="00A617AF" w:rsidP="00570CB5">
      <w:pPr>
        <w:spacing w:after="0" w:line="240" w:lineRule="auto"/>
        <w:ind w:firstLine="284"/>
        <w:jc w:val="both"/>
        <w:rPr>
          <w:rFonts w:ascii="Times New Roman" w:hAnsi="Times New Roman" w:cs="Times New Roman"/>
          <w:b/>
          <w:sz w:val="20"/>
          <w:lang w:val="uz-Cyrl-UZ"/>
        </w:rPr>
      </w:pPr>
    </w:p>
    <w:tbl>
      <w:tblPr>
        <w:tblStyle w:val="a3"/>
        <w:tblW w:w="9207" w:type="dxa"/>
        <w:jc w:val="center"/>
        <w:tblLook w:val="04A0" w:firstRow="1" w:lastRow="0" w:firstColumn="1" w:lastColumn="0" w:noHBand="0" w:noVBand="1"/>
      </w:tblPr>
      <w:tblGrid>
        <w:gridCol w:w="2119"/>
        <w:gridCol w:w="1987"/>
        <w:gridCol w:w="2982"/>
        <w:gridCol w:w="2119"/>
      </w:tblGrid>
      <w:tr w:rsidR="00570CB5" w:rsidRPr="00B76E11" w14:paraId="53761BE3" w14:textId="77777777" w:rsidTr="00F9356E">
        <w:trPr>
          <w:trHeight w:val="295"/>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137BA452" w14:textId="77777777" w:rsidR="00570CB5" w:rsidRPr="00B76E11" w:rsidRDefault="00570CB5" w:rsidP="003B6E6D">
            <w:pPr>
              <w:jc w:val="center"/>
              <w:rPr>
                <w:sz w:val="28"/>
                <w:szCs w:val="28"/>
                <w:lang w:val="uz-Cyrl-UZ"/>
              </w:rPr>
            </w:pPr>
            <w:r>
              <w:t>Component</w:t>
            </w:r>
          </w:p>
        </w:tc>
        <w:tc>
          <w:tcPr>
            <w:tcW w:w="1987" w:type="dxa"/>
            <w:tcBorders>
              <w:top w:val="single" w:sz="4" w:space="0" w:color="auto"/>
              <w:left w:val="single" w:sz="4" w:space="0" w:color="auto"/>
              <w:bottom w:val="single" w:sz="4" w:space="0" w:color="auto"/>
              <w:right w:val="single" w:sz="4" w:space="0" w:color="auto"/>
            </w:tcBorders>
            <w:vAlign w:val="center"/>
          </w:tcPr>
          <w:p w14:paraId="095B8FB2" w14:textId="77777777" w:rsidR="00570CB5" w:rsidRPr="00570CB5" w:rsidRDefault="00570CB5" w:rsidP="003B6E6D">
            <w:pPr>
              <w:jc w:val="center"/>
              <w:rPr>
                <w:sz w:val="28"/>
                <w:szCs w:val="28"/>
              </w:rPr>
            </w:pPr>
            <w:r w:rsidRPr="00570CB5">
              <w:t>Power, kW</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8A45D98" w14:textId="77777777" w:rsidR="00570CB5" w:rsidRPr="00B76E11" w:rsidRDefault="00570CB5" w:rsidP="003B6E6D">
            <w:pPr>
              <w:jc w:val="center"/>
              <w:rPr>
                <w:sz w:val="28"/>
                <w:szCs w:val="28"/>
                <w:lang w:val="uz-Cyrl-UZ"/>
              </w:rPr>
            </w:pPr>
            <w:r>
              <w:t>Average Daily Operating Time, h</w:t>
            </w:r>
          </w:p>
        </w:tc>
        <w:tc>
          <w:tcPr>
            <w:tcW w:w="2119" w:type="dxa"/>
            <w:tcBorders>
              <w:top w:val="single" w:sz="4" w:space="0" w:color="auto"/>
              <w:left w:val="single" w:sz="4" w:space="0" w:color="auto"/>
              <w:bottom w:val="single" w:sz="4" w:space="0" w:color="auto"/>
              <w:right w:val="single" w:sz="4" w:space="0" w:color="auto"/>
            </w:tcBorders>
            <w:vAlign w:val="center"/>
            <w:hideMark/>
          </w:tcPr>
          <w:p w14:paraId="74A75BB5" w14:textId="77777777" w:rsidR="00570CB5" w:rsidRPr="00B76E11" w:rsidRDefault="00570CB5" w:rsidP="003B6E6D">
            <w:pPr>
              <w:jc w:val="center"/>
              <w:rPr>
                <w:sz w:val="28"/>
                <w:szCs w:val="28"/>
                <w:lang w:val="uz-Cyrl-UZ"/>
              </w:rPr>
            </w:pPr>
            <w:r>
              <w:t>Daily Energy, kWh</w:t>
            </w:r>
          </w:p>
        </w:tc>
      </w:tr>
      <w:tr w:rsidR="00570CB5" w:rsidRPr="00B76E11" w14:paraId="789BECF7" w14:textId="77777777" w:rsidTr="003B6E6D">
        <w:trPr>
          <w:trHeight w:val="70"/>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7518AFB3" w14:textId="77777777" w:rsidR="00570CB5" w:rsidRPr="00B76E11" w:rsidRDefault="00570CB5" w:rsidP="003B6E6D">
            <w:pPr>
              <w:jc w:val="center"/>
              <w:rPr>
                <w:sz w:val="28"/>
                <w:szCs w:val="28"/>
                <w:lang w:val="uz-Cyrl-UZ"/>
              </w:rPr>
            </w:pPr>
            <w:r>
              <w:t>Solar Panels (PV)</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F1956DE" w14:textId="77777777" w:rsidR="00570CB5" w:rsidRPr="00570CB5" w:rsidRDefault="00570CB5" w:rsidP="003B6E6D">
            <w:pPr>
              <w:jc w:val="center"/>
            </w:pPr>
            <w:r w:rsidRPr="00570CB5">
              <w:t>10.0</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A2671C5" w14:textId="77777777" w:rsidR="00570CB5" w:rsidRPr="00570CB5" w:rsidRDefault="00570CB5" w:rsidP="003B6E6D">
            <w:pPr>
              <w:jc w:val="center"/>
            </w:pPr>
            <w:r w:rsidRPr="00570CB5">
              <w:t>5.5</w:t>
            </w:r>
          </w:p>
        </w:tc>
        <w:tc>
          <w:tcPr>
            <w:tcW w:w="2119" w:type="dxa"/>
            <w:tcBorders>
              <w:top w:val="single" w:sz="4" w:space="0" w:color="auto"/>
              <w:left w:val="single" w:sz="4" w:space="0" w:color="auto"/>
              <w:bottom w:val="single" w:sz="4" w:space="0" w:color="auto"/>
              <w:right w:val="single" w:sz="4" w:space="0" w:color="auto"/>
            </w:tcBorders>
            <w:vAlign w:val="center"/>
            <w:hideMark/>
          </w:tcPr>
          <w:p w14:paraId="4FE7545A" w14:textId="77777777" w:rsidR="00570CB5" w:rsidRPr="00570CB5" w:rsidRDefault="00570CB5" w:rsidP="003B6E6D">
            <w:pPr>
              <w:jc w:val="center"/>
            </w:pPr>
            <w:r w:rsidRPr="00570CB5">
              <w:t>55,0</w:t>
            </w:r>
          </w:p>
        </w:tc>
      </w:tr>
      <w:tr w:rsidR="00570CB5" w:rsidRPr="00B76E11" w14:paraId="5E842CD2" w14:textId="77777777" w:rsidTr="003B6E6D">
        <w:trPr>
          <w:trHeight w:val="70"/>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10DEABA1" w14:textId="77777777" w:rsidR="00570CB5" w:rsidRPr="00B76E11" w:rsidRDefault="00570CB5" w:rsidP="003B6E6D">
            <w:pPr>
              <w:jc w:val="center"/>
              <w:rPr>
                <w:sz w:val="28"/>
                <w:szCs w:val="28"/>
                <w:lang w:val="uz-Cyrl-UZ"/>
              </w:rPr>
            </w:pPr>
            <w:r>
              <w:t>Wind Generator (WG)</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96B088B" w14:textId="77777777" w:rsidR="00570CB5" w:rsidRPr="00570CB5" w:rsidRDefault="00570CB5" w:rsidP="003B6E6D">
            <w:pPr>
              <w:jc w:val="center"/>
            </w:pPr>
            <w:r w:rsidRPr="00570CB5">
              <w:t>5.0</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A339A28" w14:textId="77777777" w:rsidR="00570CB5" w:rsidRPr="00570CB5" w:rsidRDefault="00570CB5" w:rsidP="003B6E6D">
            <w:pPr>
              <w:jc w:val="center"/>
            </w:pPr>
            <w:r w:rsidRPr="00570CB5">
              <w:t>6.0</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8ADCC52" w14:textId="77777777" w:rsidR="00570CB5" w:rsidRPr="00570CB5" w:rsidRDefault="00570CB5" w:rsidP="003B6E6D">
            <w:pPr>
              <w:jc w:val="center"/>
            </w:pPr>
            <w:r w:rsidRPr="00570CB5">
              <w:t>30.0</w:t>
            </w:r>
          </w:p>
        </w:tc>
      </w:tr>
      <w:tr w:rsidR="00570CB5" w:rsidRPr="00B76E11" w14:paraId="20AF7F8B" w14:textId="77777777" w:rsidTr="003B6E6D">
        <w:trPr>
          <w:trHeight w:val="70"/>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0FB855A0" w14:textId="77777777" w:rsidR="00570CB5" w:rsidRPr="00B76E11" w:rsidRDefault="00570CB5" w:rsidP="003B6E6D">
            <w:pPr>
              <w:jc w:val="center"/>
              <w:rPr>
                <w:sz w:val="28"/>
                <w:szCs w:val="28"/>
                <w:lang w:val="uz-Cyrl-UZ"/>
              </w:rPr>
            </w:pPr>
            <w:r>
              <w:t>Diesel Generator (DG)</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DB98CBB" w14:textId="77777777" w:rsidR="00570CB5" w:rsidRPr="00570CB5" w:rsidRDefault="00570CB5" w:rsidP="003B6E6D">
            <w:pPr>
              <w:jc w:val="center"/>
            </w:pPr>
            <w:r w:rsidRPr="00570CB5">
              <w:t>8.0</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2589EDA" w14:textId="77777777" w:rsidR="00570CB5" w:rsidRPr="00570CB5" w:rsidRDefault="00570CB5" w:rsidP="003B6E6D">
            <w:pPr>
              <w:jc w:val="center"/>
            </w:pPr>
            <w:r w:rsidRPr="00570CB5">
              <w:t>1.5</w:t>
            </w:r>
          </w:p>
        </w:tc>
        <w:tc>
          <w:tcPr>
            <w:tcW w:w="2119" w:type="dxa"/>
            <w:tcBorders>
              <w:top w:val="single" w:sz="4" w:space="0" w:color="auto"/>
              <w:left w:val="single" w:sz="4" w:space="0" w:color="auto"/>
              <w:bottom w:val="single" w:sz="4" w:space="0" w:color="auto"/>
              <w:right w:val="single" w:sz="4" w:space="0" w:color="auto"/>
            </w:tcBorders>
            <w:vAlign w:val="center"/>
            <w:hideMark/>
          </w:tcPr>
          <w:p w14:paraId="5CD2DE85" w14:textId="77777777" w:rsidR="00570CB5" w:rsidRPr="00570CB5" w:rsidRDefault="00570CB5" w:rsidP="003B6E6D">
            <w:pPr>
              <w:jc w:val="center"/>
            </w:pPr>
            <w:r w:rsidRPr="00570CB5">
              <w:t>12.0</w:t>
            </w:r>
          </w:p>
        </w:tc>
      </w:tr>
      <w:tr w:rsidR="00570CB5" w:rsidRPr="00B76E11" w14:paraId="1886F255" w14:textId="77777777" w:rsidTr="003B6E6D">
        <w:trPr>
          <w:trHeight w:val="70"/>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07BCA834" w14:textId="4E96B7E1" w:rsidR="00570CB5" w:rsidRPr="00B76E11" w:rsidRDefault="00570CB5" w:rsidP="003B6E6D">
            <w:pPr>
              <w:jc w:val="center"/>
              <w:rPr>
                <w:sz w:val="28"/>
                <w:szCs w:val="28"/>
                <w:lang w:val="uz-Cyrl-UZ"/>
              </w:rPr>
            </w:pPr>
            <w:r>
              <w:t>Consumers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6B8D88E9" w14:textId="77777777" w:rsidR="00570CB5" w:rsidRPr="00570CB5" w:rsidRDefault="00570CB5" w:rsidP="003B6E6D">
            <w:pPr>
              <w:jc w:val="center"/>
            </w:pPr>
            <w:r w:rsidRPr="00570CB5">
              <w:t>12.0</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FCA516D" w14:textId="77777777" w:rsidR="00570CB5" w:rsidRPr="00570CB5" w:rsidRDefault="00570CB5" w:rsidP="003B6E6D">
            <w:pPr>
              <w:jc w:val="center"/>
            </w:pPr>
            <w:r w:rsidRPr="00570CB5">
              <w:t>24.0</w:t>
            </w:r>
          </w:p>
        </w:tc>
        <w:tc>
          <w:tcPr>
            <w:tcW w:w="2119" w:type="dxa"/>
            <w:tcBorders>
              <w:top w:val="single" w:sz="4" w:space="0" w:color="auto"/>
              <w:left w:val="single" w:sz="4" w:space="0" w:color="auto"/>
              <w:bottom w:val="single" w:sz="4" w:space="0" w:color="auto"/>
              <w:right w:val="single" w:sz="4" w:space="0" w:color="auto"/>
            </w:tcBorders>
            <w:vAlign w:val="center"/>
          </w:tcPr>
          <w:p w14:paraId="7FA282F5" w14:textId="77777777" w:rsidR="00570CB5" w:rsidRPr="00570CB5" w:rsidRDefault="00570CB5" w:rsidP="003B6E6D">
            <w:pPr>
              <w:jc w:val="center"/>
            </w:pPr>
            <w:r w:rsidRPr="00570CB5">
              <w:t>288,0</w:t>
            </w:r>
          </w:p>
        </w:tc>
      </w:tr>
      <w:tr w:rsidR="00570CB5" w:rsidRPr="00B76E11" w14:paraId="5DB1C967" w14:textId="77777777" w:rsidTr="003B6E6D">
        <w:trPr>
          <w:trHeight w:val="70"/>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0C0B6E24" w14:textId="77777777" w:rsidR="00570CB5" w:rsidRPr="00B76E11" w:rsidRDefault="00570CB5" w:rsidP="003B6E6D">
            <w:pPr>
              <w:jc w:val="center"/>
              <w:rPr>
                <w:sz w:val="28"/>
                <w:szCs w:val="28"/>
                <w:lang w:val="uz-Cyrl-UZ"/>
              </w:rPr>
            </w:pPr>
            <w:r>
              <w:t>Battery (BESS)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D8D0497" w14:textId="77777777" w:rsidR="00570CB5" w:rsidRPr="00570CB5" w:rsidRDefault="00570CB5" w:rsidP="003B6E6D">
            <w:pPr>
              <w:jc w:val="center"/>
            </w:pPr>
            <w:r w:rsidRPr="00570CB5">
              <w:t>—</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5F5E076" w14:textId="77777777" w:rsidR="00570CB5" w:rsidRPr="00570CB5" w:rsidRDefault="00570CB5" w:rsidP="003B6E6D">
            <w:pPr>
              <w:jc w:val="center"/>
            </w:pPr>
            <w:r w:rsidRPr="00570CB5">
              <w:t>—</w:t>
            </w:r>
          </w:p>
        </w:tc>
        <w:tc>
          <w:tcPr>
            <w:tcW w:w="2119" w:type="dxa"/>
            <w:tcBorders>
              <w:top w:val="single" w:sz="4" w:space="0" w:color="auto"/>
              <w:left w:val="single" w:sz="4" w:space="0" w:color="auto"/>
              <w:bottom w:val="single" w:sz="4" w:space="0" w:color="auto"/>
              <w:right w:val="single" w:sz="4" w:space="0" w:color="auto"/>
            </w:tcBorders>
            <w:vAlign w:val="center"/>
          </w:tcPr>
          <w:p w14:paraId="14B0CCE9" w14:textId="77777777" w:rsidR="00570CB5" w:rsidRPr="00570CB5" w:rsidRDefault="00570CB5" w:rsidP="003B6E6D">
            <w:pPr>
              <w:jc w:val="center"/>
            </w:pPr>
            <w:r w:rsidRPr="00570CB5">
              <w:t>144,0</w:t>
            </w:r>
          </w:p>
        </w:tc>
      </w:tr>
    </w:tbl>
    <w:p w14:paraId="08886E8E" w14:textId="77777777" w:rsidR="00570CB5" w:rsidRPr="00570CB5" w:rsidRDefault="00570CB5" w:rsidP="008B791C">
      <w:pPr>
        <w:spacing w:after="0" w:line="240" w:lineRule="auto"/>
        <w:ind w:firstLine="284"/>
        <w:jc w:val="both"/>
        <w:rPr>
          <w:rFonts w:ascii="Times New Roman" w:hAnsi="Times New Roman" w:cs="Times New Roman"/>
          <w:sz w:val="20"/>
          <w:lang w:val="uz-Cyrl-UZ"/>
        </w:rPr>
      </w:pPr>
    </w:p>
    <w:p w14:paraId="7505F3E8" w14:textId="0042EADB" w:rsidR="008B791C" w:rsidRDefault="00FA65DD" w:rsidP="008B791C">
      <w:pPr>
        <w:spacing w:after="0" w:line="240" w:lineRule="auto"/>
        <w:ind w:firstLine="284"/>
        <w:jc w:val="both"/>
        <w:rPr>
          <w:rFonts w:ascii="Times New Roman" w:hAnsi="Times New Roman" w:cs="Times New Roman"/>
          <w:sz w:val="20"/>
          <w:lang w:val="uz-Cyrl-UZ"/>
        </w:rPr>
      </w:pPr>
      <w:r w:rsidRPr="00FA65DD">
        <w:rPr>
          <w:rFonts w:ascii="Times New Roman" w:hAnsi="Times New Roman" w:cs="Times New Roman"/>
          <w:sz w:val="20"/>
          <w:lang w:val="uz-Cyrl-UZ"/>
        </w:rPr>
        <w:t>One of the major challenges faced by modern solar power plants is the mismatch between the inverter’s output voltage waveform and the grid voltage parameters. This inconsistency leads to phase misalignment, frequency deviations, and increased harmonic distortion. Such distortions negatively affect the operation of grid equipment, increase power losses, and reduce the lifespan of energy system components. According to IEEE 519:2014 and GOST 32144-2013 standards, the Total Harmonic Distortion (THD) at the Point of Common Coupling must not exceed 5%. However, in many inverter systems, this value is significantly higher due to insufficient control strategies and imperfect filtering mechanisms.</w:t>
      </w:r>
      <w:r w:rsidR="008B791C" w:rsidRPr="00E2595D">
        <w:rPr>
          <w:rFonts w:ascii="Times New Roman" w:hAnsi="Times New Roman" w:cs="Times New Roman"/>
          <w:sz w:val="20"/>
          <w:lang w:val="uz-Cyrl-UZ"/>
        </w:rPr>
        <w:t xml:space="preserve">There are two options for technical solutions to stabilize the frequency of the output voltage. The first option is a direct mechanical effect on the rotation speed of the wind wheel, which is technically </w:t>
      </w:r>
      <w:r w:rsidR="008B791C" w:rsidRPr="00E2595D">
        <w:rPr>
          <w:rFonts w:ascii="Times New Roman" w:hAnsi="Times New Roman" w:cs="Times New Roman"/>
          <w:sz w:val="20"/>
          <w:lang w:val="uz-Cyrl-UZ"/>
        </w:rPr>
        <w:lastRenderedPageBreak/>
        <w:t>possible, for example, it is necessary to change the angle of the blades. The second option is to convert non-standard energy into standard electricity</w:t>
      </w:r>
      <w:r w:rsidR="0087004C">
        <w:rPr>
          <w:rFonts w:ascii="Times New Roman" w:hAnsi="Times New Roman" w:cs="Times New Roman"/>
          <w:sz w:val="20"/>
        </w:rPr>
        <w:t xml:space="preserve"> [19-21]</w:t>
      </w:r>
      <w:r w:rsidR="008B791C" w:rsidRPr="00287E0A">
        <w:rPr>
          <w:rFonts w:ascii="Times New Roman" w:hAnsi="Times New Roman" w:cs="Times New Roman"/>
          <w:sz w:val="20"/>
          <w:lang w:val="uz-Cyrl-UZ"/>
        </w:rPr>
        <w:t>.</w:t>
      </w:r>
    </w:p>
    <w:p w14:paraId="006AFF93" w14:textId="0978D185" w:rsidR="00FA65DD" w:rsidRDefault="00FA65DD" w:rsidP="008B791C">
      <w:pPr>
        <w:spacing w:after="0" w:line="240" w:lineRule="auto"/>
        <w:ind w:firstLine="284"/>
        <w:jc w:val="both"/>
        <w:rPr>
          <w:rFonts w:ascii="Times New Roman" w:hAnsi="Times New Roman" w:cs="Times New Roman"/>
          <w:sz w:val="20"/>
          <w:lang w:val="uz-Cyrl-UZ"/>
        </w:rPr>
      </w:pPr>
      <w:r w:rsidRPr="00E2595D">
        <w:rPr>
          <w:rFonts w:ascii="Times New Roman" w:hAnsi="Times New Roman" w:cs="Times New Roman"/>
          <w:sz w:val="20"/>
          <w:lang w:val="uz-Cyrl-UZ"/>
        </w:rPr>
        <w:t>The mismatch between the inverter’s sine wave and the grid sine wave becomes particularly noticeable under conditions of fluctuating solar irradiance, temperature variations, load asymmetry, and the presence of nonlinear loads. Under such circumstances, even small phase shifts (2–5°) can lead to oscillations in active and reactive power, overloads, and a reduction in inverter efficiency. Recent studies show that harmonic distortion exceeding 8–10% results in excessive heating of transformers and reactors, a 3–5% decrease in efficiency, and accelerated failure of electrical equipment</w:t>
      </w:r>
      <w:r w:rsidR="0087004C">
        <w:rPr>
          <w:rFonts w:ascii="Times New Roman" w:hAnsi="Times New Roman" w:cs="Times New Roman"/>
          <w:sz w:val="20"/>
        </w:rPr>
        <w:t xml:space="preserve"> [22-26]</w:t>
      </w:r>
      <w:r w:rsidRPr="00E2595D">
        <w:rPr>
          <w:rFonts w:ascii="Times New Roman" w:hAnsi="Times New Roman" w:cs="Times New Roman"/>
          <w:sz w:val="20"/>
          <w:lang w:val="uz-Cyrl-UZ"/>
        </w:rPr>
        <w:t>.</w:t>
      </w:r>
    </w:p>
    <w:p w14:paraId="23DB5A49" w14:textId="77777777" w:rsidR="00FA65DD" w:rsidRPr="00155A57" w:rsidRDefault="00B46223" w:rsidP="003B6E6D">
      <w:pPr>
        <w:overflowPunct w:val="0"/>
        <w:autoSpaceDE w:val="0"/>
        <w:autoSpaceDN w:val="0"/>
        <w:adjustRightInd w:val="0"/>
        <w:spacing w:after="0" w:line="240" w:lineRule="auto"/>
        <w:jc w:val="center"/>
        <w:textAlignment w:val="baseline"/>
        <w:rPr>
          <w:rFonts w:ascii="Times New Roman" w:hAnsi="Times New Roman" w:cs="Times New Roman"/>
          <w:bCs/>
          <w:sz w:val="20"/>
          <w:lang w:val="uz-Cyrl-UZ"/>
        </w:rPr>
      </w:pPr>
      <w:r w:rsidRPr="00B76E11">
        <w:rPr>
          <w:rFonts w:ascii="Times New Roman" w:hAnsi="Times New Roman" w:cs="Times New Roman"/>
          <w:b/>
          <w:bCs/>
          <w:noProof/>
          <w:sz w:val="28"/>
          <w:szCs w:val="28"/>
          <w:lang w:val="ru-RU" w:eastAsia="ru-RU"/>
        </w:rPr>
        <w:drawing>
          <wp:inline distT="0" distB="0" distL="0" distR="0" wp14:anchorId="599D3927" wp14:editId="7CAA9761">
            <wp:extent cx="5788989" cy="2819400"/>
            <wp:effectExtent l="0" t="0" r="2540" b="0"/>
            <wp:docPr id="747147592" name="Рисунок 74714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4229" cy="2821952"/>
                    </a:xfrm>
                    <a:prstGeom prst="rect">
                      <a:avLst/>
                    </a:prstGeom>
                    <a:noFill/>
                  </pic:spPr>
                </pic:pic>
              </a:graphicData>
            </a:graphic>
          </wp:inline>
        </w:drawing>
      </w:r>
    </w:p>
    <w:p w14:paraId="3123589F" w14:textId="695C75CE" w:rsidR="00FA65DD" w:rsidRPr="00FA65DD" w:rsidRDefault="00AA2AF7" w:rsidP="00F9356E">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rPr>
      </w:pPr>
      <w:r>
        <w:rPr>
          <w:rFonts w:ascii="Times New Roman" w:hAnsi="Times New Roman" w:cs="Times New Roman"/>
          <w:b/>
          <w:bCs/>
          <w:sz w:val="20"/>
        </w:rPr>
        <w:t>F</w:t>
      </w:r>
      <w:r>
        <w:rPr>
          <w:rFonts w:ascii="Times New Roman" w:hAnsi="Times New Roman" w:cs="Times New Roman"/>
          <w:b/>
          <w:bCs/>
          <w:sz w:val="20"/>
          <w:lang w:val="uz-Latn-UZ"/>
        </w:rPr>
        <w:t>IGURE</w:t>
      </w:r>
      <w:r w:rsidR="00FA65DD" w:rsidRPr="00FA65DD">
        <w:rPr>
          <w:rFonts w:ascii="Times New Roman" w:hAnsi="Times New Roman" w:cs="Times New Roman"/>
          <w:b/>
          <w:bCs/>
          <w:sz w:val="20"/>
        </w:rPr>
        <w:t xml:space="preserve"> </w:t>
      </w:r>
      <w:r w:rsidR="0065524E">
        <w:rPr>
          <w:rFonts w:ascii="Times New Roman" w:hAnsi="Times New Roman" w:cs="Times New Roman"/>
          <w:b/>
          <w:bCs/>
          <w:sz w:val="20"/>
        </w:rPr>
        <w:t>2</w:t>
      </w:r>
      <w:r w:rsidR="00FA65DD" w:rsidRPr="00FA65DD">
        <w:rPr>
          <w:rFonts w:ascii="Times New Roman" w:hAnsi="Times New Roman" w:cs="Times New Roman"/>
          <w:b/>
          <w:bCs/>
          <w:sz w:val="20"/>
        </w:rPr>
        <w:t xml:space="preserve">. </w:t>
      </w:r>
      <w:r w:rsidR="00FA65DD" w:rsidRPr="00FA65DD">
        <w:rPr>
          <w:rFonts w:ascii="Times New Roman" w:hAnsi="Times New Roman" w:cs="Times New Roman"/>
          <w:bCs/>
          <w:sz w:val="20"/>
        </w:rPr>
        <w:t>Model of a hybrid solar–diesel power plant with supercapacitors in the MATLAB/Simulink environment.</w:t>
      </w:r>
    </w:p>
    <w:p w14:paraId="24B2C374" w14:textId="77777777" w:rsidR="003B6E6D" w:rsidRDefault="003B6E6D" w:rsidP="008B791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p>
    <w:p w14:paraId="340B9049" w14:textId="1B4AEEAA" w:rsidR="00FA65DD" w:rsidRDefault="00E2595D" w:rsidP="008B791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The presented MATLAB/Simulink model illustrates the structure and operational interaction of a hybrid solar–diesel power plant integrated with a supercapacitor energy-storage module. The system consists of several interconnected subsystems, each responsible for energy generation, storage, conversion, and load supply.</w:t>
      </w:r>
    </w:p>
    <w:p w14:paraId="3AAB0B69"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The PV Array block generates electrical power based on solar irradiation and temperature inputs. Its parameters include:</w:t>
      </w:r>
    </w:p>
    <w:p w14:paraId="4EE196E5" w14:textId="77777777" w:rsidR="00E2595D" w:rsidRPr="00E2595D" w:rsidRDefault="00E2595D" w:rsidP="00F9356E">
      <w:pPr>
        <w:pStyle w:val="a4"/>
        <w:numPr>
          <w:ilvl w:val="0"/>
          <w:numId w:val="2"/>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E2595D">
        <w:rPr>
          <w:rFonts w:ascii="Times New Roman" w:hAnsi="Times New Roman" w:cs="Times New Roman"/>
          <w:bCs/>
          <w:sz w:val="20"/>
        </w:rPr>
        <w:t>Number of series strings</w:t>
      </w:r>
    </w:p>
    <w:p w14:paraId="3F66A5F5" w14:textId="77777777" w:rsidR="00E2595D" w:rsidRPr="00E2595D" w:rsidRDefault="00E2595D" w:rsidP="00F9356E">
      <w:pPr>
        <w:pStyle w:val="a4"/>
        <w:numPr>
          <w:ilvl w:val="0"/>
          <w:numId w:val="2"/>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E2595D">
        <w:rPr>
          <w:rFonts w:ascii="Times New Roman" w:hAnsi="Times New Roman" w:cs="Times New Roman"/>
          <w:bCs/>
          <w:sz w:val="20"/>
        </w:rPr>
        <w:t>Cells per string</w:t>
      </w:r>
    </w:p>
    <w:p w14:paraId="5FF98EE1" w14:textId="77777777" w:rsidR="00E2595D" w:rsidRPr="00E2595D" w:rsidRDefault="00E2595D" w:rsidP="00F9356E">
      <w:pPr>
        <w:pStyle w:val="a4"/>
        <w:numPr>
          <w:ilvl w:val="0"/>
          <w:numId w:val="2"/>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E2595D">
        <w:rPr>
          <w:rFonts w:ascii="Times New Roman" w:hAnsi="Times New Roman" w:cs="Times New Roman"/>
          <w:bCs/>
          <w:sz w:val="20"/>
        </w:rPr>
        <w:t>Irradiance (W/m²)</w:t>
      </w:r>
    </w:p>
    <w:p w14:paraId="03EB36A4" w14:textId="77777777" w:rsidR="00E2595D" w:rsidRDefault="00E2595D" w:rsidP="00F9356E">
      <w:pPr>
        <w:pStyle w:val="a4"/>
        <w:numPr>
          <w:ilvl w:val="0"/>
          <w:numId w:val="2"/>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E2595D">
        <w:rPr>
          <w:rFonts w:ascii="Times New Roman" w:hAnsi="Times New Roman" w:cs="Times New Roman"/>
          <w:bCs/>
          <w:sz w:val="20"/>
        </w:rPr>
        <w:t>Temperature (°C)</w:t>
      </w:r>
    </w:p>
    <w:p w14:paraId="719BF071" w14:textId="77777777" w:rsidR="00684D42"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 xml:space="preserve">A dedicated </w:t>
      </w:r>
      <w:r w:rsidRPr="00E2595D">
        <w:rPr>
          <w:rFonts w:ascii="Times New Roman" w:hAnsi="Times New Roman" w:cs="Times New Roman"/>
          <w:bCs/>
          <w:i/>
          <w:iCs/>
          <w:sz w:val="20"/>
        </w:rPr>
        <w:t>Supercapacitor</w:t>
      </w:r>
      <w:r w:rsidRPr="00E2595D">
        <w:rPr>
          <w:rFonts w:ascii="Times New Roman" w:hAnsi="Times New Roman" w:cs="Times New Roman"/>
          <w:bCs/>
          <w:sz w:val="20"/>
        </w:rPr>
        <w:t xml:space="preserve"> block is used to stabilize rapid power fluctuations. Its parameters include capacitance, initial voltage, internal resistance (ESR), and nominal energy capacity.</w:t>
      </w:r>
    </w:p>
    <w:p w14:paraId="0664081B" w14:textId="77777777" w:rsidR="00E2595D" w:rsidRPr="00E2595D" w:rsidRDefault="00E2595D" w:rsidP="00684D42">
      <w:pPr>
        <w:overflowPunct w:val="0"/>
        <w:autoSpaceDE w:val="0"/>
        <w:autoSpaceDN w:val="0"/>
        <w:adjustRightInd w:val="0"/>
        <w:spacing w:after="0" w:line="240" w:lineRule="auto"/>
        <w:jc w:val="both"/>
        <w:textAlignment w:val="baseline"/>
        <w:rPr>
          <w:rFonts w:ascii="Times New Roman" w:hAnsi="Times New Roman" w:cs="Times New Roman"/>
          <w:bCs/>
          <w:sz w:val="20"/>
        </w:rPr>
      </w:pPr>
      <w:r w:rsidRPr="00E2595D">
        <w:rPr>
          <w:rFonts w:ascii="Times New Roman" w:hAnsi="Times New Roman" w:cs="Times New Roman"/>
          <w:bCs/>
          <w:sz w:val="20"/>
        </w:rPr>
        <w:t>The supercapacitor exchanges power (</w:t>
      </w:r>
      <w:r w:rsidRPr="00E2595D">
        <w:rPr>
          <w:rFonts w:ascii="Times New Roman" w:hAnsi="Times New Roman" w:cs="Times New Roman"/>
          <w:b/>
          <w:sz w:val="20"/>
        </w:rPr>
        <w:t>P_SC</w:t>
      </w:r>
      <w:r w:rsidRPr="00E2595D">
        <w:rPr>
          <w:rFonts w:ascii="Times New Roman" w:hAnsi="Times New Roman" w:cs="Times New Roman"/>
          <w:bCs/>
          <w:sz w:val="20"/>
        </w:rPr>
        <w:t>) with the control system to support transient load variations and mitigate voltage dips.</w:t>
      </w:r>
    </w:p>
    <w:p w14:paraId="46979A66" w14:textId="77777777" w:rsidR="00684D42"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 xml:space="preserve">The central </w:t>
      </w:r>
      <w:r w:rsidRPr="00E2595D">
        <w:rPr>
          <w:rFonts w:ascii="Times New Roman" w:hAnsi="Times New Roman" w:cs="Times New Roman"/>
          <w:bCs/>
          <w:i/>
          <w:iCs/>
          <w:sz w:val="20"/>
        </w:rPr>
        <w:t>Control</w:t>
      </w:r>
      <w:r w:rsidRPr="00E2595D">
        <w:rPr>
          <w:rFonts w:ascii="Times New Roman" w:hAnsi="Times New Roman" w:cs="Times New Roman"/>
          <w:bCs/>
          <w:sz w:val="20"/>
        </w:rPr>
        <w:t xml:space="preserve"> block receives inputs from both the PV array (</w:t>
      </w:r>
      <w:r w:rsidRPr="00E2595D">
        <w:rPr>
          <w:rFonts w:ascii="Times New Roman" w:hAnsi="Times New Roman" w:cs="Times New Roman"/>
          <w:b/>
          <w:sz w:val="20"/>
        </w:rPr>
        <w:t>P_PV</w:t>
      </w:r>
      <w:r w:rsidRPr="00E2595D">
        <w:rPr>
          <w:rFonts w:ascii="Times New Roman" w:hAnsi="Times New Roman" w:cs="Times New Roman"/>
          <w:bCs/>
          <w:sz w:val="20"/>
        </w:rPr>
        <w:t>) and the supercapacitor (</w:t>
      </w:r>
      <w:r w:rsidRPr="00E2595D">
        <w:rPr>
          <w:rFonts w:ascii="Times New Roman" w:hAnsi="Times New Roman" w:cs="Times New Roman"/>
          <w:b/>
          <w:sz w:val="20"/>
        </w:rPr>
        <w:t>P_SC</w:t>
      </w:r>
      <w:r w:rsidRPr="00E2595D">
        <w:rPr>
          <w:rFonts w:ascii="Times New Roman" w:hAnsi="Times New Roman" w:cs="Times New Roman"/>
          <w:bCs/>
          <w:sz w:val="20"/>
        </w:rPr>
        <w:t>) and determines the optimal distribution of power to the load. It also governs the activation of the diesel generator, depending on the load demand and renewable-energy availability.</w:t>
      </w:r>
    </w:p>
    <w:p w14:paraId="410B0370"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Control outputs include:</w:t>
      </w:r>
    </w:p>
    <w:p w14:paraId="5E8FA4FF"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
          <w:sz w:val="20"/>
        </w:rPr>
        <w:t>P_dg</w:t>
      </w:r>
      <w:r w:rsidRPr="00E2595D">
        <w:rPr>
          <w:rFonts w:ascii="Times New Roman" w:hAnsi="Times New Roman" w:cs="Times New Roman"/>
          <w:bCs/>
          <w:sz w:val="20"/>
        </w:rPr>
        <w:t xml:space="preserve"> — power command for the diesel generator</w:t>
      </w:r>
    </w:p>
    <w:p w14:paraId="47B9A526"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
          <w:sz w:val="20"/>
        </w:rPr>
        <w:t>P</w:t>
      </w:r>
      <w:r w:rsidRPr="00E2595D">
        <w:rPr>
          <w:rFonts w:ascii="Times New Roman" w:hAnsi="Times New Roman" w:cs="Times New Roman"/>
          <w:bCs/>
          <w:sz w:val="20"/>
        </w:rPr>
        <w:t xml:space="preserve"> — regulated output power delivered to the load</w:t>
      </w:r>
    </w:p>
    <w:p w14:paraId="38018CD4"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 xml:space="preserve">The </w:t>
      </w:r>
      <w:r w:rsidRPr="00E2595D">
        <w:rPr>
          <w:rFonts w:ascii="Times New Roman" w:hAnsi="Times New Roman" w:cs="Times New Roman"/>
          <w:bCs/>
          <w:i/>
          <w:iCs/>
          <w:sz w:val="20"/>
        </w:rPr>
        <w:t>Diesel Generator</w:t>
      </w:r>
      <w:r w:rsidRPr="00E2595D">
        <w:rPr>
          <w:rFonts w:ascii="Times New Roman" w:hAnsi="Times New Roman" w:cs="Times New Roman"/>
          <w:bCs/>
          <w:sz w:val="20"/>
        </w:rPr>
        <w:t xml:space="preserve"> block operates as a backup power source when renewable energy is insufficient. It includes:</w:t>
      </w:r>
    </w:p>
    <w:p w14:paraId="2E847BAE" w14:textId="77777777" w:rsidR="00E2595D" w:rsidRPr="00D66B0D" w:rsidRDefault="00E2595D" w:rsidP="00F9356E">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sz w:val="20"/>
        </w:rPr>
        <w:t>Voltage source control</w:t>
      </w:r>
    </w:p>
    <w:p w14:paraId="2B8993CF" w14:textId="77777777" w:rsidR="00E2595D" w:rsidRPr="00D66B0D" w:rsidRDefault="00E2595D" w:rsidP="00F9356E">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sz w:val="20"/>
        </w:rPr>
        <w:t>Output voltage amplitude settings</w:t>
      </w:r>
    </w:p>
    <w:p w14:paraId="57F83E9F" w14:textId="77777777" w:rsidR="00E2595D" w:rsidRPr="00D66B0D" w:rsidRDefault="00E2595D" w:rsidP="00F9356E">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sz w:val="20"/>
        </w:rPr>
        <w:t>Fuel-consumption monitoring</w:t>
      </w:r>
    </w:p>
    <w:p w14:paraId="69872C1B"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t>Its generated power complements the PV array and supercapacitor to ensure uninterrupted load supply.</w:t>
      </w:r>
    </w:p>
    <w:p w14:paraId="01B3F98E" w14:textId="77777777" w:rsidR="00E2595D" w:rsidRPr="00E2595D" w:rsidRDefault="00E2595D" w:rsidP="00E2595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E2595D">
        <w:rPr>
          <w:rFonts w:ascii="Times New Roman" w:hAnsi="Times New Roman" w:cs="Times New Roman"/>
          <w:bCs/>
          <w:sz w:val="20"/>
        </w:rPr>
        <w:lastRenderedPageBreak/>
        <w:t xml:space="preserve">The system supplies power to a dynamic </w:t>
      </w:r>
      <w:r w:rsidRPr="00E2595D">
        <w:rPr>
          <w:rFonts w:ascii="Times New Roman" w:hAnsi="Times New Roman" w:cs="Times New Roman"/>
          <w:bCs/>
          <w:i/>
          <w:iCs/>
          <w:sz w:val="20"/>
        </w:rPr>
        <w:t>Load</w:t>
      </w:r>
      <w:r w:rsidRPr="00E2595D">
        <w:rPr>
          <w:rFonts w:ascii="Times New Roman" w:hAnsi="Times New Roman" w:cs="Times New Roman"/>
          <w:bCs/>
          <w:sz w:val="20"/>
        </w:rPr>
        <w:t xml:space="preserve"> block. Additional monitoring components include:</w:t>
      </w:r>
    </w:p>
    <w:p w14:paraId="707965B8" w14:textId="77777777" w:rsidR="00E2595D" w:rsidRPr="00D66B0D" w:rsidRDefault="00E2595D" w:rsidP="00F9356E">
      <w:pPr>
        <w:pStyle w:val="a4"/>
        <w:numPr>
          <w:ilvl w:val="0"/>
          <w:numId w:val="9"/>
        </w:numPr>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i/>
          <w:iCs/>
          <w:sz w:val="20"/>
        </w:rPr>
        <w:t>Fuel Consumption</w:t>
      </w:r>
      <w:r w:rsidRPr="00D66B0D">
        <w:rPr>
          <w:rFonts w:ascii="Times New Roman" w:hAnsi="Times New Roman" w:cs="Times New Roman"/>
          <w:bCs/>
          <w:sz w:val="20"/>
        </w:rPr>
        <w:t xml:space="preserve"> indicator</w:t>
      </w:r>
    </w:p>
    <w:p w14:paraId="7C403955" w14:textId="77777777" w:rsidR="00E2595D" w:rsidRPr="00D66B0D" w:rsidRDefault="00E2595D" w:rsidP="00F9356E">
      <w:pPr>
        <w:pStyle w:val="a4"/>
        <w:numPr>
          <w:ilvl w:val="0"/>
          <w:numId w:val="9"/>
        </w:numPr>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i/>
          <w:iCs/>
          <w:sz w:val="20"/>
        </w:rPr>
        <w:t>Power Scope</w:t>
      </w:r>
      <w:r w:rsidRPr="00D66B0D">
        <w:rPr>
          <w:rFonts w:ascii="Times New Roman" w:hAnsi="Times New Roman" w:cs="Times New Roman"/>
          <w:bCs/>
          <w:sz w:val="20"/>
        </w:rPr>
        <w:t xml:space="preserve"> for output-waveform visualization</w:t>
      </w:r>
    </w:p>
    <w:p w14:paraId="46E45B9A" w14:textId="77777777" w:rsidR="00E2595D" w:rsidRPr="00D66B0D" w:rsidRDefault="00E2595D" w:rsidP="00F9356E">
      <w:pPr>
        <w:pStyle w:val="a4"/>
        <w:numPr>
          <w:ilvl w:val="0"/>
          <w:numId w:val="9"/>
        </w:numPr>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i/>
          <w:iCs/>
          <w:sz w:val="20"/>
        </w:rPr>
        <w:t>SOC</w:t>
      </w:r>
      <w:r w:rsidRPr="00D66B0D">
        <w:rPr>
          <w:rFonts w:ascii="Times New Roman" w:hAnsi="Times New Roman" w:cs="Times New Roman"/>
          <w:bCs/>
          <w:sz w:val="20"/>
        </w:rPr>
        <w:t xml:space="preserve"> (State of Charge) display for the supercapacitor</w:t>
      </w:r>
    </w:p>
    <w:p w14:paraId="419B082C" w14:textId="77777777" w:rsidR="00E2595D" w:rsidRPr="00D66B0D" w:rsidRDefault="00E2595D" w:rsidP="00F9356E">
      <w:pPr>
        <w:pStyle w:val="a4"/>
        <w:numPr>
          <w:ilvl w:val="0"/>
          <w:numId w:val="9"/>
        </w:numPr>
        <w:overflowPunct w:val="0"/>
        <w:autoSpaceDE w:val="0"/>
        <w:autoSpaceDN w:val="0"/>
        <w:adjustRightInd w:val="0"/>
        <w:spacing w:after="0" w:line="240" w:lineRule="auto"/>
        <w:ind w:left="0" w:firstLine="284"/>
        <w:jc w:val="both"/>
        <w:textAlignment w:val="baseline"/>
        <w:rPr>
          <w:rFonts w:ascii="Times New Roman" w:hAnsi="Times New Roman" w:cs="Times New Roman"/>
          <w:bCs/>
          <w:sz w:val="20"/>
        </w:rPr>
      </w:pPr>
      <w:r w:rsidRPr="00D66B0D">
        <w:rPr>
          <w:rFonts w:ascii="Times New Roman" w:hAnsi="Times New Roman" w:cs="Times New Roman"/>
          <w:bCs/>
          <w:sz w:val="20"/>
        </w:rPr>
        <w:t>These tools allow analysis of the system’s stability, power quality, and efficiency.</w:t>
      </w:r>
    </w:p>
    <w:p w14:paraId="73956908" w14:textId="77777777" w:rsidR="00E2595D" w:rsidRPr="00E2595D" w:rsidRDefault="00D66B0D" w:rsidP="00D66B0D">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D66B0D">
        <w:rPr>
          <w:rFonts w:ascii="Times New Roman" w:hAnsi="Times New Roman" w:cs="Times New Roman"/>
          <w:bCs/>
          <w:sz w:val="20"/>
        </w:rPr>
        <w:t>Therefore, the study of generating and synchronizing the sinusoidal output voltage of solar plant inverters represents a highly relevant scientific and technical task aimed at improving power quality, operational stability, and the overall efficiency of solar power plants. The development of new filtering and control algorithms that comply with IEEE and IEC international standards is of great importance for integrating solar power plants into modern smart grids and ensuring the reliable operation of distributed generation systems.</w:t>
      </w:r>
      <w:r w:rsidR="00AE4B5C">
        <w:rPr>
          <w:rFonts w:ascii="Times New Roman" w:hAnsi="Times New Roman" w:cs="Times New Roman"/>
          <w:bCs/>
          <w:sz w:val="20"/>
        </w:rPr>
        <w:t>[6]</w:t>
      </w:r>
    </w:p>
    <w:p w14:paraId="45EB4B12" w14:textId="77777777" w:rsidR="008B791C" w:rsidRPr="00287E0A" w:rsidRDefault="008B791C" w:rsidP="008B791C">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EABD26B" w14:textId="77777777" w:rsidR="008B791C" w:rsidRPr="003B6E6D" w:rsidRDefault="00684D42" w:rsidP="003B6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3B6E6D">
        <w:rPr>
          <w:rFonts w:ascii="Times New Roman" w:hAnsi="Times New Roman" w:cs="Times New Roman"/>
          <w:bCs/>
          <w:sz w:val="20"/>
        </w:rPr>
        <w:t xml:space="preserve">In the spectral analysis of the PWM signal, along with the fundamental sinusoidal frequency f1​, high-frequency harmonics are also present:    </w:t>
      </w:r>
    </w:p>
    <w:p w14:paraId="50B44DC1" w14:textId="77777777" w:rsidR="00684D42" w:rsidRPr="003B6E6D" w:rsidRDefault="00684D42" w:rsidP="003B6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rPr>
      </w:pPr>
      <w:r w:rsidRPr="003B6E6D">
        <w:rPr>
          <w:rFonts w:ascii="Times New Roman" w:hAnsi="Times New Roman" w:cs="Times New Roman"/>
          <w:bCs/>
          <w:sz w:val="20"/>
        </w:rPr>
        <w:tab/>
      </w:r>
      <w:r w:rsidRPr="003B6E6D">
        <w:rPr>
          <w:rFonts w:ascii="Times New Roman" w:hAnsi="Times New Roman" w:cs="Times New Roman"/>
          <w:bCs/>
          <w:sz w:val="20"/>
        </w:rPr>
        <w:tab/>
        <w:t xml:space="preserve">        </w:t>
      </w:r>
      <m:oMath>
        <m:r>
          <w:rPr>
            <w:rFonts w:ascii="Cambria Math" w:hAnsi="Cambria Math" w:cs="Times New Roman"/>
            <w:sz w:val="20"/>
          </w:rPr>
          <m:t>U</m:t>
        </m:r>
        <m:d>
          <m:dPr>
            <m:ctrlPr>
              <w:rPr>
                <w:rFonts w:ascii="Cambria Math" w:hAnsi="Cambria Math" w:cs="Times New Roman"/>
                <w:bCs/>
                <w:sz w:val="20"/>
              </w:rPr>
            </m:ctrlPr>
          </m:dPr>
          <m:e>
            <m:r>
              <w:rPr>
                <w:rFonts w:ascii="Cambria Math" w:hAnsi="Cambria Math" w:cs="Times New Roman"/>
                <w:sz w:val="20"/>
              </w:rPr>
              <m:t>f</m:t>
            </m:r>
          </m:e>
        </m:d>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U</m:t>
            </m:r>
          </m:e>
          <m:sub>
            <m:r>
              <m:rPr>
                <m:sty m:val="p"/>
              </m:rPr>
              <w:rPr>
                <w:rFonts w:ascii="Cambria Math" w:hAnsi="Cambria Math" w:cs="Times New Roman"/>
                <w:sz w:val="20"/>
              </w:rPr>
              <m:t xml:space="preserve">1 </m:t>
            </m:r>
          </m:sub>
        </m:sSub>
        <m:d>
          <m:dPr>
            <m:ctrlPr>
              <w:rPr>
                <w:rFonts w:ascii="Cambria Math" w:hAnsi="Cambria Math" w:cs="Times New Roman"/>
                <w:bCs/>
                <w:sz w:val="20"/>
              </w:rPr>
            </m:ctrlPr>
          </m:dPr>
          <m:e>
            <m:sSub>
              <m:sSubPr>
                <m:ctrlPr>
                  <w:rPr>
                    <w:rFonts w:ascii="Cambria Math" w:hAnsi="Cambria Math" w:cs="Times New Roman"/>
                    <w:bCs/>
                    <w:sz w:val="20"/>
                  </w:rPr>
                </m:ctrlPr>
              </m:sSubPr>
              <m:e>
                <m:r>
                  <w:rPr>
                    <w:rFonts w:ascii="Cambria Math" w:hAnsi="Cambria Math" w:cs="Times New Roman"/>
                    <w:sz w:val="20"/>
                  </w:rPr>
                  <m:t>f</m:t>
                </m:r>
              </m:e>
              <m:sub>
                <m:r>
                  <m:rPr>
                    <m:sty m:val="p"/>
                  </m:rPr>
                  <w:rPr>
                    <w:rFonts w:ascii="Cambria Math" w:hAnsi="Cambria Math" w:cs="Times New Roman"/>
                    <w:sz w:val="20"/>
                  </w:rPr>
                  <m:t xml:space="preserve">1 </m:t>
                </m:r>
              </m:sub>
            </m:sSub>
          </m:e>
        </m:d>
        <m:r>
          <m:rPr>
            <m:sty m:val="p"/>
          </m:rPr>
          <w:rPr>
            <w:rFonts w:ascii="Cambria Math" w:hAnsi="Cambria Math" w:cs="Times New Roman"/>
            <w:sz w:val="20"/>
          </w:rPr>
          <m:t>+</m:t>
        </m:r>
        <m:nary>
          <m:naryPr>
            <m:chr m:val="∑"/>
            <m:limLoc m:val="undOvr"/>
            <m:ctrlPr>
              <w:rPr>
                <w:rFonts w:ascii="Cambria Math" w:hAnsi="Cambria Math" w:cs="Times New Roman"/>
                <w:bCs/>
                <w:sz w:val="20"/>
              </w:rPr>
            </m:ctrlPr>
          </m:naryPr>
          <m:sub>
            <m:r>
              <w:rPr>
                <w:rFonts w:ascii="Cambria Math" w:hAnsi="Cambria Math" w:cs="Times New Roman"/>
                <w:sz w:val="20"/>
              </w:rPr>
              <m:t>n</m:t>
            </m:r>
            <m:r>
              <m:rPr>
                <m:sty m:val="p"/>
              </m:rPr>
              <w:rPr>
                <w:rFonts w:ascii="Cambria Math" w:hAnsi="Cambria Math" w:cs="Times New Roman"/>
                <w:sz w:val="20"/>
              </w:rPr>
              <m:t>=2</m:t>
            </m:r>
          </m:sub>
          <m:sup>
            <m:r>
              <m:rPr>
                <m:sty m:val="p"/>
              </m:rPr>
              <w:rPr>
                <w:rFonts w:ascii="Cambria Math" w:hAnsi="Cambria Math" w:cs="Times New Roman"/>
                <w:sz w:val="20"/>
              </w:rPr>
              <m:t>∞</m:t>
            </m:r>
          </m:sup>
          <m:e>
            <m:sSub>
              <m:sSubPr>
                <m:ctrlPr>
                  <w:rPr>
                    <w:rFonts w:ascii="Cambria Math" w:hAnsi="Cambria Math" w:cs="Times New Roman"/>
                    <w:bCs/>
                    <w:sz w:val="20"/>
                  </w:rPr>
                </m:ctrlPr>
              </m:sSubPr>
              <m:e>
                <m:r>
                  <w:rPr>
                    <w:rFonts w:ascii="Cambria Math" w:hAnsi="Cambria Math" w:cs="Times New Roman"/>
                    <w:sz w:val="20"/>
                  </w:rPr>
                  <m:t>U</m:t>
                </m:r>
              </m:e>
              <m:sub>
                <m:r>
                  <w:rPr>
                    <w:rFonts w:ascii="Cambria Math" w:hAnsi="Cambria Math" w:cs="Times New Roman"/>
                    <w:sz w:val="20"/>
                  </w:rPr>
                  <m:t>n</m:t>
                </m:r>
                <m:r>
                  <m:rPr>
                    <m:sty m:val="p"/>
                  </m:rPr>
                  <w:rPr>
                    <w:rFonts w:ascii="Cambria Math" w:hAnsi="Cambria Math" w:cs="Times New Roman"/>
                    <w:sz w:val="20"/>
                  </w:rPr>
                  <m:t xml:space="preserve"> </m:t>
                </m:r>
              </m:sub>
            </m:sSub>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f</m:t>
                </m:r>
              </m:e>
              <m:sub>
                <m:r>
                  <w:rPr>
                    <w:rFonts w:ascii="Cambria Math" w:hAnsi="Cambria Math" w:cs="Times New Roman"/>
                    <w:sz w:val="20"/>
                  </w:rPr>
                  <m:t>c</m:t>
                </m:r>
              </m:sub>
            </m:sSub>
            <m:r>
              <m:rPr>
                <m:sty m:val="p"/>
              </m:rPr>
              <w:rPr>
                <w:rFonts w:ascii="Cambria Math" w:hAnsi="Cambria Math" w:cs="Times New Roman"/>
                <w:sz w:val="20"/>
              </w:rPr>
              <m:t>±</m:t>
            </m:r>
            <m:r>
              <w:rPr>
                <w:rFonts w:ascii="Cambria Math" w:hAnsi="Cambria Math" w:cs="Times New Roman"/>
                <w:sz w:val="20"/>
              </w:rPr>
              <m:t>n</m:t>
            </m:r>
            <m:sSub>
              <m:sSubPr>
                <m:ctrlPr>
                  <w:rPr>
                    <w:rFonts w:ascii="Cambria Math" w:hAnsi="Cambria Math" w:cs="Times New Roman"/>
                    <w:bCs/>
                    <w:sz w:val="20"/>
                  </w:rPr>
                </m:ctrlPr>
              </m:sSubPr>
              <m:e>
                <m:r>
                  <w:rPr>
                    <w:rFonts w:ascii="Cambria Math" w:hAnsi="Cambria Math" w:cs="Times New Roman"/>
                    <w:sz w:val="20"/>
                  </w:rPr>
                  <m:t>f</m:t>
                </m:r>
              </m:e>
              <m:sub>
                <m:r>
                  <m:rPr>
                    <m:sty m:val="p"/>
                  </m:rPr>
                  <w:rPr>
                    <w:rFonts w:ascii="Cambria Math" w:hAnsi="Cambria Math" w:cs="Times New Roman"/>
                    <w:sz w:val="20"/>
                  </w:rPr>
                  <m:t>1</m:t>
                </m:r>
              </m:sub>
            </m:sSub>
            <m:r>
              <m:rPr>
                <m:sty m:val="p"/>
              </m:rPr>
              <w:rPr>
                <w:rFonts w:ascii="Cambria Math" w:hAnsi="Cambria Math" w:cs="Times New Roman"/>
                <w:sz w:val="20"/>
              </w:rPr>
              <m:t>)</m:t>
            </m:r>
          </m:e>
        </m:nary>
      </m:oMath>
      <w:r w:rsidRPr="003B6E6D">
        <w:rPr>
          <w:rFonts w:ascii="Times New Roman" w:hAnsi="Times New Roman" w:cs="Times New Roman"/>
          <w:bCs/>
          <w:sz w:val="20"/>
        </w:rPr>
        <w:t xml:space="preserve">      </w:t>
      </w:r>
      <w:r w:rsidRPr="003B6E6D">
        <w:rPr>
          <w:rFonts w:ascii="Times New Roman" w:hAnsi="Times New Roman" w:cs="Times New Roman"/>
          <w:bCs/>
          <w:sz w:val="20"/>
        </w:rPr>
        <w:tab/>
      </w:r>
      <w:r w:rsidRPr="003B6E6D">
        <w:rPr>
          <w:rFonts w:ascii="Times New Roman" w:hAnsi="Times New Roman" w:cs="Times New Roman"/>
          <w:bCs/>
          <w:sz w:val="20"/>
        </w:rPr>
        <w:tab/>
      </w:r>
      <w:r w:rsidRPr="003B6E6D">
        <w:rPr>
          <w:rFonts w:ascii="Times New Roman" w:hAnsi="Times New Roman" w:cs="Times New Roman"/>
          <w:bCs/>
          <w:sz w:val="20"/>
        </w:rPr>
        <w:tab/>
        <w:t xml:space="preserve">                 (1)</w:t>
      </w:r>
    </w:p>
    <w:p w14:paraId="3017BAC2" w14:textId="77777777" w:rsidR="00684D42" w:rsidRPr="003B6E6D" w:rsidRDefault="00684D42"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Theoretical Model of the Filtering System</w:t>
      </w:r>
    </w:p>
    <w:p w14:paraId="19646F8F" w14:textId="77777777" w:rsidR="00684D42" w:rsidRPr="003B6E6D" w:rsidRDefault="00684D42"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To filter the output signal of the inverter, LC or LCL filters are commonly used. These filters suppress high-frequency harmonics and bring the output voltage closer to grid-quality standards.</w:t>
      </w:r>
      <w:r w:rsidR="00AE4B5C" w:rsidRPr="003B6E6D">
        <w:rPr>
          <w:rFonts w:ascii="Times New Roman" w:hAnsi="Times New Roman" w:cs="Times New Roman"/>
          <w:bCs/>
          <w:sz w:val="20"/>
        </w:rPr>
        <w:t>[3-4]</w:t>
      </w:r>
    </w:p>
    <w:p w14:paraId="3D187493" w14:textId="77777777" w:rsidR="00684D42" w:rsidRPr="003B6E6D" w:rsidRDefault="00684D42"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Differential Equations of the LC Filter</w:t>
      </w:r>
    </w:p>
    <w:p w14:paraId="6E3D0B02" w14:textId="31637645" w:rsidR="00684D42" w:rsidRPr="003B6E6D" w:rsidRDefault="00684D42" w:rsidP="003B6E6D">
      <w:pPr>
        <w:pStyle w:val="aa"/>
        <w:ind w:firstLine="708"/>
        <w:jc w:val="right"/>
        <w:rPr>
          <w:rFonts w:ascii="Times New Roman" w:hAnsi="Times New Roman" w:cs="Times New Roman"/>
        </w:rPr>
      </w:pPr>
      <m:oMath>
        <m:r>
          <w:rPr>
            <w:rFonts w:ascii="Cambria Math" w:hAnsi="Cambria Math" w:cs="Times New Roman"/>
          </w:rPr>
          <m:t>L</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di</m:t>
                </m:r>
              </m:e>
              <m:sub>
                <m:r>
                  <w:rPr>
                    <w:rFonts w:ascii="Cambria Math" w:hAnsi="Cambria Math" w:cs="Times New Roman"/>
                  </w:rPr>
                  <m:t>L</m:t>
                </m:r>
              </m:sub>
            </m:sSub>
          </m:num>
          <m:den>
            <m:r>
              <w:rPr>
                <w:rFonts w:ascii="Cambria Math" w:hAnsi="Cambria Math" w:cs="Times New Roman"/>
              </w:rPr>
              <m:t>dt</m:t>
            </m:r>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inv</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c</m:t>
            </m:r>
          </m:sub>
        </m:sSub>
      </m:oMath>
      <w:r w:rsidRPr="003B6E6D">
        <w:rPr>
          <w:rFonts w:ascii="Times New Roman" w:hAnsi="Times New Roman" w:cs="Times New Roman"/>
        </w:rPr>
        <w:t xml:space="preserve">                                                                                  (2)</w:t>
      </w:r>
    </w:p>
    <w:p w14:paraId="36DC433D" w14:textId="72A81421" w:rsidR="00684D42" w:rsidRPr="003B6E6D" w:rsidRDefault="00684D42" w:rsidP="003B6E6D">
      <w:pPr>
        <w:pStyle w:val="aa"/>
        <w:ind w:firstLine="708"/>
        <w:jc w:val="right"/>
        <w:rPr>
          <w:rFonts w:ascii="Times New Roman" w:hAnsi="Times New Roman" w:cs="Times New Roman"/>
        </w:rPr>
      </w:pPr>
      <m:oMath>
        <m:r>
          <w:rPr>
            <w:rFonts w:ascii="Cambria Math" w:hAnsi="Cambria Math" w:cs="Times New Roman"/>
          </w:rPr>
          <m:t>C</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du</m:t>
                </m:r>
              </m:e>
              <m:sub>
                <m:r>
                  <w:rPr>
                    <w:rFonts w:ascii="Cambria Math" w:hAnsi="Cambria Math" w:cs="Times New Roman"/>
                  </w:rPr>
                  <m:t>C</m:t>
                </m:r>
              </m:sub>
            </m:sSub>
          </m:num>
          <m:den>
            <m:r>
              <w:rPr>
                <w:rFonts w:ascii="Cambria Math" w:hAnsi="Cambria Math" w:cs="Times New Roman"/>
              </w:rPr>
              <m:t>dt</m:t>
            </m:r>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load</m:t>
            </m:r>
          </m:sub>
        </m:sSub>
      </m:oMath>
      <w:r w:rsidRPr="003B6E6D">
        <w:rPr>
          <w:rFonts w:ascii="Times New Roman" w:hAnsi="Times New Roman" w:cs="Times New Roman"/>
        </w:rPr>
        <w:t xml:space="preserve">                                                                        </w:t>
      </w:r>
      <w:r w:rsidR="00434D64" w:rsidRPr="003B6E6D">
        <w:rPr>
          <w:rFonts w:ascii="Times New Roman" w:hAnsi="Times New Roman" w:cs="Times New Roman"/>
        </w:rPr>
        <w:t xml:space="preserve">    </w:t>
      </w:r>
      <w:r w:rsidRPr="003B6E6D">
        <w:rPr>
          <w:rFonts w:ascii="Times New Roman" w:hAnsi="Times New Roman" w:cs="Times New Roman"/>
        </w:rPr>
        <w:t xml:space="preserve">    (3)</w:t>
      </w:r>
    </w:p>
    <w:p w14:paraId="3B0C4A36" w14:textId="77777777" w:rsidR="00434D64" w:rsidRPr="003B6E6D" w:rsidRDefault="00434D64"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In hybrid solar–diesel power plants, the stability and quality of power supply are directly dependent on the performance of the inverter. During the conversion of direct current (DC) into alternating current (AC), the inverter generates a pulse-width modulation (PWM) signal. However, the resulting output voltage is not an ideal sinusoid— it contains high-frequency harmonic distortions. This degrades the quality of electrical energy, increases reactive power, and negatively affects the operation of consumer equipment.</w:t>
      </w:r>
    </w:p>
    <w:p w14:paraId="6187C54B" w14:textId="77777777" w:rsidR="00434D64" w:rsidRPr="003B6E6D" w:rsidRDefault="00434D64"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Therefore, it is necessary to filter and optimize the inverter output voltage through intelligent control. For this purpose, a flexible control algorithm is developed to coordinate energy sources and filter components within the hybrid station.</w:t>
      </w:r>
    </w:p>
    <w:p w14:paraId="30A8B99F" w14:textId="77777777" w:rsidR="00434D64" w:rsidRPr="003B6E6D" w:rsidRDefault="00434D64"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The main objective of the control algorithm is to ensure the sinusoidality of the voltage delivered to the grid and maintain the Total Harmonic Distortion (THD) value below 5%.</w:t>
      </w:r>
    </w:p>
    <w:p w14:paraId="53E5C767" w14:textId="77777777" w:rsidR="00434D64" w:rsidRPr="003B6E6D" w:rsidRDefault="00434D64"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The algorithm performs the following tasks:</w:t>
      </w:r>
    </w:p>
    <w:p w14:paraId="311F8E90" w14:textId="77777777" w:rsidR="00434D64" w:rsidRPr="003B6E6D" w:rsidRDefault="00434D64" w:rsidP="003B6E6D">
      <w:pPr>
        <w:pStyle w:val="aa"/>
        <w:numPr>
          <w:ilvl w:val="0"/>
          <w:numId w:val="11"/>
        </w:numPr>
        <w:tabs>
          <w:tab w:val="left" w:pos="567"/>
        </w:tabs>
        <w:ind w:left="0" w:firstLine="284"/>
        <w:jc w:val="both"/>
        <w:rPr>
          <w:rFonts w:ascii="Times New Roman" w:hAnsi="Times New Roman" w:cs="Times New Roman"/>
          <w:bCs/>
          <w:sz w:val="20"/>
        </w:rPr>
      </w:pPr>
      <w:r w:rsidRPr="003B6E6D">
        <w:rPr>
          <w:rFonts w:ascii="Times New Roman" w:hAnsi="Times New Roman" w:cs="Times New Roman"/>
          <w:bCs/>
          <w:sz w:val="20"/>
        </w:rPr>
        <w:t>optimal control of the inverter’s PWM modulation;</w:t>
      </w:r>
    </w:p>
    <w:p w14:paraId="22AD037B" w14:textId="77777777" w:rsidR="00434D64" w:rsidRPr="003B6E6D" w:rsidRDefault="00434D64" w:rsidP="003B6E6D">
      <w:pPr>
        <w:pStyle w:val="aa"/>
        <w:numPr>
          <w:ilvl w:val="0"/>
          <w:numId w:val="11"/>
        </w:numPr>
        <w:tabs>
          <w:tab w:val="left" w:pos="567"/>
        </w:tabs>
        <w:ind w:left="0" w:firstLine="284"/>
        <w:jc w:val="both"/>
        <w:rPr>
          <w:rFonts w:ascii="Times New Roman" w:hAnsi="Times New Roman" w:cs="Times New Roman"/>
          <w:bCs/>
          <w:sz w:val="20"/>
        </w:rPr>
      </w:pPr>
      <w:r w:rsidRPr="003B6E6D">
        <w:rPr>
          <w:rFonts w:ascii="Times New Roman" w:hAnsi="Times New Roman" w:cs="Times New Roman"/>
          <w:bCs/>
          <w:sz w:val="20"/>
        </w:rPr>
        <w:t>suppression of high-frequency harmonics using an LCL filter;</w:t>
      </w:r>
    </w:p>
    <w:p w14:paraId="626B3F01" w14:textId="77777777" w:rsidR="00434D64" w:rsidRPr="003B6E6D" w:rsidRDefault="00434D64" w:rsidP="003B6E6D">
      <w:pPr>
        <w:pStyle w:val="aa"/>
        <w:numPr>
          <w:ilvl w:val="0"/>
          <w:numId w:val="11"/>
        </w:numPr>
        <w:tabs>
          <w:tab w:val="left" w:pos="567"/>
        </w:tabs>
        <w:ind w:left="0" w:firstLine="284"/>
        <w:jc w:val="both"/>
        <w:rPr>
          <w:rFonts w:ascii="Times New Roman" w:hAnsi="Times New Roman" w:cs="Times New Roman"/>
          <w:bCs/>
          <w:sz w:val="20"/>
        </w:rPr>
      </w:pPr>
      <w:r w:rsidRPr="003B6E6D">
        <w:rPr>
          <w:rFonts w:ascii="Times New Roman" w:hAnsi="Times New Roman" w:cs="Times New Roman"/>
          <w:bCs/>
          <w:sz w:val="20"/>
        </w:rPr>
        <w:t>compensation of reactive power;</w:t>
      </w:r>
    </w:p>
    <w:p w14:paraId="475CE17B" w14:textId="77777777" w:rsidR="00434D64" w:rsidRPr="003B6E6D" w:rsidRDefault="00434D64" w:rsidP="003B6E6D">
      <w:pPr>
        <w:pStyle w:val="aa"/>
        <w:numPr>
          <w:ilvl w:val="0"/>
          <w:numId w:val="11"/>
        </w:numPr>
        <w:tabs>
          <w:tab w:val="left" w:pos="567"/>
        </w:tabs>
        <w:ind w:left="0" w:firstLine="284"/>
        <w:jc w:val="both"/>
        <w:rPr>
          <w:rFonts w:ascii="Times New Roman" w:hAnsi="Times New Roman" w:cs="Times New Roman"/>
          <w:bCs/>
          <w:sz w:val="20"/>
        </w:rPr>
      </w:pPr>
      <w:r w:rsidRPr="003B6E6D">
        <w:rPr>
          <w:rFonts w:ascii="Times New Roman" w:hAnsi="Times New Roman" w:cs="Times New Roman"/>
          <w:bCs/>
          <w:sz w:val="20"/>
        </w:rPr>
        <w:t>coordination of battery and supercapacitor operation;</w:t>
      </w:r>
    </w:p>
    <w:p w14:paraId="5142F689" w14:textId="77777777" w:rsidR="00434D64" w:rsidRPr="003B6E6D" w:rsidRDefault="00434D64" w:rsidP="003B6E6D">
      <w:pPr>
        <w:pStyle w:val="aa"/>
        <w:numPr>
          <w:ilvl w:val="0"/>
          <w:numId w:val="11"/>
        </w:numPr>
        <w:tabs>
          <w:tab w:val="left" w:pos="567"/>
        </w:tabs>
        <w:ind w:left="0" w:firstLine="284"/>
        <w:jc w:val="both"/>
        <w:rPr>
          <w:rFonts w:ascii="Times New Roman" w:hAnsi="Times New Roman" w:cs="Times New Roman"/>
          <w:bCs/>
          <w:sz w:val="20"/>
        </w:rPr>
      </w:pPr>
      <w:r w:rsidRPr="003B6E6D">
        <w:rPr>
          <w:rFonts w:ascii="Times New Roman" w:hAnsi="Times New Roman" w:cs="Times New Roman"/>
          <w:bCs/>
          <w:sz w:val="20"/>
        </w:rPr>
        <w:t>phase synchronization with the grid (based on PLL).</w:t>
      </w:r>
    </w:p>
    <w:p w14:paraId="10F8D138" w14:textId="77777777" w:rsidR="00434D64" w:rsidRPr="003B6E6D" w:rsidRDefault="00434D64"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In a photovoltaic hybrid power system (PVHPS), analysis of load conditions is essential for effective design, operation, and control. In a solar–diesel hybrid power plant, loads may vary depending on several factors, including solar irradiance, climatic conditions, energy demand, and the operational characteristics of the diesel generator.</w:t>
      </w:r>
    </w:p>
    <w:p w14:paraId="0AA05EAB" w14:textId="77777777" w:rsidR="00434D64" w:rsidRPr="003B6E6D" w:rsidRDefault="00434D64" w:rsidP="003B6E6D">
      <w:pPr>
        <w:pStyle w:val="aa"/>
        <w:ind w:firstLine="284"/>
        <w:rPr>
          <w:rFonts w:ascii="Times New Roman" w:hAnsi="Times New Roman" w:cs="Times New Roman"/>
          <w:b/>
          <w:bCs/>
          <w:sz w:val="20"/>
        </w:rPr>
      </w:pPr>
      <w:r w:rsidRPr="003B6E6D">
        <w:rPr>
          <w:rFonts w:ascii="Times New Roman" w:hAnsi="Times New Roman" w:cs="Times New Roman"/>
          <w:b/>
          <w:bCs/>
          <w:sz w:val="20"/>
        </w:rPr>
        <w:t>Mathematical Expression of Synchronization</w:t>
      </w:r>
    </w:p>
    <w:p w14:paraId="455C794C" w14:textId="77777777" w:rsidR="00434D64" w:rsidRPr="003B6E6D" w:rsidRDefault="00434D64" w:rsidP="003B6E6D">
      <w:pPr>
        <w:pStyle w:val="aa"/>
        <w:ind w:firstLine="284"/>
        <w:rPr>
          <w:rFonts w:ascii="Times New Roman" w:hAnsi="Times New Roman" w:cs="Times New Roman"/>
          <w:bCs/>
          <w:sz w:val="20"/>
        </w:rPr>
      </w:pPr>
      <w:r w:rsidRPr="003B6E6D">
        <w:rPr>
          <w:rFonts w:ascii="Times New Roman" w:hAnsi="Times New Roman" w:cs="Times New Roman"/>
          <w:bCs/>
          <w:sz w:val="20"/>
        </w:rPr>
        <w:t>To ensure phase alignment between the inverter and the grid, a Phase-Locked Loop (PLL) is used. Its fundamental equation is as follows:</w:t>
      </w:r>
    </w:p>
    <w:p w14:paraId="07A634C6" w14:textId="5D9A5C73" w:rsidR="00434D64" w:rsidRPr="003B6E6D" w:rsidRDefault="00C80CA2" w:rsidP="003B6E6D">
      <w:pPr>
        <w:pStyle w:val="aa"/>
        <w:jc w:val="right"/>
        <w:rPr>
          <w:rFonts w:ascii="Times New Roman" w:hAnsi="Times New Roman" w:cs="Times New Roman"/>
          <w:bCs/>
          <w:sz w:val="20"/>
        </w:rPr>
      </w:pPr>
      <m:oMath>
        <m:sSub>
          <m:sSubPr>
            <m:ctrlPr>
              <w:rPr>
                <w:rFonts w:ascii="Cambria Math" w:hAnsi="Cambria Math" w:cs="Times New Roman"/>
                <w:bCs/>
                <w:sz w:val="20"/>
              </w:rPr>
            </m:ctrlPr>
          </m:sSubPr>
          <m:e>
            <m:r>
              <w:rPr>
                <w:rFonts w:ascii="Cambria Math" w:hAnsi="Cambria Math" w:cs="Times New Roman"/>
                <w:sz w:val="20"/>
              </w:rPr>
              <m:t>θ</m:t>
            </m:r>
          </m:e>
          <m:sub>
            <m:r>
              <w:rPr>
                <w:rFonts w:ascii="Cambria Math" w:hAnsi="Cambria Math" w:cs="Times New Roman"/>
                <w:sz w:val="20"/>
              </w:rPr>
              <m:t>err</m:t>
            </m:r>
          </m:sub>
        </m:sSub>
        <m:d>
          <m:dPr>
            <m:ctrlPr>
              <w:rPr>
                <w:rFonts w:ascii="Cambria Math" w:hAnsi="Cambria Math" w:cs="Times New Roman"/>
                <w:bCs/>
                <w:sz w:val="20"/>
              </w:rPr>
            </m:ctrlPr>
          </m:dPr>
          <m:e>
            <m:r>
              <w:rPr>
                <w:rFonts w:ascii="Cambria Math" w:hAnsi="Cambria Math" w:cs="Times New Roman"/>
                <w:sz w:val="20"/>
              </w:rPr>
              <m:t>t</m:t>
            </m:r>
          </m:e>
        </m:d>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θ</m:t>
            </m:r>
          </m:e>
          <m:sub>
            <m:r>
              <w:rPr>
                <w:rFonts w:ascii="Cambria Math" w:hAnsi="Cambria Math" w:cs="Times New Roman"/>
                <w:sz w:val="20"/>
              </w:rPr>
              <m:t>grid</m:t>
            </m:r>
          </m:sub>
        </m:sSub>
        <m:d>
          <m:dPr>
            <m:ctrlPr>
              <w:rPr>
                <w:rFonts w:ascii="Cambria Math" w:hAnsi="Cambria Math" w:cs="Times New Roman"/>
                <w:bCs/>
                <w:sz w:val="20"/>
              </w:rPr>
            </m:ctrlPr>
          </m:dPr>
          <m:e>
            <m:r>
              <w:rPr>
                <w:rFonts w:ascii="Cambria Math" w:hAnsi="Cambria Math" w:cs="Times New Roman"/>
                <w:sz w:val="20"/>
              </w:rPr>
              <m:t>t</m:t>
            </m:r>
          </m:e>
        </m:d>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θ</m:t>
            </m:r>
          </m:e>
          <m:sub>
            <m:r>
              <w:rPr>
                <w:rFonts w:ascii="Cambria Math" w:hAnsi="Cambria Math" w:cs="Times New Roman"/>
                <w:sz w:val="20"/>
              </w:rPr>
              <m:t>inv</m:t>
            </m:r>
          </m:sub>
        </m:sSub>
        <m:d>
          <m:dPr>
            <m:ctrlPr>
              <w:rPr>
                <w:rFonts w:ascii="Cambria Math" w:hAnsi="Cambria Math" w:cs="Times New Roman"/>
                <w:bCs/>
                <w:sz w:val="20"/>
              </w:rPr>
            </m:ctrlPr>
          </m:dPr>
          <m:e>
            <m:r>
              <w:rPr>
                <w:rFonts w:ascii="Cambria Math" w:hAnsi="Cambria Math" w:cs="Times New Roman"/>
                <w:sz w:val="20"/>
              </w:rPr>
              <m:t>t</m:t>
            </m:r>
          </m:e>
        </m:d>
      </m:oMath>
      <w:r w:rsidR="00434D64" w:rsidRPr="003B6E6D">
        <w:rPr>
          <w:rFonts w:ascii="Times New Roman" w:hAnsi="Times New Roman" w:cs="Times New Roman"/>
          <w:bCs/>
          <w:sz w:val="20"/>
        </w:rPr>
        <w:tab/>
      </w:r>
      <w:r w:rsidR="00434D64" w:rsidRPr="003B6E6D">
        <w:rPr>
          <w:rFonts w:ascii="Times New Roman" w:hAnsi="Times New Roman" w:cs="Times New Roman"/>
          <w:bCs/>
          <w:sz w:val="20"/>
        </w:rPr>
        <w:tab/>
      </w:r>
      <w:r w:rsidR="00434D64" w:rsidRPr="003B6E6D">
        <w:rPr>
          <w:rFonts w:ascii="Times New Roman" w:hAnsi="Times New Roman" w:cs="Times New Roman"/>
          <w:bCs/>
          <w:sz w:val="20"/>
        </w:rPr>
        <w:tab/>
      </w:r>
      <w:r w:rsidR="00434D64" w:rsidRPr="003B6E6D">
        <w:rPr>
          <w:rFonts w:ascii="Times New Roman" w:hAnsi="Times New Roman" w:cs="Times New Roman"/>
          <w:bCs/>
          <w:sz w:val="20"/>
        </w:rPr>
        <w:tab/>
      </w:r>
      <w:r w:rsidR="00434D64" w:rsidRPr="003B6E6D">
        <w:rPr>
          <w:rFonts w:ascii="Times New Roman" w:hAnsi="Times New Roman" w:cs="Times New Roman"/>
          <w:bCs/>
          <w:sz w:val="20"/>
        </w:rPr>
        <w:tab/>
        <w:t xml:space="preserve">           (4)</w:t>
      </w:r>
    </w:p>
    <w:p w14:paraId="0E435372" w14:textId="77777777" w:rsidR="00434D64" w:rsidRPr="003B6E6D" w:rsidRDefault="00434D64" w:rsidP="003B6E6D">
      <w:pPr>
        <w:pStyle w:val="aa"/>
        <w:jc w:val="both"/>
        <w:rPr>
          <w:rFonts w:ascii="Times New Roman" w:hAnsi="Times New Roman" w:cs="Times New Roman"/>
          <w:bCs/>
          <w:sz w:val="20"/>
        </w:rPr>
      </w:pPr>
    </w:p>
    <w:p w14:paraId="47E4E2C7" w14:textId="37C4E6CF" w:rsidR="00434D64" w:rsidRPr="003B6E6D" w:rsidRDefault="00C80CA2" w:rsidP="003B6E6D">
      <w:pPr>
        <w:pStyle w:val="aa"/>
        <w:jc w:val="right"/>
        <w:rPr>
          <w:rFonts w:ascii="Times New Roman" w:hAnsi="Times New Roman" w:cs="Times New Roman"/>
          <w:bCs/>
          <w:sz w:val="20"/>
        </w:rPr>
      </w:pPr>
      <m:oMath>
        <m:f>
          <m:fPr>
            <m:ctrlPr>
              <w:rPr>
                <w:rFonts w:ascii="Cambria Math" w:hAnsi="Cambria Math" w:cs="Times New Roman"/>
                <w:bCs/>
                <w:sz w:val="20"/>
              </w:rPr>
            </m:ctrlPr>
          </m:fPr>
          <m:num>
            <m:r>
              <w:rPr>
                <w:rFonts w:ascii="Cambria Math" w:hAnsi="Cambria Math" w:cs="Times New Roman"/>
                <w:sz w:val="20"/>
              </w:rPr>
              <m:t>d</m:t>
            </m:r>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θ</m:t>
                </m:r>
              </m:e>
              <m:sub>
                <m:r>
                  <w:rPr>
                    <w:rFonts w:ascii="Cambria Math" w:hAnsi="Cambria Math" w:cs="Times New Roman"/>
                    <w:sz w:val="20"/>
                  </w:rPr>
                  <m:t>inv</m:t>
                </m:r>
              </m:sub>
            </m:sSub>
            <m:r>
              <m:rPr>
                <m:sty m:val="p"/>
              </m:rPr>
              <w:rPr>
                <w:rFonts w:ascii="Cambria Math" w:hAnsi="Cambria Math" w:cs="Times New Roman"/>
                <w:sz w:val="20"/>
              </w:rPr>
              <m:t>(</m:t>
            </m:r>
            <m:r>
              <w:rPr>
                <w:rFonts w:ascii="Cambria Math" w:hAnsi="Cambria Math" w:cs="Times New Roman"/>
                <w:sz w:val="20"/>
              </w:rPr>
              <m:t>t</m:t>
            </m:r>
            <m:r>
              <m:rPr>
                <m:sty m:val="p"/>
              </m:rPr>
              <w:rPr>
                <w:rFonts w:ascii="Cambria Math" w:hAnsi="Cambria Math" w:cs="Times New Roman"/>
                <w:sz w:val="20"/>
              </w:rPr>
              <m:t>)</m:t>
            </m:r>
          </m:num>
          <m:den>
            <m:r>
              <w:rPr>
                <w:rFonts w:ascii="Cambria Math" w:hAnsi="Cambria Math" w:cs="Times New Roman"/>
                <w:sz w:val="20"/>
              </w:rPr>
              <m:t>dt</m:t>
            </m:r>
          </m:den>
        </m:f>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ω</m:t>
            </m:r>
          </m:e>
          <m:sub>
            <m:r>
              <m:rPr>
                <m:sty m:val="p"/>
              </m:rPr>
              <w:rPr>
                <w:rFonts w:ascii="Cambria Math" w:hAnsi="Cambria Math" w:cs="Times New Roman"/>
                <w:sz w:val="20"/>
              </w:rPr>
              <m:t>0</m:t>
            </m:r>
          </m:sub>
        </m:sSub>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K</m:t>
            </m:r>
          </m:e>
          <m:sub>
            <m:r>
              <w:rPr>
                <w:rFonts w:ascii="Cambria Math" w:hAnsi="Cambria Math" w:cs="Times New Roman"/>
                <w:sz w:val="20"/>
              </w:rPr>
              <m:t>p</m:t>
            </m:r>
          </m:sub>
        </m:sSub>
        <m:sSub>
          <m:sSubPr>
            <m:ctrlPr>
              <w:rPr>
                <w:rFonts w:ascii="Cambria Math" w:hAnsi="Cambria Math" w:cs="Times New Roman"/>
                <w:bCs/>
                <w:sz w:val="20"/>
              </w:rPr>
            </m:ctrlPr>
          </m:sSubPr>
          <m:e>
            <m:r>
              <w:rPr>
                <w:rFonts w:ascii="Cambria Math" w:hAnsi="Cambria Math" w:cs="Times New Roman"/>
                <w:sz w:val="20"/>
              </w:rPr>
              <m:t>θ</m:t>
            </m:r>
          </m:e>
          <m:sub>
            <m:r>
              <w:rPr>
                <w:rFonts w:ascii="Cambria Math" w:hAnsi="Cambria Math" w:cs="Times New Roman"/>
                <w:sz w:val="20"/>
              </w:rPr>
              <m:t>err</m:t>
            </m:r>
          </m:sub>
        </m:sSub>
        <m:d>
          <m:dPr>
            <m:ctrlPr>
              <w:rPr>
                <w:rFonts w:ascii="Cambria Math" w:hAnsi="Cambria Math" w:cs="Times New Roman"/>
                <w:bCs/>
                <w:sz w:val="20"/>
              </w:rPr>
            </m:ctrlPr>
          </m:dPr>
          <m:e>
            <m:r>
              <w:rPr>
                <w:rFonts w:ascii="Cambria Math" w:hAnsi="Cambria Math" w:cs="Times New Roman"/>
                <w:sz w:val="20"/>
              </w:rPr>
              <m:t>t</m:t>
            </m:r>
          </m:e>
        </m:d>
        <m:r>
          <m:rPr>
            <m:sty m:val="p"/>
          </m:rPr>
          <w:rPr>
            <w:rFonts w:ascii="Cambria Math" w:hAnsi="Cambria Math" w:cs="Times New Roman"/>
            <w:sz w:val="20"/>
          </w:rPr>
          <m:t>+</m:t>
        </m:r>
        <m:sSub>
          <m:sSubPr>
            <m:ctrlPr>
              <w:rPr>
                <w:rFonts w:ascii="Cambria Math" w:hAnsi="Cambria Math" w:cs="Times New Roman"/>
                <w:bCs/>
                <w:sz w:val="20"/>
              </w:rPr>
            </m:ctrlPr>
          </m:sSubPr>
          <m:e>
            <m:r>
              <w:rPr>
                <w:rFonts w:ascii="Cambria Math" w:hAnsi="Cambria Math" w:cs="Times New Roman"/>
                <w:sz w:val="20"/>
              </w:rPr>
              <m:t>K</m:t>
            </m:r>
          </m:e>
          <m:sub>
            <m:r>
              <w:rPr>
                <w:rFonts w:ascii="Cambria Math" w:hAnsi="Cambria Math" w:cs="Times New Roman"/>
                <w:sz w:val="20"/>
              </w:rPr>
              <m:t>i</m:t>
            </m:r>
          </m:sub>
        </m:sSub>
        <m:nary>
          <m:naryPr>
            <m:limLoc m:val="undOvr"/>
            <m:subHide m:val="1"/>
            <m:supHide m:val="1"/>
            <m:ctrlPr>
              <w:rPr>
                <w:rFonts w:ascii="Cambria Math" w:hAnsi="Cambria Math" w:cs="Times New Roman"/>
                <w:bCs/>
                <w:sz w:val="20"/>
              </w:rPr>
            </m:ctrlPr>
          </m:naryPr>
          <m:sub/>
          <m:sup/>
          <m:e>
            <m:sSub>
              <m:sSubPr>
                <m:ctrlPr>
                  <w:rPr>
                    <w:rFonts w:ascii="Cambria Math" w:hAnsi="Cambria Math" w:cs="Times New Roman"/>
                    <w:bCs/>
                    <w:sz w:val="20"/>
                  </w:rPr>
                </m:ctrlPr>
              </m:sSubPr>
              <m:e>
                <m:r>
                  <w:rPr>
                    <w:rFonts w:ascii="Cambria Math" w:hAnsi="Cambria Math" w:cs="Times New Roman"/>
                    <w:sz w:val="20"/>
                  </w:rPr>
                  <m:t>θ</m:t>
                </m:r>
              </m:e>
              <m:sub>
                <m:r>
                  <w:rPr>
                    <w:rFonts w:ascii="Cambria Math" w:hAnsi="Cambria Math" w:cs="Times New Roman"/>
                    <w:sz w:val="20"/>
                  </w:rPr>
                  <m:t>err</m:t>
                </m:r>
              </m:sub>
            </m:sSub>
          </m:e>
        </m:nary>
      </m:oMath>
      <w:r w:rsidR="00434D64" w:rsidRPr="003B6E6D">
        <w:rPr>
          <w:rFonts w:ascii="Times New Roman" w:hAnsi="Times New Roman" w:cs="Times New Roman"/>
          <w:bCs/>
          <w:sz w:val="20"/>
        </w:rPr>
        <w:t>(t)dt</w:t>
      </w:r>
      <w:r w:rsidR="00434D64" w:rsidRPr="003B6E6D">
        <w:rPr>
          <w:rFonts w:ascii="Times New Roman" w:hAnsi="Times New Roman" w:cs="Times New Roman"/>
          <w:bCs/>
          <w:sz w:val="20"/>
        </w:rPr>
        <w:tab/>
      </w:r>
      <w:r w:rsidR="00434D64" w:rsidRPr="003B6E6D">
        <w:rPr>
          <w:rFonts w:ascii="Times New Roman" w:hAnsi="Times New Roman" w:cs="Times New Roman"/>
          <w:bCs/>
          <w:sz w:val="20"/>
        </w:rPr>
        <w:tab/>
      </w:r>
      <w:r w:rsidR="00434D64" w:rsidRPr="003B6E6D">
        <w:rPr>
          <w:rFonts w:ascii="Times New Roman" w:hAnsi="Times New Roman" w:cs="Times New Roman"/>
          <w:bCs/>
          <w:sz w:val="20"/>
        </w:rPr>
        <w:tab/>
      </w:r>
      <w:r w:rsidR="00434D64" w:rsidRPr="003B6E6D">
        <w:rPr>
          <w:rFonts w:ascii="Times New Roman" w:hAnsi="Times New Roman" w:cs="Times New Roman"/>
          <w:bCs/>
          <w:sz w:val="20"/>
        </w:rPr>
        <w:tab/>
        <w:t xml:space="preserve">                     (5)</w:t>
      </w:r>
    </w:p>
    <w:p w14:paraId="32DCC622" w14:textId="7C33462C" w:rsidR="00155A57" w:rsidRPr="003B6E6D" w:rsidRDefault="00155A57" w:rsidP="003B6E6D">
      <w:pPr>
        <w:spacing w:after="0" w:line="240" w:lineRule="auto"/>
        <w:ind w:firstLine="284"/>
        <w:jc w:val="both"/>
        <w:rPr>
          <w:rFonts w:ascii="Times New Roman" w:hAnsi="Times New Roman" w:cs="Times New Roman"/>
          <w:sz w:val="20"/>
          <w:lang w:val="uz-Cyrl-UZ"/>
        </w:rPr>
      </w:pPr>
      <w:r w:rsidRPr="003B6E6D">
        <w:rPr>
          <w:rFonts w:ascii="Times New Roman" w:hAnsi="Times New Roman" w:cs="Times New Roman"/>
          <w:sz w:val="20"/>
          <w:lang w:val="uz-Cyrl-UZ"/>
        </w:rPr>
        <w:t xml:space="preserve">For THD and resonance control, when selecting </w:t>
      </w:r>
      <m:oMath>
        <m:sSub>
          <m:sSubPr>
            <m:ctrlPr>
              <w:rPr>
                <w:rFonts w:ascii="Cambria Math" w:hAnsi="Cambria Math" w:cs="Times New Roman"/>
                <w:sz w:val="20"/>
                <w:lang w:val="uz-Cyrl-UZ"/>
              </w:rPr>
            </m:ctrlPr>
          </m:sSubPr>
          <m:e>
            <m:r>
              <w:rPr>
                <w:rFonts w:ascii="Cambria Math" w:hAnsi="Cambria Math" w:cs="Times New Roman"/>
                <w:sz w:val="20"/>
                <w:lang w:val="uz-Cyrl-UZ"/>
              </w:rPr>
              <m:t>C</m:t>
            </m:r>
          </m:e>
          <m:sub>
            <m:r>
              <w:rPr>
                <w:rFonts w:ascii="Cambria Math" w:hAnsi="Cambria Math" w:cs="Times New Roman"/>
                <w:sz w:val="20"/>
                <w:lang w:val="uz-Cyrl-UZ"/>
              </w:rPr>
              <m:t>f</m:t>
            </m:r>
          </m:sub>
        </m:sSub>
        <m:sSub>
          <m:sSubPr>
            <m:ctrlPr>
              <w:rPr>
                <w:rFonts w:ascii="Cambria Math" w:hAnsi="Cambria Math" w:cs="Times New Roman"/>
                <w:sz w:val="20"/>
                <w:lang w:val="uz-Cyrl-UZ"/>
              </w:rPr>
            </m:ctrlPr>
          </m:sSubPr>
          <m:e>
            <m:r>
              <w:rPr>
                <w:rFonts w:ascii="Cambria Math" w:hAnsi="Cambria Math" w:cs="Times New Roman"/>
                <w:sz w:val="20"/>
                <w:lang w:val="uz-Cyrl-UZ"/>
              </w:rPr>
              <m:t>L</m:t>
            </m:r>
          </m:e>
          <m:sub>
            <m:r>
              <m:rPr>
                <m:sty m:val="p"/>
              </m:rPr>
              <w:rPr>
                <w:rFonts w:ascii="Cambria Math" w:hAnsi="Cambria Math" w:cs="Times New Roman"/>
                <w:sz w:val="20"/>
                <w:lang w:val="uz-Cyrl-UZ"/>
              </w:rPr>
              <m:t>1</m:t>
            </m:r>
          </m:sub>
        </m:sSub>
        <m:sSub>
          <m:sSubPr>
            <m:ctrlPr>
              <w:rPr>
                <w:rFonts w:ascii="Cambria Math" w:hAnsi="Cambria Math" w:cs="Times New Roman"/>
                <w:sz w:val="20"/>
                <w:lang w:val="uz-Cyrl-UZ"/>
              </w:rPr>
            </m:ctrlPr>
          </m:sSubPr>
          <m:e>
            <m:r>
              <w:rPr>
                <w:rFonts w:ascii="Cambria Math" w:hAnsi="Cambria Math" w:cs="Times New Roman"/>
                <w:sz w:val="20"/>
                <w:lang w:val="uz-Cyrl-UZ"/>
              </w:rPr>
              <m:t>L</m:t>
            </m:r>
          </m:e>
          <m:sub>
            <m:r>
              <m:rPr>
                <m:sty m:val="p"/>
              </m:rPr>
              <w:rPr>
                <w:rFonts w:ascii="Cambria Math" w:hAnsi="Cambria Math" w:cs="Times New Roman"/>
                <w:sz w:val="20"/>
                <w:lang w:val="uz-Cyrl-UZ"/>
              </w:rPr>
              <m:t>2</m:t>
            </m:r>
          </m:sub>
        </m:sSub>
      </m:oMath>
      <w:r w:rsidRPr="003B6E6D">
        <w:rPr>
          <w:rFonts w:ascii="Times New Roman" w:hAnsi="Times New Roman" w:cs="Times New Roman"/>
          <w:sz w:val="20"/>
          <w:lang w:val="uz-Cyrl-UZ"/>
        </w:rPr>
        <w:t xml:space="preserve"> choose the resonance frequency </w:t>
      </w:r>
      <m:oMath>
        <m:sSub>
          <m:sSubPr>
            <m:ctrlPr>
              <w:rPr>
                <w:rFonts w:ascii="Cambria Math" w:hAnsi="Cambria Math" w:cs="Times New Roman"/>
                <w:sz w:val="20"/>
                <w:lang w:val="uz-Cyrl-UZ"/>
              </w:rPr>
            </m:ctrlPr>
          </m:sSubPr>
          <m:e>
            <m:r>
              <w:rPr>
                <w:rFonts w:ascii="Cambria Math" w:hAnsi="Cambria Math" w:cs="Times New Roman"/>
                <w:sz w:val="20"/>
                <w:lang w:val="uz-Cyrl-UZ"/>
              </w:rPr>
              <m:t>f</m:t>
            </m:r>
          </m:e>
          <m:sub>
            <m:r>
              <w:rPr>
                <w:rFonts w:ascii="Cambria Math" w:hAnsi="Cambria Math" w:cs="Times New Roman"/>
                <w:sz w:val="20"/>
                <w:lang w:val="uz-Cyrl-UZ"/>
              </w:rPr>
              <m:t>res</m:t>
            </m:r>
          </m:sub>
        </m:sSub>
      </m:oMath>
      <w:r w:rsidRPr="003B6E6D">
        <w:rPr>
          <w:rFonts w:ascii="Times New Roman" w:hAnsi="Times New Roman" w:cs="Times New Roman"/>
          <w:sz w:val="20"/>
          <w:lang w:val="uz-Cyrl-UZ"/>
        </w:rPr>
        <w:t>much lower than the PWM carrier frequency, but higher than the network harmonics.</w:t>
      </w:r>
    </w:p>
    <w:p w14:paraId="5AA9D806" w14:textId="3ECA9141" w:rsidR="00155A57" w:rsidRPr="003B6E6D" w:rsidRDefault="00C80CA2" w:rsidP="003B6E6D">
      <w:pPr>
        <w:spacing w:after="0" w:line="240" w:lineRule="auto"/>
        <w:ind w:firstLine="284"/>
        <w:jc w:val="right"/>
        <w:rPr>
          <w:rFonts w:ascii="Times New Roman" w:hAnsi="Times New Roman" w:cs="Times New Roman"/>
          <w:bCs/>
          <w:sz w:val="20"/>
        </w:rPr>
      </w:pPr>
      <m:oMath>
        <m:sSub>
          <m:sSubPr>
            <m:ctrlPr>
              <w:rPr>
                <w:rFonts w:ascii="Cambria Math" w:hAnsi="Cambria Math" w:cs="Times New Roman"/>
                <w:bCs/>
                <w:sz w:val="20"/>
              </w:rPr>
            </m:ctrlPr>
          </m:sSubPr>
          <m:e>
            <m:r>
              <w:rPr>
                <w:rFonts w:ascii="Cambria Math" w:hAnsi="Cambria Math" w:cs="Times New Roman"/>
                <w:sz w:val="20"/>
                <w:lang w:val="uz-Cyrl-UZ"/>
              </w:rPr>
              <m:t>f</m:t>
            </m:r>
          </m:e>
          <m:sub>
            <m:r>
              <w:rPr>
                <w:rFonts w:ascii="Cambria Math" w:hAnsi="Cambria Math" w:cs="Times New Roman"/>
                <w:sz w:val="20"/>
                <w:lang w:val="uz-Cyrl-UZ"/>
              </w:rPr>
              <m:t>res</m:t>
            </m:r>
          </m:sub>
        </m:sSub>
        <m:r>
          <m:rPr>
            <m:sty m:val="p"/>
          </m:rPr>
          <w:rPr>
            <w:rFonts w:ascii="Cambria Math" w:hAnsi="Cambria Math" w:cs="Times New Roman"/>
            <w:sz w:val="20"/>
            <w:lang w:val="uz-Cyrl-UZ"/>
          </w:rPr>
          <m:t>≈</m:t>
        </m:r>
        <m:f>
          <m:fPr>
            <m:ctrlPr>
              <w:rPr>
                <w:rFonts w:ascii="Cambria Math" w:hAnsi="Cambria Math" w:cs="Times New Roman"/>
                <w:bCs/>
                <w:sz w:val="20"/>
              </w:rPr>
            </m:ctrlPr>
          </m:fPr>
          <m:num>
            <m:r>
              <m:rPr>
                <m:sty m:val="p"/>
              </m:rPr>
              <w:rPr>
                <w:rFonts w:ascii="Cambria Math" w:hAnsi="Cambria Math" w:cs="Times New Roman"/>
                <w:sz w:val="20"/>
                <w:lang w:val="uz-Cyrl-UZ"/>
              </w:rPr>
              <m:t>1</m:t>
            </m:r>
          </m:num>
          <m:den>
            <m:r>
              <m:rPr>
                <m:sty m:val="p"/>
              </m:rPr>
              <w:rPr>
                <w:rFonts w:ascii="Cambria Math" w:hAnsi="Cambria Math" w:cs="Times New Roman"/>
                <w:sz w:val="20"/>
                <w:lang w:val="uz-Cyrl-UZ"/>
              </w:rPr>
              <m:t>2</m:t>
            </m:r>
            <m:r>
              <w:rPr>
                <w:rFonts w:ascii="Cambria Math" w:hAnsi="Cambria Math" w:cs="Times New Roman"/>
                <w:sz w:val="20"/>
                <w:lang w:val="uz-Cyrl-UZ"/>
              </w:rPr>
              <m:t>π</m:t>
            </m:r>
          </m:den>
        </m:f>
        <m:rad>
          <m:radPr>
            <m:degHide m:val="1"/>
            <m:ctrlPr>
              <w:rPr>
                <w:rFonts w:ascii="Cambria Math" w:hAnsi="Cambria Math" w:cs="Times New Roman"/>
                <w:bCs/>
                <w:sz w:val="20"/>
              </w:rPr>
            </m:ctrlPr>
          </m:radPr>
          <m:deg/>
          <m:e>
            <m:f>
              <m:fPr>
                <m:ctrlPr>
                  <w:rPr>
                    <w:rFonts w:ascii="Cambria Math" w:hAnsi="Cambria Math" w:cs="Times New Roman"/>
                    <w:bCs/>
                    <w:sz w:val="20"/>
                  </w:rPr>
                </m:ctrlPr>
              </m:fPr>
              <m:num>
                <m:sSub>
                  <m:sSubPr>
                    <m:ctrlPr>
                      <w:rPr>
                        <w:rFonts w:ascii="Cambria Math" w:hAnsi="Cambria Math" w:cs="Times New Roman"/>
                        <w:bCs/>
                        <w:sz w:val="20"/>
                      </w:rPr>
                    </m:ctrlPr>
                  </m:sSubPr>
                  <m:e>
                    <m:r>
                      <w:rPr>
                        <w:rFonts w:ascii="Cambria Math" w:hAnsi="Cambria Math" w:cs="Times New Roman"/>
                        <w:sz w:val="20"/>
                        <w:lang w:val="uz-Cyrl-UZ"/>
                      </w:rPr>
                      <m:t>L</m:t>
                    </m:r>
                  </m:e>
                  <m:sub>
                    <m:r>
                      <m:rPr>
                        <m:sty m:val="p"/>
                      </m:rPr>
                      <w:rPr>
                        <w:rFonts w:ascii="Cambria Math" w:hAnsi="Cambria Math" w:cs="Times New Roman"/>
                        <w:sz w:val="20"/>
                        <w:lang w:val="uz-Cyrl-UZ"/>
                      </w:rPr>
                      <m:t>1</m:t>
                    </m:r>
                  </m:sub>
                </m:sSub>
                <m:r>
                  <m:rPr>
                    <m:sty m:val="p"/>
                  </m:rPr>
                  <w:rPr>
                    <w:rFonts w:ascii="Cambria Math" w:hAnsi="Cambria Math" w:cs="Times New Roman"/>
                    <w:sz w:val="20"/>
                    <w:lang w:val="uz-Cyrl-UZ"/>
                  </w:rPr>
                  <m:t>+</m:t>
                </m:r>
                <m:sSub>
                  <m:sSubPr>
                    <m:ctrlPr>
                      <w:rPr>
                        <w:rFonts w:ascii="Cambria Math" w:hAnsi="Cambria Math" w:cs="Times New Roman"/>
                        <w:bCs/>
                        <w:sz w:val="20"/>
                      </w:rPr>
                    </m:ctrlPr>
                  </m:sSubPr>
                  <m:e>
                    <m:r>
                      <w:rPr>
                        <w:rFonts w:ascii="Cambria Math" w:hAnsi="Cambria Math" w:cs="Times New Roman"/>
                        <w:sz w:val="20"/>
                        <w:lang w:val="uz-Cyrl-UZ"/>
                      </w:rPr>
                      <m:t>L</m:t>
                    </m:r>
                  </m:e>
                  <m:sub>
                    <m:r>
                      <m:rPr>
                        <m:sty m:val="p"/>
                      </m:rPr>
                      <w:rPr>
                        <w:rFonts w:ascii="Cambria Math" w:hAnsi="Cambria Math" w:cs="Times New Roman"/>
                        <w:sz w:val="20"/>
                        <w:lang w:val="uz-Cyrl-UZ"/>
                      </w:rPr>
                      <m:t>2</m:t>
                    </m:r>
                  </m:sub>
                </m:sSub>
              </m:num>
              <m:den>
                <m:sSub>
                  <m:sSubPr>
                    <m:ctrlPr>
                      <w:rPr>
                        <w:rFonts w:ascii="Cambria Math" w:hAnsi="Cambria Math" w:cs="Times New Roman"/>
                        <w:bCs/>
                        <w:sz w:val="20"/>
                      </w:rPr>
                    </m:ctrlPr>
                  </m:sSubPr>
                  <m:e>
                    <m:r>
                      <w:rPr>
                        <w:rFonts w:ascii="Cambria Math" w:hAnsi="Cambria Math" w:cs="Times New Roman"/>
                        <w:sz w:val="20"/>
                        <w:lang w:val="uz-Cyrl-UZ"/>
                      </w:rPr>
                      <m:t>L</m:t>
                    </m:r>
                  </m:e>
                  <m:sub>
                    <m:r>
                      <m:rPr>
                        <m:sty m:val="p"/>
                      </m:rPr>
                      <w:rPr>
                        <w:rFonts w:ascii="Cambria Math" w:hAnsi="Cambria Math" w:cs="Times New Roman"/>
                        <w:sz w:val="20"/>
                        <w:lang w:val="uz-Cyrl-UZ"/>
                      </w:rPr>
                      <m:t>1</m:t>
                    </m:r>
                  </m:sub>
                </m:sSub>
                <m:sSub>
                  <m:sSubPr>
                    <m:ctrlPr>
                      <w:rPr>
                        <w:rFonts w:ascii="Cambria Math" w:hAnsi="Cambria Math" w:cs="Times New Roman"/>
                        <w:bCs/>
                        <w:sz w:val="20"/>
                      </w:rPr>
                    </m:ctrlPr>
                  </m:sSubPr>
                  <m:e>
                    <m:r>
                      <w:rPr>
                        <w:rFonts w:ascii="Cambria Math" w:hAnsi="Cambria Math" w:cs="Times New Roman"/>
                        <w:sz w:val="20"/>
                        <w:lang w:val="uz-Cyrl-UZ"/>
                      </w:rPr>
                      <m:t>L</m:t>
                    </m:r>
                  </m:e>
                  <m:sub>
                    <m:r>
                      <m:rPr>
                        <m:sty m:val="p"/>
                      </m:rPr>
                      <w:rPr>
                        <w:rFonts w:ascii="Cambria Math" w:hAnsi="Cambria Math" w:cs="Times New Roman"/>
                        <w:sz w:val="20"/>
                        <w:lang w:val="uz-Cyrl-UZ"/>
                      </w:rPr>
                      <m:t>2</m:t>
                    </m:r>
                  </m:sub>
                </m:sSub>
                <m:sSub>
                  <m:sSubPr>
                    <m:ctrlPr>
                      <w:rPr>
                        <w:rFonts w:ascii="Cambria Math" w:hAnsi="Cambria Math" w:cs="Times New Roman"/>
                        <w:bCs/>
                        <w:sz w:val="20"/>
                      </w:rPr>
                    </m:ctrlPr>
                  </m:sSubPr>
                  <m:e>
                    <m:r>
                      <w:rPr>
                        <w:rFonts w:ascii="Cambria Math" w:hAnsi="Cambria Math" w:cs="Times New Roman"/>
                        <w:sz w:val="20"/>
                        <w:lang w:val="uz-Cyrl-UZ"/>
                      </w:rPr>
                      <m:t>C</m:t>
                    </m:r>
                  </m:e>
                  <m:sub>
                    <m:r>
                      <w:rPr>
                        <w:rFonts w:ascii="Cambria Math" w:hAnsi="Cambria Math" w:cs="Times New Roman"/>
                        <w:sz w:val="20"/>
                        <w:lang w:val="uz-Cyrl-UZ"/>
                      </w:rPr>
                      <m:t>f</m:t>
                    </m:r>
                  </m:sub>
                </m:sSub>
              </m:den>
            </m:f>
          </m:e>
        </m:rad>
      </m:oMath>
      <w:r w:rsidR="00155A57" w:rsidRPr="003B6E6D">
        <w:rPr>
          <w:rFonts w:ascii="Times New Roman" w:hAnsi="Times New Roman" w:cs="Times New Roman"/>
          <w:bCs/>
          <w:sz w:val="20"/>
          <w:lang w:val="uz-Cyrl-UZ"/>
        </w:rPr>
        <w:t xml:space="preserve">.                                                                                         </w:t>
      </w:r>
      <w:r w:rsidR="00155A57" w:rsidRPr="003B6E6D">
        <w:rPr>
          <w:rFonts w:ascii="Times New Roman" w:hAnsi="Times New Roman" w:cs="Times New Roman"/>
          <w:bCs/>
          <w:sz w:val="20"/>
        </w:rPr>
        <w:t>(6)</w:t>
      </w:r>
    </w:p>
    <w:p w14:paraId="40D13792" w14:textId="77777777" w:rsidR="00155A57" w:rsidRPr="003B6E6D" w:rsidRDefault="00155A57" w:rsidP="003B6E6D">
      <w:pPr>
        <w:spacing w:after="0" w:line="240" w:lineRule="auto"/>
        <w:ind w:firstLine="284"/>
        <w:jc w:val="center"/>
        <w:rPr>
          <w:rFonts w:ascii="Times New Roman" w:hAnsi="Times New Roman" w:cs="Times New Roman"/>
          <w:bCs/>
          <w:sz w:val="20"/>
        </w:rPr>
      </w:pPr>
      <w:r w:rsidRPr="003B6E6D">
        <w:rPr>
          <w:rFonts w:ascii="Times New Roman" w:hAnsi="Times New Roman" w:cs="Times New Roman"/>
          <w:bCs/>
          <w:noProof/>
          <w:sz w:val="20"/>
          <w:lang w:val="ru-RU" w:eastAsia="ru-RU"/>
        </w:rPr>
        <w:lastRenderedPageBreak/>
        <w:drawing>
          <wp:inline distT="0" distB="0" distL="0" distR="0" wp14:anchorId="2D630E0E" wp14:editId="4C1F0388">
            <wp:extent cx="4822166" cy="1612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7336" cy="1617974"/>
                    </a:xfrm>
                    <a:prstGeom prst="rect">
                      <a:avLst/>
                    </a:prstGeom>
                    <a:noFill/>
                  </pic:spPr>
                </pic:pic>
              </a:graphicData>
            </a:graphic>
          </wp:inline>
        </w:drawing>
      </w:r>
    </w:p>
    <w:p w14:paraId="7F89BE74" w14:textId="3EB43944" w:rsidR="00155A57" w:rsidRPr="003B6E6D" w:rsidRDefault="00AA2AF7" w:rsidP="003B6E6D">
      <w:pPr>
        <w:pStyle w:val="aa"/>
        <w:jc w:val="center"/>
        <w:rPr>
          <w:rFonts w:ascii="Times New Roman" w:hAnsi="Times New Roman" w:cs="Times New Roman"/>
          <w:bCs/>
          <w:sz w:val="20"/>
          <w:lang w:val="uz-Cyrl-UZ"/>
        </w:rPr>
      </w:pPr>
      <w:r>
        <w:rPr>
          <w:rFonts w:ascii="Times New Roman" w:hAnsi="Times New Roman" w:cs="Times New Roman"/>
          <w:b/>
          <w:bCs/>
          <w:sz w:val="20"/>
        </w:rPr>
        <w:t>FIGURE</w:t>
      </w:r>
      <w:r w:rsidR="00694438" w:rsidRPr="003B6E6D">
        <w:rPr>
          <w:rFonts w:ascii="Times New Roman" w:hAnsi="Times New Roman" w:cs="Times New Roman"/>
          <w:b/>
          <w:bCs/>
          <w:sz w:val="20"/>
        </w:rPr>
        <w:t xml:space="preserve"> 3. </w:t>
      </w:r>
      <w:r w:rsidR="00694438" w:rsidRPr="003B6E6D">
        <w:rPr>
          <w:rFonts w:ascii="Times New Roman" w:hAnsi="Times New Roman" w:cs="Times New Roman"/>
          <w:bCs/>
          <w:sz w:val="20"/>
          <w:lang w:val="uz-Cyrl-UZ"/>
        </w:rPr>
        <w:t>Principal schematic diagram of the voltage-filtering device for the inverter output in solar–diesel power plants.</w:t>
      </w:r>
    </w:p>
    <w:p w14:paraId="1E2598F4" w14:textId="77777777" w:rsidR="003B6E6D" w:rsidRDefault="003B6E6D" w:rsidP="003B6E6D">
      <w:pPr>
        <w:pStyle w:val="aa"/>
        <w:ind w:firstLine="284"/>
        <w:jc w:val="both"/>
        <w:rPr>
          <w:rFonts w:ascii="Times New Roman" w:hAnsi="Times New Roman" w:cs="Times New Roman"/>
          <w:bCs/>
          <w:sz w:val="20"/>
        </w:rPr>
      </w:pPr>
    </w:p>
    <w:p w14:paraId="625C5A7B" w14:textId="522986CF"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The research was carried out on a laboratory-scale hybrid system consisting of the following components:</w:t>
      </w:r>
    </w:p>
    <w:p w14:paraId="0C0801B8"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PV Array – nominal power 1.5 kW, output voltage 48 V.</w:t>
      </w:r>
    </w:p>
    <w:p w14:paraId="2A36ABF0"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Diesel Generator (DG) – 2.5 kW, 220 V, 50 Hz.</w:t>
      </w:r>
    </w:p>
    <w:p w14:paraId="0E6EE397"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Inverter (DC/AC Converter) – operates based on sinusoidal PWM (SPWM) and is equipped with an LC filter at the output.</w:t>
      </w:r>
    </w:p>
    <w:p w14:paraId="4F1DE3AF"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Automatic Voltage Regulator (AVR Controller) – microcontroller-based, providing adaptive control for voltage phase and amplitude variations.</w:t>
      </w:r>
    </w:p>
    <w:p w14:paraId="48B48385"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Load Bank – a combination of resistive and inductive loads within the 0.5–2 kW range.</w:t>
      </w:r>
    </w:p>
    <w:p w14:paraId="50266214"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Monitoring System (SCADA/IoT) – collects real-time data on current, voltage, phase, and frequency.</w:t>
      </w:r>
    </w:p>
    <w:p w14:paraId="6B8D6E28"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The system was tested under nominal conditions of 220 V and 50 Hz. During experiments with rapidly varying solar irradiance (600–900 W/m²) and diesel generator frequency fluctuations (49–51 Hz), the following results were obtained:</w:t>
      </w:r>
    </w:p>
    <w:p w14:paraId="2BC7ED04" w14:textId="77777777" w:rsidR="00DC4948" w:rsidRPr="003B6E6D" w:rsidRDefault="00DC4948" w:rsidP="003B6E6D">
      <w:pPr>
        <w:spacing w:after="0" w:line="240" w:lineRule="auto"/>
        <w:ind w:firstLine="284"/>
        <w:jc w:val="both"/>
        <w:rPr>
          <w:rFonts w:ascii="Times New Roman" w:hAnsi="Times New Roman" w:cs="Times New Roman"/>
          <w:b/>
          <w:sz w:val="20"/>
          <w:lang w:val="uz-Cyrl-UZ"/>
        </w:rPr>
      </w:pPr>
    </w:p>
    <w:p w14:paraId="3B71E5BF" w14:textId="236995BE" w:rsidR="00DC4948" w:rsidRPr="003B6E6D" w:rsidRDefault="00DC4948" w:rsidP="003B6E6D">
      <w:pPr>
        <w:spacing w:after="0" w:line="240" w:lineRule="auto"/>
        <w:ind w:firstLine="284"/>
        <w:jc w:val="center"/>
        <w:rPr>
          <w:rFonts w:ascii="Times New Roman" w:hAnsi="Times New Roman" w:cs="Times New Roman"/>
          <w:sz w:val="20"/>
        </w:rPr>
      </w:pPr>
      <w:r w:rsidRPr="003B6E6D">
        <w:rPr>
          <w:rFonts w:ascii="Times New Roman" w:hAnsi="Times New Roman" w:cs="Times New Roman"/>
          <w:b/>
          <w:sz w:val="20"/>
          <w:lang w:val="uz-Cyrl-UZ"/>
        </w:rPr>
        <w:t>TABLE 2.</w:t>
      </w:r>
      <w:r w:rsidRPr="003B6E6D">
        <w:rPr>
          <w:rFonts w:ascii="Times New Roman" w:hAnsi="Times New Roman" w:cs="Times New Roman"/>
        </w:rPr>
        <w:t xml:space="preserve"> </w:t>
      </w:r>
      <w:r w:rsidRPr="003B6E6D">
        <w:rPr>
          <w:rFonts w:ascii="Times New Roman" w:hAnsi="Times New Roman" w:cs="Times New Roman"/>
          <w:sz w:val="20"/>
          <w:lang w:val="uz-Cyrl-UZ"/>
        </w:rPr>
        <w:t>Comparison of System Performance With and Without Controller</w:t>
      </w:r>
    </w:p>
    <w:tbl>
      <w:tblPr>
        <w:tblStyle w:val="a3"/>
        <w:tblW w:w="8930" w:type="dxa"/>
        <w:tblInd w:w="137" w:type="dxa"/>
        <w:tblLook w:val="04A0" w:firstRow="1" w:lastRow="0" w:firstColumn="1" w:lastColumn="0" w:noHBand="0" w:noVBand="1"/>
      </w:tblPr>
      <w:tblGrid>
        <w:gridCol w:w="3260"/>
        <w:gridCol w:w="1801"/>
        <w:gridCol w:w="1642"/>
        <w:gridCol w:w="2227"/>
      </w:tblGrid>
      <w:tr w:rsidR="00DC4948" w:rsidRPr="003B6E6D" w14:paraId="6C8EB1BF" w14:textId="77777777" w:rsidTr="00F9356E">
        <w:trPr>
          <w:trHeight w:val="261"/>
        </w:trPr>
        <w:tc>
          <w:tcPr>
            <w:tcW w:w="3260" w:type="dxa"/>
            <w:vAlign w:val="center"/>
          </w:tcPr>
          <w:p w14:paraId="1B879E64" w14:textId="77777777" w:rsidR="00DC4948" w:rsidRPr="003B6E6D" w:rsidRDefault="00DC4948" w:rsidP="003B6E6D">
            <w:pPr>
              <w:jc w:val="center"/>
              <w:rPr>
                <w:rFonts w:eastAsiaTheme="minorHAnsi"/>
                <w:bCs/>
                <w:szCs w:val="22"/>
                <w:lang w:val="uz-Cyrl-UZ" w:eastAsia="en-US"/>
              </w:rPr>
            </w:pPr>
            <w:r w:rsidRPr="003B6E6D">
              <w:rPr>
                <w:rFonts w:eastAsiaTheme="minorHAnsi"/>
                <w:b/>
                <w:szCs w:val="22"/>
                <w:lang w:val="uz-Cyrl-UZ" w:eastAsia="en-US"/>
              </w:rPr>
              <w:t>Parameter</w:t>
            </w:r>
          </w:p>
        </w:tc>
        <w:tc>
          <w:tcPr>
            <w:tcW w:w="1801" w:type="dxa"/>
            <w:vAlign w:val="center"/>
          </w:tcPr>
          <w:p w14:paraId="3CD4192D" w14:textId="77777777" w:rsidR="00DC4948" w:rsidRPr="003B6E6D" w:rsidRDefault="00DC4948" w:rsidP="003B6E6D">
            <w:pPr>
              <w:jc w:val="center"/>
              <w:rPr>
                <w:rFonts w:eastAsiaTheme="minorHAnsi"/>
                <w:bCs/>
                <w:szCs w:val="22"/>
                <w:lang w:val="uz-Cyrl-UZ" w:eastAsia="en-US"/>
              </w:rPr>
            </w:pPr>
            <w:r w:rsidRPr="003B6E6D">
              <w:rPr>
                <w:rFonts w:eastAsiaTheme="minorHAnsi"/>
                <w:b/>
                <w:szCs w:val="22"/>
                <w:lang w:val="uz-Cyrl-UZ" w:eastAsia="en-US"/>
              </w:rPr>
              <w:t>Without Controller</w:t>
            </w:r>
          </w:p>
        </w:tc>
        <w:tc>
          <w:tcPr>
            <w:tcW w:w="1642" w:type="dxa"/>
            <w:vAlign w:val="center"/>
          </w:tcPr>
          <w:p w14:paraId="2FD6ABB0" w14:textId="77777777" w:rsidR="00DC4948" w:rsidRPr="003B6E6D" w:rsidRDefault="00DC4948" w:rsidP="003B6E6D">
            <w:pPr>
              <w:jc w:val="center"/>
              <w:rPr>
                <w:rFonts w:eastAsiaTheme="minorHAnsi"/>
                <w:bCs/>
                <w:szCs w:val="22"/>
                <w:lang w:val="uz-Cyrl-UZ" w:eastAsia="en-US"/>
              </w:rPr>
            </w:pPr>
            <w:r w:rsidRPr="003B6E6D">
              <w:rPr>
                <w:rFonts w:eastAsiaTheme="minorHAnsi"/>
                <w:b/>
                <w:szCs w:val="22"/>
                <w:lang w:val="uz-Cyrl-UZ" w:eastAsia="en-US"/>
              </w:rPr>
              <w:t>With Controller</w:t>
            </w:r>
          </w:p>
        </w:tc>
        <w:tc>
          <w:tcPr>
            <w:tcW w:w="2227" w:type="dxa"/>
            <w:vAlign w:val="center"/>
          </w:tcPr>
          <w:p w14:paraId="59855EB2" w14:textId="77777777" w:rsidR="00DC4948" w:rsidRPr="003B6E6D" w:rsidRDefault="00DC4948" w:rsidP="003B6E6D">
            <w:pPr>
              <w:jc w:val="center"/>
              <w:rPr>
                <w:rFonts w:eastAsiaTheme="minorHAnsi"/>
                <w:bCs/>
                <w:szCs w:val="22"/>
                <w:lang w:val="uz-Cyrl-UZ" w:eastAsia="en-US"/>
              </w:rPr>
            </w:pPr>
            <w:r w:rsidRPr="003B6E6D">
              <w:rPr>
                <w:rFonts w:eastAsiaTheme="minorHAnsi"/>
                <w:b/>
                <w:szCs w:val="22"/>
                <w:lang w:val="uz-Cyrl-UZ" w:eastAsia="en-US"/>
              </w:rPr>
              <w:t>Difference (%)</w:t>
            </w:r>
          </w:p>
        </w:tc>
      </w:tr>
      <w:tr w:rsidR="00DC4948" w:rsidRPr="003B6E6D" w14:paraId="70C4AFE1" w14:textId="77777777" w:rsidTr="00F9356E">
        <w:trPr>
          <w:trHeight w:val="261"/>
        </w:trPr>
        <w:tc>
          <w:tcPr>
            <w:tcW w:w="3260" w:type="dxa"/>
          </w:tcPr>
          <w:p w14:paraId="3945D97C" w14:textId="77777777" w:rsidR="00DC4948" w:rsidRPr="003B6E6D" w:rsidRDefault="00DC4948" w:rsidP="003B6E6D">
            <w:pPr>
              <w:rPr>
                <w:rFonts w:eastAsiaTheme="minorHAnsi"/>
                <w:bCs/>
                <w:szCs w:val="22"/>
                <w:lang w:val="uz-Cyrl-UZ" w:eastAsia="en-US"/>
              </w:rPr>
            </w:pPr>
            <w:r w:rsidRPr="003B6E6D">
              <w:rPr>
                <w:rFonts w:eastAsiaTheme="minorHAnsi"/>
                <w:bCs/>
                <w:szCs w:val="22"/>
                <w:lang w:val="uz-Cyrl-UZ" w:eastAsia="en-US"/>
              </w:rPr>
              <w:t>Voltage fluctuation amplitude, V</w:t>
            </w:r>
          </w:p>
        </w:tc>
        <w:tc>
          <w:tcPr>
            <w:tcW w:w="1801" w:type="dxa"/>
          </w:tcPr>
          <w:p w14:paraId="47B52F81"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±18</w:t>
            </w:r>
          </w:p>
        </w:tc>
        <w:tc>
          <w:tcPr>
            <w:tcW w:w="1642" w:type="dxa"/>
          </w:tcPr>
          <w:p w14:paraId="0CEC5051"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±5</w:t>
            </w:r>
          </w:p>
        </w:tc>
        <w:tc>
          <w:tcPr>
            <w:tcW w:w="2227" w:type="dxa"/>
          </w:tcPr>
          <w:p w14:paraId="60D1EED8"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↓72%</w:t>
            </w:r>
          </w:p>
        </w:tc>
      </w:tr>
      <w:tr w:rsidR="00DC4948" w:rsidRPr="003B6E6D" w14:paraId="2FD52561" w14:textId="77777777" w:rsidTr="00F9356E">
        <w:trPr>
          <w:trHeight w:val="261"/>
        </w:trPr>
        <w:tc>
          <w:tcPr>
            <w:tcW w:w="3260" w:type="dxa"/>
          </w:tcPr>
          <w:p w14:paraId="449C3BA8" w14:textId="77777777" w:rsidR="00DC4948" w:rsidRPr="003B6E6D" w:rsidRDefault="00DC4948" w:rsidP="003B6E6D">
            <w:pPr>
              <w:rPr>
                <w:rFonts w:eastAsiaTheme="minorHAnsi"/>
                <w:bCs/>
                <w:szCs w:val="22"/>
                <w:lang w:val="uz-Cyrl-UZ" w:eastAsia="en-US"/>
              </w:rPr>
            </w:pPr>
            <w:r w:rsidRPr="003B6E6D">
              <w:rPr>
                <w:rFonts w:eastAsiaTheme="minorHAnsi"/>
                <w:bCs/>
                <w:szCs w:val="22"/>
                <w:lang w:val="uz-Cyrl-UZ" w:eastAsia="en-US"/>
              </w:rPr>
              <w:t>Phase error, °</w:t>
            </w:r>
          </w:p>
        </w:tc>
        <w:tc>
          <w:tcPr>
            <w:tcW w:w="1801" w:type="dxa"/>
          </w:tcPr>
          <w:p w14:paraId="38A96BAE"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4.2</w:t>
            </w:r>
          </w:p>
        </w:tc>
        <w:tc>
          <w:tcPr>
            <w:tcW w:w="1642" w:type="dxa"/>
          </w:tcPr>
          <w:p w14:paraId="5694CF45"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1.3</w:t>
            </w:r>
          </w:p>
        </w:tc>
        <w:tc>
          <w:tcPr>
            <w:tcW w:w="2227" w:type="dxa"/>
          </w:tcPr>
          <w:p w14:paraId="25E07AD6"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↓69%</w:t>
            </w:r>
          </w:p>
        </w:tc>
      </w:tr>
      <w:tr w:rsidR="00DC4948" w:rsidRPr="003B6E6D" w14:paraId="163EF92B" w14:textId="77777777" w:rsidTr="00F9356E">
        <w:trPr>
          <w:trHeight w:val="261"/>
        </w:trPr>
        <w:tc>
          <w:tcPr>
            <w:tcW w:w="3260" w:type="dxa"/>
          </w:tcPr>
          <w:p w14:paraId="1F07D893" w14:textId="77777777" w:rsidR="00DC4948" w:rsidRPr="003B6E6D" w:rsidRDefault="00DC4948" w:rsidP="003B6E6D">
            <w:pPr>
              <w:rPr>
                <w:rFonts w:eastAsiaTheme="minorHAnsi"/>
                <w:bCs/>
                <w:szCs w:val="22"/>
                <w:lang w:val="uz-Cyrl-UZ" w:eastAsia="en-US"/>
              </w:rPr>
            </w:pPr>
            <w:r w:rsidRPr="003B6E6D">
              <w:rPr>
                <w:rFonts w:eastAsiaTheme="minorHAnsi"/>
                <w:bCs/>
                <w:szCs w:val="22"/>
                <w:lang w:val="uz-Cyrl-UZ" w:eastAsia="en-US"/>
              </w:rPr>
              <w:t>THD (Total Harmonic Distortion), %</w:t>
            </w:r>
          </w:p>
        </w:tc>
        <w:tc>
          <w:tcPr>
            <w:tcW w:w="1801" w:type="dxa"/>
          </w:tcPr>
          <w:p w14:paraId="0B0C4D2E"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7.5</w:t>
            </w:r>
          </w:p>
        </w:tc>
        <w:tc>
          <w:tcPr>
            <w:tcW w:w="1642" w:type="dxa"/>
          </w:tcPr>
          <w:p w14:paraId="71F9A604"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2.1</w:t>
            </w:r>
          </w:p>
        </w:tc>
        <w:tc>
          <w:tcPr>
            <w:tcW w:w="2227" w:type="dxa"/>
          </w:tcPr>
          <w:p w14:paraId="1162CC29"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↓72%</w:t>
            </w:r>
          </w:p>
        </w:tc>
      </w:tr>
      <w:tr w:rsidR="00DC4948" w:rsidRPr="003B6E6D" w14:paraId="023CAEF8" w14:textId="77777777" w:rsidTr="00F9356E">
        <w:trPr>
          <w:trHeight w:val="261"/>
        </w:trPr>
        <w:tc>
          <w:tcPr>
            <w:tcW w:w="3260" w:type="dxa"/>
          </w:tcPr>
          <w:p w14:paraId="08E9A9E9" w14:textId="77777777" w:rsidR="00DC4948" w:rsidRPr="003B6E6D" w:rsidRDefault="00DC4948" w:rsidP="003B6E6D">
            <w:pPr>
              <w:rPr>
                <w:rFonts w:eastAsiaTheme="minorHAnsi"/>
                <w:bCs/>
                <w:szCs w:val="22"/>
                <w:lang w:val="uz-Cyrl-UZ" w:eastAsia="en-US"/>
              </w:rPr>
            </w:pPr>
            <w:r w:rsidRPr="003B6E6D">
              <w:rPr>
                <w:rFonts w:eastAsiaTheme="minorHAnsi"/>
                <w:bCs/>
                <w:szCs w:val="22"/>
                <w:lang w:val="uz-Cyrl-UZ" w:eastAsia="en-US"/>
              </w:rPr>
              <w:t>Response time, ms</w:t>
            </w:r>
          </w:p>
        </w:tc>
        <w:tc>
          <w:tcPr>
            <w:tcW w:w="1801" w:type="dxa"/>
          </w:tcPr>
          <w:p w14:paraId="07280778"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180</w:t>
            </w:r>
          </w:p>
        </w:tc>
        <w:tc>
          <w:tcPr>
            <w:tcW w:w="1642" w:type="dxa"/>
          </w:tcPr>
          <w:p w14:paraId="25B3466F"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65</w:t>
            </w:r>
          </w:p>
        </w:tc>
        <w:tc>
          <w:tcPr>
            <w:tcW w:w="2227" w:type="dxa"/>
          </w:tcPr>
          <w:p w14:paraId="69A1E0DF" w14:textId="77777777" w:rsidR="00DC4948" w:rsidRPr="003B6E6D" w:rsidRDefault="00DC4948" w:rsidP="003B6E6D">
            <w:pPr>
              <w:jc w:val="center"/>
              <w:rPr>
                <w:rFonts w:eastAsiaTheme="minorHAnsi"/>
                <w:bCs/>
                <w:szCs w:val="22"/>
                <w:lang w:val="uz-Cyrl-UZ" w:eastAsia="en-US"/>
              </w:rPr>
            </w:pPr>
            <w:r w:rsidRPr="003B6E6D">
              <w:rPr>
                <w:rFonts w:eastAsiaTheme="minorHAnsi"/>
                <w:bCs/>
                <w:szCs w:val="22"/>
                <w:lang w:val="uz-Cyrl-UZ" w:eastAsia="en-US"/>
              </w:rPr>
              <w:t>↓64%</w:t>
            </w:r>
          </w:p>
        </w:tc>
      </w:tr>
    </w:tbl>
    <w:p w14:paraId="6D111F68" w14:textId="77777777" w:rsidR="00A617AF" w:rsidRPr="003B6E6D" w:rsidRDefault="00A617AF" w:rsidP="003B6E6D">
      <w:pPr>
        <w:pStyle w:val="aa"/>
        <w:jc w:val="both"/>
        <w:rPr>
          <w:rFonts w:ascii="Times New Roman" w:hAnsi="Times New Roman" w:cs="Times New Roman"/>
          <w:bCs/>
          <w:sz w:val="20"/>
          <w:lang w:val="uz-Cyrl-UZ"/>
        </w:rPr>
      </w:pPr>
    </w:p>
    <w:p w14:paraId="44EEC548" w14:textId="64F7B39C"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The table provides a comparative analysis of the hybrid PV–Diesel power system with and without the automatic voltage regulator (AVR Controller). Four key performance indicators were evaluated: voltage fluctuation amplitude, phase error, total harmonic distortion (THD), and system response time. The results clearly demonstrate significant improvements gained through the implementation of the controller</w:t>
      </w:r>
      <w:r w:rsidR="000151CE">
        <w:rPr>
          <w:rFonts w:ascii="Times New Roman" w:hAnsi="Times New Roman" w:cs="Times New Roman"/>
          <w:bCs/>
          <w:sz w:val="20"/>
        </w:rPr>
        <w:t xml:space="preserve"> [27-56]</w:t>
      </w:r>
      <w:r w:rsidRPr="003B6E6D">
        <w:rPr>
          <w:rFonts w:ascii="Times New Roman" w:hAnsi="Times New Roman" w:cs="Times New Roman"/>
          <w:bCs/>
          <w:sz w:val="20"/>
          <w:lang w:val="uz-Cyrl-UZ"/>
        </w:rPr>
        <w:t>. Voltage Fluctuation Amplitude:The voltage ripple was reduced from ±18 V to ±5 V, corresponding to a 72% improvement. This indicates enhanced voltage stability under varying generation and load conditions. Phase Error:The phase error decreased from 4.2° to 1.3°, showing a 69% reduction. This reflects better synchronization of the inverter with the grid and lower risk of phase-related instability. THD (Total Harmonic Distortion):Harmonic distortion decreased from 7.5% to 2.1%, resulting in a 72% improvement. This confirms that the controller effectively suppresses higher-order harmonics and significantly enhances the quality of the output sinusoidal waveform.Response Time:The system response time improved from 180 ms to 65 ms, equivalent to a 64% reduction. This is crucial for hybrid systems where solar irradiance and load conditions may change rapidly.</w:t>
      </w:r>
    </w:p>
    <w:p w14:paraId="17132650" w14:textId="77777777" w:rsidR="00DC4948" w:rsidRPr="003B6E6D" w:rsidRDefault="00DC4948" w:rsidP="003B6E6D">
      <w:pPr>
        <w:pStyle w:val="aa"/>
        <w:ind w:firstLine="284"/>
        <w:jc w:val="both"/>
        <w:rPr>
          <w:rFonts w:ascii="Times New Roman" w:hAnsi="Times New Roman" w:cs="Times New Roman"/>
          <w:bCs/>
          <w:sz w:val="20"/>
          <w:lang w:val="uz-Cyrl-UZ"/>
        </w:rPr>
      </w:pPr>
      <w:r w:rsidRPr="003B6E6D">
        <w:rPr>
          <w:rFonts w:ascii="Times New Roman" w:hAnsi="Times New Roman" w:cs="Times New Roman"/>
          <w:bCs/>
          <w:sz w:val="20"/>
          <w:lang w:val="uz-Cyrl-UZ"/>
        </w:rPr>
        <w:t>After a comparative analysis with and without a regulator, the graph below shows the output voltage of the hybrid power plant inverter using filters and its effectiveness in smoothing the sine wave.</w:t>
      </w:r>
    </w:p>
    <w:p w14:paraId="54B185A8" w14:textId="77777777" w:rsidR="00DC4948" w:rsidRPr="003B6E6D" w:rsidRDefault="00DC4948" w:rsidP="003B6E6D">
      <w:pPr>
        <w:pStyle w:val="aa"/>
        <w:jc w:val="both"/>
        <w:rPr>
          <w:rFonts w:ascii="Times New Roman" w:eastAsia="Times New Roman" w:hAnsi="Times New Roman" w:cs="Times New Roman"/>
          <w:bCs/>
          <w:sz w:val="20"/>
          <w:szCs w:val="24"/>
          <w:lang w:eastAsia="ru-RU"/>
        </w:rPr>
      </w:pPr>
    </w:p>
    <w:p w14:paraId="66B414D6" w14:textId="77777777" w:rsidR="00434D64" w:rsidRPr="003B6E6D" w:rsidRDefault="00AE4B5C" w:rsidP="003B6E6D">
      <w:pPr>
        <w:pStyle w:val="aa"/>
        <w:jc w:val="center"/>
        <w:rPr>
          <w:rFonts w:ascii="Times New Roman" w:hAnsi="Times New Roman" w:cs="Times New Roman"/>
          <w:noProof/>
          <w:lang w:val="uz-Cyrl-UZ"/>
        </w:rPr>
      </w:pPr>
      <w:r w:rsidRPr="003B6E6D">
        <w:rPr>
          <w:rFonts w:ascii="Times New Roman" w:hAnsi="Times New Roman" w:cs="Times New Roman"/>
          <w:noProof/>
          <w:lang w:val="ru-RU" w:eastAsia="ru-RU"/>
        </w:rPr>
        <w:lastRenderedPageBreak/>
        <w:drawing>
          <wp:inline distT="0" distB="0" distL="0" distR="0" wp14:anchorId="5CD74714" wp14:editId="49CEBFD4">
            <wp:extent cx="5591175" cy="1633732"/>
            <wp:effectExtent l="0" t="0" r="0" b="5080"/>
            <wp:docPr id="42" name="Picture 2">
              <a:extLst xmlns:a="http://schemas.openxmlformats.org/drawingml/2006/main">
                <a:ext uri="{FF2B5EF4-FFF2-40B4-BE49-F238E27FC236}">
                  <a16:creationId xmlns:a16="http://schemas.microsoft.com/office/drawing/2014/main" id="{8991CC55-BA33-4446-B326-0FF0542786CF}"/>
                </a:ext>
              </a:extLst>
            </wp:docPr>
            <wp:cNvGraphicFramePr/>
            <a:graphic xmlns:a="http://schemas.openxmlformats.org/drawingml/2006/main">
              <a:graphicData uri="http://schemas.openxmlformats.org/drawingml/2006/picture">
                <pic:pic xmlns:pic="http://schemas.openxmlformats.org/drawingml/2006/picture">
                  <pic:nvPicPr>
                    <pic:cNvPr id="18" name="Picture 2">
                      <a:extLst>
                        <a:ext uri="{FF2B5EF4-FFF2-40B4-BE49-F238E27FC236}">
                          <a16:creationId xmlns:a16="http://schemas.microsoft.com/office/drawing/2014/main" id="{8991CC55-BA33-4446-B326-0FF0542786CF}"/>
                        </a:ext>
                      </a:extLst>
                    </pic:cNvPr>
                    <pic:cNvPicPr/>
                  </pic:nvPicPr>
                  <pic:blipFill>
                    <a:blip r:embed="rId8" cstate="print">
                      <a:lum bright="-20000" contrast="40000"/>
                      <a:extLst>
                        <a:ext uri="{28A0092B-C50C-407E-A947-70E740481C1C}">
                          <a14:useLocalDpi xmlns:a14="http://schemas.microsoft.com/office/drawing/2010/main" val="0"/>
                        </a:ext>
                      </a:extLst>
                    </a:blip>
                    <a:srcRect/>
                    <a:stretch>
                      <a:fillRect/>
                    </a:stretch>
                  </pic:blipFill>
                  <pic:spPr bwMode="auto">
                    <a:xfrm>
                      <a:off x="0" y="0"/>
                      <a:ext cx="5591175" cy="1633732"/>
                    </a:xfrm>
                    <a:prstGeom prst="rect">
                      <a:avLst/>
                    </a:prstGeom>
                    <a:noFill/>
                    <a:ln>
                      <a:noFill/>
                    </a:ln>
                  </pic:spPr>
                </pic:pic>
              </a:graphicData>
            </a:graphic>
          </wp:inline>
        </w:drawing>
      </w:r>
    </w:p>
    <w:p w14:paraId="2590478F" w14:textId="5D370543" w:rsidR="00AE4B5C" w:rsidRPr="003B6E6D" w:rsidRDefault="00AA2AF7" w:rsidP="003B6E6D">
      <w:pPr>
        <w:pStyle w:val="aa"/>
        <w:jc w:val="center"/>
        <w:rPr>
          <w:rFonts w:ascii="Times New Roman" w:hAnsi="Times New Roman" w:cs="Times New Roman"/>
          <w:bCs/>
          <w:sz w:val="20"/>
        </w:rPr>
      </w:pPr>
      <w:r>
        <w:rPr>
          <w:rFonts w:ascii="Times New Roman" w:hAnsi="Times New Roman" w:cs="Times New Roman"/>
          <w:b/>
          <w:bCs/>
          <w:sz w:val="20"/>
        </w:rPr>
        <w:t>FIGURE</w:t>
      </w:r>
      <w:r w:rsidR="00AE4B5C" w:rsidRPr="003B6E6D">
        <w:rPr>
          <w:rFonts w:ascii="Times New Roman" w:hAnsi="Times New Roman" w:cs="Times New Roman"/>
          <w:b/>
          <w:bCs/>
          <w:sz w:val="20"/>
        </w:rPr>
        <w:t xml:space="preserve"> </w:t>
      </w:r>
      <w:r w:rsidR="00694438" w:rsidRPr="003B6E6D">
        <w:rPr>
          <w:rFonts w:ascii="Times New Roman" w:hAnsi="Times New Roman" w:cs="Times New Roman"/>
          <w:b/>
          <w:bCs/>
          <w:sz w:val="20"/>
          <w:lang w:val="uz-Cyrl-UZ"/>
        </w:rPr>
        <w:t>4</w:t>
      </w:r>
      <w:r w:rsidR="00AE4B5C" w:rsidRPr="003B6E6D">
        <w:rPr>
          <w:rFonts w:ascii="Times New Roman" w:hAnsi="Times New Roman" w:cs="Times New Roman"/>
          <w:b/>
          <w:bCs/>
          <w:sz w:val="20"/>
        </w:rPr>
        <w:t xml:space="preserve">. </w:t>
      </w:r>
      <w:r w:rsidR="00AE4B5C" w:rsidRPr="003B6E6D">
        <w:rPr>
          <w:rFonts w:ascii="Times New Roman" w:hAnsi="Times New Roman" w:cs="Times New Roman"/>
          <w:bCs/>
          <w:sz w:val="20"/>
        </w:rPr>
        <w:t>The variation of electrical energy in the three phases output from the solar power plant inverter is smoothed using an LC filter.</w:t>
      </w:r>
    </w:p>
    <w:p w14:paraId="2B160F6B" w14:textId="77777777" w:rsidR="00AE4B5C" w:rsidRPr="003B6E6D" w:rsidRDefault="00AE4B5C" w:rsidP="003B6E6D">
      <w:pPr>
        <w:pStyle w:val="aa"/>
        <w:jc w:val="center"/>
        <w:rPr>
          <w:rFonts w:ascii="Times New Roman" w:hAnsi="Times New Roman" w:cs="Times New Roman"/>
          <w:noProof/>
          <w:lang w:val="uz-Cyrl-UZ"/>
        </w:rPr>
      </w:pPr>
    </w:p>
    <w:p w14:paraId="0A5DD266" w14:textId="77777777" w:rsidR="00AE4B5C" w:rsidRPr="003B6E6D" w:rsidRDefault="00AE4B5C" w:rsidP="003B6E6D">
      <w:pPr>
        <w:pStyle w:val="aa"/>
        <w:jc w:val="center"/>
        <w:rPr>
          <w:rFonts w:ascii="Times New Roman" w:hAnsi="Times New Roman" w:cs="Times New Roman"/>
          <w:noProof/>
          <w:lang w:val="uz-Cyrl-UZ"/>
        </w:rPr>
      </w:pPr>
      <w:r w:rsidRPr="003B6E6D">
        <w:rPr>
          <w:rFonts w:ascii="Times New Roman" w:hAnsi="Times New Roman" w:cs="Times New Roman"/>
          <w:noProof/>
          <w:lang w:val="ru-RU" w:eastAsia="ru-RU"/>
        </w:rPr>
        <w:drawing>
          <wp:inline distT="0" distB="0" distL="0" distR="0" wp14:anchorId="1BA201A2" wp14:editId="3125609F">
            <wp:extent cx="5500169" cy="1571417"/>
            <wp:effectExtent l="0" t="0" r="5715" b="0"/>
            <wp:docPr id="20" name="Рисунок 19">
              <a:extLst xmlns:a="http://schemas.openxmlformats.org/drawingml/2006/main">
                <a:ext uri="{FF2B5EF4-FFF2-40B4-BE49-F238E27FC236}">
                  <a16:creationId xmlns:a16="http://schemas.microsoft.com/office/drawing/2014/main" id="{9C575153-1D8E-4CB7-8652-8D91379AB481}"/>
                </a:ext>
              </a:extLst>
            </wp:docPr>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9C575153-1D8E-4CB7-8652-8D91379AB481}"/>
                        </a:ext>
                      </a:extLst>
                    </pic:cNvPr>
                    <pic:cNvPicPr/>
                  </pic:nvPicPr>
                  <pic:blipFill rotWithShape="1">
                    <a:blip r:embed="rId9"/>
                    <a:srcRect b="50622"/>
                    <a:stretch/>
                  </pic:blipFill>
                  <pic:spPr bwMode="auto">
                    <a:xfrm>
                      <a:off x="0" y="0"/>
                      <a:ext cx="5500169" cy="1571417"/>
                    </a:xfrm>
                    <a:prstGeom prst="rect">
                      <a:avLst/>
                    </a:prstGeom>
                    <a:ln>
                      <a:noFill/>
                    </a:ln>
                    <a:extLst>
                      <a:ext uri="{53640926-AAD7-44D8-BBD7-CCE9431645EC}">
                        <a14:shadowObscured xmlns:a14="http://schemas.microsoft.com/office/drawing/2010/main"/>
                      </a:ext>
                    </a:extLst>
                  </pic:spPr>
                </pic:pic>
              </a:graphicData>
            </a:graphic>
          </wp:inline>
        </w:drawing>
      </w:r>
    </w:p>
    <w:p w14:paraId="4C5D506C" w14:textId="77777777" w:rsidR="00684D42" w:rsidRPr="003B6E6D" w:rsidRDefault="00684D42" w:rsidP="003B6E6D">
      <w:pPr>
        <w:pStyle w:val="aa"/>
        <w:jc w:val="both"/>
        <w:rPr>
          <w:rFonts w:ascii="Times New Roman" w:hAnsi="Times New Roman" w:cs="Times New Roman"/>
          <w:b/>
          <w:bCs/>
          <w:sz w:val="20"/>
          <w:lang w:val="uz-Cyrl-UZ"/>
        </w:rPr>
      </w:pPr>
    </w:p>
    <w:p w14:paraId="32E31002" w14:textId="048D4798" w:rsidR="00684D42" w:rsidRPr="003B6E6D" w:rsidRDefault="00AA2AF7" w:rsidP="003B6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8"/>
          <w:szCs w:val="18"/>
          <w:lang w:val="uz-Cyrl-UZ" w:eastAsia="de-DE"/>
        </w:rPr>
      </w:pPr>
      <w:r>
        <w:rPr>
          <w:rFonts w:ascii="Times New Roman" w:hAnsi="Times New Roman" w:cs="Times New Roman"/>
          <w:b/>
          <w:sz w:val="18"/>
          <w:szCs w:val="18"/>
          <w:lang w:val="uz-Cyrl-UZ" w:eastAsia="de-DE"/>
        </w:rPr>
        <w:t>F</w:t>
      </w:r>
      <w:r>
        <w:rPr>
          <w:rFonts w:ascii="Times New Roman" w:hAnsi="Times New Roman" w:cs="Times New Roman"/>
          <w:b/>
          <w:sz w:val="18"/>
          <w:szCs w:val="18"/>
          <w:lang w:val="uz-Latn-UZ" w:eastAsia="de-DE"/>
        </w:rPr>
        <w:t>IGURE</w:t>
      </w:r>
      <w:r w:rsidR="00AE4B5C" w:rsidRPr="003B6E6D">
        <w:rPr>
          <w:rFonts w:ascii="Times New Roman" w:hAnsi="Times New Roman" w:cs="Times New Roman"/>
          <w:b/>
          <w:sz w:val="18"/>
          <w:szCs w:val="18"/>
          <w:lang w:val="uz-Cyrl-UZ" w:eastAsia="de-DE"/>
        </w:rPr>
        <w:t xml:space="preserve"> </w:t>
      </w:r>
      <w:r w:rsidR="00694438" w:rsidRPr="003B6E6D">
        <w:rPr>
          <w:rFonts w:ascii="Times New Roman" w:hAnsi="Times New Roman" w:cs="Times New Roman"/>
          <w:b/>
          <w:sz w:val="18"/>
          <w:szCs w:val="18"/>
          <w:lang w:val="uz-Cyrl-UZ" w:eastAsia="de-DE"/>
        </w:rPr>
        <w:t>5</w:t>
      </w:r>
      <w:r w:rsidR="00AE4B5C" w:rsidRPr="003B6E6D">
        <w:rPr>
          <w:rFonts w:ascii="Times New Roman" w:hAnsi="Times New Roman" w:cs="Times New Roman"/>
          <w:b/>
          <w:sz w:val="18"/>
          <w:szCs w:val="18"/>
          <w:lang w:val="uz-Cyrl-UZ" w:eastAsia="de-DE"/>
        </w:rPr>
        <w:t>.</w:t>
      </w:r>
      <w:r w:rsidR="00AE4B5C" w:rsidRPr="003B6E6D">
        <w:rPr>
          <w:rFonts w:ascii="Times New Roman" w:hAnsi="Times New Roman" w:cs="Times New Roman"/>
          <w:bCs/>
          <w:sz w:val="18"/>
          <w:szCs w:val="18"/>
        </w:rPr>
        <w:t xml:space="preserve"> The variation of electrical energy in a single phase at the output of the solar power plant inverter is smoothed using an LC filter.</w:t>
      </w:r>
    </w:p>
    <w:p w14:paraId="06BC9D0A" w14:textId="77777777" w:rsidR="003B6E6D" w:rsidRDefault="003B6E6D" w:rsidP="003B6E6D">
      <w:pPr>
        <w:pStyle w:val="aa"/>
        <w:ind w:firstLine="284"/>
        <w:jc w:val="both"/>
        <w:rPr>
          <w:rFonts w:ascii="Times New Roman" w:hAnsi="Times New Roman" w:cs="Times New Roman"/>
          <w:bCs/>
          <w:sz w:val="20"/>
        </w:rPr>
      </w:pPr>
    </w:p>
    <w:p w14:paraId="4BE9EF39" w14:textId="24A27058" w:rsidR="00684D42" w:rsidRPr="003B6E6D" w:rsidRDefault="00AE4B5C" w:rsidP="003B6E6D">
      <w:pPr>
        <w:pStyle w:val="aa"/>
        <w:ind w:firstLine="284"/>
        <w:jc w:val="both"/>
        <w:rPr>
          <w:rFonts w:ascii="Times New Roman" w:hAnsi="Times New Roman" w:cs="Times New Roman"/>
          <w:bCs/>
          <w:sz w:val="20"/>
        </w:rPr>
      </w:pPr>
      <w:r w:rsidRPr="003B6E6D">
        <w:rPr>
          <w:rFonts w:ascii="Times New Roman" w:hAnsi="Times New Roman" w:cs="Times New Roman"/>
          <w:bCs/>
          <w:sz w:val="20"/>
        </w:rPr>
        <w:t>The study of generating and synchronizing the sinusoidal output voltage of solar power plant inverters is a highly relevant scientific and technical task aimed at improving power quality, operational stability, and the overall efficiency of solar power plants. The development of new filtering and control algorithms that comply with IEEE and IEC international standards is crucial for integrating solar power plants into modern smart grids and ensuring the reliable operation of distributed generation.</w:t>
      </w:r>
    </w:p>
    <w:p w14:paraId="688B3705" w14:textId="77777777" w:rsidR="008B791C" w:rsidRPr="00287E0A" w:rsidRDefault="008B791C" w:rsidP="008B791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FCAA870" w14:textId="2C64424D" w:rsidR="00AE4B5C" w:rsidRPr="00AE4B5C" w:rsidRDefault="00AE4B5C" w:rsidP="00F9356E">
      <w:pPr>
        <w:pStyle w:val="aa"/>
        <w:ind w:firstLine="284"/>
        <w:jc w:val="both"/>
        <w:rPr>
          <w:rFonts w:ascii="Times New Roman" w:hAnsi="Times New Roman" w:cs="Times New Roman"/>
          <w:bCs/>
          <w:sz w:val="20"/>
        </w:rPr>
      </w:pPr>
      <w:r w:rsidRPr="00AE4B5C">
        <w:rPr>
          <w:rFonts w:ascii="Times New Roman" w:hAnsi="Times New Roman" w:cs="Times New Roman"/>
          <w:bCs/>
          <w:sz w:val="20"/>
        </w:rPr>
        <w:t>This research demonstrates that improving the sinusoidal quality and synchronization accuracy of inverter output voltage is essential for enhancing the stability, efficiency, and power quality of solar power plants. The analysis of inverter operation revealed that high-frequency harmonic distortions, phase mismatch, and voltage fluctuations significantly reduce system performance and negatively affect the reliability of grid-connected equipment.</w:t>
      </w:r>
      <w:r>
        <w:rPr>
          <w:rFonts w:ascii="Times New Roman" w:hAnsi="Times New Roman" w:cs="Times New Roman"/>
          <w:bCs/>
          <w:sz w:val="20"/>
          <w:lang w:val="uz-Cyrl-UZ"/>
        </w:rPr>
        <w:t xml:space="preserve"> </w:t>
      </w:r>
      <w:r w:rsidRPr="00AE4B5C">
        <w:rPr>
          <w:rFonts w:ascii="Times New Roman" w:hAnsi="Times New Roman" w:cs="Times New Roman"/>
          <w:bCs/>
          <w:sz w:val="20"/>
        </w:rPr>
        <w:t>The study shows that the application of advanced filtering structures, particularly LC and LCL filters, effectively suppresses switching harmonics and reduces the Total Harmonic Distortion (THD) to values that comply with IEEE and IEC standards. Furthermore, the implementation of enhanced inverter control algorithms—such as adaptive PWM modulation, phase-locked loop (PLL) synchronization, and active damping—leads to improved dynamic response, reduced reactive power flow, and greater overall operational stability.</w:t>
      </w:r>
      <w:r w:rsidR="00F9356E">
        <w:rPr>
          <w:rFonts w:ascii="Times New Roman" w:hAnsi="Times New Roman" w:cs="Times New Roman"/>
          <w:bCs/>
          <w:sz w:val="20"/>
        </w:rPr>
        <w:t xml:space="preserve"> </w:t>
      </w:r>
      <w:r w:rsidRPr="00AE4B5C">
        <w:rPr>
          <w:rFonts w:ascii="Times New Roman" w:hAnsi="Times New Roman" w:cs="Times New Roman"/>
          <w:bCs/>
          <w:sz w:val="20"/>
        </w:rPr>
        <w:t>Integrating supercapacitors and batteries into the hybrid solar–diesel system further contributes to transient stability, compensates for load variations, and smooths the power output under fluctuating environmental conditions. The developed control strategy provides flexible power management, ensuring optimal coordination between renewable sources, diesel generation, and energy-storage units.</w:t>
      </w:r>
    </w:p>
    <w:p w14:paraId="5CACA08F" w14:textId="77777777" w:rsidR="00FA713F" w:rsidRDefault="00AE4B5C" w:rsidP="00F9356E">
      <w:pPr>
        <w:pStyle w:val="aa"/>
        <w:ind w:firstLine="284"/>
        <w:jc w:val="both"/>
        <w:rPr>
          <w:rFonts w:ascii="Times New Roman" w:hAnsi="Times New Roman" w:cs="Times New Roman"/>
          <w:bCs/>
          <w:sz w:val="20"/>
        </w:rPr>
      </w:pPr>
      <w:r w:rsidRPr="00AE4B5C">
        <w:rPr>
          <w:rFonts w:ascii="Times New Roman" w:hAnsi="Times New Roman" w:cs="Times New Roman"/>
          <w:bCs/>
          <w:sz w:val="20"/>
        </w:rPr>
        <w:t>Overall, the proposed technological and algorithmic improvements serve as a foundation for the reliable operation of modern hybrid power plants and their seamless integration into smart grid infrastructures. The results of this work can be applied to the design, modeling, and optimization of next-generation photovoltaic and hybrid energy systems.</w:t>
      </w:r>
    </w:p>
    <w:p w14:paraId="65987FEA" w14:textId="77777777" w:rsidR="00AE4B5C" w:rsidRDefault="00AE4B5C" w:rsidP="00AE4B5C">
      <w:pPr>
        <w:pStyle w:val="aa"/>
        <w:jc w:val="both"/>
        <w:rPr>
          <w:rFonts w:ascii="Times New Roman" w:hAnsi="Times New Roman" w:cs="Times New Roman"/>
          <w:bCs/>
          <w:sz w:val="20"/>
        </w:rPr>
      </w:pPr>
    </w:p>
    <w:p w14:paraId="562C48B2" w14:textId="77777777" w:rsidR="00F9356E" w:rsidRDefault="00F9356E" w:rsidP="00AE4B5C">
      <w:pPr>
        <w:pStyle w:val="aa"/>
        <w:jc w:val="both"/>
        <w:rPr>
          <w:rFonts w:ascii="Times New Roman" w:hAnsi="Times New Roman" w:cs="Times New Roman"/>
          <w:bCs/>
          <w:sz w:val="20"/>
        </w:rPr>
      </w:pPr>
    </w:p>
    <w:p w14:paraId="2670186A" w14:textId="13F0F0C5" w:rsidR="00AE4B5C" w:rsidRPr="00F9356E" w:rsidRDefault="00F9356E" w:rsidP="00F9356E">
      <w:pPr>
        <w:ind w:left="426" w:firstLine="284"/>
        <w:jc w:val="center"/>
        <w:rPr>
          <w:rFonts w:ascii="Times New Roman" w:hAnsi="Times New Roman" w:cs="Times New Roman"/>
          <w:b/>
          <w:sz w:val="24"/>
          <w:szCs w:val="24"/>
        </w:rPr>
      </w:pPr>
      <w:r w:rsidRPr="00F9356E">
        <w:rPr>
          <w:rFonts w:ascii="Times New Roman" w:hAnsi="Times New Roman" w:cs="Times New Roman"/>
          <w:b/>
          <w:sz w:val="24"/>
          <w:szCs w:val="24"/>
        </w:rPr>
        <w:lastRenderedPageBreak/>
        <w:t>REFERENCES</w:t>
      </w:r>
    </w:p>
    <w:p w14:paraId="0CB7F3D7" w14:textId="4B6C0A9D"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F.A. Xoshimov, K.SH.Kadirov, A.P.Kushev, X.U.Yusupaliyeva, Technological process and laws of change of energy consumption parameters of spinning enterprises, E3S Web of Conferences </w:t>
      </w:r>
      <w:r w:rsidRPr="003B6E6D">
        <w:rPr>
          <w:b/>
          <w:sz w:val="20"/>
          <w:szCs w:val="20"/>
          <w:lang w:val="en-US"/>
        </w:rPr>
        <w:t>497,</w:t>
      </w:r>
      <w:r w:rsidRPr="003B6E6D">
        <w:rPr>
          <w:sz w:val="20"/>
          <w:szCs w:val="20"/>
          <w:lang w:val="en-US"/>
        </w:rPr>
        <w:t xml:space="preserve"> 01013 (2024) ICECAE 2024 </w:t>
      </w:r>
      <w:hyperlink r:id="rId10" w:history="1">
        <w:r w:rsidRPr="003B6E6D">
          <w:rPr>
            <w:rStyle w:val="a6"/>
            <w:sz w:val="20"/>
            <w:szCs w:val="20"/>
            <w:lang w:val="en-US"/>
          </w:rPr>
          <w:t>https://doi.org/10.1051/e3sconf/202449701013</w:t>
        </w:r>
      </w:hyperlink>
      <w:r w:rsidRPr="003B6E6D">
        <w:rPr>
          <w:sz w:val="20"/>
          <w:szCs w:val="20"/>
          <w:lang w:val="en-US"/>
        </w:rPr>
        <w:t xml:space="preserve"> </w:t>
      </w:r>
    </w:p>
    <w:p w14:paraId="0812356F"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 Muradov, K.SH. Kadirov, APKushev, KHUYusupaliyeva, Increase efficiency at the expense of changing the working mode using time-differentiated tariffs, E3S Web of Conferences </w:t>
      </w:r>
      <w:r w:rsidRPr="003B6E6D">
        <w:rPr>
          <w:b/>
          <w:sz w:val="20"/>
          <w:szCs w:val="20"/>
          <w:lang w:val="en-US"/>
        </w:rPr>
        <w:t>563</w:t>
      </w:r>
      <w:r w:rsidRPr="003B6E6D">
        <w:rPr>
          <w:sz w:val="20"/>
          <w:szCs w:val="20"/>
          <w:lang w:val="en-US"/>
        </w:rPr>
        <w:t xml:space="preserve">, 01011 (2024) ICESTE 2024 </w:t>
      </w:r>
      <w:hyperlink r:id="rId11" w:history="1">
        <w:r w:rsidRPr="003B6E6D">
          <w:rPr>
            <w:rStyle w:val="a6"/>
            <w:sz w:val="20"/>
            <w:szCs w:val="20"/>
            <w:lang w:val="en-US"/>
          </w:rPr>
          <w:t>https://doi.org/10.1051/e3sconf/202456301011</w:t>
        </w:r>
      </w:hyperlink>
      <w:r w:rsidRPr="003B6E6D">
        <w:rPr>
          <w:sz w:val="20"/>
          <w:szCs w:val="20"/>
          <w:lang w:val="en-US"/>
        </w:rPr>
        <w:t xml:space="preserve"> </w:t>
      </w:r>
    </w:p>
    <w:p w14:paraId="3D988AE3"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Kh.M.Muradov, K.SH.Kadirov, A.P.Kushev, Specification of the system application for the different tariffs during the consumption time of electricity by industrial enterprises, E3S Web of Conferences </w:t>
      </w:r>
      <w:r w:rsidRPr="003B6E6D">
        <w:rPr>
          <w:b/>
          <w:sz w:val="20"/>
          <w:szCs w:val="20"/>
          <w:lang w:val="en-US"/>
        </w:rPr>
        <w:t>304</w:t>
      </w:r>
      <w:r w:rsidRPr="003B6E6D">
        <w:rPr>
          <w:sz w:val="20"/>
          <w:szCs w:val="20"/>
          <w:lang w:val="en-US"/>
        </w:rPr>
        <w:t xml:space="preserve">, 01006 (2021) ICECAE 2021 </w:t>
      </w:r>
      <w:hyperlink r:id="rId12" w:history="1">
        <w:r w:rsidRPr="003B6E6D">
          <w:rPr>
            <w:rStyle w:val="a6"/>
            <w:sz w:val="20"/>
            <w:szCs w:val="20"/>
            <w:lang w:val="en-US"/>
          </w:rPr>
          <w:t>https://doi.org/10.1051/e3sconf/202130401006</w:t>
        </w:r>
      </w:hyperlink>
      <w:r w:rsidRPr="003B6E6D">
        <w:rPr>
          <w:sz w:val="20"/>
          <w:szCs w:val="20"/>
          <w:lang w:val="en-US"/>
        </w:rPr>
        <w:t xml:space="preserve">  </w:t>
      </w:r>
    </w:p>
    <w:p w14:paraId="2014FCB6"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Kh.M.Muradov, A.J.Isakov, K.SH.Kadirov, A.P.Kushev, Characteristics of application of different time rates for electricity consumed in industrial enterprises, E3S Web of Conferences </w:t>
      </w:r>
      <w:r w:rsidRPr="003B6E6D">
        <w:rPr>
          <w:b/>
          <w:sz w:val="20"/>
          <w:szCs w:val="20"/>
          <w:lang w:val="en-US"/>
        </w:rPr>
        <w:t>401,</w:t>
      </w:r>
      <w:r w:rsidRPr="003B6E6D">
        <w:rPr>
          <w:sz w:val="20"/>
          <w:szCs w:val="20"/>
          <w:lang w:val="en-US"/>
        </w:rPr>
        <w:t xml:space="preserve"> 05049 (2023) CONMECHYDRO – 2023 , </w:t>
      </w:r>
      <w:hyperlink r:id="rId13" w:history="1">
        <w:r w:rsidRPr="003B6E6D">
          <w:rPr>
            <w:rStyle w:val="a6"/>
            <w:sz w:val="20"/>
            <w:szCs w:val="20"/>
            <w:lang w:val="en-US"/>
          </w:rPr>
          <w:t>https://doi.org/10.1051/e3sconf/202340105049</w:t>
        </w:r>
      </w:hyperlink>
      <w:r w:rsidRPr="003B6E6D">
        <w:rPr>
          <w:sz w:val="20"/>
          <w:szCs w:val="20"/>
          <w:lang w:val="en-US"/>
        </w:rPr>
        <w:t xml:space="preserve">   </w:t>
      </w:r>
    </w:p>
    <w:p w14:paraId="602F8837"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Kh.M.Muradov, A.Isakov, K.SH.Kadirov, A.P.Kushev, Investments reduction on developing the generating capacity with differentiated electricity tariffs // E3S Web of Conferences </w:t>
      </w:r>
      <w:r w:rsidRPr="003B6E6D">
        <w:rPr>
          <w:b/>
          <w:sz w:val="20"/>
          <w:szCs w:val="20"/>
          <w:lang w:val="en-US"/>
        </w:rPr>
        <w:t>402,</w:t>
      </w:r>
      <w:r w:rsidRPr="003B6E6D">
        <w:rPr>
          <w:sz w:val="20"/>
          <w:szCs w:val="20"/>
          <w:lang w:val="en-US"/>
        </w:rPr>
        <w:t xml:space="preserve"> 05019 (2023) Trance Siberia 2023 , </w:t>
      </w:r>
      <w:hyperlink r:id="rId14" w:history="1">
        <w:r w:rsidRPr="003B6E6D">
          <w:rPr>
            <w:rStyle w:val="a6"/>
            <w:sz w:val="20"/>
            <w:szCs w:val="20"/>
            <w:lang w:val="en-US"/>
          </w:rPr>
          <w:t>https://doi.org/10.1051/e3sconf/202340205019</w:t>
        </w:r>
      </w:hyperlink>
      <w:r w:rsidRPr="003B6E6D">
        <w:rPr>
          <w:sz w:val="20"/>
          <w:szCs w:val="20"/>
          <w:lang w:val="en-US"/>
        </w:rPr>
        <w:t xml:space="preserve">   </w:t>
      </w:r>
    </w:p>
    <w:p w14:paraId="1A89855E"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Kh.M.Muradov, K.SH.Kadirov, A.Kushev, Possibilities of applying time-classified tariffs in "smoothing" the loading graph of the electric energy system, E3S Web of Conferences </w:t>
      </w:r>
      <w:r w:rsidRPr="003B6E6D">
        <w:rPr>
          <w:b/>
          <w:sz w:val="20"/>
          <w:szCs w:val="20"/>
          <w:lang w:val="en-US"/>
        </w:rPr>
        <w:t>434</w:t>
      </w:r>
      <w:r w:rsidRPr="003B6E6D">
        <w:rPr>
          <w:sz w:val="20"/>
          <w:szCs w:val="20"/>
          <w:lang w:val="en-US"/>
        </w:rPr>
        <w:t xml:space="preserve">, 01008 (2023 ICECAE 2023) </w:t>
      </w:r>
      <w:hyperlink r:id="rId15" w:history="1">
        <w:r w:rsidRPr="003B6E6D">
          <w:rPr>
            <w:rStyle w:val="a6"/>
            <w:sz w:val="20"/>
            <w:szCs w:val="20"/>
            <w:lang w:val="en-US"/>
          </w:rPr>
          <w:t>https://doi.org/10.1051/e3sconf/202343401008</w:t>
        </w:r>
      </w:hyperlink>
      <w:r w:rsidRPr="003B6E6D">
        <w:rPr>
          <w:sz w:val="20"/>
          <w:szCs w:val="20"/>
          <w:lang w:val="en-US"/>
        </w:rPr>
        <w:t xml:space="preserve">  </w:t>
      </w:r>
    </w:p>
    <w:p w14:paraId="28CE2364"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Kh.M.Muradov, K.SH.Kadirov, A.P.Kushev, Possibilities of managing electricity consumption through the application of time-classified tariffs, E3S Web of Conferences </w:t>
      </w:r>
      <w:r w:rsidRPr="003B6E6D">
        <w:rPr>
          <w:b/>
          <w:sz w:val="20"/>
          <w:szCs w:val="20"/>
          <w:lang w:val="en-US"/>
        </w:rPr>
        <w:t>434</w:t>
      </w:r>
      <w:r w:rsidRPr="003B6E6D">
        <w:rPr>
          <w:sz w:val="20"/>
          <w:szCs w:val="20"/>
          <w:lang w:val="en-US"/>
        </w:rPr>
        <w:t xml:space="preserve">, 01009 (2023) ICECAE 2023 </w:t>
      </w:r>
      <w:hyperlink r:id="rId16" w:history="1">
        <w:r w:rsidRPr="003B6E6D">
          <w:rPr>
            <w:rStyle w:val="a6"/>
            <w:sz w:val="20"/>
            <w:szCs w:val="20"/>
            <w:lang w:val="en-US"/>
          </w:rPr>
          <w:t>https://doi.org/10.1051/e3sconf/202343401009</w:t>
        </w:r>
      </w:hyperlink>
      <w:r w:rsidRPr="003B6E6D">
        <w:rPr>
          <w:sz w:val="20"/>
          <w:szCs w:val="20"/>
          <w:lang w:val="en-US"/>
        </w:rPr>
        <w:t xml:space="preserve">  </w:t>
      </w:r>
    </w:p>
    <w:p w14:paraId="07308EAB" w14:textId="77777777" w:rsidR="005C36C2" w:rsidRPr="003B6E6D" w:rsidRDefault="005C36C2" w:rsidP="00DE22F1">
      <w:pPr>
        <w:pStyle w:val="Reference"/>
        <w:numPr>
          <w:ilvl w:val="0"/>
          <w:numId w:val="12"/>
        </w:numPr>
        <w:tabs>
          <w:tab w:val="left" w:pos="284"/>
          <w:tab w:val="left" w:pos="567"/>
        </w:tabs>
        <w:spacing w:after="0"/>
        <w:ind w:left="0" w:firstLine="0"/>
        <w:rPr>
          <w:sz w:val="20"/>
          <w:szCs w:val="20"/>
          <w:lang w:val="en-US"/>
        </w:rPr>
      </w:pPr>
      <w:r w:rsidRPr="003B6E6D">
        <w:rPr>
          <w:sz w:val="20"/>
          <w:szCs w:val="20"/>
          <w:lang w:val="en-US"/>
        </w:rPr>
        <w:t xml:space="preserve">Kh.M.Muradov, A.J.Isakov, K.SH.Kadirov, A.P.Kushev, Applying different time enterprises rates for electricity consumption industrial and its impact on the energy system, E3S Web of Conferences </w:t>
      </w:r>
      <w:r w:rsidRPr="003B6E6D">
        <w:rPr>
          <w:b/>
          <w:sz w:val="20"/>
          <w:szCs w:val="20"/>
          <w:lang w:val="en-US"/>
        </w:rPr>
        <w:t>452</w:t>
      </w:r>
      <w:r w:rsidRPr="003B6E6D">
        <w:rPr>
          <w:sz w:val="20"/>
          <w:szCs w:val="20"/>
          <w:lang w:val="en-US"/>
        </w:rPr>
        <w:t xml:space="preserve">, 04004 (2023) IPFA 2023 </w:t>
      </w:r>
      <w:hyperlink r:id="rId17" w:history="1">
        <w:r w:rsidRPr="003B6E6D">
          <w:rPr>
            <w:rStyle w:val="a6"/>
            <w:sz w:val="20"/>
            <w:szCs w:val="20"/>
            <w:lang w:val="en-US"/>
          </w:rPr>
          <w:t>https://doi.org/10.1051/e3sconf/202345204004</w:t>
        </w:r>
      </w:hyperlink>
      <w:r w:rsidRPr="003B6E6D">
        <w:rPr>
          <w:sz w:val="20"/>
          <w:szCs w:val="20"/>
          <w:lang w:val="en-US"/>
        </w:rPr>
        <w:t xml:space="preserve">  </w:t>
      </w:r>
    </w:p>
    <w:p w14:paraId="6CDDF9B4" w14:textId="4CB8F59E"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Bhattacharyya, S. C. (2013). Rural electrification through decentralized off-grid systems in developing countries. Springer. </w:t>
      </w:r>
      <w:hyperlink r:id="rId18" w:history="1">
        <w:r w:rsidRPr="003B6E6D">
          <w:rPr>
            <w:rFonts w:ascii="Times New Roman" w:hAnsi="Times New Roman" w:cs="Times New Roman"/>
            <w:bCs/>
            <w:sz w:val="20"/>
            <w:szCs w:val="20"/>
          </w:rPr>
          <w:t>https://doi.org/10.1007/978-1-4471-5016-1</w:t>
        </w:r>
      </w:hyperlink>
      <w:r w:rsidR="00DE22F1" w:rsidRPr="003B6E6D">
        <w:rPr>
          <w:sz w:val="20"/>
          <w:szCs w:val="20"/>
        </w:rPr>
        <w:t xml:space="preserve">  </w:t>
      </w:r>
    </w:p>
    <w:p w14:paraId="1AC16874" w14:textId="093B35FA"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International Renewable Energy Agency (IRENA). (2015). Renewable power generation costs in 2014. International Renewable Energy Agency. Retrieved from </w:t>
      </w:r>
      <w:hyperlink r:id="rId19" w:history="1">
        <w:r w:rsidRPr="003B6E6D">
          <w:rPr>
            <w:rFonts w:ascii="Times New Roman" w:hAnsi="Times New Roman" w:cs="Times New Roman"/>
            <w:bCs/>
            <w:sz w:val="20"/>
            <w:szCs w:val="20"/>
          </w:rPr>
          <w:t>https://www.irena.org/publications</w:t>
        </w:r>
      </w:hyperlink>
      <w:r w:rsidRPr="003B6E6D">
        <w:rPr>
          <w:rFonts w:ascii="Times New Roman" w:hAnsi="Times New Roman" w:cs="Times New Roman"/>
          <w:bCs/>
          <w:sz w:val="20"/>
          <w:szCs w:val="20"/>
        </w:rPr>
        <w:t>.</w:t>
      </w:r>
    </w:p>
    <w:p w14:paraId="08D0D993" w14:textId="77777777"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Dursun, B., &amp; Alboyaci, B. (2010). Determination of the optimum hybrid renewable power generating systems for selected locations in Turkey. Renewable and Sustainable Energy Reviews, 14(5), 1402–1410. </w:t>
      </w:r>
      <w:hyperlink r:id="rId20" w:history="1">
        <w:r w:rsidRPr="003B6E6D">
          <w:rPr>
            <w:rFonts w:ascii="Times New Roman" w:hAnsi="Times New Roman" w:cs="Times New Roman"/>
            <w:bCs/>
            <w:sz w:val="20"/>
            <w:szCs w:val="20"/>
          </w:rPr>
          <w:t>https://doi.org/10.1016/j.rser.2009.11.006</w:t>
        </w:r>
      </w:hyperlink>
    </w:p>
    <w:p w14:paraId="4F378F0E" w14:textId="77777777"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Rehman, S., Bader, M. A., &amp; Al-Moallem, S. A. (2007). Cost of solar energy generated using PV panels. Renewable and Sustainable Energy Reviews, 11(8), 1843–1857. </w:t>
      </w:r>
      <w:hyperlink r:id="rId21" w:history="1">
        <w:r w:rsidRPr="003B6E6D">
          <w:rPr>
            <w:rFonts w:ascii="Times New Roman" w:hAnsi="Times New Roman" w:cs="Times New Roman"/>
            <w:bCs/>
            <w:sz w:val="20"/>
            <w:szCs w:val="20"/>
          </w:rPr>
          <w:t>https://doi.org/10.1016/j.rser.2006.03.005</w:t>
        </w:r>
      </w:hyperlink>
    </w:p>
    <w:p w14:paraId="2177DDD6" w14:textId="77777777"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Gupta, A., &amp; Saini, R. P. (2020). Modeling of hybrid energy system—Part I: Problem formulation and model development. Renewable Energy, 145, 297–311. </w:t>
      </w:r>
      <w:hyperlink r:id="rId22" w:history="1">
        <w:r w:rsidRPr="003B6E6D">
          <w:rPr>
            <w:rFonts w:ascii="Times New Roman" w:hAnsi="Times New Roman" w:cs="Times New Roman"/>
            <w:bCs/>
            <w:sz w:val="20"/>
            <w:szCs w:val="20"/>
          </w:rPr>
          <w:t>https://doi.org/10.1016/j.renene.2019.05.073</w:t>
        </w:r>
      </w:hyperlink>
    </w:p>
    <w:p w14:paraId="0E8614BD" w14:textId="28879FEE"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International Energy Agency (IEA). (2022). World Energy Outlook 2022. Retrieved from </w:t>
      </w:r>
      <w:hyperlink r:id="rId23" w:history="1">
        <w:r w:rsidRPr="003B6E6D">
          <w:rPr>
            <w:rFonts w:ascii="Times New Roman" w:hAnsi="Times New Roman" w:cs="Times New Roman"/>
            <w:bCs/>
            <w:sz w:val="20"/>
            <w:szCs w:val="20"/>
          </w:rPr>
          <w:t>https://www.iea.org/reports/world-energy-outlook-2022</w:t>
        </w:r>
      </w:hyperlink>
      <w:r w:rsidR="00DE22F1" w:rsidRPr="003B6E6D">
        <w:rPr>
          <w:sz w:val="20"/>
          <w:szCs w:val="20"/>
        </w:rPr>
        <w:t xml:space="preserve"> </w:t>
      </w:r>
    </w:p>
    <w:p w14:paraId="48D660C4" w14:textId="77777777"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Lahmeyer International. (2016). Hybrid power generation systems – A technology review. Deutsche Gesellschaft für Internationale Zusammenarbeit (GIZ) GmbH.</w:t>
      </w:r>
    </w:p>
    <w:p w14:paraId="634B0B54" w14:textId="167A6180" w:rsidR="005C36C2" w:rsidRPr="003B6E6D" w:rsidRDefault="005C36C2" w:rsidP="00DE22F1">
      <w:pPr>
        <w:numPr>
          <w:ilvl w:val="0"/>
          <w:numId w:val="12"/>
        </w:numPr>
        <w:tabs>
          <w:tab w:val="left" w:pos="284"/>
          <w:tab w:val="left" w:pos="709"/>
          <w:tab w:val="left" w:pos="851"/>
        </w:tabs>
        <w:spacing w:after="0" w:line="240" w:lineRule="auto"/>
        <w:ind w:left="0" w:firstLine="0"/>
        <w:jc w:val="both"/>
        <w:rPr>
          <w:rFonts w:ascii="Times New Roman" w:hAnsi="Times New Roman" w:cs="Times New Roman"/>
          <w:bCs/>
          <w:sz w:val="20"/>
          <w:szCs w:val="20"/>
        </w:rPr>
      </w:pPr>
      <w:r w:rsidRPr="003B6E6D">
        <w:rPr>
          <w:rFonts w:ascii="Times New Roman" w:hAnsi="Times New Roman" w:cs="Times New Roman"/>
          <w:bCs/>
          <w:sz w:val="20"/>
          <w:szCs w:val="20"/>
        </w:rPr>
        <w:t xml:space="preserve">Liserre, M., Timbus, A. V., &amp; Piegari, L. (2008). Power quality improvement in hybrid systems combining wind power and diesel generators. IEEE Transactions on Industrial Applications, 44(4), 1391–1399. </w:t>
      </w:r>
      <w:hyperlink r:id="rId24" w:history="1">
        <w:r w:rsidR="00DE22F1" w:rsidRPr="003B6E6D">
          <w:rPr>
            <w:rStyle w:val="a6"/>
            <w:rFonts w:ascii="Times New Roman" w:hAnsi="Times New Roman" w:cs="Times New Roman"/>
            <w:bCs/>
            <w:sz w:val="20"/>
            <w:szCs w:val="20"/>
          </w:rPr>
          <w:t>https://doi.org/10.1109/TIA.2008.924045</w:t>
        </w:r>
      </w:hyperlink>
    </w:p>
    <w:p w14:paraId="623DCC3D" w14:textId="77777777" w:rsidR="000445DB" w:rsidRPr="003B6E6D" w:rsidRDefault="000445DB" w:rsidP="000445DB">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B6E6D">
        <w:rPr>
          <w:rFonts w:ascii="Times New Roman" w:hAnsi="Times New Roman" w:cs="Times New Roman"/>
          <w:sz w:val="20"/>
          <w:szCs w:val="20"/>
        </w:rPr>
        <w:t xml:space="preserve">Olimov, J. S., Fayziyev, S. S., Raximov, F. M., Majidov, A. U., &amp; Muxammadov, B. Q. (2023). Controlling power of short circuited induction motor via modern sensors without speed change. In E3S Web of Conferences (Vol. 417, p. 03007). EDP Sciences. </w:t>
      </w:r>
      <w:hyperlink r:id="rId25" w:history="1">
        <w:r w:rsidRPr="003B6E6D">
          <w:rPr>
            <w:rStyle w:val="a6"/>
            <w:rFonts w:ascii="Times New Roman" w:hAnsi="Times New Roman" w:cs="Times New Roman"/>
            <w:sz w:val="20"/>
            <w:szCs w:val="20"/>
          </w:rPr>
          <w:t>https://doi.org/10.1051/e3sconf/202341703007</w:t>
        </w:r>
      </w:hyperlink>
    </w:p>
    <w:p w14:paraId="22E1BE3E" w14:textId="77777777" w:rsidR="000445DB" w:rsidRPr="003B6E6D" w:rsidRDefault="000445DB" w:rsidP="000445DB">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B6E6D">
        <w:rPr>
          <w:rFonts w:ascii="Times New Roman" w:hAnsi="Times New Roman" w:cs="Times New Roman"/>
          <w:sz w:val="20"/>
          <w:szCs w:val="20"/>
        </w:rPr>
        <w:t xml:space="preserve">Rakhimov, F., Rakhimov, F., Samiev, S., &amp; Abdukhalilov, D. (2024, June). Justification of technical and economic effectiveness of application of 20 kV voltage in overhead electric networks. In AIP Conference Proceedings (Vol. 3152, No. 1, p. 030023). AIP Publishing LLC. </w:t>
      </w:r>
      <w:hyperlink r:id="rId26" w:tgtFrame="_blank" w:history="1">
        <w:r w:rsidRPr="003B6E6D">
          <w:rPr>
            <w:rStyle w:val="a6"/>
            <w:rFonts w:ascii="Times New Roman" w:hAnsi="Times New Roman" w:cs="Times New Roman"/>
            <w:sz w:val="20"/>
            <w:szCs w:val="20"/>
          </w:rPr>
          <w:t>https://doi.org/10.1063/5.0218921</w:t>
        </w:r>
      </w:hyperlink>
    </w:p>
    <w:p w14:paraId="52138374" w14:textId="77777777" w:rsidR="000445DB" w:rsidRPr="003B6E6D" w:rsidRDefault="000445DB" w:rsidP="000445DB">
      <w:pPr>
        <w:numPr>
          <w:ilvl w:val="0"/>
          <w:numId w:val="12"/>
        </w:numPr>
        <w:tabs>
          <w:tab w:val="left" w:pos="284"/>
        </w:tabs>
        <w:spacing w:after="0" w:line="240" w:lineRule="auto"/>
        <w:ind w:left="0" w:firstLine="0"/>
        <w:contextualSpacing/>
        <w:jc w:val="both"/>
        <w:rPr>
          <w:rFonts w:ascii="Times New Roman" w:hAnsi="Times New Roman" w:cs="Times New Roman"/>
          <w:sz w:val="20"/>
          <w:szCs w:val="20"/>
        </w:rPr>
      </w:pPr>
      <w:r w:rsidRPr="003B6E6D">
        <w:rPr>
          <w:rFonts w:ascii="Times New Roman" w:eastAsia="Calibri" w:hAnsi="Times New Roman" w:cs="Times New Roman"/>
          <w:sz w:val="20"/>
          <w:szCs w:val="20"/>
        </w:rPr>
        <w:t>Karshibayev, A. I., &amp; Jumayev, Z. I. (2023). Expanding the level of forecasting and operational planning of electric consumption at mining enterprise. In </w:t>
      </w:r>
      <w:r w:rsidRPr="003B6E6D">
        <w:rPr>
          <w:rFonts w:ascii="Times New Roman" w:eastAsia="Calibri" w:hAnsi="Times New Roman" w:cs="Times New Roman"/>
          <w:i/>
          <w:iCs/>
          <w:sz w:val="20"/>
          <w:szCs w:val="20"/>
        </w:rPr>
        <w:t>E3S Web of Conferences</w:t>
      </w:r>
      <w:r w:rsidRPr="003B6E6D">
        <w:rPr>
          <w:rFonts w:ascii="Times New Roman" w:eastAsia="Calibri" w:hAnsi="Times New Roman" w:cs="Times New Roman"/>
          <w:sz w:val="20"/>
          <w:szCs w:val="20"/>
        </w:rPr>
        <w:t xml:space="preserve"> (Vol. 417, p. 03015). EDP Sciences. </w:t>
      </w:r>
      <w:hyperlink r:id="rId27" w:history="1">
        <w:r w:rsidRPr="003B6E6D">
          <w:rPr>
            <w:rStyle w:val="a6"/>
            <w:rFonts w:ascii="Times New Roman" w:eastAsia="Calibri" w:hAnsi="Times New Roman" w:cs="Times New Roman"/>
            <w:sz w:val="20"/>
            <w:szCs w:val="20"/>
          </w:rPr>
          <w:t>https://doi.org/10.1051/e3sconf/202341703015</w:t>
        </w:r>
      </w:hyperlink>
      <w:r w:rsidRPr="003B6E6D">
        <w:rPr>
          <w:rFonts w:ascii="Times New Roman" w:eastAsia="Calibri" w:hAnsi="Times New Roman" w:cs="Times New Roman"/>
          <w:sz w:val="20"/>
          <w:szCs w:val="20"/>
        </w:rPr>
        <w:t xml:space="preserve"> </w:t>
      </w:r>
    </w:p>
    <w:p w14:paraId="70DC10CE" w14:textId="77777777" w:rsidR="000445DB" w:rsidRPr="003B6E6D" w:rsidRDefault="000445DB" w:rsidP="000445DB">
      <w:pPr>
        <w:numPr>
          <w:ilvl w:val="0"/>
          <w:numId w:val="12"/>
        </w:numPr>
        <w:tabs>
          <w:tab w:val="left" w:pos="284"/>
        </w:tabs>
        <w:spacing w:after="0" w:line="240" w:lineRule="auto"/>
        <w:ind w:left="0" w:firstLine="0"/>
        <w:contextualSpacing/>
        <w:jc w:val="both"/>
        <w:rPr>
          <w:rFonts w:ascii="Times New Roman" w:eastAsia="Calibri" w:hAnsi="Times New Roman" w:cs="Times New Roman"/>
          <w:sz w:val="20"/>
          <w:szCs w:val="20"/>
        </w:rPr>
      </w:pPr>
      <w:r w:rsidRPr="003B6E6D">
        <w:rPr>
          <w:rFonts w:ascii="Times New Roman" w:eastAsia="Calibri" w:hAnsi="Times New Roman" w:cs="Times New Roman"/>
          <w:sz w:val="20"/>
          <w:szCs w:val="20"/>
        </w:rPr>
        <w:lastRenderedPageBreak/>
        <w:t>Rakhimov, F. (2024). Study of reliability indicators of cable lines in rural areas. In </w:t>
      </w:r>
      <w:r w:rsidRPr="003B6E6D">
        <w:rPr>
          <w:rFonts w:ascii="Times New Roman" w:eastAsia="Calibri" w:hAnsi="Times New Roman" w:cs="Times New Roman"/>
          <w:i/>
          <w:iCs/>
          <w:sz w:val="20"/>
          <w:szCs w:val="20"/>
        </w:rPr>
        <w:t>E3S Web of Conferences</w:t>
      </w:r>
      <w:r w:rsidRPr="003B6E6D">
        <w:rPr>
          <w:rFonts w:ascii="Times New Roman" w:eastAsia="Calibri" w:hAnsi="Times New Roman" w:cs="Times New Roman"/>
          <w:sz w:val="20"/>
          <w:szCs w:val="20"/>
        </w:rPr>
        <w:t xml:space="preserve"> (Vol. 525, p. 03014). EDP Sciences. </w:t>
      </w:r>
      <w:hyperlink r:id="rId28" w:history="1">
        <w:r w:rsidRPr="003B6E6D">
          <w:rPr>
            <w:rStyle w:val="a6"/>
            <w:rFonts w:ascii="Times New Roman" w:eastAsia="Calibri" w:hAnsi="Times New Roman" w:cs="Times New Roman"/>
            <w:sz w:val="20"/>
            <w:szCs w:val="20"/>
          </w:rPr>
          <w:t>https://doi.org/10.1051/e3sconf/202452503014</w:t>
        </w:r>
      </w:hyperlink>
      <w:r w:rsidRPr="003B6E6D">
        <w:rPr>
          <w:rFonts w:ascii="Times New Roman" w:eastAsia="Calibri" w:hAnsi="Times New Roman" w:cs="Times New Roman"/>
          <w:sz w:val="20"/>
          <w:szCs w:val="20"/>
        </w:rPr>
        <w:t xml:space="preserve"> </w:t>
      </w:r>
    </w:p>
    <w:p w14:paraId="6D115BBD" w14:textId="77777777" w:rsidR="000445DB" w:rsidRPr="003B6E6D" w:rsidRDefault="000445DB" w:rsidP="000445DB">
      <w:pPr>
        <w:numPr>
          <w:ilvl w:val="0"/>
          <w:numId w:val="12"/>
        </w:numPr>
        <w:tabs>
          <w:tab w:val="left" w:pos="284"/>
        </w:tabs>
        <w:spacing w:after="0" w:line="240" w:lineRule="auto"/>
        <w:ind w:left="0" w:firstLine="0"/>
        <w:contextualSpacing/>
        <w:jc w:val="both"/>
        <w:rPr>
          <w:rFonts w:ascii="Times New Roman" w:eastAsia="Calibri" w:hAnsi="Times New Roman" w:cs="Times New Roman"/>
          <w:sz w:val="20"/>
          <w:szCs w:val="20"/>
        </w:rPr>
      </w:pPr>
      <w:r w:rsidRPr="003B6E6D">
        <w:rPr>
          <w:rFonts w:ascii="Times New Roman" w:eastAsia="Calibri" w:hAnsi="Times New Roman" w:cs="Times New Roman"/>
          <w:sz w:val="20"/>
          <w:szCs w:val="20"/>
        </w:rPr>
        <w:t>Eshpulatov, N., Khalmuradov, T., Rakhimov, F., Abdurayimov, S., Khurramov, A., Ruziyeva, U., ... &amp; Maftuna, I. (2023, March). Influence of the parameters of the impact of electrical impulses on the yield of juice from the pulp. In </w:t>
      </w:r>
      <w:r w:rsidRPr="003B6E6D">
        <w:rPr>
          <w:rFonts w:ascii="Times New Roman" w:eastAsia="Calibri" w:hAnsi="Times New Roman" w:cs="Times New Roman"/>
          <w:i/>
          <w:iCs/>
          <w:sz w:val="20"/>
          <w:szCs w:val="20"/>
        </w:rPr>
        <w:t>IOP Conference Series: Earth and Environmental Science</w:t>
      </w:r>
      <w:r w:rsidRPr="003B6E6D">
        <w:rPr>
          <w:rFonts w:ascii="Times New Roman" w:eastAsia="Calibri" w:hAnsi="Times New Roman" w:cs="Times New Roman"/>
          <w:sz w:val="20"/>
          <w:szCs w:val="20"/>
        </w:rPr>
        <w:t xml:space="preserve"> (Vol. 1142, No. 1, p. 012006). IOP Publishing. </w:t>
      </w:r>
      <w:r w:rsidRPr="003B6E6D">
        <w:rPr>
          <w:rFonts w:ascii="Times New Roman" w:eastAsia="Calibri" w:hAnsi="Times New Roman" w:cs="Times New Roman"/>
          <w:b/>
          <w:bCs/>
          <w:sz w:val="20"/>
          <w:szCs w:val="20"/>
        </w:rPr>
        <w:t>DOI</w:t>
      </w:r>
      <w:r w:rsidRPr="003B6E6D">
        <w:rPr>
          <w:rFonts w:ascii="Times New Roman" w:eastAsia="Calibri" w:hAnsi="Times New Roman" w:cs="Times New Roman"/>
          <w:sz w:val="20"/>
          <w:szCs w:val="20"/>
        </w:rPr>
        <w:t xml:space="preserve"> 10.1088/1755-1315/1142/1/012006 </w:t>
      </w:r>
    </w:p>
    <w:p w14:paraId="6E7053AE" w14:textId="13B13010" w:rsidR="00DE22F1" w:rsidRPr="003B6E6D" w:rsidRDefault="000445DB" w:rsidP="000445DB">
      <w:pPr>
        <w:numPr>
          <w:ilvl w:val="0"/>
          <w:numId w:val="12"/>
        </w:numPr>
        <w:tabs>
          <w:tab w:val="left" w:pos="284"/>
        </w:tabs>
        <w:spacing w:after="0" w:line="240" w:lineRule="auto"/>
        <w:ind w:left="0" w:firstLine="0"/>
        <w:contextualSpacing/>
        <w:jc w:val="both"/>
        <w:rPr>
          <w:rFonts w:ascii="Times New Roman" w:eastAsia="Calibri" w:hAnsi="Times New Roman" w:cs="Times New Roman"/>
          <w:sz w:val="20"/>
          <w:szCs w:val="20"/>
        </w:rPr>
      </w:pPr>
      <w:r w:rsidRPr="003B6E6D">
        <w:rPr>
          <w:rFonts w:ascii="Times New Roman" w:eastAsia="Calibri" w:hAnsi="Times New Roman" w:cs="Times New Roman"/>
          <w:sz w:val="20"/>
          <w:szCs w:val="20"/>
        </w:rPr>
        <w:t>Eshpulatov, N., Khalmuradov, T., Rakhimov, F., Abdurayimov, S., Khurramov, A., Mullajonov, I., &amp; Vorisova, R. (2023, March). The influence of the impact of electrical impulses on the juice outputting of the pulp. In </w:t>
      </w:r>
      <w:r w:rsidRPr="003B6E6D">
        <w:rPr>
          <w:rFonts w:ascii="Times New Roman" w:eastAsia="Calibri" w:hAnsi="Times New Roman" w:cs="Times New Roman"/>
          <w:i/>
          <w:iCs/>
          <w:sz w:val="20"/>
          <w:szCs w:val="20"/>
        </w:rPr>
        <w:t>IOP Conference Series: Earth and Environmental Science</w:t>
      </w:r>
      <w:r w:rsidRPr="003B6E6D">
        <w:rPr>
          <w:rFonts w:ascii="Times New Roman" w:eastAsia="Calibri" w:hAnsi="Times New Roman" w:cs="Times New Roman"/>
          <w:sz w:val="20"/>
          <w:szCs w:val="20"/>
        </w:rPr>
        <w:t xml:space="preserve"> (Vol. 1142, No. 1, p. 012017). IOP Publishing. </w:t>
      </w:r>
      <w:r w:rsidRPr="003B6E6D">
        <w:rPr>
          <w:rFonts w:ascii="Times New Roman" w:eastAsia="Calibri" w:hAnsi="Times New Roman" w:cs="Times New Roman"/>
          <w:b/>
          <w:bCs/>
          <w:sz w:val="20"/>
          <w:szCs w:val="20"/>
        </w:rPr>
        <w:t>DOI</w:t>
      </w:r>
      <w:r w:rsidRPr="003B6E6D">
        <w:rPr>
          <w:rFonts w:ascii="Times New Roman" w:eastAsia="Calibri" w:hAnsi="Times New Roman" w:cs="Times New Roman"/>
          <w:sz w:val="20"/>
          <w:szCs w:val="20"/>
        </w:rPr>
        <w:t xml:space="preserve"> 10.1088/1755-1315/1142/1/012017 </w:t>
      </w:r>
    </w:p>
    <w:p w14:paraId="38F48179" w14:textId="77777777" w:rsidR="000445DB" w:rsidRPr="003B6E6D" w:rsidRDefault="000445DB" w:rsidP="000445DB">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B6E6D">
        <w:rPr>
          <w:rFonts w:ascii="Times New Roman" w:hAnsi="Times New Roman" w:cs="Times New Roman"/>
          <w:sz w:val="20"/>
          <w:szCs w:val="20"/>
        </w:rPr>
        <w:t>Eshmurodov, Z., &amp; Holboiv, F. (2018). Modernization of Control Systems of Electric Drives of Mine Lifting Machines. In </w:t>
      </w:r>
      <w:r w:rsidRPr="003B6E6D">
        <w:rPr>
          <w:rFonts w:ascii="Times New Roman" w:hAnsi="Times New Roman" w:cs="Times New Roman"/>
          <w:i/>
          <w:iCs/>
          <w:sz w:val="20"/>
          <w:szCs w:val="20"/>
        </w:rPr>
        <w:t>E3S Web of Conferences</w:t>
      </w:r>
      <w:r w:rsidRPr="003B6E6D">
        <w:rPr>
          <w:rFonts w:ascii="Times New Roman" w:hAnsi="Times New Roman" w:cs="Times New Roman"/>
          <w:sz w:val="20"/>
          <w:szCs w:val="20"/>
        </w:rPr>
        <w:t xml:space="preserve"> (Vol. 41, p. 03006). EDP Sciences. </w:t>
      </w:r>
      <w:hyperlink r:id="rId29" w:history="1">
        <w:r w:rsidRPr="003B6E6D">
          <w:rPr>
            <w:rStyle w:val="a6"/>
            <w:rFonts w:ascii="Times New Roman" w:hAnsi="Times New Roman" w:cs="Times New Roman"/>
            <w:sz w:val="20"/>
            <w:szCs w:val="20"/>
          </w:rPr>
          <w:t>https://doi.org/10.1051/e3sconf/20184103006</w:t>
        </w:r>
      </w:hyperlink>
      <w:r w:rsidRPr="003B6E6D">
        <w:rPr>
          <w:rFonts w:ascii="Times New Roman" w:hAnsi="Times New Roman" w:cs="Times New Roman"/>
          <w:sz w:val="20"/>
          <w:szCs w:val="20"/>
        </w:rPr>
        <w:t xml:space="preserve"> </w:t>
      </w:r>
    </w:p>
    <w:p w14:paraId="3EB8FBB6" w14:textId="5354B853" w:rsidR="00AE4B5C" w:rsidRPr="003B6E6D" w:rsidRDefault="000445DB" w:rsidP="00AE4B5C">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B6E6D">
        <w:rPr>
          <w:rFonts w:ascii="Times New Roman" w:hAnsi="Times New Roman" w:cs="Times New Roman"/>
          <w:sz w:val="20"/>
          <w:szCs w:val="20"/>
        </w:rPr>
        <w:t>Eshmurodov, Z. O., &amp; Arziyev, E. I. (2023). Choice of energy-saving electric drives in quasi-stationary transport systems. In </w:t>
      </w:r>
      <w:r w:rsidRPr="003B6E6D">
        <w:rPr>
          <w:rFonts w:ascii="Times New Roman" w:hAnsi="Times New Roman" w:cs="Times New Roman"/>
          <w:i/>
          <w:iCs/>
          <w:sz w:val="20"/>
          <w:szCs w:val="20"/>
        </w:rPr>
        <w:t>E3S Web of Conferences</w:t>
      </w:r>
      <w:r w:rsidRPr="003B6E6D">
        <w:rPr>
          <w:rFonts w:ascii="Times New Roman" w:hAnsi="Times New Roman" w:cs="Times New Roman"/>
          <w:sz w:val="20"/>
          <w:szCs w:val="20"/>
        </w:rPr>
        <w:t xml:space="preserve"> (Vol. 417, p. 03010). EDP Sciences. </w:t>
      </w:r>
      <w:hyperlink r:id="rId30" w:history="1">
        <w:r w:rsidRPr="003B6E6D">
          <w:rPr>
            <w:rStyle w:val="a6"/>
            <w:rFonts w:ascii="Times New Roman" w:hAnsi="Times New Roman" w:cs="Times New Roman"/>
            <w:sz w:val="20"/>
            <w:szCs w:val="20"/>
          </w:rPr>
          <w:t>https://doi.org/10.1051/e3sconf/202341703010</w:t>
        </w:r>
      </w:hyperlink>
      <w:r w:rsidRPr="003B6E6D">
        <w:rPr>
          <w:rFonts w:ascii="Times New Roman" w:hAnsi="Times New Roman" w:cs="Times New Roman"/>
          <w:sz w:val="20"/>
          <w:szCs w:val="20"/>
        </w:rPr>
        <w:t xml:space="preserve"> </w:t>
      </w:r>
    </w:p>
    <w:p w14:paraId="25446004" w14:textId="6D1DB507" w:rsidR="00A97BC8" w:rsidRPr="003B6E6D" w:rsidRDefault="00A97BC8" w:rsidP="000151CE">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B6E6D">
        <w:rPr>
          <w:rFonts w:ascii="Times New Roman" w:hAnsi="Times New Roman" w:cs="Times New Roman"/>
          <w:sz w:val="20"/>
          <w:szCs w:val="20"/>
        </w:rPr>
        <w:t>Ataullaev, A. O., &amp; Sayidov, M. K. (2023). Investigation of multi loop linear magnetic circuits of electromagnetic flow converters with ring channels. In </w:t>
      </w:r>
      <w:r w:rsidRPr="003B6E6D">
        <w:rPr>
          <w:rFonts w:ascii="Times New Roman" w:hAnsi="Times New Roman" w:cs="Times New Roman"/>
          <w:i/>
          <w:iCs/>
          <w:sz w:val="20"/>
          <w:szCs w:val="20"/>
        </w:rPr>
        <w:t>E3S Web of Conferences</w:t>
      </w:r>
      <w:r w:rsidRPr="003B6E6D">
        <w:rPr>
          <w:rFonts w:ascii="Times New Roman" w:hAnsi="Times New Roman" w:cs="Times New Roman"/>
          <w:sz w:val="20"/>
          <w:szCs w:val="20"/>
        </w:rPr>
        <w:t> (Vol. 417, p. 03006). EDP Sciences.</w:t>
      </w:r>
      <w:r w:rsidRPr="003B6E6D">
        <w:rPr>
          <w:sz w:val="20"/>
          <w:szCs w:val="20"/>
        </w:rPr>
        <w:t xml:space="preserve"> </w:t>
      </w:r>
      <w:hyperlink r:id="rId31" w:history="1">
        <w:r w:rsidRPr="003B6E6D">
          <w:rPr>
            <w:rStyle w:val="a6"/>
            <w:rFonts w:ascii="Times New Roman" w:hAnsi="Times New Roman" w:cs="Times New Roman"/>
            <w:sz w:val="20"/>
            <w:szCs w:val="20"/>
          </w:rPr>
          <w:t>https://doi.org/10.1051/e3sconf/202341703006</w:t>
        </w:r>
      </w:hyperlink>
      <w:r w:rsidRPr="003B6E6D">
        <w:rPr>
          <w:rFonts w:ascii="Times New Roman" w:hAnsi="Times New Roman" w:cs="Times New Roman"/>
          <w:sz w:val="20"/>
          <w:szCs w:val="20"/>
        </w:rPr>
        <w:t xml:space="preserve">  </w:t>
      </w:r>
    </w:p>
    <w:p w14:paraId="39FD3AE0" w14:textId="0C05487F" w:rsidR="0031693B" w:rsidRDefault="0031693B" w:rsidP="000151CE">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B6E6D">
        <w:rPr>
          <w:rFonts w:ascii="Times New Roman" w:hAnsi="Times New Roman" w:cs="Times New Roman"/>
          <w:sz w:val="20"/>
          <w:szCs w:val="20"/>
        </w:rPr>
        <w:t>Eshmurodov, Z., &amp; Abdullaev, S. (2024). Investigation of the methods of starting and braking in the “Frequency converter asynchronous motor” system. In </w:t>
      </w:r>
      <w:r w:rsidRPr="003B6E6D">
        <w:rPr>
          <w:rFonts w:ascii="Times New Roman" w:hAnsi="Times New Roman" w:cs="Times New Roman"/>
          <w:i/>
          <w:iCs/>
          <w:sz w:val="20"/>
          <w:szCs w:val="20"/>
        </w:rPr>
        <w:t>E3S Web of Conferences</w:t>
      </w:r>
      <w:r w:rsidRPr="003B6E6D">
        <w:rPr>
          <w:rFonts w:ascii="Times New Roman" w:hAnsi="Times New Roman" w:cs="Times New Roman"/>
          <w:sz w:val="20"/>
          <w:szCs w:val="20"/>
        </w:rPr>
        <w:t xml:space="preserve"> (Vol. 548, p. 06013). EDP Sciences. </w:t>
      </w:r>
      <w:hyperlink r:id="rId32" w:history="1">
        <w:r w:rsidRPr="003B6E6D">
          <w:rPr>
            <w:rStyle w:val="a6"/>
            <w:rFonts w:ascii="Times New Roman" w:hAnsi="Times New Roman" w:cs="Times New Roman"/>
            <w:sz w:val="20"/>
            <w:szCs w:val="20"/>
          </w:rPr>
          <w:t>https://doi.org/10.1051/e3sconf/202454806013</w:t>
        </w:r>
      </w:hyperlink>
      <w:r w:rsidRPr="003B6E6D">
        <w:rPr>
          <w:rFonts w:ascii="Times New Roman" w:hAnsi="Times New Roman" w:cs="Times New Roman"/>
          <w:sz w:val="20"/>
          <w:szCs w:val="20"/>
        </w:rPr>
        <w:t xml:space="preserve"> </w:t>
      </w:r>
    </w:p>
    <w:p w14:paraId="7174C358"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Melikuziev M.V., Fayzrakhmanova Z., Akhmedov A., Kasimova G. Development of an Educational Simulator's Working Logic for the Course 'Fundamentals of Power Supply'. AIP Conference Proceedings 3152, 050025 (2024). https://doi.org/10.1063/5.0218875 </w:t>
      </w:r>
    </w:p>
    <w:p w14:paraId="2776F258"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Melikuziev M.V., Nematov L.A., Novikov A.N., Baymuratov K.K. Technical and economic analysis of parameters of city distribution electric network up to 1000 V. E3S Web of Conferences 289, 07016 (2021) Energy Systems Research. https://doi.org/10.1051/e3sconf/202128907016 </w:t>
      </w:r>
    </w:p>
    <w:p w14:paraId="193BD8B0"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27F48CB0"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Shukhrat Umarov, </w:t>
      </w:r>
      <w:bookmarkStart w:id="1" w:name="_Hlk214727435"/>
      <w:r w:rsidRPr="003A38B9">
        <w:rPr>
          <w:rFonts w:ascii="Times New Roman" w:hAnsi="Times New Roman" w:cs="Times New Roman"/>
          <w:sz w:val="20"/>
          <w:szCs w:val="20"/>
        </w:rPr>
        <w:t>Murot Tulyaganov</w:t>
      </w:r>
      <w:bookmarkEnd w:id="1"/>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33" w:history="1">
        <w:r w:rsidRPr="003A38B9">
          <w:rPr>
            <w:rStyle w:val="a6"/>
            <w:rFonts w:ascii="Times New Roman" w:hAnsi="Times New Roman" w:cs="Times New Roman"/>
            <w:sz w:val="20"/>
            <w:szCs w:val="20"/>
          </w:rPr>
          <w:t>https://doi.org/10.1063/5.0218869</w:t>
        </w:r>
      </w:hyperlink>
    </w:p>
    <w:p w14:paraId="6BC610FB"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Murot Tulyaganov, Shukhrat Umarov. Improving the energy and operational efficiency of an asynchronous electric drive. III International Scientific and Technical Conference “Actual Issues of Power Supply Systems” (ICAIPSS2023); </w:t>
      </w:r>
      <w:hyperlink r:id="rId34" w:history="1">
        <w:r w:rsidRPr="003A38B9">
          <w:rPr>
            <w:rStyle w:val="a6"/>
            <w:rFonts w:ascii="Times New Roman" w:hAnsi="Times New Roman" w:cs="Times New Roman"/>
            <w:sz w:val="20"/>
            <w:szCs w:val="20"/>
          </w:rPr>
          <w:t>https://doi.org/10.1063/5.0218876</w:t>
        </w:r>
      </w:hyperlink>
    </w:p>
    <w:p w14:paraId="28864D3E"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Shukhrat Umarov, Khushnud Sapaev, Islambek Abdullabekov. The Implicit Formulas of Numerical Integration Digital Models of Nonlinear Transformers. AIP Conf. Proc. 3331, 030105 (2025); </w:t>
      </w:r>
      <w:hyperlink r:id="rId35" w:history="1">
        <w:r w:rsidRPr="003A38B9">
          <w:rPr>
            <w:rStyle w:val="a6"/>
            <w:rFonts w:ascii="Times New Roman" w:hAnsi="Times New Roman" w:cs="Times New Roman"/>
            <w:sz w:val="20"/>
            <w:szCs w:val="20"/>
          </w:rPr>
          <w:t>https://doi.org/10.1063/5.0305793</w:t>
        </w:r>
      </w:hyperlink>
    </w:p>
    <w:p w14:paraId="434E1844"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Shukhrat Umarov, Murat Tulyaganov, Saidamir Oripov, Ubaydulla Boqijonov. Using a modified laplace transform to simulate valve converters with periodic topology. AIP Conf. Proc. 3331, 030104 (2025); </w:t>
      </w:r>
      <w:hyperlink r:id="rId36" w:history="1">
        <w:r w:rsidRPr="003A38B9">
          <w:rPr>
            <w:rStyle w:val="a6"/>
            <w:rFonts w:ascii="Times New Roman" w:hAnsi="Times New Roman" w:cs="Times New Roman"/>
            <w:sz w:val="20"/>
            <w:szCs w:val="20"/>
          </w:rPr>
          <w:t>https://doi.org/10.1063/5.0305792</w:t>
        </w:r>
      </w:hyperlink>
    </w:p>
    <w:p w14:paraId="2605D341"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Tulyaganov, Shukhrat Umarov, Islambek Abdullabekov, Shakhnoza Sobirova. Optimization of modes of an asynchronous electric drive. AIP Conf. Proc. 3331, 030084 (2025); </w:t>
      </w:r>
      <w:hyperlink r:id="rId37" w:history="1">
        <w:r w:rsidRPr="003A38B9">
          <w:rPr>
            <w:rStyle w:val="a6"/>
            <w:rFonts w:ascii="Times New Roman" w:hAnsi="Times New Roman" w:cs="Times New Roman"/>
            <w:sz w:val="20"/>
            <w:szCs w:val="20"/>
          </w:rPr>
          <w:t>https://doi.org/10.1063/5.0305786</w:t>
        </w:r>
      </w:hyperlink>
    </w:p>
    <w:p w14:paraId="48862354" w14:textId="77777777" w:rsidR="000151CE" w:rsidRPr="003A38B9" w:rsidRDefault="000151CE" w:rsidP="000151CE">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38" w:history="1">
        <w:r w:rsidRPr="003A38B9">
          <w:rPr>
            <w:rStyle w:val="a6"/>
            <w:rFonts w:ascii="Times New Roman" w:hAnsi="Times New Roman" w:cs="Times New Roman"/>
            <w:sz w:val="20"/>
            <w:szCs w:val="20"/>
          </w:rPr>
          <w:t>https://doi.org/10.1063/5.0305780</w:t>
        </w:r>
      </w:hyperlink>
    </w:p>
    <w:p w14:paraId="5D0628A1"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hyperlink r:id="rId39" w:history="1">
        <w:r w:rsidRPr="003A38B9">
          <w:rPr>
            <w:rFonts w:ascii="Times New Roman" w:hAnsi="Times New Roman" w:cs="Times New Roman"/>
            <w:sz w:val="20"/>
            <w:szCs w:val="20"/>
            <w:lang w:val="uz-Cyrl-UZ"/>
          </w:rPr>
          <w:t>Investigation and study of oil sludge of oil refinery company in Uzbekistan</w:t>
        </w:r>
      </w:hyperlink>
      <w:r w:rsidRPr="003A38B9">
        <w:rPr>
          <w:rFonts w:ascii="Times New Roman" w:hAnsi="Times New Roman" w:cs="Times New Roman"/>
          <w:sz w:val="20"/>
          <w:szCs w:val="20"/>
          <w:lang w:val="uz-Cyrl-UZ"/>
        </w:rPr>
        <w:t xml:space="preserve">. </w:t>
      </w:r>
      <w:hyperlink r:id="rId40"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50517D88"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hyperlink r:id="rId41"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6149AA76"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lastRenderedPageBreak/>
        <w:t xml:space="preserve">Umerov, F., Daminov, O., Khakimov, J., Yangibaev, A., Asanov, S. </w:t>
      </w:r>
      <w:hyperlink r:id="rId42" w:history="1">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hyperlink>
      <w:r w:rsidRPr="003A38B9">
        <w:rPr>
          <w:rFonts w:ascii="Times New Roman" w:hAnsi="Times New Roman" w:cs="Times New Roman"/>
          <w:sz w:val="20"/>
          <w:szCs w:val="20"/>
          <w:lang w:val="uz-Cyrl-UZ"/>
        </w:rPr>
        <w:t xml:space="preserve">. </w:t>
      </w:r>
      <w:hyperlink r:id="rId43"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621D6BD3"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hyperlink r:id="rId44" w:history="1">
        <w:r w:rsidRPr="003A38B9">
          <w:rPr>
            <w:rFonts w:ascii="Times New Roman" w:hAnsi="Times New Roman" w:cs="Times New Roman"/>
            <w:sz w:val="20"/>
            <w:szCs w:val="20"/>
            <w:lang w:val="uz-Cyrl-UZ"/>
          </w:rPr>
          <w:t>Dynamic simulation of force loading of drives of mobile power facilities with variable external resistance</w:t>
        </w:r>
      </w:hyperlink>
      <w:r w:rsidRPr="003A38B9">
        <w:rPr>
          <w:rFonts w:ascii="Times New Roman" w:hAnsi="Times New Roman" w:cs="Times New Roman"/>
          <w:sz w:val="20"/>
          <w:szCs w:val="20"/>
          <w:lang w:val="uz-Cyrl-UZ"/>
        </w:rPr>
        <w:t xml:space="preserve">. </w:t>
      </w:r>
      <w:hyperlink r:id="rId45" w:history="1">
        <w:r w:rsidRPr="003A38B9">
          <w:rPr>
            <w:rFonts w:ascii="Times New Roman" w:hAnsi="Times New Roman" w:cs="Times New Roman"/>
            <w:sz w:val="20"/>
            <w:szCs w:val="20"/>
            <w:lang w:val="uz-Cyrl-UZ"/>
          </w:rPr>
          <w:t>E3s Web of Conferences</w:t>
        </w:r>
      </w:hyperlink>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1DBE5A44"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hyperlink r:id="rId46" w:history="1">
        <w:r w:rsidRPr="003A38B9">
          <w:rPr>
            <w:rFonts w:ascii="Times New Roman" w:hAnsi="Times New Roman" w:cs="Times New Roman"/>
            <w:sz w:val="20"/>
            <w:szCs w:val="20"/>
            <w:lang w:val="uz-Cyrl-UZ"/>
          </w:rPr>
          <w:t>Structural solutions of the supercharged engine in the output and input system</w:t>
        </w:r>
      </w:hyperlink>
      <w:r w:rsidRPr="003A38B9">
        <w:rPr>
          <w:rFonts w:ascii="Times New Roman" w:hAnsi="Times New Roman" w:cs="Times New Roman"/>
          <w:sz w:val="20"/>
          <w:szCs w:val="20"/>
          <w:lang w:val="uz-Cyrl-UZ"/>
        </w:rPr>
        <w:t xml:space="preserve">. </w:t>
      </w:r>
      <w:hyperlink r:id="rId47" w:history="1">
        <w:r w:rsidRPr="003A38B9">
          <w:rPr>
            <w:rFonts w:ascii="Times New Roman" w:hAnsi="Times New Roman" w:cs="Times New Roman"/>
            <w:sz w:val="20"/>
            <w:szCs w:val="20"/>
            <w:lang w:val="uz-Cyrl-UZ"/>
          </w:rPr>
          <w:t>E3s Web of Conferences</w:t>
        </w:r>
      </w:hyperlink>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hyperlink r:id="rId48" w:history="1">
        <w:r w:rsidRPr="003A38B9">
          <w:rPr>
            <w:rStyle w:val="a6"/>
            <w:rFonts w:ascii="Times New Roman" w:hAnsi="Times New Roman" w:cs="Times New Roman"/>
            <w:iCs/>
            <w:sz w:val="20"/>
            <w:szCs w:val="20"/>
            <w:lang w:val="uz-Cyrl-UZ"/>
          </w:rPr>
          <w:t>https://doi.org/10.1051/e3sconf/202341901015</w:t>
        </w:r>
      </w:hyperlink>
      <w:r w:rsidRPr="003A38B9">
        <w:rPr>
          <w:rFonts w:ascii="Times New Roman" w:hAnsi="Times New Roman" w:cs="Times New Roman"/>
          <w:b/>
          <w:color w:val="FF0000"/>
          <w:sz w:val="20"/>
          <w:szCs w:val="20"/>
          <w:lang w:val="uz-Cyrl-UZ"/>
        </w:rPr>
        <w:t xml:space="preserve"> </w:t>
      </w:r>
    </w:p>
    <w:p w14:paraId="2A99A9A9"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hyperlink r:id="rId49" w:history="1">
        <w:r w:rsidRPr="003A38B9">
          <w:rPr>
            <w:rFonts w:ascii="Times New Roman" w:hAnsi="Times New Roman" w:cs="Times New Roman"/>
            <w:sz w:val="20"/>
            <w:szCs w:val="20"/>
            <w:lang w:val="uz-Cyrl-UZ"/>
          </w:rPr>
          <w:t>Efficiency and environmental indicators of diesel engine operation when using water injection</w:t>
        </w:r>
      </w:hyperlink>
      <w:r w:rsidRPr="003A38B9">
        <w:rPr>
          <w:rFonts w:ascii="Times New Roman" w:hAnsi="Times New Roman" w:cs="Times New Roman"/>
          <w:sz w:val="20"/>
          <w:szCs w:val="20"/>
          <w:lang w:val="uz-Cyrl-UZ"/>
        </w:rPr>
        <w:t xml:space="preserve">. </w:t>
      </w:r>
      <w:hyperlink r:id="rId50" w:history="1">
        <w:r w:rsidRPr="003A38B9">
          <w:rPr>
            <w:rFonts w:ascii="Times New Roman" w:hAnsi="Times New Roman" w:cs="Times New Roman"/>
            <w:sz w:val="20"/>
            <w:szCs w:val="20"/>
            <w:lang w:val="uz-Cyrl-UZ"/>
          </w:rPr>
          <w:t>IOP Conference Series Earth and Environmental Science</w:t>
        </w:r>
      </w:hyperlink>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hyperlink r:id="rId51" w:history="1">
        <w:r w:rsidRPr="003A38B9">
          <w:rPr>
            <w:rStyle w:val="a6"/>
            <w:rFonts w:ascii="Times New Roman" w:hAnsi="Times New Roman" w:cs="Times New Roman"/>
            <w:iCs/>
            <w:sz w:val="20"/>
            <w:szCs w:val="20"/>
            <w:lang w:val="uz-Cyrl-UZ"/>
          </w:rPr>
          <w:t>https://doi.org/10.1088/1755-1315/1142/1/012024</w:t>
        </w:r>
      </w:hyperlink>
      <w:r w:rsidRPr="003A38B9">
        <w:rPr>
          <w:rFonts w:ascii="Times New Roman" w:hAnsi="Times New Roman" w:cs="Times New Roman"/>
          <w:b/>
          <w:color w:val="FF0000"/>
          <w:sz w:val="20"/>
          <w:szCs w:val="20"/>
          <w:lang w:val="uz-Cyrl-UZ"/>
        </w:rPr>
        <w:t xml:space="preserve"> </w:t>
      </w:r>
    </w:p>
    <w:p w14:paraId="640E92C2"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hyperlink r:id="rId52" w:history="1">
        <w:r w:rsidRPr="003A38B9">
          <w:rPr>
            <w:rFonts w:ascii="Times New Roman" w:hAnsi="Times New Roman" w:cs="Times New Roman"/>
            <w:sz w:val="20"/>
            <w:szCs w:val="20"/>
            <w:lang w:val="uz-Cyrl-UZ"/>
          </w:rPr>
          <w:t>Application of Supercharged to Internal Combustion Engines and Increase Efficiency in Achieving High Environmental Standards</w:t>
        </w:r>
      </w:hyperlink>
      <w:r w:rsidRPr="003A38B9">
        <w:rPr>
          <w:rFonts w:ascii="Times New Roman" w:hAnsi="Times New Roman" w:cs="Times New Roman"/>
          <w:sz w:val="20"/>
          <w:szCs w:val="20"/>
          <w:lang w:val="uz-Cyrl-UZ"/>
        </w:rPr>
        <w:t xml:space="preserve">. </w:t>
      </w:r>
      <w:hyperlink r:id="rId53"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1E20F891"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hyperlink r:id="rId54" w:history="1">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hyperlink>
      <w:r w:rsidRPr="003A38B9">
        <w:rPr>
          <w:rFonts w:ascii="Times New Roman" w:hAnsi="Times New Roman" w:cs="Times New Roman"/>
          <w:sz w:val="20"/>
          <w:szCs w:val="20"/>
          <w:lang w:val="uz-Cyrl-UZ"/>
        </w:rPr>
        <w:t xml:space="preserve">. </w:t>
      </w:r>
      <w:hyperlink r:id="rId55"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71EC8F37"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bookmarkStart w:id="2"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1B3F2832"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 Khujakulov A., Sultanova Sh., Khujakulov U., Sunil Verma. Research on energy efficient kinetics of drying raw material. // E3S Web of Conferences: Rudenko International Conference “Methodological problems in reliability study of large energy systems” (RSES 2020). Vol. 216, 2020. P.1-5.  doi.org/10.1051/e3sconf/202021601093</w:t>
      </w:r>
    </w:p>
    <w:p w14:paraId="60F5B957"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 Sultanova Sh., Dadayev G.T., Zulponov Sh.U. Influence of the structure of coolant flows on the temperature profile by phases in a water heating dryer. // IOP Conf. Series: Materials Science and Engineering. Dynamics of Technical Systems (DTS 2020). Vol.1029, 2021. №012019. P.1-11. doi:10.1088/1757-899X/1029/1/012019</w:t>
      </w:r>
    </w:p>
    <w:p w14:paraId="4DD41AC4"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Sultanova Sh.A., Artikov A.A., Masharipova Z.A., Abhijit Tarawade, Safarov J.E. Results of experiments conducted in a helio water heating convective drying plant. // International conference AEGIS-2021 «Agricultural Engineering and Green Infrastructure Solutions».  IOP Conf. Series: Earth and Environmental Science 868 (2021) 012045. P.1-6. doi:10.1088/1755-1315/868/1/012045</w:t>
      </w:r>
    </w:p>
    <w:p w14:paraId="5D13BB13"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14:paraId="58FCBAFE"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Saparov Dj.E., Sultonova S.A., Guven E.С., Samandarov D.I., Rakhimov A.M. Theoretical study of characteristics and mathematical model of convective drying of foods. // RSES 2023. E3S Web of Conferences 461, 01057 (2023). P.1-5. https://doi.org/10.1051/e3sconf/202346101057</w:t>
      </w:r>
    </w:p>
    <w:p w14:paraId="729E7C1C"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J.E., Sultanova Sh.A., Dadayev G.T., Samandarov D.I. Method for drying fruits of rose hips. // International Journal of Innovative Technology and Exploring Engineering (Scopus). Volume-9, Issue-1, November, 2019. Р.3765-3768. doi: 10.35940/ijitee.A4716.119119</w:t>
      </w:r>
    </w:p>
    <w:p w14:paraId="450C3635"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J.E., Sultanova Sh.A., Dadayev G.T., Samandarov D.I. Method for the primary processing of silkworm cocoons (Bombyx mori). // International Journal of Innovative Technology and Exploring Engineering (Scopus). Volume-9, Issue-1, November, 2019. Р.4562-4565. DOI: 10.35940/ijitee.A5089.119119</w:t>
      </w:r>
    </w:p>
    <w:p w14:paraId="008868CC"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Sultanova Sh., Safarov J., Usenov A., Raxmanova T. Definitions of useful energy and temperature at the outlet of solar collectors. // E3S Web of Conferences: Rudenko International Conference “Methodological problems in reliability study of large energy systems” (RSES 2020). Vol. 216, 2020. P.1-5.  doi.org/10.1051/e3sconf/202021601094</w:t>
      </w:r>
    </w:p>
    <w:p w14:paraId="0C290FE9"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14:paraId="1E542129"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lastRenderedPageBreak/>
        <w:t>1Sultanova Sh.A., Safarov J.E., Usenov A.B., Muminova D. Analysis of the design of ultrasonic electronic generators. // Journal of Physics: Conference Series. International Conference "High-tech and Innovations in Research and Manufacturing" (HIRM 2021). 2176 (2022) 012007. doi:10.1088/1742-6596/2176/1/012007</w:t>
      </w:r>
    </w:p>
    <w:p w14:paraId="1C88D3C3" w14:textId="77777777" w:rsidR="000151CE" w:rsidRPr="003A38B9" w:rsidRDefault="000151CE" w:rsidP="000151CE">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Zulpanov Sh.U., Samandarov D.I., Dadayev G.T., Sultonova S.A., Safarov J.E. Research of the influence of mulberry silkworm cocoon structure on drying kinetics. // IOP Conf. Series: Earth and Environmental Science (AEGIS-2022). 1076 (2022) 012059. Р.1-6. doi:10.1088/1755-1315/1076/1/012059</w:t>
      </w:r>
    </w:p>
    <w:p w14:paraId="41BADE11" w14:textId="4830A1F7" w:rsidR="000151CE" w:rsidRPr="003B6E6D" w:rsidRDefault="000151CE" w:rsidP="000151CE">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Tarawade A., Samandarov D.I., Azimov T.Dj., Sultanova Sh.A., Safarov J.E. Theoretical and experimental study of the drying process of mulberry fruits by infrared radiation. // IOP Conf. Series: Earth and Environmental Science (ETESD). 1112 (2022) 012098. P.1-9. doi:10.1088/1755-1315/1112/1/012098</w:t>
      </w:r>
      <w:bookmarkEnd w:id="2"/>
    </w:p>
    <w:sectPr w:rsidR="000151CE" w:rsidRPr="003B6E6D" w:rsidSect="00AA2AF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A1B"/>
    <w:multiLevelType w:val="multilevel"/>
    <w:tmpl w:val="959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1783F"/>
    <w:multiLevelType w:val="multilevel"/>
    <w:tmpl w:val="BA1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50CA3"/>
    <w:multiLevelType w:val="multilevel"/>
    <w:tmpl w:val="1874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C6F67"/>
    <w:multiLevelType w:val="hybridMultilevel"/>
    <w:tmpl w:val="4A44A8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2ED13D7"/>
    <w:multiLevelType w:val="hybridMultilevel"/>
    <w:tmpl w:val="8B7ED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D60CE7"/>
    <w:multiLevelType w:val="multilevel"/>
    <w:tmpl w:val="3AE6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34AD088A"/>
    <w:multiLevelType w:val="hybridMultilevel"/>
    <w:tmpl w:val="7BCEE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FA4E7E"/>
    <w:multiLevelType w:val="hybridMultilevel"/>
    <w:tmpl w:val="D72EA4F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4F0131DB"/>
    <w:multiLevelType w:val="multilevel"/>
    <w:tmpl w:val="AC4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D6B26"/>
    <w:multiLevelType w:val="hybridMultilevel"/>
    <w:tmpl w:val="9B3CCE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C9C"/>
    <w:multiLevelType w:val="multilevel"/>
    <w:tmpl w:val="6FB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F7929"/>
    <w:multiLevelType w:val="hybridMultilevel"/>
    <w:tmpl w:val="EDF808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68612F2F"/>
    <w:multiLevelType w:val="hybridMultilevel"/>
    <w:tmpl w:val="D96CAD2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EB10DEE"/>
    <w:multiLevelType w:val="multilevel"/>
    <w:tmpl w:val="2E5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6"/>
  </w:num>
  <w:num w:numId="4">
    <w:abstractNumId w:val="9"/>
  </w:num>
  <w:num w:numId="5">
    <w:abstractNumId w:val="0"/>
  </w:num>
  <w:num w:numId="6">
    <w:abstractNumId w:val="14"/>
  </w:num>
  <w:num w:numId="7">
    <w:abstractNumId w:val="13"/>
  </w:num>
  <w:num w:numId="8">
    <w:abstractNumId w:val="8"/>
  </w:num>
  <w:num w:numId="9">
    <w:abstractNumId w:val="10"/>
  </w:num>
  <w:num w:numId="10">
    <w:abstractNumId w:val="1"/>
  </w:num>
  <w:num w:numId="11">
    <w:abstractNumId w:val="7"/>
  </w:num>
  <w:num w:numId="12">
    <w:abstractNumId w:val="4"/>
  </w:num>
  <w:num w:numId="13">
    <w:abstractNumId w:val="6"/>
  </w:num>
  <w:num w:numId="14">
    <w:abstractNumId w:val="2"/>
  </w:num>
  <w:num w:numId="15">
    <w:abstractNumId w:val="5"/>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1C"/>
    <w:rsid w:val="000151CE"/>
    <w:rsid w:val="0002146B"/>
    <w:rsid w:val="000445DB"/>
    <w:rsid w:val="000D75AA"/>
    <w:rsid w:val="00155A57"/>
    <w:rsid w:val="00253A61"/>
    <w:rsid w:val="002869DE"/>
    <w:rsid w:val="0031693B"/>
    <w:rsid w:val="003B6E6D"/>
    <w:rsid w:val="00434D64"/>
    <w:rsid w:val="00477346"/>
    <w:rsid w:val="00570CB5"/>
    <w:rsid w:val="005C36C2"/>
    <w:rsid w:val="005C77B4"/>
    <w:rsid w:val="00653C2D"/>
    <w:rsid w:val="0065524E"/>
    <w:rsid w:val="00674962"/>
    <w:rsid w:val="00684D42"/>
    <w:rsid w:val="00694438"/>
    <w:rsid w:val="006B72B1"/>
    <w:rsid w:val="00851978"/>
    <w:rsid w:val="0087004C"/>
    <w:rsid w:val="008B791C"/>
    <w:rsid w:val="008D66C1"/>
    <w:rsid w:val="00974870"/>
    <w:rsid w:val="009C3A55"/>
    <w:rsid w:val="00A617AF"/>
    <w:rsid w:val="00A97BC8"/>
    <w:rsid w:val="00AA2AF7"/>
    <w:rsid w:val="00AE4B5C"/>
    <w:rsid w:val="00B0380A"/>
    <w:rsid w:val="00B46223"/>
    <w:rsid w:val="00C80CA2"/>
    <w:rsid w:val="00CE67E4"/>
    <w:rsid w:val="00D0333A"/>
    <w:rsid w:val="00D66B0D"/>
    <w:rsid w:val="00DC4948"/>
    <w:rsid w:val="00DE22F1"/>
    <w:rsid w:val="00E2595D"/>
    <w:rsid w:val="00E72470"/>
    <w:rsid w:val="00F9356E"/>
    <w:rsid w:val="00FA65DD"/>
    <w:rsid w:val="00FA713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CF08"/>
  <w15:chartTrackingRefBased/>
  <w15:docId w15:val="{9E67A556-AB68-49A8-BDC5-8141A07B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91C"/>
    <w:rPr>
      <w:lang w:val="en-US"/>
    </w:rPr>
  </w:style>
  <w:style w:type="paragraph" w:styleId="2">
    <w:name w:val="heading 2"/>
    <w:basedOn w:val="a"/>
    <w:next w:val="a"/>
    <w:link w:val="20"/>
    <w:uiPriority w:val="9"/>
    <w:unhideWhenUsed/>
    <w:qFormat/>
    <w:rsid w:val="008B79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84D4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791C"/>
    <w:rPr>
      <w:rFonts w:asciiTheme="majorHAnsi" w:eastAsiaTheme="majorEastAsia" w:hAnsiTheme="majorHAnsi" w:cstheme="majorBidi"/>
      <w:color w:val="2E74B5" w:themeColor="accent1" w:themeShade="BF"/>
      <w:sz w:val="26"/>
      <w:szCs w:val="26"/>
      <w:lang w:val="en-US"/>
    </w:rPr>
  </w:style>
  <w:style w:type="table" w:styleId="a3">
    <w:name w:val="Table Grid"/>
    <w:basedOn w:val="a1"/>
    <w:uiPriority w:val="59"/>
    <w:rsid w:val="008B7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8B791C"/>
    <w:pPr>
      <w:ind w:left="720"/>
      <w:contextualSpacing/>
    </w:pPr>
  </w:style>
  <w:style w:type="character" w:styleId="a6">
    <w:name w:val="Hyperlink"/>
    <w:basedOn w:val="a0"/>
    <w:uiPriority w:val="99"/>
    <w:unhideWhenUsed/>
    <w:qFormat/>
    <w:rsid w:val="008B791C"/>
    <w:rPr>
      <w:color w:val="0563C1" w:themeColor="hyperlink"/>
      <w:u w:val="single"/>
    </w:rPr>
  </w:style>
  <w:style w:type="paragraph" w:customStyle="1" w:styleId="AuthorName">
    <w:name w:val="Author Name"/>
    <w:basedOn w:val="a"/>
    <w:next w:val="AuthorAffiliation"/>
    <w:rsid w:val="008B791C"/>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8B791C"/>
    <w:pPr>
      <w:spacing w:after="0" w:line="240" w:lineRule="auto"/>
      <w:jc w:val="center"/>
    </w:pPr>
    <w:rPr>
      <w:rFonts w:ascii="Times New Roman" w:eastAsia="Times New Roman" w:hAnsi="Times New Roman" w:cs="Times New Roman"/>
      <w:i/>
      <w:sz w:val="20"/>
      <w:szCs w:val="20"/>
    </w:rPr>
  </w:style>
  <w:style w:type="paragraph" w:customStyle="1" w:styleId="Default">
    <w:name w:val="Default"/>
    <w:rsid w:val="008B79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5">
    <w:name w:val="Абзац списка Знак"/>
    <w:aliases w:val="Абзац вправо-1 Знак,List Paragraph1 Знак,Абзац списка1 Знак"/>
    <w:link w:val="a4"/>
    <w:uiPriority w:val="34"/>
    <w:locked/>
    <w:rsid w:val="008B791C"/>
    <w:rPr>
      <w:lang w:val="en-US"/>
    </w:rPr>
  </w:style>
  <w:style w:type="paragraph" w:styleId="a7">
    <w:name w:val="Normal (Web)"/>
    <w:basedOn w:val="a"/>
    <w:uiPriority w:val="99"/>
    <w:unhideWhenUsed/>
    <w:rsid w:val="00E259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uiPriority w:val="20"/>
    <w:qFormat/>
    <w:rsid w:val="00E2595D"/>
    <w:rPr>
      <w:i/>
      <w:iCs/>
    </w:rPr>
  </w:style>
  <w:style w:type="character" w:styleId="a9">
    <w:name w:val="Strong"/>
    <w:basedOn w:val="a0"/>
    <w:uiPriority w:val="22"/>
    <w:qFormat/>
    <w:rsid w:val="00E2595D"/>
    <w:rPr>
      <w:b/>
      <w:bCs/>
    </w:rPr>
  </w:style>
  <w:style w:type="character" w:customStyle="1" w:styleId="katex-mathml">
    <w:name w:val="katex-mathml"/>
    <w:basedOn w:val="a0"/>
    <w:rsid w:val="00684D42"/>
  </w:style>
  <w:style w:type="character" w:customStyle="1" w:styleId="mord">
    <w:name w:val="mord"/>
    <w:basedOn w:val="a0"/>
    <w:rsid w:val="00684D42"/>
  </w:style>
  <w:style w:type="character" w:customStyle="1" w:styleId="vlist-s">
    <w:name w:val="vlist-s"/>
    <w:basedOn w:val="a0"/>
    <w:rsid w:val="00684D42"/>
  </w:style>
  <w:style w:type="character" w:customStyle="1" w:styleId="30">
    <w:name w:val="Заголовок 3 Знак"/>
    <w:basedOn w:val="a0"/>
    <w:link w:val="3"/>
    <w:uiPriority w:val="9"/>
    <w:rsid w:val="00684D42"/>
    <w:rPr>
      <w:rFonts w:ascii="Times New Roman" w:eastAsia="Times New Roman" w:hAnsi="Times New Roman" w:cs="Times New Roman"/>
      <w:b/>
      <w:bCs/>
      <w:sz w:val="27"/>
      <w:szCs w:val="27"/>
      <w:lang w:eastAsia="ru-RU"/>
    </w:rPr>
  </w:style>
  <w:style w:type="paragraph" w:styleId="aa">
    <w:name w:val="No Spacing"/>
    <w:link w:val="ab"/>
    <w:uiPriority w:val="1"/>
    <w:qFormat/>
    <w:rsid w:val="00684D42"/>
    <w:pPr>
      <w:spacing w:after="0" w:line="240" w:lineRule="auto"/>
    </w:pPr>
    <w:rPr>
      <w:lang w:val="en-US"/>
    </w:rPr>
  </w:style>
  <w:style w:type="character" w:customStyle="1" w:styleId="rynqvb">
    <w:name w:val="rynqvb"/>
    <w:basedOn w:val="a0"/>
    <w:rsid w:val="00AE4B5C"/>
  </w:style>
  <w:style w:type="paragraph" w:styleId="31">
    <w:name w:val="Body Text 3"/>
    <w:basedOn w:val="a"/>
    <w:link w:val="32"/>
    <w:uiPriority w:val="99"/>
    <w:unhideWhenUsed/>
    <w:rsid w:val="00AE4B5C"/>
    <w:pPr>
      <w:widowControl w:val="0"/>
      <w:spacing w:after="120" w:line="240" w:lineRule="auto"/>
    </w:pPr>
    <w:rPr>
      <w:rFonts w:ascii="Times New Roman" w:eastAsia="Batang" w:hAnsi="Times New Roman" w:cs="Times New Roman"/>
      <w:sz w:val="16"/>
      <w:szCs w:val="16"/>
      <w:lang w:eastAsia="ru-RU"/>
    </w:rPr>
  </w:style>
  <w:style w:type="character" w:customStyle="1" w:styleId="32">
    <w:name w:val="Основной текст 3 Знак"/>
    <w:basedOn w:val="a0"/>
    <w:link w:val="31"/>
    <w:uiPriority w:val="99"/>
    <w:rsid w:val="00AE4B5C"/>
    <w:rPr>
      <w:rFonts w:ascii="Times New Roman" w:eastAsia="Batang" w:hAnsi="Times New Roman" w:cs="Times New Roman"/>
      <w:sz w:val="16"/>
      <w:szCs w:val="16"/>
      <w:lang w:val="en-US" w:eastAsia="ru-RU"/>
    </w:rPr>
  </w:style>
  <w:style w:type="character" w:customStyle="1" w:styleId="ab">
    <w:name w:val="Без интервала Знак"/>
    <w:link w:val="aa"/>
    <w:uiPriority w:val="1"/>
    <w:locked/>
    <w:rsid w:val="00AE4B5C"/>
    <w:rPr>
      <w:lang w:val="en-US"/>
    </w:rPr>
  </w:style>
  <w:style w:type="character" w:customStyle="1" w:styleId="ypks7kbdpwfgdykd3qb9">
    <w:name w:val="ypks7kbdpwfgdykd3qb9"/>
    <w:basedOn w:val="a0"/>
    <w:rsid w:val="005C36C2"/>
  </w:style>
  <w:style w:type="paragraph" w:customStyle="1" w:styleId="Reference">
    <w:name w:val="Reference"/>
    <w:basedOn w:val="a"/>
    <w:rsid w:val="005C36C2"/>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styleId="ac">
    <w:name w:val="FollowedHyperlink"/>
    <w:basedOn w:val="a0"/>
    <w:uiPriority w:val="99"/>
    <w:semiHidden/>
    <w:unhideWhenUsed/>
    <w:rsid w:val="005C36C2"/>
    <w:rPr>
      <w:color w:val="954F72" w:themeColor="followedHyperlink"/>
      <w:u w:val="single"/>
    </w:rPr>
  </w:style>
  <w:style w:type="character" w:styleId="ad">
    <w:name w:val="annotation reference"/>
    <w:basedOn w:val="a0"/>
    <w:uiPriority w:val="99"/>
    <w:semiHidden/>
    <w:unhideWhenUsed/>
    <w:rsid w:val="00570CB5"/>
    <w:rPr>
      <w:sz w:val="16"/>
      <w:szCs w:val="16"/>
    </w:rPr>
  </w:style>
  <w:style w:type="paragraph" w:styleId="ae">
    <w:name w:val="annotation text"/>
    <w:basedOn w:val="a"/>
    <w:link w:val="af"/>
    <w:uiPriority w:val="99"/>
    <w:semiHidden/>
    <w:unhideWhenUsed/>
    <w:rsid w:val="00570CB5"/>
    <w:pPr>
      <w:spacing w:line="240" w:lineRule="auto"/>
    </w:pPr>
    <w:rPr>
      <w:kern w:val="2"/>
      <w:sz w:val="20"/>
      <w:szCs w:val="20"/>
      <w:lang w:val="ru-RU"/>
      <w14:ligatures w14:val="standardContextual"/>
    </w:rPr>
  </w:style>
  <w:style w:type="character" w:customStyle="1" w:styleId="af">
    <w:name w:val="Текст примечания Знак"/>
    <w:basedOn w:val="a0"/>
    <w:link w:val="ae"/>
    <w:uiPriority w:val="99"/>
    <w:semiHidden/>
    <w:rsid w:val="00570CB5"/>
    <w:rPr>
      <w:kern w:val="2"/>
      <w:sz w:val="20"/>
      <w:szCs w:val="20"/>
      <w14:ligatures w14:val="standardContextual"/>
    </w:rPr>
  </w:style>
  <w:style w:type="paragraph" w:styleId="af0">
    <w:name w:val="Balloon Text"/>
    <w:basedOn w:val="a"/>
    <w:link w:val="af1"/>
    <w:uiPriority w:val="99"/>
    <w:semiHidden/>
    <w:unhideWhenUsed/>
    <w:rsid w:val="00570CB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70CB5"/>
    <w:rPr>
      <w:rFonts w:ascii="Segoe UI" w:hAnsi="Segoe UI" w:cs="Segoe UI"/>
      <w:sz w:val="18"/>
      <w:szCs w:val="18"/>
      <w:lang w:val="en-US"/>
    </w:rPr>
  </w:style>
  <w:style w:type="character" w:customStyle="1" w:styleId="mpunct">
    <w:name w:val="mpunct"/>
    <w:basedOn w:val="a0"/>
    <w:rsid w:val="00155A57"/>
  </w:style>
  <w:style w:type="character" w:customStyle="1" w:styleId="UnresolvedMention">
    <w:name w:val="Unresolved Mention"/>
    <w:basedOn w:val="a0"/>
    <w:uiPriority w:val="99"/>
    <w:semiHidden/>
    <w:unhideWhenUsed/>
    <w:rsid w:val="00DE22F1"/>
    <w:rPr>
      <w:color w:val="605E5C"/>
      <w:shd w:val="clear" w:color="auto" w:fill="E1DFDD"/>
    </w:rPr>
  </w:style>
  <w:style w:type="character" w:customStyle="1" w:styleId="typography-modulelvnit">
    <w:name w:val="typography-module__lvnit"/>
    <w:basedOn w:val="a0"/>
    <w:rsid w:val="0001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452">
      <w:bodyDiv w:val="1"/>
      <w:marLeft w:val="0"/>
      <w:marRight w:val="0"/>
      <w:marTop w:val="0"/>
      <w:marBottom w:val="0"/>
      <w:divBdr>
        <w:top w:val="none" w:sz="0" w:space="0" w:color="auto"/>
        <w:left w:val="none" w:sz="0" w:space="0" w:color="auto"/>
        <w:bottom w:val="none" w:sz="0" w:space="0" w:color="auto"/>
        <w:right w:val="none" w:sz="0" w:space="0" w:color="auto"/>
      </w:divBdr>
    </w:div>
    <w:div w:id="411439804">
      <w:bodyDiv w:val="1"/>
      <w:marLeft w:val="0"/>
      <w:marRight w:val="0"/>
      <w:marTop w:val="0"/>
      <w:marBottom w:val="0"/>
      <w:divBdr>
        <w:top w:val="none" w:sz="0" w:space="0" w:color="auto"/>
        <w:left w:val="none" w:sz="0" w:space="0" w:color="auto"/>
        <w:bottom w:val="none" w:sz="0" w:space="0" w:color="auto"/>
        <w:right w:val="none" w:sz="0" w:space="0" w:color="auto"/>
      </w:divBdr>
    </w:div>
    <w:div w:id="605234316">
      <w:bodyDiv w:val="1"/>
      <w:marLeft w:val="0"/>
      <w:marRight w:val="0"/>
      <w:marTop w:val="0"/>
      <w:marBottom w:val="0"/>
      <w:divBdr>
        <w:top w:val="none" w:sz="0" w:space="0" w:color="auto"/>
        <w:left w:val="none" w:sz="0" w:space="0" w:color="auto"/>
        <w:bottom w:val="none" w:sz="0" w:space="0" w:color="auto"/>
        <w:right w:val="none" w:sz="0" w:space="0" w:color="auto"/>
      </w:divBdr>
    </w:div>
    <w:div w:id="783888824">
      <w:bodyDiv w:val="1"/>
      <w:marLeft w:val="0"/>
      <w:marRight w:val="0"/>
      <w:marTop w:val="0"/>
      <w:marBottom w:val="0"/>
      <w:divBdr>
        <w:top w:val="none" w:sz="0" w:space="0" w:color="auto"/>
        <w:left w:val="none" w:sz="0" w:space="0" w:color="auto"/>
        <w:bottom w:val="none" w:sz="0" w:space="0" w:color="auto"/>
        <w:right w:val="none" w:sz="0" w:space="0" w:color="auto"/>
      </w:divBdr>
    </w:div>
    <w:div w:id="788086394">
      <w:bodyDiv w:val="1"/>
      <w:marLeft w:val="0"/>
      <w:marRight w:val="0"/>
      <w:marTop w:val="0"/>
      <w:marBottom w:val="0"/>
      <w:divBdr>
        <w:top w:val="none" w:sz="0" w:space="0" w:color="auto"/>
        <w:left w:val="none" w:sz="0" w:space="0" w:color="auto"/>
        <w:bottom w:val="none" w:sz="0" w:space="0" w:color="auto"/>
        <w:right w:val="none" w:sz="0" w:space="0" w:color="auto"/>
      </w:divBdr>
    </w:div>
    <w:div w:id="1110978068">
      <w:bodyDiv w:val="1"/>
      <w:marLeft w:val="0"/>
      <w:marRight w:val="0"/>
      <w:marTop w:val="0"/>
      <w:marBottom w:val="0"/>
      <w:divBdr>
        <w:top w:val="none" w:sz="0" w:space="0" w:color="auto"/>
        <w:left w:val="none" w:sz="0" w:space="0" w:color="auto"/>
        <w:bottom w:val="none" w:sz="0" w:space="0" w:color="auto"/>
        <w:right w:val="none" w:sz="0" w:space="0" w:color="auto"/>
      </w:divBdr>
    </w:div>
    <w:div w:id="1249778116">
      <w:bodyDiv w:val="1"/>
      <w:marLeft w:val="0"/>
      <w:marRight w:val="0"/>
      <w:marTop w:val="0"/>
      <w:marBottom w:val="0"/>
      <w:divBdr>
        <w:top w:val="none" w:sz="0" w:space="0" w:color="auto"/>
        <w:left w:val="none" w:sz="0" w:space="0" w:color="auto"/>
        <w:bottom w:val="none" w:sz="0" w:space="0" w:color="auto"/>
        <w:right w:val="none" w:sz="0" w:space="0" w:color="auto"/>
      </w:divBdr>
    </w:div>
    <w:div w:id="1836997127">
      <w:bodyDiv w:val="1"/>
      <w:marLeft w:val="0"/>
      <w:marRight w:val="0"/>
      <w:marTop w:val="0"/>
      <w:marBottom w:val="0"/>
      <w:divBdr>
        <w:top w:val="none" w:sz="0" w:space="0" w:color="auto"/>
        <w:left w:val="none" w:sz="0" w:space="0" w:color="auto"/>
        <w:bottom w:val="none" w:sz="0" w:space="0" w:color="auto"/>
        <w:right w:val="none" w:sz="0" w:space="0" w:color="auto"/>
      </w:divBdr>
    </w:div>
    <w:div w:id="1987974569">
      <w:bodyDiv w:val="1"/>
      <w:marLeft w:val="0"/>
      <w:marRight w:val="0"/>
      <w:marTop w:val="0"/>
      <w:marBottom w:val="0"/>
      <w:divBdr>
        <w:top w:val="none" w:sz="0" w:space="0" w:color="auto"/>
        <w:left w:val="none" w:sz="0" w:space="0" w:color="auto"/>
        <w:bottom w:val="none" w:sz="0" w:space="0" w:color="auto"/>
        <w:right w:val="none" w:sz="0" w:space="0" w:color="auto"/>
      </w:divBdr>
    </w:div>
    <w:div w:id="20277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40105049" TargetMode="External"/><Relationship Id="rId18" Type="http://schemas.openxmlformats.org/officeDocument/2006/relationships/hyperlink" Target="https://doi.org/10.1007/978-1-4471-5016-1" TargetMode="External"/><Relationship Id="rId26" Type="http://schemas.openxmlformats.org/officeDocument/2006/relationships/hyperlink" Target="https://doi.org/10.1063/5.0218921" TargetMode="External"/><Relationship Id="rId39" Type="http://schemas.openxmlformats.org/officeDocument/2006/relationships/hyperlink" Target="https://www.scopus.com/pages/publications/105013282668?origin=resultslist" TargetMode="External"/><Relationship Id="rId21" Type="http://schemas.openxmlformats.org/officeDocument/2006/relationships/hyperlink" Target="https://doi.org/10.1016/j.rser.2006.03.005" TargetMode="External"/><Relationship Id="rId34" Type="http://schemas.openxmlformats.org/officeDocument/2006/relationships/hyperlink" Target="https://doi.org/10.1063/5.0218876" TargetMode="External"/><Relationship Id="rId42" Type="http://schemas.openxmlformats.org/officeDocument/2006/relationships/hyperlink" Target="https://www.scopus.com/pages/publications/85198130684?origin=resultslist" TargetMode="External"/><Relationship Id="rId47" Type="http://schemas.openxmlformats.org/officeDocument/2006/relationships/hyperlink" Target="https://www.scopus.com/authid/detail.uri?authorId=57215216885" TargetMode="External"/><Relationship Id="rId50" Type="http://schemas.openxmlformats.org/officeDocument/2006/relationships/hyperlink" Target="https://www.scopus.com/authid/detail.uri?authorId=57215216885" TargetMode="External"/><Relationship Id="rId55" Type="http://schemas.openxmlformats.org/officeDocument/2006/relationships/hyperlink" Target="https://www.scopus.com/authid/detail.uri?authorId=57215216885" TargetMode="External"/><Relationship Id="rId7" Type="http://schemas.openxmlformats.org/officeDocument/2006/relationships/image" Target="media/image2.png"/><Relationship Id="rId12" Type="http://schemas.openxmlformats.org/officeDocument/2006/relationships/hyperlink" Target="https://doi.org/10.1051/e3sconf/202130401006" TargetMode="External"/><Relationship Id="rId17" Type="http://schemas.openxmlformats.org/officeDocument/2006/relationships/hyperlink" Target="https://doi.org/10.1051/e3sconf/202345204004" TargetMode="External"/><Relationship Id="rId25" Type="http://schemas.openxmlformats.org/officeDocument/2006/relationships/hyperlink" Target="https://doi.org/10.1051/e3sconf/202341703007" TargetMode="External"/><Relationship Id="rId33" Type="http://schemas.openxmlformats.org/officeDocument/2006/relationships/hyperlink" Target="https://doi.org/10.1063/5.0218869" TargetMode="External"/><Relationship Id="rId38" Type="http://schemas.openxmlformats.org/officeDocument/2006/relationships/hyperlink" Target="https://doi.org/10.1063/5.0305780" TargetMode="External"/><Relationship Id="rId46" Type="http://schemas.openxmlformats.org/officeDocument/2006/relationships/hyperlink" Target="https://www.scopus.com/pages/publications/85171540600?origin=resultslist" TargetMode="External"/><Relationship Id="rId2" Type="http://schemas.openxmlformats.org/officeDocument/2006/relationships/styles" Target="styles.xml"/><Relationship Id="rId16" Type="http://schemas.openxmlformats.org/officeDocument/2006/relationships/hyperlink" Target="https://doi.org/10.1051/e3sconf/202343401009" TargetMode="External"/><Relationship Id="rId20" Type="http://schemas.openxmlformats.org/officeDocument/2006/relationships/hyperlink" Target="https://doi.org/10.1016/j.rser.2009.11.006" TargetMode="External"/><Relationship Id="rId29" Type="http://schemas.openxmlformats.org/officeDocument/2006/relationships/hyperlink" Target="https://doi.org/10.1051/e3sconf/20184103006" TargetMode="External"/><Relationship Id="rId41" Type="http://schemas.openxmlformats.org/officeDocument/2006/relationships/hyperlink" Target="https://www.scopus.com/pages/publications/105013341188?origin=resultslist" TargetMode="External"/><Relationship Id="rId54" Type="http://schemas.openxmlformats.org/officeDocument/2006/relationships/hyperlink" Target="https://www.scopus.com/pages/publications/85132994140?origin=resultslis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456301011" TargetMode="External"/><Relationship Id="rId24" Type="http://schemas.openxmlformats.org/officeDocument/2006/relationships/hyperlink" Target="https://doi.org/10.1109/TIA.2008.924045" TargetMode="External"/><Relationship Id="rId32" Type="http://schemas.openxmlformats.org/officeDocument/2006/relationships/hyperlink" Target="https://doi.org/10.1051/e3sconf/202454806013" TargetMode="External"/><Relationship Id="rId37" Type="http://schemas.openxmlformats.org/officeDocument/2006/relationships/hyperlink" Target="https://doi.org/10.1063/5.0305786" TargetMode="External"/><Relationship Id="rId40" Type="http://schemas.openxmlformats.org/officeDocument/2006/relationships/hyperlink" Target="https://www.scopus.com/authid/detail.uri?authorId=57215216885" TargetMode="External"/><Relationship Id="rId45" Type="http://schemas.openxmlformats.org/officeDocument/2006/relationships/hyperlink" Target="https://www.scopus.com/authid/detail.uri?authorId=57215216885" TargetMode="External"/><Relationship Id="rId53" Type="http://schemas.openxmlformats.org/officeDocument/2006/relationships/hyperlink" Target="https://www.scopus.com/authid/detail.uri?authorId=57215216885" TargetMode="External"/><Relationship Id="rId5" Type="http://schemas.openxmlformats.org/officeDocument/2006/relationships/hyperlink" Target="mailto:ikhusniya@list.ru" TargetMode="External"/><Relationship Id="rId15" Type="http://schemas.openxmlformats.org/officeDocument/2006/relationships/hyperlink" Target="https://doi.org/10.1051/e3sconf/202343401008" TargetMode="External"/><Relationship Id="rId23" Type="http://schemas.openxmlformats.org/officeDocument/2006/relationships/hyperlink" Target="https://www.iea.org/reports/world-energy-outlook-2022" TargetMode="External"/><Relationship Id="rId28" Type="http://schemas.openxmlformats.org/officeDocument/2006/relationships/hyperlink" Target="https://doi.org/10.1051/e3sconf/202452503014" TargetMode="External"/><Relationship Id="rId36" Type="http://schemas.openxmlformats.org/officeDocument/2006/relationships/hyperlink" Target="https://doi.org/10.1063/5.0305792" TargetMode="External"/><Relationship Id="rId49" Type="http://schemas.openxmlformats.org/officeDocument/2006/relationships/hyperlink" Target="https://www.scopus.com/pages/publications/85151264661?origin=resultslist" TargetMode="External"/><Relationship Id="rId57" Type="http://schemas.openxmlformats.org/officeDocument/2006/relationships/theme" Target="theme/theme1.xml"/><Relationship Id="rId10" Type="http://schemas.openxmlformats.org/officeDocument/2006/relationships/hyperlink" Target="https://doi.org/10.1051/e3sconf/202449701013" TargetMode="External"/><Relationship Id="rId19" Type="http://schemas.openxmlformats.org/officeDocument/2006/relationships/hyperlink" Target="https://www.irena.org/publications" TargetMode="External"/><Relationship Id="rId31" Type="http://schemas.openxmlformats.org/officeDocument/2006/relationships/hyperlink" Target="https://doi.org/10.1051/e3sconf/202341703006" TargetMode="External"/><Relationship Id="rId44" Type="http://schemas.openxmlformats.org/officeDocument/2006/relationships/hyperlink" Target="https://www.scopus.com/pages/publications/85186989203?origin=resultslist" TargetMode="External"/><Relationship Id="rId52" Type="http://schemas.openxmlformats.org/officeDocument/2006/relationships/hyperlink" Target="https://www.scopus.com/pages/publications/85133010767?origin=resultslis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340205019" TargetMode="External"/><Relationship Id="rId22" Type="http://schemas.openxmlformats.org/officeDocument/2006/relationships/hyperlink" Target="https://doi.org/10.1016/j.renene.2019.05.073" TargetMode="External"/><Relationship Id="rId27" Type="http://schemas.openxmlformats.org/officeDocument/2006/relationships/hyperlink" Target="https://doi.org/10.1051/e3sconf/202341703015" TargetMode="External"/><Relationship Id="rId30" Type="http://schemas.openxmlformats.org/officeDocument/2006/relationships/hyperlink" Target="https://doi.org/10.1051/e3sconf/202341703010" TargetMode="External"/><Relationship Id="rId35" Type="http://schemas.openxmlformats.org/officeDocument/2006/relationships/hyperlink" Target="https://doi.org/10.1063/5.0305793" TargetMode="External"/><Relationship Id="rId43" Type="http://schemas.openxmlformats.org/officeDocument/2006/relationships/hyperlink" Target="https://www.scopus.com/authid/detail.uri?authorId=57215216885" TargetMode="External"/><Relationship Id="rId48" Type="http://schemas.openxmlformats.org/officeDocument/2006/relationships/hyperlink" Target="https://doi.org/10.1051/e3sconf/202341901015" TargetMode="External"/><Relationship Id="rId56" Type="http://schemas.openxmlformats.org/officeDocument/2006/relationships/fontTable" Target="fontTable.xml"/><Relationship Id="rId8" Type="http://schemas.openxmlformats.org/officeDocument/2006/relationships/image" Target="media/image3.emf"/><Relationship Id="rId51" Type="http://schemas.openxmlformats.org/officeDocument/2006/relationships/hyperlink" Target="https://doi.org/10.1088/1755-1315/1142/1/0120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5668</Words>
  <Characters>32310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32</cp:revision>
  <dcterms:created xsi:type="dcterms:W3CDTF">2025-12-02T05:41:00Z</dcterms:created>
  <dcterms:modified xsi:type="dcterms:W3CDTF">2026-01-09T12:55:00Z</dcterms:modified>
</cp:coreProperties>
</file>