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45408006" w:rsidR="001E129E" w:rsidRPr="001E1026" w:rsidRDefault="00B31054" w:rsidP="0092258E">
      <w:pPr>
        <w:spacing w:before="1200" w:after="200" w:line="240" w:lineRule="auto"/>
        <w:jc w:val="center"/>
        <w:rPr>
          <w:rFonts w:ascii="Times New Roman" w:hAnsi="Times New Roman" w:cs="Times New Roman"/>
          <w:b/>
          <w:sz w:val="36"/>
          <w:szCs w:val="36"/>
        </w:rPr>
      </w:pPr>
      <w:r w:rsidRPr="001E1026">
        <w:rPr>
          <w:rFonts w:ascii="Times New Roman" w:hAnsi="Times New Roman" w:cs="Times New Roman"/>
          <w:b/>
          <w:sz w:val="36"/>
          <w:szCs w:val="36"/>
        </w:rPr>
        <w:t xml:space="preserve">Integrated methods for assessing and </w:t>
      </w:r>
      <w:r w:rsidR="001C4308" w:rsidRPr="001E1026">
        <w:rPr>
          <w:rFonts w:ascii="Times New Roman" w:hAnsi="Times New Roman" w:cs="Times New Roman"/>
          <w:b/>
          <w:sz w:val="36"/>
          <w:szCs w:val="36"/>
        </w:rPr>
        <w:t>m</w:t>
      </w:r>
      <w:r w:rsidRPr="001E1026">
        <w:rPr>
          <w:rFonts w:ascii="Times New Roman" w:hAnsi="Times New Roman" w:cs="Times New Roman"/>
          <w:b/>
          <w:sz w:val="36"/>
          <w:szCs w:val="36"/>
        </w:rPr>
        <w:t xml:space="preserve">itigating </w:t>
      </w:r>
      <w:r w:rsidR="001C4308" w:rsidRPr="001E1026">
        <w:rPr>
          <w:rFonts w:ascii="Times New Roman" w:hAnsi="Times New Roman" w:cs="Times New Roman"/>
          <w:b/>
          <w:sz w:val="36"/>
          <w:szCs w:val="36"/>
        </w:rPr>
        <w:t>c</w:t>
      </w:r>
      <w:r w:rsidRPr="001E1026">
        <w:rPr>
          <w:rFonts w:ascii="Times New Roman" w:hAnsi="Times New Roman" w:cs="Times New Roman"/>
          <w:b/>
          <w:sz w:val="36"/>
          <w:szCs w:val="36"/>
        </w:rPr>
        <w:t>orona-</w:t>
      </w:r>
      <w:r w:rsidR="001C4308" w:rsidRPr="001E1026">
        <w:rPr>
          <w:rFonts w:ascii="Times New Roman" w:hAnsi="Times New Roman" w:cs="Times New Roman"/>
          <w:b/>
          <w:sz w:val="36"/>
          <w:szCs w:val="36"/>
        </w:rPr>
        <w:t>i</w:t>
      </w:r>
      <w:r w:rsidRPr="001E1026">
        <w:rPr>
          <w:rFonts w:ascii="Times New Roman" w:hAnsi="Times New Roman" w:cs="Times New Roman"/>
          <w:b/>
          <w:sz w:val="36"/>
          <w:szCs w:val="36"/>
        </w:rPr>
        <w:t xml:space="preserve">nduced </w:t>
      </w:r>
      <w:r w:rsidR="001C4308" w:rsidRPr="001E1026">
        <w:rPr>
          <w:rFonts w:ascii="Times New Roman" w:hAnsi="Times New Roman" w:cs="Times New Roman"/>
          <w:b/>
          <w:sz w:val="36"/>
          <w:szCs w:val="36"/>
        </w:rPr>
        <w:t>a</w:t>
      </w:r>
      <w:r w:rsidRPr="001E1026">
        <w:rPr>
          <w:rFonts w:ascii="Times New Roman" w:hAnsi="Times New Roman" w:cs="Times New Roman"/>
          <w:b/>
          <w:sz w:val="36"/>
          <w:szCs w:val="36"/>
        </w:rPr>
        <w:t xml:space="preserve">ctive </w:t>
      </w:r>
      <w:r w:rsidR="001C4308" w:rsidRPr="001E1026">
        <w:rPr>
          <w:rFonts w:ascii="Times New Roman" w:hAnsi="Times New Roman" w:cs="Times New Roman"/>
          <w:b/>
          <w:sz w:val="36"/>
          <w:szCs w:val="36"/>
        </w:rPr>
        <w:t>p</w:t>
      </w:r>
      <w:r w:rsidRPr="001E1026">
        <w:rPr>
          <w:rFonts w:ascii="Times New Roman" w:hAnsi="Times New Roman" w:cs="Times New Roman"/>
          <w:b/>
          <w:sz w:val="36"/>
          <w:szCs w:val="36"/>
        </w:rPr>
        <w:t xml:space="preserve">ower </w:t>
      </w:r>
      <w:r w:rsidR="001C4308" w:rsidRPr="001E1026">
        <w:rPr>
          <w:rFonts w:ascii="Times New Roman" w:hAnsi="Times New Roman" w:cs="Times New Roman"/>
          <w:b/>
          <w:sz w:val="36"/>
          <w:szCs w:val="36"/>
        </w:rPr>
        <w:t>l</w:t>
      </w:r>
      <w:r w:rsidRPr="001E1026">
        <w:rPr>
          <w:rFonts w:ascii="Times New Roman" w:hAnsi="Times New Roman" w:cs="Times New Roman"/>
          <w:b/>
          <w:sz w:val="36"/>
          <w:szCs w:val="36"/>
        </w:rPr>
        <w:t xml:space="preserve">osses in 110–220 kV </w:t>
      </w:r>
      <w:r w:rsidR="001C4308" w:rsidRPr="001E1026">
        <w:rPr>
          <w:rFonts w:ascii="Times New Roman" w:hAnsi="Times New Roman" w:cs="Times New Roman"/>
          <w:b/>
          <w:sz w:val="36"/>
          <w:szCs w:val="36"/>
        </w:rPr>
        <w:t>o</w:t>
      </w:r>
      <w:r w:rsidRPr="001E1026">
        <w:rPr>
          <w:rFonts w:ascii="Times New Roman" w:hAnsi="Times New Roman" w:cs="Times New Roman"/>
          <w:b/>
          <w:sz w:val="36"/>
          <w:szCs w:val="36"/>
        </w:rPr>
        <w:t xml:space="preserve">verhead </w:t>
      </w:r>
      <w:r w:rsidR="001C4308" w:rsidRPr="001E1026">
        <w:rPr>
          <w:rFonts w:ascii="Times New Roman" w:hAnsi="Times New Roman" w:cs="Times New Roman"/>
          <w:b/>
          <w:sz w:val="36"/>
          <w:szCs w:val="36"/>
        </w:rPr>
        <w:t>t</w:t>
      </w:r>
      <w:r w:rsidRPr="001E1026">
        <w:rPr>
          <w:rFonts w:ascii="Times New Roman" w:hAnsi="Times New Roman" w:cs="Times New Roman"/>
          <w:b/>
          <w:sz w:val="36"/>
          <w:szCs w:val="36"/>
        </w:rPr>
        <w:t xml:space="preserve">ransmission </w:t>
      </w:r>
      <w:r w:rsidR="001C4308" w:rsidRPr="001E1026">
        <w:rPr>
          <w:rFonts w:ascii="Times New Roman" w:hAnsi="Times New Roman" w:cs="Times New Roman"/>
          <w:b/>
          <w:sz w:val="36"/>
          <w:szCs w:val="36"/>
        </w:rPr>
        <w:t>l</w:t>
      </w:r>
      <w:r w:rsidRPr="001E1026">
        <w:rPr>
          <w:rFonts w:ascii="Times New Roman" w:hAnsi="Times New Roman" w:cs="Times New Roman"/>
          <w:b/>
          <w:sz w:val="36"/>
          <w:szCs w:val="36"/>
        </w:rPr>
        <w:t xml:space="preserve">ines </w:t>
      </w:r>
      <w:r w:rsidR="001C4308" w:rsidRPr="001E1026">
        <w:rPr>
          <w:rFonts w:ascii="Times New Roman" w:hAnsi="Times New Roman" w:cs="Times New Roman"/>
          <w:b/>
          <w:sz w:val="36"/>
          <w:szCs w:val="36"/>
        </w:rPr>
        <w:t>o</w:t>
      </w:r>
      <w:r w:rsidRPr="001E1026">
        <w:rPr>
          <w:rFonts w:ascii="Times New Roman" w:hAnsi="Times New Roman" w:cs="Times New Roman"/>
          <w:b/>
          <w:sz w:val="36"/>
          <w:szCs w:val="36"/>
        </w:rPr>
        <w:t xml:space="preserve">perating </w:t>
      </w:r>
      <w:r w:rsidR="001C4308" w:rsidRPr="001E1026">
        <w:rPr>
          <w:rFonts w:ascii="Times New Roman" w:hAnsi="Times New Roman" w:cs="Times New Roman"/>
          <w:b/>
          <w:sz w:val="36"/>
          <w:szCs w:val="36"/>
        </w:rPr>
        <w:t>u</w:t>
      </w:r>
      <w:r w:rsidRPr="001E1026">
        <w:rPr>
          <w:rFonts w:ascii="Times New Roman" w:hAnsi="Times New Roman" w:cs="Times New Roman"/>
          <w:b/>
          <w:sz w:val="36"/>
          <w:szCs w:val="36"/>
        </w:rPr>
        <w:t xml:space="preserve">nder </w:t>
      </w:r>
      <w:r w:rsidR="001C4308" w:rsidRPr="001E1026">
        <w:rPr>
          <w:rFonts w:ascii="Times New Roman" w:hAnsi="Times New Roman" w:cs="Times New Roman"/>
          <w:b/>
          <w:sz w:val="36"/>
          <w:szCs w:val="36"/>
        </w:rPr>
        <w:t>d</w:t>
      </w:r>
      <w:r w:rsidRPr="001E1026">
        <w:rPr>
          <w:rFonts w:ascii="Times New Roman" w:hAnsi="Times New Roman" w:cs="Times New Roman"/>
          <w:b/>
          <w:sz w:val="36"/>
          <w:szCs w:val="36"/>
        </w:rPr>
        <w:t xml:space="preserve">esert </w:t>
      </w:r>
      <w:r w:rsidR="001C4308" w:rsidRPr="001E1026">
        <w:rPr>
          <w:rFonts w:ascii="Times New Roman" w:hAnsi="Times New Roman" w:cs="Times New Roman"/>
          <w:b/>
          <w:sz w:val="36"/>
          <w:szCs w:val="36"/>
        </w:rPr>
        <w:t>c</w:t>
      </w:r>
      <w:r w:rsidRPr="001E1026">
        <w:rPr>
          <w:rFonts w:ascii="Times New Roman" w:hAnsi="Times New Roman" w:cs="Times New Roman"/>
          <w:b/>
          <w:sz w:val="36"/>
          <w:szCs w:val="36"/>
        </w:rPr>
        <w:t xml:space="preserve">limate </w:t>
      </w:r>
      <w:r w:rsidR="001C4308" w:rsidRPr="001E1026">
        <w:rPr>
          <w:rFonts w:ascii="Times New Roman" w:hAnsi="Times New Roman" w:cs="Times New Roman"/>
          <w:b/>
          <w:sz w:val="36"/>
          <w:szCs w:val="36"/>
        </w:rPr>
        <w:t>c</w:t>
      </w:r>
      <w:r w:rsidRPr="001E1026">
        <w:rPr>
          <w:rFonts w:ascii="Times New Roman" w:hAnsi="Times New Roman" w:cs="Times New Roman"/>
          <w:b/>
          <w:sz w:val="36"/>
          <w:szCs w:val="36"/>
        </w:rPr>
        <w:t xml:space="preserve">onditions </w:t>
      </w:r>
    </w:p>
    <w:p w14:paraId="1F5E1B4F" w14:textId="545A40FD" w:rsidR="00CA398A" w:rsidRPr="001E1026" w:rsidRDefault="00FF12CF" w:rsidP="00FF12CF">
      <w:pPr>
        <w:pStyle w:val="AuthorName"/>
        <w:spacing w:before="240" w:after="200"/>
        <w:rPr>
          <w:sz w:val="20"/>
          <w:lang w:eastAsia="en-GB"/>
        </w:rPr>
      </w:pPr>
      <w:proofErr w:type="spellStart"/>
      <w:r w:rsidRPr="001E1026">
        <w:t>Akram</w:t>
      </w:r>
      <w:proofErr w:type="spellEnd"/>
      <w:r w:rsidR="000C106A" w:rsidRPr="001E1026">
        <w:t xml:space="preserve"> </w:t>
      </w:r>
      <w:proofErr w:type="spellStart"/>
      <w:r w:rsidRPr="001E1026">
        <w:t>Tovbaev</w:t>
      </w:r>
      <w:proofErr w:type="spellEnd"/>
      <w:r w:rsidR="0015261D" w:rsidRPr="001E1026">
        <w:t xml:space="preserve"> </w:t>
      </w:r>
      <w:proofErr w:type="gramStart"/>
      <w:r w:rsidR="001970E3" w:rsidRPr="001E1026">
        <w:rPr>
          <w:vertAlign w:val="superscript"/>
          <w:lang w:val="uz-Cyrl-UZ"/>
        </w:rPr>
        <w:t>1</w:t>
      </w:r>
      <w:r w:rsidR="001E1026" w:rsidRPr="001E1026">
        <w:rPr>
          <w:vertAlign w:val="superscript"/>
          <w:lang w:val="uz-Cyrl-UZ"/>
        </w:rPr>
        <w:t>,</w:t>
      </w:r>
      <w:r w:rsidR="00742EFF" w:rsidRPr="001E1026">
        <w:rPr>
          <w:vertAlign w:val="superscript"/>
        </w:rPr>
        <w:t>a</w:t>
      </w:r>
      <w:proofErr w:type="gramEnd"/>
      <w:r w:rsidR="00742EFF" w:rsidRPr="001E1026">
        <w:rPr>
          <w:vertAlign w:val="superscript"/>
        </w:rPr>
        <w:t>)</w:t>
      </w:r>
      <w:r w:rsidR="000C106A" w:rsidRPr="001E1026">
        <w:t xml:space="preserve">, </w:t>
      </w:r>
      <w:r w:rsidR="0021790B" w:rsidRPr="001E1026">
        <w:rPr>
          <w:lang w:val="uz-Latn-UZ"/>
        </w:rPr>
        <w:t>Kuldoshev</w:t>
      </w:r>
      <w:r w:rsidR="00DF59AC" w:rsidRPr="001E1026">
        <w:rPr>
          <w:lang w:val="uz-Latn-UZ"/>
        </w:rPr>
        <w:t xml:space="preserve"> </w:t>
      </w:r>
      <w:r w:rsidR="0021790B" w:rsidRPr="001E1026">
        <w:rPr>
          <w:lang w:val="uz-Latn-UZ"/>
        </w:rPr>
        <w:t>Asliddin</w:t>
      </w:r>
      <w:r w:rsidR="0029521F" w:rsidRPr="001E1026">
        <w:rPr>
          <w:vertAlign w:val="superscript"/>
          <w:lang w:val="uz-Cyrl-UZ"/>
        </w:rPr>
        <w:t>2</w:t>
      </w:r>
      <w:r w:rsidR="0029521F" w:rsidRPr="001E1026">
        <w:rPr>
          <w:lang w:val="uz-Cyrl-UZ"/>
        </w:rPr>
        <w:t xml:space="preserve">, </w:t>
      </w:r>
      <w:proofErr w:type="spellStart"/>
      <w:r w:rsidR="00C52514" w:rsidRPr="001E1026">
        <w:t>Nishanov</w:t>
      </w:r>
      <w:proofErr w:type="spellEnd"/>
      <w:r w:rsidR="00C52514" w:rsidRPr="001E1026">
        <w:t xml:space="preserve"> </w:t>
      </w:r>
      <w:proofErr w:type="spellStart"/>
      <w:r w:rsidR="00C52514" w:rsidRPr="001E1026">
        <w:t>Ulug'bek</w:t>
      </w:r>
      <w:proofErr w:type="spellEnd"/>
      <w:r w:rsidR="0029521F" w:rsidRPr="001E1026">
        <w:rPr>
          <w:vertAlign w:val="superscript"/>
          <w:lang w:val="uz-Cyrl-UZ"/>
        </w:rPr>
        <w:t>2</w:t>
      </w:r>
      <w:r w:rsidR="001E1026" w:rsidRPr="001E1026">
        <w:rPr>
          <w:lang w:val="uz-Cyrl-UZ"/>
        </w:rPr>
        <w:t>, Kabira Kurbanova</w:t>
      </w:r>
      <w:r w:rsidR="001E1026" w:rsidRPr="001E1026">
        <w:rPr>
          <w:vertAlign w:val="superscript"/>
          <w:lang w:val="uz-Cyrl-UZ"/>
        </w:rPr>
        <w:t>3</w:t>
      </w:r>
    </w:p>
    <w:p w14:paraId="4709ED4E" w14:textId="6DB88585" w:rsidR="008745D5" w:rsidRPr="001E1026" w:rsidRDefault="00FF12CF" w:rsidP="00A4691D">
      <w:pPr>
        <w:pStyle w:val="AuthorAffiliation"/>
      </w:pPr>
      <w:r w:rsidRPr="001E1026">
        <w:rPr>
          <w:vertAlign w:val="superscript"/>
        </w:rPr>
        <w:t>1</w:t>
      </w:r>
      <w:r w:rsidR="0092258E" w:rsidRPr="001E1026">
        <w:rPr>
          <w:vertAlign w:val="superscript"/>
        </w:rPr>
        <w:t xml:space="preserve"> </w:t>
      </w:r>
      <w:r w:rsidRPr="001E1026">
        <w:t xml:space="preserve">Navoi State University of Mining and Technologies, </w:t>
      </w:r>
      <w:proofErr w:type="spellStart"/>
      <w:r w:rsidRPr="001E1026">
        <w:t>Navoiy</w:t>
      </w:r>
      <w:proofErr w:type="spellEnd"/>
      <w:r w:rsidRPr="001E1026">
        <w:t>, Uzbekistan</w:t>
      </w:r>
    </w:p>
    <w:p w14:paraId="3EF553F0" w14:textId="5AE730D5" w:rsidR="00E3356D" w:rsidRPr="001E1026" w:rsidRDefault="00E3356D" w:rsidP="00E3356D">
      <w:pPr>
        <w:pStyle w:val="AuthorAffiliation"/>
        <w:rPr>
          <w:lang w:val="uz-Cyrl-UZ"/>
        </w:rPr>
      </w:pPr>
      <w:r w:rsidRPr="001E1026">
        <w:rPr>
          <w:vertAlign w:val="superscript"/>
        </w:rPr>
        <w:t>2</w:t>
      </w:r>
      <w:r w:rsidR="0092258E" w:rsidRPr="001E1026">
        <w:rPr>
          <w:vertAlign w:val="superscript"/>
        </w:rPr>
        <w:t xml:space="preserve"> </w:t>
      </w:r>
      <w:r w:rsidRPr="001E1026">
        <w:t>Samarkand State of architecture and Construction University, Samarkand, Uzbekistan</w:t>
      </w:r>
    </w:p>
    <w:p w14:paraId="5348B99F" w14:textId="572E871C" w:rsidR="001E1026" w:rsidRPr="001E1026" w:rsidRDefault="001E1026" w:rsidP="00E3356D">
      <w:pPr>
        <w:pStyle w:val="AuthorAffiliation"/>
        <w:rPr>
          <w:lang w:val="uz-Cyrl-UZ"/>
        </w:rPr>
      </w:pPr>
      <w:r w:rsidRPr="001E1026">
        <w:rPr>
          <w:vertAlign w:val="superscript"/>
          <w:lang w:val="uz-Cyrl-UZ"/>
        </w:rPr>
        <w:t>3</w:t>
      </w:r>
      <w:r w:rsidRPr="001E1026">
        <w:rPr>
          <w:lang w:val="uz-Cyrl-UZ"/>
        </w:rPr>
        <w:t>Tashkent state technical university named after Islam Karimov, Tashkent, Uzbekistan</w:t>
      </w:r>
    </w:p>
    <w:p w14:paraId="1397C91D" w14:textId="17C83A66" w:rsidR="00CA398A" w:rsidRPr="001E1026" w:rsidRDefault="008745D5" w:rsidP="008745D5">
      <w:pPr>
        <w:pStyle w:val="AuthorAffiliation"/>
        <w:spacing w:before="200" w:after="200"/>
      </w:pPr>
      <w:r w:rsidRPr="001E1026">
        <w:rPr>
          <w:szCs w:val="18"/>
          <w:vertAlign w:val="superscript"/>
        </w:rPr>
        <w:t>a)</w:t>
      </w:r>
      <w:r w:rsidRPr="001E1026">
        <w:rPr>
          <w:szCs w:val="18"/>
        </w:rPr>
        <w:t xml:space="preserve"> Corresponding author: </w:t>
      </w:r>
      <w:hyperlink r:id="rId5" w:history="1">
        <w:r w:rsidR="00B31054" w:rsidRPr="001E1026">
          <w:rPr>
            <w:rStyle w:val="a6"/>
          </w:rPr>
          <w:t>tovboyev70@mail.ru</w:t>
        </w:r>
      </w:hyperlink>
      <w:r w:rsidR="00B31054" w:rsidRPr="001E1026">
        <w:t xml:space="preserve"> </w:t>
      </w:r>
      <w:r w:rsidR="006663ED" w:rsidRPr="001E1026">
        <w:rPr>
          <w:iCs/>
        </w:rPr>
        <w:t xml:space="preserve"> </w:t>
      </w:r>
    </w:p>
    <w:p w14:paraId="410B173B" w14:textId="5279170C" w:rsidR="00BC4E3B" w:rsidRPr="001E1026" w:rsidRDefault="00E25282" w:rsidP="0053175F">
      <w:pPr>
        <w:spacing w:before="360" w:after="360" w:line="240" w:lineRule="auto"/>
        <w:ind w:left="284" w:right="284"/>
        <w:jc w:val="both"/>
        <w:rPr>
          <w:rFonts w:ascii="Times New Roman" w:hAnsi="Times New Roman" w:cs="Times New Roman"/>
          <w:iCs/>
          <w:sz w:val="18"/>
          <w:szCs w:val="18"/>
          <w:lang w:val="uz-Cyrl-UZ"/>
        </w:rPr>
      </w:pPr>
      <w:r w:rsidRPr="001E1026">
        <w:rPr>
          <w:rFonts w:ascii="Times New Roman" w:hAnsi="Times New Roman" w:cs="Times New Roman"/>
          <w:b/>
          <w:sz w:val="18"/>
          <w:szCs w:val="18"/>
        </w:rPr>
        <w:t>Abstract</w:t>
      </w:r>
      <w:r w:rsidR="00CA398A" w:rsidRPr="001E1026">
        <w:rPr>
          <w:rFonts w:ascii="Times New Roman" w:hAnsi="Times New Roman" w:cs="Times New Roman"/>
          <w:b/>
          <w:sz w:val="18"/>
          <w:szCs w:val="18"/>
        </w:rPr>
        <w:t>.</w:t>
      </w:r>
      <w:r w:rsidR="000C106A" w:rsidRPr="001E1026">
        <w:rPr>
          <w:rFonts w:ascii="Times New Roman" w:hAnsi="Times New Roman" w:cs="Times New Roman"/>
          <w:iCs/>
          <w:sz w:val="18"/>
          <w:szCs w:val="18"/>
          <w:lang w:val="uz-Cyrl-UZ"/>
        </w:rPr>
        <w:t xml:space="preserve"> </w:t>
      </w:r>
      <w:r w:rsidR="001C4308" w:rsidRPr="001E1026">
        <w:rPr>
          <w:rFonts w:ascii="Times New Roman" w:hAnsi="Times New Roman" w:cs="Times New Roman"/>
          <w:iCs/>
          <w:sz w:val="18"/>
          <w:szCs w:val="18"/>
          <w:lang w:val="uz-Cyrl-UZ"/>
        </w:rPr>
        <w:t xml:space="preserve">The article </w:t>
      </w:r>
      <w:r w:rsidR="0053175F" w:rsidRPr="001E1026">
        <w:rPr>
          <w:rFonts w:ascii="Times New Roman" w:hAnsi="Times New Roman" w:cs="Times New Roman"/>
          <w:iCs/>
          <w:sz w:val="18"/>
          <w:szCs w:val="18"/>
          <w:lang w:val="uz-Latn-UZ"/>
        </w:rPr>
        <w:t>c</w:t>
      </w:r>
      <w:r w:rsidR="0053175F" w:rsidRPr="001E1026">
        <w:rPr>
          <w:rFonts w:ascii="Times New Roman" w:hAnsi="Times New Roman" w:cs="Times New Roman"/>
          <w:iCs/>
          <w:sz w:val="18"/>
          <w:szCs w:val="18"/>
          <w:lang w:val="uz-Cyrl-UZ"/>
        </w:rPr>
        <w:t>orona losses are evaluated based on the power dissipated per unit length of the transmission line and on the duration of various weather conditions within the assessment period. For the purpose of corona-loss calculations, fair-weather conditions are defined as periods with relative humidity below 100% and without ice accretion on the conductors. In contrast, wet-weather conditions correspond to rainfall, wet snow, or fog. When long-term weather-duration statistics for the calculation interval are unavailable, corona losses are estimated according to the climatic characteristics of the region in which the transmission line is located.</w:t>
      </w:r>
      <w:r w:rsidR="0053175F" w:rsidRPr="001E1026">
        <w:rPr>
          <w:rFonts w:ascii="Times New Roman" w:hAnsi="Times New Roman" w:cs="Times New Roman"/>
          <w:iCs/>
          <w:sz w:val="18"/>
          <w:szCs w:val="18"/>
          <w:lang w:val="uz-Latn-UZ"/>
        </w:rPr>
        <w:t xml:space="preserve"> </w:t>
      </w:r>
      <w:r w:rsidR="0053175F" w:rsidRPr="001E1026">
        <w:rPr>
          <w:rFonts w:ascii="Times New Roman" w:hAnsi="Times New Roman" w:cs="Times New Roman"/>
          <w:iCs/>
          <w:sz w:val="18"/>
          <w:szCs w:val="18"/>
          <w:lang w:val="uz-Cyrl-UZ"/>
        </w:rPr>
        <w:t>Corona power losses exhibit an extremely wide range of variability</w:t>
      </w:r>
      <w:r w:rsidR="0053175F" w:rsidRPr="001E1026">
        <w:rPr>
          <w:rFonts w:ascii="Times New Roman" w:hAnsi="Times New Roman" w:cs="Times New Roman"/>
          <w:iCs/>
          <w:sz w:val="18"/>
          <w:szCs w:val="18"/>
          <w:lang w:val="uz-Latn-UZ"/>
        </w:rPr>
        <w:t xml:space="preserve"> </w:t>
      </w:r>
      <w:r w:rsidR="0053175F" w:rsidRPr="001E1026">
        <w:rPr>
          <w:rFonts w:ascii="Times New Roman" w:hAnsi="Times New Roman" w:cs="Times New Roman"/>
          <w:iCs/>
          <w:sz w:val="18"/>
          <w:szCs w:val="18"/>
          <w:lang w:val="uz-Cyrl-UZ"/>
        </w:rPr>
        <w:t>typically spanning two orders of magnitude</w:t>
      </w:r>
      <w:r w:rsidR="0053175F" w:rsidRPr="001E1026">
        <w:rPr>
          <w:rFonts w:ascii="Times New Roman" w:hAnsi="Times New Roman" w:cs="Times New Roman"/>
          <w:iCs/>
          <w:sz w:val="18"/>
          <w:szCs w:val="18"/>
          <w:lang w:val="uz-Latn-UZ"/>
        </w:rPr>
        <w:t xml:space="preserve"> </w:t>
      </w:r>
      <w:r w:rsidR="0053175F" w:rsidRPr="001E1026">
        <w:rPr>
          <w:rFonts w:ascii="Times New Roman" w:hAnsi="Times New Roman" w:cs="Times New Roman"/>
          <w:iCs/>
          <w:sz w:val="18"/>
          <w:szCs w:val="18"/>
          <w:lang w:val="uz-Cyrl-UZ"/>
        </w:rPr>
        <w:t>and their fluctuations over time can be very rapid. As a result, periodic measurements conducted on test sections of the line do not provide sufficiently reliable values of average or maximum corona losses. To fully characterize corona-loss behavior, continuous long-term data on meteorological parameters and corona discharge energy over an entire solar activity cycle (approximately 10–12 years) are required, since the recurrence of many atmospheric phenomena follows this solar</w:t>
      </w:r>
      <w:r w:rsidR="0053175F" w:rsidRPr="001E1026">
        <w:rPr>
          <w:rFonts w:ascii="Times New Roman" w:hAnsi="Times New Roman" w:cs="Times New Roman"/>
          <w:iCs/>
          <w:sz w:val="18"/>
          <w:szCs w:val="18"/>
          <w:lang w:val="uz-Latn-UZ"/>
        </w:rPr>
        <w:t>-</w:t>
      </w:r>
      <w:r w:rsidR="0053175F" w:rsidRPr="001E1026">
        <w:rPr>
          <w:rFonts w:ascii="Times New Roman" w:hAnsi="Times New Roman" w:cs="Times New Roman"/>
          <w:iCs/>
          <w:sz w:val="18"/>
          <w:szCs w:val="18"/>
          <w:lang w:val="uz-Cyrl-UZ"/>
        </w:rPr>
        <w:t>cycle periodicity.</w:t>
      </w:r>
    </w:p>
    <w:p w14:paraId="61870707" w14:textId="1ED93274" w:rsidR="008A22AB" w:rsidRPr="001E1026" w:rsidRDefault="00CA398A" w:rsidP="00CA398A">
      <w:pPr>
        <w:spacing w:before="240" w:after="240" w:line="240" w:lineRule="auto"/>
        <w:ind w:firstLine="567"/>
        <w:jc w:val="center"/>
        <w:rPr>
          <w:rFonts w:ascii="Times New Roman" w:hAnsi="Times New Roman" w:cs="Times New Roman"/>
          <w:b/>
          <w:sz w:val="24"/>
          <w:szCs w:val="24"/>
        </w:rPr>
      </w:pPr>
      <w:r w:rsidRPr="001E1026">
        <w:rPr>
          <w:rFonts w:ascii="Times New Roman" w:hAnsi="Times New Roman" w:cs="Times New Roman"/>
          <w:b/>
          <w:sz w:val="24"/>
          <w:szCs w:val="24"/>
        </w:rPr>
        <w:t>INTRODUCTION</w:t>
      </w:r>
    </w:p>
    <w:p w14:paraId="73863E88" w14:textId="02A7E7C8" w:rsidR="006820B6" w:rsidRPr="001E1026" w:rsidRDefault="001139C6" w:rsidP="001139C6">
      <w:pPr>
        <w:spacing w:after="0" w:line="240" w:lineRule="auto"/>
        <w:ind w:firstLine="284"/>
        <w:jc w:val="both"/>
        <w:rPr>
          <w:rFonts w:ascii="Times New Roman" w:hAnsi="Times New Roman" w:cs="Times New Roman"/>
          <w:sz w:val="20"/>
        </w:rPr>
      </w:pPr>
      <w:r w:rsidRPr="001E1026">
        <w:rPr>
          <w:rFonts w:ascii="Times New Roman" w:hAnsi="Times New Roman" w:cs="Times New Roman"/>
          <w:sz w:val="20"/>
        </w:rPr>
        <w:t>Corona losses refer to the energy dissipated during electric power transmission as a consequence of corona discharge formation along the conductors. A corona discharge represents a specific type of self-sustained gaseous discharge that develops in regions of highly non-uniform electric fields. A distinctive feature of corona is that ionization processes generated by free electrons do not extend along the entire medium but occur primarily in the vicinity of the electrode-for instance, around an overhead line conductor. This region is characterized by electric field intensities significantly higher than the average field values in the surrounding space. When the local electric field approaches its critical strength, a luminous envelope-commonly observed as bluish glow-forms around the electrode, giving rise to the phenomenon known as corona. The energy losses arising during corona discharge result from collisions between ions and air molecules within the electric field surrounding the conductor, which in turn causes localized heating of the air. To analyze the characteristics of corona discharge experimentally, measurements were conducted on specially designed test spans equipped with conductors whose cross-sectional parameters, configurations, and spatial arrangements closely replicate those found in practical transmission systems.</w:t>
      </w:r>
      <w:r w:rsidRPr="001E1026">
        <w:rPr>
          <w:rFonts w:ascii="Times New Roman" w:hAnsi="Times New Roman" w:cs="Times New Roman"/>
        </w:rPr>
        <w:t xml:space="preserve"> </w:t>
      </w:r>
      <w:r w:rsidRPr="001E1026">
        <w:rPr>
          <w:rFonts w:ascii="Times New Roman" w:hAnsi="Times New Roman" w:cs="Times New Roman"/>
          <w:sz w:val="20"/>
        </w:rPr>
        <w:t xml:space="preserve">Along the length of an overhead transmission line, the electric field and voltage distribution are not perfectly uniform. In addition, minor surface irregularities or roughness on the conductor may be present. These factors because the electric field intensity to increase locally at certain points on the conductor surface, leading to the early initiation of corona discharge not over the entire conductor, but only within limited, highly stressed regions. This phenomenon is referred to as local corona or partial corona discharge. When corona discharge develops uniformly along the entire conductor surface and results in measurable energy dissipation over the full conductor length, the phenomenon is classified as general corona. Considering that, within the Russian climatic zone, approximately 6000 hours out of the average 8760 hours per year fall under fair-weather conditions, the diameters of conductors used in overhead </w:t>
      </w:r>
      <w:r w:rsidRPr="001E1026">
        <w:rPr>
          <w:rFonts w:ascii="Times New Roman" w:hAnsi="Times New Roman" w:cs="Times New Roman"/>
          <w:sz w:val="20"/>
        </w:rPr>
        <w:lastRenderedPageBreak/>
        <w:t>transmission lines are selected such that general corona does not occur under typical fair-weather operating conditions [1-5].</w:t>
      </w:r>
    </w:p>
    <w:p w14:paraId="249CB995" w14:textId="77777777" w:rsidR="001E1026" w:rsidRPr="001E1026" w:rsidRDefault="001E1026" w:rsidP="001139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lang w:val="uz-Cyrl-UZ" w:eastAsia="de-DE"/>
        </w:rPr>
      </w:pPr>
    </w:p>
    <w:p w14:paraId="41D1CDCD" w14:textId="7D5E457D" w:rsidR="001139C6" w:rsidRPr="001E1026" w:rsidRDefault="001139C6" w:rsidP="001139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de-DE"/>
        </w:rPr>
      </w:pPr>
      <w:r w:rsidRPr="001E1026">
        <w:rPr>
          <w:rFonts w:ascii="Times New Roman" w:hAnsi="Times New Roman" w:cs="Times New Roman"/>
          <w:b/>
          <w:sz w:val="20"/>
          <w:szCs w:val="20"/>
          <w:lang w:eastAsia="de-DE"/>
        </w:rPr>
        <w:t>TABLE 1.</w:t>
      </w:r>
      <w:r w:rsidRPr="001E1026">
        <w:rPr>
          <w:rFonts w:ascii="Times New Roman" w:hAnsi="Times New Roman" w:cs="Times New Roman"/>
          <w:sz w:val="20"/>
          <w:szCs w:val="20"/>
          <w:lang w:eastAsia="de-DE"/>
        </w:rPr>
        <w:t xml:space="preserve"> The calculated average annual corona power dissipation</w:t>
      </w:r>
    </w:p>
    <w:tbl>
      <w:tblPr>
        <w:tblStyle w:val="a3"/>
        <w:tblW w:w="8363" w:type="dxa"/>
        <w:tblInd w:w="817" w:type="dxa"/>
        <w:tblLook w:val="04A0" w:firstRow="1" w:lastRow="0" w:firstColumn="1" w:lastColumn="0" w:noHBand="0" w:noVBand="1"/>
      </w:tblPr>
      <w:tblGrid>
        <w:gridCol w:w="1107"/>
        <w:gridCol w:w="1161"/>
        <w:gridCol w:w="1559"/>
        <w:gridCol w:w="1560"/>
        <w:gridCol w:w="850"/>
        <w:gridCol w:w="992"/>
        <w:gridCol w:w="1134"/>
      </w:tblGrid>
      <w:tr w:rsidR="001139C6" w:rsidRPr="001E1026" w14:paraId="26C3A272" w14:textId="77777777" w:rsidTr="001139C6">
        <w:trPr>
          <w:trHeight w:val="366"/>
        </w:trPr>
        <w:tc>
          <w:tcPr>
            <w:tcW w:w="1107" w:type="dxa"/>
            <w:vMerge w:val="restart"/>
          </w:tcPr>
          <w:p w14:paraId="267F4B37" w14:textId="6CDD81E2" w:rsidR="001139C6" w:rsidRPr="001E1026" w:rsidRDefault="001139C6" w:rsidP="001139C6">
            <w:pPr>
              <w:widowControl w:val="0"/>
              <w:jc w:val="center"/>
              <w:rPr>
                <w:b/>
                <w:sz w:val="18"/>
                <w:szCs w:val="18"/>
                <w:lang w:val="uz-Latn-UZ"/>
              </w:rPr>
            </w:pPr>
            <w:r w:rsidRPr="001E1026">
              <w:rPr>
                <w:b/>
                <w:sz w:val="18"/>
                <w:szCs w:val="18"/>
                <w:lang w:val="en-US"/>
              </w:rPr>
              <w:t>Voltage</w:t>
            </w:r>
            <w:r w:rsidRPr="001E1026">
              <w:rPr>
                <w:b/>
                <w:sz w:val="18"/>
                <w:szCs w:val="18"/>
              </w:rPr>
              <w:t xml:space="preserve"> </w:t>
            </w:r>
            <w:r w:rsidRPr="001E1026">
              <w:rPr>
                <w:b/>
                <w:sz w:val="18"/>
                <w:szCs w:val="18"/>
                <w:lang w:val="uz-Latn-UZ"/>
              </w:rPr>
              <w:t>U</w:t>
            </w:r>
            <w:r w:rsidRPr="001E1026">
              <w:rPr>
                <w:b/>
                <w:sz w:val="18"/>
                <w:szCs w:val="18"/>
                <w:vertAlign w:val="subscript"/>
                <w:lang w:val="uz-Latn-UZ"/>
              </w:rPr>
              <w:t>n</w:t>
            </w:r>
            <w:r w:rsidRPr="001E1026">
              <w:rPr>
                <w:b/>
                <w:sz w:val="18"/>
                <w:szCs w:val="18"/>
                <w:lang w:val="uz-Latn-UZ"/>
              </w:rPr>
              <w:t>, kV</w:t>
            </w:r>
          </w:p>
        </w:tc>
        <w:tc>
          <w:tcPr>
            <w:tcW w:w="1161" w:type="dxa"/>
            <w:vMerge w:val="restart"/>
          </w:tcPr>
          <w:p w14:paraId="7C7556AB" w14:textId="49E970FB" w:rsidR="001139C6" w:rsidRPr="001E1026" w:rsidRDefault="001139C6" w:rsidP="001139C6">
            <w:pPr>
              <w:widowControl w:val="0"/>
              <w:jc w:val="center"/>
              <w:rPr>
                <w:b/>
                <w:sz w:val="18"/>
                <w:szCs w:val="18"/>
                <w:lang w:val="en-US"/>
              </w:rPr>
            </w:pPr>
            <w:r w:rsidRPr="001E1026">
              <w:rPr>
                <w:b/>
                <w:sz w:val="18"/>
                <w:szCs w:val="18"/>
                <w:lang w:val="en-US"/>
              </w:rPr>
              <w:t>Number of conductors per phase</w:t>
            </w:r>
          </w:p>
        </w:tc>
        <w:tc>
          <w:tcPr>
            <w:tcW w:w="1559" w:type="dxa"/>
            <w:vMerge w:val="restart"/>
          </w:tcPr>
          <w:p w14:paraId="3C8AC838" w14:textId="42CCEB17" w:rsidR="001139C6" w:rsidRPr="001E1026" w:rsidRDefault="001139C6" w:rsidP="001139C6">
            <w:pPr>
              <w:widowControl w:val="0"/>
              <w:jc w:val="center"/>
              <w:rPr>
                <w:b/>
                <w:sz w:val="18"/>
                <w:szCs w:val="18"/>
                <w:lang w:val="en-US"/>
              </w:rPr>
            </w:pPr>
            <w:r w:rsidRPr="001E1026">
              <w:rPr>
                <w:b/>
                <w:sz w:val="18"/>
                <w:szCs w:val="18"/>
                <w:lang w:val="en-US"/>
              </w:rPr>
              <w:t>Cross-section of AC conductor</w:t>
            </w:r>
          </w:p>
        </w:tc>
        <w:tc>
          <w:tcPr>
            <w:tcW w:w="1560" w:type="dxa"/>
            <w:vMerge w:val="restart"/>
          </w:tcPr>
          <w:p w14:paraId="332FEDFA" w14:textId="582AAACF" w:rsidR="001139C6" w:rsidRPr="001E1026" w:rsidRDefault="001139C6" w:rsidP="001139C6">
            <w:pPr>
              <w:widowControl w:val="0"/>
              <w:jc w:val="center"/>
              <w:rPr>
                <w:b/>
                <w:sz w:val="18"/>
                <w:szCs w:val="18"/>
                <w:lang w:val="en-US"/>
              </w:rPr>
            </w:pPr>
            <w:r w:rsidRPr="001E1026">
              <w:rPr>
                <w:b/>
                <w:sz w:val="18"/>
                <w:szCs w:val="18"/>
                <w:lang w:val="en-US"/>
              </w:rPr>
              <w:t>Conductor radius, mm</w:t>
            </w:r>
          </w:p>
        </w:tc>
        <w:tc>
          <w:tcPr>
            <w:tcW w:w="1842" w:type="dxa"/>
            <w:gridSpan w:val="2"/>
          </w:tcPr>
          <w:p w14:paraId="580CFF67" w14:textId="0EE29E34" w:rsidR="001139C6" w:rsidRPr="001E1026" w:rsidRDefault="001139C6" w:rsidP="001139C6">
            <w:pPr>
              <w:widowControl w:val="0"/>
              <w:jc w:val="center"/>
              <w:rPr>
                <w:b/>
                <w:sz w:val="18"/>
                <w:szCs w:val="18"/>
                <w:lang w:val="en-US"/>
              </w:rPr>
            </w:pPr>
            <w:r w:rsidRPr="001E1026">
              <w:rPr>
                <w:b/>
                <w:sz w:val="18"/>
                <w:szCs w:val="18"/>
                <w:lang w:val="en-US"/>
              </w:rPr>
              <w:t>Losses, W/m</w:t>
            </w:r>
          </w:p>
        </w:tc>
        <w:tc>
          <w:tcPr>
            <w:tcW w:w="1134" w:type="dxa"/>
            <w:vMerge w:val="restart"/>
          </w:tcPr>
          <w:p w14:paraId="05AF079C" w14:textId="626B81C2" w:rsidR="001139C6" w:rsidRPr="001E1026" w:rsidRDefault="001139C6" w:rsidP="001139C6">
            <w:pPr>
              <w:widowControl w:val="0"/>
              <w:jc w:val="center"/>
              <w:rPr>
                <w:b/>
                <w:sz w:val="18"/>
                <w:szCs w:val="18"/>
                <w:lang w:val="en-US"/>
              </w:rPr>
            </w:pPr>
            <w:r w:rsidRPr="001E1026">
              <w:rPr>
                <w:b/>
                <w:sz w:val="18"/>
                <w:szCs w:val="18"/>
                <w:lang w:val="en-US"/>
              </w:rPr>
              <w:t>Ratio P</w:t>
            </w:r>
            <w:r w:rsidRPr="001E1026">
              <w:rPr>
                <w:b/>
                <w:sz w:val="18"/>
                <w:szCs w:val="18"/>
                <w:vertAlign w:val="subscript"/>
                <w:lang w:val="en-US"/>
              </w:rPr>
              <w:t>2</w:t>
            </w:r>
            <w:r w:rsidRPr="001E1026">
              <w:rPr>
                <w:b/>
                <w:sz w:val="18"/>
                <w:szCs w:val="18"/>
                <w:lang w:val="en-US"/>
              </w:rPr>
              <w:t>/P</w:t>
            </w:r>
            <w:r w:rsidRPr="001E1026">
              <w:rPr>
                <w:b/>
                <w:sz w:val="18"/>
                <w:szCs w:val="18"/>
                <w:vertAlign w:val="subscript"/>
                <w:lang w:val="en-US"/>
              </w:rPr>
              <w:t>1</w:t>
            </w:r>
          </w:p>
        </w:tc>
      </w:tr>
      <w:tr w:rsidR="001139C6" w:rsidRPr="001E1026" w14:paraId="4DD4C4A8" w14:textId="77777777" w:rsidTr="001E1026">
        <w:trPr>
          <w:trHeight w:val="70"/>
        </w:trPr>
        <w:tc>
          <w:tcPr>
            <w:tcW w:w="1107" w:type="dxa"/>
            <w:vMerge/>
          </w:tcPr>
          <w:p w14:paraId="51D1F720" w14:textId="77777777" w:rsidR="001139C6" w:rsidRPr="001E1026" w:rsidRDefault="001139C6" w:rsidP="001139C6">
            <w:pPr>
              <w:widowControl w:val="0"/>
              <w:jc w:val="center"/>
              <w:rPr>
                <w:b/>
                <w:sz w:val="18"/>
                <w:szCs w:val="18"/>
              </w:rPr>
            </w:pPr>
          </w:p>
        </w:tc>
        <w:tc>
          <w:tcPr>
            <w:tcW w:w="1161" w:type="dxa"/>
            <w:vMerge/>
          </w:tcPr>
          <w:p w14:paraId="7F026508" w14:textId="77777777" w:rsidR="001139C6" w:rsidRPr="001E1026" w:rsidRDefault="001139C6" w:rsidP="001139C6">
            <w:pPr>
              <w:widowControl w:val="0"/>
              <w:jc w:val="center"/>
              <w:rPr>
                <w:b/>
                <w:sz w:val="18"/>
                <w:szCs w:val="18"/>
              </w:rPr>
            </w:pPr>
          </w:p>
        </w:tc>
        <w:tc>
          <w:tcPr>
            <w:tcW w:w="1559" w:type="dxa"/>
            <w:vMerge/>
          </w:tcPr>
          <w:p w14:paraId="19EADF04" w14:textId="77777777" w:rsidR="001139C6" w:rsidRPr="001E1026" w:rsidRDefault="001139C6" w:rsidP="001139C6">
            <w:pPr>
              <w:widowControl w:val="0"/>
              <w:jc w:val="center"/>
              <w:rPr>
                <w:b/>
                <w:sz w:val="18"/>
                <w:szCs w:val="18"/>
              </w:rPr>
            </w:pPr>
          </w:p>
        </w:tc>
        <w:tc>
          <w:tcPr>
            <w:tcW w:w="1560" w:type="dxa"/>
            <w:vMerge/>
          </w:tcPr>
          <w:p w14:paraId="627A60B6" w14:textId="77777777" w:rsidR="001139C6" w:rsidRPr="001E1026" w:rsidRDefault="001139C6" w:rsidP="001139C6">
            <w:pPr>
              <w:widowControl w:val="0"/>
              <w:jc w:val="center"/>
              <w:rPr>
                <w:b/>
                <w:sz w:val="18"/>
                <w:szCs w:val="18"/>
              </w:rPr>
            </w:pPr>
          </w:p>
        </w:tc>
        <w:tc>
          <w:tcPr>
            <w:tcW w:w="850" w:type="dxa"/>
          </w:tcPr>
          <w:p w14:paraId="0BDD122B" w14:textId="12329ECD" w:rsidR="001139C6" w:rsidRPr="001E1026" w:rsidRDefault="001139C6" w:rsidP="001139C6">
            <w:pPr>
              <w:widowControl w:val="0"/>
              <w:jc w:val="center"/>
              <w:rPr>
                <w:b/>
                <w:sz w:val="18"/>
                <w:szCs w:val="18"/>
              </w:rPr>
            </w:pPr>
            <w:r w:rsidRPr="001E1026">
              <w:rPr>
                <w:b/>
                <w:sz w:val="18"/>
                <w:szCs w:val="18"/>
                <w:lang w:val="en-US"/>
              </w:rPr>
              <w:t>P</w:t>
            </w:r>
            <w:r w:rsidRPr="001E1026">
              <w:rPr>
                <w:b/>
                <w:sz w:val="18"/>
                <w:szCs w:val="18"/>
                <w:vertAlign w:val="subscript"/>
                <w:lang w:val="en-US"/>
              </w:rPr>
              <w:t>1</w:t>
            </w:r>
          </w:p>
        </w:tc>
        <w:tc>
          <w:tcPr>
            <w:tcW w:w="992" w:type="dxa"/>
          </w:tcPr>
          <w:p w14:paraId="3B0EAC40" w14:textId="3737800E" w:rsidR="001139C6" w:rsidRPr="001E1026" w:rsidRDefault="001139C6" w:rsidP="001139C6">
            <w:pPr>
              <w:widowControl w:val="0"/>
              <w:jc w:val="center"/>
              <w:rPr>
                <w:b/>
                <w:sz w:val="18"/>
                <w:szCs w:val="18"/>
              </w:rPr>
            </w:pPr>
            <w:r w:rsidRPr="001E1026">
              <w:rPr>
                <w:b/>
                <w:sz w:val="18"/>
                <w:szCs w:val="18"/>
                <w:lang w:val="en-US"/>
              </w:rPr>
              <w:t>P</w:t>
            </w:r>
            <w:r w:rsidRPr="001E1026">
              <w:rPr>
                <w:b/>
                <w:sz w:val="18"/>
                <w:szCs w:val="18"/>
                <w:vertAlign w:val="subscript"/>
                <w:lang w:val="en-US"/>
              </w:rPr>
              <w:t>2</w:t>
            </w:r>
          </w:p>
        </w:tc>
        <w:tc>
          <w:tcPr>
            <w:tcW w:w="1134" w:type="dxa"/>
            <w:vMerge/>
          </w:tcPr>
          <w:p w14:paraId="3CF2E8AB" w14:textId="77777777" w:rsidR="001139C6" w:rsidRPr="001E1026" w:rsidRDefault="001139C6" w:rsidP="001139C6">
            <w:pPr>
              <w:widowControl w:val="0"/>
              <w:jc w:val="center"/>
              <w:rPr>
                <w:sz w:val="18"/>
                <w:szCs w:val="18"/>
              </w:rPr>
            </w:pPr>
          </w:p>
        </w:tc>
      </w:tr>
      <w:tr w:rsidR="001139C6" w:rsidRPr="001E1026" w14:paraId="7ED3BAA0" w14:textId="77777777" w:rsidTr="001139C6">
        <w:tc>
          <w:tcPr>
            <w:tcW w:w="1107" w:type="dxa"/>
          </w:tcPr>
          <w:p w14:paraId="3A3BC0C9" w14:textId="498F1079" w:rsidR="001139C6" w:rsidRPr="001E1026" w:rsidRDefault="001139C6" w:rsidP="001139C6">
            <w:pPr>
              <w:widowControl w:val="0"/>
              <w:jc w:val="center"/>
              <w:rPr>
                <w:b/>
                <w:sz w:val="18"/>
                <w:szCs w:val="18"/>
                <w:lang w:val="en-US"/>
              </w:rPr>
            </w:pPr>
            <w:r w:rsidRPr="001E1026">
              <w:rPr>
                <w:b/>
                <w:sz w:val="18"/>
                <w:szCs w:val="18"/>
                <w:lang w:val="en-US"/>
              </w:rPr>
              <w:t>750</w:t>
            </w:r>
          </w:p>
        </w:tc>
        <w:tc>
          <w:tcPr>
            <w:tcW w:w="1161" w:type="dxa"/>
          </w:tcPr>
          <w:p w14:paraId="215FC2E7" w14:textId="01E78F28" w:rsidR="001139C6" w:rsidRPr="001E1026" w:rsidRDefault="001139C6" w:rsidP="001139C6">
            <w:pPr>
              <w:widowControl w:val="0"/>
              <w:jc w:val="center"/>
              <w:rPr>
                <w:sz w:val="18"/>
                <w:szCs w:val="18"/>
                <w:lang w:val="en-US"/>
              </w:rPr>
            </w:pPr>
            <w:r w:rsidRPr="001E1026">
              <w:rPr>
                <w:sz w:val="18"/>
                <w:szCs w:val="18"/>
                <w:lang w:val="en-US"/>
              </w:rPr>
              <w:t>5</w:t>
            </w:r>
          </w:p>
        </w:tc>
        <w:tc>
          <w:tcPr>
            <w:tcW w:w="1559" w:type="dxa"/>
          </w:tcPr>
          <w:p w14:paraId="71C4D043" w14:textId="1870A365" w:rsidR="001139C6" w:rsidRPr="001E1026" w:rsidRDefault="001139C6" w:rsidP="001139C6">
            <w:pPr>
              <w:widowControl w:val="0"/>
              <w:jc w:val="center"/>
              <w:rPr>
                <w:sz w:val="18"/>
                <w:szCs w:val="18"/>
                <w:lang w:val="en-US"/>
              </w:rPr>
            </w:pPr>
            <w:r w:rsidRPr="001E1026">
              <w:rPr>
                <w:sz w:val="18"/>
                <w:szCs w:val="18"/>
                <w:lang w:val="en-US"/>
              </w:rPr>
              <w:t>240/56</w:t>
            </w:r>
          </w:p>
        </w:tc>
        <w:tc>
          <w:tcPr>
            <w:tcW w:w="1560" w:type="dxa"/>
          </w:tcPr>
          <w:p w14:paraId="26768AF5" w14:textId="40ED98E0" w:rsidR="001139C6" w:rsidRPr="001E1026" w:rsidRDefault="001139C6" w:rsidP="001139C6">
            <w:pPr>
              <w:widowControl w:val="0"/>
              <w:jc w:val="center"/>
              <w:rPr>
                <w:sz w:val="18"/>
                <w:szCs w:val="18"/>
                <w:lang w:val="en-US"/>
              </w:rPr>
            </w:pPr>
            <w:r w:rsidRPr="001E1026">
              <w:rPr>
                <w:sz w:val="18"/>
                <w:szCs w:val="18"/>
                <w:lang w:val="en-US"/>
              </w:rPr>
              <w:t>11.2</w:t>
            </w:r>
          </w:p>
        </w:tc>
        <w:tc>
          <w:tcPr>
            <w:tcW w:w="850" w:type="dxa"/>
          </w:tcPr>
          <w:p w14:paraId="2CBDB325" w14:textId="33ECAAD4" w:rsidR="001139C6" w:rsidRPr="001E1026" w:rsidRDefault="001139C6" w:rsidP="001139C6">
            <w:pPr>
              <w:widowControl w:val="0"/>
              <w:jc w:val="center"/>
              <w:rPr>
                <w:sz w:val="18"/>
                <w:szCs w:val="18"/>
                <w:lang w:val="en-US"/>
              </w:rPr>
            </w:pPr>
            <w:r w:rsidRPr="001E1026">
              <w:rPr>
                <w:sz w:val="18"/>
                <w:szCs w:val="18"/>
                <w:lang w:val="en-US"/>
              </w:rPr>
              <w:t>13</w:t>
            </w:r>
          </w:p>
        </w:tc>
        <w:tc>
          <w:tcPr>
            <w:tcW w:w="992" w:type="dxa"/>
          </w:tcPr>
          <w:p w14:paraId="048E59A1" w14:textId="53AF6940" w:rsidR="001139C6" w:rsidRPr="001E1026" w:rsidRDefault="001139C6" w:rsidP="001139C6">
            <w:pPr>
              <w:widowControl w:val="0"/>
              <w:jc w:val="center"/>
              <w:rPr>
                <w:sz w:val="18"/>
                <w:szCs w:val="18"/>
                <w:lang w:val="en-US"/>
              </w:rPr>
            </w:pPr>
            <w:r w:rsidRPr="001E1026">
              <w:rPr>
                <w:sz w:val="18"/>
                <w:szCs w:val="18"/>
                <w:lang w:val="en-US"/>
              </w:rPr>
              <w:t>25</w:t>
            </w:r>
          </w:p>
        </w:tc>
        <w:tc>
          <w:tcPr>
            <w:tcW w:w="1134" w:type="dxa"/>
          </w:tcPr>
          <w:p w14:paraId="64111807" w14:textId="2A6551CE" w:rsidR="001139C6" w:rsidRPr="001E1026" w:rsidRDefault="001139C6" w:rsidP="001139C6">
            <w:pPr>
              <w:widowControl w:val="0"/>
              <w:jc w:val="center"/>
              <w:rPr>
                <w:sz w:val="18"/>
                <w:szCs w:val="18"/>
                <w:lang w:val="en-US"/>
              </w:rPr>
            </w:pPr>
            <w:r w:rsidRPr="001E1026">
              <w:rPr>
                <w:sz w:val="18"/>
                <w:szCs w:val="18"/>
                <w:lang w:val="en-US"/>
              </w:rPr>
              <w:t>1.9</w:t>
            </w:r>
          </w:p>
        </w:tc>
      </w:tr>
      <w:tr w:rsidR="001139C6" w:rsidRPr="001E1026" w14:paraId="08B939FF" w14:textId="77777777" w:rsidTr="001139C6">
        <w:tc>
          <w:tcPr>
            <w:tcW w:w="1107" w:type="dxa"/>
          </w:tcPr>
          <w:p w14:paraId="1BAB9685" w14:textId="1077C6B4" w:rsidR="001139C6" w:rsidRPr="001E1026" w:rsidRDefault="001139C6" w:rsidP="001139C6">
            <w:pPr>
              <w:widowControl w:val="0"/>
              <w:jc w:val="center"/>
              <w:rPr>
                <w:b/>
                <w:sz w:val="18"/>
                <w:szCs w:val="18"/>
                <w:lang w:val="en-US"/>
              </w:rPr>
            </w:pPr>
            <w:r w:rsidRPr="001E1026">
              <w:rPr>
                <w:b/>
                <w:sz w:val="18"/>
                <w:szCs w:val="18"/>
                <w:lang w:val="en-US"/>
              </w:rPr>
              <w:t>500</w:t>
            </w:r>
          </w:p>
        </w:tc>
        <w:tc>
          <w:tcPr>
            <w:tcW w:w="1161" w:type="dxa"/>
          </w:tcPr>
          <w:p w14:paraId="20BA32AD" w14:textId="2B6BAB3A" w:rsidR="001139C6" w:rsidRPr="001E1026" w:rsidRDefault="001139C6" w:rsidP="001139C6">
            <w:pPr>
              <w:widowControl w:val="0"/>
              <w:jc w:val="center"/>
              <w:rPr>
                <w:sz w:val="18"/>
                <w:szCs w:val="18"/>
                <w:lang w:val="en-US"/>
              </w:rPr>
            </w:pPr>
            <w:r w:rsidRPr="001E1026">
              <w:rPr>
                <w:sz w:val="18"/>
                <w:szCs w:val="18"/>
                <w:lang w:val="en-US"/>
              </w:rPr>
              <w:t>3</w:t>
            </w:r>
          </w:p>
        </w:tc>
        <w:tc>
          <w:tcPr>
            <w:tcW w:w="1559" w:type="dxa"/>
          </w:tcPr>
          <w:p w14:paraId="2236DFD4" w14:textId="34390F6B" w:rsidR="001139C6" w:rsidRPr="001E1026" w:rsidRDefault="001139C6" w:rsidP="001139C6">
            <w:pPr>
              <w:widowControl w:val="0"/>
              <w:jc w:val="center"/>
              <w:rPr>
                <w:sz w:val="18"/>
                <w:szCs w:val="18"/>
                <w:lang w:val="en-US"/>
              </w:rPr>
            </w:pPr>
            <w:r w:rsidRPr="001E1026">
              <w:rPr>
                <w:sz w:val="18"/>
                <w:szCs w:val="18"/>
                <w:lang w:val="en-US"/>
              </w:rPr>
              <w:t>330/43</w:t>
            </w:r>
          </w:p>
        </w:tc>
        <w:tc>
          <w:tcPr>
            <w:tcW w:w="1560" w:type="dxa"/>
          </w:tcPr>
          <w:p w14:paraId="2E359EB6" w14:textId="760E9101" w:rsidR="001139C6" w:rsidRPr="001E1026" w:rsidRDefault="001139C6" w:rsidP="001139C6">
            <w:pPr>
              <w:widowControl w:val="0"/>
              <w:jc w:val="center"/>
              <w:rPr>
                <w:sz w:val="18"/>
                <w:szCs w:val="18"/>
                <w:lang w:val="en-US"/>
              </w:rPr>
            </w:pPr>
            <w:r w:rsidRPr="001E1026">
              <w:rPr>
                <w:sz w:val="18"/>
                <w:szCs w:val="18"/>
                <w:lang w:val="en-US"/>
              </w:rPr>
              <w:t>15.3</w:t>
            </w:r>
          </w:p>
        </w:tc>
        <w:tc>
          <w:tcPr>
            <w:tcW w:w="850" w:type="dxa"/>
          </w:tcPr>
          <w:p w14:paraId="5A1665A9" w14:textId="196257DB" w:rsidR="001139C6" w:rsidRPr="001E1026" w:rsidRDefault="001139C6" w:rsidP="001139C6">
            <w:pPr>
              <w:widowControl w:val="0"/>
              <w:jc w:val="center"/>
              <w:rPr>
                <w:sz w:val="18"/>
                <w:szCs w:val="18"/>
                <w:lang w:val="en-US"/>
              </w:rPr>
            </w:pPr>
            <w:r w:rsidRPr="001E1026">
              <w:rPr>
                <w:sz w:val="18"/>
                <w:szCs w:val="18"/>
                <w:lang w:val="en-US"/>
              </w:rPr>
              <w:t>9</w:t>
            </w:r>
          </w:p>
        </w:tc>
        <w:tc>
          <w:tcPr>
            <w:tcW w:w="992" w:type="dxa"/>
          </w:tcPr>
          <w:p w14:paraId="2846F16B" w14:textId="0B659E7C" w:rsidR="001139C6" w:rsidRPr="001E1026" w:rsidRDefault="001139C6" w:rsidP="001139C6">
            <w:pPr>
              <w:widowControl w:val="0"/>
              <w:jc w:val="center"/>
              <w:rPr>
                <w:sz w:val="18"/>
                <w:szCs w:val="18"/>
                <w:lang w:val="en-US"/>
              </w:rPr>
            </w:pPr>
            <w:r w:rsidRPr="001E1026">
              <w:rPr>
                <w:sz w:val="18"/>
                <w:szCs w:val="18"/>
                <w:lang w:val="en-US"/>
              </w:rPr>
              <w:t>11.6</w:t>
            </w:r>
          </w:p>
        </w:tc>
        <w:tc>
          <w:tcPr>
            <w:tcW w:w="1134" w:type="dxa"/>
          </w:tcPr>
          <w:p w14:paraId="44A8545D" w14:textId="0C0011D3" w:rsidR="001139C6" w:rsidRPr="001E1026" w:rsidRDefault="001139C6" w:rsidP="001139C6">
            <w:pPr>
              <w:widowControl w:val="0"/>
              <w:jc w:val="center"/>
              <w:rPr>
                <w:sz w:val="18"/>
                <w:szCs w:val="18"/>
                <w:lang w:val="en-US"/>
              </w:rPr>
            </w:pPr>
            <w:r w:rsidRPr="001E1026">
              <w:rPr>
                <w:sz w:val="18"/>
                <w:szCs w:val="18"/>
                <w:lang w:val="en-US"/>
              </w:rPr>
              <w:t>1.3</w:t>
            </w:r>
          </w:p>
        </w:tc>
      </w:tr>
      <w:tr w:rsidR="001139C6" w:rsidRPr="001E1026" w14:paraId="31A06705" w14:textId="77777777" w:rsidTr="001139C6">
        <w:tc>
          <w:tcPr>
            <w:tcW w:w="1107" w:type="dxa"/>
          </w:tcPr>
          <w:p w14:paraId="44F2A6AE" w14:textId="5E0EAB93" w:rsidR="001139C6" w:rsidRPr="001E1026" w:rsidRDefault="001139C6" w:rsidP="001139C6">
            <w:pPr>
              <w:widowControl w:val="0"/>
              <w:jc w:val="center"/>
              <w:rPr>
                <w:b/>
                <w:sz w:val="18"/>
                <w:szCs w:val="18"/>
                <w:lang w:val="en-US"/>
              </w:rPr>
            </w:pPr>
            <w:r w:rsidRPr="001E1026">
              <w:rPr>
                <w:b/>
                <w:sz w:val="18"/>
                <w:szCs w:val="18"/>
                <w:lang w:val="en-US"/>
              </w:rPr>
              <w:t>330</w:t>
            </w:r>
          </w:p>
        </w:tc>
        <w:tc>
          <w:tcPr>
            <w:tcW w:w="1161" w:type="dxa"/>
          </w:tcPr>
          <w:p w14:paraId="2BF14026" w14:textId="5C94A4AA" w:rsidR="001139C6" w:rsidRPr="001E1026" w:rsidRDefault="001139C6" w:rsidP="001139C6">
            <w:pPr>
              <w:widowControl w:val="0"/>
              <w:jc w:val="center"/>
              <w:rPr>
                <w:sz w:val="18"/>
                <w:szCs w:val="18"/>
                <w:lang w:val="en-US"/>
              </w:rPr>
            </w:pPr>
            <w:r w:rsidRPr="001E1026">
              <w:rPr>
                <w:sz w:val="18"/>
                <w:szCs w:val="18"/>
                <w:lang w:val="en-US"/>
              </w:rPr>
              <w:t>2</w:t>
            </w:r>
          </w:p>
        </w:tc>
        <w:tc>
          <w:tcPr>
            <w:tcW w:w="1559" w:type="dxa"/>
          </w:tcPr>
          <w:p w14:paraId="6136AA99" w14:textId="0C11386B" w:rsidR="001139C6" w:rsidRPr="001E1026" w:rsidRDefault="001139C6" w:rsidP="001139C6">
            <w:pPr>
              <w:widowControl w:val="0"/>
              <w:jc w:val="center"/>
              <w:rPr>
                <w:sz w:val="18"/>
                <w:szCs w:val="18"/>
                <w:lang w:val="en-US"/>
              </w:rPr>
            </w:pPr>
            <w:r w:rsidRPr="001E1026">
              <w:rPr>
                <w:sz w:val="18"/>
                <w:szCs w:val="18"/>
                <w:lang w:val="en-US"/>
              </w:rPr>
              <w:t>300/39</w:t>
            </w:r>
          </w:p>
        </w:tc>
        <w:tc>
          <w:tcPr>
            <w:tcW w:w="1560" w:type="dxa"/>
          </w:tcPr>
          <w:p w14:paraId="093BA3A6" w14:textId="27DDC615" w:rsidR="001139C6" w:rsidRPr="001E1026" w:rsidRDefault="001139C6" w:rsidP="001139C6">
            <w:pPr>
              <w:widowControl w:val="0"/>
              <w:jc w:val="center"/>
              <w:rPr>
                <w:sz w:val="18"/>
                <w:szCs w:val="18"/>
                <w:lang w:val="en-US"/>
              </w:rPr>
            </w:pPr>
            <w:r w:rsidRPr="001E1026">
              <w:rPr>
                <w:sz w:val="18"/>
                <w:szCs w:val="18"/>
                <w:lang w:val="en-US"/>
              </w:rPr>
              <w:t>13.7</w:t>
            </w:r>
          </w:p>
        </w:tc>
        <w:tc>
          <w:tcPr>
            <w:tcW w:w="850" w:type="dxa"/>
          </w:tcPr>
          <w:p w14:paraId="5001D8A4" w14:textId="6CD136C6" w:rsidR="001139C6" w:rsidRPr="001E1026" w:rsidRDefault="001139C6" w:rsidP="001139C6">
            <w:pPr>
              <w:widowControl w:val="0"/>
              <w:jc w:val="center"/>
              <w:rPr>
                <w:sz w:val="18"/>
                <w:szCs w:val="18"/>
                <w:lang w:val="en-US"/>
              </w:rPr>
            </w:pPr>
            <w:r w:rsidRPr="001E1026">
              <w:rPr>
                <w:sz w:val="18"/>
                <w:szCs w:val="18"/>
                <w:lang w:val="en-US"/>
              </w:rPr>
              <w:t>3.8</w:t>
            </w:r>
          </w:p>
        </w:tc>
        <w:tc>
          <w:tcPr>
            <w:tcW w:w="992" w:type="dxa"/>
          </w:tcPr>
          <w:p w14:paraId="71E0F466" w14:textId="547DB38B" w:rsidR="001139C6" w:rsidRPr="001E1026" w:rsidRDefault="001139C6" w:rsidP="001139C6">
            <w:pPr>
              <w:widowControl w:val="0"/>
              <w:jc w:val="center"/>
              <w:rPr>
                <w:sz w:val="18"/>
                <w:szCs w:val="18"/>
                <w:lang w:val="en-US"/>
              </w:rPr>
            </w:pPr>
            <w:r w:rsidRPr="001E1026">
              <w:rPr>
                <w:sz w:val="18"/>
                <w:szCs w:val="18"/>
                <w:lang w:val="en-US"/>
              </w:rPr>
              <w:t>4</w:t>
            </w:r>
          </w:p>
        </w:tc>
        <w:tc>
          <w:tcPr>
            <w:tcW w:w="1134" w:type="dxa"/>
          </w:tcPr>
          <w:p w14:paraId="5E0CF1AD" w14:textId="79B871CA" w:rsidR="001139C6" w:rsidRPr="001E1026" w:rsidRDefault="001139C6" w:rsidP="001139C6">
            <w:pPr>
              <w:widowControl w:val="0"/>
              <w:jc w:val="center"/>
              <w:rPr>
                <w:sz w:val="18"/>
                <w:szCs w:val="18"/>
                <w:lang w:val="en-US"/>
              </w:rPr>
            </w:pPr>
            <w:r w:rsidRPr="001E1026">
              <w:rPr>
                <w:sz w:val="18"/>
                <w:szCs w:val="18"/>
                <w:lang w:val="en-US"/>
              </w:rPr>
              <w:t>1.05</w:t>
            </w:r>
          </w:p>
        </w:tc>
      </w:tr>
      <w:tr w:rsidR="001139C6" w:rsidRPr="001E1026" w14:paraId="28B1D7DD" w14:textId="77777777" w:rsidTr="001139C6">
        <w:tc>
          <w:tcPr>
            <w:tcW w:w="1107" w:type="dxa"/>
          </w:tcPr>
          <w:p w14:paraId="719CF73E" w14:textId="73D90B7A" w:rsidR="001139C6" w:rsidRPr="001E1026" w:rsidRDefault="001139C6" w:rsidP="001139C6">
            <w:pPr>
              <w:widowControl w:val="0"/>
              <w:jc w:val="center"/>
              <w:rPr>
                <w:b/>
                <w:sz w:val="18"/>
                <w:szCs w:val="18"/>
                <w:lang w:val="en-US"/>
              </w:rPr>
            </w:pPr>
            <w:r w:rsidRPr="001E1026">
              <w:rPr>
                <w:b/>
                <w:sz w:val="18"/>
                <w:szCs w:val="18"/>
                <w:lang w:val="en-US"/>
              </w:rPr>
              <w:t>220</w:t>
            </w:r>
          </w:p>
        </w:tc>
        <w:tc>
          <w:tcPr>
            <w:tcW w:w="1161" w:type="dxa"/>
          </w:tcPr>
          <w:p w14:paraId="2DC5E9DB" w14:textId="4D7E015F" w:rsidR="001139C6" w:rsidRPr="001E1026" w:rsidRDefault="001139C6" w:rsidP="001139C6">
            <w:pPr>
              <w:widowControl w:val="0"/>
              <w:jc w:val="center"/>
              <w:rPr>
                <w:sz w:val="18"/>
                <w:szCs w:val="18"/>
                <w:lang w:val="en-US"/>
              </w:rPr>
            </w:pPr>
            <w:r w:rsidRPr="001E1026">
              <w:rPr>
                <w:sz w:val="18"/>
                <w:szCs w:val="18"/>
                <w:lang w:val="en-US"/>
              </w:rPr>
              <w:t>1</w:t>
            </w:r>
          </w:p>
        </w:tc>
        <w:tc>
          <w:tcPr>
            <w:tcW w:w="1559" w:type="dxa"/>
          </w:tcPr>
          <w:p w14:paraId="1CA9326E" w14:textId="0BAE0B5C" w:rsidR="001139C6" w:rsidRPr="001E1026" w:rsidRDefault="001139C6" w:rsidP="001139C6">
            <w:pPr>
              <w:widowControl w:val="0"/>
              <w:jc w:val="center"/>
              <w:rPr>
                <w:sz w:val="18"/>
                <w:szCs w:val="18"/>
                <w:lang w:val="en-US"/>
              </w:rPr>
            </w:pPr>
            <w:r w:rsidRPr="001E1026">
              <w:rPr>
                <w:sz w:val="18"/>
                <w:szCs w:val="18"/>
                <w:lang w:val="en-US"/>
              </w:rPr>
              <w:t>300/39</w:t>
            </w:r>
          </w:p>
        </w:tc>
        <w:tc>
          <w:tcPr>
            <w:tcW w:w="1560" w:type="dxa"/>
          </w:tcPr>
          <w:p w14:paraId="22005E76" w14:textId="0204CAB5" w:rsidR="001139C6" w:rsidRPr="001E1026" w:rsidRDefault="001139C6" w:rsidP="001139C6">
            <w:pPr>
              <w:widowControl w:val="0"/>
              <w:jc w:val="center"/>
              <w:rPr>
                <w:sz w:val="18"/>
                <w:szCs w:val="18"/>
                <w:lang w:val="en-US"/>
              </w:rPr>
            </w:pPr>
            <w:r w:rsidRPr="001E1026">
              <w:rPr>
                <w:sz w:val="18"/>
                <w:szCs w:val="18"/>
                <w:lang w:val="en-US"/>
              </w:rPr>
              <w:t>12</w:t>
            </w:r>
          </w:p>
        </w:tc>
        <w:tc>
          <w:tcPr>
            <w:tcW w:w="850" w:type="dxa"/>
          </w:tcPr>
          <w:p w14:paraId="033486B3" w14:textId="312F33B1" w:rsidR="001139C6" w:rsidRPr="001E1026" w:rsidRDefault="001139C6" w:rsidP="001139C6">
            <w:pPr>
              <w:widowControl w:val="0"/>
              <w:jc w:val="center"/>
              <w:rPr>
                <w:sz w:val="18"/>
                <w:szCs w:val="18"/>
                <w:lang w:val="en-US"/>
              </w:rPr>
            </w:pPr>
            <w:r w:rsidRPr="001E1026">
              <w:rPr>
                <w:sz w:val="18"/>
                <w:szCs w:val="18"/>
                <w:lang w:val="en-US"/>
              </w:rPr>
              <w:t>1.6</w:t>
            </w:r>
          </w:p>
        </w:tc>
        <w:tc>
          <w:tcPr>
            <w:tcW w:w="992" w:type="dxa"/>
          </w:tcPr>
          <w:p w14:paraId="11202C7D" w14:textId="755DB3AF" w:rsidR="001139C6" w:rsidRPr="001E1026" w:rsidRDefault="001139C6" w:rsidP="001139C6">
            <w:pPr>
              <w:widowControl w:val="0"/>
              <w:jc w:val="center"/>
              <w:rPr>
                <w:sz w:val="18"/>
                <w:szCs w:val="18"/>
                <w:lang w:val="en-US"/>
              </w:rPr>
            </w:pPr>
            <w:r w:rsidRPr="001E1026">
              <w:rPr>
                <w:sz w:val="18"/>
                <w:szCs w:val="18"/>
                <w:lang w:val="en-US"/>
              </w:rPr>
              <w:t>2.9</w:t>
            </w:r>
          </w:p>
        </w:tc>
        <w:tc>
          <w:tcPr>
            <w:tcW w:w="1134" w:type="dxa"/>
          </w:tcPr>
          <w:p w14:paraId="1A577861" w14:textId="33F23DAE" w:rsidR="001139C6" w:rsidRPr="001E1026" w:rsidRDefault="001139C6" w:rsidP="001139C6">
            <w:pPr>
              <w:widowControl w:val="0"/>
              <w:jc w:val="center"/>
              <w:rPr>
                <w:sz w:val="18"/>
                <w:szCs w:val="18"/>
                <w:lang w:val="en-US"/>
              </w:rPr>
            </w:pPr>
            <w:r w:rsidRPr="001E1026">
              <w:rPr>
                <w:sz w:val="18"/>
                <w:szCs w:val="18"/>
                <w:lang w:val="en-US"/>
              </w:rPr>
              <w:t>1.25</w:t>
            </w:r>
          </w:p>
        </w:tc>
      </w:tr>
      <w:tr w:rsidR="001139C6" w:rsidRPr="001E1026" w14:paraId="4C71253D" w14:textId="77777777" w:rsidTr="001139C6">
        <w:tc>
          <w:tcPr>
            <w:tcW w:w="1107" w:type="dxa"/>
          </w:tcPr>
          <w:p w14:paraId="49B2FCB8" w14:textId="689A48CB" w:rsidR="001139C6" w:rsidRPr="001E1026" w:rsidRDefault="001139C6" w:rsidP="001139C6">
            <w:pPr>
              <w:widowControl w:val="0"/>
              <w:jc w:val="center"/>
              <w:rPr>
                <w:b/>
                <w:sz w:val="18"/>
                <w:szCs w:val="18"/>
                <w:lang w:val="en-US"/>
              </w:rPr>
            </w:pPr>
            <w:r w:rsidRPr="001E1026">
              <w:rPr>
                <w:b/>
                <w:sz w:val="18"/>
                <w:szCs w:val="18"/>
                <w:lang w:val="en-US"/>
              </w:rPr>
              <w:t>110</w:t>
            </w:r>
          </w:p>
        </w:tc>
        <w:tc>
          <w:tcPr>
            <w:tcW w:w="1161" w:type="dxa"/>
          </w:tcPr>
          <w:p w14:paraId="72960AF6" w14:textId="76077DC3" w:rsidR="001139C6" w:rsidRPr="001E1026" w:rsidRDefault="001139C6" w:rsidP="001139C6">
            <w:pPr>
              <w:widowControl w:val="0"/>
              <w:jc w:val="center"/>
              <w:rPr>
                <w:sz w:val="18"/>
                <w:szCs w:val="18"/>
                <w:lang w:val="en-US"/>
              </w:rPr>
            </w:pPr>
            <w:r w:rsidRPr="001E1026">
              <w:rPr>
                <w:sz w:val="18"/>
                <w:szCs w:val="18"/>
                <w:lang w:val="en-US"/>
              </w:rPr>
              <w:t>1</w:t>
            </w:r>
          </w:p>
        </w:tc>
        <w:tc>
          <w:tcPr>
            <w:tcW w:w="1559" w:type="dxa"/>
          </w:tcPr>
          <w:p w14:paraId="012F83B2" w14:textId="2EF67B86" w:rsidR="001139C6" w:rsidRPr="001E1026" w:rsidRDefault="001139C6" w:rsidP="001139C6">
            <w:pPr>
              <w:widowControl w:val="0"/>
              <w:jc w:val="center"/>
              <w:rPr>
                <w:sz w:val="18"/>
                <w:szCs w:val="18"/>
                <w:lang w:val="en-US"/>
              </w:rPr>
            </w:pPr>
            <w:r w:rsidRPr="001E1026">
              <w:rPr>
                <w:sz w:val="18"/>
                <w:szCs w:val="18"/>
                <w:lang w:val="en-US"/>
              </w:rPr>
              <w:t>240/16</w:t>
            </w:r>
          </w:p>
        </w:tc>
        <w:tc>
          <w:tcPr>
            <w:tcW w:w="1560" w:type="dxa"/>
          </w:tcPr>
          <w:p w14:paraId="16DBEE9A" w14:textId="0CE12247" w:rsidR="001139C6" w:rsidRPr="001E1026" w:rsidRDefault="001139C6" w:rsidP="001139C6">
            <w:pPr>
              <w:widowControl w:val="0"/>
              <w:jc w:val="center"/>
              <w:rPr>
                <w:sz w:val="18"/>
                <w:szCs w:val="18"/>
                <w:lang w:val="en-US"/>
              </w:rPr>
            </w:pPr>
            <w:r w:rsidRPr="001E1026">
              <w:rPr>
                <w:sz w:val="18"/>
                <w:szCs w:val="18"/>
                <w:lang w:val="en-US"/>
              </w:rPr>
              <w:t>10</w:t>
            </w:r>
          </w:p>
        </w:tc>
        <w:tc>
          <w:tcPr>
            <w:tcW w:w="850" w:type="dxa"/>
          </w:tcPr>
          <w:p w14:paraId="0E5D407F" w14:textId="7ADEE2CA" w:rsidR="001139C6" w:rsidRPr="001E1026" w:rsidRDefault="001139C6" w:rsidP="001139C6">
            <w:pPr>
              <w:widowControl w:val="0"/>
              <w:jc w:val="center"/>
              <w:rPr>
                <w:sz w:val="18"/>
                <w:szCs w:val="18"/>
                <w:lang w:val="en-US"/>
              </w:rPr>
            </w:pPr>
            <w:r w:rsidRPr="001E1026">
              <w:rPr>
                <w:sz w:val="18"/>
                <w:szCs w:val="18"/>
                <w:lang w:val="en-US"/>
              </w:rPr>
              <w:t>1</w:t>
            </w:r>
          </w:p>
        </w:tc>
        <w:tc>
          <w:tcPr>
            <w:tcW w:w="992" w:type="dxa"/>
          </w:tcPr>
          <w:p w14:paraId="2A80101B" w14:textId="26C338C3" w:rsidR="001139C6" w:rsidRPr="001E1026" w:rsidRDefault="001139C6" w:rsidP="001139C6">
            <w:pPr>
              <w:widowControl w:val="0"/>
              <w:jc w:val="center"/>
              <w:rPr>
                <w:sz w:val="18"/>
                <w:szCs w:val="18"/>
                <w:lang w:val="en-US"/>
              </w:rPr>
            </w:pPr>
            <w:r w:rsidRPr="001E1026">
              <w:rPr>
                <w:sz w:val="18"/>
                <w:szCs w:val="18"/>
                <w:lang w:val="en-US"/>
              </w:rPr>
              <w:t>2</w:t>
            </w:r>
          </w:p>
        </w:tc>
        <w:tc>
          <w:tcPr>
            <w:tcW w:w="1134" w:type="dxa"/>
          </w:tcPr>
          <w:p w14:paraId="0DF6B457" w14:textId="6F351A3E" w:rsidR="001139C6" w:rsidRPr="001E1026" w:rsidRDefault="001139C6" w:rsidP="001139C6">
            <w:pPr>
              <w:widowControl w:val="0"/>
              <w:jc w:val="center"/>
              <w:rPr>
                <w:sz w:val="18"/>
                <w:szCs w:val="18"/>
                <w:lang w:val="en-US"/>
              </w:rPr>
            </w:pPr>
            <w:r w:rsidRPr="001E1026">
              <w:rPr>
                <w:sz w:val="18"/>
                <w:szCs w:val="18"/>
                <w:lang w:val="en-US"/>
              </w:rPr>
              <w:t>1</w:t>
            </w:r>
          </w:p>
        </w:tc>
      </w:tr>
    </w:tbl>
    <w:p w14:paraId="26E5E01F" w14:textId="74BAEAE2" w:rsidR="008745D5" w:rsidRPr="001E1026" w:rsidRDefault="00CE62DC" w:rsidP="001139C6">
      <w:pPr>
        <w:widowControl w:val="0"/>
        <w:spacing w:after="0" w:line="240" w:lineRule="auto"/>
        <w:rPr>
          <w:rFonts w:ascii="Times New Roman" w:hAnsi="Times New Roman" w:cs="Times New Roman"/>
        </w:rPr>
      </w:pPr>
      <w:r w:rsidRPr="001E1026">
        <w:rPr>
          <w:rFonts w:ascii="Times New Roman" w:hAnsi="Times New Roman" w:cs="Times New Roman"/>
        </w:rPr>
        <w:t xml:space="preserve">    </w:t>
      </w:r>
      <w:r w:rsidR="007658E6" w:rsidRPr="001E1026">
        <w:rPr>
          <w:rFonts w:ascii="Times New Roman" w:hAnsi="Times New Roman" w:cs="Times New Roman"/>
        </w:rPr>
        <w:t xml:space="preserve">        </w:t>
      </w:r>
    </w:p>
    <w:p w14:paraId="2A8B71C7" w14:textId="221FE0CB" w:rsidR="00333350" w:rsidRPr="001E1026" w:rsidRDefault="009C067E" w:rsidP="00333350">
      <w:pPr>
        <w:pStyle w:val="Default"/>
        <w:ind w:firstLine="284"/>
        <w:jc w:val="both"/>
        <w:rPr>
          <w:lang w:val="en-US"/>
        </w:rPr>
      </w:pPr>
      <w:r w:rsidRPr="001E1026">
        <w:rPr>
          <w:sz w:val="20"/>
          <w:lang w:val="en-US"/>
        </w:rPr>
        <w:t xml:space="preserve">For 500-kV and 220-kV overhead transmission lines, the durations of increased corona power losses were recorded as approximately 3.3 hours and 2.5 hours, respectively. Figure 1 presents the corresponding histograms of corona losses, based on which the specific (normalized) values of electrical energy losses due to corona discharge were determined </w:t>
      </w:r>
      <w:r w:rsidR="006A4554" w:rsidRPr="001E1026">
        <w:rPr>
          <w:sz w:val="20"/>
          <w:lang w:val="en-US"/>
        </w:rPr>
        <w:t>[</w:t>
      </w:r>
      <w:r w:rsidRPr="001E1026">
        <w:rPr>
          <w:sz w:val="20"/>
          <w:lang w:val="en-US"/>
        </w:rPr>
        <w:t>6-8</w:t>
      </w:r>
      <w:r w:rsidR="006A4554" w:rsidRPr="001E1026">
        <w:rPr>
          <w:sz w:val="20"/>
          <w:lang w:val="en-US"/>
        </w:rPr>
        <w:t>]</w:t>
      </w:r>
      <w:r w:rsidR="00DE4111" w:rsidRPr="001E1026">
        <w:rPr>
          <w:sz w:val="20"/>
          <w:lang w:val="en-US"/>
        </w:rPr>
        <w:t>.</w:t>
      </w:r>
      <w:r w:rsidR="00DE4111" w:rsidRPr="001E1026">
        <w:rPr>
          <w:lang w:val="en-US"/>
        </w:rPr>
        <w:t xml:space="preserve"> </w:t>
      </w:r>
    </w:p>
    <w:p w14:paraId="180CCCB6" w14:textId="77777777" w:rsidR="00333350" w:rsidRPr="001E1026" w:rsidRDefault="00333350" w:rsidP="00903DEA">
      <w:pPr>
        <w:pStyle w:val="Default"/>
        <w:jc w:val="both"/>
        <w:rPr>
          <w:lang w:val="en-US"/>
        </w:rPr>
      </w:pPr>
    </w:p>
    <w:p w14:paraId="4298B1A4" w14:textId="66621397" w:rsidR="00333350" w:rsidRPr="001E1026" w:rsidRDefault="00CE62DC" w:rsidP="00CF719D">
      <w:pPr>
        <w:pStyle w:val="Default"/>
        <w:ind w:firstLine="284"/>
        <w:jc w:val="center"/>
        <w:rPr>
          <w:lang w:val="en-US"/>
        </w:rPr>
      </w:pPr>
      <w:r w:rsidRPr="001E1026">
        <w:rPr>
          <w:lang w:val="en-US"/>
        </w:rPr>
        <w:t xml:space="preserve">  </w:t>
      </w:r>
      <w:r w:rsidR="007658E6" w:rsidRPr="001E1026">
        <w:rPr>
          <w:lang w:val="en-US"/>
        </w:rPr>
        <w:t xml:space="preserve"> </w:t>
      </w:r>
      <w:r w:rsidR="009C067E" w:rsidRPr="001E1026">
        <w:rPr>
          <w:noProof/>
          <w:lang w:eastAsia="ru-RU"/>
        </w:rPr>
        <w:drawing>
          <wp:inline distT="0" distB="0" distL="0" distR="0" wp14:anchorId="5B967792" wp14:editId="03A4501D">
            <wp:extent cx="5400000" cy="2700000"/>
            <wp:effectExtent l="0" t="0" r="10795" b="571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7658E6" w:rsidRPr="001E1026">
        <w:rPr>
          <w:lang w:val="en-US"/>
        </w:rPr>
        <w:t xml:space="preserve">  </w:t>
      </w:r>
    </w:p>
    <w:p w14:paraId="39CEAAC3" w14:textId="143176A0" w:rsidR="00333350" w:rsidRPr="001E1026" w:rsidRDefault="009C067E" w:rsidP="00532CB8">
      <w:pPr>
        <w:pStyle w:val="Default"/>
        <w:ind w:firstLine="284"/>
        <w:jc w:val="center"/>
        <w:rPr>
          <w:sz w:val="18"/>
          <w:lang w:val="uz-Latn-UZ"/>
        </w:rPr>
      </w:pPr>
      <w:r w:rsidRPr="001E1026">
        <w:rPr>
          <w:b/>
          <w:sz w:val="18"/>
          <w:lang w:val="en-US"/>
        </w:rPr>
        <w:t>FIGURE 1</w:t>
      </w:r>
      <w:r w:rsidR="00333350" w:rsidRPr="001E1026">
        <w:rPr>
          <w:b/>
          <w:sz w:val="18"/>
          <w:lang w:val="en-US"/>
        </w:rPr>
        <w:t>.</w:t>
      </w:r>
      <w:r w:rsidR="00333350" w:rsidRPr="001E1026">
        <w:rPr>
          <w:sz w:val="18"/>
          <w:lang w:val="en-US"/>
        </w:rPr>
        <w:t xml:space="preserve"> </w:t>
      </w:r>
      <w:r w:rsidRPr="001E1026">
        <w:rPr>
          <w:sz w:val="18"/>
          <w:lang w:val="en-US"/>
        </w:rPr>
        <w:t>Histogram of corona power losses for 500 kV and 220 kV overhead transmission lines</w:t>
      </w:r>
    </w:p>
    <w:p w14:paraId="493A640D" w14:textId="237A955D" w:rsidR="008A22AB" w:rsidRPr="001E1026"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1E1026">
        <w:rPr>
          <w:rFonts w:ascii="Times New Roman" w:hAnsi="Times New Roman" w:cs="Times New Roman"/>
          <w:b/>
          <w:sz w:val="24"/>
          <w:szCs w:val="24"/>
        </w:rPr>
        <w:t>EXPERIM</w:t>
      </w:r>
      <w:r w:rsidR="007C2176" w:rsidRPr="001E1026">
        <w:rPr>
          <w:rFonts w:ascii="Times New Roman" w:hAnsi="Times New Roman" w:cs="Times New Roman"/>
          <w:b/>
          <w:sz w:val="24"/>
          <w:szCs w:val="24"/>
        </w:rPr>
        <w:t>ENTAL RESEARCH</w:t>
      </w:r>
    </w:p>
    <w:p w14:paraId="601D2C70" w14:textId="34DA88C0" w:rsidR="008A22AB" w:rsidRPr="001E1026" w:rsidRDefault="006C118A" w:rsidP="006C118A">
      <w:pPr>
        <w:spacing w:after="0" w:line="240" w:lineRule="auto"/>
        <w:ind w:firstLine="283"/>
        <w:jc w:val="both"/>
        <w:rPr>
          <w:rFonts w:ascii="Times New Roman" w:hAnsi="Times New Roman" w:cs="Times New Roman"/>
          <w:sz w:val="20"/>
          <w:szCs w:val="20"/>
        </w:rPr>
      </w:pPr>
      <w:r w:rsidRPr="001E1026">
        <w:rPr>
          <w:rFonts w:ascii="Times New Roman" w:hAnsi="Times New Roman" w:cs="Times New Roman"/>
          <w:sz w:val="20"/>
          <w:szCs w:val="20"/>
        </w:rPr>
        <w:t>In order to overcome the lack of sensitivity in measuring corona losses under conditions where the relative humidity of air exceeds 90%, it is necessary to install meteorological stations at all substations operating at 330 kV and above. At the present stage, however, this shortcoming in the system can be partially compensated by applying correction factors to corona-loss measurements obtained under fair-weather conditions. These factors take into account the ratio between the average annual duration of periods with high humidity and that of fair-weather periods. Such an approach makes it possible to determine, in real time, the individual components of total energy losses-namely, load losses, corona losses, and leakage losses along insulation. This, in turn, enables optimization of power-system operating modes, reduction of overall losses in the network, and a significant improvement in the efficiency of electric energy use</w:t>
      </w:r>
      <w:r w:rsidR="00D12119" w:rsidRPr="001E1026">
        <w:rPr>
          <w:rFonts w:ascii="Times New Roman" w:hAnsi="Times New Roman" w:cs="Times New Roman"/>
          <w:sz w:val="20"/>
          <w:szCs w:val="20"/>
        </w:rPr>
        <w:t xml:space="preserve"> </w:t>
      </w:r>
      <w:r w:rsidR="007C2176" w:rsidRPr="001E1026">
        <w:rPr>
          <w:rFonts w:ascii="Times New Roman" w:hAnsi="Times New Roman" w:cs="Times New Roman"/>
          <w:color w:val="000000"/>
          <w:sz w:val="20"/>
          <w:szCs w:val="20"/>
        </w:rPr>
        <w:t>[</w:t>
      </w:r>
      <w:r w:rsidRPr="001E1026">
        <w:rPr>
          <w:rFonts w:ascii="Times New Roman" w:hAnsi="Times New Roman" w:cs="Times New Roman"/>
          <w:sz w:val="20"/>
          <w:szCs w:val="20"/>
        </w:rPr>
        <w:t>9-12</w:t>
      </w:r>
      <w:r w:rsidR="007C2176" w:rsidRPr="001E1026">
        <w:rPr>
          <w:rFonts w:ascii="Times New Roman" w:hAnsi="Times New Roman" w:cs="Times New Roman"/>
          <w:color w:val="000000"/>
          <w:sz w:val="20"/>
          <w:szCs w:val="20"/>
        </w:rPr>
        <w:t>].</w:t>
      </w:r>
      <w:r w:rsidR="001409A1" w:rsidRPr="001E1026">
        <w:rPr>
          <w:rFonts w:ascii="Times New Roman" w:hAnsi="Times New Roman" w:cs="Times New Roman"/>
        </w:rPr>
        <w:t xml:space="preserve"> </w:t>
      </w:r>
      <w:r w:rsidR="001409A1" w:rsidRPr="001E1026">
        <w:rPr>
          <w:rFonts w:ascii="Times New Roman" w:hAnsi="Times New Roman" w:cs="Times New Roman"/>
          <w:color w:val="000000"/>
          <w:sz w:val="20"/>
          <w:szCs w:val="20"/>
        </w:rPr>
        <w:t>The temperature of an overhead line conductor is influenced by multiple factors, primarily the magnitude of the current flowing through it, the ambient air temperature, wind speed, and the level of solar radiation. According to monitoring results of the transmission network, the average annual loading of the lines does not exceed 30% of their thermal capacity. Under loading conditions of 30% or less, the influence of current magnitude and wind speed on conductor temperature-and consequently on its electrical resistance-is sufficiently small that it may be reasonably neglected without introducing significant error into calculations.</w:t>
      </w:r>
    </w:p>
    <w:p w14:paraId="6679A4A0" w14:textId="77777777" w:rsidR="006C118A" w:rsidRPr="001E1026" w:rsidRDefault="006C118A" w:rsidP="006C118A">
      <w:pPr>
        <w:spacing w:after="0" w:line="240" w:lineRule="auto"/>
        <w:jc w:val="both"/>
        <w:rPr>
          <w:rFonts w:ascii="Times New Roman" w:hAnsi="Times New Roman" w:cs="Times New Roman"/>
          <w:sz w:val="20"/>
          <w:szCs w:val="20"/>
        </w:rPr>
      </w:pPr>
    </w:p>
    <w:p w14:paraId="68BE4A27" w14:textId="640BCCEC" w:rsidR="008745D5" w:rsidRPr="001E1026" w:rsidRDefault="00EB41D0" w:rsidP="0092258E">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val="uz-Latn-UZ"/>
        </w:rPr>
      </w:pPr>
      <w:r w:rsidRPr="001E1026">
        <w:rPr>
          <w:rFonts w:ascii="Times New Roman" w:eastAsia="Calibri" w:hAnsi="Times New Roman" w:cs="Times New Roman"/>
          <w:sz w:val="20"/>
          <w:szCs w:val="20"/>
        </w:rPr>
        <w:t xml:space="preserve">        </w:t>
      </w:r>
      <w:r w:rsidR="007658E6" w:rsidRPr="001E1026">
        <w:rPr>
          <w:rFonts w:ascii="Times New Roman" w:eastAsia="Calibri" w:hAnsi="Times New Roman" w:cs="Times New Roman"/>
          <w:sz w:val="20"/>
          <w:szCs w:val="20"/>
        </w:rPr>
        <w:t xml:space="preserve"> </w:t>
      </w:r>
      <w:r w:rsidR="00D41FE8" w:rsidRPr="001E1026">
        <w:rPr>
          <w:rFonts w:ascii="Times New Roman" w:hAnsi="Times New Roman" w:cs="Times New Roman"/>
          <w:noProof/>
          <w:lang w:val="ru-RU" w:eastAsia="ru-RU"/>
        </w:rPr>
        <w:drawing>
          <wp:inline distT="0" distB="0" distL="0" distR="0" wp14:anchorId="24453DB1" wp14:editId="4DF20F52">
            <wp:extent cx="4953000" cy="22860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C6FF363" w14:textId="6733B962" w:rsidR="00D41FE8" w:rsidRPr="001E1026" w:rsidRDefault="00DE08BD" w:rsidP="0057337B">
      <w:pPr>
        <w:widowControl w:val="0"/>
        <w:spacing w:after="0" w:line="240" w:lineRule="auto"/>
        <w:ind w:left="40" w:right="40" w:hanging="40"/>
        <w:jc w:val="center"/>
        <w:rPr>
          <w:rFonts w:ascii="Times New Roman" w:hAnsi="Times New Roman" w:cs="Times New Roman"/>
          <w:sz w:val="20"/>
          <w:szCs w:val="20"/>
        </w:rPr>
      </w:pPr>
      <w:r w:rsidRPr="001E1026">
        <w:rPr>
          <w:rFonts w:ascii="Times New Roman" w:hAnsi="Times New Roman" w:cs="Times New Roman"/>
          <w:b/>
          <w:sz w:val="20"/>
          <w:szCs w:val="20"/>
        </w:rPr>
        <w:t xml:space="preserve">FIGURE </w:t>
      </w:r>
      <w:r w:rsidR="00D41FE8" w:rsidRPr="001E1026">
        <w:rPr>
          <w:rFonts w:ascii="Times New Roman" w:hAnsi="Times New Roman" w:cs="Times New Roman"/>
          <w:b/>
          <w:sz w:val="20"/>
          <w:szCs w:val="20"/>
        </w:rPr>
        <w:t>2</w:t>
      </w:r>
      <w:r w:rsidRPr="001E1026">
        <w:rPr>
          <w:rFonts w:ascii="Times New Roman" w:hAnsi="Times New Roman" w:cs="Times New Roman"/>
          <w:b/>
          <w:sz w:val="20"/>
          <w:szCs w:val="20"/>
        </w:rPr>
        <w:t>.</w:t>
      </w:r>
      <w:r w:rsidRPr="001E1026">
        <w:rPr>
          <w:rFonts w:ascii="Times New Roman" w:hAnsi="Times New Roman" w:cs="Times New Roman"/>
          <w:sz w:val="20"/>
          <w:szCs w:val="20"/>
        </w:rPr>
        <w:t xml:space="preserve"> </w:t>
      </w:r>
      <w:r w:rsidR="00D12119" w:rsidRPr="001E1026">
        <w:rPr>
          <w:rFonts w:ascii="Times New Roman" w:hAnsi="Times New Roman" w:cs="Times New Roman"/>
          <w:sz w:val="20"/>
          <w:szCs w:val="20"/>
        </w:rPr>
        <w:t>Corona power loss supply frequency for different excitation modes</w:t>
      </w:r>
      <w:r w:rsidRPr="001E1026">
        <w:rPr>
          <w:rFonts w:ascii="Times New Roman" w:hAnsi="Times New Roman" w:cs="Times New Roman"/>
          <w:sz w:val="20"/>
          <w:szCs w:val="20"/>
        </w:rPr>
        <w:t>.</w:t>
      </w:r>
    </w:p>
    <w:p w14:paraId="5AF256BB" w14:textId="672F9FD8" w:rsidR="00487CEA" w:rsidRPr="001E1026"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1E1026">
        <w:rPr>
          <w:rFonts w:ascii="Times New Roman" w:eastAsia="Times New Roman" w:hAnsi="Times New Roman" w:cs="Times New Roman"/>
          <w:b/>
          <w:sz w:val="24"/>
          <w:szCs w:val="24"/>
          <w:lang w:eastAsia="de-DE"/>
        </w:rPr>
        <w:t>RESEARCH RESULTS</w:t>
      </w:r>
    </w:p>
    <w:p w14:paraId="3EE543FD" w14:textId="184E3CC5" w:rsidR="008F5C21" w:rsidRPr="001E1026" w:rsidRDefault="003A692F" w:rsidP="00152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0"/>
        </w:rPr>
      </w:pPr>
      <w:r w:rsidRPr="001E1026">
        <w:rPr>
          <w:rFonts w:ascii="Times New Roman" w:hAnsi="Times New Roman" w:cs="Times New Roman"/>
          <w:color w:val="000000"/>
          <w:sz w:val="20"/>
        </w:rPr>
        <w:t xml:space="preserve"> </w:t>
      </w:r>
      <w:r w:rsidR="0057337B" w:rsidRPr="001E1026">
        <w:rPr>
          <w:rFonts w:ascii="Times New Roman" w:hAnsi="Times New Roman" w:cs="Times New Roman"/>
          <w:color w:val="000000"/>
          <w:sz w:val="20"/>
        </w:rPr>
        <w:t>The instrumental error associated with determining conductor losses is relatively small: at a maximum absolute deviation of 1151 kW, it amounts to approximately 4% of the measured conductor-loss value. When compared to the natural transmission capacity of the overhead line (855,000 kW), this error corresponds to only about 0.13%, indicating that its influence on the overall assessment of power losses is negligible</w:t>
      </w:r>
      <w:r w:rsidR="006E450B" w:rsidRPr="001E1026">
        <w:rPr>
          <w:rFonts w:ascii="Times New Roman" w:hAnsi="Times New Roman" w:cs="Times New Roman"/>
          <w:color w:val="000000"/>
          <w:sz w:val="20"/>
        </w:rPr>
        <w:t>.</w:t>
      </w:r>
    </w:p>
    <w:p w14:paraId="320E19EC" w14:textId="77777777" w:rsidR="00CF719D" w:rsidRPr="001E1026" w:rsidRDefault="00CF719D" w:rsidP="00152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0"/>
          <w:lang w:val="de-DE"/>
        </w:rPr>
      </w:pPr>
    </w:p>
    <w:p w14:paraId="41F51FD2" w14:textId="33C15E97" w:rsidR="008F5C21" w:rsidRPr="001E1026" w:rsidRDefault="007658E6" w:rsidP="00152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0"/>
          <w:szCs w:val="20"/>
          <w:lang w:val="de-DE"/>
        </w:rPr>
      </w:pPr>
      <w:r w:rsidRPr="001E1026">
        <w:rPr>
          <w:rFonts w:ascii="Times New Roman" w:hAnsi="Times New Roman" w:cs="Times New Roman"/>
          <w:color w:val="000000"/>
          <w:sz w:val="20"/>
          <w:szCs w:val="20"/>
          <w:lang w:val="de-DE"/>
        </w:rPr>
        <w:t xml:space="preserve"> </w:t>
      </w:r>
      <w:r w:rsidR="00EB41D0" w:rsidRPr="001E1026">
        <w:rPr>
          <w:rFonts w:ascii="Times New Roman" w:hAnsi="Times New Roman" w:cs="Times New Roman"/>
          <w:color w:val="000000"/>
          <w:sz w:val="20"/>
          <w:szCs w:val="20"/>
          <w:lang w:val="de-DE"/>
        </w:rPr>
        <w:t xml:space="preserve">    </w:t>
      </w:r>
      <w:r w:rsidRPr="001E1026">
        <w:rPr>
          <w:rFonts w:ascii="Times New Roman" w:hAnsi="Times New Roman" w:cs="Times New Roman"/>
          <w:color w:val="000000"/>
          <w:sz w:val="20"/>
          <w:szCs w:val="20"/>
          <w:lang w:val="de-DE"/>
        </w:rPr>
        <w:t xml:space="preserve">   </w:t>
      </w:r>
      <w:r w:rsidR="0057337B" w:rsidRPr="001E1026">
        <w:rPr>
          <w:rFonts w:ascii="Times New Roman" w:hAnsi="Times New Roman" w:cs="Times New Roman"/>
          <w:noProof/>
          <w:lang w:val="ru-RU" w:eastAsia="ru-RU"/>
        </w:rPr>
        <w:drawing>
          <wp:inline distT="0" distB="0" distL="0" distR="0" wp14:anchorId="09E5121A" wp14:editId="05002A74">
            <wp:extent cx="5400000" cy="2700000"/>
            <wp:effectExtent l="0" t="0" r="10795" b="571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235212" w14:textId="52009543" w:rsidR="00CF719D" w:rsidRPr="001E1026" w:rsidRDefault="0057337B" w:rsidP="00152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18"/>
          <w:szCs w:val="20"/>
          <w:lang w:val="de-DE"/>
        </w:rPr>
      </w:pPr>
      <w:r w:rsidRPr="001E1026">
        <w:rPr>
          <w:rFonts w:ascii="Times New Roman" w:hAnsi="Times New Roman" w:cs="Times New Roman"/>
          <w:b/>
          <w:color w:val="000000"/>
          <w:sz w:val="18"/>
          <w:szCs w:val="20"/>
          <w:lang w:val="de-DE"/>
        </w:rPr>
        <w:t>FIGURE 3</w:t>
      </w:r>
      <w:r w:rsidR="00CF719D" w:rsidRPr="001E1026">
        <w:rPr>
          <w:rFonts w:ascii="Times New Roman" w:hAnsi="Times New Roman" w:cs="Times New Roman"/>
          <w:color w:val="000000"/>
          <w:sz w:val="18"/>
          <w:szCs w:val="20"/>
          <w:lang w:val="de-DE"/>
        </w:rPr>
        <w:t xml:space="preserve">. </w:t>
      </w:r>
      <w:proofErr w:type="spellStart"/>
      <w:r w:rsidRPr="001E1026">
        <w:rPr>
          <w:rFonts w:ascii="Times New Roman" w:hAnsi="Times New Roman" w:cs="Times New Roman"/>
          <w:color w:val="000000"/>
          <w:sz w:val="18"/>
          <w:szCs w:val="20"/>
          <w:lang w:val="de-DE"/>
        </w:rPr>
        <w:t>Relationship</w:t>
      </w:r>
      <w:proofErr w:type="spellEnd"/>
      <w:r w:rsidRPr="001E1026">
        <w:rPr>
          <w:rFonts w:ascii="Times New Roman" w:hAnsi="Times New Roman" w:cs="Times New Roman"/>
          <w:color w:val="000000"/>
          <w:sz w:val="18"/>
          <w:szCs w:val="20"/>
          <w:lang w:val="de-DE"/>
        </w:rPr>
        <w:t xml:space="preserve"> </w:t>
      </w:r>
      <w:proofErr w:type="spellStart"/>
      <w:r w:rsidRPr="001E1026">
        <w:rPr>
          <w:rFonts w:ascii="Times New Roman" w:hAnsi="Times New Roman" w:cs="Times New Roman"/>
          <w:color w:val="000000"/>
          <w:sz w:val="18"/>
          <w:szCs w:val="20"/>
          <w:lang w:val="de-DE"/>
        </w:rPr>
        <w:t>between</w:t>
      </w:r>
      <w:proofErr w:type="spellEnd"/>
      <w:r w:rsidRPr="001E1026">
        <w:rPr>
          <w:rFonts w:ascii="Times New Roman" w:hAnsi="Times New Roman" w:cs="Times New Roman"/>
          <w:color w:val="000000"/>
          <w:sz w:val="18"/>
          <w:szCs w:val="20"/>
          <w:lang w:val="de-DE"/>
        </w:rPr>
        <w:t xml:space="preserve"> </w:t>
      </w:r>
      <w:proofErr w:type="spellStart"/>
      <w:r w:rsidRPr="001E1026">
        <w:rPr>
          <w:rFonts w:ascii="Times New Roman" w:hAnsi="Times New Roman" w:cs="Times New Roman"/>
          <w:color w:val="000000"/>
          <w:sz w:val="18"/>
          <w:szCs w:val="20"/>
          <w:lang w:val="de-DE"/>
        </w:rPr>
        <w:t>corona</w:t>
      </w:r>
      <w:proofErr w:type="spellEnd"/>
      <w:r w:rsidRPr="001E1026">
        <w:rPr>
          <w:rFonts w:ascii="Times New Roman" w:hAnsi="Times New Roman" w:cs="Times New Roman"/>
          <w:color w:val="000000"/>
          <w:sz w:val="18"/>
          <w:szCs w:val="20"/>
          <w:lang w:val="de-DE"/>
        </w:rPr>
        <w:t xml:space="preserve"> </w:t>
      </w:r>
      <w:proofErr w:type="spellStart"/>
      <w:r w:rsidRPr="001E1026">
        <w:rPr>
          <w:rFonts w:ascii="Times New Roman" w:hAnsi="Times New Roman" w:cs="Times New Roman"/>
          <w:color w:val="000000"/>
          <w:sz w:val="18"/>
          <w:szCs w:val="20"/>
          <w:lang w:val="de-DE"/>
        </w:rPr>
        <w:t>losses</w:t>
      </w:r>
      <w:proofErr w:type="spellEnd"/>
      <w:r w:rsidRPr="001E1026">
        <w:rPr>
          <w:rFonts w:ascii="Times New Roman" w:hAnsi="Times New Roman" w:cs="Times New Roman"/>
          <w:color w:val="000000"/>
          <w:sz w:val="18"/>
          <w:szCs w:val="20"/>
          <w:lang w:val="de-DE"/>
        </w:rPr>
        <w:t xml:space="preserve"> </w:t>
      </w:r>
      <w:proofErr w:type="spellStart"/>
      <w:r w:rsidRPr="001E1026">
        <w:rPr>
          <w:rFonts w:ascii="Times New Roman" w:hAnsi="Times New Roman" w:cs="Times New Roman"/>
          <w:color w:val="000000"/>
          <w:sz w:val="18"/>
          <w:szCs w:val="20"/>
          <w:lang w:val="de-DE"/>
        </w:rPr>
        <w:t>and</w:t>
      </w:r>
      <w:proofErr w:type="spellEnd"/>
      <w:r w:rsidRPr="001E1026">
        <w:rPr>
          <w:rFonts w:ascii="Times New Roman" w:hAnsi="Times New Roman" w:cs="Times New Roman"/>
          <w:color w:val="000000"/>
          <w:sz w:val="18"/>
          <w:szCs w:val="20"/>
          <w:lang w:val="de-DE"/>
        </w:rPr>
        <w:t xml:space="preserve"> </w:t>
      </w:r>
      <w:proofErr w:type="spellStart"/>
      <w:r w:rsidRPr="001E1026">
        <w:rPr>
          <w:rFonts w:ascii="Times New Roman" w:hAnsi="Times New Roman" w:cs="Times New Roman"/>
          <w:color w:val="000000"/>
          <w:sz w:val="18"/>
          <w:szCs w:val="20"/>
          <w:lang w:val="de-DE"/>
        </w:rPr>
        <w:t>active</w:t>
      </w:r>
      <w:proofErr w:type="spellEnd"/>
      <w:r w:rsidRPr="001E1026">
        <w:rPr>
          <w:rFonts w:ascii="Times New Roman" w:hAnsi="Times New Roman" w:cs="Times New Roman"/>
          <w:color w:val="000000"/>
          <w:sz w:val="18"/>
          <w:szCs w:val="20"/>
          <w:lang w:val="de-DE"/>
        </w:rPr>
        <w:t xml:space="preserve"> power in high-</w:t>
      </w:r>
      <w:proofErr w:type="spellStart"/>
      <w:r w:rsidRPr="001E1026">
        <w:rPr>
          <w:rFonts w:ascii="Times New Roman" w:hAnsi="Times New Roman" w:cs="Times New Roman"/>
          <w:color w:val="000000"/>
          <w:sz w:val="18"/>
          <w:szCs w:val="20"/>
          <w:lang w:val="de-DE"/>
        </w:rPr>
        <w:t>voltage</w:t>
      </w:r>
      <w:proofErr w:type="spellEnd"/>
      <w:r w:rsidRPr="001E1026">
        <w:rPr>
          <w:rFonts w:ascii="Times New Roman" w:hAnsi="Times New Roman" w:cs="Times New Roman"/>
          <w:color w:val="000000"/>
          <w:sz w:val="18"/>
          <w:szCs w:val="20"/>
          <w:lang w:val="de-DE"/>
        </w:rPr>
        <w:t xml:space="preserve"> </w:t>
      </w:r>
      <w:proofErr w:type="spellStart"/>
      <w:r w:rsidRPr="001E1026">
        <w:rPr>
          <w:rFonts w:ascii="Times New Roman" w:hAnsi="Times New Roman" w:cs="Times New Roman"/>
          <w:color w:val="000000"/>
          <w:sz w:val="18"/>
          <w:szCs w:val="20"/>
          <w:lang w:val="de-DE"/>
        </w:rPr>
        <w:t>transmission</w:t>
      </w:r>
      <w:proofErr w:type="spellEnd"/>
      <w:r w:rsidRPr="001E1026">
        <w:rPr>
          <w:rFonts w:ascii="Times New Roman" w:hAnsi="Times New Roman" w:cs="Times New Roman"/>
          <w:color w:val="000000"/>
          <w:sz w:val="18"/>
          <w:szCs w:val="20"/>
          <w:lang w:val="de-DE"/>
        </w:rPr>
        <w:t xml:space="preserve"> </w:t>
      </w:r>
      <w:proofErr w:type="spellStart"/>
      <w:r w:rsidRPr="001E1026">
        <w:rPr>
          <w:rFonts w:ascii="Times New Roman" w:hAnsi="Times New Roman" w:cs="Times New Roman"/>
          <w:color w:val="000000"/>
          <w:sz w:val="18"/>
          <w:szCs w:val="20"/>
          <w:lang w:val="de-DE"/>
        </w:rPr>
        <w:t>lines</w:t>
      </w:r>
      <w:proofErr w:type="spellEnd"/>
      <w:r w:rsidR="00CF719D" w:rsidRPr="001E1026">
        <w:rPr>
          <w:rFonts w:ascii="Times New Roman" w:hAnsi="Times New Roman" w:cs="Times New Roman"/>
          <w:color w:val="000000"/>
          <w:sz w:val="18"/>
          <w:szCs w:val="20"/>
          <w:lang w:val="de-DE"/>
        </w:rPr>
        <w:t>.</w:t>
      </w:r>
    </w:p>
    <w:p w14:paraId="0A1083F0" w14:textId="77777777" w:rsidR="00CF719D" w:rsidRPr="001E1026" w:rsidRDefault="00CF719D" w:rsidP="00152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sz w:val="20"/>
          <w:lang w:val="de-DE" w:eastAsia="ru-RU"/>
        </w:rPr>
      </w:pPr>
    </w:p>
    <w:p w14:paraId="1892E540" w14:textId="0133D585" w:rsidR="0092258E" w:rsidRPr="001E1026" w:rsidRDefault="00EB41D0" w:rsidP="00EB41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noProof/>
          <w:sz w:val="20"/>
          <w:lang w:eastAsia="ru-RU"/>
        </w:rPr>
      </w:pPr>
      <w:r w:rsidRPr="001E1026">
        <w:rPr>
          <w:rFonts w:ascii="Times New Roman" w:hAnsi="Times New Roman" w:cs="Times New Roman"/>
          <w:noProof/>
          <w:sz w:val="20"/>
          <w:lang w:eastAsia="ru-RU"/>
        </w:rPr>
        <w:t>For the transmission line under consideration, the corona losses in fair-weather conditions amount to 1200 kW. As shown in Figure 3, the maximum absolute instrumental error in determining corona losses reaches 229 kW, which corresponds to about 19% of the corona power loss measured under fair-weather conditions. In such conditions, corona losses are calculated based on the measured voltage and the computed capacitive charging current. Given that the uncertainties associated with determining these parameters are relatively large, and also considering that fair-weather corona losses are approximately two orders of magnitude smaller than the maximum possible corona-loss values, it can be concluded that an error margin of 19% in the computation of corona losses is fully  acceptable for engineering asse</w:t>
      </w:r>
      <w:r w:rsidR="0086199E" w:rsidRPr="001E1026">
        <w:rPr>
          <w:rFonts w:ascii="Times New Roman" w:hAnsi="Times New Roman" w:cs="Times New Roman"/>
          <w:noProof/>
          <w:sz w:val="20"/>
          <w:lang w:eastAsia="ru-RU"/>
        </w:rPr>
        <w:t xml:space="preserve">ssments </w:t>
      </w:r>
      <w:r w:rsidR="0086199E" w:rsidRPr="001E1026">
        <w:rPr>
          <w:rFonts w:ascii="Times New Roman" w:hAnsi="Times New Roman" w:cs="Times New Roman"/>
          <w:color w:val="000000"/>
          <w:sz w:val="20"/>
          <w:szCs w:val="20"/>
        </w:rPr>
        <w:t>[</w:t>
      </w:r>
      <w:r w:rsidR="0086199E" w:rsidRPr="001E1026">
        <w:rPr>
          <w:rFonts w:ascii="Times New Roman" w:hAnsi="Times New Roman" w:cs="Times New Roman"/>
          <w:sz w:val="20"/>
          <w:szCs w:val="20"/>
        </w:rPr>
        <w:t>13-15</w:t>
      </w:r>
      <w:r w:rsidR="0086199E" w:rsidRPr="001E1026">
        <w:rPr>
          <w:rFonts w:ascii="Times New Roman" w:hAnsi="Times New Roman" w:cs="Times New Roman"/>
          <w:color w:val="000000"/>
          <w:sz w:val="20"/>
          <w:szCs w:val="20"/>
        </w:rPr>
        <w:t>].</w:t>
      </w:r>
    </w:p>
    <w:p w14:paraId="2F0F4A0D" w14:textId="77777777" w:rsidR="00EB41D0" w:rsidRPr="001E1026" w:rsidRDefault="00EB41D0" w:rsidP="00EB41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lang w:eastAsia="de-DE"/>
        </w:rPr>
      </w:pPr>
    </w:p>
    <w:p w14:paraId="44590055" w14:textId="24098B8F" w:rsidR="00F75242" w:rsidRPr="001E1026" w:rsidRDefault="00F75242" w:rsidP="00152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de-DE"/>
        </w:rPr>
      </w:pPr>
      <w:r w:rsidRPr="001E1026">
        <w:rPr>
          <w:rFonts w:ascii="Times New Roman" w:hAnsi="Times New Roman" w:cs="Times New Roman"/>
          <w:b/>
          <w:sz w:val="20"/>
          <w:szCs w:val="20"/>
          <w:lang w:eastAsia="de-DE"/>
        </w:rPr>
        <w:t xml:space="preserve">TABLE </w:t>
      </w:r>
      <w:r w:rsidR="006B0078" w:rsidRPr="001E1026">
        <w:rPr>
          <w:rFonts w:ascii="Times New Roman" w:hAnsi="Times New Roman" w:cs="Times New Roman"/>
          <w:b/>
          <w:sz w:val="20"/>
          <w:szCs w:val="20"/>
          <w:lang w:eastAsia="de-DE"/>
        </w:rPr>
        <w:t>2</w:t>
      </w:r>
      <w:r w:rsidRPr="001E1026">
        <w:rPr>
          <w:rFonts w:ascii="Times New Roman" w:hAnsi="Times New Roman" w:cs="Times New Roman"/>
          <w:b/>
          <w:sz w:val="20"/>
          <w:szCs w:val="20"/>
          <w:lang w:eastAsia="de-DE"/>
        </w:rPr>
        <w:t>.</w:t>
      </w:r>
      <w:r w:rsidRPr="001E1026">
        <w:rPr>
          <w:rFonts w:ascii="Times New Roman" w:hAnsi="Times New Roman" w:cs="Times New Roman"/>
          <w:sz w:val="20"/>
          <w:szCs w:val="20"/>
          <w:lang w:eastAsia="de-DE"/>
        </w:rPr>
        <w:t xml:space="preserve"> </w:t>
      </w:r>
      <w:r w:rsidR="00903DEA" w:rsidRPr="001E1026">
        <w:rPr>
          <w:rFonts w:ascii="Times New Roman" w:hAnsi="Times New Roman" w:cs="Times New Roman"/>
          <w:sz w:val="20"/>
          <w:szCs w:val="20"/>
          <w:lang w:eastAsia="de-DE"/>
        </w:rPr>
        <w:t>Key performance indicators of corona losses and power flow parameters</w:t>
      </w:r>
      <w:r w:rsidR="00545F82" w:rsidRPr="001E1026">
        <w:rPr>
          <w:rFonts w:ascii="Times New Roman" w:hAnsi="Times New Roman" w:cs="Times New Roman"/>
          <w:sz w:val="20"/>
          <w:szCs w:val="20"/>
          <w:lang w:eastAsia="de-DE"/>
        </w:rPr>
        <w:t>.</w:t>
      </w:r>
    </w:p>
    <w:tbl>
      <w:tblPr>
        <w:tblW w:w="8804" w:type="dxa"/>
        <w:jc w:val="right"/>
        <w:tblLook w:val="04A0" w:firstRow="1" w:lastRow="0" w:firstColumn="1" w:lastColumn="0" w:noHBand="0" w:noVBand="1"/>
      </w:tblPr>
      <w:tblGrid>
        <w:gridCol w:w="6"/>
        <w:gridCol w:w="5396"/>
        <w:gridCol w:w="3402"/>
      </w:tblGrid>
      <w:tr w:rsidR="006B0078" w:rsidRPr="001E1026" w14:paraId="1FE6806F" w14:textId="77777777" w:rsidTr="001E1026">
        <w:trPr>
          <w:trHeight w:val="70"/>
          <w:jc w:val="right"/>
        </w:trPr>
        <w:tc>
          <w:tcPr>
            <w:tcW w:w="5402" w:type="dxa"/>
            <w:gridSpan w:val="2"/>
            <w:tcBorders>
              <w:top w:val="single" w:sz="4" w:space="0" w:color="auto"/>
              <w:left w:val="single" w:sz="4" w:space="0" w:color="auto"/>
              <w:bottom w:val="single" w:sz="4" w:space="0" w:color="auto"/>
              <w:right w:val="single" w:sz="4" w:space="0" w:color="auto"/>
            </w:tcBorders>
            <w:noWrap/>
            <w:hideMark/>
          </w:tcPr>
          <w:p w14:paraId="1F6D6B86" w14:textId="15F32B57" w:rsidR="006B0078" w:rsidRPr="001E1026" w:rsidRDefault="006B0078" w:rsidP="006B0078">
            <w:pPr>
              <w:spacing w:after="0" w:line="240" w:lineRule="auto"/>
              <w:jc w:val="center"/>
              <w:rPr>
                <w:rFonts w:ascii="Times New Roman" w:eastAsia="Times New Roman" w:hAnsi="Times New Roman" w:cs="Times New Roman"/>
                <w:color w:val="000000"/>
                <w:sz w:val="18"/>
                <w:szCs w:val="18"/>
                <w:lang w:val="uz-Latn-UZ" w:eastAsia="ru-RU"/>
              </w:rPr>
            </w:pPr>
            <w:proofErr w:type="spellStart"/>
            <w:r w:rsidRPr="001E1026">
              <w:rPr>
                <w:rFonts w:ascii="Times New Roman" w:eastAsia="Times New Roman" w:hAnsi="Times New Roman" w:cs="Times New Roman"/>
                <w:color w:val="000000"/>
                <w:sz w:val="18"/>
                <w:szCs w:val="18"/>
                <w:lang w:val="ru-RU" w:eastAsia="ru-RU"/>
              </w:rPr>
              <w:t>Parameter</w:t>
            </w:r>
            <w:proofErr w:type="spellEnd"/>
            <w:r w:rsidR="00903DEA" w:rsidRPr="001E1026">
              <w:rPr>
                <w:rFonts w:ascii="Times New Roman" w:eastAsia="Times New Roman" w:hAnsi="Times New Roman" w:cs="Times New Roman"/>
                <w:color w:val="000000"/>
                <w:sz w:val="18"/>
                <w:szCs w:val="18"/>
                <w:lang w:val="uz-Latn-UZ" w:eastAsia="ru-RU"/>
              </w:rPr>
              <w:t>es</w:t>
            </w:r>
          </w:p>
        </w:tc>
        <w:tc>
          <w:tcPr>
            <w:tcW w:w="3402" w:type="dxa"/>
            <w:tcBorders>
              <w:top w:val="single" w:sz="4" w:space="0" w:color="auto"/>
              <w:left w:val="nil"/>
              <w:bottom w:val="single" w:sz="4" w:space="0" w:color="auto"/>
              <w:right w:val="single" w:sz="4" w:space="0" w:color="auto"/>
            </w:tcBorders>
            <w:noWrap/>
            <w:hideMark/>
          </w:tcPr>
          <w:p w14:paraId="43C2B6AA" w14:textId="77777777" w:rsidR="006B0078" w:rsidRPr="001E1026" w:rsidRDefault="006B0078" w:rsidP="006B0078">
            <w:pPr>
              <w:spacing w:after="0" w:line="240" w:lineRule="auto"/>
              <w:jc w:val="center"/>
              <w:rPr>
                <w:rFonts w:ascii="Times New Roman" w:eastAsia="Times New Roman" w:hAnsi="Times New Roman" w:cs="Times New Roman"/>
                <w:color w:val="000000"/>
                <w:sz w:val="18"/>
                <w:szCs w:val="18"/>
                <w:lang w:val="ru-RU" w:eastAsia="ru-RU"/>
              </w:rPr>
            </w:pPr>
            <w:r w:rsidRPr="001E1026">
              <w:rPr>
                <w:rFonts w:ascii="Times New Roman" w:eastAsia="Times New Roman" w:hAnsi="Times New Roman" w:cs="Times New Roman"/>
                <w:color w:val="000000"/>
                <w:sz w:val="18"/>
                <w:szCs w:val="18"/>
                <w:lang w:val="ru-RU" w:eastAsia="ru-RU"/>
              </w:rPr>
              <w:t>Value</w:t>
            </w:r>
          </w:p>
        </w:tc>
      </w:tr>
      <w:tr w:rsidR="006B0078" w:rsidRPr="001E1026" w14:paraId="588E03BC" w14:textId="77777777" w:rsidTr="001E1026">
        <w:trPr>
          <w:trHeight w:val="70"/>
          <w:jc w:val="right"/>
        </w:trPr>
        <w:tc>
          <w:tcPr>
            <w:tcW w:w="5402" w:type="dxa"/>
            <w:gridSpan w:val="2"/>
            <w:tcBorders>
              <w:top w:val="nil"/>
              <w:left w:val="single" w:sz="4" w:space="0" w:color="auto"/>
              <w:bottom w:val="single" w:sz="4" w:space="0" w:color="auto"/>
              <w:right w:val="single" w:sz="4" w:space="0" w:color="auto"/>
            </w:tcBorders>
            <w:noWrap/>
            <w:vAlign w:val="bottom"/>
            <w:hideMark/>
          </w:tcPr>
          <w:p w14:paraId="68D9F2A5" w14:textId="77777777" w:rsidR="006B0078" w:rsidRPr="001E1026" w:rsidRDefault="006B0078" w:rsidP="006B0078">
            <w:pPr>
              <w:spacing w:after="0" w:line="240" w:lineRule="auto"/>
              <w:rPr>
                <w:rFonts w:ascii="Times New Roman" w:eastAsia="Times New Roman" w:hAnsi="Times New Roman" w:cs="Times New Roman"/>
                <w:color w:val="000000"/>
                <w:sz w:val="18"/>
                <w:szCs w:val="18"/>
                <w:lang w:eastAsia="ru-RU"/>
              </w:rPr>
            </w:pPr>
            <w:r w:rsidRPr="001E1026">
              <w:rPr>
                <w:rFonts w:ascii="Times New Roman" w:eastAsia="Times New Roman" w:hAnsi="Times New Roman" w:cs="Times New Roman"/>
                <w:color w:val="000000"/>
                <w:sz w:val="18"/>
                <w:szCs w:val="18"/>
                <w:lang w:eastAsia="ru-RU"/>
              </w:rPr>
              <w:t>Duration of increased corona losses, hours</w:t>
            </w:r>
          </w:p>
        </w:tc>
        <w:tc>
          <w:tcPr>
            <w:tcW w:w="3402" w:type="dxa"/>
            <w:tcBorders>
              <w:top w:val="nil"/>
              <w:left w:val="nil"/>
              <w:bottom w:val="single" w:sz="4" w:space="0" w:color="auto"/>
              <w:right w:val="single" w:sz="4" w:space="0" w:color="auto"/>
            </w:tcBorders>
            <w:noWrap/>
            <w:vAlign w:val="bottom"/>
            <w:hideMark/>
          </w:tcPr>
          <w:p w14:paraId="0C3E995C" w14:textId="77777777" w:rsidR="006B0078" w:rsidRPr="001E1026" w:rsidRDefault="006B0078" w:rsidP="006B0078">
            <w:pPr>
              <w:spacing w:after="0" w:line="240" w:lineRule="auto"/>
              <w:jc w:val="center"/>
              <w:rPr>
                <w:rFonts w:ascii="Times New Roman" w:eastAsia="Times New Roman" w:hAnsi="Times New Roman" w:cs="Times New Roman"/>
                <w:color w:val="000000"/>
                <w:sz w:val="18"/>
                <w:szCs w:val="18"/>
                <w:lang w:val="ru-RU" w:eastAsia="ru-RU"/>
              </w:rPr>
            </w:pPr>
            <w:r w:rsidRPr="001E1026">
              <w:rPr>
                <w:rFonts w:ascii="Times New Roman" w:eastAsia="Times New Roman" w:hAnsi="Times New Roman" w:cs="Times New Roman"/>
                <w:color w:val="000000"/>
                <w:sz w:val="18"/>
                <w:szCs w:val="18"/>
                <w:lang w:val="ru-RU" w:eastAsia="ru-RU"/>
              </w:rPr>
              <w:t>2,33</w:t>
            </w:r>
          </w:p>
        </w:tc>
      </w:tr>
      <w:tr w:rsidR="006B0078" w:rsidRPr="001E1026" w14:paraId="282A0EC5" w14:textId="77777777" w:rsidTr="001E1026">
        <w:trPr>
          <w:trHeight w:val="70"/>
          <w:jc w:val="right"/>
        </w:trPr>
        <w:tc>
          <w:tcPr>
            <w:tcW w:w="5402" w:type="dxa"/>
            <w:gridSpan w:val="2"/>
            <w:tcBorders>
              <w:top w:val="nil"/>
              <w:left w:val="single" w:sz="4" w:space="0" w:color="auto"/>
              <w:bottom w:val="single" w:sz="4" w:space="0" w:color="auto"/>
              <w:right w:val="single" w:sz="4" w:space="0" w:color="auto"/>
            </w:tcBorders>
            <w:noWrap/>
            <w:vAlign w:val="bottom"/>
            <w:hideMark/>
          </w:tcPr>
          <w:p w14:paraId="5B322EAB" w14:textId="77777777" w:rsidR="006B0078" w:rsidRPr="001E1026" w:rsidRDefault="006B0078" w:rsidP="006B0078">
            <w:pPr>
              <w:spacing w:after="0" w:line="240" w:lineRule="auto"/>
              <w:rPr>
                <w:rFonts w:ascii="Times New Roman" w:eastAsia="Times New Roman" w:hAnsi="Times New Roman" w:cs="Times New Roman"/>
                <w:color w:val="000000"/>
                <w:sz w:val="18"/>
                <w:szCs w:val="18"/>
                <w:lang w:eastAsia="ru-RU"/>
              </w:rPr>
            </w:pPr>
            <w:r w:rsidRPr="001E1026">
              <w:rPr>
                <w:rFonts w:ascii="Times New Roman" w:eastAsia="Times New Roman" w:hAnsi="Times New Roman" w:cs="Times New Roman"/>
                <w:color w:val="000000"/>
                <w:sz w:val="18"/>
                <w:szCs w:val="18"/>
                <w:lang w:eastAsia="ru-RU"/>
              </w:rPr>
              <w:t>Average voltage at the end of  U</w:t>
            </w:r>
            <w:r w:rsidRPr="001E1026">
              <w:rPr>
                <w:rFonts w:ascii="Times New Roman" w:eastAsia="Times New Roman" w:hAnsi="Times New Roman" w:cs="Times New Roman"/>
                <w:color w:val="000000"/>
                <w:sz w:val="18"/>
                <w:szCs w:val="18"/>
                <w:vertAlign w:val="subscript"/>
                <w:lang w:eastAsia="ru-RU"/>
              </w:rPr>
              <w:t>2</w:t>
            </w:r>
            <w:r w:rsidRPr="001E1026">
              <w:rPr>
                <w:rFonts w:ascii="Times New Roman" w:eastAsia="Times New Roman" w:hAnsi="Times New Roman" w:cs="Times New Roman"/>
                <w:color w:val="000000"/>
                <w:sz w:val="18"/>
                <w:szCs w:val="18"/>
                <w:lang w:eastAsia="ru-RU"/>
              </w:rPr>
              <w:t>, kV</w:t>
            </w:r>
          </w:p>
        </w:tc>
        <w:tc>
          <w:tcPr>
            <w:tcW w:w="3402" w:type="dxa"/>
            <w:tcBorders>
              <w:top w:val="nil"/>
              <w:left w:val="nil"/>
              <w:bottom w:val="single" w:sz="4" w:space="0" w:color="auto"/>
              <w:right w:val="single" w:sz="4" w:space="0" w:color="auto"/>
            </w:tcBorders>
            <w:noWrap/>
            <w:vAlign w:val="bottom"/>
            <w:hideMark/>
          </w:tcPr>
          <w:p w14:paraId="2F353B20" w14:textId="77777777" w:rsidR="006B0078" w:rsidRPr="001E1026" w:rsidRDefault="006B0078" w:rsidP="006B0078">
            <w:pPr>
              <w:spacing w:after="0" w:line="240" w:lineRule="auto"/>
              <w:jc w:val="center"/>
              <w:rPr>
                <w:rFonts w:ascii="Times New Roman" w:eastAsia="Times New Roman" w:hAnsi="Times New Roman" w:cs="Times New Roman"/>
                <w:color w:val="000000"/>
                <w:sz w:val="18"/>
                <w:szCs w:val="18"/>
                <w:lang w:val="ru-RU" w:eastAsia="ru-RU"/>
              </w:rPr>
            </w:pPr>
            <w:r w:rsidRPr="001E1026">
              <w:rPr>
                <w:rFonts w:ascii="Times New Roman" w:eastAsia="Times New Roman" w:hAnsi="Times New Roman" w:cs="Times New Roman"/>
                <w:color w:val="000000"/>
                <w:sz w:val="18"/>
                <w:szCs w:val="18"/>
                <w:lang w:val="ru-RU" w:eastAsia="ru-RU"/>
              </w:rPr>
              <w:t>507,13</w:t>
            </w:r>
          </w:p>
        </w:tc>
      </w:tr>
      <w:tr w:rsidR="006B0078" w:rsidRPr="001E1026" w14:paraId="7669CA96" w14:textId="77777777" w:rsidTr="001E1026">
        <w:trPr>
          <w:trHeight w:val="70"/>
          <w:jc w:val="right"/>
        </w:trPr>
        <w:tc>
          <w:tcPr>
            <w:tcW w:w="5402" w:type="dxa"/>
            <w:gridSpan w:val="2"/>
            <w:tcBorders>
              <w:top w:val="nil"/>
              <w:left w:val="single" w:sz="4" w:space="0" w:color="auto"/>
              <w:bottom w:val="single" w:sz="4" w:space="0" w:color="auto"/>
              <w:right w:val="single" w:sz="4" w:space="0" w:color="auto"/>
            </w:tcBorders>
            <w:noWrap/>
            <w:vAlign w:val="bottom"/>
            <w:hideMark/>
          </w:tcPr>
          <w:p w14:paraId="708574BA" w14:textId="77777777" w:rsidR="006B0078" w:rsidRPr="001E1026" w:rsidRDefault="006B0078" w:rsidP="006B0078">
            <w:pPr>
              <w:spacing w:after="0" w:line="240" w:lineRule="auto"/>
              <w:rPr>
                <w:rFonts w:ascii="Times New Roman" w:eastAsia="Times New Roman" w:hAnsi="Times New Roman" w:cs="Times New Roman"/>
                <w:color w:val="000000"/>
                <w:sz w:val="18"/>
                <w:szCs w:val="18"/>
                <w:lang w:eastAsia="ru-RU"/>
              </w:rPr>
            </w:pPr>
            <w:r w:rsidRPr="001E1026">
              <w:rPr>
                <w:rFonts w:ascii="Times New Roman" w:eastAsia="Times New Roman" w:hAnsi="Times New Roman" w:cs="Times New Roman"/>
                <w:color w:val="000000"/>
                <w:sz w:val="18"/>
                <w:szCs w:val="18"/>
                <w:lang w:eastAsia="ru-RU"/>
              </w:rPr>
              <w:t>Average active power flow at the end of  P</w:t>
            </w:r>
            <w:r w:rsidRPr="001E1026">
              <w:rPr>
                <w:rFonts w:ascii="Times New Roman" w:eastAsia="Times New Roman" w:hAnsi="Times New Roman" w:cs="Times New Roman"/>
                <w:color w:val="000000"/>
                <w:sz w:val="18"/>
                <w:szCs w:val="18"/>
                <w:vertAlign w:val="subscript"/>
                <w:lang w:eastAsia="ru-RU"/>
              </w:rPr>
              <w:t>2</w:t>
            </w:r>
            <w:r w:rsidRPr="001E1026">
              <w:rPr>
                <w:rFonts w:ascii="Times New Roman" w:eastAsia="Times New Roman" w:hAnsi="Times New Roman" w:cs="Times New Roman"/>
                <w:color w:val="000000"/>
                <w:sz w:val="18"/>
                <w:szCs w:val="18"/>
                <w:lang w:eastAsia="ru-RU"/>
              </w:rPr>
              <w:t>, MW</w:t>
            </w:r>
          </w:p>
        </w:tc>
        <w:tc>
          <w:tcPr>
            <w:tcW w:w="3402" w:type="dxa"/>
            <w:tcBorders>
              <w:top w:val="nil"/>
              <w:left w:val="nil"/>
              <w:bottom w:val="single" w:sz="4" w:space="0" w:color="auto"/>
              <w:right w:val="single" w:sz="4" w:space="0" w:color="auto"/>
            </w:tcBorders>
            <w:noWrap/>
            <w:vAlign w:val="bottom"/>
            <w:hideMark/>
          </w:tcPr>
          <w:p w14:paraId="4ADC099E" w14:textId="77777777" w:rsidR="006B0078" w:rsidRPr="001E1026" w:rsidRDefault="006B0078" w:rsidP="006B0078">
            <w:pPr>
              <w:spacing w:after="0" w:line="240" w:lineRule="auto"/>
              <w:jc w:val="center"/>
              <w:rPr>
                <w:rFonts w:ascii="Times New Roman" w:eastAsia="Times New Roman" w:hAnsi="Times New Roman" w:cs="Times New Roman"/>
                <w:color w:val="000000"/>
                <w:sz w:val="18"/>
                <w:szCs w:val="18"/>
                <w:lang w:val="ru-RU" w:eastAsia="ru-RU"/>
              </w:rPr>
            </w:pPr>
            <w:r w:rsidRPr="001E1026">
              <w:rPr>
                <w:rFonts w:ascii="Times New Roman" w:eastAsia="Times New Roman" w:hAnsi="Times New Roman" w:cs="Times New Roman"/>
                <w:color w:val="000000"/>
                <w:sz w:val="18"/>
                <w:szCs w:val="18"/>
                <w:lang w:val="ru-RU" w:eastAsia="ru-RU"/>
              </w:rPr>
              <w:t>60</w:t>
            </w:r>
          </w:p>
        </w:tc>
      </w:tr>
      <w:tr w:rsidR="006B0078" w:rsidRPr="001E1026" w14:paraId="3785FC55" w14:textId="77777777" w:rsidTr="001E1026">
        <w:trPr>
          <w:trHeight w:val="70"/>
          <w:jc w:val="right"/>
        </w:trPr>
        <w:tc>
          <w:tcPr>
            <w:tcW w:w="5402" w:type="dxa"/>
            <w:gridSpan w:val="2"/>
            <w:tcBorders>
              <w:top w:val="nil"/>
              <w:left w:val="single" w:sz="4" w:space="0" w:color="auto"/>
              <w:bottom w:val="single" w:sz="4" w:space="0" w:color="auto"/>
              <w:right w:val="single" w:sz="4" w:space="0" w:color="auto"/>
            </w:tcBorders>
            <w:noWrap/>
            <w:vAlign w:val="bottom"/>
            <w:hideMark/>
          </w:tcPr>
          <w:p w14:paraId="538DD4AD" w14:textId="77777777" w:rsidR="006B0078" w:rsidRPr="001E1026" w:rsidRDefault="006B0078" w:rsidP="006B0078">
            <w:pPr>
              <w:spacing w:after="0" w:line="240" w:lineRule="auto"/>
              <w:rPr>
                <w:rFonts w:ascii="Times New Roman" w:eastAsia="Times New Roman" w:hAnsi="Times New Roman" w:cs="Times New Roman"/>
                <w:color w:val="000000"/>
                <w:sz w:val="18"/>
                <w:szCs w:val="18"/>
                <w:lang w:eastAsia="ru-RU"/>
              </w:rPr>
            </w:pPr>
            <w:r w:rsidRPr="001E1026">
              <w:rPr>
                <w:rFonts w:ascii="Times New Roman" w:eastAsia="Times New Roman" w:hAnsi="Times New Roman" w:cs="Times New Roman"/>
                <w:color w:val="000000"/>
                <w:sz w:val="18"/>
                <w:szCs w:val="18"/>
                <w:lang w:eastAsia="ru-RU"/>
              </w:rPr>
              <w:t>Average reactive power flow at the end of  Q</w:t>
            </w:r>
            <w:r w:rsidRPr="001E1026">
              <w:rPr>
                <w:rFonts w:ascii="Times New Roman" w:eastAsia="Times New Roman" w:hAnsi="Times New Roman" w:cs="Times New Roman"/>
                <w:color w:val="000000"/>
                <w:sz w:val="18"/>
                <w:szCs w:val="18"/>
                <w:vertAlign w:val="subscript"/>
                <w:lang w:eastAsia="ru-RU"/>
              </w:rPr>
              <w:t>2</w:t>
            </w:r>
            <w:r w:rsidRPr="001E1026">
              <w:rPr>
                <w:rFonts w:ascii="Times New Roman" w:eastAsia="Times New Roman" w:hAnsi="Times New Roman" w:cs="Times New Roman"/>
                <w:color w:val="000000"/>
                <w:sz w:val="18"/>
                <w:szCs w:val="18"/>
                <w:lang w:eastAsia="ru-RU"/>
              </w:rPr>
              <w:t>, MVAR</w:t>
            </w:r>
          </w:p>
        </w:tc>
        <w:tc>
          <w:tcPr>
            <w:tcW w:w="3402" w:type="dxa"/>
            <w:tcBorders>
              <w:top w:val="nil"/>
              <w:left w:val="nil"/>
              <w:bottom w:val="single" w:sz="4" w:space="0" w:color="auto"/>
              <w:right w:val="single" w:sz="4" w:space="0" w:color="auto"/>
            </w:tcBorders>
            <w:noWrap/>
            <w:vAlign w:val="bottom"/>
            <w:hideMark/>
          </w:tcPr>
          <w:p w14:paraId="0324D82E" w14:textId="77777777" w:rsidR="006B0078" w:rsidRPr="001E1026" w:rsidRDefault="006B0078" w:rsidP="006B0078">
            <w:pPr>
              <w:spacing w:after="0" w:line="240" w:lineRule="auto"/>
              <w:jc w:val="center"/>
              <w:rPr>
                <w:rFonts w:ascii="Times New Roman" w:eastAsia="Times New Roman" w:hAnsi="Times New Roman" w:cs="Times New Roman"/>
                <w:color w:val="000000"/>
                <w:sz w:val="18"/>
                <w:szCs w:val="18"/>
                <w:lang w:val="ru-RU" w:eastAsia="ru-RU"/>
              </w:rPr>
            </w:pPr>
            <w:r w:rsidRPr="001E1026">
              <w:rPr>
                <w:rFonts w:ascii="Times New Roman" w:eastAsia="Times New Roman" w:hAnsi="Times New Roman" w:cs="Times New Roman"/>
                <w:color w:val="000000"/>
                <w:sz w:val="18"/>
                <w:szCs w:val="18"/>
                <w:lang w:val="ru-RU" w:eastAsia="ru-RU"/>
              </w:rPr>
              <w:t>195</w:t>
            </w:r>
          </w:p>
        </w:tc>
      </w:tr>
      <w:tr w:rsidR="006B0078" w:rsidRPr="001E1026" w14:paraId="59747F1A" w14:textId="77777777" w:rsidTr="001E1026">
        <w:trPr>
          <w:trHeight w:val="70"/>
          <w:jc w:val="right"/>
        </w:trPr>
        <w:tc>
          <w:tcPr>
            <w:tcW w:w="5402" w:type="dxa"/>
            <w:gridSpan w:val="2"/>
            <w:tcBorders>
              <w:top w:val="nil"/>
              <w:left w:val="single" w:sz="4" w:space="0" w:color="auto"/>
              <w:bottom w:val="single" w:sz="4" w:space="0" w:color="auto"/>
              <w:right w:val="single" w:sz="4" w:space="0" w:color="auto"/>
            </w:tcBorders>
            <w:noWrap/>
            <w:vAlign w:val="bottom"/>
            <w:hideMark/>
          </w:tcPr>
          <w:p w14:paraId="2A2E1562" w14:textId="77777777" w:rsidR="006B0078" w:rsidRPr="001E1026" w:rsidRDefault="006B0078" w:rsidP="006B0078">
            <w:pPr>
              <w:spacing w:after="0" w:line="240" w:lineRule="auto"/>
              <w:rPr>
                <w:rFonts w:ascii="Times New Roman" w:eastAsia="Times New Roman" w:hAnsi="Times New Roman" w:cs="Times New Roman"/>
                <w:color w:val="000000"/>
                <w:sz w:val="18"/>
                <w:szCs w:val="18"/>
                <w:lang w:val="ru-RU" w:eastAsia="ru-RU"/>
              </w:rPr>
            </w:pPr>
            <w:proofErr w:type="spellStart"/>
            <w:r w:rsidRPr="001E1026">
              <w:rPr>
                <w:rFonts w:ascii="Times New Roman" w:eastAsia="Times New Roman" w:hAnsi="Times New Roman" w:cs="Times New Roman"/>
                <w:color w:val="000000"/>
                <w:sz w:val="18"/>
                <w:szCs w:val="18"/>
                <w:lang w:val="ru-RU" w:eastAsia="ru-RU"/>
              </w:rPr>
              <w:t>Average</w:t>
            </w:r>
            <w:proofErr w:type="spellEnd"/>
            <w:r w:rsidRPr="001E1026">
              <w:rPr>
                <w:rFonts w:ascii="Times New Roman" w:eastAsia="Times New Roman" w:hAnsi="Times New Roman" w:cs="Times New Roman"/>
                <w:color w:val="000000"/>
                <w:sz w:val="18"/>
                <w:szCs w:val="18"/>
                <w:lang w:val="ru-RU" w:eastAsia="ru-RU"/>
              </w:rPr>
              <w:t xml:space="preserve"> </w:t>
            </w:r>
            <w:proofErr w:type="spellStart"/>
            <w:r w:rsidRPr="001E1026">
              <w:rPr>
                <w:rFonts w:ascii="Times New Roman" w:eastAsia="Times New Roman" w:hAnsi="Times New Roman" w:cs="Times New Roman"/>
                <w:color w:val="000000"/>
                <w:sz w:val="18"/>
                <w:szCs w:val="18"/>
                <w:lang w:val="ru-RU" w:eastAsia="ru-RU"/>
              </w:rPr>
              <w:t>corona</w:t>
            </w:r>
            <w:proofErr w:type="spellEnd"/>
            <w:r w:rsidRPr="001E1026">
              <w:rPr>
                <w:rFonts w:ascii="Times New Roman" w:eastAsia="Times New Roman" w:hAnsi="Times New Roman" w:cs="Times New Roman"/>
                <w:color w:val="000000"/>
                <w:sz w:val="18"/>
                <w:szCs w:val="18"/>
                <w:lang w:val="ru-RU" w:eastAsia="ru-RU"/>
              </w:rPr>
              <w:t xml:space="preserve"> </w:t>
            </w:r>
            <w:proofErr w:type="spellStart"/>
            <w:r w:rsidRPr="001E1026">
              <w:rPr>
                <w:rFonts w:ascii="Times New Roman" w:eastAsia="Times New Roman" w:hAnsi="Times New Roman" w:cs="Times New Roman"/>
                <w:color w:val="000000"/>
                <w:sz w:val="18"/>
                <w:szCs w:val="18"/>
                <w:lang w:val="ru-RU" w:eastAsia="ru-RU"/>
              </w:rPr>
              <w:t>losses</w:t>
            </w:r>
            <w:proofErr w:type="spellEnd"/>
            <w:r w:rsidRPr="001E1026">
              <w:rPr>
                <w:rFonts w:ascii="Times New Roman" w:eastAsia="Times New Roman" w:hAnsi="Times New Roman" w:cs="Times New Roman"/>
                <w:color w:val="000000"/>
                <w:sz w:val="18"/>
                <w:szCs w:val="18"/>
                <w:lang w:val="ru-RU" w:eastAsia="ru-RU"/>
              </w:rPr>
              <w:t>, MW</w:t>
            </w:r>
          </w:p>
        </w:tc>
        <w:tc>
          <w:tcPr>
            <w:tcW w:w="3402" w:type="dxa"/>
            <w:tcBorders>
              <w:top w:val="nil"/>
              <w:left w:val="nil"/>
              <w:bottom w:val="single" w:sz="4" w:space="0" w:color="auto"/>
              <w:right w:val="single" w:sz="4" w:space="0" w:color="auto"/>
            </w:tcBorders>
            <w:noWrap/>
            <w:vAlign w:val="bottom"/>
            <w:hideMark/>
          </w:tcPr>
          <w:p w14:paraId="44F72C8A" w14:textId="77777777" w:rsidR="006B0078" w:rsidRPr="001E1026" w:rsidRDefault="006B0078" w:rsidP="006B0078">
            <w:pPr>
              <w:spacing w:after="0" w:line="240" w:lineRule="auto"/>
              <w:jc w:val="center"/>
              <w:rPr>
                <w:rFonts w:ascii="Times New Roman" w:eastAsia="Times New Roman" w:hAnsi="Times New Roman" w:cs="Times New Roman"/>
                <w:color w:val="000000"/>
                <w:sz w:val="18"/>
                <w:szCs w:val="18"/>
                <w:lang w:val="ru-RU" w:eastAsia="ru-RU"/>
              </w:rPr>
            </w:pPr>
            <w:r w:rsidRPr="001E1026">
              <w:rPr>
                <w:rFonts w:ascii="Times New Roman" w:eastAsia="Times New Roman" w:hAnsi="Times New Roman" w:cs="Times New Roman"/>
                <w:color w:val="000000"/>
                <w:sz w:val="18"/>
                <w:szCs w:val="18"/>
                <w:lang w:val="ru-RU" w:eastAsia="ru-RU"/>
              </w:rPr>
              <w:t>10,61</w:t>
            </w:r>
          </w:p>
        </w:tc>
      </w:tr>
      <w:tr w:rsidR="006B0078" w:rsidRPr="001E1026" w14:paraId="3868FA49" w14:textId="77777777" w:rsidTr="001E1026">
        <w:trPr>
          <w:trHeight w:val="70"/>
          <w:jc w:val="right"/>
        </w:trPr>
        <w:tc>
          <w:tcPr>
            <w:tcW w:w="5402" w:type="dxa"/>
            <w:gridSpan w:val="2"/>
            <w:tcBorders>
              <w:top w:val="nil"/>
              <w:left w:val="single" w:sz="4" w:space="0" w:color="auto"/>
              <w:bottom w:val="single" w:sz="4" w:space="0" w:color="auto"/>
              <w:right w:val="single" w:sz="4" w:space="0" w:color="auto"/>
            </w:tcBorders>
            <w:noWrap/>
            <w:vAlign w:val="bottom"/>
            <w:hideMark/>
          </w:tcPr>
          <w:p w14:paraId="653CE188" w14:textId="642A25DF" w:rsidR="006B0078" w:rsidRPr="001E1026" w:rsidRDefault="006B0078" w:rsidP="006B0078">
            <w:pPr>
              <w:spacing w:after="0" w:line="240" w:lineRule="auto"/>
              <w:rPr>
                <w:rFonts w:ascii="Times New Roman" w:eastAsia="Times New Roman" w:hAnsi="Times New Roman" w:cs="Times New Roman"/>
                <w:color w:val="000000"/>
                <w:sz w:val="18"/>
                <w:szCs w:val="18"/>
                <w:lang w:eastAsia="ru-RU"/>
              </w:rPr>
            </w:pPr>
            <w:r w:rsidRPr="001E1026">
              <w:rPr>
                <w:rFonts w:ascii="Times New Roman" w:eastAsia="Times New Roman" w:hAnsi="Times New Roman" w:cs="Times New Roman"/>
                <w:color w:val="000000"/>
                <w:sz w:val="18"/>
                <w:szCs w:val="18"/>
                <w:lang w:eastAsia="ru-RU"/>
              </w:rPr>
              <w:t xml:space="preserve">Average </w:t>
            </w:r>
            <w:r w:rsidR="00903DEA" w:rsidRPr="001E1026">
              <w:rPr>
                <w:rFonts w:ascii="Times New Roman" w:eastAsia="Times New Roman" w:hAnsi="Times New Roman" w:cs="Times New Roman"/>
                <w:color w:val="000000"/>
                <w:sz w:val="18"/>
                <w:szCs w:val="18"/>
                <w:lang w:eastAsia="ru-RU"/>
              </w:rPr>
              <w:t>loan</w:t>
            </w:r>
            <w:r w:rsidRPr="001E1026">
              <w:rPr>
                <w:rFonts w:ascii="Times New Roman" w:eastAsia="Times New Roman" w:hAnsi="Times New Roman" w:cs="Times New Roman"/>
                <w:color w:val="000000"/>
                <w:sz w:val="18"/>
                <w:szCs w:val="18"/>
                <w:lang w:eastAsia="ru-RU"/>
              </w:rPr>
              <w:t xml:space="preserve"> losses P</w:t>
            </w:r>
            <w:r w:rsidRPr="001E1026">
              <w:rPr>
                <w:rFonts w:ascii="Times New Roman" w:eastAsia="Times New Roman" w:hAnsi="Times New Roman" w:cs="Times New Roman"/>
                <w:color w:val="000000"/>
                <w:sz w:val="18"/>
                <w:szCs w:val="18"/>
                <w:vertAlign w:val="subscript"/>
                <w:lang w:eastAsia="ru-RU"/>
              </w:rPr>
              <w:t>n2</w:t>
            </w:r>
            <w:r w:rsidRPr="001E1026">
              <w:rPr>
                <w:rFonts w:ascii="Times New Roman" w:eastAsia="Times New Roman" w:hAnsi="Times New Roman" w:cs="Times New Roman"/>
                <w:color w:val="000000"/>
                <w:sz w:val="18"/>
                <w:szCs w:val="18"/>
                <w:lang w:eastAsia="ru-RU"/>
              </w:rPr>
              <w:t>, MW</w:t>
            </w:r>
          </w:p>
        </w:tc>
        <w:tc>
          <w:tcPr>
            <w:tcW w:w="3402" w:type="dxa"/>
            <w:tcBorders>
              <w:top w:val="nil"/>
              <w:left w:val="nil"/>
              <w:bottom w:val="single" w:sz="4" w:space="0" w:color="auto"/>
              <w:right w:val="single" w:sz="4" w:space="0" w:color="auto"/>
            </w:tcBorders>
            <w:noWrap/>
            <w:vAlign w:val="bottom"/>
            <w:hideMark/>
          </w:tcPr>
          <w:p w14:paraId="6BA51D7B" w14:textId="77777777" w:rsidR="006B0078" w:rsidRPr="001E1026" w:rsidRDefault="006B0078" w:rsidP="006B0078">
            <w:pPr>
              <w:spacing w:after="0" w:line="240" w:lineRule="auto"/>
              <w:jc w:val="center"/>
              <w:rPr>
                <w:rFonts w:ascii="Times New Roman" w:eastAsia="Times New Roman" w:hAnsi="Times New Roman" w:cs="Times New Roman"/>
                <w:color w:val="000000"/>
                <w:sz w:val="18"/>
                <w:szCs w:val="18"/>
                <w:lang w:val="ru-RU" w:eastAsia="ru-RU"/>
              </w:rPr>
            </w:pPr>
            <w:r w:rsidRPr="001E1026">
              <w:rPr>
                <w:rFonts w:ascii="Times New Roman" w:eastAsia="Times New Roman" w:hAnsi="Times New Roman" w:cs="Times New Roman"/>
                <w:color w:val="000000"/>
                <w:sz w:val="18"/>
                <w:szCs w:val="18"/>
                <w:lang w:val="ru-RU" w:eastAsia="ru-RU"/>
              </w:rPr>
              <w:t>1,24</w:t>
            </w:r>
          </w:p>
        </w:tc>
      </w:tr>
      <w:tr w:rsidR="006B0078" w:rsidRPr="001E1026" w14:paraId="3DCCDB6A" w14:textId="77777777" w:rsidTr="001E1026">
        <w:trPr>
          <w:trHeight w:val="70"/>
          <w:jc w:val="right"/>
        </w:trPr>
        <w:tc>
          <w:tcPr>
            <w:tcW w:w="5402" w:type="dxa"/>
            <w:gridSpan w:val="2"/>
            <w:tcBorders>
              <w:top w:val="nil"/>
              <w:left w:val="single" w:sz="4" w:space="0" w:color="auto"/>
              <w:bottom w:val="single" w:sz="4" w:space="0" w:color="auto"/>
              <w:right w:val="single" w:sz="4" w:space="0" w:color="auto"/>
            </w:tcBorders>
            <w:noWrap/>
            <w:vAlign w:val="bottom"/>
            <w:hideMark/>
          </w:tcPr>
          <w:p w14:paraId="2E568D13" w14:textId="463C0A01" w:rsidR="006B0078" w:rsidRPr="001E1026" w:rsidRDefault="006B0078" w:rsidP="006B0078">
            <w:pPr>
              <w:spacing w:after="0" w:line="240" w:lineRule="auto"/>
              <w:rPr>
                <w:rFonts w:ascii="Times New Roman" w:eastAsia="Times New Roman" w:hAnsi="Times New Roman" w:cs="Times New Roman"/>
                <w:color w:val="000000"/>
                <w:sz w:val="18"/>
                <w:szCs w:val="18"/>
                <w:lang w:eastAsia="ru-RU"/>
              </w:rPr>
            </w:pPr>
            <w:r w:rsidRPr="001E1026">
              <w:rPr>
                <w:rFonts w:ascii="Times New Roman" w:eastAsia="Times New Roman" w:hAnsi="Times New Roman" w:cs="Times New Roman"/>
                <w:color w:val="000000"/>
                <w:sz w:val="18"/>
                <w:szCs w:val="18"/>
                <w:lang w:eastAsia="ru-RU"/>
              </w:rPr>
              <w:t xml:space="preserve">Total line losses </w:t>
            </w:r>
            <w:proofErr w:type="spellStart"/>
            <w:r w:rsidRPr="001E1026">
              <w:rPr>
                <w:rFonts w:ascii="Times New Roman" w:eastAsia="Times New Roman" w:hAnsi="Times New Roman" w:cs="Times New Roman"/>
                <w:color w:val="000000"/>
                <w:sz w:val="18"/>
                <w:szCs w:val="18"/>
                <w:lang w:eastAsia="ru-RU"/>
              </w:rPr>
              <w:t>P</w:t>
            </w:r>
            <w:r w:rsidR="00903DEA" w:rsidRPr="001E1026">
              <w:rPr>
                <w:rFonts w:ascii="Times New Roman" w:eastAsia="Times New Roman" w:hAnsi="Times New Roman" w:cs="Times New Roman"/>
                <w:color w:val="000000"/>
                <w:sz w:val="18"/>
                <w:szCs w:val="18"/>
                <w:vertAlign w:val="subscript"/>
                <w:lang w:eastAsia="ru-RU"/>
              </w:rPr>
              <w:t>tot</w:t>
            </w:r>
            <w:proofErr w:type="spellEnd"/>
            <w:r w:rsidRPr="001E1026">
              <w:rPr>
                <w:rFonts w:ascii="Times New Roman" w:eastAsia="Times New Roman" w:hAnsi="Times New Roman" w:cs="Times New Roman"/>
                <w:color w:val="000000"/>
                <w:sz w:val="18"/>
                <w:szCs w:val="18"/>
                <w:lang w:eastAsia="ru-RU"/>
              </w:rPr>
              <w:t>, MW</w:t>
            </w:r>
          </w:p>
        </w:tc>
        <w:tc>
          <w:tcPr>
            <w:tcW w:w="3402" w:type="dxa"/>
            <w:tcBorders>
              <w:top w:val="nil"/>
              <w:left w:val="nil"/>
              <w:bottom w:val="single" w:sz="4" w:space="0" w:color="auto"/>
              <w:right w:val="single" w:sz="4" w:space="0" w:color="auto"/>
            </w:tcBorders>
            <w:noWrap/>
            <w:vAlign w:val="bottom"/>
            <w:hideMark/>
          </w:tcPr>
          <w:p w14:paraId="496EE17A" w14:textId="77777777" w:rsidR="006B0078" w:rsidRPr="001E1026" w:rsidRDefault="006B0078" w:rsidP="006B0078">
            <w:pPr>
              <w:spacing w:after="0" w:line="240" w:lineRule="auto"/>
              <w:jc w:val="center"/>
              <w:rPr>
                <w:rFonts w:ascii="Times New Roman" w:eastAsia="Times New Roman" w:hAnsi="Times New Roman" w:cs="Times New Roman"/>
                <w:color w:val="000000"/>
                <w:sz w:val="18"/>
                <w:szCs w:val="18"/>
                <w:lang w:val="ru-RU" w:eastAsia="ru-RU"/>
              </w:rPr>
            </w:pPr>
            <w:r w:rsidRPr="001E1026">
              <w:rPr>
                <w:rFonts w:ascii="Times New Roman" w:eastAsia="Times New Roman" w:hAnsi="Times New Roman" w:cs="Times New Roman"/>
                <w:color w:val="000000"/>
                <w:sz w:val="18"/>
                <w:szCs w:val="18"/>
                <w:lang w:val="ru-RU" w:eastAsia="ru-RU"/>
              </w:rPr>
              <w:t>13,5</w:t>
            </w:r>
          </w:p>
        </w:tc>
      </w:tr>
      <w:tr w:rsidR="006B0078" w:rsidRPr="001E1026" w14:paraId="4F68F556" w14:textId="77777777" w:rsidTr="001E1026">
        <w:trPr>
          <w:trHeight w:val="70"/>
          <w:jc w:val="right"/>
        </w:trPr>
        <w:tc>
          <w:tcPr>
            <w:tcW w:w="5402" w:type="dxa"/>
            <w:gridSpan w:val="2"/>
            <w:tcBorders>
              <w:top w:val="nil"/>
              <w:left w:val="single" w:sz="4" w:space="0" w:color="auto"/>
              <w:bottom w:val="single" w:sz="4" w:space="0" w:color="auto"/>
              <w:right w:val="single" w:sz="4" w:space="0" w:color="auto"/>
            </w:tcBorders>
            <w:noWrap/>
            <w:vAlign w:val="bottom"/>
            <w:hideMark/>
          </w:tcPr>
          <w:p w14:paraId="770A4008" w14:textId="77777777" w:rsidR="006B0078" w:rsidRPr="001E1026" w:rsidRDefault="006B0078" w:rsidP="006B0078">
            <w:pPr>
              <w:spacing w:after="0" w:line="240" w:lineRule="auto"/>
              <w:rPr>
                <w:rFonts w:ascii="Times New Roman" w:eastAsia="Times New Roman" w:hAnsi="Times New Roman" w:cs="Times New Roman"/>
                <w:color w:val="000000"/>
                <w:sz w:val="18"/>
                <w:szCs w:val="18"/>
                <w:lang w:eastAsia="ru-RU"/>
              </w:rPr>
            </w:pPr>
            <w:r w:rsidRPr="001E1026">
              <w:rPr>
                <w:rFonts w:ascii="Times New Roman" w:eastAsia="Times New Roman" w:hAnsi="Times New Roman" w:cs="Times New Roman"/>
                <w:color w:val="000000"/>
                <w:sz w:val="18"/>
                <w:szCs w:val="18"/>
                <w:lang w:eastAsia="ru-RU"/>
              </w:rPr>
              <w:t>Optimal voltage at the end of the line U</w:t>
            </w:r>
            <w:r w:rsidRPr="001E1026">
              <w:rPr>
                <w:rFonts w:ascii="Times New Roman" w:eastAsia="Times New Roman" w:hAnsi="Times New Roman" w:cs="Times New Roman"/>
                <w:color w:val="000000"/>
                <w:sz w:val="18"/>
                <w:szCs w:val="18"/>
                <w:vertAlign w:val="subscript"/>
                <w:lang w:eastAsia="ru-RU"/>
              </w:rPr>
              <w:t>2opt</w:t>
            </w:r>
            <w:r w:rsidRPr="001E1026">
              <w:rPr>
                <w:rFonts w:ascii="Times New Roman" w:eastAsia="Times New Roman" w:hAnsi="Times New Roman" w:cs="Times New Roman"/>
                <w:color w:val="000000"/>
                <w:sz w:val="18"/>
                <w:szCs w:val="18"/>
                <w:lang w:eastAsia="ru-RU"/>
              </w:rPr>
              <w:t>, kV</w:t>
            </w:r>
          </w:p>
        </w:tc>
        <w:tc>
          <w:tcPr>
            <w:tcW w:w="3402" w:type="dxa"/>
            <w:tcBorders>
              <w:top w:val="nil"/>
              <w:left w:val="nil"/>
              <w:bottom w:val="single" w:sz="4" w:space="0" w:color="auto"/>
              <w:right w:val="single" w:sz="4" w:space="0" w:color="auto"/>
            </w:tcBorders>
            <w:noWrap/>
            <w:vAlign w:val="bottom"/>
            <w:hideMark/>
          </w:tcPr>
          <w:p w14:paraId="5F475A88" w14:textId="77777777" w:rsidR="006B0078" w:rsidRPr="001E1026" w:rsidRDefault="006B0078" w:rsidP="006B0078">
            <w:pPr>
              <w:spacing w:after="0" w:line="240" w:lineRule="auto"/>
              <w:jc w:val="center"/>
              <w:rPr>
                <w:rFonts w:ascii="Times New Roman" w:eastAsia="Times New Roman" w:hAnsi="Times New Roman" w:cs="Times New Roman"/>
                <w:color w:val="000000"/>
                <w:sz w:val="18"/>
                <w:szCs w:val="18"/>
                <w:lang w:val="ru-RU" w:eastAsia="ru-RU"/>
              </w:rPr>
            </w:pPr>
            <w:r w:rsidRPr="001E1026">
              <w:rPr>
                <w:rFonts w:ascii="Times New Roman" w:eastAsia="Times New Roman" w:hAnsi="Times New Roman" w:cs="Times New Roman"/>
                <w:color w:val="000000"/>
                <w:sz w:val="18"/>
                <w:szCs w:val="18"/>
                <w:lang w:val="ru-RU" w:eastAsia="ru-RU"/>
              </w:rPr>
              <w:t>327,27</w:t>
            </w:r>
          </w:p>
        </w:tc>
      </w:tr>
      <w:tr w:rsidR="006B0078" w:rsidRPr="001E1026" w14:paraId="3FB1EBBB" w14:textId="77777777" w:rsidTr="001E1026">
        <w:trPr>
          <w:trHeight w:val="70"/>
          <w:jc w:val="right"/>
        </w:trPr>
        <w:tc>
          <w:tcPr>
            <w:tcW w:w="5402" w:type="dxa"/>
            <w:gridSpan w:val="2"/>
            <w:tcBorders>
              <w:top w:val="nil"/>
              <w:left w:val="single" w:sz="4" w:space="0" w:color="auto"/>
              <w:bottom w:val="single" w:sz="4" w:space="0" w:color="auto"/>
              <w:right w:val="single" w:sz="4" w:space="0" w:color="auto"/>
            </w:tcBorders>
            <w:noWrap/>
            <w:vAlign w:val="bottom"/>
            <w:hideMark/>
          </w:tcPr>
          <w:p w14:paraId="0898CD98" w14:textId="06E59064" w:rsidR="006B0078" w:rsidRPr="001E1026" w:rsidRDefault="006B0078" w:rsidP="00903DEA">
            <w:pPr>
              <w:spacing w:after="0" w:line="240" w:lineRule="auto"/>
              <w:rPr>
                <w:rFonts w:ascii="Times New Roman" w:eastAsia="Times New Roman" w:hAnsi="Times New Roman" w:cs="Times New Roman"/>
                <w:color w:val="000000"/>
                <w:sz w:val="18"/>
                <w:szCs w:val="18"/>
                <w:lang w:eastAsia="ru-RU"/>
              </w:rPr>
            </w:pPr>
            <w:r w:rsidRPr="001E1026">
              <w:rPr>
                <w:rFonts w:ascii="Times New Roman" w:eastAsia="Times New Roman" w:hAnsi="Times New Roman" w:cs="Times New Roman"/>
                <w:color w:val="000000"/>
                <w:sz w:val="18"/>
                <w:szCs w:val="18"/>
                <w:lang w:eastAsia="ru-RU"/>
              </w:rPr>
              <w:t xml:space="preserve">Total losses at optimal voltage </w:t>
            </w:r>
            <w:proofErr w:type="spellStart"/>
            <w:r w:rsidRPr="001E1026">
              <w:rPr>
                <w:rFonts w:ascii="Times New Roman" w:eastAsia="Times New Roman" w:hAnsi="Times New Roman" w:cs="Times New Roman"/>
                <w:color w:val="000000"/>
                <w:sz w:val="18"/>
                <w:szCs w:val="18"/>
                <w:lang w:eastAsia="ru-RU"/>
              </w:rPr>
              <w:t>P</w:t>
            </w:r>
            <w:r w:rsidR="00903DEA" w:rsidRPr="001E1026">
              <w:rPr>
                <w:rFonts w:ascii="Times New Roman" w:eastAsia="Times New Roman" w:hAnsi="Times New Roman" w:cs="Times New Roman"/>
                <w:color w:val="000000"/>
                <w:sz w:val="18"/>
                <w:szCs w:val="18"/>
                <w:vertAlign w:val="subscript"/>
                <w:lang w:eastAsia="ru-RU"/>
              </w:rPr>
              <w:t>tot</w:t>
            </w:r>
            <w:r w:rsidRPr="001E1026">
              <w:rPr>
                <w:rFonts w:ascii="Times New Roman" w:eastAsia="Times New Roman" w:hAnsi="Times New Roman" w:cs="Times New Roman"/>
                <w:color w:val="000000"/>
                <w:sz w:val="18"/>
                <w:szCs w:val="18"/>
                <w:vertAlign w:val="subscript"/>
                <w:lang w:eastAsia="ru-RU"/>
              </w:rPr>
              <w:t>opt</w:t>
            </w:r>
            <w:proofErr w:type="spellEnd"/>
            <w:r w:rsidRPr="001E1026">
              <w:rPr>
                <w:rFonts w:ascii="Times New Roman" w:eastAsia="Times New Roman" w:hAnsi="Times New Roman" w:cs="Times New Roman"/>
                <w:color w:val="000000"/>
                <w:sz w:val="18"/>
                <w:szCs w:val="18"/>
                <w:lang w:eastAsia="ru-RU"/>
              </w:rPr>
              <w:t>, MW</w:t>
            </w:r>
          </w:p>
        </w:tc>
        <w:tc>
          <w:tcPr>
            <w:tcW w:w="3402" w:type="dxa"/>
            <w:tcBorders>
              <w:top w:val="nil"/>
              <w:left w:val="nil"/>
              <w:bottom w:val="single" w:sz="4" w:space="0" w:color="auto"/>
              <w:right w:val="single" w:sz="4" w:space="0" w:color="auto"/>
            </w:tcBorders>
            <w:noWrap/>
            <w:vAlign w:val="bottom"/>
            <w:hideMark/>
          </w:tcPr>
          <w:p w14:paraId="69140287" w14:textId="77777777" w:rsidR="006B0078" w:rsidRPr="001E1026" w:rsidRDefault="006B0078" w:rsidP="006B0078">
            <w:pPr>
              <w:spacing w:after="0" w:line="240" w:lineRule="auto"/>
              <w:jc w:val="center"/>
              <w:rPr>
                <w:rFonts w:ascii="Times New Roman" w:eastAsia="Times New Roman" w:hAnsi="Times New Roman" w:cs="Times New Roman"/>
                <w:color w:val="000000"/>
                <w:sz w:val="18"/>
                <w:szCs w:val="18"/>
                <w:lang w:val="ru-RU" w:eastAsia="ru-RU"/>
              </w:rPr>
            </w:pPr>
            <w:r w:rsidRPr="001E1026">
              <w:rPr>
                <w:rFonts w:ascii="Times New Roman" w:eastAsia="Times New Roman" w:hAnsi="Times New Roman" w:cs="Times New Roman"/>
                <w:color w:val="000000"/>
                <w:sz w:val="18"/>
                <w:szCs w:val="18"/>
                <w:lang w:val="ru-RU" w:eastAsia="ru-RU"/>
              </w:rPr>
              <w:t>4,16</w:t>
            </w:r>
          </w:p>
        </w:tc>
      </w:tr>
      <w:tr w:rsidR="006B0078" w:rsidRPr="001E1026" w14:paraId="10517415" w14:textId="77777777" w:rsidTr="001E1026">
        <w:trPr>
          <w:gridBefore w:val="1"/>
          <w:wBefore w:w="6" w:type="dxa"/>
          <w:trHeight w:val="70"/>
          <w:jc w:val="right"/>
        </w:trPr>
        <w:tc>
          <w:tcPr>
            <w:tcW w:w="5396" w:type="dxa"/>
            <w:tcBorders>
              <w:top w:val="nil"/>
              <w:left w:val="single" w:sz="4" w:space="0" w:color="auto"/>
              <w:bottom w:val="single" w:sz="4" w:space="0" w:color="auto"/>
              <w:right w:val="single" w:sz="4" w:space="0" w:color="auto"/>
            </w:tcBorders>
            <w:noWrap/>
            <w:vAlign w:val="bottom"/>
            <w:hideMark/>
          </w:tcPr>
          <w:p w14:paraId="27AD33FC" w14:textId="77777777" w:rsidR="006B0078" w:rsidRPr="001E1026" w:rsidRDefault="006B0078" w:rsidP="006B0078">
            <w:pPr>
              <w:spacing w:after="0" w:line="240" w:lineRule="auto"/>
              <w:rPr>
                <w:rFonts w:ascii="Times New Roman" w:eastAsia="Times New Roman" w:hAnsi="Times New Roman" w:cs="Times New Roman"/>
                <w:color w:val="000000"/>
                <w:sz w:val="18"/>
                <w:szCs w:val="18"/>
                <w:lang w:eastAsia="ru-RU"/>
              </w:rPr>
            </w:pPr>
            <w:r w:rsidRPr="001E1026">
              <w:rPr>
                <w:rFonts w:ascii="Times New Roman" w:eastAsia="Times New Roman" w:hAnsi="Times New Roman" w:cs="Times New Roman"/>
                <w:color w:val="000000"/>
                <w:sz w:val="18"/>
                <w:szCs w:val="18"/>
                <w:lang w:eastAsia="ru-RU"/>
              </w:rPr>
              <w:t>Potential reduction effect of total losses, MW</w:t>
            </w:r>
          </w:p>
        </w:tc>
        <w:tc>
          <w:tcPr>
            <w:tcW w:w="3402" w:type="dxa"/>
            <w:tcBorders>
              <w:top w:val="nil"/>
              <w:left w:val="nil"/>
              <w:bottom w:val="single" w:sz="4" w:space="0" w:color="auto"/>
              <w:right w:val="single" w:sz="4" w:space="0" w:color="auto"/>
            </w:tcBorders>
            <w:noWrap/>
            <w:vAlign w:val="bottom"/>
            <w:hideMark/>
          </w:tcPr>
          <w:p w14:paraId="3AB0163A" w14:textId="77777777" w:rsidR="006B0078" w:rsidRPr="001E1026" w:rsidRDefault="006B0078" w:rsidP="006B0078">
            <w:pPr>
              <w:spacing w:after="0" w:line="240" w:lineRule="auto"/>
              <w:jc w:val="center"/>
              <w:rPr>
                <w:rFonts w:ascii="Times New Roman" w:eastAsia="Times New Roman" w:hAnsi="Times New Roman" w:cs="Times New Roman"/>
                <w:color w:val="000000"/>
                <w:sz w:val="18"/>
                <w:szCs w:val="18"/>
                <w:lang w:val="ru-RU" w:eastAsia="ru-RU"/>
              </w:rPr>
            </w:pPr>
            <w:r w:rsidRPr="001E1026">
              <w:rPr>
                <w:rFonts w:ascii="Times New Roman" w:eastAsia="Times New Roman" w:hAnsi="Times New Roman" w:cs="Times New Roman"/>
                <w:color w:val="000000"/>
                <w:sz w:val="18"/>
                <w:szCs w:val="18"/>
                <w:lang w:val="ru-RU" w:eastAsia="ru-RU"/>
              </w:rPr>
              <w:t>7,69</w:t>
            </w:r>
          </w:p>
        </w:tc>
      </w:tr>
    </w:tbl>
    <w:p w14:paraId="3EF07800" w14:textId="78A3D04C" w:rsidR="008745D5" w:rsidRPr="001E1026" w:rsidRDefault="008745D5" w:rsidP="00152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0"/>
        </w:rPr>
      </w:pPr>
    </w:p>
    <w:p w14:paraId="46E847F8" w14:textId="15E02202" w:rsidR="00007550" w:rsidRPr="001E1026" w:rsidRDefault="00903DEA" w:rsidP="001E1026">
      <w:pPr>
        <w:spacing w:after="0" w:line="240" w:lineRule="auto"/>
        <w:ind w:firstLine="284"/>
        <w:jc w:val="both"/>
        <w:rPr>
          <w:rFonts w:ascii="Times New Roman" w:hAnsi="Times New Roman" w:cs="Times New Roman"/>
          <w:iCs/>
          <w:color w:val="000000"/>
          <w:sz w:val="20"/>
        </w:rPr>
      </w:pPr>
      <w:r w:rsidRPr="001E1026">
        <w:rPr>
          <w:rFonts w:ascii="Times New Roman" w:hAnsi="Times New Roman" w:cs="Times New Roman"/>
          <w:iCs/>
          <w:color w:val="000000"/>
          <w:sz w:val="20"/>
        </w:rPr>
        <w:t>In the previous section, the operating mode of an individual transmission line was considered. However, when analyzing the power system as a whole, it is necessary to account for the losses occurring across all lines within the specified region</w:t>
      </w:r>
      <w:r w:rsidR="00E97103">
        <w:rPr>
          <w:rFonts w:ascii="Times New Roman" w:hAnsi="Times New Roman" w:cs="Times New Roman"/>
          <w:iCs/>
          <w:color w:val="000000"/>
          <w:sz w:val="20"/>
        </w:rPr>
        <w:t xml:space="preserve"> [29-58]</w:t>
      </w:r>
      <w:bookmarkStart w:id="0" w:name="_GoBack"/>
      <w:bookmarkEnd w:id="0"/>
      <w:r w:rsidRPr="001E1026">
        <w:rPr>
          <w:rFonts w:ascii="Times New Roman" w:hAnsi="Times New Roman" w:cs="Times New Roman"/>
          <w:iCs/>
          <w:color w:val="000000"/>
          <w:sz w:val="20"/>
        </w:rPr>
        <w:t>. Therefore, when determining the optimal voltage levels at system nodes, both corona losses and load losses for all transmission lines in the examined energy area must be included in the calculations</w:t>
      </w:r>
      <w:r w:rsidR="00FE6C7E" w:rsidRPr="001E1026">
        <w:rPr>
          <w:rFonts w:ascii="Times New Roman" w:hAnsi="Times New Roman" w:cs="Times New Roman"/>
          <w:iCs/>
          <w:color w:val="000000"/>
          <w:sz w:val="20"/>
        </w:rPr>
        <w:t>.</w:t>
      </w:r>
    </w:p>
    <w:p w14:paraId="33EF8D51" w14:textId="77777777" w:rsidR="00BE2334" w:rsidRPr="001E1026" w:rsidRDefault="00BE2334" w:rsidP="001E1026">
      <w:pPr>
        <w:spacing w:after="0" w:line="240" w:lineRule="auto"/>
        <w:ind w:firstLine="284"/>
        <w:jc w:val="both"/>
        <w:rPr>
          <w:rFonts w:ascii="Times New Roman" w:hAnsi="Times New Roman" w:cs="Times New Roman"/>
          <w:iCs/>
          <w:color w:val="000000"/>
          <w:sz w:val="20"/>
          <w:highlight w:val="yellow"/>
        </w:rPr>
      </w:pPr>
    </w:p>
    <w:p w14:paraId="5645581E" w14:textId="53E593C9" w:rsidR="005E3E4C" w:rsidRPr="001E1026" w:rsidRDefault="00A234FC" w:rsidP="001E1026">
      <w:pPr>
        <w:spacing w:after="0" w:line="240" w:lineRule="auto"/>
        <w:jc w:val="center"/>
        <w:rPr>
          <w:rFonts w:ascii="Times New Roman" w:hAnsi="Times New Roman" w:cs="Times New Roman"/>
          <w:highlight w:val="yellow"/>
        </w:rPr>
      </w:pPr>
      <w:r w:rsidRPr="001E1026">
        <w:rPr>
          <w:rFonts w:ascii="Times New Roman" w:hAnsi="Times New Roman" w:cs="Times New Roman"/>
        </w:rPr>
        <w:t xml:space="preserve">     </w:t>
      </w:r>
      <w:r w:rsidR="00F84986" w:rsidRPr="001E1026">
        <w:rPr>
          <w:rFonts w:ascii="Times New Roman" w:hAnsi="Times New Roman" w:cs="Times New Roman"/>
          <w:noProof/>
          <w:lang w:val="ru-RU" w:eastAsia="ru-RU"/>
        </w:rPr>
        <w:drawing>
          <wp:inline distT="0" distB="0" distL="0" distR="0" wp14:anchorId="15A42887" wp14:editId="7DFEFFBD">
            <wp:extent cx="4895850" cy="2699385"/>
            <wp:effectExtent l="0" t="0" r="0" b="571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8BC1FEA" w14:textId="47012F73" w:rsidR="00DD21EF" w:rsidRPr="001E1026" w:rsidRDefault="00DD21EF" w:rsidP="001E1026">
      <w:pPr>
        <w:spacing w:after="0" w:line="240" w:lineRule="auto"/>
        <w:ind w:firstLine="284"/>
        <w:jc w:val="center"/>
        <w:rPr>
          <w:rFonts w:ascii="Times New Roman" w:hAnsi="Times New Roman" w:cs="Times New Roman"/>
          <w:sz w:val="20"/>
          <w:highlight w:val="yellow"/>
        </w:rPr>
      </w:pPr>
      <w:r w:rsidRPr="001E1026">
        <w:rPr>
          <w:rFonts w:ascii="Times New Roman" w:hAnsi="Times New Roman" w:cs="Times New Roman"/>
          <w:b/>
          <w:sz w:val="20"/>
        </w:rPr>
        <w:t xml:space="preserve">FIGURE </w:t>
      </w:r>
      <w:r w:rsidR="00903DEA" w:rsidRPr="001E1026">
        <w:rPr>
          <w:rFonts w:ascii="Times New Roman" w:hAnsi="Times New Roman" w:cs="Times New Roman"/>
          <w:b/>
          <w:sz w:val="20"/>
        </w:rPr>
        <w:t>4</w:t>
      </w:r>
      <w:r w:rsidRPr="001E1026">
        <w:rPr>
          <w:rFonts w:ascii="Times New Roman" w:hAnsi="Times New Roman" w:cs="Times New Roman"/>
          <w:b/>
          <w:sz w:val="20"/>
        </w:rPr>
        <w:t>.</w:t>
      </w:r>
      <w:r w:rsidRPr="001E1026">
        <w:rPr>
          <w:rFonts w:ascii="Times New Roman" w:hAnsi="Times New Roman" w:cs="Times New Roman"/>
          <w:sz w:val="20"/>
        </w:rPr>
        <w:t xml:space="preserve"> </w:t>
      </w:r>
      <w:r w:rsidR="00F84986" w:rsidRPr="001E1026">
        <w:rPr>
          <w:rFonts w:ascii="Times New Roman" w:hAnsi="Times New Roman" w:cs="Times New Roman"/>
          <w:sz w:val="20"/>
        </w:rPr>
        <w:t xml:space="preserve">Corona loss and voltage </w:t>
      </w:r>
    </w:p>
    <w:p w14:paraId="3A235ED9" w14:textId="77777777" w:rsidR="0092258E" w:rsidRPr="001E1026" w:rsidRDefault="0092258E" w:rsidP="001E1026">
      <w:pPr>
        <w:overflowPunct w:val="0"/>
        <w:autoSpaceDE w:val="0"/>
        <w:autoSpaceDN w:val="0"/>
        <w:adjustRightInd w:val="0"/>
        <w:spacing w:after="0" w:line="240" w:lineRule="auto"/>
        <w:ind w:firstLine="567"/>
        <w:jc w:val="both"/>
        <w:textAlignment w:val="baseline"/>
        <w:rPr>
          <w:rFonts w:ascii="Times New Roman" w:hAnsi="Times New Roman" w:cs="Times New Roman"/>
          <w:sz w:val="20"/>
          <w:szCs w:val="20"/>
        </w:rPr>
      </w:pPr>
    </w:p>
    <w:p w14:paraId="762D0C36" w14:textId="74B5ABED" w:rsidR="003008E2" w:rsidRPr="001E1026" w:rsidRDefault="004B53D1" w:rsidP="001E1026">
      <w:pPr>
        <w:overflowPunct w:val="0"/>
        <w:autoSpaceDE w:val="0"/>
        <w:autoSpaceDN w:val="0"/>
        <w:adjustRightInd w:val="0"/>
        <w:spacing w:after="0" w:line="240" w:lineRule="auto"/>
        <w:ind w:firstLine="567"/>
        <w:jc w:val="both"/>
        <w:textAlignment w:val="baseline"/>
        <w:rPr>
          <w:rFonts w:ascii="Times New Roman" w:hAnsi="Times New Roman" w:cs="Times New Roman"/>
          <w:sz w:val="20"/>
          <w:szCs w:val="20"/>
          <w:highlight w:val="yellow"/>
        </w:rPr>
      </w:pPr>
      <w:r w:rsidRPr="001E1026">
        <w:rPr>
          <w:rFonts w:ascii="Times New Roman" w:hAnsi="Times New Roman" w:cs="Times New Roman"/>
          <w:sz w:val="20"/>
          <w:szCs w:val="20"/>
        </w:rPr>
        <w:t xml:space="preserve">Analysis of the measurement results demonstrates that it is possible to distinguish and evaluate, in real time, all major components of power losses in overhead transmission lines-namely, load-related active power losses, corona discharge losses, and leakage losses along insulation. This capability provides a solid basis for optimizing the operating modes of transmission lines, reducing total losses, and significantly increasing the overall energy efficiency of industrial and power-system processes </w:t>
      </w:r>
      <w:r w:rsidR="00AC6D3A" w:rsidRPr="001E1026">
        <w:rPr>
          <w:rFonts w:ascii="Times New Roman" w:hAnsi="Times New Roman" w:cs="Times New Roman"/>
          <w:iCs/>
          <w:color w:val="000000"/>
          <w:sz w:val="20"/>
        </w:rPr>
        <w:t>[</w:t>
      </w:r>
      <w:r w:rsidR="00DA4050" w:rsidRPr="001E1026">
        <w:rPr>
          <w:rFonts w:ascii="Times New Roman" w:hAnsi="Times New Roman" w:cs="Times New Roman"/>
          <w:iCs/>
          <w:sz w:val="20"/>
        </w:rPr>
        <w:t>16</w:t>
      </w:r>
      <w:r w:rsidR="00AC6D3A" w:rsidRPr="001E1026">
        <w:rPr>
          <w:rFonts w:ascii="Times New Roman" w:hAnsi="Times New Roman" w:cs="Times New Roman"/>
          <w:iCs/>
          <w:sz w:val="20"/>
        </w:rPr>
        <w:t>-</w:t>
      </w:r>
      <w:r w:rsidR="00471F2F" w:rsidRPr="001E1026">
        <w:rPr>
          <w:rFonts w:ascii="Times New Roman" w:hAnsi="Times New Roman" w:cs="Times New Roman"/>
          <w:iCs/>
          <w:sz w:val="20"/>
        </w:rPr>
        <w:t>2</w:t>
      </w:r>
      <w:r w:rsidR="008261D1" w:rsidRPr="001E1026">
        <w:rPr>
          <w:rFonts w:ascii="Times New Roman" w:hAnsi="Times New Roman" w:cs="Times New Roman"/>
          <w:iCs/>
          <w:sz w:val="20"/>
        </w:rPr>
        <w:t>8</w:t>
      </w:r>
      <w:r w:rsidR="00AC6D3A" w:rsidRPr="001E1026">
        <w:rPr>
          <w:rFonts w:ascii="Times New Roman" w:hAnsi="Times New Roman" w:cs="Times New Roman"/>
          <w:iCs/>
          <w:color w:val="000000"/>
          <w:sz w:val="20"/>
        </w:rPr>
        <w:t>].</w:t>
      </w:r>
      <w:r w:rsidRPr="001E1026">
        <w:rPr>
          <w:rFonts w:ascii="Times New Roman" w:hAnsi="Times New Roman" w:cs="Times New Roman"/>
        </w:rPr>
        <w:t xml:space="preserve"> </w:t>
      </w:r>
      <w:r w:rsidRPr="001E1026">
        <w:rPr>
          <w:rFonts w:ascii="Times New Roman" w:hAnsi="Times New Roman" w:cs="Times New Roman"/>
          <w:iCs/>
          <w:color w:val="000000"/>
          <w:sz w:val="20"/>
        </w:rPr>
        <w:t>The findings further indicate that, in power-system voltage optimization studies, neglecting corona-related losses leads to inaccurate assessments and suboptimal decision-making. Therefore, corona power losses must be treated as one of the essential parameters when determining the optimal voltage levels across the energy system.</w:t>
      </w:r>
      <w:r w:rsidRPr="001E1026">
        <w:rPr>
          <w:rFonts w:ascii="Times New Roman" w:hAnsi="Times New Roman" w:cs="Times New Roman"/>
        </w:rPr>
        <w:t xml:space="preserve"> </w:t>
      </w:r>
      <w:r w:rsidRPr="001E1026">
        <w:rPr>
          <w:rFonts w:ascii="Times New Roman" w:hAnsi="Times New Roman" w:cs="Times New Roman"/>
          <w:iCs/>
          <w:color w:val="000000"/>
          <w:sz w:val="20"/>
        </w:rPr>
        <w:t>Preliminary analytical and computational investigations reveal that corona losses play a crucial role when optimizing the operating mode of a single overhead line through voltage regulation.</w:t>
      </w:r>
    </w:p>
    <w:p w14:paraId="74359AF3" w14:textId="04AB1123" w:rsidR="008F5C21" w:rsidRPr="001E1026" w:rsidRDefault="008F5C21" w:rsidP="001E1026">
      <w:pPr>
        <w:spacing w:after="0" w:line="240" w:lineRule="auto"/>
        <w:jc w:val="both"/>
        <w:rPr>
          <w:rFonts w:ascii="Times New Roman" w:hAnsi="Times New Roman" w:cs="Times New Roman"/>
          <w:iCs/>
          <w:color w:val="000000"/>
          <w:sz w:val="20"/>
          <w:highlight w:val="yellow"/>
        </w:rPr>
      </w:pPr>
    </w:p>
    <w:p w14:paraId="60217D4A" w14:textId="4558D145" w:rsidR="004B53D1" w:rsidRPr="001E1026" w:rsidRDefault="004B53D1" w:rsidP="001E1026">
      <w:pPr>
        <w:spacing w:after="0" w:line="240" w:lineRule="auto"/>
        <w:jc w:val="center"/>
        <w:rPr>
          <w:rFonts w:ascii="Times New Roman" w:hAnsi="Times New Roman" w:cs="Times New Roman"/>
          <w:iCs/>
          <w:color w:val="000000"/>
          <w:sz w:val="20"/>
          <w:highlight w:val="yellow"/>
        </w:rPr>
      </w:pPr>
      <w:r w:rsidRPr="001E1026">
        <w:rPr>
          <w:rFonts w:ascii="Times New Roman" w:hAnsi="Times New Roman" w:cs="Times New Roman"/>
          <w:noProof/>
          <w:lang w:val="ru-RU" w:eastAsia="ru-RU"/>
        </w:rPr>
        <w:lastRenderedPageBreak/>
        <w:drawing>
          <wp:inline distT="0" distB="0" distL="0" distR="0" wp14:anchorId="113CDB0D" wp14:editId="726DA069">
            <wp:extent cx="4695825" cy="2699385"/>
            <wp:effectExtent l="0" t="0" r="9525" b="571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6524D0C" w14:textId="592159F6" w:rsidR="005A7D68" w:rsidRPr="001E1026" w:rsidRDefault="007658E6" w:rsidP="001E1026">
      <w:pPr>
        <w:spacing w:after="0" w:line="240" w:lineRule="auto"/>
        <w:rPr>
          <w:rFonts w:ascii="Times New Roman" w:hAnsi="Times New Roman" w:cs="Times New Roman"/>
          <w:iCs/>
          <w:color w:val="000000"/>
          <w:sz w:val="20"/>
          <w:highlight w:val="yellow"/>
        </w:rPr>
      </w:pPr>
      <w:r w:rsidRPr="001E1026">
        <w:rPr>
          <w:rFonts w:ascii="Times New Roman" w:hAnsi="Times New Roman" w:cs="Times New Roman"/>
          <w:iCs/>
          <w:color w:val="000000"/>
          <w:sz w:val="20"/>
        </w:rPr>
        <w:t xml:space="preserve">         </w:t>
      </w:r>
    </w:p>
    <w:p w14:paraId="57C4C0CB" w14:textId="7E954232" w:rsidR="004929D1" w:rsidRPr="001E1026" w:rsidRDefault="00EA2F4C" w:rsidP="001E1026">
      <w:pPr>
        <w:pStyle w:val="a9"/>
        <w:spacing w:before="0" w:beforeAutospacing="0" w:after="0" w:afterAutospacing="0"/>
        <w:jc w:val="center"/>
        <w:rPr>
          <w:sz w:val="20"/>
          <w:szCs w:val="20"/>
          <w:lang w:val="en-US"/>
        </w:rPr>
      </w:pPr>
      <w:r w:rsidRPr="001E1026">
        <w:rPr>
          <w:b/>
          <w:bCs/>
          <w:sz w:val="20"/>
          <w:szCs w:val="20"/>
          <w:lang w:val="en-US"/>
        </w:rPr>
        <w:t>FIGURE</w:t>
      </w:r>
      <w:r w:rsidRPr="001E1026">
        <w:rPr>
          <w:rFonts w:eastAsia="Calibri"/>
          <w:b/>
          <w:bCs/>
          <w:sz w:val="20"/>
          <w:szCs w:val="20"/>
          <w:lang w:val="en-US"/>
        </w:rPr>
        <w:t xml:space="preserve"> </w:t>
      </w:r>
      <w:r w:rsidR="004B53D1" w:rsidRPr="001E1026">
        <w:rPr>
          <w:rFonts w:eastAsia="Calibri"/>
          <w:b/>
          <w:bCs/>
          <w:sz w:val="20"/>
          <w:szCs w:val="20"/>
          <w:lang w:val="en-US"/>
        </w:rPr>
        <w:t>5</w:t>
      </w:r>
      <w:r w:rsidRPr="001E1026">
        <w:rPr>
          <w:rFonts w:eastAsia="Calibri"/>
          <w:b/>
          <w:bCs/>
          <w:sz w:val="20"/>
          <w:szCs w:val="20"/>
          <w:lang w:val="en-US"/>
        </w:rPr>
        <w:t>.</w:t>
      </w:r>
      <w:r w:rsidR="0032215F" w:rsidRPr="001E1026">
        <w:rPr>
          <w:rFonts w:eastAsia="Calibri"/>
          <w:sz w:val="20"/>
          <w:szCs w:val="20"/>
          <w:lang w:val="en-US"/>
        </w:rPr>
        <w:t xml:space="preserve"> </w:t>
      </w:r>
      <w:r w:rsidR="004B53D1" w:rsidRPr="001E1026">
        <w:rPr>
          <w:rFonts w:eastAsiaTheme="minorEastAsia"/>
          <w:bCs/>
          <w:color w:val="000000"/>
          <w:kern w:val="24"/>
          <w:sz w:val="20"/>
          <w:szCs w:val="20"/>
          <w:lang w:val="en-US"/>
        </w:rPr>
        <w:t>Wind speed effects on corona</w:t>
      </w:r>
    </w:p>
    <w:p w14:paraId="62B98C1A" w14:textId="77777777" w:rsidR="004B53D1" w:rsidRPr="001E1026" w:rsidRDefault="004B53D1" w:rsidP="001E1026">
      <w:pPr>
        <w:overflowPunct w:val="0"/>
        <w:autoSpaceDE w:val="0"/>
        <w:autoSpaceDN w:val="0"/>
        <w:adjustRightInd w:val="0"/>
        <w:spacing w:after="0" w:line="240" w:lineRule="auto"/>
        <w:ind w:firstLine="425"/>
        <w:jc w:val="both"/>
        <w:textAlignment w:val="baseline"/>
        <w:rPr>
          <w:rFonts w:ascii="Times New Roman" w:eastAsia="Calibri" w:hAnsi="Times New Roman" w:cs="Times New Roman"/>
          <w:sz w:val="20"/>
          <w:szCs w:val="20"/>
        </w:rPr>
      </w:pPr>
    </w:p>
    <w:p w14:paraId="5440C48B" w14:textId="625D7755" w:rsidR="007F01E1" w:rsidRPr="001E1026" w:rsidRDefault="004B53D1" w:rsidP="001E1026">
      <w:pPr>
        <w:overflowPunct w:val="0"/>
        <w:autoSpaceDE w:val="0"/>
        <w:autoSpaceDN w:val="0"/>
        <w:adjustRightInd w:val="0"/>
        <w:spacing w:after="0" w:line="240" w:lineRule="auto"/>
        <w:ind w:firstLine="425"/>
        <w:jc w:val="both"/>
        <w:textAlignment w:val="baseline"/>
        <w:rPr>
          <w:rFonts w:ascii="Times New Roman" w:eastAsia="Calibri" w:hAnsi="Times New Roman" w:cs="Times New Roman"/>
          <w:sz w:val="20"/>
          <w:szCs w:val="20"/>
        </w:rPr>
      </w:pPr>
      <w:r w:rsidRPr="001E1026">
        <w:rPr>
          <w:rFonts w:ascii="Times New Roman" w:eastAsia="Calibri" w:hAnsi="Times New Roman" w:cs="Times New Roman"/>
          <w:sz w:val="20"/>
          <w:szCs w:val="20"/>
        </w:rPr>
        <w:t>Under adverse weather conditions (humid, polluted, snow-covered), corona losses increase sharply. Consequently, the optimal voltage becomes significantly lower than the nominal voltage, usually within a range of 0.5-0.85. This behavior is primarily explained by the reduction of the critical electric field strength due to high humidity and surface contamination, which greatly intensifies corona discharge activity and associated energy losses.</w:t>
      </w:r>
    </w:p>
    <w:p w14:paraId="53C0D8F8" w14:textId="77777777" w:rsidR="007F01E1" w:rsidRPr="001E1026" w:rsidRDefault="007F01E1" w:rsidP="001E1026">
      <w:pPr>
        <w:overflowPunct w:val="0"/>
        <w:autoSpaceDE w:val="0"/>
        <w:autoSpaceDN w:val="0"/>
        <w:adjustRightInd w:val="0"/>
        <w:spacing w:after="0" w:line="240" w:lineRule="auto"/>
        <w:ind w:firstLine="425"/>
        <w:jc w:val="both"/>
        <w:textAlignment w:val="baseline"/>
        <w:rPr>
          <w:rFonts w:ascii="Times New Roman" w:eastAsia="Calibri" w:hAnsi="Times New Roman" w:cs="Times New Roman"/>
          <w:sz w:val="20"/>
          <w:szCs w:val="20"/>
        </w:rPr>
      </w:pPr>
    </w:p>
    <w:p w14:paraId="60D4AA5E" w14:textId="7B611955" w:rsidR="007F01E1" w:rsidRPr="001E1026" w:rsidRDefault="00272D10" w:rsidP="001E1026">
      <w:pPr>
        <w:overflowPunct w:val="0"/>
        <w:autoSpaceDE w:val="0"/>
        <w:autoSpaceDN w:val="0"/>
        <w:adjustRightInd w:val="0"/>
        <w:spacing w:after="0" w:line="240" w:lineRule="auto"/>
        <w:ind w:firstLine="425"/>
        <w:jc w:val="center"/>
        <w:textAlignment w:val="baseline"/>
        <w:rPr>
          <w:rFonts w:ascii="Times New Roman" w:eastAsia="Calibri" w:hAnsi="Times New Roman" w:cs="Times New Roman"/>
          <w:sz w:val="20"/>
          <w:szCs w:val="20"/>
          <w:lang w:val="uz-Cyrl-UZ"/>
        </w:rPr>
      </w:pPr>
      <w:r w:rsidRPr="001E1026">
        <w:rPr>
          <w:rFonts w:ascii="Times New Roman" w:hAnsi="Times New Roman" w:cs="Times New Roman"/>
          <w:noProof/>
          <w:lang w:val="ru-RU" w:eastAsia="ru-RU"/>
        </w:rPr>
        <w:drawing>
          <wp:inline distT="0" distB="0" distL="0" distR="0" wp14:anchorId="577CBFCA" wp14:editId="60A5B2F7">
            <wp:extent cx="4772025" cy="2699385"/>
            <wp:effectExtent l="0" t="0" r="9525" b="571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CE842A6" w14:textId="552205CD" w:rsidR="00272D10" w:rsidRPr="001E1026" w:rsidRDefault="00272D10" w:rsidP="001E1026">
      <w:pPr>
        <w:pStyle w:val="a9"/>
        <w:spacing w:before="0" w:beforeAutospacing="0" w:after="0" w:afterAutospacing="0"/>
        <w:jc w:val="center"/>
        <w:rPr>
          <w:sz w:val="20"/>
          <w:szCs w:val="20"/>
          <w:lang w:val="en-US"/>
        </w:rPr>
      </w:pPr>
      <w:r w:rsidRPr="001E1026">
        <w:rPr>
          <w:b/>
          <w:bCs/>
          <w:sz w:val="20"/>
          <w:szCs w:val="20"/>
          <w:lang w:val="en-US"/>
        </w:rPr>
        <w:t>FIGURE</w:t>
      </w:r>
      <w:r w:rsidRPr="001E1026">
        <w:rPr>
          <w:rFonts w:eastAsia="Calibri"/>
          <w:b/>
          <w:bCs/>
          <w:sz w:val="20"/>
          <w:szCs w:val="20"/>
          <w:lang w:val="en-US"/>
        </w:rPr>
        <w:t xml:space="preserve"> 6.</w:t>
      </w:r>
      <w:r w:rsidRPr="001E1026">
        <w:rPr>
          <w:rFonts w:eastAsia="Calibri"/>
          <w:sz w:val="20"/>
          <w:szCs w:val="20"/>
          <w:lang w:val="en-US"/>
        </w:rPr>
        <w:t xml:space="preserve"> </w:t>
      </w:r>
      <w:r w:rsidRPr="001E1026">
        <w:rPr>
          <w:rFonts w:eastAsiaTheme="minorEastAsia"/>
          <w:bCs/>
          <w:color w:val="000000"/>
          <w:kern w:val="24"/>
          <w:sz w:val="20"/>
          <w:szCs w:val="20"/>
          <w:lang w:val="en-US"/>
        </w:rPr>
        <w:t>Corona loss over daily cycle</w:t>
      </w:r>
    </w:p>
    <w:p w14:paraId="5998B608" w14:textId="77777777" w:rsidR="007F01E1" w:rsidRPr="001E1026" w:rsidRDefault="007F01E1" w:rsidP="001E1026">
      <w:pPr>
        <w:overflowPunct w:val="0"/>
        <w:autoSpaceDE w:val="0"/>
        <w:autoSpaceDN w:val="0"/>
        <w:adjustRightInd w:val="0"/>
        <w:spacing w:after="0" w:line="240" w:lineRule="auto"/>
        <w:ind w:firstLine="425"/>
        <w:jc w:val="both"/>
        <w:textAlignment w:val="baseline"/>
        <w:rPr>
          <w:rFonts w:ascii="Times New Roman" w:eastAsia="Calibri" w:hAnsi="Times New Roman" w:cs="Times New Roman"/>
          <w:sz w:val="20"/>
          <w:szCs w:val="20"/>
        </w:rPr>
      </w:pPr>
    </w:p>
    <w:p w14:paraId="1509C048" w14:textId="21673A74" w:rsidR="005A7D68" w:rsidRPr="001E1026" w:rsidRDefault="00DE24B2" w:rsidP="001E1026">
      <w:pPr>
        <w:overflowPunct w:val="0"/>
        <w:autoSpaceDE w:val="0"/>
        <w:autoSpaceDN w:val="0"/>
        <w:adjustRightInd w:val="0"/>
        <w:spacing w:after="0" w:line="240" w:lineRule="auto"/>
        <w:ind w:firstLine="567"/>
        <w:textAlignment w:val="baseline"/>
        <w:rPr>
          <w:rFonts w:ascii="Times New Roman" w:eastAsia="Calibri" w:hAnsi="Times New Roman" w:cs="Times New Roman"/>
          <w:sz w:val="20"/>
          <w:szCs w:val="20"/>
          <w:highlight w:val="yellow"/>
        </w:rPr>
      </w:pPr>
      <w:r w:rsidRPr="001E1026">
        <w:rPr>
          <w:rFonts w:ascii="Times New Roman" w:eastAsia="Calibri" w:hAnsi="Times New Roman" w:cs="Times New Roman"/>
          <w:sz w:val="20"/>
          <w:szCs w:val="20"/>
        </w:rPr>
        <w:t xml:space="preserve">Additionally, it should be emphasized that, in both operating scenarios, accurate determination of the optimal voltage requires dynamic consideration of corona-related parameters along with load losses. For extra-high </w:t>
      </w:r>
      <w:proofErr w:type="gramStart"/>
      <w:r w:rsidRPr="001E1026">
        <w:rPr>
          <w:rFonts w:ascii="Times New Roman" w:eastAsia="Calibri" w:hAnsi="Times New Roman" w:cs="Times New Roman"/>
          <w:sz w:val="20"/>
          <w:szCs w:val="20"/>
        </w:rPr>
        <w:t>voltage  transmission</w:t>
      </w:r>
      <w:proofErr w:type="gramEnd"/>
      <w:r w:rsidRPr="001E1026">
        <w:rPr>
          <w:rFonts w:ascii="Times New Roman" w:eastAsia="Calibri" w:hAnsi="Times New Roman" w:cs="Times New Roman"/>
          <w:sz w:val="20"/>
          <w:szCs w:val="20"/>
        </w:rPr>
        <w:t xml:space="preserve"> lines, the contribution of corona losses may reach 20–40% of the total losses, making it technically unacceptable to disregard them in optimization and operational studies.</w:t>
      </w:r>
    </w:p>
    <w:p w14:paraId="40B464F3" w14:textId="77777777" w:rsidR="0015261D" w:rsidRPr="001E1026" w:rsidRDefault="0015261D" w:rsidP="001E1026">
      <w:pPr>
        <w:overflowPunct w:val="0"/>
        <w:autoSpaceDE w:val="0"/>
        <w:autoSpaceDN w:val="0"/>
        <w:adjustRightInd w:val="0"/>
        <w:spacing w:after="0" w:line="240" w:lineRule="auto"/>
        <w:ind w:firstLine="425"/>
        <w:jc w:val="both"/>
        <w:textAlignment w:val="baseline"/>
        <w:rPr>
          <w:rFonts w:ascii="Times New Roman" w:eastAsia="Calibri" w:hAnsi="Times New Roman" w:cs="Times New Roman"/>
          <w:sz w:val="20"/>
          <w:szCs w:val="20"/>
        </w:rPr>
      </w:pPr>
    </w:p>
    <w:p w14:paraId="64AF00EE" w14:textId="4947D22A" w:rsidR="00085FF8" w:rsidRPr="001E1026" w:rsidRDefault="00DE24B2" w:rsidP="001E1026">
      <w:pPr>
        <w:overflowPunct w:val="0"/>
        <w:autoSpaceDE w:val="0"/>
        <w:autoSpaceDN w:val="0"/>
        <w:adjustRightInd w:val="0"/>
        <w:spacing w:after="0" w:line="240" w:lineRule="auto"/>
        <w:ind w:firstLine="425"/>
        <w:jc w:val="center"/>
        <w:textAlignment w:val="baseline"/>
        <w:rPr>
          <w:rFonts w:ascii="Times New Roman" w:eastAsia="Calibri" w:hAnsi="Times New Roman" w:cs="Times New Roman"/>
          <w:sz w:val="20"/>
          <w:szCs w:val="20"/>
        </w:rPr>
      </w:pPr>
      <w:r w:rsidRPr="001E1026">
        <w:rPr>
          <w:rFonts w:ascii="Times New Roman" w:hAnsi="Times New Roman" w:cs="Times New Roman"/>
          <w:noProof/>
          <w:lang w:val="ru-RU" w:eastAsia="ru-RU"/>
        </w:rPr>
        <w:lastRenderedPageBreak/>
        <w:drawing>
          <wp:inline distT="0" distB="0" distL="0" distR="0" wp14:anchorId="63568353" wp14:editId="2B7E4960">
            <wp:extent cx="4953000" cy="2699385"/>
            <wp:effectExtent l="0" t="0" r="0" b="571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224E1E9" w14:textId="72525737" w:rsidR="005B39C3" w:rsidRPr="001E1026" w:rsidRDefault="00DE24B2" w:rsidP="001E1026">
      <w:pPr>
        <w:overflowPunct w:val="0"/>
        <w:autoSpaceDE w:val="0"/>
        <w:autoSpaceDN w:val="0"/>
        <w:adjustRightInd w:val="0"/>
        <w:spacing w:after="0" w:line="240" w:lineRule="auto"/>
        <w:ind w:firstLine="425"/>
        <w:jc w:val="center"/>
        <w:textAlignment w:val="baseline"/>
        <w:rPr>
          <w:rFonts w:ascii="Times New Roman" w:eastAsia="Calibri" w:hAnsi="Times New Roman" w:cs="Times New Roman"/>
          <w:bCs/>
          <w:sz w:val="20"/>
          <w:szCs w:val="20"/>
        </w:rPr>
      </w:pPr>
      <w:r w:rsidRPr="001E1026">
        <w:rPr>
          <w:rFonts w:ascii="Times New Roman" w:eastAsia="Calibri" w:hAnsi="Times New Roman" w:cs="Times New Roman"/>
          <w:b/>
          <w:bCs/>
          <w:sz w:val="20"/>
          <w:szCs w:val="20"/>
        </w:rPr>
        <w:t>FIGURE 7</w:t>
      </w:r>
      <w:r w:rsidR="00085FF8" w:rsidRPr="001E1026">
        <w:rPr>
          <w:rFonts w:ascii="Times New Roman" w:eastAsia="Calibri" w:hAnsi="Times New Roman" w:cs="Times New Roman"/>
          <w:b/>
          <w:bCs/>
          <w:sz w:val="20"/>
          <w:szCs w:val="20"/>
        </w:rPr>
        <w:t>.</w:t>
      </w:r>
      <w:r w:rsidR="00085FF8" w:rsidRPr="001E1026">
        <w:rPr>
          <w:rFonts w:ascii="Times New Roman" w:eastAsia="Calibri" w:hAnsi="Times New Roman" w:cs="Times New Roman"/>
          <w:sz w:val="20"/>
          <w:szCs w:val="20"/>
        </w:rPr>
        <w:t xml:space="preserve"> </w:t>
      </w:r>
      <w:r w:rsidRPr="001E1026">
        <w:rPr>
          <w:rFonts w:ascii="Times New Roman" w:eastAsia="Calibri" w:hAnsi="Times New Roman" w:cs="Times New Roman"/>
          <w:bCs/>
          <w:sz w:val="20"/>
          <w:szCs w:val="20"/>
        </w:rPr>
        <w:t>Efficiency of mitigation techniques</w:t>
      </w:r>
    </w:p>
    <w:p w14:paraId="0DB8FD52" w14:textId="77777777" w:rsidR="0092258E" w:rsidRPr="001E1026" w:rsidRDefault="0092258E" w:rsidP="001E1026">
      <w:pPr>
        <w:overflowPunct w:val="0"/>
        <w:autoSpaceDE w:val="0"/>
        <w:autoSpaceDN w:val="0"/>
        <w:adjustRightInd w:val="0"/>
        <w:spacing w:after="0" w:line="240" w:lineRule="auto"/>
        <w:ind w:firstLine="425"/>
        <w:jc w:val="center"/>
        <w:textAlignment w:val="baseline"/>
        <w:rPr>
          <w:rFonts w:ascii="Times New Roman" w:eastAsia="Calibri" w:hAnsi="Times New Roman" w:cs="Times New Roman"/>
          <w:sz w:val="20"/>
          <w:szCs w:val="20"/>
        </w:rPr>
      </w:pPr>
    </w:p>
    <w:p w14:paraId="7B87D591" w14:textId="04E82BA6" w:rsidR="005B39C3" w:rsidRPr="001E1026" w:rsidRDefault="002A572F" w:rsidP="001E1026">
      <w:pPr>
        <w:widowControl w:val="0"/>
        <w:spacing w:after="0" w:line="240" w:lineRule="auto"/>
        <w:ind w:firstLine="567"/>
        <w:jc w:val="both"/>
        <w:rPr>
          <w:rFonts w:ascii="Times New Roman" w:hAnsi="Times New Roman" w:cs="Times New Roman"/>
          <w:sz w:val="20"/>
          <w:szCs w:val="20"/>
          <w:lang w:val="uz-Latn-UZ"/>
        </w:rPr>
      </w:pPr>
      <w:r w:rsidRPr="001E1026">
        <w:rPr>
          <w:rFonts w:ascii="Times New Roman" w:hAnsi="Times New Roman" w:cs="Times New Roman"/>
          <w:sz w:val="20"/>
          <w:szCs w:val="20"/>
          <w:lang w:val="uz-Latn-UZ"/>
        </w:rPr>
        <w:t>Analysis of the computational errors associated with determining corona losses using the algorithms of the long-distance integrated calculation software package demonstrated that applying more accurate formulas-specifically those that account for the wave properties of overhead transmission lines-provides a significantly improved estimation of load losses in long conductors.</w:t>
      </w:r>
    </w:p>
    <w:p w14:paraId="30DD54CB" w14:textId="77777777" w:rsidR="009869BC" w:rsidRPr="001E1026" w:rsidRDefault="009869BC" w:rsidP="001E1026">
      <w:pPr>
        <w:widowControl w:val="0"/>
        <w:spacing w:after="0" w:line="240" w:lineRule="auto"/>
        <w:ind w:firstLine="567"/>
        <w:jc w:val="both"/>
        <w:rPr>
          <w:rFonts w:ascii="Times New Roman" w:hAnsi="Times New Roman" w:cs="Times New Roman"/>
          <w:sz w:val="20"/>
          <w:szCs w:val="20"/>
          <w:lang w:val="uz-Latn-UZ"/>
        </w:rPr>
      </w:pPr>
    </w:p>
    <w:p w14:paraId="080D2B41" w14:textId="67342A8E" w:rsidR="00BE2334" w:rsidRPr="001E1026" w:rsidRDefault="009869BC" w:rsidP="001E1026">
      <w:pPr>
        <w:pStyle w:val="a9"/>
        <w:spacing w:before="0" w:beforeAutospacing="0" w:after="0" w:afterAutospacing="0"/>
        <w:jc w:val="center"/>
        <w:rPr>
          <w:b/>
          <w:bCs/>
          <w:sz w:val="20"/>
          <w:szCs w:val="20"/>
          <w:lang w:val="en-US"/>
        </w:rPr>
      </w:pPr>
      <w:r w:rsidRPr="001E1026">
        <w:rPr>
          <w:noProof/>
        </w:rPr>
        <w:drawing>
          <wp:inline distT="0" distB="0" distL="0" distR="0" wp14:anchorId="57517BB3" wp14:editId="0D660671">
            <wp:extent cx="5400000" cy="2700000"/>
            <wp:effectExtent l="0" t="0" r="10795" b="5715"/>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BFB75F2" w14:textId="41BB6367" w:rsidR="005B39C3" w:rsidRPr="001E1026" w:rsidRDefault="005B39C3" w:rsidP="001E1026">
      <w:pPr>
        <w:pStyle w:val="a9"/>
        <w:spacing w:before="0" w:beforeAutospacing="0" w:after="0" w:afterAutospacing="0"/>
        <w:jc w:val="center"/>
        <w:rPr>
          <w:rFonts w:eastAsiaTheme="minorEastAsia"/>
          <w:bCs/>
          <w:color w:val="000000"/>
          <w:kern w:val="24"/>
          <w:sz w:val="20"/>
          <w:szCs w:val="20"/>
          <w:lang w:val="en-US"/>
        </w:rPr>
      </w:pPr>
      <w:r w:rsidRPr="001E1026">
        <w:rPr>
          <w:b/>
          <w:bCs/>
          <w:sz w:val="20"/>
          <w:szCs w:val="20"/>
          <w:lang w:val="en-US"/>
        </w:rPr>
        <w:t>FIGURE</w:t>
      </w:r>
      <w:r w:rsidRPr="001E1026">
        <w:rPr>
          <w:rFonts w:eastAsia="Calibri"/>
          <w:b/>
          <w:bCs/>
          <w:sz w:val="20"/>
          <w:szCs w:val="20"/>
          <w:lang w:val="en-US"/>
        </w:rPr>
        <w:t xml:space="preserve"> </w:t>
      </w:r>
      <w:r w:rsidR="009869BC" w:rsidRPr="001E1026">
        <w:rPr>
          <w:rFonts w:eastAsia="Calibri"/>
          <w:b/>
          <w:bCs/>
          <w:sz w:val="20"/>
          <w:szCs w:val="20"/>
          <w:lang w:val="en-US"/>
        </w:rPr>
        <w:t>8</w:t>
      </w:r>
      <w:r w:rsidRPr="001E1026">
        <w:rPr>
          <w:rFonts w:eastAsia="Calibri"/>
          <w:b/>
          <w:bCs/>
          <w:sz w:val="20"/>
          <w:szCs w:val="20"/>
          <w:lang w:val="en-US"/>
        </w:rPr>
        <w:t>.</w:t>
      </w:r>
      <w:r w:rsidRPr="001E1026">
        <w:rPr>
          <w:rFonts w:eastAsia="Calibri"/>
          <w:sz w:val="20"/>
          <w:szCs w:val="20"/>
          <w:lang w:val="en-US"/>
        </w:rPr>
        <w:t xml:space="preserve"> </w:t>
      </w:r>
      <w:r w:rsidR="009869BC" w:rsidRPr="001E1026">
        <w:rPr>
          <w:rFonts w:eastAsiaTheme="minorEastAsia"/>
          <w:bCs/>
          <w:color w:val="000000"/>
          <w:kern w:val="24"/>
          <w:sz w:val="20"/>
          <w:szCs w:val="20"/>
          <w:lang w:val="en-US"/>
        </w:rPr>
        <w:t xml:space="preserve"> Altitude and corona loss</w:t>
      </w:r>
    </w:p>
    <w:p w14:paraId="18F0B6B7" w14:textId="77777777" w:rsidR="00BE2334" w:rsidRPr="001E1026" w:rsidRDefault="00BE2334" w:rsidP="001E1026">
      <w:pPr>
        <w:pStyle w:val="a9"/>
        <w:spacing w:before="0" w:beforeAutospacing="0" w:after="0" w:afterAutospacing="0"/>
        <w:jc w:val="center"/>
        <w:rPr>
          <w:sz w:val="20"/>
          <w:szCs w:val="20"/>
          <w:lang w:val="en-US"/>
        </w:rPr>
      </w:pPr>
    </w:p>
    <w:p w14:paraId="63A5F304" w14:textId="77777777" w:rsidR="009869BC" w:rsidRPr="001E1026" w:rsidRDefault="009869BC" w:rsidP="001E1026">
      <w:pPr>
        <w:spacing w:after="0" w:line="240" w:lineRule="auto"/>
        <w:ind w:firstLine="567"/>
        <w:jc w:val="both"/>
        <w:rPr>
          <w:rFonts w:ascii="Times New Roman" w:hAnsi="Times New Roman" w:cs="Times New Roman"/>
          <w:sz w:val="20"/>
          <w:szCs w:val="20"/>
        </w:rPr>
      </w:pPr>
      <w:r w:rsidRPr="001E1026">
        <w:rPr>
          <w:rFonts w:ascii="Times New Roman" w:hAnsi="Times New Roman" w:cs="Times New Roman"/>
          <w:sz w:val="20"/>
          <w:szCs w:val="20"/>
        </w:rPr>
        <w:t>Under fair-weather conditions, for transmission lines exceeding 250 km in length, the influence of voltage variations along the line on corona power losses becomes substantial. To properly account for this effect, a correction factor dependent on both active and reactive power was introduced into the algorithm of the Long-Distance Integrated Calculation Program.</w:t>
      </w:r>
      <w:r w:rsidRPr="001E1026">
        <w:rPr>
          <w:rFonts w:ascii="Times New Roman" w:hAnsi="Times New Roman" w:cs="Times New Roman"/>
        </w:rPr>
        <w:t xml:space="preserve"> </w:t>
      </w:r>
      <w:r w:rsidRPr="001E1026">
        <w:rPr>
          <w:rFonts w:ascii="Times New Roman" w:hAnsi="Times New Roman" w:cs="Times New Roman"/>
          <w:sz w:val="20"/>
          <w:szCs w:val="20"/>
        </w:rPr>
        <w:t>Within this software environment, corona-loss data obtained from real operational measurements were analyzed. These results were compared with two existing long-distance high-voltage transmission lines and correlated with meteorological observations from weather stations located near the line routes. This comparative assessment confirmed that increased corona losses are strongly associated with adverse meteorological conditions.</w:t>
      </w:r>
    </w:p>
    <w:p w14:paraId="51D8FA98" w14:textId="7068D783" w:rsidR="007D79DC" w:rsidRPr="001E1026" w:rsidRDefault="00CA398A" w:rsidP="009869BC">
      <w:pPr>
        <w:ind w:firstLine="567"/>
        <w:jc w:val="center"/>
        <w:rPr>
          <w:rFonts w:ascii="Times New Roman" w:hAnsi="Times New Roman" w:cs="Times New Roman"/>
          <w:sz w:val="20"/>
          <w:szCs w:val="20"/>
        </w:rPr>
      </w:pPr>
      <w:r w:rsidRPr="001E1026">
        <w:rPr>
          <w:rFonts w:ascii="Times New Roman" w:hAnsi="Times New Roman" w:cs="Times New Roman"/>
          <w:b/>
          <w:sz w:val="24"/>
          <w:szCs w:val="24"/>
        </w:rPr>
        <w:lastRenderedPageBreak/>
        <w:t>CONCLUSIONS</w:t>
      </w:r>
    </w:p>
    <w:p w14:paraId="04A2520D" w14:textId="68F7FB79" w:rsidR="008E7068" w:rsidRPr="001E1026" w:rsidRDefault="008E7068" w:rsidP="001E1026">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1E1026">
        <w:rPr>
          <w:rFonts w:ascii="Times New Roman" w:hAnsi="Times New Roman" w:cs="Times New Roman"/>
          <w:sz w:val="20"/>
        </w:rPr>
        <w:t>The conducted analysis demonstrates that real-time measurements make it possible to isolate and quantify all principal components of power losses in high-voltage overhead transmission lines—namely, load-related active power losses, corona discharge losses, and insulation leakage losses. The ability to decompose these loss components provides a strong analytical foundation for optimizing transmission-line operating modes, reducing total losses, and significantly improving the overall energy efficiency of the power sy</w:t>
      </w:r>
      <w:r w:rsidR="002A49D7" w:rsidRPr="001E1026">
        <w:rPr>
          <w:rFonts w:ascii="Times New Roman" w:hAnsi="Times New Roman" w:cs="Times New Roman"/>
          <w:sz w:val="20"/>
        </w:rPr>
        <w:t xml:space="preserve">stem. </w:t>
      </w:r>
      <w:r w:rsidRPr="001E1026">
        <w:rPr>
          <w:rFonts w:ascii="Times New Roman" w:hAnsi="Times New Roman" w:cs="Times New Roman"/>
          <w:sz w:val="20"/>
        </w:rPr>
        <w:t>The study confirms that corona-related losses must be explicitly included when determining optimal voltage levels across the network. Neglecting corona effects leads to substantial inaccuracies in loss evaluation and may result in suboptimal voltage-control decisions. In contrast, incorporating corona-loss behavior into voltage-optimization algorithms allows a more realistic representation of line performance under varying atmospheric and loading conditions.</w:t>
      </w:r>
      <w:r w:rsidRPr="001E1026">
        <w:rPr>
          <w:rFonts w:ascii="Times New Roman" w:hAnsi="Times New Roman" w:cs="Times New Roman"/>
        </w:rPr>
        <w:t xml:space="preserve"> </w:t>
      </w:r>
      <w:r w:rsidRPr="001E1026">
        <w:rPr>
          <w:rFonts w:ascii="Times New Roman" w:hAnsi="Times New Roman" w:cs="Times New Roman"/>
          <w:sz w:val="20"/>
        </w:rPr>
        <w:t>Computational investigations further reveal that the influence of corona losses becomes particularly important for long-distance transmission lines. Under favorable weather conditions, the optimal operating voltage tends to exceed the nominal value by approximately 20–25%, primarily due to the relatively low magnitude of corona losses. During adverse weather—characterized by elevated humidity, surface contamination, or snow—the opposite tendency is observed: corona losses increase sharply, and the optimal voltage decreases to nearly 50–85% of the nominal level. This behavior is directly linked to the reduction of the critical electric-field strength that triggers intensified corona discharge activity.</w:t>
      </w:r>
      <w:r w:rsidR="002A49D7" w:rsidRPr="001E1026">
        <w:rPr>
          <w:rFonts w:ascii="Times New Roman" w:hAnsi="Times New Roman" w:cs="Times New Roman"/>
          <w:sz w:val="20"/>
        </w:rPr>
        <w:t xml:space="preserve"> </w:t>
      </w:r>
      <w:r w:rsidRPr="001E1026">
        <w:rPr>
          <w:rFonts w:ascii="Times New Roman" w:hAnsi="Times New Roman" w:cs="Times New Roman"/>
          <w:sz w:val="20"/>
        </w:rPr>
        <w:t>For transmission lines exceeding 250 km, voltage variation along the line has a measurable impact on corona losses. To account for this effect, the long-distance integrated calculation algorithm was supplemented with a correction factor dependent on both active and reactive power flows. This enhancement enables more accurate modeling of corona phenomena and improves agreement between computational and field-measured results.</w:t>
      </w:r>
      <w:r w:rsidR="002A49D7" w:rsidRPr="001E1026">
        <w:rPr>
          <w:rFonts w:ascii="Times New Roman" w:hAnsi="Times New Roman" w:cs="Times New Roman"/>
          <w:sz w:val="20"/>
        </w:rPr>
        <w:t xml:space="preserve"> </w:t>
      </w:r>
      <w:r w:rsidRPr="001E1026">
        <w:rPr>
          <w:rFonts w:ascii="Times New Roman" w:hAnsi="Times New Roman" w:cs="Times New Roman"/>
          <w:sz w:val="20"/>
        </w:rPr>
        <w:t>A comparative assessment of experimental data from two operating high-voltage lines, combined with observations from nearby meteorological stations, shows a clear correlation between increased corona losses and deteriorating weather conditions. This finding highlights the necessity of continuous monitoring and adaptive control strategies, particularly for extra-high-voltage and long transmission corridors.</w:t>
      </w:r>
      <w:r w:rsidR="002A49D7" w:rsidRPr="001E1026">
        <w:rPr>
          <w:rFonts w:ascii="Times New Roman" w:hAnsi="Times New Roman" w:cs="Times New Roman"/>
          <w:sz w:val="20"/>
        </w:rPr>
        <w:t xml:space="preserve"> </w:t>
      </w:r>
      <w:r w:rsidRPr="001E1026">
        <w:rPr>
          <w:rFonts w:ascii="Times New Roman" w:hAnsi="Times New Roman" w:cs="Times New Roman"/>
          <w:sz w:val="20"/>
        </w:rPr>
        <w:t>Overall, the results validate the practical effectiveness of the proposed analytical methods and optimization procedures. Considering corona losses as an integral part of transmission-line performance modeling enhances operational reliability, reduces energy losses, and contributes to more efficient and sustainable functioning of the power system.</w:t>
      </w:r>
    </w:p>
    <w:p w14:paraId="5FF2BC5A" w14:textId="623281E1" w:rsidR="00F84944" w:rsidRPr="001E1026" w:rsidRDefault="00CA398A" w:rsidP="008E7068">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1E1026">
        <w:rPr>
          <w:rFonts w:ascii="Times New Roman" w:hAnsi="Times New Roman" w:cs="Times New Roman"/>
          <w:b/>
          <w:sz w:val="24"/>
          <w:szCs w:val="24"/>
        </w:rPr>
        <w:t>REFERENCES</w:t>
      </w:r>
    </w:p>
    <w:p w14:paraId="09EDC4EA" w14:textId="7021001E" w:rsidR="00697B56" w:rsidRPr="00697B56" w:rsidRDefault="00697B56" w:rsidP="00697B56">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697B56">
        <w:rPr>
          <w:sz w:val="20"/>
          <w:szCs w:val="20"/>
          <w:lang w:val="en-US"/>
        </w:rPr>
        <w:t xml:space="preserve">  A. Tovboyev, I. Togayev, I. </w:t>
      </w:r>
      <w:proofErr w:type="spellStart"/>
      <w:r w:rsidRPr="00697B56">
        <w:rPr>
          <w:sz w:val="20"/>
          <w:szCs w:val="20"/>
          <w:lang w:val="en-US"/>
        </w:rPr>
        <w:t>Uzoqov</w:t>
      </w:r>
      <w:proofErr w:type="spellEnd"/>
      <w:r w:rsidRPr="00697B56">
        <w:rPr>
          <w:sz w:val="20"/>
          <w:szCs w:val="20"/>
          <w:lang w:val="en-US"/>
        </w:rPr>
        <w:t xml:space="preserve">, and G. Nodirov, “Use of reactive power sources in improving the quality of electricity,” </w:t>
      </w:r>
      <w:r w:rsidRPr="00697B56">
        <w:rPr>
          <w:i/>
          <w:iCs/>
          <w:sz w:val="20"/>
          <w:szCs w:val="20"/>
          <w:lang w:val="en-US"/>
        </w:rPr>
        <w:t>E3S Web of Conferences</w:t>
      </w:r>
      <w:r w:rsidRPr="00697B56">
        <w:rPr>
          <w:sz w:val="20"/>
          <w:szCs w:val="20"/>
          <w:lang w:val="en-US"/>
        </w:rPr>
        <w:t xml:space="preserve"> </w:t>
      </w:r>
      <w:r w:rsidRPr="00697B56">
        <w:rPr>
          <w:b/>
          <w:bCs/>
          <w:sz w:val="20"/>
          <w:szCs w:val="20"/>
          <w:lang w:val="en-US"/>
        </w:rPr>
        <w:t>417</w:t>
      </w:r>
      <w:r w:rsidRPr="00697B56">
        <w:rPr>
          <w:sz w:val="20"/>
          <w:szCs w:val="20"/>
          <w:lang w:val="en-US"/>
        </w:rPr>
        <w:t xml:space="preserve">, 03001 (2023). </w:t>
      </w:r>
      <w:hyperlink r:id="rId14" w:tgtFrame="_new" w:history="1">
        <w:r w:rsidRPr="00697B56">
          <w:rPr>
            <w:rStyle w:val="a6"/>
            <w:sz w:val="20"/>
            <w:szCs w:val="20"/>
            <w:lang w:val="en-US"/>
          </w:rPr>
          <w:t>https://doi.org/10.1051/e3sconf/202341703001</w:t>
        </w:r>
      </w:hyperlink>
    </w:p>
    <w:p w14:paraId="01A80381" w14:textId="3D0E7210" w:rsidR="00697B56" w:rsidRPr="00697B56" w:rsidRDefault="00697B56" w:rsidP="00697B56">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697B56">
        <w:rPr>
          <w:sz w:val="20"/>
          <w:szCs w:val="20"/>
          <w:lang w:val="en-US"/>
        </w:rPr>
        <w:t xml:space="preserve">  I. Togayev, A. Tovbaev, and G. Nodirov, “Assessment of the quality of electricity by applying reactive power sources,” </w:t>
      </w:r>
      <w:r w:rsidRPr="00697B56">
        <w:rPr>
          <w:i/>
          <w:iCs/>
          <w:sz w:val="20"/>
          <w:szCs w:val="20"/>
          <w:lang w:val="en-US"/>
        </w:rPr>
        <w:t>E3S Web of Conferences</w:t>
      </w:r>
      <w:r w:rsidRPr="00697B56">
        <w:rPr>
          <w:sz w:val="20"/>
          <w:szCs w:val="20"/>
          <w:lang w:val="en-US"/>
        </w:rPr>
        <w:t xml:space="preserve"> </w:t>
      </w:r>
      <w:r w:rsidRPr="00697B56">
        <w:rPr>
          <w:b/>
          <w:bCs/>
          <w:sz w:val="20"/>
          <w:szCs w:val="20"/>
          <w:lang w:val="en-US"/>
        </w:rPr>
        <w:t>525</w:t>
      </w:r>
      <w:r w:rsidRPr="00697B56">
        <w:rPr>
          <w:sz w:val="20"/>
          <w:szCs w:val="20"/>
          <w:lang w:val="en-US"/>
        </w:rPr>
        <w:t xml:space="preserve">, 03004 (2024). </w:t>
      </w:r>
      <w:hyperlink r:id="rId15" w:tgtFrame="_new" w:history="1">
        <w:r w:rsidRPr="00697B56">
          <w:rPr>
            <w:rStyle w:val="a6"/>
            <w:sz w:val="20"/>
            <w:szCs w:val="20"/>
            <w:lang w:val="en-US"/>
          </w:rPr>
          <w:t>https://doi.org/10.1051/e3sconf/202452503004</w:t>
        </w:r>
      </w:hyperlink>
    </w:p>
    <w:p w14:paraId="259B0BB6" w14:textId="6E3AB0B1" w:rsidR="00697B56" w:rsidRPr="00697B56" w:rsidRDefault="00697B56" w:rsidP="00697B56">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697B56">
        <w:rPr>
          <w:sz w:val="20"/>
          <w:szCs w:val="20"/>
          <w:lang w:val="en-US"/>
        </w:rPr>
        <w:t xml:space="preserve">  G. Boynazarov, A. Tovbaev, and U. Usarov, “Methodology of experimental research of voltage quality in electrical circuit,” </w:t>
      </w:r>
      <w:r w:rsidRPr="00697B56">
        <w:rPr>
          <w:i/>
          <w:iCs/>
          <w:sz w:val="20"/>
          <w:szCs w:val="20"/>
          <w:lang w:val="en-US"/>
        </w:rPr>
        <w:t>E3S Web of Conferences</w:t>
      </w:r>
      <w:r w:rsidRPr="00697B56">
        <w:rPr>
          <w:sz w:val="20"/>
          <w:szCs w:val="20"/>
          <w:lang w:val="en-US"/>
        </w:rPr>
        <w:t xml:space="preserve"> </w:t>
      </w:r>
      <w:r w:rsidRPr="00697B56">
        <w:rPr>
          <w:b/>
          <w:bCs/>
          <w:sz w:val="20"/>
          <w:szCs w:val="20"/>
          <w:lang w:val="en-US"/>
        </w:rPr>
        <w:t>548</w:t>
      </w:r>
      <w:r w:rsidRPr="00697B56">
        <w:rPr>
          <w:sz w:val="20"/>
          <w:szCs w:val="20"/>
          <w:lang w:val="en-US"/>
        </w:rPr>
        <w:t xml:space="preserve">, 03009 (2024). </w:t>
      </w:r>
      <w:hyperlink r:id="rId16" w:tgtFrame="_new" w:history="1">
        <w:r w:rsidRPr="00697B56">
          <w:rPr>
            <w:rStyle w:val="a6"/>
            <w:sz w:val="20"/>
            <w:szCs w:val="20"/>
            <w:lang w:val="en-US"/>
          </w:rPr>
          <w:t>https://doi.org/10.1051/e3sconf/202454803009</w:t>
        </w:r>
      </w:hyperlink>
    </w:p>
    <w:p w14:paraId="481D0029" w14:textId="5C99712F" w:rsidR="00697B56" w:rsidRPr="00697B56" w:rsidRDefault="00697B56" w:rsidP="00697B56">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697B56">
        <w:rPr>
          <w:sz w:val="20"/>
          <w:szCs w:val="20"/>
          <w:lang w:val="en-US"/>
        </w:rPr>
        <w:t xml:space="preserve">  O. </w:t>
      </w:r>
      <w:proofErr w:type="spellStart"/>
      <w:r w:rsidRPr="00697B56">
        <w:rPr>
          <w:sz w:val="20"/>
          <w:szCs w:val="20"/>
          <w:lang w:val="en-US"/>
        </w:rPr>
        <w:t>Jumaev</w:t>
      </w:r>
      <w:proofErr w:type="spellEnd"/>
      <w:r w:rsidRPr="00697B56">
        <w:rPr>
          <w:sz w:val="20"/>
          <w:szCs w:val="20"/>
          <w:lang w:val="en-US"/>
        </w:rPr>
        <w:t xml:space="preserve">, M. Ismoilov, D. Rahmatov, and A. Qalandarov, “Enhancing abrasion resistance testing for linoleum and rubber products: A proposal for improved device operation,” </w:t>
      </w:r>
      <w:r w:rsidRPr="00697B56">
        <w:rPr>
          <w:i/>
          <w:iCs/>
          <w:sz w:val="20"/>
          <w:szCs w:val="20"/>
          <w:lang w:val="en-US"/>
        </w:rPr>
        <w:t>E3S Web of Conferences</w:t>
      </w:r>
      <w:r w:rsidRPr="00697B56">
        <w:rPr>
          <w:sz w:val="20"/>
          <w:szCs w:val="20"/>
          <w:lang w:val="en-US"/>
        </w:rPr>
        <w:t xml:space="preserve"> </w:t>
      </w:r>
      <w:r w:rsidRPr="00697B56">
        <w:rPr>
          <w:b/>
          <w:bCs/>
          <w:sz w:val="20"/>
          <w:szCs w:val="20"/>
          <w:lang w:val="en-US"/>
        </w:rPr>
        <w:t>525</w:t>
      </w:r>
      <w:r w:rsidRPr="00697B56">
        <w:rPr>
          <w:sz w:val="20"/>
          <w:szCs w:val="20"/>
          <w:lang w:val="en-US"/>
        </w:rPr>
        <w:t xml:space="preserve">, 05012 (2024). </w:t>
      </w:r>
      <w:hyperlink r:id="rId17" w:tgtFrame="_new" w:history="1">
        <w:r w:rsidRPr="00697B56">
          <w:rPr>
            <w:rStyle w:val="a6"/>
            <w:sz w:val="20"/>
            <w:szCs w:val="20"/>
            <w:lang w:val="en-US"/>
          </w:rPr>
          <w:t>https://doi.org/10.1051/e3sconf/202452505012</w:t>
        </w:r>
      </w:hyperlink>
    </w:p>
    <w:p w14:paraId="1B9C0F55" w14:textId="0597EDB9" w:rsidR="00697B56" w:rsidRPr="00697B56" w:rsidRDefault="00697B56" w:rsidP="00697B56">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697B56">
        <w:rPr>
          <w:sz w:val="20"/>
          <w:szCs w:val="20"/>
          <w:lang w:val="en-US"/>
        </w:rPr>
        <w:t xml:space="preserve">  S. Amirov and A. </w:t>
      </w:r>
      <w:proofErr w:type="spellStart"/>
      <w:r w:rsidRPr="00697B56">
        <w:rPr>
          <w:sz w:val="20"/>
          <w:szCs w:val="20"/>
          <w:lang w:val="en-US"/>
        </w:rPr>
        <w:t>Ataullayev</w:t>
      </w:r>
      <w:proofErr w:type="spellEnd"/>
      <w:r w:rsidRPr="00697B56">
        <w:rPr>
          <w:sz w:val="20"/>
          <w:szCs w:val="20"/>
          <w:lang w:val="en-US"/>
        </w:rPr>
        <w:t xml:space="preserve">, “Sine-cosine rotating transformers in zenith angle converters,” </w:t>
      </w:r>
      <w:r w:rsidRPr="00697B56">
        <w:rPr>
          <w:i/>
          <w:iCs/>
          <w:sz w:val="20"/>
          <w:szCs w:val="20"/>
          <w:lang w:val="en-US"/>
        </w:rPr>
        <w:t>E3S Web of Conferences</w:t>
      </w:r>
      <w:r w:rsidRPr="00697B56">
        <w:rPr>
          <w:sz w:val="20"/>
          <w:szCs w:val="20"/>
          <w:lang w:val="en-US"/>
        </w:rPr>
        <w:t xml:space="preserve"> </w:t>
      </w:r>
      <w:r w:rsidRPr="00697B56">
        <w:rPr>
          <w:b/>
          <w:bCs/>
          <w:sz w:val="20"/>
          <w:szCs w:val="20"/>
          <w:lang w:val="en-US"/>
        </w:rPr>
        <w:t>525</w:t>
      </w:r>
      <w:r w:rsidRPr="00697B56">
        <w:rPr>
          <w:sz w:val="20"/>
          <w:szCs w:val="20"/>
          <w:lang w:val="en-US"/>
        </w:rPr>
        <w:t xml:space="preserve">, 03010 (2024). </w:t>
      </w:r>
      <w:hyperlink r:id="rId18" w:tgtFrame="_new" w:history="1">
        <w:r w:rsidRPr="00697B56">
          <w:rPr>
            <w:rStyle w:val="a6"/>
            <w:sz w:val="20"/>
            <w:szCs w:val="20"/>
            <w:lang w:val="en-US"/>
          </w:rPr>
          <w:t>https://doi.org/10.1051/e3sconf/202452503010</w:t>
        </w:r>
      </w:hyperlink>
    </w:p>
    <w:p w14:paraId="4D04F75C" w14:textId="308776EC" w:rsidR="00697B56" w:rsidRPr="00697B56" w:rsidRDefault="00697B56" w:rsidP="00697B56">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697B56">
        <w:rPr>
          <w:sz w:val="20"/>
          <w:szCs w:val="20"/>
          <w:lang w:val="en-US"/>
        </w:rPr>
        <w:t xml:space="preserve">  S. F. Amirov, N. O. </w:t>
      </w:r>
      <w:proofErr w:type="spellStart"/>
      <w:r w:rsidRPr="00697B56">
        <w:rPr>
          <w:sz w:val="20"/>
          <w:szCs w:val="20"/>
          <w:lang w:val="en-US"/>
        </w:rPr>
        <w:t>Ataullayev</w:t>
      </w:r>
      <w:proofErr w:type="spellEnd"/>
      <w:r w:rsidRPr="00697B56">
        <w:rPr>
          <w:sz w:val="20"/>
          <w:szCs w:val="20"/>
          <w:lang w:val="en-US"/>
        </w:rPr>
        <w:t xml:space="preserve">, A. O. </w:t>
      </w:r>
      <w:proofErr w:type="spellStart"/>
      <w:r w:rsidRPr="00697B56">
        <w:rPr>
          <w:sz w:val="20"/>
          <w:szCs w:val="20"/>
          <w:lang w:val="en-US"/>
        </w:rPr>
        <w:t>Ataullayev</w:t>
      </w:r>
      <w:proofErr w:type="spellEnd"/>
      <w:r w:rsidRPr="00697B56">
        <w:rPr>
          <w:sz w:val="20"/>
          <w:szCs w:val="20"/>
          <w:lang w:val="en-US"/>
        </w:rPr>
        <w:t xml:space="preserve">, B. Q. Muxammadov, and A. U. Majidov, “Methods for reducing the temperature components of </w:t>
      </w:r>
      <w:proofErr w:type="spellStart"/>
      <w:r w:rsidRPr="00697B56">
        <w:rPr>
          <w:sz w:val="20"/>
          <w:szCs w:val="20"/>
          <w:lang w:val="en-US"/>
        </w:rPr>
        <w:t>magnetomodulation</w:t>
      </w:r>
      <w:proofErr w:type="spellEnd"/>
      <w:r w:rsidRPr="00697B56">
        <w:rPr>
          <w:sz w:val="20"/>
          <w:szCs w:val="20"/>
          <w:lang w:val="en-US"/>
        </w:rPr>
        <w:t xml:space="preserve"> DC convertors errors,” </w:t>
      </w:r>
      <w:r w:rsidRPr="00697B56">
        <w:rPr>
          <w:i/>
          <w:iCs/>
          <w:sz w:val="20"/>
          <w:szCs w:val="20"/>
          <w:lang w:val="en-US"/>
        </w:rPr>
        <w:t>E3S Web of Conferences</w:t>
      </w:r>
      <w:r w:rsidRPr="00697B56">
        <w:rPr>
          <w:sz w:val="20"/>
          <w:szCs w:val="20"/>
          <w:lang w:val="en-US"/>
        </w:rPr>
        <w:t xml:space="preserve"> </w:t>
      </w:r>
      <w:r w:rsidRPr="00697B56">
        <w:rPr>
          <w:b/>
          <w:bCs/>
          <w:sz w:val="20"/>
          <w:szCs w:val="20"/>
          <w:lang w:val="en-US"/>
        </w:rPr>
        <w:t>417</w:t>
      </w:r>
      <w:r w:rsidRPr="00697B56">
        <w:rPr>
          <w:sz w:val="20"/>
          <w:szCs w:val="20"/>
          <w:lang w:val="en-US"/>
        </w:rPr>
        <w:t xml:space="preserve">, 03011 (2023). </w:t>
      </w:r>
      <w:hyperlink r:id="rId19" w:tgtFrame="_new" w:history="1">
        <w:r w:rsidRPr="00697B56">
          <w:rPr>
            <w:rStyle w:val="a6"/>
            <w:sz w:val="20"/>
            <w:szCs w:val="20"/>
            <w:lang w:val="en-US"/>
          </w:rPr>
          <w:t>https://doi.org/10.1051/e3sconf/202341703011</w:t>
        </w:r>
      </w:hyperlink>
    </w:p>
    <w:p w14:paraId="52926933" w14:textId="57EA15B9" w:rsidR="00697B56" w:rsidRPr="00697B56" w:rsidRDefault="00697B56" w:rsidP="00697B56">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697B56">
        <w:rPr>
          <w:sz w:val="20"/>
          <w:szCs w:val="20"/>
          <w:lang w:val="en-US"/>
        </w:rPr>
        <w:t xml:space="preserve">  F. Raximov, A. Taslimov, A. Majidov, and A. Norqulov, “Optimization of losses by switching to higher voltage in distribution networks,” </w:t>
      </w:r>
      <w:r w:rsidRPr="00697B56">
        <w:rPr>
          <w:i/>
          <w:iCs/>
          <w:sz w:val="20"/>
          <w:szCs w:val="20"/>
          <w:lang w:val="en-US"/>
        </w:rPr>
        <w:t>E3S Web of Conferences</w:t>
      </w:r>
      <w:r w:rsidRPr="00697B56">
        <w:rPr>
          <w:sz w:val="20"/>
          <w:szCs w:val="20"/>
          <w:lang w:val="en-US"/>
        </w:rPr>
        <w:t xml:space="preserve"> </w:t>
      </w:r>
      <w:r w:rsidRPr="00697B56">
        <w:rPr>
          <w:b/>
          <w:bCs/>
          <w:sz w:val="20"/>
          <w:szCs w:val="20"/>
          <w:lang w:val="en-US"/>
        </w:rPr>
        <w:t>525</w:t>
      </w:r>
      <w:r w:rsidRPr="00697B56">
        <w:rPr>
          <w:sz w:val="20"/>
          <w:szCs w:val="20"/>
          <w:lang w:val="en-US"/>
        </w:rPr>
        <w:t xml:space="preserve">, 03009 (2024). </w:t>
      </w:r>
      <w:hyperlink r:id="rId20" w:tgtFrame="_new" w:history="1">
        <w:r w:rsidRPr="00697B56">
          <w:rPr>
            <w:rStyle w:val="a6"/>
            <w:sz w:val="20"/>
            <w:szCs w:val="20"/>
            <w:lang w:val="en-US"/>
          </w:rPr>
          <w:t>https://doi.org/10.1051/e3sconf/202452503009</w:t>
        </w:r>
      </w:hyperlink>
    </w:p>
    <w:p w14:paraId="55DAAF21" w14:textId="4A5039D1" w:rsidR="00697B56" w:rsidRPr="00697B56" w:rsidRDefault="00697B56" w:rsidP="00697B56">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697B56">
        <w:rPr>
          <w:sz w:val="20"/>
          <w:szCs w:val="20"/>
          <w:lang w:val="en-US"/>
        </w:rPr>
        <w:t xml:space="preserve">  J. Boboqulov and B. Narzullayev, “Development of a model for diagnosing rotor conditions in the parallel connection of synchronous generators with the network,” </w:t>
      </w:r>
      <w:r w:rsidRPr="00697B56">
        <w:rPr>
          <w:i/>
          <w:iCs/>
          <w:sz w:val="20"/>
          <w:szCs w:val="20"/>
          <w:lang w:val="en-US"/>
        </w:rPr>
        <w:t>E3S Web of Conferences</w:t>
      </w:r>
      <w:r w:rsidRPr="00697B56">
        <w:rPr>
          <w:sz w:val="20"/>
          <w:szCs w:val="20"/>
          <w:lang w:val="en-US"/>
        </w:rPr>
        <w:t xml:space="preserve"> </w:t>
      </w:r>
      <w:r w:rsidRPr="00697B56">
        <w:rPr>
          <w:b/>
          <w:bCs/>
          <w:sz w:val="20"/>
          <w:szCs w:val="20"/>
          <w:lang w:val="en-US"/>
        </w:rPr>
        <w:t>525</w:t>
      </w:r>
      <w:r w:rsidRPr="00697B56">
        <w:rPr>
          <w:sz w:val="20"/>
          <w:szCs w:val="20"/>
          <w:lang w:val="en-US"/>
        </w:rPr>
        <w:t xml:space="preserve">, 06001 (2024). </w:t>
      </w:r>
      <w:hyperlink r:id="rId21" w:tgtFrame="_new" w:history="1">
        <w:r w:rsidRPr="00697B56">
          <w:rPr>
            <w:rStyle w:val="a6"/>
            <w:sz w:val="20"/>
            <w:szCs w:val="20"/>
            <w:lang w:val="en-US"/>
          </w:rPr>
          <w:t>https://doi.org/10.1051/e3sconf/202452506001</w:t>
        </w:r>
      </w:hyperlink>
    </w:p>
    <w:p w14:paraId="417D6A84" w14:textId="02C6D814" w:rsidR="00697B56" w:rsidRPr="00697B56" w:rsidRDefault="00697B56" w:rsidP="00697B56">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697B56">
        <w:rPr>
          <w:sz w:val="20"/>
          <w:szCs w:val="20"/>
          <w:lang w:val="en-US"/>
        </w:rPr>
        <w:t xml:space="preserve">  B. S. </w:t>
      </w:r>
      <w:proofErr w:type="spellStart"/>
      <w:r w:rsidRPr="00697B56">
        <w:rPr>
          <w:sz w:val="20"/>
          <w:szCs w:val="20"/>
          <w:lang w:val="en-US"/>
        </w:rPr>
        <w:t>Narzullayev</w:t>
      </w:r>
      <w:proofErr w:type="spellEnd"/>
      <w:r w:rsidRPr="00697B56">
        <w:rPr>
          <w:sz w:val="20"/>
          <w:szCs w:val="20"/>
          <w:lang w:val="en-US"/>
        </w:rPr>
        <w:t xml:space="preserve"> and M. A. </w:t>
      </w:r>
      <w:proofErr w:type="spellStart"/>
      <w:r w:rsidRPr="00697B56">
        <w:rPr>
          <w:sz w:val="20"/>
          <w:szCs w:val="20"/>
          <w:lang w:val="en-US"/>
        </w:rPr>
        <w:t>Eshmirzaev</w:t>
      </w:r>
      <w:proofErr w:type="spellEnd"/>
      <w:r w:rsidRPr="00697B56">
        <w:rPr>
          <w:sz w:val="20"/>
          <w:szCs w:val="20"/>
          <w:lang w:val="en-US"/>
        </w:rPr>
        <w:t xml:space="preserve">, “Causes of the appearance of current waves in high voltage electric arc furnaces, and methods of their reduction,” </w:t>
      </w:r>
      <w:r w:rsidRPr="00697B56">
        <w:rPr>
          <w:i/>
          <w:iCs/>
          <w:sz w:val="20"/>
          <w:szCs w:val="20"/>
          <w:lang w:val="en-US"/>
        </w:rPr>
        <w:t>E3S Web of Conferences</w:t>
      </w:r>
      <w:r w:rsidRPr="00697B56">
        <w:rPr>
          <w:sz w:val="20"/>
          <w:szCs w:val="20"/>
          <w:lang w:val="en-US"/>
        </w:rPr>
        <w:t xml:space="preserve"> </w:t>
      </w:r>
      <w:r w:rsidRPr="00697B56">
        <w:rPr>
          <w:b/>
          <w:bCs/>
          <w:sz w:val="20"/>
          <w:szCs w:val="20"/>
          <w:lang w:val="en-US"/>
        </w:rPr>
        <w:t>417</w:t>
      </w:r>
      <w:r w:rsidRPr="00697B56">
        <w:rPr>
          <w:sz w:val="20"/>
          <w:szCs w:val="20"/>
          <w:lang w:val="en-US"/>
        </w:rPr>
        <w:t xml:space="preserve">, 03003 (2023). </w:t>
      </w:r>
      <w:hyperlink r:id="rId22" w:tgtFrame="_new" w:history="1">
        <w:r w:rsidRPr="00697B56">
          <w:rPr>
            <w:rStyle w:val="a6"/>
            <w:sz w:val="20"/>
            <w:szCs w:val="20"/>
            <w:lang w:val="en-US"/>
          </w:rPr>
          <w:t>https://doi.org/10.1051/e3sconf/202341703003</w:t>
        </w:r>
      </w:hyperlink>
    </w:p>
    <w:p w14:paraId="036C2884" w14:textId="215C1FE1" w:rsidR="00697B56" w:rsidRPr="00697B56" w:rsidRDefault="00697B56" w:rsidP="00697B56">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697B56">
        <w:rPr>
          <w:sz w:val="20"/>
          <w:szCs w:val="20"/>
          <w:lang w:val="en-US"/>
        </w:rPr>
        <w:lastRenderedPageBreak/>
        <w:t xml:space="preserve">  A. Tovbaev, I. Togaev, U. Usarov, and G. Nodirov, “Reactive power compensation helps maintain a stable voltage profile across the network,” </w:t>
      </w:r>
      <w:r w:rsidRPr="00697B56">
        <w:rPr>
          <w:i/>
          <w:iCs/>
          <w:sz w:val="20"/>
          <w:szCs w:val="20"/>
          <w:lang w:val="en-US"/>
        </w:rPr>
        <w:t>AIP Conference Proceedings</w:t>
      </w:r>
      <w:r w:rsidRPr="00697B56">
        <w:rPr>
          <w:sz w:val="20"/>
          <w:szCs w:val="20"/>
          <w:lang w:val="en-US"/>
        </w:rPr>
        <w:t xml:space="preserve"> </w:t>
      </w:r>
      <w:r w:rsidRPr="00697B56">
        <w:rPr>
          <w:b/>
          <w:bCs/>
          <w:sz w:val="20"/>
          <w:szCs w:val="20"/>
          <w:lang w:val="en-US"/>
        </w:rPr>
        <w:t>3331</w:t>
      </w:r>
      <w:r w:rsidRPr="00697B56">
        <w:rPr>
          <w:sz w:val="20"/>
          <w:szCs w:val="20"/>
          <w:lang w:val="en-US"/>
        </w:rPr>
        <w:t xml:space="preserve">, 060014 (2025). </w:t>
      </w:r>
      <w:hyperlink r:id="rId23" w:tgtFrame="_new" w:history="1">
        <w:r w:rsidRPr="00697B56">
          <w:rPr>
            <w:rStyle w:val="a6"/>
            <w:sz w:val="20"/>
            <w:szCs w:val="20"/>
            <w:lang w:val="en-US"/>
          </w:rPr>
          <w:t>https://doi.org/10.1063/5.0307209</w:t>
        </w:r>
      </w:hyperlink>
    </w:p>
    <w:p w14:paraId="675B0C45" w14:textId="663FBF73" w:rsidR="00697B56" w:rsidRPr="00697B56" w:rsidRDefault="00697B56" w:rsidP="00697B56">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697B56">
        <w:rPr>
          <w:sz w:val="20"/>
          <w:szCs w:val="20"/>
          <w:lang w:val="en-US"/>
        </w:rPr>
        <w:t xml:space="preserve">  A. </w:t>
      </w:r>
      <w:proofErr w:type="spellStart"/>
      <w:r w:rsidRPr="00697B56">
        <w:rPr>
          <w:sz w:val="20"/>
          <w:szCs w:val="20"/>
          <w:lang w:val="en-US"/>
        </w:rPr>
        <w:t>Norqulov</w:t>
      </w:r>
      <w:proofErr w:type="spellEnd"/>
      <w:r w:rsidRPr="00697B56">
        <w:rPr>
          <w:sz w:val="20"/>
          <w:szCs w:val="20"/>
          <w:lang w:val="en-US"/>
        </w:rPr>
        <w:t xml:space="preserve"> and F. Raximov, “Methods for evaluating financial and economic effectiveness of investment projects in the energy sector with time factor considerations,” </w:t>
      </w:r>
      <w:r w:rsidRPr="00697B56">
        <w:rPr>
          <w:i/>
          <w:iCs/>
          <w:sz w:val="20"/>
          <w:szCs w:val="20"/>
          <w:lang w:val="en-US"/>
        </w:rPr>
        <w:t>AIP Conference Proceedings</w:t>
      </w:r>
      <w:r w:rsidRPr="00697B56">
        <w:rPr>
          <w:sz w:val="20"/>
          <w:szCs w:val="20"/>
          <w:lang w:val="en-US"/>
        </w:rPr>
        <w:t xml:space="preserve"> </w:t>
      </w:r>
      <w:r w:rsidRPr="00697B56">
        <w:rPr>
          <w:b/>
          <w:bCs/>
          <w:sz w:val="20"/>
          <w:szCs w:val="20"/>
          <w:lang w:val="en-US"/>
        </w:rPr>
        <w:t>3331</w:t>
      </w:r>
      <w:r w:rsidRPr="00697B56">
        <w:rPr>
          <w:sz w:val="20"/>
          <w:szCs w:val="20"/>
          <w:lang w:val="en-US"/>
        </w:rPr>
        <w:t xml:space="preserve">, 030070 (2025). </w:t>
      </w:r>
      <w:hyperlink r:id="rId24" w:tgtFrame="_new" w:history="1">
        <w:r w:rsidRPr="00697B56">
          <w:rPr>
            <w:rStyle w:val="a6"/>
            <w:sz w:val="20"/>
            <w:szCs w:val="20"/>
            <w:lang w:val="en-US"/>
          </w:rPr>
          <w:t>https://doi.org/10.1063/5.0306104</w:t>
        </w:r>
      </w:hyperlink>
    </w:p>
    <w:p w14:paraId="2AF29560" w14:textId="36A07EE9" w:rsidR="00697B56" w:rsidRPr="00697B56" w:rsidRDefault="00697B56" w:rsidP="00697B56">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697B56">
        <w:rPr>
          <w:sz w:val="20"/>
          <w:szCs w:val="20"/>
          <w:lang w:val="en-US"/>
        </w:rPr>
        <w:t xml:space="preserve">  S. Abdullaev, Z. Eshmurodov, and I. Togaev, “A systematic analysis of the gradual increase in quality indicators of electricity using reactive power sources involves several steps,” </w:t>
      </w:r>
      <w:r w:rsidRPr="00697B56">
        <w:rPr>
          <w:i/>
          <w:iCs/>
          <w:sz w:val="20"/>
          <w:szCs w:val="20"/>
          <w:lang w:val="en-US"/>
        </w:rPr>
        <w:t>AIP Conference Proceedings</w:t>
      </w:r>
      <w:r w:rsidRPr="00697B56">
        <w:rPr>
          <w:sz w:val="20"/>
          <w:szCs w:val="20"/>
          <w:lang w:val="en-US"/>
        </w:rPr>
        <w:t xml:space="preserve"> </w:t>
      </w:r>
      <w:r w:rsidRPr="00697B56">
        <w:rPr>
          <w:b/>
          <w:bCs/>
          <w:sz w:val="20"/>
          <w:szCs w:val="20"/>
          <w:lang w:val="en-US"/>
        </w:rPr>
        <w:t>3331</w:t>
      </w:r>
      <w:r w:rsidRPr="00697B56">
        <w:rPr>
          <w:sz w:val="20"/>
          <w:szCs w:val="20"/>
          <w:lang w:val="en-US"/>
        </w:rPr>
        <w:t xml:space="preserve">, 040051 (2025). </w:t>
      </w:r>
      <w:hyperlink r:id="rId25" w:tgtFrame="_new" w:history="1">
        <w:r w:rsidRPr="00697B56">
          <w:rPr>
            <w:rStyle w:val="a6"/>
            <w:sz w:val="20"/>
            <w:szCs w:val="20"/>
            <w:lang w:val="en-US"/>
          </w:rPr>
          <w:t>https://doi.org/10.1063/5.0306786</w:t>
        </w:r>
      </w:hyperlink>
    </w:p>
    <w:p w14:paraId="37594357" w14:textId="46318C35" w:rsidR="00697B56" w:rsidRPr="00697B56" w:rsidRDefault="00697B56" w:rsidP="00697B56">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697B56">
        <w:rPr>
          <w:sz w:val="20"/>
          <w:szCs w:val="20"/>
          <w:lang w:val="en-US"/>
        </w:rPr>
        <w:t xml:space="preserve">  B. </w:t>
      </w:r>
      <w:proofErr w:type="spellStart"/>
      <w:r w:rsidRPr="00697B56">
        <w:rPr>
          <w:sz w:val="20"/>
          <w:szCs w:val="20"/>
          <w:lang w:val="en-US"/>
        </w:rPr>
        <w:t>Narzullayev</w:t>
      </w:r>
      <w:proofErr w:type="spellEnd"/>
      <w:r w:rsidRPr="00697B56">
        <w:rPr>
          <w:sz w:val="20"/>
          <w:szCs w:val="20"/>
          <w:lang w:val="en-US"/>
        </w:rPr>
        <w:t xml:space="preserve"> and J. Boboqulov, “Improving reliability based on diagnostics of the technical condition of electric motor stator gutters,” </w:t>
      </w:r>
      <w:r w:rsidRPr="00697B56">
        <w:rPr>
          <w:i/>
          <w:iCs/>
          <w:sz w:val="20"/>
          <w:szCs w:val="20"/>
          <w:lang w:val="en-US"/>
        </w:rPr>
        <w:t>AIP Conference Proceedings</w:t>
      </w:r>
      <w:r w:rsidRPr="00697B56">
        <w:rPr>
          <w:sz w:val="20"/>
          <w:szCs w:val="20"/>
          <w:lang w:val="en-US"/>
        </w:rPr>
        <w:t xml:space="preserve"> </w:t>
      </w:r>
      <w:r w:rsidRPr="00697B56">
        <w:rPr>
          <w:b/>
          <w:bCs/>
          <w:sz w:val="20"/>
          <w:szCs w:val="20"/>
          <w:lang w:val="en-US"/>
        </w:rPr>
        <w:t>3331</w:t>
      </w:r>
      <w:r w:rsidRPr="00697B56">
        <w:rPr>
          <w:sz w:val="20"/>
          <w:szCs w:val="20"/>
          <w:lang w:val="en-US"/>
        </w:rPr>
        <w:t xml:space="preserve">, 030032 (2025). </w:t>
      </w:r>
      <w:hyperlink r:id="rId26" w:tgtFrame="_new" w:history="1">
        <w:r w:rsidRPr="00697B56">
          <w:rPr>
            <w:rStyle w:val="a6"/>
            <w:sz w:val="20"/>
            <w:szCs w:val="20"/>
            <w:lang w:val="en-US"/>
          </w:rPr>
          <w:t>https://doi.org/10.1063/5.0305735</w:t>
        </w:r>
      </w:hyperlink>
    </w:p>
    <w:p w14:paraId="767934AC" w14:textId="75DCA5BE" w:rsidR="00697B56" w:rsidRPr="00697B56" w:rsidRDefault="00697B56" w:rsidP="00697B56">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697B56">
        <w:rPr>
          <w:sz w:val="20"/>
          <w:szCs w:val="20"/>
          <w:lang w:val="en-US"/>
        </w:rPr>
        <w:t xml:space="preserve">  A. Taslimov, F. Raximov, F. Rakhimov, and I. Bakhadirov, “Optimal parameters and selection criteria for neutral grounding resistors in 20 kV electrical networks,” </w:t>
      </w:r>
      <w:r w:rsidRPr="00697B56">
        <w:rPr>
          <w:i/>
          <w:iCs/>
          <w:sz w:val="20"/>
          <w:szCs w:val="20"/>
          <w:lang w:val="en-US"/>
        </w:rPr>
        <w:t>AIP Conference Proceedings</w:t>
      </w:r>
      <w:r w:rsidRPr="00697B56">
        <w:rPr>
          <w:sz w:val="20"/>
          <w:szCs w:val="20"/>
          <w:lang w:val="en-US"/>
        </w:rPr>
        <w:t xml:space="preserve"> </w:t>
      </w:r>
      <w:r w:rsidRPr="00697B56">
        <w:rPr>
          <w:b/>
          <w:bCs/>
          <w:sz w:val="20"/>
          <w:szCs w:val="20"/>
          <w:lang w:val="en-US"/>
        </w:rPr>
        <w:t>3331</w:t>
      </w:r>
      <w:r w:rsidRPr="00697B56">
        <w:rPr>
          <w:sz w:val="20"/>
          <w:szCs w:val="20"/>
          <w:lang w:val="en-US"/>
        </w:rPr>
        <w:t xml:space="preserve">, 030048 (2025). </w:t>
      </w:r>
      <w:hyperlink r:id="rId27" w:tgtFrame="_new" w:history="1">
        <w:r w:rsidRPr="00697B56">
          <w:rPr>
            <w:rStyle w:val="a6"/>
            <w:sz w:val="20"/>
            <w:szCs w:val="20"/>
            <w:lang w:val="en-US"/>
          </w:rPr>
          <w:t>https://doi.org/10.1063/5.0306108</w:t>
        </w:r>
      </w:hyperlink>
    </w:p>
    <w:p w14:paraId="22E6A30C" w14:textId="2CCF57B8" w:rsidR="00697B56" w:rsidRPr="00697B56" w:rsidRDefault="00697B56" w:rsidP="00697B56">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697B56">
        <w:rPr>
          <w:sz w:val="20"/>
          <w:szCs w:val="20"/>
          <w:lang w:val="en-US"/>
        </w:rPr>
        <w:t xml:space="preserve">  I. Togaev, A. Tovbaev, and G. Nodirov, “Systematic analysis of reactive power compensation in electric networks is essential for improving electricity quality, enhancing system stability, and reducing operational costs,” </w:t>
      </w:r>
      <w:r w:rsidRPr="00697B56">
        <w:rPr>
          <w:i/>
          <w:iCs/>
          <w:sz w:val="20"/>
          <w:szCs w:val="20"/>
          <w:lang w:val="en-US"/>
        </w:rPr>
        <w:t>AIP Conference Proceedings</w:t>
      </w:r>
      <w:r w:rsidRPr="00697B56">
        <w:rPr>
          <w:sz w:val="20"/>
          <w:szCs w:val="20"/>
          <w:lang w:val="en-US"/>
        </w:rPr>
        <w:t xml:space="preserve"> </w:t>
      </w:r>
      <w:r w:rsidRPr="00697B56">
        <w:rPr>
          <w:b/>
          <w:bCs/>
          <w:sz w:val="20"/>
          <w:szCs w:val="20"/>
          <w:lang w:val="en-US"/>
        </w:rPr>
        <w:t>3331</w:t>
      </w:r>
      <w:r w:rsidRPr="00697B56">
        <w:rPr>
          <w:sz w:val="20"/>
          <w:szCs w:val="20"/>
          <w:lang w:val="en-US"/>
        </w:rPr>
        <w:t xml:space="preserve">, 030099 (2025). </w:t>
      </w:r>
      <w:hyperlink r:id="rId28" w:tgtFrame="_new" w:history="1">
        <w:r w:rsidRPr="00697B56">
          <w:rPr>
            <w:rStyle w:val="a6"/>
            <w:sz w:val="20"/>
            <w:szCs w:val="20"/>
            <w:lang w:val="en-US"/>
          </w:rPr>
          <w:t>https://doi.org/10.1063/5.0305740</w:t>
        </w:r>
      </w:hyperlink>
    </w:p>
    <w:p w14:paraId="0509C0E1" w14:textId="296504B0" w:rsidR="00697B56" w:rsidRPr="00697B56" w:rsidRDefault="00697B56" w:rsidP="00697B56">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697B56">
        <w:rPr>
          <w:sz w:val="20"/>
          <w:szCs w:val="20"/>
          <w:lang w:val="en-US"/>
        </w:rPr>
        <w:t xml:space="preserve">  A. Taslimov, F. Rakhimov, F. Raximov, and V. Mo’minov, “Analysis of the results of sampling the surfaces of sections of rural electric networks,” </w:t>
      </w:r>
      <w:r w:rsidRPr="00697B56">
        <w:rPr>
          <w:i/>
          <w:iCs/>
          <w:sz w:val="20"/>
          <w:szCs w:val="20"/>
          <w:lang w:val="en-US"/>
        </w:rPr>
        <w:t>AIP Conference Proceedings</w:t>
      </w:r>
      <w:r w:rsidRPr="00697B56">
        <w:rPr>
          <w:sz w:val="20"/>
          <w:szCs w:val="20"/>
          <w:lang w:val="en-US"/>
        </w:rPr>
        <w:t xml:space="preserve"> </w:t>
      </w:r>
      <w:r w:rsidRPr="00697B56">
        <w:rPr>
          <w:b/>
          <w:bCs/>
          <w:sz w:val="20"/>
          <w:szCs w:val="20"/>
          <w:lang w:val="en-US"/>
        </w:rPr>
        <w:t>3331</w:t>
      </w:r>
      <w:r w:rsidRPr="00697B56">
        <w:rPr>
          <w:sz w:val="20"/>
          <w:szCs w:val="20"/>
          <w:lang w:val="en-US"/>
        </w:rPr>
        <w:t xml:space="preserve">, 030041 (2025). </w:t>
      </w:r>
      <w:hyperlink r:id="rId29" w:tgtFrame="_new" w:history="1">
        <w:r w:rsidRPr="00697B56">
          <w:rPr>
            <w:rStyle w:val="a6"/>
            <w:sz w:val="20"/>
            <w:szCs w:val="20"/>
            <w:lang w:val="en-US"/>
          </w:rPr>
          <w:t>https://doi.org/10.1063/5.0305783</w:t>
        </w:r>
      </w:hyperlink>
    </w:p>
    <w:p w14:paraId="62393015" w14:textId="23719B6C" w:rsidR="00697B56" w:rsidRPr="00697B56" w:rsidRDefault="00697B56" w:rsidP="00697B56">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697B56">
        <w:rPr>
          <w:sz w:val="20"/>
          <w:szCs w:val="20"/>
          <w:lang w:val="en-US"/>
        </w:rPr>
        <w:t xml:space="preserve">  N. Niyozov, A. Akhmedov, S. Djurayev, B. Tukhtamishev, and A. Norqulov, “Development of a method for forecasting the specific consumption indicator of electric energy,” </w:t>
      </w:r>
      <w:r w:rsidRPr="00697B56">
        <w:rPr>
          <w:i/>
          <w:iCs/>
          <w:sz w:val="20"/>
          <w:szCs w:val="20"/>
          <w:lang w:val="en-US"/>
        </w:rPr>
        <w:t>AIP Conference Proceedings</w:t>
      </w:r>
      <w:r w:rsidRPr="00697B56">
        <w:rPr>
          <w:sz w:val="20"/>
          <w:szCs w:val="20"/>
          <w:lang w:val="en-US"/>
        </w:rPr>
        <w:t xml:space="preserve"> </w:t>
      </w:r>
      <w:r w:rsidRPr="00697B56">
        <w:rPr>
          <w:b/>
          <w:bCs/>
          <w:sz w:val="20"/>
          <w:szCs w:val="20"/>
          <w:lang w:val="en-US"/>
        </w:rPr>
        <w:t>3331</w:t>
      </w:r>
      <w:r w:rsidRPr="00697B56">
        <w:rPr>
          <w:sz w:val="20"/>
          <w:szCs w:val="20"/>
          <w:lang w:val="en-US"/>
        </w:rPr>
        <w:t xml:space="preserve">, 080008 (2025). </w:t>
      </w:r>
      <w:hyperlink r:id="rId30" w:tgtFrame="_new" w:history="1">
        <w:r w:rsidRPr="00697B56">
          <w:rPr>
            <w:rStyle w:val="a6"/>
            <w:sz w:val="20"/>
            <w:szCs w:val="20"/>
            <w:lang w:val="en-US"/>
          </w:rPr>
          <w:t>https://doi.org/10.1063/5.0305729</w:t>
        </w:r>
      </w:hyperlink>
    </w:p>
    <w:p w14:paraId="46F6863F" w14:textId="58643CA6" w:rsidR="00697B56" w:rsidRPr="00697B56" w:rsidRDefault="00697B56" w:rsidP="00697B56">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697B56">
        <w:rPr>
          <w:sz w:val="20"/>
          <w:szCs w:val="20"/>
          <w:lang w:val="en-US"/>
        </w:rPr>
        <w:t xml:space="preserve">  B. Ramazonov, S. Sayfiev, and K. Muradov, “Mathematical modeling and research of high capacity lead-acid stabilized accumulator battery,” </w:t>
      </w:r>
      <w:r w:rsidRPr="00697B56">
        <w:rPr>
          <w:i/>
          <w:iCs/>
          <w:sz w:val="20"/>
          <w:szCs w:val="20"/>
          <w:lang w:val="en-US"/>
        </w:rPr>
        <w:t>AIP Conference Proceedings</w:t>
      </w:r>
      <w:r w:rsidRPr="00697B56">
        <w:rPr>
          <w:sz w:val="20"/>
          <w:szCs w:val="20"/>
          <w:lang w:val="en-US"/>
        </w:rPr>
        <w:t xml:space="preserve"> </w:t>
      </w:r>
      <w:r w:rsidRPr="00697B56">
        <w:rPr>
          <w:b/>
          <w:bCs/>
          <w:sz w:val="20"/>
          <w:szCs w:val="20"/>
          <w:lang w:val="en-US"/>
        </w:rPr>
        <w:t>3268</w:t>
      </w:r>
      <w:r w:rsidRPr="00697B56">
        <w:rPr>
          <w:sz w:val="20"/>
          <w:szCs w:val="20"/>
          <w:lang w:val="en-US"/>
        </w:rPr>
        <w:t xml:space="preserve">, 020043 (2025). </w:t>
      </w:r>
      <w:hyperlink r:id="rId31" w:tgtFrame="_new" w:history="1">
        <w:r w:rsidRPr="00697B56">
          <w:rPr>
            <w:rStyle w:val="a6"/>
            <w:sz w:val="20"/>
            <w:szCs w:val="20"/>
            <w:lang w:val="en-US"/>
          </w:rPr>
          <w:t>https://doi.org/10.1063/5.0257860</w:t>
        </w:r>
      </w:hyperlink>
    </w:p>
    <w:p w14:paraId="7A88F8F3" w14:textId="187791E9" w:rsidR="00697B56" w:rsidRPr="00697B56" w:rsidRDefault="00697B56" w:rsidP="00697B56">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697B56">
        <w:rPr>
          <w:sz w:val="20"/>
          <w:szCs w:val="20"/>
          <w:lang w:val="en-US"/>
        </w:rPr>
        <w:t xml:space="preserve">  K. Murodov, A. Karshibayev, and S. Abdullayev, “Analysis of the process of balanced charging of the battery group with high capacity,” </w:t>
      </w:r>
      <w:r w:rsidRPr="00697B56">
        <w:rPr>
          <w:i/>
          <w:iCs/>
          <w:sz w:val="20"/>
          <w:szCs w:val="20"/>
          <w:lang w:val="en-US"/>
        </w:rPr>
        <w:t>E3S Web of Conferences</w:t>
      </w:r>
      <w:r w:rsidRPr="00697B56">
        <w:rPr>
          <w:sz w:val="20"/>
          <w:szCs w:val="20"/>
          <w:lang w:val="en-US"/>
        </w:rPr>
        <w:t xml:space="preserve"> </w:t>
      </w:r>
      <w:r w:rsidRPr="00697B56">
        <w:rPr>
          <w:b/>
          <w:bCs/>
          <w:sz w:val="20"/>
          <w:szCs w:val="20"/>
          <w:lang w:val="en-US"/>
        </w:rPr>
        <w:t>548</w:t>
      </w:r>
      <w:r w:rsidRPr="00697B56">
        <w:rPr>
          <w:sz w:val="20"/>
          <w:szCs w:val="20"/>
          <w:lang w:val="en-US"/>
        </w:rPr>
        <w:t xml:space="preserve">, 03012 (2024). </w:t>
      </w:r>
      <w:hyperlink r:id="rId32" w:tgtFrame="_new" w:history="1">
        <w:r w:rsidRPr="00697B56">
          <w:rPr>
            <w:rStyle w:val="a6"/>
            <w:sz w:val="20"/>
            <w:szCs w:val="20"/>
            <w:lang w:val="en-US"/>
          </w:rPr>
          <w:t>https://doi.org/10.1051/e3sconf/202454803012</w:t>
        </w:r>
      </w:hyperlink>
    </w:p>
    <w:p w14:paraId="73C368DA" w14:textId="3E2556CF" w:rsidR="00697B56" w:rsidRPr="00697B56" w:rsidRDefault="00697B56" w:rsidP="00697B56">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697B56">
        <w:rPr>
          <w:sz w:val="20"/>
          <w:szCs w:val="20"/>
          <w:lang w:val="en-US"/>
        </w:rPr>
        <w:t xml:space="preserve">  M. Xolmurodov, S. Hakimov, and U. </w:t>
      </w:r>
      <w:proofErr w:type="spellStart"/>
      <w:r w:rsidRPr="00697B56">
        <w:rPr>
          <w:sz w:val="20"/>
          <w:szCs w:val="20"/>
          <w:lang w:val="en-US"/>
        </w:rPr>
        <w:t>Oripova</w:t>
      </w:r>
      <w:proofErr w:type="spellEnd"/>
      <w:r w:rsidRPr="00697B56">
        <w:rPr>
          <w:sz w:val="20"/>
          <w:szCs w:val="20"/>
          <w:lang w:val="en-US"/>
        </w:rPr>
        <w:t xml:space="preserve">, “Improving energy efficiency in public buildings: Modern technologies and methods,” </w:t>
      </w:r>
      <w:r w:rsidRPr="00697B56">
        <w:rPr>
          <w:i/>
          <w:iCs/>
          <w:sz w:val="20"/>
          <w:szCs w:val="20"/>
          <w:lang w:val="en-US"/>
        </w:rPr>
        <w:t>AIP Conference Proceedings</w:t>
      </w:r>
      <w:r w:rsidRPr="00697B56">
        <w:rPr>
          <w:sz w:val="20"/>
          <w:szCs w:val="20"/>
          <w:lang w:val="en-US"/>
        </w:rPr>
        <w:t xml:space="preserve"> </w:t>
      </w:r>
      <w:r w:rsidRPr="00697B56">
        <w:rPr>
          <w:b/>
          <w:bCs/>
          <w:sz w:val="20"/>
          <w:szCs w:val="20"/>
          <w:lang w:val="en-US"/>
        </w:rPr>
        <w:t>3331</w:t>
      </w:r>
      <w:r w:rsidRPr="00697B56">
        <w:rPr>
          <w:sz w:val="20"/>
          <w:szCs w:val="20"/>
          <w:lang w:val="en-US"/>
        </w:rPr>
        <w:t xml:space="preserve">, 040060 (2025). </w:t>
      </w:r>
      <w:hyperlink r:id="rId33" w:tgtFrame="_new" w:history="1">
        <w:r w:rsidRPr="00697B56">
          <w:rPr>
            <w:rStyle w:val="a6"/>
            <w:sz w:val="20"/>
            <w:szCs w:val="20"/>
            <w:lang w:val="en-US"/>
          </w:rPr>
          <w:t>https://doi.org/10.1063/5.0306935</w:t>
        </w:r>
      </w:hyperlink>
    </w:p>
    <w:p w14:paraId="2A9A66A9" w14:textId="398021C2" w:rsidR="00697B56" w:rsidRPr="00697B56" w:rsidRDefault="00697B56" w:rsidP="00697B56">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697B56">
        <w:rPr>
          <w:sz w:val="20"/>
          <w:szCs w:val="20"/>
          <w:lang w:val="en-US"/>
        </w:rPr>
        <w:t xml:space="preserve">  B. R. </w:t>
      </w:r>
      <w:proofErr w:type="spellStart"/>
      <w:r w:rsidRPr="00697B56">
        <w:rPr>
          <w:sz w:val="20"/>
          <w:szCs w:val="20"/>
          <w:lang w:val="en-US"/>
        </w:rPr>
        <w:t>Toshov</w:t>
      </w:r>
      <w:proofErr w:type="spellEnd"/>
      <w:r w:rsidRPr="00697B56">
        <w:rPr>
          <w:sz w:val="20"/>
          <w:szCs w:val="20"/>
          <w:lang w:val="en-US"/>
        </w:rPr>
        <w:t xml:space="preserve">, A. A. </w:t>
      </w:r>
      <w:proofErr w:type="spellStart"/>
      <w:r w:rsidRPr="00697B56">
        <w:rPr>
          <w:sz w:val="20"/>
          <w:szCs w:val="20"/>
          <w:lang w:val="en-US"/>
        </w:rPr>
        <w:t>Khamzaev</w:t>
      </w:r>
      <w:proofErr w:type="spellEnd"/>
      <w:r w:rsidRPr="00697B56">
        <w:rPr>
          <w:sz w:val="20"/>
          <w:szCs w:val="20"/>
          <w:lang w:val="en-US"/>
        </w:rPr>
        <w:t xml:space="preserve">, and Sh. R. </w:t>
      </w:r>
      <w:proofErr w:type="spellStart"/>
      <w:r w:rsidRPr="00697B56">
        <w:rPr>
          <w:sz w:val="20"/>
          <w:szCs w:val="20"/>
          <w:lang w:val="en-US"/>
        </w:rPr>
        <w:t>Namozova</w:t>
      </w:r>
      <w:proofErr w:type="spellEnd"/>
      <w:r w:rsidRPr="00697B56">
        <w:rPr>
          <w:sz w:val="20"/>
          <w:szCs w:val="20"/>
          <w:lang w:val="en-US"/>
        </w:rPr>
        <w:t xml:space="preserve">, “Development of a circuit for automatic control of an electric ball mill drive,” </w:t>
      </w:r>
      <w:r w:rsidRPr="00697B56">
        <w:rPr>
          <w:i/>
          <w:iCs/>
          <w:sz w:val="20"/>
          <w:szCs w:val="20"/>
          <w:lang w:val="en-US"/>
        </w:rPr>
        <w:t>AIP Conference Proceedings</w:t>
      </w:r>
      <w:r w:rsidRPr="00697B56">
        <w:rPr>
          <w:sz w:val="20"/>
          <w:szCs w:val="20"/>
          <w:lang w:val="en-US"/>
        </w:rPr>
        <w:t xml:space="preserve"> </w:t>
      </w:r>
      <w:r w:rsidRPr="00697B56">
        <w:rPr>
          <w:b/>
          <w:bCs/>
          <w:sz w:val="20"/>
          <w:szCs w:val="20"/>
          <w:lang w:val="en-US"/>
        </w:rPr>
        <w:t>2552</w:t>
      </w:r>
      <w:r w:rsidRPr="00697B56">
        <w:rPr>
          <w:sz w:val="20"/>
          <w:szCs w:val="20"/>
          <w:lang w:val="en-US"/>
        </w:rPr>
        <w:t>, 040017 (2023).</w:t>
      </w:r>
    </w:p>
    <w:p w14:paraId="006137CB" w14:textId="039BF229" w:rsidR="00697B56" w:rsidRPr="00697B56" w:rsidRDefault="00697B56" w:rsidP="00697B56">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697B56">
        <w:rPr>
          <w:sz w:val="20"/>
          <w:szCs w:val="20"/>
          <w:lang w:val="en-US"/>
        </w:rPr>
        <w:t xml:space="preserve">  O. Toirov, N. </w:t>
      </w:r>
      <w:proofErr w:type="spellStart"/>
      <w:r w:rsidRPr="00697B56">
        <w:rPr>
          <w:sz w:val="20"/>
          <w:szCs w:val="20"/>
          <w:lang w:val="en-US"/>
        </w:rPr>
        <w:t>Pirmatov</w:t>
      </w:r>
      <w:proofErr w:type="spellEnd"/>
      <w:r w:rsidRPr="00697B56">
        <w:rPr>
          <w:sz w:val="20"/>
          <w:szCs w:val="20"/>
          <w:lang w:val="en-US"/>
        </w:rPr>
        <w:t xml:space="preserve">, A. </w:t>
      </w:r>
      <w:proofErr w:type="spellStart"/>
      <w:r w:rsidRPr="00697B56">
        <w:rPr>
          <w:sz w:val="20"/>
          <w:szCs w:val="20"/>
          <w:lang w:val="en-US"/>
        </w:rPr>
        <w:t>Khalbutaeva</w:t>
      </w:r>
      <w:proofErr w:type="spellEnd"/>
      <w:r w:rsidRPr="00697B56">
        <w:rPr>
          <w:sz w:val="20"/>
          <w:szCs w:val="20"/>
          <w:lang w:val="en-US"/>
        </w:rPr>
        <w:t xml:space="preserve">, D. </w:t>
      </w:r>
      <w:proofErr w:type="spellStart"/>
      <w:r w:rsidRPr="00697B56">
        <w:rPr>
          <w:sz w:val="20"/>
          <w:szCs w:val="20"/>
          <w:lang w:val="en-US"/>
        </w:rPr>
        <w:t>Jumaeva</w:t>
      </w:r>
      <w:proofErr w:type="spellEnd"/>
      <w:r w:rsidRPr="00697B56">
        <w:rPr>
          <w:sz w:val="20"/>
          <w:szCs w:val="20"/>
          <w:lang w:val="en-US"/>
        </w:rPr>
        <w:t xml:space="preserve">, and A. </w:t>
      </w:r>
      <w:proofErr w:type="spellStart"/>
      <w:r w:rsidRPr="00697B56">
        <w:rPr>
          <w:sz w:val="20"/>
          <w:szCs w:val="20"/>
          <w:lang w:val="en-US"/>
        </w:rPr>
        <w:t>Khamzaev</w:t>
      </w:r>
      <w:proofErr w:type="spellEnd"/>
      <w:r w:rsidRPr="00697B56">
        <w:rPr>
          <w:sz w:val="20"/>
          <w:szCs w:val="20"/>
          <w:lang w:val="en-US"/>
        </w:rPr>
        <w:t xml:space="preserve">, “Method of calculation of the magnetic induction of the stator winding of a spiritual synchronous motor,” </w:t>
      </w:r>
      <w:r w:rsidRPr="00697B56">
        <w:rPr>
          <w:i/>
          <w:iCs/>
          <w:sz w:val="20"/>
          <w:szCs w:val="20"/>
          <w:lang w:val="en-US"/>
        </w:rPr>
        <w:t>E3S Web of Conferences</w:t>
      </w:r>
      <w:r w:rsidRPr="00697B56">
        <w:rPr>
          <w:sz w:val="20"/>
          <w:szCs w:val="20"/>
          <w:lang w:val="en-US"/>
        </w:rPr>
        <w:t xml:space="preserve"> </w:t>
      </w:r>
      <w:r w:rsidRPr="00697B56">
        <w:rPr>
          <w:b/>
          <w:bCs/>
          <w:sz w:val="20"/>
          <w:szCs w:val="20"/>
          <w:lang w:val="en-US"/>
        </w:rPr>
        <w:t>401</w:t>
      </w:r>
      <w:r w:rsidRPr="00697B56">
        <w:rPr>
          <w:sz w:val="20"/>
          <w:szCs w:val="20"/>
          <w:lang w:val="en-US"/>
        </w:rPr>
        <w:t xml:space="preserve">, 04033 (2023). </w:t>
      </w:r>
      <w:r w:rsidRPr="00697B56">
        <w:rPr>
          <w:i/>
          <w:iCs/>
          <w:sz w:val="20"/>
          <w:szCs w:val="20"/>
          <w:lang w:val="en-US"/>
        </w:rPr>
        <w:t xml:space="preserve">(DOI </w:t>
      </w:r>
      <w:proofErr w:type="gramStart"/>
      <w:r w:rsidRPr="00697B56">
        <w:rPr>
          <w:i/>
          <w:iCs/>
          <w:sz w:val="20"/>
          <w:szCs w:val="20"/>
          <w:lang w:val="en-US"/>
        </w:rPr>
        <w:t>ko‘</w:t>
      </w:r>
      <w:proofErr w:type="gramEnd"/>
      <w:r w:rsidRPr="00697B56">
        <w:rPr>
          <w:i/>
          <w:iCs/>
          <w:sz w:val="20"/>
          <w:szCs w:val="20"/>
          <w:lang w:val="en-US"/>
        </w:rPr>
        <w:t>rsatilmagan)</w:t>
      </w:r>
    </w:p>
    <w:p w14:paraId="2CA6046B" w14:textId="10A5CAD7" w:rsidR="00697B56" w:rsidRPr="00697B56" w:rsidRDefault="00697B56" w:rsidP="00697B56">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697B56">
        <w:rPr>
          <w:sz w:val="20"/>
          <w:szCs w:val="20"/>
          <w:lang w:val="en-US"/>
        </w:rPr>
        <w:t xml:space="preserve">  A. S. Zhuraev, S. A. Turdiyev, S. T. Jurayev, and S. S. Q. Salimova, “Characteristics of packing gland seals in hydraulic systems of quarry excavators and results of comparative analysis of experimental tests,” </w:t>
      </w:r>
      <w:proofErr w:type="spellStart"/>
      <w:r w:rsidRPr="00697B56">
        <w:rPr>
          <w:i/>
          <w:iCs/>
          <w:sz w:val="20"/>
          <w:szCs w:val="20"/>
          <w:lang w:val="en-US"/>
        </w:rPr>
        <w:t>Vibroengineering</w:t>
      </w:r>
      <w:proofErr w:type="spellEnd"/>
      <w:r w:rsidRPr="00697B56">
        <w:rPr>
          <w:i/>
          <w:iCs/>
          <w:sz w:val="20"/>
          <w:szCs w:val="20"/>
          <w:lang w:val="en-US"/>
        </w:rPr>
        <w:t xml:space="preserve"> Procedia</w:t>
      </w:r>
      <w:r w:rsidRPr="00697B56">
        <w:rPr>
          <w:sz w:val="20"/>
          <w:szCs w:val="20"/>
          <w:lang w:val="en-US"/>
        </w:rPr>
        <w:t xml:space="preserve"> </w:t>
      </w:r>
      <w:r w:rsidRPr="00697B56">
        <w:rPr>
          <w:b/>
          <w:bCs/>
          <w:sz w:val="20"/>
          <w:szCs w:val="20"/>
          <w:lang w:val="en-US"/>
        </w:rPr>
        <w:t>54</w:t>
      </w:r>
      <w:r w:rsidRPr="00697B56">
        <w:rPr>
          <w:sz w:val="20"/>
          <w:szCs w:val="20"/>
          <w:lang w:val="en-US"/>
        </w:rPr>
        <w:t xml:space="preserve">, 252–257 (2024). </w:t>
      </w:r>
      <w:hyperlink r:id="rId34" w:tgtFrame="_new" w:history="1">
        <w:r w:rsidRPr="00697B56">
          <w:rPr>
            <w:rStyle w:val="a6"/>
            <w:sz w:val="20"/>
            <w:szCs w:val="20"/>
            <w:lang w:val="en-US"/>
          </w:rPr>
          <w:t>https://doi.org/10.21595/vp.2024.24051</w:t>
        </w:r>
      </w:hyperlink>
    </w:p>
    <w:p w14:paraId="78045403" w14:textId="43635992" w:rsidR="00697B56" w:rsidRPr="00697B56" w:rsidRDefault="00697B56" w:rsidP="00697B56">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697B56">
        <w:rPr>
          <w:sz w:val="20"/>
          <w:szCs w:val="20"/>
          <w:lang w:val="en-US"/>
        </w:rPr>
        <w:t xml:space="preserve">  A. </w:t>
      </w:r>
      <w:proofErr w:type="spellStart"/>
      <w:r w:rsidRPr="00697B56">
        <w:rPr>
          <w:sz w:val="20"/>
          <w:szCs w:val="20"/>
          <w:lang w:val="en-US"/>
        </w:rPr>
        <w:t>Zhuraev</w:t>
      </w:r>
      <w:proofErr w:type="spellEnd"/>
      <w:r w:rsidRPr="00697B56">
        <w:rPr>
          <w:sz w:val="20"/>
          <w:szCs w:val="20"/>
          <w:lang w:val="en-US"/>
        </w:rPr>
        <w:t xml:space="preserve"> and S. Turdiyev, “Analyses and studies of working fluid flow in the hydraulic system of hydraulic excavators at the Auminzo-Amantaytau open pit mine,” </w:t>
      </w:r>
      <w:r w:rsidRPr="00697B56">
        <w:rPr>
          <w:i/>
          <w:iCs/>
          <w:sz w:val="20"/>
          <w:szCs w:val="20"/>
          <w:lang w:val="en-US"/>
        </w:rPr>
        <w:t>AIP Conference Proceedings</w:t>
      </w:r>
      <w:r w:rsidRPr="00697B56">
        <w:rPr>
          <w:sz w:val="20"/>
          <w:szCs w:val="20"/>
          <w:lang w:val="en-US"/>
        </w:rPr>
        <w:t xml:space="preserve"> </w:t>
      </w:r>
      <w:r w:rsidRPr="00697B56">
        <w:rPr>
          <w:b/>
          <w:bCs/>
          <w:sz w:val="20"/>
          <w:szCs w:val="20"/>
          <w:lang w:val="en-US"/>
        </w:rPr>
        <w:t>3331</w:t>
      </w:r>
      <w:r w:rsidRPr="00697B56">
        <w:rPr>
          <w:sz w:val="20"/>
          <w:szCs w:val="20"/>
          <w:lang w:val="en-US"/>
        </w:rPr>
        <w:t xml:space="preserve">, 030067 (2025). </w:t>
      </w:r>
      <w:hyperlink r:id="rId35" w:tgtFrame="_new" w:history="1">
        <w:r w:rsidRPr="00697B56">
          <w:rPr>
            <w:rStyle w:val="a6"/>
            <w:sz w:val="20"/>
            <w:szCs w:val="20"/>
            <w:lang w:val="en-US"/>
          </w:rPr>
          <w:t>https://doi.org/10.1063/5.0305703</w:t>
        </w:r>
      </w:hyperlink>
    </w:p>
    <w:p w14:paraId="5917E8D4" w14:textId="55700A1C" w:rsidR="00697B56" w:rsidRPr="00697B56" w:rsidRDefault="00697B56" w:rsidP="00697B56">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697B56">
        <w:rPr>
          <w:sz w:val="20"/>
          <w:szCs w:val="20"/>
          <w:lang w:val="en-US"/>
        </w:rPr>
        <w:t xml:space="preserve">  I. T. </w:t>
      </w:r>
      <w:proofErr w:type="spellStart"/>
      <w:r w:rsidRPr="00697B56">
        <w:rPr>
          <w:sz w:val="20"/>
          <w:szCs w:val="20"/>
          <w:lang w:val="en-US"/>
        </w:rPr>
        <w:t>Mislibaev</w:t>
      </w:r>
      <w:proofErr w:type="spellEnd"/>
      <w:r w:rsidRPr="00697B56">
        <w:rPr>
          <w:sz w:val="20"/>
          <w:szCs w:val="20"/>
          <w:lang w:val="en-US"/>
        </w:rPr>
        <w:t xml:space="preserve">, A. M. Makhmudov, and Sh. A. </w:t>
      </w:r>
      <w:proofErr w:type="spellStart"/>
      <w:r w:rsidRPr="00697B56">
        <w:rPr>
          <w:sz w:val="20"/>
          <w:szCs w:val="20"/>
          <w:lang w:val="en-US"/>
        </w:rPr>
        <w:t>Makhmudov</w:t>
      </w:r>
      <w:proofErr w:type="spellEnd"/>
      <w:r w:rsidRPr="00697B56">
        <w:rPr>
          <w:sz w:val="20"/>
          <w:szCs w:val="20"/>
          <w:lang w:val="en-US"/>
        </w:rPr>
        <w:t xml:space="preserve">, “Theoretical </w:t>
      </w:r>
      <w:proofErr w:type="spellStart"/>
      <w:r w:rsidRPr="00697B56">
        <w:rPr>
          <w:sz w:val="20"/>
          <w:szCs w:val="20"/>
          <w:lang w:val="en-US"/>
        </w:rPr>
        <w:t>generalisation</w:t>
      </w:r>
      <w:proofErr w:type="spellEnd"/>
      <w:r w:rsidRPr="00697B56">
        <w:rPr>
          <w:sz w:val="20"/>
          <w:szCs w:val="20"/>
          <w:lang w:val="en-US"/>
        </w:rPr>
        <w:t xml:space="preserve"> of functioning modes and modelling of operational indicators of excavators,” </w:t>
      </w:r>
      <w:r w:rsidRPr="00697B56">
        <w:rPr>
          <w:i/>
          <w:iCs/>
          <w:sz w:val="20"/>
          <w:szCs w:val="20"/>
          <w:lang w:val="en-US"/>
        </w:rPr>
        <w:t>Mining Information-Analytical Bulletin</w:t>
      </w:r>
      <w:r w:rsidRPr="00697B56">
        <w:rPr>
          <w:sz w:val="20"/>
          <w:szCs w:val="20"/>
          <w:lang w:val="en-US"/>
        </w:rPr>
        <w:t xml:space="preserve"> </w:t>
      </w:r>
      <w:r w:rsidRPr="00697B56">
        <w:rPr>
          <w:b/>
          <w:bCs/>
          <w:sz w:val="20"/>
          <w:szCs w:val="20"/>
          <w:lang w:val="en-US"/>
        </w:rPr>
        <w:t>1</w:t>
      </w:r>
      <w:r w:rsidRPr="00697B56">
        <w:rPr>
          <w:sz w:val="20"/>
          <w:szCs w:val="20"/>
          <w:lang w:val="en-US"/>
        </w:rPr>
        <w:t>, 102–110 (2021). https://doi.org/10.25018/0236-1493-2021-1-0-102-110</w:t>
      </w:r>
    </w:p>
    <w:p w14:paraId="054C0308" w14:textId="4640A65E" w:rsidR="00697B56" w:rsidRPr="00697B56" w:rsidRDefault="00697B56" w:rsidP="00697B56">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697B56">
        <w:rPr>
          <w:sz w:val="20"/>
          <w:szCs w:val="20"/>
          <w:lang w:val="en-US"/>
        </w:rPr>
        <w:t xml:space="preserve">  Sh. Makhmudov, A. Makhmudov, L. </w:t>
      </w:r>
      <w:proofErr w:type="spellStart"/>
      <w:r w:rsidRPr="00697B56">
        <w:rPr>
          <w:sz w:val="20"/>
          <w:szCs w:val="20"/>
          <w:lang w:val="en-US"/>
        </w:rPr>
        <w:t>Khudojberdiev</w:t>
      </w:r>
      <w:proofErr w:type="spellEnd"/>
      <w:r w:rsidRPr="00697B56">
        <w:rPr>
          <w:sz w:val="20"/>
          <w:szCs w:val="20"/>
          <w:lang w:val="en-US"/>
        </w:rPr>
        <w:t xml:space="preserve">, and I. Rakhmonov, “Criteria for assessing the performance of mining and transport equipment of mining enterprises,” </w:t>
      </w:r>
      <w:r w:rsidRPr="00697B56">
        <w:rPr>
          <w:i/>
          <w:iCs/>
          <w:sz w:val="20"/>
          <w:szCs w:val="20"/>
          <w:lang w:val="en-US"/>
        </w:rPr>
        <w:t>Proc. SPIE</w:t>
      </w:r>
      <w:r w:rsidRPr="00697B56">
        <w:rPr>
          <w:sz w:val="20"/>
          <w:szCs w:val="20"/>
          <w:lang w:val="en-US"/>
        </w:rPr>
        <w:t xml:space="preserve"> </w:t>
      </w:r>
      <w:r w:rsidRPr="00697B56">
        <w:rPr>
          <w:b/>
          <w:bCs/>
          <w:sz w:val="20"/>
          <w:szCs w:val="20"/>
          <w:lang w:val="en-US"/>
        </w:rPr>
        <w:t>12986</w:t>
      </w:r>
      <w:r w:rsidRPr="00697B56">
        <w:rPr>
          <w:sz w:val="20"/>
          <w:szCs w:val="20"/>
          <w:lang w:val="en-US"/>
        </w:rPr>
        <w:t>, 129860P (2024). https://doi.org/10.1117/12.3017722</w:t>
      </w:r>
    </w:p>
    <w:p w14:paraId="501D009A" w14:textId="393B47F4" w:rsidR="00697B56" w:rsidRPr="00697B56" w:rsidRDefault="00697B56" w:rsidP="00697B56">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697B56">
        <w:rPr>
          <w:sz w:val="20"/>
          <w:szCs w:val="20"/>
          <w:lang w:val="en-US"/>
        </w:rPr>
        <w:t xml:space="preserve">  L. N. Ataqulov, Sh. B. Haydarov, and N. O. Polvonov, “Impact forces on side and middle rollers,” </w:t>
      </w:r>
      <w:r w:rsidRPr="00697B56">
        <w:rPr>
          <w:i/>
          <w:iCs/>
          <w:sz w:val="20"/>
          <w:szCs w:val="20"/>
          <w:lang w:val="en-US"/>
        </w:rPr>
        <w:t>Proc. SPIE</w:t>
      </w:r>
      <w:r w:rsidRPr="00697B56">
        <w:rPr>
          <w:sz w:val="20"/>
          <w:szCs w:val="20"/>
          <w:lang w:val="en-US"/>
        </w:rPr>
        <w:t xml:space="preserve"> </w:t>
      </w:r>
      <w:r w:rsidRPr="00697B56">
        <w:rPr>
          <w:b/>
          <w:bCs/>
          <w:sz w:val="20"/>
          <w:szCs w:val="20"/>
          <w:lang w:val="en-US"/>
        </w:rPr>
        <w:t>12986</w:t>
      </w:r>
      <w:r w:rsidRPr="00697B56">
        <w:rPr>
          <w:sz w:val="20"/>
          <w:szCs w:val="20"/>
          <w:lang w:val="en-US"/>
        </w:rPr>
        <w:t>, 129860Q (2024). https://doi.org/10.1117/12.3017724</w:t>
      </w:r>
    </w:p>
    <w:p w14:paraId="070E9814" w14:textId="6307B7F3" w:rsidR="00986CB1" w:rsidRDefault="00697B56" w:rsidP="00E97103">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697B56">
        <w:rPr>
          <w:sz w:val="20"/>
          <w:szCs w:val="20"/>
          <w:lang w:val="en-US"/>
        </w:rPr>
        <w:t xml:space="preserve">  L. N. Atakulov, S. K. Kakharov, and S. B. Khaidarov, “Selection of optimal jointing method for rubber conveyor belts,” </w:t>
      </w:r>
      <w:proofErr w:type="spellStart"/>
      <w:r w:rsidRPr="00697B56">
        <w:rPr>
          <w:i/>
          <w:iCs/>
          <w:sz w:val="20"/>
          <w:szCs w:val="20"/>
          <w:lang w:val="en-US"/>
        </w:rPr>
        <w:t>Gornyi</w:t>
      </w:r>
      <w:proofErr w:type="spellEnd"/>
      <w:r w:rsidRPr="00697B56">
        <w:rPr>
          <w:i/>
          <w:iCs/>
          <w:sz w:val="20"/>
          <w:szCs w:val="20"/>
          <w:lang w:val="en-US"/>
        </w:rPr>
        <w:t xml:space="preserve"> </w:t>
      </w:r>
      <w:proofErr w:type="spellStart"/>
      <w:r w:rsidRPr="00697B56">
        <w:rPr>
          <w:i/>
          <w:iCs/>
          <w:sz w:val="20"/>
          <w:szCs w:val="20"/>
          <w:lang w:val="en-US"/>
        </w:rPr>
        <w:t>Zhurnal</w:t>
      </w:r>
      <w:proofErr w:type="spellEnd"/>
      <w:r w:rsidRPr="00697B56">
        <w:rPr>
          <w:sz w:val="20"/>
          <w:szCs w:val="20"/>
          <w:lang w:val="en-US"/>
        </w:rPr>
        <w:t xml:space="preserve"> </w:t>
      </w:r>
      <w:r w:rsidRPr="00697B56">
        <w:rPr>
          <w:b/>
          <w:bCs/>
          <w:sz w:val="20"/>
          <w:szCs w:val="20"/>
          <w:lang w:val="en-US"/>
        </w:rPr>
        <w:t>9</w:t>
      </w:r>
      <w:r w:rsidRPr="00697B56">
        <w:rPr>
          <w:sz w:val="20"/>
          <w:szCs w:val="20"/>
          <w:lang w:val="en-US"/>
        </w:rPr>
        <w:t xml:space="preserve">, 97–100 (2018). </w:t>
      </w:r>
      <w:hyperlink r:id="rId36" w:history="1">
        <w:r w:rsidR="00E97103" w:rsidRPr="00D028AD">
          <w:rPr>
            <w:rStyle w:val="a6"/>
            <w:sz w:val="20"/>
            <w:szCs w:val="20"/>
            <w:lang w:val="en-US"/>
          </w:rPr>
          <w:t>https://doi.org/10.17580/gzh.2018.09.16</w:t>
        </w:r>
      </w:hyperlink>
    </w:p>
    <w:p w14:paraId="3A28BE38" w14:textId="77777777" w:rsidR="00E97103" w:rsidRPr="003A38B9" w:rsidRDefault="00E97103" w:rsidP="00E97103">
      <w:pPr>
        <w:pStyle w:val="a4"/>
        <w:numPr>
          <w:ilvl w:val="0"/>
          <w:numId w:val="8"/>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Melikuziev</w:t>
      </w:r>
      <w:proofErr w:type="spellEnd"/>
      <w:r w:rsidRPr="003A38B9">
        <w:rPr>
          <w:rFonts w:ascii="Times New Roman" w:hAnsi="Times New Roman" w:cs="Times New Roman"/>
          <w:sz w:val="20"/>
          <w:szCs w:val="20"/>
        </w:rPr>
        <w:t xml:space="preserve"> M.V., </w:t>
      </w:r>
      <w:proofErr w:type="spellStart"/>
      <w:r w:rsidRPr="003A38B9">
        <w:rPr>
          <w:rFonts w:ascii="Times New Roman" w:hAnsi="Times New Roman" w:cs="Times New Roman"/>
          <w:sz w:val="20"/>
          <w:szCs w:val="20"/>
        </w:rPr>
        <w:t>Fayzrakhmanova</w:t>
      </w:r>
      <w:proofErr w:type="spellEnd"/>
      <w:r w:rsidRPr="003A38B9">
        <w:rPr>
          <w:rFonts w:ascii="Times New Roman" w:hAnsi="Times New Roman" w:cs="Times New Roman"/>
          <w:sz w:val="20"/>
          <w:szCs w:val="20"/>
        </w:rPr>
        <w:t xml:space="preserve"> Z., </w:t>
      </w:r>
      <w:proofErr w:type="spellStart"/>
      <w:r w:rsidRPr="003A38B9">
        <w:rPr>
          <w:rFonts w:ascii="Times New Roman" w:hAnsi="Times New Roman" w:cs="Times New Roman"/>
          <w:sz w:val="20"/>
          <w:szCs w:val="20"/>
        </w:rPr>
        <w:t>Akhmedov</w:t>
      </w:r>
      <w:proofErr w:type="spellEnd"/>
      <w:r w:rsidRPr="003A38B9">
        <w:rPr>
          <w:rFonts w:ascii="Times New Roman" w:hAnsi="Times New Roman" w:cs="Times New Roman"/>
          <w:sz w:val="20"/>
          <w:szCs w:val="20"/>
        </w:rPr>
        <w:t xml:space="preserve"> A., </w:t>
      </w:r>
      <w:proofErr w:type="spellStart"/>
      <w:r w:rsidRPr="003A38B9">
        <w:rPr>
          <w:rFonts w:ascii="Times New Roman" w:hAnsi="Times New Roman" w:cs="Times New Roman"/>
          <w:sz w:val="20"/>
          <w:szCs w:val="20"/>
        </w:rPr>
        <w:t>Kasimova</w:t>
      </w:r>
      <w:proofErr w:type="spellEnd"/>
      <w:r w:rsidRPr="003A38B9">
        <w:rPr>
          <w:rFonts w:ascii="Times New Roman" w:hAnsi="Times New Roman" w:cs="Times New Roman"/>
          <w:sz w:val="20"/>
          <w:szCs w:val="20"/>
        </w:rPr>
        <w:t xml:space="preserve"> G. Development of an Educational Simulator's Working Logic for the Course 'Fundamentals of Power Supply'. AIP Conference Proceedings 3152, 050025 (2024). https://doi.org/10.1063/5.0218875 </w:t>
      </w:r>
    </w:p>
    <w:p w14:paraId="4816351F" w14:textId="77777777" w:rsidR="00E97103" w:rsidRPr="003A38B9" w:rsidRDefault="00E97103" w:rsidP="00E97103">
      <w:pPr>
        <w:pStyle w:val="a4"/>
        <w:numPr>
          <w:ilvl w:val="0"/>
          <w:numId w:val="8"/>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lastRenderedPageBreak/>
        <w:t>Melikuziev</w:t>
      </w:r>
      <w:proofErr w:type="spellEnd"/>
      <w:r w:rsidRPr="003A38B9">
        <w:rPr>
          <w:rFonts w:ascii="Times New Roman" w:hAnsi="Times New Roman" w:cs="Times New Roman"/>
          <w:sz w:val="20"/>
          <w:szCs w:val="20"/>
        </w:rPr>
        <w:t xml:space="preserve"> M.V., </w:t>
      </w:r>
      <w:proofErr w:type="spellStart"/>
      <w:r w:rsidRPr="003A38B9">
        <w:rPr>
          <w:rFonts w:ascii="Times New Roman" w:hAnsi="Times New Roman" w:cs="Times New Roman"/>
          <w:sz w:val="20"/>
          <w:szCs w:val="20"/>
        </w:rPr>
        <w:t>Nematov</w:t>
      </w:r>
      <w:proofErr w:type="spellEnd"/>
      <w:r w:rsidRPr="003A38B9">
        <w:rPr>
          <w:rFonts w:ascii="Times New Roman" w:hAnsi="Times New Roman" w:cs="Times New Roman"/>
          <w:sz w:val="20"/>
          <w:szCs w:val="20"/>
        </w:rPr>
        <w:t xml:space="preserve"> L.A., </w:t>
      </w:r>
      <w:proofErr w:type="spellStart"/>
      <w:r w:rsidRPr="003A38B9">
        <w:rPr>
          <w:rFonts w:ascii="Times New Roman" w:hAnsi="Times New Roman" w:cs="Times New Roman"/>
          <w:sz w:val="20"/>
          <w:szCs w:val="20"/>
        </w:rPr>
        <w:t>Novikov</w:t>
      </w:r>
      <w:proofErr w:type="spellEnd"/>
      <w:r w:rsidRPr="003A38B9">
        <w:rPr>
          <w:rFonts w:ascii="Times New Roman" w:hAnsi="Times New Roman" w:cs="Times New Roman"/>
          <w:sz w:val="20"/>
          <w:szCs w:val="20"/>
        </w:rPr>
        <w:t xml:space="preserve"> A.N., </w:t>
      </w:r>
      <w:proofErr w:type="spellStart"/>
      <w:r w:rsidRPr="003A38B9">
        <w:rPr>
          <w:rFonts w:ascii="Times New Roman" w:hAnsi="Times New Roman" w:cs="Times New Roman"/>
          <w:sz w:val="20"/>
          <w:szCs w:val="20"/>
        </w:rPr>
        <w:t>Baymuratov</w:t>
      </w:r>
      <w:proofErr w:type="spellEnd"/>
      <w:r w:rsidRPr="003A38B9">
        <w:rPr>
          <w:rFonts w:ascii="Times New Roman" w:hAnsi="Times New Roman" w:cs="Times New Roman"/>
          <w:sz w:val="20"/>
          <w:szCs w:val="20"/>
        </w:rPr>
        <w:t xml:space="preserve"> K.K. Technical and economic analysis of parameters of city distribution electric network up to 1000 V. E3S Web of Conferences 289, 07016 (2021) Energy Systems Research. https://doi.org/10.1051/e3sconf/202128907016 </w:t>
      </w:r>
    </w:p>
    <w:p w14:paraId="1700CABE" w14:textId="77777777" w:rsidR="00E97103" w:rsidRPr="003A38B9" w:rsidRDefault="00E97103" w:rsidP="00E97103">
      <w:pPr>
        <w:pStyle w:val="a4"/>
        <w:numPr>
          <w:ilvl w:val="0"/>
          <w:numId w:val="8"/>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L.Jing</w:t>
      </w:r>
      <w:proofErr w:type="spellEnd"/>
      <w:r w:rsidRPr="003A38B9">
        <w:rPr>
          <w:rFonts w:ascii="Times New Roman" w:hAnsi="Times New Roman" w:cs="Times New Roman"/>
          <w:sz w:val="20"/>
          <w:szCs w:val="20"/>
        </w:rPr>
        <w:t xml:space="preserve">, </w:t>
      </w:r>
      <w:proofErr w:type="spellStart"/>
      <w:proofErr w:type="gramStart"/>
      <w:r w:rsidRPr="003A38B9">
        <w:rPr>
          <w:rFonts w:ascii="Times New Roman" w:hAnsi="Times New Roman" w:cs="Times New Roman"/>
          <w:sz w:val="20"/>
          <w:szCs w:val="20"/>
        </w:rPr>
        <w:t>J.Guo</w:t>
      </w:r>
      <w:proofErr w:type="spellEnd"/>
      <w:proofErr w:type="gram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T.Feng</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L.Han</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Z.Zhou</w:t>
      </w:r>
      <w:proofErr w:type="spellEnd"/>
      <w:r w:rsidRPr="003A38B9">
        <w:rPr>
          <w:rFonts w:ascii="Times New Roman" w:hAnsi="Times New Roman" w:cs="Times New Roman"/>
          <w:sz w:val="20"/>
          <w:szCs w:val="20"/>
        </w:rPr>
        <w:t xml:space="preserve"> and </w:t>
      </w:r>
      <w:proofErr w:type="spellStart"/>
      <w:r w:rsidRPr="003A38B9">
        <w:rPr>
          <w:rFonts w:ascii="Times New Roman" w:hAnsi="Times New Roman" w:cs="Times New Roman"/>
          <w:sz w:val="20"/>
          <w:szCs w:val="20"/>
        </w:rPr>
        <w:t>M.Melikuziev</w:t>
      </w:r>
      <w:proofErr w:type="spellEnd"/>
      <w:r w:rsidRPr="003A38B9">
        <w:rPr>
          <w:rFonts w:ascii="Times New Roman" w:hAnsi="Times New Roman" w:cs="Times New Roman"/>
          <w:sz w:val="20"/>
          <w:szCs w:val="20"/>
        </w:rPr>
        <w:t xml:space="preserve">, "Research on Energy Optimization Scheduling Methods for Systems with Multiple </w:t>
      </w:r>
      <w:proofErr w:type="spellStart"/>
      <w:r w:rsidRPr="003A38B9">
        <w:rPr>
          <w:rFonts w:ascii="Times New Roman" w:hAnsi="Times New Roman" w:cs="Times New Roman"/>
          <w:sz w:val="20"/>
          <w:szCs w:val="20"/>
        </w:rPr>
        <w:t>Microgrids</w:t>
      </w:r>
      <w:proofErr w:type="spellEnd"/>
      <w:r w:rsidRPr="003A38B9">
        <w:rPr>
          <w:rFonts w:ascii="Times New Roman" w:hAnsi="Times New Roman" w:cs="Times New Roman"/>
          <w:sz w:val="20"/>
          <w:szCs w:val="20"/>
        </w:rPr>
        <w:t xml:space="preserve"> in Urban Areas," 2024 IEEE 4th International Conference on Digital Twins and Parallel Intelligence (DTPI), Wuhan, China, 2024, pp. 706-711, https://ieeexplore.ieee.org/abstract/document/10778839</w:t>
      </w:r>
    </w:p>
    <w:p w14:paraId="146EA4C2" w14:textId="77777777" w:rsidR="00E97103" w:rsidRPr="003A38B9" w:rsidRDefault="00E97103" w:rsidP="00E97103">
      <w:pPr>
        <w:pStyle w:val="a4"/>
        <w:numPr>
          <w:ilvl w:val="0"/>
          <w:numId w:val="8"/>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w:t>
      </w:r>
      <w:bookmarkStart w:id="1" w:name="_Hlk214727435"/>
      <w:proofErr w:type="spellStart"/>
      <w:r w:rsidRPr="003A38B9">
        <w:rPr>
          <w:rFonts w:ascii="Times New Roman" w:hAnsi="Times New Roman" w:cs="Times New Roman"/>
          <w:sz w:val="20"/>
          <w:szCs w:val="20"/>
        </w:rPr>
        <w:t>Murot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Tulyaganov</w:t>
      </w:r>
      <w:bookmarkEnd w:id="1"/>
      <w:proofErr w:type="spellEnd"/>
      <w:r w:rsidRPr="003A38B9">
        <w:rPr>
          <w:rFonts w:ascii="Times New Roman" w:hAnsi="Times New Roman" w:cs="Times New Roman"/>
          <w:sz w:val="20"/>
          <w:szCs w:val="20"/>
        </w:rPr>
        <w:t xml:space="preserve">. Peculiarities of simulation of steady modes of valve converters with periodic power circuit structure. III International Scientific and Technical Conference “Actual Issues of Power Supply Systems” (ICAIPSS2023). AIP Conf. Proc. 3152, 050004-1–050004-7; </w:t>
      </w:r>
      <w:hyperlink r:id="rId37" w:history="1">
        <w:r w:rsidRPr="003A38B9">
          <w:rPr>
            <w:rStyle w:val="a6"/>
            <w:rFonts w:ascii="Times New Roman" w:hAnsi="Times New Roman" w:cs="Times New Roman"/>
            <w:sz w:val="20"/>
            <w:szCs w:val="20"/>
          </w:rPr>
          <w:t>https://doi.org/10.1063/5.0218869</w:t>
        </w:r>
      </w:hyperlink>
    </w:p>
    <w:p w14:paraId="73B34FC2" w14:textId="77777777" w:rsidR="00E97103" w:rsidRPr="003A38B9" w:rsidRDefault="00E97103" w:rsidP="00E97103">
      <w:pPr>
        <w:pStyle w:val="a4"/>
        <w:numPr>
          <w:ilvl w:val="0"/>
          <w:numId w:val="8"/>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Murot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Tulyaganov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Improving the energy and operational efficiency of an asynchronous electric drive. III International Scientific and Technical Conference “Actual Issues of Power Supply Systems” (ICAIPSS2023); </w:t>
      </w:r>
      <w:hyperlink r:id="rId38" w:history="1">
        <w:r w:rsidRPr="003A38B9">
          <w:rPr>
            <w:rStyle w:val="a6"/>
            <w:rFonts w:ascii="Times New Roman" w:hAnsi="Times New Roman" w:cs="Times New Roman"/>
            <w:sz w:val="20"/>
            <w:szCs w:val="20"/>
          </w:rPr>
          <w:t>https://doi.org/10.1063/5.0218876</w:t>
        </w:r>
      </w:hyperlink>
    </w:p>
    <w:p w14:paraId="4107C8E7" w14:textId="77777777" w:rsidR="00E97103" w:rsidRPr="003A38B9" w:rsidRDefault="00E97103" w:rsidP="00E97103">
      <w:pPr>
        <w:pStyle w:val="a4"/>
        <w:numPr>
          <w:ilvl w:val="0"/>
          <w:numId w:val="8"/>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Khushnud</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Sapaev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Islambek</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Abdullabekov</w:t>
      </w:r>
      <w:proofErr w:type="spellEnd"/>
      <w:r w:rsidRPr="003A38B9">
        <w:rPr>
          <w:rFonts w:ascii="Times New Roman" w:hAnsi="Times New Roman" w:cs="Times New Roman"/>
          <w:sz w:val="20"/>
          <w:szCs w:val="20"/>
        </w:rPr>
        <w:t xml:space="preserve">. The Implicit Formulas of Numerical Integration Digital Models of Nonlinear Transformers. AIP Conf. Proc. 3331, 030105 (2025); </w:t>
      </w:r>
      <w:hyperlink r:id="rId39" w:history="1">
        <w:r w:rsidRPr="003A38B9">
          <w:rPr>
            <w:rStyle w:val="a6"/>
            <w:rFonts w:ascii="Times New Roman" w:hAnsi="Times New Roman" w:cs="Times New Roman"/>
            <w:sz w:val="20"/>
            <w:szCs w:val="20"/>
          </w:rPr>
          <w:t>https://doi.org/10.1063/5.0305793</w:t>
        </w:r>
      </w:hyperlink>
    </w:p>
    <w:p w14:paraId="62B31078" w14:textId="77777777" w:rsidR="00E97103" w:rsidRPr="003A38B9" w:rsidRDefault="00E97103" w:rsidP="00E97103">
      <w:pPr>
        <w:pStyle w:val="a4"/>
        <w:numPr>
          <w:ilvl w:val="0"/>
          <w:numId w:val="8"/>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Murat </w:t>
      </w:r>
      <w:proofErr w:type="spellStart"/>
      <w:r w:rsidRPr="003A38B9">
        <w:rPr>
          <w:rFonts w:ascii="Times New Roman" w:hAnsi="Times New Roman" w:cs="Times New Roman"/>
          <w:sz w:val="20"/>
          <w:szCs w:val="20"/>
        </w:rPr>
        <w:t>Tulyaganov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Saidamir</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Oripov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Ubaydulla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Boqijonov</w:t>
      </w:r>
      <w:proofErr w:type="spellEnd"/>
      <w:r w:rsidRPr="003A38B9">
        <w:rPr>
          <w:rFonts w:ascii="Times New Roman" w:hAnsi="Times New Roman" w:cs="Times New Roman"/>
          <w:sz w:val="20"/>
          <w:szCs w:val="20"/>
        </w:rPr>
        <w:t xml:space="preserve">. Using a modified </w:t>
      </w:r>
      <w:proofErr w:type="spellStart"/>
      <w:r w:rsidRPr="003A38B9">
        <w:rPr>
          <w:rFonts w:ascii="Times New Roman" w:hAnsi="Times New Roman" w:cs="Times New Roman"/>
          <w:sz w:val="20"/>
          <w:szCs w:val="20"/>
        </w:rPr>
        <w:t>laplace</w:t>
      </w:r>
      <w:proofErr w:type="spellEnd"/>
      <w:r w:rsidRPr="003A38B9">
        <w:rPr>
          <w:rFonts w:ascii="Times New Roman" w:hAnsi="Times New Roman" w:cs="Times New Roman"/>
          <w:sz w:val="20"/>
          <w:szCs w:val="20"/>
        </w:rPr>
        <w:t xml:space="preserve"> transform to simulate valve converters with periodic topology. AIP Conf. Proc. 3331, 030104 (2025); </w:t>
      </w:r>
      <w:hyperlink r:id="rId40" w:history="1">
        <w:r w:rsidRPr="003A38B9">
          <w:rPr>
            <w:rStyle w:val="a6"/>
            <w:rFonts w:ascii="Times New Roman" w:hAnsi="Times New Roman" w:cs="Times New Roman"/>
            <w:sz w:val="20"/>
            <w:szCs w:val="20"/>
          </w:rPr>
          <w:t>https://doi.org/10.1063/5.0305792</w:t>
        </w:r>
      </w:hyperlink>
    </w:p>
    <w:p w14:paraId="0A8BC189" w14:textId="77777777" w:rsidR="00E97103" w:rsidRPr="003A38B9" w:rsidRDefault="00E97103" w:rsidP="00E97103">
      <w:pPr>
        <w:pStyle w:val="a4"/>
        <w:numPr>
          <w:ilvl w:val="0"/>
          <w:numId w:val="8"/>
        </w:numPr>
        <w:tabs>
          <w:tab w:val="left" w:pos="0"/>
          <w:tab w:val="left" w:pos="284"/>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 xml:space="preserve">Murat </w:t>
      </w:r>
      <w:proofErr w:type="spellStart"/>
      <w:r w:rsidRPr="003A38B9">
        <w:rPr>
          <w:rFonts w:ascii="Times New Roman" w:hAnsi="Times New Roman" w:cs="Times New Roman"/>
          <w:sz w:val="20"/>
          <w:szCs w:val="20"/>
        </w:rPr>
        <w:t>Tulyaganov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Islambek</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Abdullabekov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Shakhnoza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Sobirova</w:t>
      </w:r>
      <w:proofErr w:type="spellEnd"/>
      <w:r w:rsidRPr="003A38B9">
        <w:rPr>
          <w:rFonts w:ascii="Times New Roman" w:hAnsi="Times New Roman" w:cs="Times New Roman"/>
          <w:sz w:val="20"/>
          <w:szCs w:val="20"/>
        </w:rPr>
        <w:t xml:space="preserve">. Optimization of modes of an asynchronous electric drive. AIP Conf. Proc. 3331, 030084 (2025); </w:t>
      </w:r>
      <w:hyperlink r:id="rId41" w:history="1">
        <w:r w:rsidRPr="003A38B9">
          <w:rPr>
            <w:rStyle w:val="a6"/>
            <w:rFonts w:ascii="Times New Roman" w:hAnsi="Times New Roman" w:cs="Times New Roman"/>
            <w:sz w:val="20"/>
            <w:szCs w:val="20"/>
          </w:rPr>
          <w:t>https://doi.org/10.1063/5.0305786</w:t>
        </w:r>
      </w:hyperlink>
    </w:p>
    <w:p w14:paraId="2E8C5480" w14:textId="77777777" w:rsidR="00E97103" w:rsidRPr="003A38B9" w:rsidRDefault="00E97103" w:rsidP="00E97103">
      <w:pPr>
        <w:pStyle w:val="a4"/>
        <w:numPr>
          <w:ilvl w:val="0"/>
          <w:numId w:val="8"/>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Islombek</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Abdullabekov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Murakam</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Mirsaidov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Murot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Tulyaganov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Saidamirkhon</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Oripov</w:t>
      </w:r>
      <w:proofErr w:type="spellEnd"/>
      <w:r w:rsidRPr="003A38B9">
        <w:rPr>
          <w:rFonts w:ascii="Times New Roman" w:hAnsi="Times New Roman" w:cs="Times New Roman"/>
          <w:sz w:val="20"/>
          <w:szCs w:val="20"/>
        </w:rPr>
        <w:t xml:space="preserve">. Optimizing energy efficiency in water pumping stations: A case study of the </w:t>
      </w:r>
      <w:proofErr w:type="spellStart"/>
      <w:r w:rsidRPr="003A38B9">
        <w:rPr>
          <w:rFonts w:ascii="Times New Roman" w:hAnsi="Times New Roman" w:cs="Times New Roman"/>
          <w:sz w:val="20"/>
          <w:szCs w:val="20"/>
        </w:rPr>
        <w:t>Chilonzor</w:t>
      </w:r>
      <w:proofErr w:type="spellEnd"/>
      <w:r w:rsidRPr="003A38B9">
        <w:rPr>
          <w:rFonts w:ascii="Times New Roman" w:hAnsi="Times New Roman" w:cs="Times New Roman"/>
          <w:sz w:val="20"/>
          <w:szCs w:val="20"/>
        </w:rPr>
        <w:t xml:space="preserve"> water distribution facility; AIP Conf. Proc. 3331, 030107 (2025); </w:t>
      </w:r>
      <w:hyperlink r:id="rId42" w:history="1">
        <w:r w:rsidRPr="003A38B9">
          <w:rPr>
            <w:rStyle w:val="a6"/>
            <w:rFonts w:ascii="Times New Roman" w:hAnsi="Times New Roman" w:cs="Times New Roman"/>
            <w:sz w:val="20"/>
            <w:szCs w:val="20"/>
          </w:rPr>
          <w:t>https://doi.org/10.1063/5.0305780</w:t>
        </w:r>
      </w:hyperlink>
    </w:p>
    <w:p w14:paraId="58928106" w14:textId="77777777" w:rsidR="00E97103" w:rsidRPr="003A38B9" w:rsidRDefault="00E97103" w:rsidP="00E97103">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Kobilov, N., Khamidov, B., Rakhmatov, K., Abdukarimov, M., Daminov, O., Shukurov, A., Kodirov, S., Omonov, S.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"https://www.scopus.com/pages/publications/105013282668?origin=resultslist"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Investigation and study of oil sludge of oil refinery company in Uzbekistan</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AIP Conference Proceedings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3304, </w:t>
      </w:r>
      <w:r w:rsidRPr="003A38B9">
        <w:rPr>
          <w:rFonts w:ascii="Times New Roman" w:hAnsi="Times New Roman" w:cs="Times New Roman"/>
          <w:b/>
          <w:sz w:val="20"/>
          <w:szCs w:val="20"/>
          <w:lang w:val="uz-Cyrl-UZ"/>
        </w:rPr>
        <w:t>040076</w:t>
      </w:r>
      <w:r w:rsidRPr="003A38B9">
        <w:rPr>
          <w:rFonts w:ascii="Times New Roman" w:hAnsi="Times New Roman" w:cs="Times New Roman"/>
          <w:sz w:val="20"/>
          <w:szCs w:val="20"/>
          <w:lang w:val="uz-Cyrl-UZ"/>
        </w:rPr>
        <w:t xml:space="preserve">, (2025), </w:t>
      </w:r>
      <w:r w:rsidRPr="003A38B9">
        <w:rPr>
          <w:rFonts w:ascii="Times New Roman" w:hAnsi="Times New Roman" w:cs="Times New Roman"/>
          <w:color w:val="0070C0"/>
          <w:sz w:val="20"/>
          <w:szCs w:val="20"/>
          <w:u w:val="single"/>
          <w:lang w:val="uz-Cyrl-UZ"/>
        </w:rPr>
        <w:t>https://doi.org/10.1063/5.0269039</w:t>
      </w:r>
      <w:r w:rsidRPr="003A38B9">
        <w:rPr>
          <w:rFonts w:ascii="Times New Roman" w:hAnsi="Times New Roman" w:cs="Times New Roman"/>
          <w:b/>
          <w:color w:val="FF0000"/>
          <w:sz w:val="20"/>
          <w:szCs w:val="20"/>
          <w:lang w:val="uz-Cyrl-UZ"/>
        </w:rPr>
        <w:t xml:space="preserve"> </w:t>
      </w:r>
    </w:p>
    <w:p w14:paraId="076CAACF" w14:textId="77777777" w:rsidR="00E97103" w:rsidRPr="003A38B9" w:rsidRDefault="00E97103" w:rsidP="00E97103">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Kobilov, N., Khamidov, B., Rakhmatov, K., Daminov, O., Ganieva, S., Shukurov, A., Kodirov, S., Omonov, S. Development of effective chemicals for drilling fluid based on local and raw materials of Uzbekistan.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"https://www.scopus.com/pages/publications/105013341188?origin=resultslist"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AIP Conference Proceedings</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3304, </w:t>
      </w:r>
      <w:r w:rsidRPr="003A38B9">
        <w:rPr>
          <w:rFonts w:ascii="Times New Roman" w:hAnsi="Times New Roman" w:cs="Times New Roman"/>
          <w:b/>
          <w:sz w:val="20"/>
          <w:szCs w:val="20"/>
          <w:lang w:val="uz-Cyrl-UZ"/>
        </w:rPr>
        <w:t>040077</w:t>
      </w:r>
      <w:r w:rsidRPr="003A38B9">
        <w:rPr>
          <w:rFonts w:ascii="Times New Roman" w:hAnsi="Times New Roman" w:cs="Times New Roman"/>
          <w:sz w:val="20"/>
          <w:szCs w:val="20"/>
          <w:lang w:val="uz-Cyrl-UZ"/>
        </w:rPr>
        <w:t xml:space="preserve">, (2025), </w:t>
      </w:r>
      <w:r w:rsidRPr="003A38B9">
        <w:rPr>
          <w:rFonts w:ascii="Times New Roman" w:hAnsi="Times New Roman" w:cs="Times New Roman"/>
          <w:color w:val="0070C0"/>
          <w:sz w:val="20"/>
          <w:szCs w:val="20"/>
          <w:u w:val="single"/>
          <w:lang w:val="uz-Cyrl-UZ"/>
        </w:rPr>
        <w:t>https://doi.org/10.1063/5.0269403</w:t>
      </w:r>
      <w:r w:rsidRPr="003A38B9">
        <w:rPr>
          <w:rFonts w:ascii="Times New Roman" w:hAnsi="Times New Roman" w:cs="Times New Roman"/>
          <w:b/>
          <w:color w:val="FF0000"/>
          <w:sz w:val="20"/>
          <w:szCs w:val="20"/>
          <w:lang w:val="uz-Cyrl-UZ"/>
        </w:rPr>
        <w:t xml:space="preserve"> </w:t>
      </w:r>
    </w:p>
    <w:p w14:paraId="6EE182B1" w14:textId="77777777" w:rsidR="00E97103" w:rsidRPr="003A38B9" w:rsidRDefault="00E97103" w:rsidP="00E97103">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Umerov, F., Daminov, O., Khakimov, J., Yangibaev, A., Asanov, S.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"https://www.scopus.com/pages/publications/85198130684?origin=resultslist"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Validation of performance indicators and theoretical aspects of the use of compressed natural gas (CNG) equipment as a main energy supply source on turbocharged internal combustion engines vehicles</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AIP Conference Proceedings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3152, </w:t>
      </w:r>
      <w:r w:rsidRPr="003A38B9">
        <w:rPr>
          <w:rFonts w:ascii="Times New Roman" w:hAnsi="Times New Roman" w:cs="Times New Roman"/>
          <w:b/>
          <w:sz w:val="20"/>
          <w:szCs w:val="20"/>
          <w:lang w:val="uz-Cyrl-UZ"/>
        </w:rPr>
        <w:t>030017</w:t>
      </w:r>
      <w:r w:rsidRPr="003A38B9">
        <w:rPr>
          <w:rFonts w:ascii="Times New Roman" w:hAnsi="Times New Roman" w:cs="Times New Roman"/>
          <w:sz w:val="20"/>
          <w:szCs w:val="20"/>
          <w:lang w:val="uz-Cyrl-UZ"/>
        </w:rPr>
        <w:t>, (2024),</w:t>
      </w:r>
      <w:r w:rsidRPr="003A38B9">
        <w:rPr>
          <w:rStyle w:val="typography-modulelvnit"/>
          <w:rFonts w:ascii="Times New Roman" w:hAnsi="Times New Roman" w:cs="Times New Roman"/>
          <w:color w:val="2E2E2E"/>
          <w:sz w:val="18"/>
          <w:szCs w:val="18"/>
          <w:shd w:val="clear" w:color="auto" w:fill="FFFFFF"/>
          <w:lang w:val="uz-Cyrl-UZ"/>
        </w:rPr>
        <w:t xml:space="preserve"> </w:t>
      </w:r>
      <w:r w:rsidRPr="003A38B9">
        <w:rPr>
          <w:rFonts w:ascii="Times New Roman" w:hAnsi="Times New Roman" w:cs="Times New Roman"/>
          <w:iCs/>
          <w:color w:val="0070C0"/>
          <w:sz w:val="20"/>
          <w:szCs w:val="20"/>
          <w:u w:val="single"/>
          <w:lang w:val="uz-Cyrl-UZ"/>
        </w:rPr>
        <w:t>https://doi.org/10.1063/5.0219381</w:t>
      </w:r>
      <w:r w:rsidRPr="003A38B9">
        <w:rPr>
          <w:rFonts w:ascii="Times New Roman" w:hAnsi="Times New Roman" w:cs="Times New Roman"/>
          <w:b/>
          <w:color w:val="FF0000"/>
          <w:sz w:val="20"/>
          <w:szCs w:val="20"/>
          <w:lang w:val="uz-Cyrl-UZ"/>
        </w:rPr>
        <w:t xml:space="preserve"> </w:t>
      </w:r>
    </w:p>
    <w:p w14:paraId="5C5FA2AE" w14:textId="77777777" w:rsidR="00E97103" w:rsidRPr="003A38B9" w:rsidRDefault="00E97103" w:rsidP="00E97103">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Matmurodov, F.M., Daminov, O.O., Sobirov, B.Sh., Abdurakxmanova, M.M., Atakhanov, F.U.M. </w:t>
      </w:r>
      <w:r w:rsidRPr="003A38B9">
        <w:rPr>
          <w:rFonts w:ascii="Times New Roman" w:hAnsi="Times New Roman" w:cs="Times New Roman"/>
        </w:rPr>
        <w:fldChar w:fldCharType="begin"/>
      </w:r>
      <w:r w:rsidRPr="003A38B9">
        <w:rPr>
          <w:rFonts w:ascii="Times New Roman" w:hAnsi="Times New Roman" w:cs="Times New Roman"/>
          <w:lang w:val="uz-Cyrl-UZ"/>
        </w:rPr>
        <w:instrText xml:space="preserve"> HYPERLINK "https://www.scopus.com/pages/publications/85186989203?origin=resultslist"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Dynamic simulation of force loading of drives of mobile power facilities with variable external resistance</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E3s Web of Conferences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486, </w:t>
      </w:r>
      <w:r w:rsidRPr="003A38B9">
        <w:rPr>
          <w:rFonts w:ascii="Times New Roman" w:hAnsi="Times New Roman" w:cs="Times New Roman"/>
          <w:b/>
          <w:sz w:val="20"/>
          <w:szCs w:val="20"/>
          <w:lang w:val="uz-Cyrl-UZ"/>
        </w:rPr>
        <w:t>03001</w:t>
      </w:r>
      <w:r w:rsidRPr="003A38B9">
        <w:rPr>
          <w:rFonts w:ascii="Times New Roman" w:hAnsi="Times New Roman" w:cs="Times New Roman"/>
          <w:sz w:val="20"/>
          <w:szCs w:val="20"/>
          <w:lang w:val="uz-Cyrl-UZ"/>
        </w:rPr>
        <w:t xml:space="preserve">, (2024), </w:t>
      </w:r>
      <w:r w:rsidRPr="003A38B9">
        <w:rPr>
          <w:rFonts w:ascii="Times New Roman" w:hAnsi="Times New Roman" w:cs="Times New Roman"/>
          <w:iCs/>
          <w:color w:val="0070C0"/>
          <w:sz w:val="20"/>
          <w:szCs w:val="20"/>
          <w:u w:val="single"/>
          <w:lang w:val="uz-Cyrl-UZ"/>
        </w:rPr>
        <w:t>https://doi.org/10.1051/e3sconf/202448603001</w:t>
      </w:r>
      <w:r w:rsidRPr="003A38B9">
        <w:rPr>
          <w:rFonts w:ascii="Times New Roman" w:hAnsi="Times New Roman" w:cs="Times New Roman"/>
          <w:b/>
          <w:color w:val="FF0000"/>
          <w:sz w:val="20"/>
          <w:szCs w:val="20"/>
          <w:lang w:val="uz-Cyrl-UZ"/>
        </w:rPr>
        <w:t xml:space="preserve"> </w:t>
      </w:r>
    </w:p>
    <w:p w14:paraId="5BF0DA15" w14:textId="77777777" w:rsidR="00E97103" w:rsidRPr="003A38B9" w:rsidRDefault="00E97103" w:rsidP="00E97103">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Musabekov, Z., Daminov, O., Ismatov, A.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"https://www.scopus.com/pages/publications/85171540600?origin=resultslist"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Structural solutions of the supercharged engine in the output and input system</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E3s Web of Conferences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419, </w:t>
      </w:r>
      <w:r w:rsidRPr="003A38B9">
        <w:rPr>
          <w:rFonts w:ascii="Times New Roman" w:hAnsi="Times New Roman" w:cs="Times New Roman"/>
          <w:b/>
          <w:sz w:val="20"/>
          <w:szCs w:val="20"/>
          <w:lang w:val="uz-Cyrl-UZ"/>
        </w:rPr>
        <w:t>01015</w:t>
      </w:r>
      <w:r w:rsidRPr="003A38B9">
        <w:rPr>
          <w:rFonts w:ascii="Times New Roman" w:hAnsi="Times New Roman" w:cs="Times New Roman"/>
          <w:sz w:val="20"/>
          <w:szCs w:val="20"/>
          <w:lang w:val="uz-Cyrl-UZ"/>
        </w:rPr>
        <w:t xml:space="preserve">, (2023), </w:t>
      </w:r>
      <w:r w:rsidRPr="003A38B9">
        <w:rPr>
          <w:rFonts w:ascii="Times New Roman" w:hAnsi="Times New Roman" w:cs="Times New Roman"/>
        </w:rPr>
        <w:fldChar w:fldCharType="begin"/>
      </w:r>
      <w:r w:rsidRPr="003A38B9">
        <w:rPr>
          <w:rFonts w:ascii="Times New Roman" w:hAnsi="Times New Roman" w:cs="Times New Roman"/>
        </w:rPr>
        <w:instrText>HYPERLINK "https://doi.org/10.1051/e3sconf/202341901015"</w:instrText>
      </w:r>
      <w:r w:rsidRPr="003A38B9">
        <w:rPr>
          <w:rFonts w:ascii="Times New Roman" w:hAnsi="Times New Roman" w:cs="Times New Roman"/>
        </w:rPr>
        <w:fldChar w:fldCharType="separate"/>
      </w:r>
      <w:r w:rsidRPr="003A38B9">
        <w:rPr>
          <w:rStyle w:val="a6"/>
          <w:rFonts w:ascii="Times New Roman" w:hAnsi="Times New Roman" w:cs="Times New Roman"/>
          <w:iCs/>
          <w:sz w:val="20"/>
          <w:szCs w:val="20"/>
          <w:lang w:val="uz-Cyrl-UZ"/>
        </w:rPr>
        <w:t>https://doi.org/10.1051/e3sconf/202341901015</w:t>
      </w:r>
      <w:r w:rsidRPr="003A38B9">
        <w:rPr>
          <w:rFonts w:ascii="Times New Roman" w:hAnsi="Times New Roman" w:cs="Times New Roman"/>
        </w:rPr>
        <w:fldChar w:fldCharType="end"/>
      </w:r>
      <w:r w:rsidRPr="003A38B9">
        <w:rPr>
          <w:rFonts w:ascii="Times New Roman" w:hAnsi="Times New Roman" w:cs="Times New Roman"/>
          <w:b/>
          <w:color w:val="FF0000"/>
          <w:sz w:val="20"/>
          <w:szCs w:val="20"/>
          <w:lang w:val="uz-Cyrl-UZ"/>
        </w:rPr>
        <w:t xml:space="preserve"> </w:t>
      </w:r>
    </w:p>
    <w:p w14:paraId="41EB2E8C" w14:textId="77777777" w:rsidR="00E97103" w:rsidRPr="003A38B9" w:rsidRDefault="00E97103" w:rsidP="00E97103">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Musabekov, Z., Ergashev, B., Daminov, O., Khushnaev O., Kurbanov, A., Kukharonok, G.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"https://www.scopus.com/pages/publications/85151264661?origin=resultslist"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Efficiency and environmental indicators of diesel engine operation when using water injection</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IOP Conference Series Earth and Environmental Science</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1142, </w:t>
      </w:r>
      <w:r w:rsidRPr="003A38B9">
        <w:rPr>
          <w:rFonts w:ascii="Times New Roman" w:hAnsi="Times New Roman" w:cs="Times New Roman"/>
          <w:b/>
          <w:sz w:val="20"/>
          <w:szCs w:val="20"/>
          <w:lang w:val="uz-Cyrl-UZ"/>
        </w:rPr>
        <w:t>012024</w:t>
      </w:r>
      <w:r w:rsidRPr="003A38B9">
        <w:rPr>
          <w:rFonts w:ascii="Times New Roman" w:hAnsi="Times New Roman" w:cs="Times New Roman"/>
          <w:sz w:val="20"/>
          <w:szCs w:val="20"/>
          <w:lang w:val="uz-Cyrl-UZ"/>
        </w:rPr>
        <w:t xml:space="preserve">, (2023), </w:t>
      </w:r>
      <w:r w:rsidRPr="003A38B9">
        <w:rPr>
          <w:rFonts w:ascii="Times New Roman" w:hAnsi="Times New Roman" w:cs="Times New Roman"/>
        </w:rPr>
        <w:fldChar w:fldCharType="begin"/>
      </w:r>
      <w:r w:rsidRPr="003A38B9">
        <w:rPr>
          <w:rFonts w:ascii="Times New Roman" w:hAnsi="Times New Roman" w:cs="Times New Roman"/>
        </w:rPr>
        <w:instrText>HYPERLINK "https://doi.org/10.1088/1755-1315/1142/1/012024"</w:instrText>
      </w:r>
      <w:r w:rsidRPr="003A38B9">
        <w:rPr>
          <w:rFonts w:ascii="Times New Roman" w:hAnsi="Times New Roman" w:cs="Times New Roman"/>
        </w:rPr>
        <w:fldChar w:fldCharType="separate"/>
      </w:r>
      <w:r w:rsidRPr="003A38B9">
        <w:rPr>
          <w:rStyle w:val="a6"/>
          <w:rFonts w:ascii="Times New Roman" w:hAnsi="Times New Roman" w:cs="Times New Roman"/>
          <w:iCs/>
          <w:sz w:val="20"/>
          <w:szCs w:val="20"/>
          <w:lang w:val="uz-Cyrl-UZ"/>
        </w:rPr>
        <w:t>https://doi.org/10.1088/1755-1315/1142/1/012024</w:t>
      </w:r>
      <w:r w:rsidRPr="003A38B9">
        <w:rPr>
          <w:rFonts w:ascii="Times New Roman" w:hAnsi="Times New Roman" w:cs="Times New Roman"/>
        </w:rPr>
        <w:fldChar w:fldCharType="end"/>
      </w:r>
      <w:r w:rsidRPr="003A38B9">
        <w:rPr>
          <w:rFonts w:ascii="Times New Roman" w:hAnsi="Times New Roman" w:cs="Times New Roman"/>
          <w:b/>
          <w:color w:val="FF0000"/>
          <w:sz w:val="20"/>
          <w:szCs w:val="20"/>
          <w:lang w:val="uz-Cyrl-UZ"/>
        </w:rPr>
        <w:t xml:space="preserve"> </w:t>
      </w:r>
    </w:p>
    <w:p w14:paraId="76657F4E" w14:textId="77777777" w:rsidR="00E97103" w:rsidRPr="003A38B9" w:rsidRDefault="00E97103" w:rsidP="00E97103">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Tulaev, B.R., Musabekov, Z.E., Daminov, O.O., Khakimov, J.O. </w:t>
      </w:r>
      <w:r w:rsidRPr="003A38B9">
        <w:rPr>
          <w:rFonts w:ascii="Times New Roman" w:hAnsi="Times New Roman" w:cs="Times New Roman"/>
        </w:rPr>
        <w:fldChar w:fldCharType="begin"/>
      </w:r>
      <w:r w:rsidRPr="003A38B9">
        <w:rPr>
          <w:rFonts w:ascii="Times New Roman" w:hAnsi="Times New Roman" w:cs="Times New Roman"/>
          <w:lang w:val="uz-Cyrl-UZ"/>
        </w:rPr>
        <w:instrText xml:space="preserve"> HYPERLINK "https://www.scopus.com/pages/publications/85133010767?origin=resultslist"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Application of Supercharged to Internal Combustion Engines and Increase Efficiency in Achieving High Environmental Standards</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AIP Conference Proceedings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2432, </w:t>
      </w:r>
      <w:r w:rsidRPr="003A38B9">
        <w:rPr>
          <w:rFonts w:ascii="Times New Roman" w:hAnsi="Times New Roman" w:cs="Times New Roman"/>
          <w:b/>
          <w:sz w:val="20"/>
          <w:szCs w:val="20"/>
          <w:lang w:val="uz-Cyrl-UZ"/>
        </w:rPr>
        <w:t>030012</w:t>
      </w:r>
      <w:r w:rsidRPr="003A38B9">
        <w:rPr>
          <w:rFonts w:ascii="Times New Roman" w:hAnsi="Times New Roman" w:cs="Times New Roman"/>
          <w:sz w:val="20"/>
          <w:szCs w:val="20"/>
          <w:lang w:val="uz-Cyrl-UZ"/>
        </w:rPr>
        <w:t>, (2022),</w:t>
      </w:r>
      <w:r w:rsidRPr="003A38B9">
        <w:rPr>
          <w:rStyle w:val="typography-modulelvnit"/>
          <w:rFonts w:ascii="Times New Roman" w:hAnsi="Times New Roman" w:cs="Times New Roman"/>
          <w:color w:val="2E2E2E"/>
          <w:sz w:val="18"/>
          <w:szCs w:val="18"/>
          <w:lang w:val="uz-Cyrl-UZ"/>
        </w:rPr>
        <w:t xml:space="preserve"> </w:t>
      </w:r>
      <w:r w:rsidRPr="003A38B9">
        <w:rPr>
          <w:rFonts w:ascii="Times New Roman" w:hAnsi="Times New Roman" w:cs="Times New Roman"/>
          <w:color w:val="0070C0"/>
          <w:sz w:val="20"/>
          <w:szCs w:val="20"/>
          <w:u w:val="single"/>
          <w:lang w:val="uz-Cyrl-UZ"/>
        </w:rPr>
        <w:t>https://doi.org/</w:t>
      </w:r>
      <w:r w:rsidRPr="003A38B9">
        <w:rPr>
          <w:rFonts w:ascii="Times New Roman" w:hAnsi="Times New Roman" w:cs="Times New Roman"/>
          <w:lang w:val="uz-Cyrl-UZ"/>
        </w:rPr>
        <w:t xml:space="preserve"> </w:t>
      </w:r>
      <w:r w:rsidRPr="003A38B9">
        <w:rPr>
          <w:rFonts w:ascii="Times New Roman" w:hAnsi="Times New Roman" w:cs="Times New Roman"/>
          <w:color w:val="0070C0"/>
          <w:sz w:val="20"/>
          <w:szCs w:val="20"/>
          <w:u w:val="single"/>
          <w:lang w:val="uz-Cyrl-UZ"/>
        </w:rPr>
        <w:t>10.1063/5.0090304</w:t>
      </w:r>
    </w:p>
    <w:p w14:paraId="2ED1DA5C" w14:textId="77777777" w:rsidR="00E97103" w:rsidRPr="003A38B9" w:rsidRDefault="00E97103" w:rsidP="00E97103">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Matmurodov, F., Yunusov, B., Khakimov, J., Daminov, O., Gapurov, B.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"https://www.scopus.com/pages/publications/85132994140?origin=resultslist"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Mathematical Modeling and Numerical Determination of Kinetic and Power Parameters of Loaded Power Mechanisms of a Combined Machine</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AIP Conference Proceedings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2432, </w:t>
      </w:r>
      <w:r w:rsidRPr="003A38B9">
        <w:rPr>
          <w:rFonts w:ascii="Times New Roman" w:hAnsi="Times New Roman" w:cs="Times New Roman"/>
          <w:b/>
          <w:sz w:val="20"/>
          <w:szCs w:val="20"/>
          <w:lang w:val="uz-Cyrl-UZ"/>
        </w:rPr>
        <w:t>040013</w:t>
      </w:r>
      <w:r w:rsidRPr="003A38B9">
        <w:rPr>
          <w:rFonts w:ascii="Times New Roman" w:hAnsi="Times New Roman" w:cs="Times New Roman"/>
          <w:sz w:val="20"/>
          <w:szCs w:val="20"/>
          <w:lang w:val="uz-Cyrl-UZ"/>
        </w:rPr>
        <w:t xml:space="preserve">, (2022), </w:t>
      </w:r>
      <w:r w:rsidRPr="003A38B9">
        <w:rPr>
          <w:rFonts w:ascii="Times New Roman" w:hAnsi="Times New Roman" w:cs="Times New Roman"/>
          <w:color w:val="0070C0"/>
          <w:sz w:val="20"/>
          <w:szCs w:val="20"/>
          <w:u w:val="single"/>
          <w:lang w:val="uz-Cyrl-UZ"/>
        </w:rPr>
        <w:t>https://doi.org/</w:t>
      </w:r>
      <w:r w:rsidRPr="003A38B9">
        <w:rPr>
          <w:rFonts w:ascii="Times New Roman" w:hAnsi="Times New Roman" w:cs="Times New Roman"/>
          <w:lang w:val="uz-Cyrl-UZ"/>
        </w:rPr>
        <w:t xml:space="preserve"> </w:t>
      </w:r>
      <w:r w:rsidRPr="003A38B9">
        <w:rPr>
          <w:rFonts w:ascii="Times New Roman" w:hAnsi="Times New Roman" w:cs="Times New Roman"/>
          <w:color w:val="0070C0"/>
          <w:sz w:val="20"/>
          <w:szCs w:val="20"/>
          <w:u w:val="single"/>
          <w:lang w:val="uz-Cyrl-UZ"/>
        </w:rPr>
        <w:t>10.1063/5.0090304</w:t>
      </w:r>
      <w:r w:rsidRPr="003A38B9">
        <w:rPr>
          <w:rFonts w:ascii="Times New Roman" w:hAnsi="Times New Roman" w:cs="Times New Roman"/>
          <w:sz w:val="20"/>
          <w:szCs w:val="20"/>
          <w:lang w:val="uz-Cyrl-UZ"/>
        </w:rPr>
        <w:t xml:space="preserve"> </w:t>
      </w:r>
    </w:p>
    <w:p w14:paraId="43B2BB30" w14:textId="77777777" w:rsidR="00E97103" w:rsidRPr="003A38B9" w:rsidRDefault="00E97103" w:rsidP="00E97103">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bookmarkStart w:id="2" w:name="_Hlk218705590"/>
      <w:r w:rsidRPr="003A38B9">
        <w:rPr>
          <w:rFonts w:ascii="Times New Roman" w:hAnsi="Times New Roman" w:cs="Times New Roman"/>
          <w:sz w:val="20"/>
          <w:szCs w:val="20"/>
          <w:lang w:val="uz-Cyrl-UZ"/>
        </w:rPr>
        <w:t>Ma’ruf, K., Tursoat, A., Dilnavoz, K., Bekmurodjon, R., Ra'no, A., Saida, T., ... &amp; Toshbekov, B. (2025). ZnO Nanoparticles Incorporated on Multi-Walled Carbon Nanotubes as A Robust Heterogeneous Nano-catalyst for Biodiesel Production from Oil. Journal of Nanostructures, 15(3), 1050-1060.</w:t>
      </w:r>
    </w:p>
    <w:p w14:paraId="3AC3EA05" w14:textId="77777777" w:rsidR="00E97103" w:rsidRPr="003A38B9" w:rsidRDefault="00E97103" w:rsidP="00E97103">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 </w:t>
      </w:r>
      <w:proofErr w:type="spellStart"/>
      <w:r w:rsidRPr="003A38B9">
        <w:rPr>
          <w:rFonts w:ascii="Times New Roman" w:hAnsi="Times New Roman" w:cs="Times New Roman"/>
          <w:sz w:val="20"/>
          <w:szCs w:val="20"/>
        </w:rPr>
        <w:t>Khujakulov</w:t>
      </w:r>
      <w:proofErr w:type="spellEnd"/>
      <w:r w:rsidRPr="003A38B9">
        <w:rPr>
          <w:rFonts w:ascii="Times New Roman" w:hAnsi="Times New Roman" w:cs="Times New Roman"/>
          <w:sz w:val="20"/>
          <w:szCs w:val="20"/>
        </w:rPr>
        <w:t xml:space="preserve"> A., </w:t>
      </w: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Sh., </w:t>
      </w:r>
      <w:proofErr w:type="spellStart"/>
      <w:r w:rsidRPr="003A38B9">
        <w:rPr>
          <w:rFonts w:ascii="Times New Roman" w:hAnsi="Times New Roman" w:cs="Times New Roman"/>
          <w:sz w:val="20"/>
          <w:szCs w:val="20"/>
        </w:rPr>
        <w:t>Khujakulov</w:t>
      </w:r>
      <w:proofErr w:type="spellEnd"/>
      <w:r w:rsidRPr="003A38B9">
        <w:rPr>
          <w:rFonts w:ascii="Times New Roman" w:hAnsi="Times New Roman" w:cs="Times New Roman"/>
          <w:sz w:val="20"/>
          <w:szCs w:val="20"/>
        </w:rPr>
        <w:t xml:space="preserve"> U., Sunil </w:t>
      </w:r>
      <w:proofErr w:type="spellStart"/>
      <w:r w:rsidRPr="003A38B9">
        <w:rPr>
          <w:rFonts w:ascii="Times New Roman" w:hAnsi="Times New Roman" w:cs="Times New Roman"/>
          <w:sz w:val="20"/>
          <w:szCs w:val="20"/>
        </w:rPr>
        <w:t>Verma</w:t>
      </w:r>
      <w:proofErr w:type="spellEnd"/>
      <w:r w:rsidRPr="003A38B9">
        <w:rPr>
          <w:rFonts w:ascii="Times New Roman" w:hAnsi="Times New Roman" w:cs="Times New Roman"/>
          <w:sz w:val="20"/>
          <w:szCs w:val="20"/>
        </w:rPr>
        <w:t xml:space="preserve">. Research on energy efficient kinetics of drying raw material. // E3S Web of Conferences: </w:t>
      </w:r>
      <w:proofErr w:type="spellStart"/>
      <w:r w:rsidRPr="003A38B9">
        <w:rPr>
          <w:rFonts w:ascii="Times New Roman" w:hAnsi="Times New Roman" w:cs="Times New Roman"/>
          <w:sz w:val="20"/>
          <w:szCs w:val="20"/>
        </w:rPr>
        <w:t>Rudenko</w:t>
      </w:r>
      <w:proofErr w:type="spellEnd"/>
      <w:r w:rsidRPr="003A38B9">
        <w:rPr>
          <w:rFonts w:ascii="Times New Roman" w:hAnsi="Times New Roman" w:cs="Times New Roman"/>
          <w:sz w:val="20"/>
          <w:szCs w:val="20"/>
        </w:rPr>
        <w:t xml:space="preserve"> International Conference “Methodological problems in reliability study of large energy systems” (RSES 2020). Vol. 216, 2020. P.1-5.  doi.org/10.1051/e3sconf/202021601093</w:t>
      </w:r>
    </w:p>
    <w:p w14:paraId="08F58388" w14:textId="77777777" w:rsidR="00E97103" w:rsidRPr="003A38B9" w:rsidRDefault="00E97103" w:rsidP="00E97103">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lastRenderedPageBreak/>
        <w:t>Safarov</w:t>
      </w:r>
      <w:proofErr w:type="spellEnd"/>
      <w:r w:rsidRPr="003A38B9">
        <w:rPr>
          <w:rFonts w:ascii="Times New Roman" w:hAnsi="Times New Roman" w:cs="Times New Roman"/>
          <w:sz w:val="20"/>
          <w:szCs w:val="20"/>
        </w:rPr>
        <w:t xml:space="preserve"> J., </w:t>
      </w: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Sh., </w:t>
      </w:r>
      <w:proofErr w:type="spellStart"/>
      <w:r w:rsidRPr="003A38B9">
        <w:rPr>
          <w:rFonts w:ascii="Times New Roman" w:hAnsi="Times New Roman" w:cs="Times New Roman"/>
          <w:sz w:val="20"/>
          <w:szCs w:val="20"/>
        </w:rPr>
        <w:t>Dadayev</w:t>
      </w:r>
      <w:proofErr w:type="spellEnd"/>
      <w:r w:rsidRPr="003A38B9">
        <w:rPr>
          <w:rFonts w:ascii="Times New Roman" w:hAnsi="Times New Roman" w:cs="Times New Roman"/>
          <w:sz w:val="20"/>
          <w:szCs w:val="20"/>
        </w:rPr>
        <w:t xml:space="preserve"> G.T., </w:t>
      </w:r>
      <w:proofErr w:type="spellStart"/>
      <w:r w:rsidRPr="003A38B9">
        <w:rPr>
          <w:rFonts w:ascii="Times New Roman" w:hAnsi="Times New Roman" w:cs="Times New Roman"/>
          <w:sz w:val="20"/>
          <w:szCs w:val="20"/>
        </w:rPr>
        <w:t>Zulponov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Sh.U</w:t>
      </w:r>
      <w:proofErr w:type="spellEnd"/>
      <w:r w:rsidRPr="003A38B9">
        <w:rPr>
          <w:rFonts w:ascii="Times New Roman" w:hAnsi="Times New Roman" w:cs="Times New Roman"/>
          <w:sz w:val="20"/>
          <w:szCs w:val="20"/>
        </w:rPr>
        <w:t>. Influence of the structure of coolant flows on the temperature profile by phases in a water heating dryer. // IOP Conf. Series: Materials Science and Engineering. Dynamics of Technical Systems (DTS 2020). Vol.1029, 2021. №012019. P.1-11. doi:10.1088/1757-899X/1029/1/012019</w:t>
      </w:r>
    </w:p>
    <w:p w14:paraId="4DC3B758" w14:textId="77777777" w:rsidR="00E97103" w:rsidRPr="003A38B9" w:rsidRDefault="00E97103" w:rsidP="00E97103">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Artikov</w:t>
      </w:r>
      <w:proofErr w:type="spellEnd"/>
      <w:r w:rsidRPr="003A38B9">
        <w:rPr>
          <w:rFonts w:ascii="Times New Roman" w:hAnsi="Times New Roman" w:cs="Times New Roman"/>
          <w:sz w:val="20"/>
          <w:szCs w:val="20"/>
        </w:rPr>
        <w:t xml:space="preserve"> A.A., </w:t>
      </w:r>
      <w:proofErr w:type="spellStart"/>
      <w:r w:rsidRPr="003A38B9">
        <w:rPr>
          <w:rFonts w:ascii="Times New Roman" w:hAnsi="Times New Roman" w:cs="Times New Roman"/>
          <w:sz w:val="20"/>
          <w:szCs w:val="20"/>
        </w:rPr>
        <w:t>Masharipova</w:t>
      </w:r>
      <w:proofErr w:type="spellEnd"/>
      <w:r w:rsidRPr="003A38B9">
        <w:rPr>
          <w:rFonts w:ascii="Times New Roman" w:hAnsi="Times New Roman" w:cs="Times New Roman"/>
          <w:sz w:val="20"/>
          <w:szCs w:val="20"/>
        </w:rPr>
        <w:t xml:space="preserve"> Z.A., </w:t>
      </w:r>
      <w:proofErr w:type="spellStart"/>
      <w:r w:rsidRPr="003A38B9">
        <w:rPr>
          <w:rFonts w:ascii="Times New Roman" w:hAnsi="Times New Roman" w:cs="Times New Roman"/>
          <w:sz w:val="20"/>
          <w:szCs w:val="20"/>
        </w:rPr>
        <w:t>Abhijit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Tarawade</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Results of experiments conducted in a </w:t>
      </w:r>
      <w:proofErr w:type="spellStart"/>
      <w:r w:rsidRPr="003A38B9">
        <w:rPr>
          <w:rFonts w:ascii="Times New Roman" w:hAnsi="Times New Roman" w:cs="Times New Roman"/>
          <w:sz w:val="20"/>
          <w:szCs w:val="20"/>
        </w:rPr>
        <w:t>helio</w:t>
      </w:r>
      <w:proofErr w:type="spellEnd"/>
      <w:r w:rsidRPr="003A38B9">
        <w:rPr>
          <w:rFonts w:ascii="Times New Roman" w:hAnsi="Times New Roman" w:cs="Times New Roman"/>
          <w:sz w:val="20"/>
          <w:szCs w:val="20"/>
        </w:rPr>
        <w:t xml:space="preserve"> water heating convective drying plant. // International conference AEGIS-2021 «Agricultural Engineering and Green Infrastructure Solutions».  IOP Conf. Series: Earth and Environmental Science 868 (2021) 012045. P.1-6. doi:10.1088/1755-1315/868/1/012045</w:t>
      </w:r>
    </w:p>
    <w:p w14:paraId="685D9AFC" w14:textId="77777777" w:rsidR="00E97103" w:rsidRPr="003A38B9" w:rsidRDefault="00E97103" w:rsidP="00E97103">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Sh.,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 </w:t>
      </w:r>
      <w:proofErr w:type="spellStart"/>
      <w:r w:rsidRPr="003A38B9">
        <w:rPr>
          <w:rFonts w:ascii="Times New Roman" w:hAnsi="Times New Roman" w:cs="Times New Roman"/>
          <w:sz w:val="20"/>
          <w:szCs w:val="20"/>
        </w:rPr>
        <w:t>Usenov</w:t>
      </w:r>
      <w:proofErr w:type="spellEnd"/>
      <w:r w:rsidRPr="003A38B9">
        <w:rPr>
          <w:rFonts w:ascii="Times New Roman" w:hAnsi="Times New Roman" w:cs="Times New Roman"/>
          <w:sz w:val="20"/>
          <w:szCs w:val="20"/>
        </w:rPr>
        <w:t xml:space="preserve"> A., </w:t>
      </w:r>
      <w:proofErr w:type="spellStart"/>
      <w:r w:rsidRPr="003A38B9">
        <w:rPr>
          <w:rFonts w:ascii="Times New Roman" w:hAnsi="Times New Roman" w:cs="Times New Roman"/>
          <w:sz w:val="20"/>
          <w:szCs w:val="20"/>
        </w:rPr>
        <w:t>Samandarov</w:t>
      </w:r>
      <w:proofErr w:type="spellEnd"/>
      <w:r w:rsidRPr="003A38B9">
        <w:rPr>
          <w:rFonts w:ascii="Times New Roman" w:hAnsi="Times New Roman" w:cs="Times New Roman"/>
          <w:sz w:val="20"/>
          <w:szCs w:val="20"/>
        </w:rPr>
        <w:t xml:space="preserve"> D., </w:t>
      </w:r>
      <w:proofErr w:type="spellStart"/>
      <w:r w:rsidRPr="003A38B9">
        <w:rPr>
          <w:rFonts w:ascii="Times New Roman" w:hAnsi="Times New Roman" w:cs="Times New Roman"/>
          <w:sz w:val="20"/>
          <w:szCs w:val="20"/>
        </w:rPr>
        <w:t>Azimov</w:t>
      </w:r>
      <w:proofErr w:type="spellEnd"/>
      <w:r w:rsidRPr="003A38B9">
        <w:rPr>
          <w:rFonts w:ascii="Times New Roman" w:hAnsi="Times New Roman" w:cs="Times New Roman"/>
          <w:sz w:val="20"/>
          <w:szCs w:val="20"/>
        </w:rPr>
        <w:t xml:space="preserve"> T. Ultrasonic extraction and determination of flavonoids. XVII International scientific-technical conference “Dynamics of technical systems” (DTS-2021). AIP Conference Proceedings 2507, 050005. 2023. P.1-5. doi.org/10.1063/5.0110524</w:t>
      </w:r>
    </w:p>
    <w:p w14:paraId="6A0FA497" w14:textId="77777777" w:rsidR="00E97103" w:rsidRPr="003A38B9" w:rsidRDefault="00E97103" w:rsidP="00E97103">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Saparov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Dj.E</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Sultonova</w:t>
      </w:r>
      <w:proofErr w:type="spellEnd"/>
      <w:r w:rsidRPr="003A38B9">
        <w:rPr>
          <w:rFonts w:ascii="Times New Roman" w:hAnsi="Times New Roman" w:cs="Times New Roman"/>
          <w:sz w:val="20"/>
          <w:szCs w:val="20"/>
        </w:rPr>
        <w:t xml:space="preserve"> S.A., </w:t>
      </w:r>
      <w:proofErr w:type="spellStart"/>
      <w:r w:rsidRPr="003A38B9">
        <w:rPr>
          <w:rFonts w:ascii="Times New Roman" w:hAnsi="Times New Roman" w:cs="Times New Roman"/>
          <w:sz w:val="20"/>
          <w:szCs w:val="20"/>
        </w:rPr>
        <w:t>Guven</w:t>
      </w:r>
      <w:proofErr w:type="spellEnd"/>
      <w:r w:rsidRPr="003A38B9">
        <w:rPr>
          <w:rFonts w:ascii="Times New Roman" w:hAnsi="Times New Roman" w:cs="Times New Roman"/>
          <w:sz w:val="20"/>
          <w:szCs w:val="20"/>
        </w:rPr>
        <w:t xml:space="preserve"> E.С., </w:t>
      </w:r>
      <w:proofErr w:type="spellStart"/>
      <w:r w:rsidRPr="003A38B9">
        <w:rPr>
          <w:rFonts w:ascii="Times New Roman" w:hAnsi="Times New Roman" w:cs="Times New Roman"/>
          <w:sz w:val="20"/>
          <w:szCs w:val="20"/>
        </w:rPr>
        <w:t>Samandarov</w:t>
      </w:r>
      <w:proofErr w:type="spellEnd"/>
      <w:r w:rsidRPr="003A38B9">
        <w:rPr>
          <w:rFonts w:ascii="Times New Roman" w:hAnsi="Times New Roman" w:cs="Times New Roman"/>
          <w:sz w:val="20"/>
          <w:szCs w:val="20"/>
        </w:rPr>
        <w:t xml:space="preserve"> D.I., </w:t>
      </w:r>
      <w:proofErr w:type="spellStart"/>
      <w:r w:rsidRPr="003A38B9">
        <w:rPr>
          <w:rFonts w:ascii="Times New Roman" w:hAnsi="Times New Roman" w:cs="Times New Roman"/>
          <w:sz w:val="20"/>
          <w:szCs w:val="20"/>
        </w:rPr>
        <w:t>Rakhimov</w:t>
      </w:r>
      <w:proofErr w:type="spellEnd"/>
      <w:r w:rsidRPr="003A38B9">
        <w:rPr>
          <w:rFonts w:ascii="Times New Roman" w:hAnsi="Times New Roman" w:cs="Times New Roman"/>
          <w:sz w:val="20"/>
          <w:szCs w:val="20"/>
        </w:rPr>
        <w:t xml:space="preserve"> A.M. Theoretical study of characteristics and mathematical model of convective drying of foods. // RSES 2023. E3S Web of Conferences 461, 01057 (2023). P.1-5. https://doi.org/10.1051/e3sconf/202346101057</w:t>
      </w:r>
    </w:p>
    <w:p w14:paraId="752A1609" w14:textId="77777777" w:rsidR="00E97103" w:rsidRPr="003A38B9" w:rsidRDefault="00E97103" w:rsidP="00E97103">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w:t>
      </w: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Dadayev</w:t>
      </w:r>
      <w:proofErr w:type="spellEnd"/>
      <w:r w:rsidRPr="003A38B9">
        <w:rPr>
          <w:rFonts w:ascii="Times New Roman" w:hAnsi="Times New Roman" w:cs="Times New Roman"/>
          <w:sz w:val="20"/>
          <w:szCs w:val="20"/>
        </w:rPr>
        <w:t xml:space="preserve"> G.T., </w:t>
      </w:r>
      <w:proofErr w:type="spellStart"/>
      <w:r w:rsidRPr="003A38B9">
        <w:rPr>
          <w:rFonts w:ascii="Times New Roman" w:hAnsi="Times New Roman" w:cs="Times New Roman"/>
          <w:sz w:val="20"/>
          <w:szCs w:val="20"/>
        </w:rPr>
        <w:t>Samandarov</w:t>
      </w:r>
      <w:proofErr w:type="spellEnd"/>
      <w:r w:rsidRPr="003A38B9">
        <w:rPr>
          <w:rFonts w:ascii="Times New Roman" w:hAnsi="Times New Roman" w:cs="Times New Roman"/>
          <w:sz w:val="20"/>
          <w:szCs w:val="20"/>
        </w:rPr>
        <w:t xml:space="preserve"> D.I. Method for drying fruits of rose hips. // International Journal of Innovative Technology and Exploring Engineering (Scopus). Volume-9, Issue-1, November, 2019. Р.3765-3768. </w:t>
      </w:r>
      <w:proofErr w:type="spellStart"/>
      <w:r w:rsidRPr="003A38B9">
        <w:rPr>
          <w:rFonts w:ascii="Times New Roman" w:hAnsi="Times New Roman" w:cs="Times New Roman"/>
          <w:sz w:val="20"/>
          <w:szCs w:val="20"/>
        </w:rPr>
        <w:t>doi</w:t>
      </w:r>
      <w:proofErr w:type="spellEnd"/>
      <w:r w:rsidRPr="003A38B9">
        <w:rPr>
          <w:rFonts w:ascii="Times New Roman" w:hAnsi="Times New Roman" w:cs="Times New Roman"/>
          <w:sz w:val="20"/>
          <w:szCs w:val="20"/>
        </w:rPr>
        <w:t>: 10.35940/</w:t>
      </w:r>
      <w:proofErr w:type="gramStart"/>
      <w:r w:rsidRPr="003A38B9">
        <w:rPr>
          <w:rFonts w:ascii="Times New Roman" w:hAnsi="Times New Roman" w:cs="Times New Roman"/>
          <w:sz w:val="20"/>
          <w:szCs w:val="20"/>
        </w:rPr>
        <w:t>ijitee.A</w:t>
      </w:r>
      <w:proofErr w:type="gramEnd"/>
      <w:r w:rsidRPr="003A38B9">
        <w:rPr>
          <w:rFonts w:ascii="Times New Roman" w:hAnsi="Times New Roman" w:cs="Times New Roman"/>
          <w:sz w:val="20"/>
          <w:szCs w:val="20"/>
        </w:rPr>
        <w:t>4716.119119</w:t>
      </w:r>
    </w:p>
    <w:p w14:paraId="6A9C47A9" w14:textId="77777777" w:rsidR="00E97103" w:rsidRPr="003A38B9" w:rsidRDefault="00E97103" w:rsidP="00E97103">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w:t>
      </w: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Dadayev</w:t>
      </w:r>
      <w:proofErr w:type="spellEnd"/>
      <w:r w:rsidRPr="003A38B9">
        <w:rPr>
          <w:rFonts w:ascii="Times New Roman" w:hAnsi="Times New Roman" w:cs="Times New Roman"/>
          <w:sz w:val="20"/>
          <w:szCs w:val="20"/>
        </w:rPr>
        <w:t xml:space="preserve"> G.T., </w:t>
      </w:r>
      <w:proofErr w:type="spellStart"/>
      <w:r w:rsidRPr="003A38B9">
        <w:rPr>
          <w:rFonts w:ascii="Times New Roman" w:hAnsi="Times New Roman" w:cs="Times New Roman"/>
          <w:sz w:val="20"/>
          <w:szCs w:val="20"/>
        </w:rPr>
        <w:t>Samandarov</w:t>
      </w:r>
      <w:proofErr w:type="spellEnd"/>
      <w:r w:rsidRPr="003A38B9">
        <w:rPr>
          <w:rFonts w:ascii="Times New Roman" w:hAnsi="Times New Roman" w:cs="Times New Roman"/>
          <w:sz w:val="20"/>
          <w:szCs w:val="20"/>
        </w:rPr>
        <w:t xml:space="preserve"> D.I. Method for the primary processing of silkworm cocoons (</w:t>
      </w:r>
      <w:proofErr w:type="spellStart"/>
      <w:r w:rsidRPr="003A38B9">
        <w:rPr>
          <w:rFonts w:ascii="Times New Roman" w:hAnsi="Times New Roman" w:cs="Times New Roman"/>
          <w:sz w:val="20"/>
          <w:szCs w:val="20"/>
        </w:rPr>
        <w:t>Bombyx</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mori</w:t>
      </w:r>
      <w:proofErr w:type="spellEnd"/>
      <w:r w:rsidRPr="003A38B9">
        <w:rPr>
          <w:rFonts w:ascii="Times New Roman" w:hAnsi="Times New Roman" w:cs="Times New Roman"/>
          <w:sz w:val="20"/>
          <w:szCs w:val="20"/>
        </w:rPr>
        <w:t>). // International Journal of Innovative Technology and Exploring Engineering (Scopus). Volume-9, Issue-1, November, 2019. Р.4562-4565. DOI: 10.35940/</w:t>
      </w:r>
      <w:proofErr w:type="gramStart"/>
      <w:r w:rsidRPr="003A38B9">
        <w:rPr>
          <w:rFonts w:ascii="Times New Roman" w:hAnsi="Times New Roman" w:cs="Times New Roman"/>
          <w:sz w:val="20"/>
          <w:szCs w:val="20"/>
        </w:rPr>
        <w:t>ijitee.A</w:t>
      </w:r>
      <w:proofErr w:type="gramEnd"/>
      <w:r w:rsidRPr="003A38B9">
        <w:rPr>
          <w:rFonts w:ascii="Times New Roman" w:hAnsi="Times New Roman" w:cs="Times New Roman"/>
          <w:sz w:val="20"/>
          <w:szCs w:val="20"/>
        </w:rPr>
        <w:t>5089.119119</w:t>
      </w:r>
    </w:p>
    <w:p w14:paraId="087609EC" w14:textId="77777777" w:rsidR="00E97103" w:rsidRPr="003A38B9" w:rsidRDefault="00E97103" w:rsidP="00E97103">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Sh.,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 </w:t>
      </w:r>
      <w:proofErr w:type="spellStart"/>
      <w:r w:rsidRPr="003A38B9">
        <w:rPr>
          <w:rFonts w:ascii="Times New Roman" w:hAnsi="Times New Roman" w:cs="Times New Roman"/>
          <w:sz w:val="20"/>
          <w:szCs w:val="20"/>
        </w:rPr>
        <w:t>Usenov</w:t>
      </w:r>
      <w:proofErr w:type="spellEnd"/>
      <w:r w:rsidRPr="003A38B9">
        <w:rPr>
          <w:rFonts w:ascii="Times New Roman" w:hAnsi="Times New Roman" w:cs="Times New Roman"/>
          <w:sz w:val="20"/>
          <w:szCs w:val="20"/>
        </w:rPr>
        <w:t xml:space="preserve"> A., </w:t>
      </w:r>
      <w:proofErr w:type="spellStart"/>
      <w:r w:rsidRPr="003A38B9">
        <w:rPr>
          <w:rFonts w:ascii="Times New Roman" w:hAnsi="Times New Roman" w:cs="Times New Roman"/>
          <w:sz w:val="20"/>
          <w:szCs w:val="20"/>
        </w:rPr>
        <w:t>Raxmanova</w:t>
      </w:r>
      <w:proofErr w:type="spellEnd"/>
      <w:r w:rsidRPr="003A38B9">
        <w:rPr>
          <w:rFonts w:ascii="Times New Roman" w:hAnsi="Times New Roman" w:cs="Times New Roman"/>
          <w:sz w:val="20"/>
          <w:szCs w:val="20"/>
        </w:rPr>
        <w:t xml:space="preserve"> T. Definitions of useful energy and temperature at the outlet of solar collectors. // E3S Web of Conferences: </w:t>
      </w:r>
      <w:proofErr w:type="spellStart"/>
      <w:r w:rsidRPr="003A38B9">
        <w:rPr>
          <w:rFonts w:ascii="Times New Roman" w:hAnsi="Times New Roman" w:cs="Times New Roman"/>
          <w:sz w:val="20"/>
          <w:szCs w:val="20"/>
        </w:rPr>
        <w:t>Rudenko</w:t>
      </w:r>
      <w:proofErr w:type="spellEnd"/>
      <w:r w:rsidRPr="003A38B9">
        <w:rPr>
          <w:rFonts w:ascii="Times New Roman" w:hAnsi="Times New Roman" w:cs="Times New Roman"/>
          <w:sz w:val="20"/>
          <w:szCs w:val="20"/>
        </w:rPr>
        <w:t xml:space="preserve"> International Conference “Methodological problems in reliability study of large energy systems” (RSES 2020). Vol. 216, 2020. P.1-5.  doi.org/10.1051/e3sconf/202021601094</w:t>
      </w:r>
    </w:p>
    <w:p w14:paraId="336748F3" w14:textId="77777777" w:rsidR="00E97103" w:rsidRPr="003A38B9" w:rsidRDefault="00E97103" w:rsidP="00E97103">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Usenov</w:t>
      </w:r>
      <w:proofErr w:type="spellEnd"/>
      <w:r w:rsidRPr="003A38B9">
        <w:rPr>
          <w:rFonts w:ascii="Times New Roman" w:hAnsi="Times New Roman" w:cs="Times New Roman"/>
          <w:sz w:val="20"/>
          <w:szCs w:val="20"/>
        </w:rPr>
        <w:t xml:space="preserve"> A.B., </w:t>
      </w: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w:t>
      </w:r>
      <w:proofErr w:type="spellStart"/>
      <w:r w:rsidRPr="003A38B9">
        <w:rPr>
          <w:rFonts w:ascii="Times New Roman" w:hAnsi="Times New Roman" w:cs="Times New Roman"/>
          <w:sz w:val="20"/>
          <w:szCs w:val="20"/>
        </w:rPr>
        <w:t>Azimov</w:t>
      </w:r>
      <w:proofErr w:type="spellEnd"/>
      <w:r w:rsidRPr="003A38B9">
        <w:rPr>
          <w:rFonts w:ascii="Times New Roman" w:hAnsi="Times New Roman" w:cs="Times New Roman"/>
          <w:sz w:val="20"/>
          <w:szCs w:val="20"/>
        </w:rPr>
        <w:t xml:space="preserve"> A.T. Experimental-statistic modelling of temperature dependence of solubility in the extraction of </w:t>
      </w:r>
      <w:proofErr w:type="spellStart"/>
      <w:r w:rsidRPr="003A38B9">
        <w:rPr>
          <w:rFonts w:ascii="Times New Roman" w:hAnsi="Times New Roman" w:cs="Times New Roman"/>
          <w:sz w:val="20"/>
          <w:szCs w:val="20"/>
        </w:rPr>
        <w:t>ocimum</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basilicum</w:t>
      </w:r>
      <w:proofErr w:type="spellEnd"/>
      <w:r w:rsidRPr="003A38B9">
        <w:rPr>
          <w:rFonts w:ascii="Times New Roman" w:hAnsi="Times New Roman" w:cs="Times New Roman"/>
          <w:sz w:val="20"/>
          <w:szCs w:val="20"/>
        </w:rPr>
        <w:t xml:space="preserve"> plants. // International conference AEGIS-2021 «Agricultural Engineering and Green Infrastructure Solutions». IOP Conf. Series: Earth and Environmental Science 868 (2021) 012047. P.1-5. doi:10.1088/1755-1315/868/1/012047</w:t>
      </w:r>
    </w:p>
    <w:p w14:paraId="1C665E2F" w14:textId="77777777" w:rsidR="00E97103" w:rsidRPr="003A38B9" w:rsidRDefault="00E97103" w:rsidP="00E97103">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 xml:space="preserve">1Sultanova </w:t>
      </w:r>
      <w:proofErr w:type="spellStart"/>
      <w:r w:rsidRPr="003A38B9">
        <w:rPr>
          <w:rFonts w:ascii="Times New Roman" w:hAnsi="Times New Roman" w:cs="Times New Roman"/>
          <w:sz w:val="20"/>
          <w:szCs w:val="20"/>
        </w:rPr>
        <w:t>Sh.A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w:t>
      </w:r>
      <w:proofErr w:type="spellStart"/>
      <w:r w:rsidRPr="003A38B9">
        <w:rPr>
          <w:rFonts w:ascii="Times New Roman" w:hAnsi="Times New Roman" w:cs="Times New Roman"/>
          <w:sz w:val="20"/>
          <w:szCs w:val="20"/>
        </w:rPr>
        <w:t>Usenov</w:t>
      </w:r>
      <w:proofErr w:type="spellEnd"/>
      <w:r w:rsidRPr="003A38B9">
        <w:rPr>
          <w:rFonts w:ascii="Times New Roman" w:hAnsi="Times New Roman" w:cs="Times New Roman"/>
          <w:sz w:val="20"/>
          <w:szCs w:val="20"/>
        </w:rPr>
        <w:t xml:space="preserve"> A.B., </w:t>
      </w:r>
      <w:proofErr w:type="spellStart"/>
      <w:r w:rsidRPr="003A38B9">
        <w:rPr>
          <w:rFonts w:ascii="Times New Roman" w:hAnsi="Times New Roman" w:cs="Times New Roman"/>
          <w:sz w:val="20"/>
          <w:szCs w:val="20"/>
        </w:rPr>
        <w:t>Muminova</w:t>
      </w:r>
      <w:proofErr w:type="spellEnd"/>
      <w:r w:rsidRPr="003A38B9">
        <w:rPr>
          <w:rFonts w:ascii="Times New Roman" w:hAnsi="Times New Roman" w:cs="Times New Roman"/>
          <w:sz w:val="20"/>
          <w:szCs w:val="20"/>
        </w:rPr>
        <w:t xml:space="preserve"> D. Analysis of the design of ultrasonic electronic generators. // Journal of Physics: Conference Series. International Conference "High-tech and Innovations in Research and Manufacturing" (HIRM 2021). 2176 (2022) 012007. doi:10.1088/1742-6596/2176/1/012007</w:t>
      </w:r>
    </w:p>
    <w:p w14:paraId="1E37E4A1" w14:textId="77777777" w:rsidR="00E97103" w:rsidRPr="003A38B9" w:rsidRDefault="00E97103" w:rsidP="00E97103">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Zulpanov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Sh.U</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Samandarov</w:t>
      </w:r>
      <w:proofErr w:type="spellEnd"/>
      <w:r w:rsidRPr="003A38B9">
        <w:rPr>
          <w:rFonts w:ascii="Times New Roman" w:hAnsi="Times New Roman" w:cs="Times New Roman"/>
          <w:sz w:val="20"/>
          <w:szCs w:val="20"/>
        </w:rPr>
        <w:t xml:space="preserve"> D.I., </w:t>
      </w:r>
      <w:proofErr w:type="spellStart"/>
      <w:r w:rsidRPr="003A38B9">
        <w:rPr>
          <w:rFonts w:ascii="Times New Roman" w:hAnsi="Times New Roman" w:cs="Times New Roman"/>
          <w:sz w:val="20"/>
          <w:szCs w:val="20"/>
        </w:rPr>
        <w:t>Dadayev</w:t>
      </w:r>
      <w:proofErr w:type="spellEnd"/>
      <w:r w:rsidRPr="003A38B9">
        <w:rPr>
          <w:rFonts w:ascii="Times New Roman" w:hAnsi="Times New Roman" w:cs="Times New Roman"/>
          <w:sz w:val="20"/>
          <w:szCs w:val="20"/>
        </w:rPr>
        <w:t xml:space="preserve"> G.T., </w:t>
      </w:r>
      <w:proofErr w:type="spellStart"/>
      <w:r w:rsidRPr="003A38B9">
        <w:rPr>
          <w:rFonts w:ascii="Times New Roman" w:hAnsi="Times New Roman" w:cs="Times New Roman"/>
          <w:sz w:val="20"/>
          <w:szCs w:val="20"/>
        </w:rPr>
        <w:t>Sultonova</w:t>
      </w:r>
      <w:proofErr w:type="spellEnd"/>
      <w:r w:rsidRPr="003A38B9">
        <w:rPr>
          <w:rFonts w:ascii="Times New Roman" w:hAnsi="Times New Roman" w:cs="Times New Roman"/>
          <w:sz w:val="20"/>
          <w:szCs w:val="20"/>
        </w:rPr>
        <w:t xml:space="preserve"> S.A.,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Research of the influence of mulberry silkworm cocoon structure on drying kinetics. // IOP Conf. Series: Earth and Environmental Science (AEGIS-2022). 1076 (2022) 012059. Р.1-6. doi:10.1088/1755-1315/1076/1/012059</w:t>
      </w:r>
    </w:p>
    <w:p w14:paraId="7F814939" w14:textId="614AA6C3" w:rsidR="00E97103" w:rsidRPr="00697B56" w:rsidRDefault="00E97103" w:rsidP="00E97103">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3A38B9">
        <w:rPr>
          <w:sz w:val="20"/>
          <w:szCs w:val="20"/>
          <w:lang w:val="en-US"/>
        </w:rPr>
        <w:t>Tarawade</w:t>
      </w:r>
      <w:proofErr w:type="spellEnd"/>
      <w:r w:rsidRPr="003A38B9">
        <w:rPr>
          <w:sz w:val="20"/>
          <w:szCs w:val="20"/>
          <w:lang w:val="en-US"/>
        </w:rPr>
        <w:t xml:space="preserve"> A., </w:t>
      </w:r>
      <w:proofErr w:type="spellStart"/>
      <w:r w:rsidRPr="003A38B9">
        <w:rPr>
          <w:sz w:val="20"/>
          <w:szCs w:val="20"/>
          <w:lang w:val="en-US"/>
        </w:rPr>
        <w:t>Samandarov</w:t>
      </w:r>
      <w:proofErr w:type="spellEnd"/>
      <w:r w:rsidRPr="003A38B9">
        <w:rPr>
          <w:sz w:val="20"/>
          <w:szCs w:val="20"/>
          <w:lang w:val="en-US"/>
        </w:rPr>
        <w:t xml:space="preserve"> D.I., </w:t>
      </w:r>
      <w:proofErr w:type="spellStart"/>
      <w:r w:rsidRPr="003A38B9">
        <w:rPr>
          <w:sz w:val="20"/>
          <w:szCs w:val="20"/>
          <w:lang w:val="en-US"/>
        </w:rPr>
        <w:t>Azimov</w:t>
      </w:r>
      <w:proofErr w:type="spellEnd"/>
      <w:r w:rsidRPr="003A38B9">
        <w:rPr>
          <w:sz w:val="20"/>
          <w:szCs w:val="20"/>
          <w:lang w:val="en-US"/>
        </w:rPr>
        <w:t xml:space="preserve"> </w:t>
      </w:r>
      <w:proofErr w:type="spellStart"/>
      <w:r w:rsidRPr="003A38B9">
        <w:rPr>
          <w:sz w:val="20"/>
          <w:szCs w:val="20"/>
          <w:lang w:val="en-US"/>
        </w:rPr>
        <w:t>T.Dj</w:t>
      </w:r>
      <w:proofErr w:type="spellEnd"/>
      <w:r w:rsidRPr="003A38B9">
        <w:rPr>
          <w:sz w:val="20"/>
          <w:szCs w:val="20"/>
          <w:lang w:val="en-US"/>
        </w:rPr>
        <w:t xml:space="preserve">., </w:t>
      </w:r>
      <w:proofErr w:type="spellStart"/>
      <w:r w:rsidRPr="003A38B9">
        <w:rPr>
          <w:sz w:val="20"/>
          <w:szCs w:val="20"/>
          <w:lang w:val="en-US"/>
        </w:rPr>
        <w:t>Sultanova</w:t>
      </w:r>
      <w:proofErr w:type="spellEnd"/>
      <w:r w:rsidRPr="003A38B9">
        <w:rPr>
          <w:sz w:val="20"/>
          <w:szCs w:val="20"/>
          <w:lang w:val="en-US"/>
        </w:rPr>
        <w:t xml:space="preserve"> </w:t>
      </w:r>
      <w:proofErr w:type="spellStart"/>
      <w:r w:rsidRPr="003A38B9">
        <w:rPr>
          <w:sz w:val="20"/>
          <w:szCs w:val="20"/>
          <w:lang w:val="en-US"/>
        </w:rPr>
        <w:t>Sh.A</w:t>
      </w:r>
      <w:proofErr w:type="spellEnd"/>
      <w:r w:rsidRPr="003A38B9">
        <w:rPr>
          <w:sz w:val="20"/>
          <w:szCs w:val="20"/>
          <w:lang w:val="en-US"/>
        </w:rPr>
        <w:t xml:space="preserve">., </w:t>
      </w:r>
      <w:proofErr w:type="spellStart"/>
      <w:r w:rsidRPr="003A38B9">
        <w:rPr>
          <w:sz w:val="20"/>
          <w:szCs w:val="20"/>
          <w:lang w:val="en-US"/>
        </w:rPr>
        <w:t>Safarov</w:t>
      </w:r>
      <w:proofErr w:type="spellEnd"/>
      <w:r w:rsidRPr="003A38B9">
        <w:rPr>
          <w:sz w:val="20"/>
          <w:szCs w:val="20"/>
          <w:lang w:val="en-US"/>
        </w:rPr>
        <w:t xml:space="preserve"> J.E. Theoretical and experimental study of the drying process of mulberry fruits by infrared radiation. // IOP Conf. </w:t>
      </w:r>
      <w:proofErr w:type="spellStart"/>
      <w:r w:rsidRPr="003A38B9">
        <w:rPr>
          <w:sz w:val="20"/>
          <w:szCs w:val="20"/>
        </w:rPr>
        <w:t>Series</w:t>
      </w:r>
      <w:proofErr w:type="spellEnd"/>
      <w:r w:rsidRPr="003A38B9">
        <w:rPr>
          <w:sz w:val="20"/>
          <w:szCs w:val="20"/>
        </w:rPr>
        <w:t xml:space="preserve">: </w:t>
      </w:r>
      <w:proofErr w:type="spellStart"/>
      <w:r w:rsidRPr="003A38B9">
        <w:rPr>
          <w:sz w:val="20"/>
          <w:szCs w:val="20"/>
        </w:rPr>
        <w:t>Earth</w:t>
      </w:r>
      <w:proofErr w:type="spellEnd"/>
      <w:r w:rsidRPr="003A38B9">
        <w:rPr>
          <w:sz w:val="20"/>
          <w:szCs w:val="20"/>
        </w:rPr>
        <w:t xml:space="preserve"> </w:t>
      </w:r>
      <w:proofErr w:type="spellStart"/>
      <w:r w:rsidRPr="003A38B9">
        <w:rPr>
          <w:sz w:val="20"/>
          <w:szCs w:val="20"/>
        </w:rPr>
        <w:t>and</w:t>
      </w:r>
      <w:proofErr w:type="spellEnd"/>
      <w:r w:rsidRPr="003A38B9">
        <w:rPr>
          <w:sz w:val="20"/>
          <w:szCs w:val="20"/>
        </w:rPr>
        <w:t xml:space="preserve"> </w:t>
      </w:r>
      <w:proofErr w:type="spellStart"/>
      <w:r w:rsidRPr="003A38B9">
        <w:rPr>
          <w:sz w:val="20"/>
          <w:szCs w:val="20"/>
        </w:rPr>
        <w:t>Environmental</w:t>
      </w:r>
      <w:proofErr w:type="spellEnd"/>
      <w:r w:rsidRPr="003A38B9">
        <w:rPr>
          <w:sz w:val="20"/>
          <w:szCs w:val="20"/>
        </w:rPr>
        <w:t xml:space="preserve"> </w:t>
      </w:r>
      <w:proofErr w:type="spellStart"/>
      <w:r w:rsidRPr="003A38B9">
        <w:rPr>
          <w:sz w:val="20"/>
          <w:szCs w:val="20"/>
        </w:rPr>
        <w:t>Science</w:t>
      </w:r>
      <w:proofErr w:type="spellEnd"/>
      <w:r w:rsidRPr="003A38B9">
        <w:rPr>
          <w:sz w:val="20"/>
          <w:szCs w:val="20"/>
        </w:rPr>
        <w:t xml:space="preserve"> (ETESD). 1112 (2022) 012098. P.1-9. doi:10.1088/1755-1315/1112/1/012098</w:t>
      </w:r>
      <w:bookmarkEnd w:id="2"/>
    </w:p>
    <w:sectPr w:rsidR="00E97103" w:rsidRPr="00697B56" w:rsidSect="001804A8">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Std-Regular">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D154BCC"/>
    <w:multiLevelType w:val="multilevel"/>
    <w:tmpl w:val="350C60C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15:restartNumberingAfterBreak="0">
    <w:nsid w:val="2DEB4866"/>
    <w:multiLevelType w:val="multilevel"/>
    <w:tmpl w:val="6FF43CB4"/>
    <w:lvl w:ilvl="0">
      <w:start w:val="1"/>
      <w:numFmt w:val="decimal"/>
      <w:lvlText w:val="%1."/>
      <w:lvlJc w:val="left"/>
      <w:pPr>
        <w:ind w:left="6314" w:hanging="360"/>
      </w:pPr>
      <w:rPr>
        <w:rFonts w:hint="default"/>
      </w:rPr>
    </w:lvl>
    <w:lvl w:ilvl="1">
      <w:start w:val="1"/>
      <w:numFmt w:val="lowerLetter"/>
      <w:lvlText w:val="%2."/>
      <w:lvlJc w:val="left"/>
      <w:pPr>
        <w:ind w:left="7034" w:hanging="360"/>
      </w:pPr>
      <w:rPr>
        <w:rFonts w:ascii="Times New Roman" w:hAnsi="Times New Roman" w:cs="Times New Roman" w:hint="default"/>
      </w:rPr>
    </w:lvl>
    <w:lvl w:ilvl="2">
      <w:start w:val="1"/>
      <w:numFmt w:val="lowerRoman"/>
      <w:lvlText w:val="%3."/>
      <w:lvlJc w:val="right"/>
      <w:pPr>
        <w:ind w:left="7754" w:hanging="360"/>
      </w:pPr>
      <w:rPr>
        <w:rFonts w:ascii="Times New Roman" w:hAnsi="Times New Roman" w:cs="Times New Roman" w:hint="default"/>
      </w:rPr>
    </w:lvl>
    <w:lvl w:ilvl="3">
      <w:start w:val="1"/>
      <w:numFmt w:val="decimal"/>
      <w:lvlText w:val="%4."/>
      <w:lvlJc w:val="left"/>
      <w:pPr>
        <w:ind w:left="8474" w:hanging="360"/>
      </w:pPr>
      <w:rPr>
        <w:rFonts w:ascii="Times New Roman" w:hAnsi="Times New Roman" w:cs="Times New Roman" w:hint="default"/>
      </w:rPr>
    </w:lvl>
    <w:lvl w:ilvl="4">
      <w:start w:val="1"/>
      <w:numFmt w:val="lowerLetter"/>
      <w:lvlText w:val="%5."/>
      <w:lvlJc w:val="left"/>
      <w:pPr>
        <w:ind w:left="9194" w:hanging="360"/>
      </w:pPr>
      <w:rPr>
        <w:rFonts w:ascii="Times New Roman" w:hAnsi="Times New Roman" w:cs="Times New Roman" w:hint="default"/>
      </w:rPr>
    </w:lvl>
    <w:lvl w:ilvl="5">
      <w:start w:val="1"/>
      <w:numFmt w:val="lowerRoman"/>
      <w:lvlText w:val="%6."/>
      <w:lvlJc w:val="right"/>
      <w:pPr>
        <w:ind w:left="9914" w:hanging="360"/>
      </w:pPr>
      <w:rPr>
        <w:rFonts w:ascii="Times New Roman" w:hAnsi="Times New Roman" w:cs="Times New Roman" w:hint="default"/>
      </w:rPr>
    </w:lvl>
    <w:lvl w:ilvl="6">
      <w:start w:val="1"/>
      <w:numFmt w:val="decimal"/>
      <w:lvlText w:val="%7."/>
      <w:lvlJc w:val="left"/>
      <w:pPr>
        <w:ind w:left="10634" w:hanging="360"/>
      </w:pPr>
      <w:rPr>
        <w:rFonts w:ascii="Times New Roman" w:hAnsi="Times New Roman" w:cs="Times New Roman" w:hint="default"/>
      </w:rPr>
    </w:lvl>
    <w:lvl w:ilvl="7">
      <w:start w:val="1"/>
      <w:numFmt w:val="lowerLetter"/>
      <w:lvlText w:val="%8."/>
      <w:lvlJc w:val="left"/>
      <w:pPr>
        <w:ind w:left="11354" w:hanging="360"/>
      </w:pPr>
      <w:rPr>
        <w:rFonts w:ascii="Times New Roman" w:hAnsi="Times New Roman" w:cs="Times New Roman" w:hint="default"/>
      </w:rPr>
    </w:lvl>
    <w:lvl w:ilvl="8">
      <w:start w:val="1"/>
      <w:numFmt w:val="lowerRoman"/>
      <w:lvlText w:val="%9."/>
      <w:lvlJc w:val="right"/>
      <w:pPr>
        <w:ind w:left="12074" w:hanging="360"/>
      </w:pPr>
      <w:rPr>
        <w:rFonts w:ascii="Times New Roman" w:hAnsi="Times New Roman" w:cs="Times New Roman" w:hint="default"/>
      </w:r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D47CD7"/>
    <w:multiLevelType w:val="hybridMultilevel"/>
    <w:tmpl w:val="53F681B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15:restartNumberingAfterBreak="0">
    <w:nsid w:val="5226454E"/>
    <w:multiLevelType w:val="hybridMultilevel"/>
    <w:tmpl w:val="31AE369E"/>
    <w:lvl w:ilvl="0" w:tplc="AADC5EA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8"/>
  </w:num>
  <w:num w:numId="4">
    <w:abstractNumId w:val="5"/>
  </w:num>
  <w:num w:numId="5">
    <w:abstractNumId w:val="4"/>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453"/>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84A"/>
    <w:rsid w:val="00036D11"/>
    <w:rsid w:val="00036E9C"/>
    <w:rsid w:val="00037002"/>
    <w:rsid w:val="0003742E"/>
    <w:rsid w:val="00037FB4"/>
    <w:rsid w:val="000409BE"/>
    <w:rsid w:val="00040B5D"/>
    <w:rsid w:val="00040B6D"/>
    <w:rsid w:val="00040D26"/>
    <w:rsid w:val="00040E7E"/>
    <w:rsid w:val="00042167"/>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63E"/>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464"/>
    <w:rsid w:val="00080EBA"/>
    <w:rsid w:val="000822B0"/>
    <w:rsid w:val="0008245E"/>
    <w:rsid w:val="000829DD"/>
    <w:rsid w:val="000838AB"/>
    <w:rsid w:val="00083E18"/>
    <w:rsid w:val="000841C9"/>
    <w:rsid w:val="0008428D"/>
    <w:rsid w:val="0008473C"/>
    <w:rsid w:val="00084A48"/>
    <w:rsid w:val="00084EF6"/>
    <w:rsid w:val="0008575B"/>
    <w:rsid w:val="00085FF8"/>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2CA1"/>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4C89"/>
    <w:rsid w:val="000E5508"/>
    <w:rsid w:val="000E57FE"/>
    <w:rsid w:val="000E607E"/>
    <w:rsid w:val="000E6198"/>
    <w:rsid w:val="000E6875"/>
    <w:rsid w:val="000E6C94"/>
    <w:rsid w:val="000E7343"/>
    <w:rsid w:val="000E7DD4"/>
    <w:rsid w:val="000F1750"/>
    <w:rsid w:val="000F28F1"/>
    <w:rsid w:val="000F3057"/>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9C6"/>
    <w:rsid w:val="00113B35"/>
    <w:rsid w:val="0011562E"/>
    <w:rsid w:val="001156BA"/>
    <w:rsid w:val="00116347"/>
    <w:rsid w:val="001170CC"/>
    <w:rsid w:val="001174B9"/>
    <w:rsid w:val="00117F92"/>
    <w:rsid w:val="001208BC"/>
    <w:rsid w:val="00120B26"/>
    <w:rsid w:val="00121591"/>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0690"/>
    <w:rsid w:val="001409A1"/>
    <w:rsid w:val="00141026"/>
    <w:rsid w:val="00141535"/>
    <w:rsid w:val="0014260F"/>
    <w:rsid w:val="00142E3C"/>
    <w:rsid w:val="00143B5E"/>
    <w:rsid w:val="0014403C"/>
    <w:rsid w:val="001445D1"/>
    <w:rsid w:val="001446BF"/>
    <w:rsid w:val="00144820"/>
    <w:rsid w:val="001450D3"/>
    <w:rsid w:val="00145FB4"/>
    <w:rsid w:val="0014679B"/>
    <w:rsid w:val="00146F9A"/>
    <w:rsid w:val="001471A7"/>
    <w:rsid w:val="00147990"/>
    <w:rsid w:val="00152451"/>
    <w:rsid w:val="0015261D"/>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1F0D"/>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04A8"/>
    <w:rsid w:val="00181BFF"/>
    <w:rsid w:val="001823AF"/>
    <w:rsid w:val="0018300E"/>
    <w:rsid w:val="00183BE3"/>
    <w:rsid w:val="00183ED5"/>
    <w:rsid w:val="001847B4"/>
    <w:rsid w:val="00184CDF"/>
    <w:rsid w:val="0018504A"/>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5E"/>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359"/>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308"/>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026"/>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1790B"/>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59E4"/>
    <w:rsid w:val="0023614C"/>
    <w:rsid w:val="002361CA"/>
    <w:rsid w:val="00236471"/>
    <w:rsid w:val="00236868"/>
    <w:rsid w:val="0024023C"/>
    <w:rsid w:val="0024058E"/>
    <w:rsid w:val="00241D5C"/>
    <w:rsid w:val="002421E1"/>
    <w:rsid w:val="0024323B"/>
    <w:rsid w:val="002434DD"/>
    <w:rsid w:val="00243529"/>
    <w:rsid w:val="00244499"/>
    <w:rsid w:val="00244F00"/>
    <w:rsid w:val="002459B2"/>
    <w:rsid w:val="002466F0"/>
    <w:rsid w:val="00247009"/>
    <w:rsid w:val="002471A8"/>
    <w:rsid w:val="00247218"/>
    <w:rsid w:val="0025006C"/>
    <w:rsid w:val="00250A37"/>
    <w:rsid w:val="00250F29"/>
    <w:rsid w:val="0025293E"/>
    <w:rsid w:val="00253A61"/>
    <w:rsid w:val="00253D6F"/>
    <w:rsid w:val="00255BD8"/>
    <w:rsid w:val="00256353"/>
    <w:rsid w:val="0025698C"/>
    <w:rsid w:val="00256C5C"/>
    <w:rsid w:val="00257072"/>
    <w:rsid w:val="002570D6"/>
    <w:rsid w:val="0025712A"/>
    <w:rsid w:val="0026084E"/>
    <w:rsid w:val="00260E5D"/>
    <w:rsid w:val="002617B0"/>
    <w:rsid w:val="002618B8"/>
    <w:rsid w:val="00261A2E"/>
    <w:rsid w:val="002632F8"/>
    <w:rsid w:val="00263301"/>
    <w:rsid w:val="00264749"/>
    <w:rsid w:val="00264F62"/>
    <w:rsid w:val="002657C2"/>
    <w:rsid w:val="002661F1"/>
    <w:rsid w:val="0026641C"/>
    <w:rsid w:val="00266462"/>
    <w:rsid w:val="0026761C"/>
    <w:rsid w:val="00267BAA"/>
    <w:rsid w:val="00270533"/>
    <w:rsid w:val="00270A2D"/>
    <w:rsid w:val="00271884"/>
    <w:rsid w:val="002719B6"/>
    <w:rsid w:val="00271CE3"/>
    <w:rsid w:val="00271E9F"/>
    <w:rsid w:val="00272255"/>
    <w:rsid w:val="0027225F"/>
    <w:rsid w:val="0027227B"/>
    <w:rsid w:val="00272473"/>
    <w:rsid w:val="00272BBB"/>
    <w:rsid w:val="00272D10"/>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1F"/>
    <w:rsid w:val="0029525B"/>
    <w:rsid w:val="00297176"/>
    <w:rsid w:val="002972CE"/>
    <w:rsid w:val="002978F3"/>
    <w:rsid w:val="002A03FD"/>
    <w:rsid w:val="002A109C"/>
    <w:rsid w:val="002A118A"/>
    <w:rsid w:val="002A1DB0"/>
    <w:rsid w:val="002A2665"/>
    <w:rsid w:val="002A2841"/>
    <w:rsid w:val="002A477E"/>
    <w:rsid w:val="002A49D7"/>
    <w:rsid w:val="002A4C13"/>
    <w:rsid w:val="002A517D"/>
    <w:rsid w:val="002A572F"/>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6C1"/>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228"/>
    <w:rsid w:val="00325607"/>
    <w:rsid w:val="003272D6"/>
    <w:rsid w:val="00327E91"/>
    <w:rsid w:val="003305EC"/>
    <w:rsid w:val="0033221D"/>
    <w:rsid w:val="0033229A"/>
    <w:rsid w:val="00333350"/>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6525"/>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2F"/>
    <w:rsid w:val="003A69E5"/>
    <w:rsid w:val="003A71F6"/>
    <w:rsid w:val="003A7E66"/>
    <w:rsid w:val="003B1005"/>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221"/>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28A1"/>
    <w:rsid w:val="003F3D1E"/>
    <w:rsid w:val="003F434A"/>
    <w:rsid w:val="003F44D0"/>
    <w:rsid w:val="003F513B"/>
    <w:rsid w:val="003F52BF"/>
    <w:rsid w:val="003F5754"/>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790"/>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356"/>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DE3"/>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558"/>
    <w:rsid w:val="00471CB3"/>
    <w:rsid w:val="00471F2F"/>
    <w:rsid w:val="00472688"/>
    <w:rsid w:val="004736C9"/>
    <w:rsid w:val="004745E2"/>
    <w:rsid w:val="00474778"/>
    <w:rsid w:val="004761E3"/>
    <w:rsid w:val="004762D7"/>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65B9"/>
    <w:rsid w:val="00487CEA"/>
    <w:rsid w:val="00491A0F"/>
    <w:rsid w:val="0049214D"/>
    <w:rsid w:val="004923AA"/>
    <w:rsid w:val="004929D1"/>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3D1"/>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7D4"/>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C73"/>
    <w:rsid w:val="004F3F7C"/>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75F"/>
    <w:rsid w:val="00531D76"/>
    <w:rsid w:val="00531E93"/>
    <w:rsid w:val="005322AC"/>
    <w:rsid w:val="00532CB8"/>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2C36"/>
    <w:rsid w:val="0054329D"/>
    <w:rsid w:val="005435F4"/>
    <w:rsid w:val="00543E19"/>
    <w:rsid w:val="00544322"/>
    <w:rsid w:val="005443A2"/>
    <w:rsid w:val="0054518F"/>
    <w:rsid w:val="00545DCE"/>
    <w:rsid w:val="00545F82"/>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188"/>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7B"/>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51C"/>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A7D68"/>
    <w:rsid w:val="005B06FC"/>
    <w:rsid w:val="005B1CCB"/>
    <w:rsid w:val="005B2202"/>
    <w:rsid w:val="005B2802"/>
    <w:rsid w:val="005B2AF7"/>
    <w:rsid w:val="005B39C3"/>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0F42"/>
    <w:rsid w:val="005E21EE"/>
    <w:rsid w:val="005E233A"/>
    <w:rsid w:val="005E2682"/>
    <w:rsid w:val="005E2A9D"/>
    <w:rsid w:val="005E2BD4"/>
    <w:rsid w:val="005E2D6E"/>
    <w:rsid w:val="005E2F94"/>
    <w:rsid w:val="005E3167"/>
    <w:rsid w:val="005E319A"/>
    <w:rsid w:val="005E34C3"/>
    <w:rsid w:val="005E3DCC"/>
    <w:rsid w:val="005E3E4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0CB"/>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3ED"/>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6D6"/>
    <w:rsid w:val="00683BEA"/>
    <w:rsid w:val="00684063"/>
    <w:rsid w:val="00684E4B"/>
    <w:rsid w:val="006854AF"/>
    <w:rsid w:val="006858D1"/>
    <w:rsid w:val="00685FA8"/>
    <w:rsid w:val="00687064"/>
    <w:rsid w:val="006874F4"/>
    <w:rsid w:val="00687606"/>
    <w:rsid w:val="006879C6"/>
    <w:rsid w:val="00687B47"/>
    <w:rsid w:val="00687BED"/>
    <w:rsid w:val="006924C4"/>
    <w:rsid w:val="006929AB"/>
    <w:rsid w:val="00693043"/>
    <w:rsid w:val="0069350C"/>
    <w:rsid w:val="00693FCD"/>
    <w:rsid w:val="0069437F"/>
    <w:rsid w:val="00695E42"/>
    <w:rsid w:val="00697AD0"/>
    <w:rsid w:val="00697B56"/>
    <w:rsid w:val="00697C64"/>
    <w:rsid w:val="006A019C"/>
    <w:rsid w:val="006A06F3"/>
    <w:rsid w:val="006A0835"/>
    <w:rsid w:val="006A139E"/>
    <w:rsid w:val="006A1844"/>
    <w:rsid w:val="006A1DC4"/>
    <w:rsid w:val="006A2AA3"/>
    <w:rsid w:val="006A3EB0"/>
    <w:rsid w:val="006A44B6"/>
    <w:rsid w:val="006A4554"/>
    <w:rsid w:val="006A54C7"/>
    <w:rsid w:val="006A5B32"/>
    <w:rsid w:val="006A6307"/>
    <w:rsid w:val="006A6DB7"/>
    <w:rsid w:val="006A75B7"/>
    <w:rsid w:val="006B0078"/>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18A"/>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5AA"/>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5D58"/>
    <w:rsid w:val="006D6534"/>
    <w:rsid w:val="006D6678"/>
    <w:rsid w:val="006D7B5F"/>
    <w:rsid w:val="006D7F51"/>
    <w:rsid w:val="006E028E"/>
    <w:rsid w:val="006E0DBB"/>
    <w:rsid w:val="006E13C2"/>
    <w:rsid w:val="006E166C"/>
    <w:rsid w:val="006E235E"/>
    <w:rsid w:val="006E3D73"/>
    <w:rsid w:val="006E450B"/>
    <w:rsid w:val="006E4C08"/>
    <w:rsid w:val="006E50AA"/>
    <w:rsid w:val="006E5507"/>
    <w:rsid w:val="006E5971"/>
    <w:rsid w:val="006E5EDA"/>
    <w:rsid w:val="006E63C1"/>
    <w:rsid w:val="006E6545"/>
    <w:rsid w:val="006E7BB9"/>
    <w:rsid w:val="006F030F"/>
    <w:rsid w:val="006F077B"/>
    <w:rsid w:val="006F0884"/>
    <w:rsid w:val="006F09A0"/>
    <w:rsid w:val="006F1B81"/>
    <w:rsid w:val="006F2785"/>
    <w:rsid w:val="006F2971"/>
    <w:rsid w:val="006F2CF8"/>
    <w:rsid w:val="006F3484"/>
    <w:rsid w:val="006F363B"/>
    <w:rsid w:val="006F3938"/>
    <w:rsid w:val="006F3BFD"/>
    <w:rsid w:val="006F4CB5"/>
    <w:rsid w:val="006F4E9E"/>
    <w:rsid w:val="006F629D"/>
    <w:rsid w:val="006F71AE"/>
    <w:rsid w:val="006F730C"/>
    <w:rsid w:val="006F7BFF"/>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0A7A"/>
    <w:rsid w:val="0071111B"/>
    <w:rsid w:val="00711618"/>
    <w:rsid w:val="007121DA"/>
    <w:rsid w:val="00712273"/>
    <w:rsid w:val="007124AC"/>
    <w:rsid w:val="007125D4"/>
    <w:rsid w:val="00713750"/>
    <w:rsid w:val="007138EB"/>
    <w:rsid w:val="00713C69"/>
    <w:rsid w:val="007140BD"/>
    <w:rsid w:val="00714179"/>
    <w:rsid w:val="0071477F"/>
    <w:rsid w:val="00714E06"/>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1DCE"/>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2EFF"/>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475C"/>
    <w:rsid w:val="00755A65"/>
    <w:rsid w:val="007569CF"/>
    <w:rsid w:val="00757283"/>
    <w:rsid w:val="00760072"/>
    <w:rsid w:val="00760169"/>
    <w:rsid w:val="0076019E"/>
    <w:rsid w:val="00761F6F"/>
    <w:rsid w:val="00762230"/>
    <w:rsid w:val="00762762"/>
    <w:rsid w:val="00762A4E"/>
    <w:rsid w:val="007658E6"/>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969"/>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560"/>
    <w:rsid w:val="007D69F1"/>
    <w:rsid w:val="007D7581"/>
    <w:rsid w:val="007D79DC"/>
    <w:rsid w:val="007D7A10"/>
    <w:rsid w:val="007D7B50"/>
    <w:rsid w:val="007D7B57"/>
    <w:rsid w:val="007D7D18"/>
    <w:rsid w:val="007D7F0D"/>
    <w:rsid w:val="007E01F3"/>
    <w:rsid w:val="007E043C"/>
    <w:rsid w:val="007E0AC4"/>
    <w:rsid w:val="007E14AC"/>
    <w:rsid w:val="007E20A8"/>
    <w:rsid w:val="007E2CCD"/>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1E1"/>
    <w:rsid w:val="007F04EE"/>
    <w:rsid w:val="007F08BA"/>
    <w:rsid w:val="007F0968"/>
    <w:rsid w:val="007F0A55"/>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4BF8"/>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1D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4781"/>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0DBF"/>
    <w:rsid w:val="00861039"/>
    <w:rsid w:val="0086199E"/>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17B5"/>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068"/>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3DEA"/>
    <w:rsid w:val="00904898"/>
    <w:rsid w:val="009048ED"/>
    <w:rsid w:val="00904945"/>
    <w:rsid w:val="00904D95"/>
    <w:rsid w:val="00904FE2"/>
    <w:rsid w:val="009053BF"/>
    <w:rsid w:val="00905D45"/>
    <w:rsid w:val="00906BBC"/>
    <w:rsid w:val="0090796B"/>
    <w:rsid w:val="00907BD3"/>
    <w:rsid w:val="00907FA2"/>
    <w:rsid w:val="00912FF8"/>
    <w:rsid w:val="00913AB7"/>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58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1B09"/>
    <w:rsid w:val="00952D53"/>
    <w:rsid w:val="00953984"/>
    <w:rsid w:val="009542A2"/>
    <w:rsid w:val="00955D88"/>
    <w:rsid w:val="00956164"/>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69BC"/>
    <w:rsid w:val="00986CB1"/>
    <w:rsid w:val="00987640"/>
    <w:rsid w:val="00987A00"/>
    <w:rsid w:val="009902E9"/>
    <w:rsid w:val="009903C5"/>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418"/>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7E"/>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1A76"/>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679"/>
    <w:rsid w:val="00A03989"/>
    <w:rsid w:val="00A03A70"/>
    <w:rsid w:val="00A0451F"/>
    <w:rsid w:val="00A04E92"/>
    <w:rsid w:val="00A053ED"/>
    <w:rsid w:val="00A0597C"/>
    <w:rsid w:val="00A0607D"/>
    <w:rsid w:val="00A06232"/>
    <w:rsid w:val="00A06822"/>
    <w:rsid w:val="00A06D67"/>
    <w:rsid w:val="00A06E81"/>
    <w:rsid w:val="00A06FFF"/>
    <w:rsid w:val="00A072E0"/>
    <w:rsid w:val="00A10794"/>
    <w:rsid w:val="00A11423"/>
    <w:rsid w:val="00A115B5"/>
    <w:rsid w:val="00A1196E"/>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4FC"/>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2916"/>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A56"/>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A4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E1A"/>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87BCE"/>
    <w:rsid w:val="00A92019"/>
    <w:rsid w:val="00A921DE"/>
    <w:rsid w:val="00A927C9"/>
    <w:rsid w:val="00A92B5F"/>
    <w:rsid w:val="00A92C24"/>
    <w:rsid w:val="00A93CFE"/>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C6D3A"/>
    <w:rsid w:val="00AD00E0"/>
    <w:rsid w:val="00AD08C7"/>
    <w:rsid w:val="00AD15A6"/>
    <w:rsid w:val="00AD1E2B"/>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054"/>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17C0"/>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6E8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97B35"/>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1E2C"/>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33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4838"/>
    <w:rsid w:val="00C2535C"/>
    <w:rsid w:val="00C25DE0"/>
    <w:rsid w:val="00C25FB5"/>
    <w:rsid w:val="00C265C9"/>
    <w:rsid w:val="00C269B5"/>
    <w:rsid w:val="00C26C64"/>
    <w:rsid w:val="00C270BA"/>
    <w:rsid w:val="00C275B0"/>
    <w:rsid w:val="00C27E29"/>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D99"/>
    <w:rsid w:val="00C43EE5"/>
    <w:rsid w:val="00C44C97"/>
    <w:rsid w:val="00C44FFE"/>
    <w:rsid w:val="00C451CF"/>
    <w:rsid w:val="00C4548D"/>
    <w:rsid w:val="00C45E65"/>
    <w:rsid w:val="00C46D1E"/>
    <w:rsid w:val="00C47959"/>
    <w:rsid w:val="00C509FB"/>
    <w:rsid w:val="00C50CED"/>
    <w:rsid w:val="00C51F45"/>
    <w:rsid w:val="00C522E0"/>
    <w:rsid w:val="00C5247E"/>
    <w:rsid w:val="00C52514"/>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5DAA"/>
    <w:rsid w:val="00C7624F"/>
    <w:rsid w:val="00C7637F"/>
    <w:rsid w:val="00C778D0"/>
    <w:rsid w:val="00C77BD2"/>
    <w:rsid w:val="00C81524"/>
    <w:rsid w:val="00C81915"/>
    <w:rsid w:val="00C81B6C"/>
    <w:rsid w:val="00C81CCD"/>
    <w:rsid w:val="00C8350C"/>
    <w:rsid w:val="00C837B1"/>
    <w:rsid w:val="00C838EA"/>
    <w:rsid w:val="00C83F4A"/>
    <w:rsid w:val="00C84241"/>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86A"/>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1375"/>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2DC"/>
    <w:rsid w:val="00CE69E9"/>
    <w:rsid w:val="00CF0007"/>
    <w:rsid w:val="00CF0566"/>
    <w:rsid w:val="00CF11FA"/>
    <w:rsid w:val="00CF1D56"/>
    <w:rsid w:val="00CF2E84"/>
    <w:rsid w:val="00CF37D5"/>
    <w:rsid w:val="00CF4A82"/>
    <w:rsid w:val="00CF63D6"/>
    <w:rsid w:val="00CF642C"/>
    <w:rsid w:val="00CF719D"/>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119"/>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1FE8"/>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82B"/>
    <w:rsid w:val="00D73A29"/>
    <w:rsid w:val="00D73A5A"/>
    <w:rsid w:val="00D74400"/>
    <w:rsid w:val="00D746C9"/>
    <w:rsid w:val="00D747E3"/>
    <w:rsid w:val="00D76D5F"/>
    <w:rsid w:val="00D773D8"/>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6DC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050"/>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B9B"/>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1EF"/>
    <w:rsid w:val="00DD272E"/>
    <w:rsid w:val="00DD2A72"/>
    <w:rsid w:val="00DD327F"/>
    <w:rsid w:val="00DD3631"/>
    <w:rsid w:val="00DD3CB3"/>
    <w:rsid w:val="00DD3E92"/>
    <w:rsid w:val="00DD4B29"/>
    <w:rsid w:val="00DD4B8C"/>
    <w:rsid w:val="00DD4CCD"/>
    <w:rsid w:val="00DD5981"/>
    <w:rsid w:val="00DD6049"/>
    <w:rsid w:val="00DD6419"/>
    <w:rsid w:val="00DD6697"/>
    <w:rsid w:val="00DD778E"/>
    <w:rsid w:val="00DD7990"/>
    <w:rsid w:val="00DE0401"/>
    <w:rsid w:val="00DE08BD"/>
    <w:rsid w:val="00DE0A6A"/>
    <w:rsid w:val="00DE13B9"/>
    <w:rsid w:val="00DE1430"/>
    <w:rsid w:val="00DE24B2"/>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4C29"/>
    <w:rsid w:val="00DF59AC"/>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EE"/>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56D"/>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08A2"/>
    <w:rsid w:val="00E51030"/>
    <w:rsid w:val="00E51049"/>
    <w:rsid w:val="00E51354"/>
    <w:rsid w:val="00E52401"/>
    <w:rsid w:val="00E5254D"/>
    <w:rsid w:val="00E52986"/>
    <w:rsid w:val="00E5355F"/>
    <w:rsid w:val="00E536A2"/>
    <w:rsid w:val="00E54A74"/>
    <w:rsid w:val="00E54B89"/>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7705B"/>
    <w:rsid w:val="00E800A9"/>
    <w:rsid w:val="00E8316C"/>
    <w:rsid w:val="00E84564"/>
    <w:rsid w:val="00E84654"/>
    <w:rsid w:val="00E84A66"/>
    <w:rsid w:val="00E850A6"/>
    <w:rsid w:val="00E853F1"/>
    <w:rsid w:val="00E85FB3"/>
    <w:rsid w:val="00E86FFB"/>
    <w:rsid w:val="00E87082"/>
    <w:rsid w:val="00E87586"/>
    <w:rsid w:val="00E87610"/>
    <w:rsid w:val="00E87628"/>
    <w:rsid w:val="00E879F1"/>
    <w:rsid w:val="00E92752"/>
    <w:rsid w:val="00E93373"/>
    <w:rsid w:val="00E94D69"/>
    <w:rsid w:val="00E95E4D"/>
    <w:rsid w:val="00E96EB6"/>
    <w:rsid w:val="00E97103"/>
    <w:rsid w:val="00E97456"/>
    <w:rsid w:val="00E979D1"/>
    <w:rsid w:val="00EA002F"/>
    <w:rsid w:val="00EA1886"/>
    <w:rsid w:val="00EA2112"/>
    <w:rsid w:val="00EA2A68"/>
    <w:rsid w:val="00EA2F4C"/>
    <w:rsid w:val="00EA4513"/>
    <w:rsid w:val="00EA55F5"/>
    <w:rsid w:val="00EB13E8"/>
    <w:rsid w:val="00EB1B3C"/>
    <w:rsid w:val="00EB1BC7"/>
    <w:rsid w:val="00EB41D0"/>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C7F93"/>
    <w:rsid w:val="00ED0001"/>
    <w:rsid w:val="00ED1D5F"/>
    <w:rsid w:val="00ED2155"/>
    <w:rsid w:val="00ED2D59"/>
    <w:rsid w:val="00ED3963"/>
    <w:rsid w:val="00ED3B4A"/>
    <w:rsid w:val="00ED4187"/>
    <w:rsid w:val="00ED4292"/>
    <w:rsid w:val="00ED47AA"/>
    <w:rsid w:val="00ED5AC4"/>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57FA"/>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4AD7"/>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242"/>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986"/>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301"/>
    <w:rsid w:val="00FA0994"/>
    <w:rsid w:val="00FA0F5B"/>
    <w:rsid w:val="00FA0F7D"/>
    <w:rsid w:val="00FA26E8"/>
    <w:rsid w:val="00FA26F8"/>
    <w:rsid w:val="00FA2D1D"/>
    <w:rsid w:val="00FA3330"/>
    <w:rsid w:val="00FA35B7"/>
    <w:rsid w:val="00FA35BA"/>
    <w:rsid w:val="00FA4A32"/>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6C7E"/>
    <w:rsid w:val="00FE7C40"/>
    <w:rsid w:val="00FF05FF"/>
    <w:rsid w:val="00FF08A5"/>
    <w:rsid w:val="00FF12CF"/>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36CB3EC5-26BC-4FEE-A394-7E802DB3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242"/>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271CE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1CE3"/>
    <w:rPr>
      <w:rFonts w:ascii="Tahoma" w:hAnsi="Tahoma" w:cs="Tahoma"/>
      <w:sz w:val="16"/>
      <w:szCs w:val="16"/>
    </w:rPr>
  </w:style>
  <w:style w:type="paragraph" w:customStyle="1" w:styleId="Body">
    <w:name w:val="Body"/>
    <w:basedOn w:val="a"/>
    <w:uiPriority w:val="1"/>
    <w:qFormat/>
    <w:rsid w:val="006E5971"/>
    <w:pPr>
      <w:widowControl w:val="0"/>
      <w:autoSpaceDE w:val="0"/>
      <w:autoSpaceDN w:val="0"/>
      <w:adjustRightInd w:val="0"/>
      <w:spacing w:after="0" w:line="240" w:lineRule="auto"/>
    </w:pPr>
    <w:rPr>
      <w:rFonts w:ascii="Times New Roman" w:eastAsia="Times New Roman" w:hAnsi="Times New Roman" w:cs="Times New Roman"/>
      <w:lang w:val="ru-RU" w:eastAsia="ru-RU"/>
    </w:rPr>
  </w:style>
  <w:style w:type="character" w:customStyle="1" w:styleId="fontstyle01">
    <w:name w:val="fontstyle01"/>
    <w:basedOn w:val="a0"/>
    <w:rsid w:val="007E2CCD"/>
    <w:rPr>
      <w:rFonts w:ascii="Times New Roman" w:hAnsi="Times New Roman" w:cs="Times New Roman" w:hint="default"/>
      <w:b w:val="0"/>
      <w:bCs w:val="0"/>
      <w:i w:val="0"/>
      <w:iCs w:val="0"/>
      <w:color w:val="000000"/>
      <w:sz w:val="20"/>
      <w:szCs w:val="20"/>
    </w:rPr>
  </w:style>
  <w:style w:type="character" w:customStyle="1" w:styleId="fontstyle21">
    <w:name w:val="fontstyle21"/>
    <w:basedOn w:val="a0"/>
    <w:rsid w:val="007E2CCD"/>
    <w:rPr>
      <w:rFonts w:ascii="Times New Roman" w:hAnsi="Times New Roman" w:cs="Times New Roman" w:hint="default"/>
      <w:b/>
      <w:bCs/>
      <w:i w:val="0"/>
      <w:iCs w:val="0"/>
      <w:color w:val="000000"/>
      <w:sz w:val="20"/>
      <w:szCs w:val="20"/>
    </w:rPr>
  </w:style>
  <w:style w:type="character" w:customStyle="1" w:styleId="fontstyle31">
    <w:name w:val="fontstyle31"/>
    <w:basedOn w:val="a0"/>
    <w:rsid w:val="007E2CCD"/>
    <w:rPr>
      <w:rFonts w:ascii="TimesNewRomanPSStd-Regular" w:hAnsi="TimesNewRomanPSStd-Regular" w:hint="default"/>
      <w:b w:val="0"/>
      <w:bCs w:val="0"/>
      <w:i w:val="0"/>
      <w:iCs w:val="0"/>
      <w:color w:val="231F20"/>
      <w:sz w:val="20"/>
      <w:szCs w:val="20"/>
    </w:rPr>
  </w:style>
  <w:style w:type="character" w:customStyle="1" w:styleId="fontstyle41">
    <w:name w:val="fontstyle41"/>
    <w:basedOn w:val="a0"/>
    <w:rsid w:val="007E2CCD"/>
    <w:rPr>
      <w:rFonts w:ascii="ArialMT" w:hAnsi="ArialMT" w:hint="default"/>
      <w:b w:val="0"/>
      <w:bCs w:val="0"/>
      <w:i w:val="0"/>
      <w:iCs w:val="0"/>
      <w:color w:val="000000"/>
      <w:sz w:val="12"/>
      <w:szCs w:val="12"/>
    </w:rPr>
  </w:style>
  <w:style w:type="character" w:customStyle="1" w:styleId="fontstyle51">
    <w:name w:val="fontstyle51"/>
    <w:basedOn w:val="a0"/>
    <w:rsid w:val="007E2CCD"/>
    <w:rPr>
      <w:rFonts w:ascii="Times New Roman" w:hAnsi="Times New Roman" w:cs="Times New Roman" w:hint="default"/>
      <w:b w:val="0"/>
      <w:bCs w:val="0"/>
      <w:i/>
      <w:iCs/>
      <w:color w:val="2E2E2E"/>
      <w:sz w:val="20"/>
      <w:szCs w:val="20"/>
    </w:rPr>
  </w:style>
  <w:style w:type="paragraph" w:customStyle="1" w:styleId="Reference">
    <w:name w:val="Reference"/>
    <w:basedOn w:val="a"/>
    <w:rsid w:val="000838AB"/>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paragraph" w:customStyle="1" w:styleId="10">
    <w:name w:val="Абзац списка1"/>
    <w:basedOn w:val="a"/>
    <w:rsid w:val="000838AB"/>
    <w:pPr>
      <w:spacing w:before="100" w:beforeAutospacing="1" w:after="100" w:afterAutospacing="1" w:line="256" w:lineRule="auto"/>
      <w:contextualSpacing/>
    </w:pPr>
    <w:rPr>
      <w:rFonts w:ascii="Calibri" w:eastAsia="Times New Roman" w:hAnsi="Calibri" w:cs="Times New Roman"/>
      <w:sz w:val="24"/>
      <w:szCs w:val="24"/>
      <w:lang w:val="ru-RU" w:eastAsia="ru-RU"/>
    </w:rPr>
  </w:style>
  <w:style w:type="character" w:customStyle="1" w:styleId="15">
    <w:name w:val="15"/>
    <w:basedOn w:val="a0"/>
    <w:rsid w:val="000838AB"/>
    <w:rPr>
      <w:rFonts w:ascii="Calibri" w:hAnsi="Calibri" w:cs="Calibri" w:hint="default"/>
      <w:color w:val="0563C1"/>
      <w:u w:val="single"/>
    </w:rPr>
  </w:style>
  <w:style w:type="character" w:customStyle="1" w:styleId="16">
    <w:name w:val="16"/>
    <w:basedOn w:val="a0"/>
    <w:rsid w:val="000838AB"/>
    <w:rPr>
      <w:rFonts w:ascii="Calibri" w:hAnsi="Calibri" w:cs="Calibri" w:hint="default"/>
      <w:b/>
      <w:bCs/>
    </w:rPr>
  </w:style>
  <w:style w:type="paragraph" w:styleId="a9">
    <w:name w:val="Normal (Web)"/>
    <w:basedOn w:val="a"/>
    <w:uiPriority w:val="99"/>
    <w:unhideWhenUsed/>
    <w:rsid w:val="004929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UnresolvedMention">
    <w:name w:val="Unresolved Mention"/>
    <w:basedOn w:val="a0"/>
    <w:uiPriority w:val="99"/>
    <w:semiHidden/>
    <w:unhideWhenUsed/>
    <w:rsid w:val="00244499"/>
    <w:rPr>
      <w:color w:val="605E5C"/>
      <w:shd w:val="clear" w:color="auto" w:fill="E1DFDD"/>
    </w:rPr>
  </w:style>
  <w:style w:type="character" w:customStyle="1" w:styleId="typography-modulelvnit">
    <w:name w:val="typography-module__lvnit"/>
    <w:basedOn w:val="a0"/>
    <w:rsid w:val="00E97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3788867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287712170">
      <w:bodyDiv w:val="1"/>
      <w:marLeft w:val="0"/>
      <w:marRight w:val="0"/>
      <w:marTop w:val="0"/>
      <w:marBottom w:val="0"/>
      <w:divBdr>
        <w:top w:val="none" w:sz="0" w:space="0" w:color="auto"/>
        <w:left w:val="none" w:sz="0" w:space="0" w:color="auto"/>
        <w:bottom w:val="none" w:sz="0" w:space="0" w:color="auto"/>
        <w:right w:val="none" w:sz="0" w:space="0" w:color="auto"/>
      </w:divBdr>
    </w:div>
    <w:div w:id="746927880">
      <w:bodyDiv w:val="1"/>
      <w:marLeft w:val="0"/>
      <w:marRight w:val="0"/>
      <w:marTop w:val="0"/>
      <w:marBottom w:val="0"/>
      <w:divBdr>
        <w:top w:val="none" w:sz="0" w:space="0" w:color="auto"/>
        <w:left w:val="none" w:sz="0" w:space="0" w:color="auto"/>
        <w:bottom w:val="none" w:sz="0" w:space="0" w:color="auto"/>
        <w:right w:val="none" w:sz="0" w:space="0" w:color="auto"/>
      </w:divBdr>
    </w:div>
    <w:div w:id="877164096">
      <w:bodyDiv w:val="1"/>
      <w:marLeft w:val="0"/>
      <w:marRight w:val="0"/>
      <w:marTop w:val="0"/>
      <w:marBottom w:val="0"/>
      <w:divBdr>
        <w:top w:val="none" w:sz="0" w:space="0" w:color="auto"/>
        <w:left w:val="none" w:sz="0" w:space="0" w:color="auto"/>
        <w:bottom w:val="none" w:sz="0" w:space="0" w:color="auto"/>
        <w:right w:val="none" w:sz="0" w:space="0" w:color="auto"/>
      </w:divBdr>
    </w:div>
    <w:div w:id="1001615750">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79864127">
      <w:bodyDiv w:val="1"/>
      <w:marLeft w:val="0"/>
      <w:marRight w:val="0"/>
      <w:marTop w:val="0"/>
      <w:marBottom w:val="0"/>
      <w:divBdr>
        <w:top w:val="none" w:sz="0" w:space="0" w:color="auto"/>
        <w:left w:val="none" w:sz="0" w:space="0" w:color="auto"/>
        <w:bottom w:val="none" w:sz="0" w:space="0" w:color="auto"/>
        <w:right w:val="none" w:sz="0" w:space="0" w:color="auto"/>
      </w:divBdr>
    </w:div>
    <w:div w:id="1403258008">
      <w:bodyDiv w:val="1"/>
      <w:marLeft w:val="0"/>
      <w:marRight w:val="0"/>
      <w:marTop w:val="0"/>
      <w:marBottom w:val="0"/>
      <w:divBdr>
        <w:top w:val="none" w:sz="0" w:space="0" w:color="auto"/>
        <w:left w:val="none" w:sz="0" w:space="0" w:color="auto"/>
        <w:bottom w:val="none" w:sz="0" w:space="0" w:color="auto"/>
        <w:right w:val="none" w:sz="0" w:space="0" w:color="auto"/>
      </w:divBdr>
    </w:div>
    <w:div w:id="1517034217">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698652862">
      <w:bodyDiv w:val="1"/>
      <w:marLeft w:val="0"/>
      <w:marRight w:val="0"/>
      <w:marTop w:val="0"/>
      <w:marBottom w:val="0"/>
      <w:divBdr>
        <w:top w:val="none" w:sz="0" w:space="0" w:color="auto"/>
        <w:left w:val="none" w:sz="0" w:space="0" w:color="auto"/>
        <w:bottom w:val="none" w:sz="0" w:space="0" w:color="auto"/>
        <w:right w:val="none" w:sz="0" w:space="0" w:color="auto"/>
      </w:divBdr>
    </w:div>
    <w:div w:id="1743019365">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77761193">
      <w:bodyDiv w:val="1"/>
      <w:marLeft w:val="0"/>
      <w:marRight w:val="0"/>
      <w:marTop w:val="0"/>
      <w:marBottom w:val="0"/>
      <w:divBdr>
        <w:top w:val="none" w:sz="0" w:space="0" w:color="auto"/>
        <w:left w:val="none" w:sz="0" w:space="0" w:color="auto"/>
        <w:bottom w:val="none" w:sz="0" w:space="0" w:color="auto"/>
        <w:right w:val="none" w:sz="0" w:space="0" w:color="auto"/>
      </w:divBdr>
    </w:div>
    <w:div w:id="2005745736">
      <w:bodyDiv w:val="1"/>
      <w:marLeft w:val="0"/>
      <w:marRight w:val="0"/>
      <w:marTop w:val="0"/>
      <w:marBottom w:val="0"/>
      <w:divBdr>
        <w:top w:val="none" w:sz="0" w:space="0" w:color="auto"/>
        <w:left w:val="none" w:sz="0" w:space="0" w:color="auto"/>
        <w:bottom w:val="none" w:sz="0" w:space="0" w:color="auto"/>
        <w:right w:val="none" w:sz="0" w:space="0" w:color="auto"/>
      </w:divBdr>
    </w:div>
    <w:div w:id="209592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hyperlink" Target="https://doi.org/10.1051/e3sconf/202452503010" TargetMode="External"/><Relationship Id="rId26" Type="http://schemas.openxmlformats.org/officeDocument/2006/relationships/hyperlink" Target="https://doi.org/10.1063/5.0305735" TargetMode="External"/><Relationship Id="rId39" Type="http://schemas.openxmlformats.org/officeDocument/2006/relationships/hyperlink" Target="https://doi.org/10.1063/5.0305793" TargetMode="External"/><Relationship Id="rId3" Type="http://schemas.openxmlformats.org/officeDocument/2006/relationships/settings" Target="settings.xml"/><Relationship Id="rId21" Type="http://schemas.openxmlformats.org/officeDocument/2006/relationships/hyperlink" Target="https://doi.org/10.1051/e3sconf/202452506001" TargetMode="External"/><Relationship Id="rId34" Type="http://schemas.openxmlformats.org/officeDocument/2006/relationships/hyperlink" Target="https://doi.org/10.21595/vp.2024.24051" TargetMode="External"/><Relationship Id="rId42" Type="http://schemas.openxmlformats.org/officeDocument/2006/relationships/hyperlink" Target="https://doi.org/10.1063/5.0305780" TargetMode="Externa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hyperlink" Target="https://doi.org/10.1051/e3sconf/202452505012" TargetMode="External"/><Relationship Id="rId25" Type="http://schemas.openxmlformats.org/officeDocument/2006/relationships/hyperlink" Target="https://doi.org/10.1063/5.0306786" TargetMode="External"/><Relationship Id="rId33" Type="http://schemas.openxmlformats.org/officeDocument/2006/relationships/hyperlink" Target="https://doi.org/10.1063/5.0306935" TargetMode="External"/><Relationship Id="rId38" Type="http://schemas.openxmlformats.org/officeDocument/2006/relationships/hyperlink" Target="https://doi.org/10.1063/5.0218876" TargetMode="External"/><Relationship Id="rId2" Type="http://schemas.openxmlformats.org/officeDocument/2006/relationships/styles" Target="styles.xml"/><Relationship Id="rId16" Type="http://schemas.openxmlformats.org/officeDocument/2006/relationships/hyperlink" Target="https://doi.org/10.1051/e3sconf/202454803009" TargetMode="External"/><Relationship Id="rId20" Type="http://schemas.openxmlformats.org/officeDocument/2006/relationships/hyperlink" Target="https://doi.org/10.1051/e3sconf/202452503009" TargetMode="External"/><Relationship Id="rId29" Type="http://schemas.openxmlformats.org/officeDocument/2006/relationships/hyperlink" Target="https://doi.org/10.1063/5.0305783" TargetMode="External"/><Relationship Id="rId41" Type="http://schemas.openxmlformats.org/officeDocument/2006/relationships/hyperlink" Target="https://doi.org/10.1063/5.0305786"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hyperlink" Target="https://doi.org/10.1063/5.0306104" TargetMode="External"/><Relationship Id="rId32" Type="http://schemas.openxmlformats.org/officeDocument/2006/relationships/hyperlink" Target="https://doi.org/10.1051/e3sconf/202454803012" TargetMode="External"/><Relationship Id="rId37" Type="http://schemas.openxmlformats.org/officeDocument/2006/relationships/hyperlink" Target="https://doi.org/10.1063/5.0218869" TargetMode="External"/><Relationship Id="rId40" Type="http://schemas.openxmlformats.org/officeDocument/2006/relationships/hyperlink" Target="https://doi.org/10.1063/5.0305792" TargetMode="External"/><Relationship Id="rId5" Type="http://schemas.openxmlformats.org/officeDocument/2006/relationships/hyperlink" Target="mailto:tovboyev70@mail.ru" TargetMode="External"/><Relationship Id="rId15" Type="http://schemas.openxmlformats.org/officeDocument/2006/relationships/hyperlink" Target="https://doi.org/10.1051/e3sconf/202452503004" TargetMode="External"/><Relationship Id="rId23" Type="http://schemas.openxmlformats.org/officeDocument/2006/relationships/hyperlink" Target="https://doi.org/10.1063/5.0307209" TargetMode="External"/><Relationship Id="rId28" Type="http://schemas.openxmlformats.org/officeDocument/2006/relationships/hyperlink" Target="https://doi.org/10.1063/5.0305740" TargetMode="External"/><Relationship Id="rId36" Type="http://schemas.openxmlformats.org/officeDocument/2006/relationships/hyperlink" Target="https://doi.org/10.17580/gzh.2018.09.16" TargetMode="External"/><Relationship Id="rId10" Type="http://schemas.openxmlformats.org/officeDocument/2006/relationships/chart" Target="charts/chart5.xml"/><Relationship Id="rId19" Type="http://schemas.openxmlformats.org/officeDocument/2006/relationships/hyperlink" Target="https://doi.org/10.1051/e3sconf/202341703011" TargetMode="External"/><Relationship Id="rId31" Type="http://schemas.openxmlformats.org/officeDocument/2006/relationships/hyperlink" Target="https://doi.org/10.1063/5.0257860"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hyperlink" Target="https://doi.org/10.1051/e3sconf/202341703001" TargetMode="External"/><Relationship Id="rId22" Type="http://schemas.openxmlformats.org/officeDocument/2006/relationships/hyperlink" Target="https://doi.org/10.1051/e3sconf/202341703003" TargetMode="External"/><Relationship Id="rId27" Type="http://schemas.openxmlformats.org/officeDocument/2006/relationships/hyperlink" Target="https://doi.org/10.1063/5.0306108" TargetMode="External"/><Relationship Id="rId30" Type="http://schemas.openxmlformats.org/officeDocument/2006/relationships/hyperlink" Target="https://doi.org/10.1063/5.0305729" TargetMode="External"/><Relationship Id="rId35" Type="http://schemas.openxmlformats.org/officeDocument/2006/relationships/hyperlink" Target="https://doi.org/10.1063/5.0305703" TargetMode="Externa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7.bin"/></Relationships>
</file>

<file path=word/charts/_rels/chart8.xml.rels><?xml version="1.0" encoding="UTF-8" standalone="yes"?>
<Relationships xmlns="http://schemas.openxmlformats.org/package/2006/relationships"><Relationship Id="rId1" Type="http://schemas.openxmlformats.org/officeDocument/2006/relationships/oleObject" Target="../embeddings/oleObject8.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Measurement Results of </a:t>
            </a:r>
            <a:r>
              <a:rPr lang="uz-Latn-UZ"/>
              <a:t>22</a:t>
            </a:r>
            <a:r>
              <a:rPr lang="en-US"/>
              <a:t>0 kV </a:t>
            </a:r>
          </a:p>
        </c:rich>
      </c:tx>
      <c:overlay val="0"/>
    </c:title>
    <c:autoTitleDeleted val="0"/>
    <c:plotArea>
      <c:layout>
        <c:manualLayout>
          <c:layoutTarget val="inner"/>
          <c:xMode val="edge"/>
          <c:yMode val="edge"/>
          <c:x val="8.9382256007837904E-2"/>
          <c:y val="0.15252881674900023"/>
          <c:w val="0.85252356509652449"/>
          <c:h val="0.67464774383794834"/>
        </c:manualLayout>
      </c:layout>
      <c:barChart>
        <c:barDir val="col"/>
        <c:grouping val="stacked"/>
        <c:varyColors val="0"/>
        <c:ser>
          <c:idx val="0"/>
          <c:order val="0"/>
          <c:tx>
            <c:strRef>
              <c:f>'[500kV_with_chart.xlsx]500kV Data'!$B$1</c:f>
              <c:strCache>
                <c:ptCount val="1"/>
                <c:pt idx="0">
                  <c:v>Power (MW)</c:v>
                </c:pt>
              </c:strCache>
            </c:strRef>
          </c:tx>
          <c:invertIfNegative val="0"/>
          <c:cat>
            <c:strRef>
              <c:f>'[500kV_with_chart.xlsx]500kV Data'!$A$2:$A$17</c:f>
              <c:strCache>
                <c:ptCount val="16"/>
                <c:pt idx="0">
                  <c:v>11:20</c:v>
                </c:pt>
                <c:pt idx="1">
                  <c:v>11:40</c:v>
                </c:pt>
                <c:pt idx="2">
                  <c:v>12:00</c:v>
                </c:pt>
                <c:pt idx="3">
                  <c:v>12:20</c:v>
                </c:pt>
                <c:pt idx="4">
                  <c:v>12:40</c:v>
                </c:pt>
                <c:pt idx="5">
                  <c:v>13:00</c:v>
                </c:pt>
                <c:pt idx="6">
                  <c:v>13:20</c:v>
                </c:pt>
                <c:pt idx="7">
                  <c:v>13:40</c:v>
                </c:pt>
                <c:pt idx="8">
                  <c:v>14:00</c:v>
                </c:pt>
                <c:pt idx="9">
                  <c:v>14:20</c:v>
                </c:pt>
                <c:pt idx="10">
                  <c:v>14:40</c:v>
                </c:pt>
                <c:pt idx="11">
                  <c:v>15:00</c:v>
                </c:pt>
                <c:pt idx="12">
                  <c:v>15:20</c:v>
                </c:pt>
                <c:pt idx="13">
                  <c:v>15:40</c:v>
                </c:pt>
                <c:pt idx="14">
                  <c:v>16:00</c:v>
                </c:pt>
                <c:pt idx="15">
                  <c:v>16:20</c:v>
                </c:pt>
              </c:strCache>
            </c:strRef>
          </c:cat>
          <c:val>
            <c:numRef>
              <c:f>'[500kV_with_chart.xlsx]500kV Data'!$B$2:$B$17</c:f>
              <c:numCache>
                <c:formatCode>General</c:formatCode>
                <c:ptCount val="16"/>
                <c:pt idx="0">
                  <c:v>1</c:v>
                </c:pt>
                <c:pt idx="1">
                  <c:v>1</c:v>
                </c:pt>
                <c:pt idx="2">
                  <c:v>1</c:v>
                </c:pt>
                <c:pt idx="3">
                  <c:v>4.5</c:v>
                </c:pt>
                <c:pt idx="4">
                  <c:v>3.5</c:v>
                </c:pt>
                <c:pt idx="5">
                  <c:v>6</c:v>
                </c:pt>
                <c:pt idx="6">
                  <c:v>5</c:v>
                </c:pt>
                <c:pt idx="7">
                  <c:v>4.5</c:v>
                </c:pt>
                <c:pt idx="8">
                  <c:v>5.5</c:v>
                </c:pt>
                <c:pt idx="9">
                  <c:v>6.5</c:v>
                </c:pt>
                <c:pt idx="10">
                  <c:v>8</c:v>
                </c:pt>
                <c:pt idx="11">
                  <c:v>7</c:v>
                </c:pt>
                <c:pt idx="12">
                  <c:v>6</c:v>
                </c:pt>
                <c:pt idx="13">
                  <c:v>7</c:v>
                </c:pt>
                <c:pt idx="14">
                  <c:v>6.5</c:v>
                </c:pt>
                <c:pt idx="15">
                  <c:v>1</c:v>
                </c:pt>
              </c:numCache>
            </c:numRef>
          </c:val>
          <c:extLst>
            <c:ext xmlns:c16="http://schemas.microsoft.com/office/drawing/2014/chart" uri="{C3380CC4-5D6E-409C-BE32-E72D297353CC}">
              <c16:uniqueId val="{00000000-4B4B-4F9A-8F6D-88E97622C002}"/>
            </c:ext>
          </c:extLst>
        </c:ser>
        <c:dLbls>
          <c:showLegendKey val="0"/>
          <c:showVal val="0"/>
          <c:showCatName val="0"/>
          <c:showSerName val="0"/>
          <c:showPercent val="0"/>
          <c:showBubbleSize val="0"/>
        </c:dLbls>
        <c:gapWidth val="150"/>
        <c:overlap val="100"/>
        <c:axId val="226329728"/>
        <c:axId val="226331648"/>
      </c:barChart>
      <c:catAx>
        <c:axId val="226329728"/>
        <c:scaling>
          <c:orientation val="minMax"/>
        </c:scaling>
        <c:delete val="0"/>
        <c:axPos val="b"/>
        <c:title>
          <c:tx>
            <c:rich>
              <a:bodyPr/>
              <a:lstStyle/>
              <a:p>
                <a:pPr>
                  <a:defRPr/>
                </a:pPr>
                <a:r>
                  <a:rPr lang="en-US"/>
                  <a:t>T, hours</a:t>
                </a:r>
              </a:p>
            </c:rich>
          </c:tx>
          <c:layout>
            <c:manualLayout>
              <c:xMode val="edge"/>
              <c:yMode val="edge"/>
              <c:x val="0.84551575590273376"/>
              <c:y val="0.90898593568535058"/>
            </c:manualLayout>
          </c:layout>
          <c:overlay val="0"/>
        </c:title>
        <c:numFmt formatCode="General" sourceLinked="0"/>
        <c:majorTickMark val="none"/>
        <c:minorTickMark val="none"/>
        <c:tickLblPos val="nextTo"/>
        <c:crossAx val="226331648"/>
        <c:crosses val="autoZero"/>
        <c:auto val="0"/>
        <c:lblAlgn val="ctr"/>
        <c:lblOffset val="100"/>
        <c:noMultiLvlLbl val="0"/>
      </c:catAx>
      <c:valAx>
        <c:axId val="226331648"/>
        <c:scaling>
          <c:orientation val="minMax"/>
        </c:scaling>
        <c:delete val="0"/>
        <c:axPos val="l"/>
        <c:majorGridlines/>
        <c:title>
          <c:tx>
            <c:rich>
              <a:bodyPr/>
              <a:lstStyle/>
              <a:p>
                <a:pPr>
                  <a:defRPr/>
                </a:pPr>
                <a:r>
                  <a:rPr lang="en-US"/>
                  <a:t>Pk, MW</a:t>
                </a:r>
              </a:p>
            </c:rich>
          </c:tx>
          <c:overlay val="0"/>
        </c:title>
        <c:numFmt formatCode="General" sourceLinked="1"/>
        <c:majorTickMark val="none"/>
        <c:minorTickMark val="none"/>
        <c:tickLblPos val="nextTo"/>
        <c:crossAx val="226329728"/>
        <c:crosses val="autoZero"/>
        <c:crossBetween val="between"/>
      </c:valAx>
    </c:plotArea>
    <c:legend>
      <c:legendPos val="r"/>
      <c:layout>
        <c:manualLayout>
          <c:xMode val="edge"/>
          <c:yMode val="edge"/>
          <c:x val="0.11866696423031795"/>
          <c:y val="5.6703286118875207E-2"/>
          <c:w val="0.14747439764196241"/>
          <c:h val="7.4642927926175773E-2"/>
        </c:manualLayout>
      </c:layout>
      <c:overlay val="0"/>
    </c:legend>
    <c:plotVisOnly val="1"/>
    <c:dispBlanksAs val="gap"/>
    <c:showDLblsOverMax val="0"/>
  </c:chart>
  <c:txPr>
    <a:bodyPr/>
    <a:lstStyle/>
    <a:p>
      <a:pPr>
        <a:defRPr sz="9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Power </a:t>
            </a:r>
            <a:r>
              <a:rPr lang="uz-Latn-UZ"/>
              <a:t>s</a:t>
            </a:r>
            <a:r>
              <a:rPr lang="en-US"/>
              <a:t>aving </a:t>
            </a:r>
            <a:r>
              <a:rPr lang="uz-Latn-UZ"/>
              <a:t>and v</a:t>
            </a:r>
            <a:r>
              <a:rPr lang="en-US"/>
              <a:t>oltage </a:t>
            </a:r>
            <a:r>
              <a:rPr lang="uz-Latn-UZ"/>
              <a:t>r</a:t>
            </a:r>
            <a:r>
              <a:rPr lang="en-US"/>
              <a:t>eduction for </a:t>
            </a:r>
            <a:r>
              <a:rPr lang="uz-Latn-UZ"/>
              <a:t>22</a:t>
            </a:r>
            <a:r>
              <a:rPr lang="en-US"/>
              <a:t>0 kV </a:t>
            </a:r>
            <a:r>
              <a:rPr lang="uz-Latn-UZ"/>
              <a:t>o</a:t>
            </a:r>
            <a:r>
              <a:rPr lang="en-US"/>
              <a:t>verhead Line</a:t>
            </a:r>
          </a:p>
        </c:rich>
      </c:tx>
      <c:overlay val="0"/>
    </c:title>
    <c:autoTitleDeleted val="0"/>
    <c:plotArea>
      <c:layout>
        <c:manualLayout>
          <c:layoutTarget val="inner"/>
          <c:xMode val="edge"/>
          <c:yMode val="edge"/>
          <c:x val="0.10525900539040876"/>
          <c:y val="0.15252881674900023"/>
          <c:w val="0.86250799856650884"/>
          <c:h val="0.6538381890689916"/>
        </c:manualLayout>
      </c:layout>
      <c:barChart>
        <c:barDir val="col"/>
        <c:grouping val="stacked"/>
        <c:varyColors val="0"/>
        <c:ser>
          <c:idx val="0"/>
          <c:order val="0"/>
          <c:tx>
            <c:strRef>
              <c:f>[VoltageReduction_500kV_advanced.xlsx]Voltage_Reduction_Adv!$B$1</c:f>
              <c:strCache>
                <c:ptCount val="1"/>
                <c:pt idx="0">
                  <c:v>Power Saving dP (MW)</c:v>
                </c:pt>
              </c:strCache>
            </c:strRef>
          </c:tx>
          <c:spPr>
            <a:ln w="25000">
              <a:solidFill>
                <a:srgbClr val="0066CC"/>
              </a:solidFill>
              <a:prstDash val="solid"/>
            </a:ln>
          </c:spPr>
          <c:invertIfNegative val="0"/>
          <c:cat>
            <c:numRef>
              <c:f>[VoltageReduction_500kV_advanced.xlsx]Voltage_Reduction_Adv!$A$2:$A$5</c:f>
              <c:numCache>
                <c:formatCode>General</c:formatCode>
                <c:ptCount val="4"/>
                <c:pt idx="0">
                  <c:v>5</c:v>
                </c:pt>
                <c:pt idx="1">
                  <c:v>10</c:v>
                </c:pt>
                <c:pt idx="2">
                  <c:v>15</c:v>
                </c:pt>
                <c:pt idx="3">
                  <c:v>20</c:v>
                </c:pt>
              </c:numCache>
            </c:numRef>
          </c:cat>
          <c:val>
            <c:numRef>
              <c:f>[VoltageReduction_500kV_advanced.xlsx]Voltage_Reduction_Adv!$B$2:$B$5</c:f>
              <c:numCache>
                <c:formatCode>General</c:formatCode>
                <c:ptCount val="4"/>
                <c:pt idx="0">
                  <c:v>0.2</c:v>
                </c:pt>
                <c:pt idx="1">
                  <c:v>0.35</c:v>
                </c:pt>
                <c:pt idx="2">
                  <c:v>0.42</c:v>
                </c:pt>
                <c:pt idx="3">
                  <c:v>0.5</c:v>
                </c:pt>
              </c:numCache>
            </c:numRef>
          </c:val>
          <c:extLst>
            <c:ext xmlns:c16="http://schemas.microsoft.com/office/drawing/2014/chart" uri="{C3380CC4-5D6E-409C-BE32-E72D297353CC}">
              <c16:uniqueId val="{00000000-723B-42B2-A916-075EF8A8BBB9}"/>
            </c:ext>
          </c:extLst>
        </c:ser>
        <c:dLbls>
          <c:showLegendKey val="0"/>
          <c:showVal val="0"/>
          <c:showCatName val="0"/>
          <c:showSerName val="0"/>
          <c:showPercent val="0"/>
          <c:showBubbleSize val="0"/>
        </c:dLbls>
        <c:gapWidth val="150"/>
        <c:overlap val="100"/>
        <c:axId val="222825472"/>
        <c:axId val="222827648"/>
      </c:barChart>
      <c:catAx>
        <c:axId val="222825472"/>
        <c:scaling>
          <c:orientation val="minMax"/>
        </c:scaling>
        <c:delete val="0"/>
        <c:axPos val="b"/>
        <c:title>
          <c:tx>
            <c:rich>
              <a:bodyPr/>
              <a:lstStyle/>
              <a:p>
                <a:pPr>
                  <a:defRPr/>
                </a:pPr>
                <a:r>
                  <a:rPr lang="en-US"/>
                  <a:t>Voltage Reduction, dU (kV)</a:t>
                </a:r>
              </a:p>
            </c:rich>
          </c:tx>
          <c:overlay val="0"/>
        </c:title>
        <c:numFmt formatCode="General" sourceLinked="1"/>
        <c:majorTickMark val="none"/>
        <c:minorTickMark val="none"/>
        <c:tickLblPos val="nextTo"/>
        <c:crossAx val="222827648"/>
        <c:crosses val="autoZero"/>
        <c:auto val="0"/>
        <c:lblAlgn val="ctr"/>
        <c:lblOffset val="100"/>
        <c:noMultiLvlLbl val="0"/>
      </c:catAx>
      <c:valAx>
        <c:axId val="222827648"/>
        <c:scaling>
          <c:orientation val="minMax"/>
        </c:scaling>
        <c:delete val="0"/>
        <c:axPos val="l"/>
        <c:majorGridlines/>
        <c:title>
          <c:tx>
            <c:rich>
              <a:bodyPr/>
              <a:lstStyle/>
              <a:p>
                <a:pPr>
                  <a:defRPr/>
                </a:pPr>
                <a:r>
                  <a:rPr lang="en-US"/>
                  <a:t>Power Saving, dP (MW)</a:t>
                </a:r>
              </a:p>
            </c:rich>
          </c:tx>
          <c:overlay val="0"/>
        </c:title>
        <c:numFmt formatCode="General" sourceLinked="1"/>
        <c:majorTickMark val="none"/>
        <c:minorTickMark val="none"/>
        <c:tickLblPos val="nextTo"/>
        <c:crossAx val="222825472"/>
        <c:crosses val="autoZero"/>
        <c:crossBetween val="between"/>
      </c:valAx>
    </c:plotArea>
    <c:legend>
      <c:legendPos val="r"/>
      <c:layout>
        <c:manualLayout>
          <c:xMode val="edge"/>
          <c:yMode val="edge"/>
          <c:x val="0.11159859280791129"/>
          <c:y val="0.18373222048725912"/>
          <c:w val="0.23921876577141371"/>
          <c:h val="7.4642927926175773E-2"/>
        </c:manualLayout>
      </c:layout>
      <c:overlay val="0"/>
    </c:legend>
    <c:plotVisOnly val="1"/>
    <c:dispBlanksAs val="gap"/>
    <c:showDLblsOverMax val="0"/>
  </c:chart>
  <c:txPr>
    <a:bodyPr/>
    <a:lstStyle/>
    <a:p>
      <a:pPr>
        <a:defRPr sz="9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Dependence of </a:t>
            </a:r>
            <a:r>
              <a:rPr lang="uz-Latn-UZ"/>
              <a:t>c</a:t>
            </a:r>
            <a:r>
              <a:rPr lang="en-US"/>
              <a:t>orona </a:t>
            </a:r>
            <a:r>
              <a:rPr lang="uz-Latn-UZ"/>
              <a:t>p</a:t>
            </a:r>
            <a:r>
              <a:rPr lang="en-US"/>
              <a:t>ower </a:t>
            </a:r>
            <a:r>
              <a:rPr lang="uz-Latn-UZ"/>
              <a:t>l</a:t>
            </a:r>
            <a:r>
              <a:rPr lang="en-US"/>
              <a:t>osses on </a:t>
            </a:r>
            <a:r>
              <a:rPr lang="uz-Latn-UZ"/>
              <a:t>a</a:t>
            </a:r>
            <a:r>
              <a:rPr lang="en-US"/>
              <a:t>ctive </a:t>
            </a:r>
            <a:r>
              <a:rPr lang="uz-Latn-UZ"/>
              <a:t>p</a:t>
            </a:r>
            <a:r>
              <a:rPr lang="en-US"/>
              <a:t>ower (</a:t>
            </a:r>
            <a:r>
              <a:rPr lang="uz-Latn-UZ"/>
              <a:t>r</a:t>
            </a:r>
            <a:r>
              <a:rPr lang="en-US"/>
              <a:t>econstructed)</a:t>
            </a:r>
          </a:p>
        </c:rich>
      </c:tx>
      <c:overlay val="0"/>
    </c:title>
    <c:autoTitleDeleted val="0"/>
    <c:plotArea>
      <c:layout/>
      <c:barChart>
        <c:barDir val="col"/>
        <c:grouping val="stacked"/>
        <c:varyColors val="0"/>
        <c:ser>
          <c:idx val="0"/>
          <c:order val="0"/>
          <c:tx>
            <c:strRef>
              <c:f>[CoronaLosses_Dependence.xlsx]CoronaDependence!$B$1</c:f>
              <c:strCache>
                <c:ptCount val="1"/>
                <c:pt idx="0">
                  <c:v>Pblue (MW)</c:v>
                </c:pt>
              </c:strCache>
            </c:strRef>
          </c:tx>
          <c:spPr>
            <a:ln>
              <a:prstDash val="solid"/>
            </a:ln>
          </c:spPr>
          <c:invertIfNegative val="0"/>
          <c:cat>
            <c:numRef>
              <c:f>[CoronaLosses_Dependence.xlsx]CoronaDependence!$A$2:$A$5</c:f>
              <c:numCache>
                <c:formatCode>General</c:formatCode>
                <c:ptCount val="4"/>
                <c:pt idx="0">
                  <c:v>150</c:v>
                </c:pt>
                <c:pt idx="1">
                  <c:v>200</c:v>
                </c:pt>
                <c:pt idx="2">
                  <c:v>300</c:v>
                </c:pt>
                <c:pt idx="3">
                  <c:v>450</c:v>
                </c:pt>
              </c:numCache>
            </c:numRef>
          </c:cat>
          <c:val>
            <c:numRef>
              <c:f>[CoronaLosses_Dependence.xlsx]CoronaDependence!$B$2:$B$5</c:f>
              <c:numCache>
                <c:formatCode>General</c:formatCode>
                <c:ptCount val="4"/>
                <c:pt idx="0">
                  <c:v>1.2</c:v>
                </c:pt>
                <c:pt idx="1">
                  <c:v>1.6</c:v>
                </c:pt>
                <c:pt idx="2">
                  <c:v>3.2</c:v>
                </c:pt>
                <c:pt idx="3">
                  <c:v>7</c:v>
                </c:pt>
              </c:numCache>
            </c:numRef>
          </c:val>
          <c:extLst>
            <c:ext xmlns:c16="http://schemas.microsoft.com/office/drawing/2014/chart" uri="{C3380CC4-5D6E-409C-BE32-E72D297353CC}">
              <c16:uniqueId val="{00000000-941E-4B02-AFBF-D45739E8BBE6}"/>
            </c:ext>
          </c:extLst>
        </c:ser>
        <c:ser>
          <c:idx val="1"/>
          <c:order val="1"/>
          <c:tx>
            <c:strRef>
              <c:f>[CoronaLosses_Dependence.xlsx]CoronaDependence!$C$1</c:f>
              <c:strCache>
                <c:ptCount val="1"/>
                <c:pt idx="0">
                  <c:v>Pgreen (MW)</c:v>
                </c:pt>
              </c:strCache>
            </c:strRef>
          </c:tx>
          <c:spPr>
            <a:ln>
              <a:prstDash val="solid"/>
            </a:ln>
          </c:spPr>
          <c:invertIfNegative val="0"/>
          <c:cat>
            <c:numRef>
              <c:f>[CoronaLosses_Dependence.xlsx]CoronaDependence!$A$2:$A$5</c:f>
              <c:numCache>
                <c:formatCode>General</c:formatCode>
                <c:ptCount val="4"/>
                <c:pt idx="0">
                  <c:v>150</c:v>
                </c:pt>
                <c:pt idx="1">
                  <c:v>200</c:v>
                </c:pt>
                <c:pt idx="2">
                  <c:v>300</c:v>
                </c:pt>
                <c:pt idx="3">
                  <c:v>450</c:v>
                </c:pt>
              </c:numCache>
            </c:numRef>
          </c:cat>
          <c:val>
            <c:numRef>
              <c:f>[CoronaLosses_Dependence.xlsx]CoronaDependence!$C$2:$C$5</c:f>
              <c:numCache>
                <c:formatCode>General</c:formatCode>
                <c:ptCount val="4"/>
                <c:pt idx="0">
                  <c:v>1.1000000000000001</c:v>
                </c:pt>
                <c:pt idx="1">
                  <c:v>1.4</c:v>
                </c:pt>
                <c:pt idx="2">
                  <c:v>3</c:v>
                </c:pt>
                <c:pt idx="3">
                  <c:v>6.9</c:v>
                </c:pt>
              </c:numCache>
            </c:numRef>
          </c:val>
          <c:extLst>
            <c:ext xmlns:c16="http://schemas.microsoft.com/office/drawing/2014/chart" uri="{C3380CC4-5D6E-409C-BE32-E72D297353CC}">
              <c16:uniqueId val="{00000001-941E-4B02-AFBF-D45739E8BBE6}"/>
            </c:ext>
          </c:extLst>
        </c:ser>
        <c:dLbls>
          <c:showLegendKey val="0"/>
          <c:showVal val="0"/>
          <c:showCatName val="0"/>
          <c:showSerName val="0"/>
          <c:showPercent val="0"/>
          <c:showBubbleSize val="0"/>
        </c:dLbls>
        <c:gapWidth val="150"/>
        <c:overlap val="100"/>
        <c:axId val="217598208"/>
        <c:axId val="222843264"/>
      </c:barChart>
      <c:catAx>
        <c:axId val="217598208"/>
        <c:scaling>
          <c:orientation val="minMax"/>
        </c:scaling>
        <c:delete val="0"/>
        <c:axPos val="b"/>
        <c:title>
          <c:tx>
            <c:rich>
              <a:bodyPr/>
              <a:lstStyle/>
              <a:p>
                <a:pPr>
                  <a:defRPr/>
                </a:pPr>
                <a:r>
                  <a:rPr lang="en-US"/>
                  <a:t>Active Power P, MW</a:t>
                </a:r>
              </a:p>
            </c:rich>
          </c:tx>
          <c:overlay val="0"/>
        </c:title>
        <c:numFmt formatCode="General" sourceLinked="1"/>
        <c:majorTickMark val="none"/>
        <c:minorTickMark val="none"/>
        <c:tickLblPos val="nextTo"/>
        <c:crossAx val="222843264"/>
        <c:crosses val="autoZero"/>
        <c:auto val="0"/>
        <c:lblAlgn val="ctr"/>
        <c:lblOffset val="100"/>
        <c:noMultiLvlLbl val="0"/>
      </c:catAx>
      <c:valAx>
        <c:axId val="222843264"/>
        <c:scaling>
          <c:orientation val="minMax"/>
        </c:scaling>
        <c:delete val="0"/>
        <c:axPos val="l"/>
        <c:majorGridlines/>
        <c:title>
          <c:tx>
            <c:rich>
              <a:bodyPr/>
              <a:lstStyle/>
              <a:p>
                <a:pPr>
                  <a:defRPr/>
                </a:pPr>
                <a:r>
                  <a:rPr lang="en-US"/>
                  <a:t>Corona Losses Pm, MW</a:t>
                </a:r>
              </a:p>
            </c:rich>
          </c:tx>
          <c:overlay val="0"/>
        </c:title>
        <c:numFmt formatCode="General" sourceLinked="1"/>
        <c:majorTickMark val="none"/>
        <c:minorTickMark val="none"/>
        <c:tickLblPos val="nextTo"/>
        <c:crossAx val="217598208"/>
        <c:crosses val="autoZero"/>
        <c:crossBetween val="between"/>
      </c:valAx>
    </c:plotArea>
    <c:legend>
      <c:legendPos val="r"/>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01810717240112"/>
          <c:y val="5.1752528816749001E-2"/>
          <c:w val="0.8342283770948864"/>
          <c:h val="0.74116659905867444"/>
        </c:manualLayout>
      </c:layout>
      <c:barChart>
        <c:barDir val="col"/>
        <c:grouping val="stacked"/>
        <c:varyColors val="0"/>
        <c:ser>
          <c:idx val="0"/>
          <c:order val="0"/>
          <c:tx>
            <c:strRef>
              <c:f>[Corona_10_Charts_COLORFUL.xlsx]Corona_Voltage2!$B$1</c:f>
              <c:strCache>
                <c:ptCount val="1"/>
                <c:pt idx="0">
                  <c:v>Corona Loss (kW)</c:v>
                </c:pt>
              </c:strCache>
            </c:strRef>
          </c:tx>
          <c:spPr>
            <a:ln w="25000">
              <a:solidFill>
                <a:srgbClr val="FF9900"/>
              </a:solidFill>
              <a:prstDash val="solid"/>
            </a:ln>
          </c:spPr>
          <c:invertIfNegative val="0"/>
          <c:cat>
            <c:numRef>
              <c:f>[Corona_10_Charts_COLORFUL.xlsx]Corona_Voltage2!$A$2:$A$7</c:f>
              <c:numCache>
                <c:formatCode>General</c:formatCode>
                <c:ptCount val="6"/>
                <c:pt idx="0">
                  <c:v>100</c:v>
                </c:pt>
                <c:pt idx="1">
                  <c:v>150</c:v>
                </c:pt>
                <c:pt idx="2">
                  <c:v>200</c:v>
                </c:pt>
                <c:pt idx="3">
                  <c:v>250</c:v>
                </c:pt>
                <c:pt idx="4">
                  <c:v>300</c:v>
                </c:pt>
                <c:pt idx="5">
                  <c:v>350</c:v>
                </c:pt>
              </c:numCache>
            </c:numRef>
          </c:cat>
          <c:val>
            <c:numRef>
              <c:f>[Corona_10_Charts_COLORFUL.xlsx]Corona_Voltage2!$B$2:$B$7</c:f>
              <c:numCache>
                <c:formatCode>General</c:formatCode>
                <c:ptCount val="6"/>
                <c:pt idx="0">
                  <c:v>12</c:v>
                </c:pt>
                <c:pt idx="1">
                  <c:v>27</c:v>
                </c:pt>
                <c:pt idx="2">
                  <c:v>50</c:v>
                </c:pt>
                <c:pt idx="3">
                  <c:v>85</c:v>
                </c:pt>
                <c:pt idx="4">
                  <c:v>130</c:v>
                </c:pt>
                <c:pt idx="5">
                  <c:v>190</c:v>
                </c:pt>
              </c:numCache>
            </c:numRef>
          </c:val>
          <c:extLst>
            <c:ext xmlns:c16="http://schemas.microsoft.com/office/drawing/2014/chart" uri="{C3380CC4-5D6E-409C-BE32-E72D297353CC}">
              <c16:uniqueId val="{00000000-B079-48EA-AFD5-B26281C71316}"/>
            </c:ext>
          </c:extLst>
        </c:ser>
        <c:dLbls>
          <c:showLegendKey val="0"/>
          <c:showVal val="0"/>
          <c:showCatName val="0"/>
          <c:showSerName val="0"/>
          <c:showPercent val="0"/>
          <c:showBubbleSize val="0"/>
        </c:dLbls>
        <c:gapWidth val="150"/>
        <c:overlap val="100"/>
        <c:axId val="226312960"/>
        <c:axId val="226314880"/>
      </c:barChart>
      <c:catAx>
        <c:axId val="226312960"/>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Voltage (kV)</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226314880"/>
        <c:crosses val="autoZero"/>
        <c:auto val="0"/>
        <c:lblAlgn val="ctr"/>
        <c:lblOffset val="100"/>
        <c:noMultiLvlLbl val="0"/>
      </c:catAx>
      <c:valAx>
        <c:axId val="226314880"/>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Corona Loss (kW)</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226312960"/>
        <c:crosses val="autoZero"/>
        <c:crossBetween val="between"/>
      </c:valAx>
    </c:plotArea>
    <c:legend>
      <c:legendPos val="r"/>
      <c:layout>
        <c:manualLayout>
          <c:xMode val="edge"/>
          <c:yMode val="edge"/>
          <c:x val="0.13113611592388422"/>
          <c:y val="6.4892558860629335E-2"/>
          <c:w val="0.21262490959652036"/>
          <c:h val="7.9812623986574724E-2"/>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07634973620184"/>
          <c:y val="5.1752528816749001E-2"/>
          <c:w val="0.85412446162282463"/>
          <c:h val="0.74116659905867444"/>
        </c:manualLayout>
      </c:layout>
      <c:lineChart>
        <c:grouping val="stacked"/>
        <c:varyColors val="0"/>
        <c:ser>
          <c:idx val="0"/>
          <c:order val="0"/>
          <c:tx>
            <c:strRef>
              <c:f>[Corona_10_Charts_COLORFUL.xlsx]Wind2!$B$1</c:f>
              <c:strCache>
                <c:ptCount val="1"/>
                <c:pt idx="0">
                  <c:v>Corona Loss (kW)</c:v>
                </c:pt>
              </c:strCache>
            </c:strRef>
          </c:tx>
          <c:spPr>
            <a:ln w="25000">
              <a:solidFill>
                <a:srgbClr val="FFCC00"/>
              </a:solidFill>
              <a:prstDash val="solid"/>
            </a:ln>
          </c:spPr>
          <c:marker>
            <c:symbol val="diamond"/>
            <c:size val="9"/>
            <c:spPr>
              <a:solidFill>
                <a:srgbClr val="FFCC00"/>
              </a:solidFill>
              <a:ln>
                <a:prstDash val="solid"/>
              </a:ln>
            </c:spPr>
          </c:marker>
          <c:cat>
            <c:numRef>
              <c:f>[Corona_10_Charts_COLORFUL.xlsx]Wind2!$A$2:$A$7</c:f>
              <c:numCache>
                <c:formatCode>General</c:formatCode>
                <c:ptCount val="6"/>
                <c:pt idx="0">
                  <c:v>0</c:v>
                </c:pt>
                <c:pt idx="1">
                  <c:v>1</c:v>
                </c:pt>
                <c:pt idx="2">
                  <c:v>2</c:v>
                </c:pt>
                <c:pt idx="3">
                  <c:v>3</c:v>
                </c:pt>
                <c:pt idx="4">
                  <c:v>4</c:v>
                </c:pt>
                <c:pt idx="5">
                  <c:v>5</c:v>
                </c:pt>
              </c:numCache>
            </c:numRef>
          </c:cat>
          <c:val>
            <c:numRef>
              <c:f>[Corona_10_Charts_COLORFUL.xlsx]Wind2!$B$2:$B$7</c:f>
              <c:numCache>
                <c:formatCode>General</c:formatCode>
                <c:ptCount val="6"/>
                <c:pt idx="0">
                  <c:v>42</c:v>
                </c:pt>
                <c:pt idx="1">
                  <c:v>38</c:v>
                </c:pt>
                <c:pt idx="2">
                  <c:v>33</c:v>
                </c:pt>
                <c:pt idx="3">
                  <c:v>30</c:v>
                </c:pt>
                <c:pt idx="4">
                  <c:v>28</c:v>
                </c:pt>
                <c:pt idx="5">
                  <c:v>27</c:v>
                </c:pt>
              </c:numCache>
            </c:numRef>
          </c:val>
          <c:smooth val="0"/>
          <c:extLst>
            <c:ext xmlns:c16="http://schemas.microsoft.com/office/drawing/2014/chart" uri="{C3380CC4-5D6E-409C-BE32-E72D297353CC}">
              <c16:uniqueId val="{00000000-44B2-49BD-A68E-94C27A3C9168}"/>
            </c:ext>
          </c:extLst>
        </c:ser>
        <c:dLbls>
          <c:showLegendKey val="0"/>
          <c:showVal val="0"/>
          <c:showCatName val="0"/>
          <c:showSerName val="0"/>
          <c:showPercent val="0"/>
          <c:showBubbleSize val="0"/>
        </c:dLbls>
        <c:marker val="1"/>
        <c:smooth val="0"/>
        <c:axId val="225872128"/>
        <c:axId val="225874688"/>
      </c:lineChart>
      <c:catAx>
        <c:axId val="225872128"/>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Wind Speed (m/s)</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225874688"/>
        <c:crosses val="autoZero"/>
        <c:auto val="0"/>
        <c:lblAlgn val="ctr"/>
        <c:lblOffset val="100"/>
        <c:noMultiLvlLbl val="0"/>
      </c:catAx>
      <c:valAx>
        <c:axId val="225874688"/>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Corona Loss (kW)</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225872128"/>
        <c:crosses val="autoZero"/>
        <c:crossBetween val="between"/>
      </c:valAx>
    </c:plotArea>
    <c:legend>
      <c:legendPos val="r"/>
      <c:layout>
        <c:manualLayout>
          <c:xMode val="edge"/>
          <c:yMode val="edge"/>
          <c:x val="0.30511584146771731"/>
          <c:y val="6.9597334207606512E-2"/>
          <c:w val="0.24563095378101846"/>
          <c:h val="7.9812623986574724E-2"/>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03864592487505"/>
          <c:y val="5.1752528816749001E-2"/>
          <c:w val="0.86177629719362003"/>
          <c:h val="0.74116659905867444"/>
        </c:manualLayout>
      </c:layout>
      <c:lineChart>
        <c:grouping val="standard"/>
        <c:varyColors val="0"/>
        <c:ser>
          <c:idx val="0"/>
          <c:order val="0"/>
          <c:tx>
            <c:strRef>
              <c:f>[Corona_10_Charts_COLORFUL.xlsx]TimeOfDay2!$B$1</c:f>
              <c:strCache>
                <c:ptCount val="1"/>
                <c:pt idx="0">
                  <c:v>Corona Loss (kW)</c:v>
                </c:pt>
              </c:strCache>
            </c:strRef>
          </c:tx>
          <c:spPr>
            <a:ln w="25000">
              <a:solidFill>
                <a:srgbClr val="009999"/>
              </a:solidFill>
              <a:prstDash val="solid"/>
            </a:ln>
          </c:spPr>
          <c:marker>
            <c:symbol val="diamond"/>
            <c:size val="9"/>
            <c:spPr>
              <a:solidFill>
                <a:srgbClr val="009999"/>
              </a:solidFill>
              <a:ln>
                <a:prstDash val="solid"/>
              </a:ln>
            </c:spPr>
          </c:marker>
          <c:cat>
            <c:numRef>
              <c:f>[Corona_10_Charts_COLORFUL.xlsx]TimeOfDay2!$A$2:$A$7</c:f>
              <c:numCache>
                <c:formatCode>General</c:formatCode>
                <c:ptCount val="6"/>
                <c:pt idx="0">
                  <c:v>8</c:v>
                </c:pt>
                <c:pt idx="1">
                  <c:v>10</c:v>
                </c:pt>
                <c:pt idx="2">
                  <c:v>12</c:v>
                </c:pt>
                <c:pt idx="3">
                  <c:v>14</c:v>
                </c:pt>
                <c:pt idx="4">
                  <c:v>16</c:v>
                </c:pt>
                <c:pt idx="5">
                  <c:v>18</c:v>
                </c:pt>
              </c:numCache>
            </c:numRef>
          </c:cat>
          <c:val>
            <c:numRef>
              <c:f>[Corona_10_Charts_COLORFUL.xlsx]TimeOfDay2!$B$2:$B$7</c:f>
              <c:numCache>
                <c:formatCode>General</c:formatCode>
                <c:ptCount val="6"/>
                <c:pt idx="0">
                  <c:v>22</c:v>
                </c:pt>
                <c:pt idx="1">
                  <c:v>28</c:v>
                </c:pt>
                <c:pt idx="2">
                  <c:v>34</c:v>
                </c:pt>
                <c:pt idx="3">
                  <c:v>43</c:v>
                </c:pt>
                <c:pt idx="4">
                  <c:v>38</c:v>
                </c:pt>
                <c:pt idx="5">
                  <c:v>30</c:v>
                </c:pt>
              </c:numCache>
            </c:numRef>
          </c:val>
          <c:smooth val="0"/>
          <c:extLst>
            <c:ext xmlns:c16="http://schemas.microsoft.com/office/drawing/2014/chart" uri="{C3380CC4-5D6E-409C-BE32-E72D297353CC}">
              <c16:uniqueId val="{00000000-DA70-49E3-A977-21A57E3B1D50}"/>
            </c:ext>
          </c:extLst>
        </c:ser>
        <c:dLbls>
          <c:showLegendKey val="0"/>
          <c:showVal val="0"/>
          <c:showCatName val="0"/>
          <c:showSerName val="0"/>
          <c:showPercent val="0"/>
          <c:showBubbleSize val="0"/>
        </c:dLbls>
        <c:marker val="1"/>
        <c:smooth val="0"/>
        <c:axId val="225890688"/>
        <c:axId val="225892992"/>
      </c:lineChart>
      <c:catAx>
        <c:axId val="225890688"/>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Hour</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225892992"/>
        <c:crosses val="autoZero"/>
        <c:auto val="0"/>
        <c:lblAlgn val="ctr"/>
        <c:lblOffset val="100"/>
        <c:noMultiLvlLbl val="0"/>
      </c:catAx>
      <c:valAx>
        <c:axId val="225892992"/>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Corona Loss (kW)</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225890688"/>
        <c:crosses val="autoZero"/>
        <c:crossBetween val="between"/>
      </c:valAx>
    </c:plotArea>
    <c:legend>
      <c:legendPos val="r"/>
      <c:layout>
        <c:manualLayout>
          <c:xMode val="edge"/>
          <c:yMode val="edge"/>
          <c:x val="0.1192990709161473"/>
          <c:y val="4.1368682125743426E-2"/>
          <c:w val="0.24563095378101846"/>
          <c:h val="7.9812623986574724E-2"/>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03864592487505"/>
          <c:y val="5.1752528816749001E-2"/>
          <c:w val="0.86352372299616409"/>
          <c:h val="0.68706131211368515"/>
        </c:manualLayout>
      </c:layout>
      <c:barChart>
        <c:barDir val="col"/>
        <c:grouping val="clustered"/>
        <c:varyColors val="0"/>
        <c:ser>
          <c:idx val="0"/>
          <c:order val="0"/>
          <c:tx>
            <c:strRef>
              <c:f>[Corona_10_Charts_COLORFUL.xlsx]Mitigation2!$B$1</c:f>
              <c:strCache>
                <c:ptCount val="1"/>
                <c:pt idx="0">
                  <c:v>Loss Reduction (%)</c:v>
                </c:pt>
              </c:strCache>
            </c:strRef>
          </c:tx>
          <c:spPr>
            <a:ln w="25000">
              <a:solidFill>
                <a:srgbClr val="9933CC"/>
              </a:solidFill>
              <a:prstDash val="solid"/>
            </a:ln>
          </c:spPr>
          <c:invertIfNegative val="0"/>
          <c:cat>
            <c:strRef>
              <c:f>[Corona_10_Charts_COLORFUL.xlsx]Mitigation2!$A$2:$A$5</c:f>
              <c:strCache>
                <c:ptCount val="4"/>
                <c:pt idx="0">
                  <c:v>Optimization</c:v>
                </c:pt>
                <c:pt idx="1">
                  <c:v>Surface Treatment</c:v>
                </c:pt>
                <c:pt idx="2">
                  <c:v>Bundling</c:v>
                </c:pt>
                <c:pt idx="3">
                  <c:v>Compensation</c:v>
                </c:pt>
              </c:strCache>
            </c:strRef>
          </c:cat>
          <c:val>
            <c:numRef>
              <c:f>[Corona_10_Charts_COLORFUL.xlsx]Mitigation2!$B$2:$B$5</c:f>
              <c:numCache>
                <c:formatCode>General</c:formatCode>
                <c:ptCount val="4"/>
                <c:pt idx="0">
                  <c:v>22</c:v>
                </c:pt>
                <c:pt idx="1">
                  <c:v>17</c:v>
                </c:pt>
                <c:pt idx="2">
                  <c:v>38</c:v>
                </c:pt>
                <c:pt idx="3">
                  <c:v>12</c:v>
                </c:pt>
              </c:numCache>
            </c:numRef>
          </c:val>
          <c:extLst>
            <c:ext xmlns:c16="http://schemas.microsoft.com/office/drawing/2014/chart" uri="{C3380CC4-5D6E-409C-BE32-E72D297353CC}">
              <c16:uniqueId val="{00000000-B1B2-4C6C-A546-E92F60140022}"/>
            </c:ext>
          </c:extLst>
        </c:ser>
        <c:dLbls>
          <c:showLegendKey val="0"/>
          <c:showVal val="0"/>
          <c:showCatName val="0"/>
          <c:showSerName val="0"/>
          <c:showPercent val="0"/>
          <c:showBubbleSize val="0"/>
        </c:dLbls>
        <c:gapWidth val="150"/>
        <c:axId val="226036352"/>
        <c:axId val="226038528"/>
      </c:barChart>
      <c:catAx>
        <c:axId val="226036352"/>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Mitigation Method</a:t>
                </a:r>
              </a:p>
            </c:rich>
          </c:tx>
          <c:overlay val="0"/>
        </c:title>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ru-RU"/>
          </a:p>
        </c:txPr>
        <c:crossAx val="226038528"/>
        <c:crosses val="autoZero"/>
        <c:auto val="0"/>
        <c:lblAlgn val="ctr"/>
        <c:lblOffset val="100"/>
        <c:noMultiLvlLbl val="0"/>
      </c:catAx>
      <c:valAx>
        <c:axId val="226038528"/>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Loss Reduction (%)</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226036352"/>
        <c:crosses val="autoZero"/>
        <c:crossBetween val="between"/>
      </c:valAx>
    </c:plotArea>
    <c:legend>
      <c:legendPos val="r"/>
      <c:layout>
        <c:manualLayout>
          <c:xMode val="edge"/>
          <c:yMode val="edge"/>
          <c:x val="0.12511471171360547"/>
          <c:y val="6.4892558860629362E-2"/>
          <c:w val="0.22570264686571948"/>
          <c:h val="7.9812623986574724E-2"/>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floor>
    <c:sideWall>
      <c:thickness val="0"/>
      <c:spPr>
        <a:ln>
          <a:solidFill>
            <a:srgbClr val="FF0000"/>
          </a:solidFill>
        </a:ln>
      </c:spPr>
    </c:sideWall>
    <c:backWall>
      <c:thickness val="0"/>
      <c:spPr>
        <a:ln>
          <a:solidFill>
            <a:srgbClr val="FF0000"/>
          </a:solidFill>
        </a:ln>
      </c:spPr>
    </c:backWall>
    <c:plotArea>
      <c:layout/>
      <c:bar3DChart>
        <c:barDir val="col"/>
        <c:grouping val="percentStacked"/>
        <c:varyColors val="0"/>
        <c:ser>
          <c:idx val="0"/>
          <c:order val="0"/>
          <c:tx>
            <c:strRef>
              <c:f>[Corona_10_Charts_COLORFUL.xlsx]Altitude2!$B$1</c:f>
              <c:strCache>
                <c:ptCount val="1"/>
                <c:pt idx="0">
                  <c:v>Corona Loss (kW)</c:v>
                </c:pt>
              </c:strCache>
            </c:strRef>
          </c:tx>
          <c:spPr>
            <a:ln w="25000">
              <a:solidFill>
                <a:srgbClr val="66FFFF"/>
              </a:solidFill>
              <a:prstDash val="solid"/>
            </a:ln>
          </c:spPr>
          <c:invertIfNegative val="0"/>
          <c:dPt>
            <c:idx val="0"/>
            <c:invertIfNegative val="0"/>
            <c:bubble3D val="0"/>
            <c:spPr>
              <a:solidFill>
                <a:srgbClr val="92D050"/>
              </a:solidFill>
              <a:ln w="25000">
                <a:solidFill>
                  <a:srgbClr val="66FFFF"/>
                </a:solidFill>
                <a:prstDash val="solid"/>
              </a:ln>
            </c:spPr>
            <c:extLst>
              <c:ext xmlns:c16="http://schemas.microsoft.com/office/drawing/2014/chart" uri="{C3380CC4-5D6E-409C-BE32-E72D297353CC}">
                <c16:uniqueId val="{00000001-951B-48A1-A4B6-BF0A99B2908C}"/>
              </c:ext>
            </c:extLst>
          </c:dPt>
          <c:dPt>
            <c:idx val="1"/>
            <c:invertIfNegative val="0"/>
            <c:bubble3D val="0"/>
            <c:spPr>
              <a:solidFill>
                <a:srgbClr val="92D050"/>
              </a:solidFill>
              <a:ln w="25000">
                <a:solidFill>
                  <a:srgbClr val="66FFFF"/>
                </a:solidFill>
                <a:prstDash val="solid"/>
              </a:ln>
            </c:spPr>
            <c:extLst>
              <c:ext xmlns:c16="http://schemas.microsoft.com/office/drawing/2014/chart" uri="{C3380CC4-5D6E-409C-BE32-E72D297353CC}">
                <c16:uniqueId val="{00000003-951B-48A1-A4B6-BF0A99B2908C}"/>
              </c:ext>
            </c:extLst>
          </c:dPt>
          <c:dPt>
            <c:idx val="2"/>
            <c:invertIfNegative val="0"/>
            <c:bubble3D val="0"/>
            <c:spPr>
              <a:solidFill>
                <a:srgbClr val="92D050"/>
              </a:solidFill>
              <a:ln w="25000">
                <a:solidFill>
                  <a:srgbClr val="66FFFF"/>
                </a:solidFill>
                <a:prstDash val="solid"/>
              </a:ln>
            </c:spPr>
            <c:extLst>
              <c:ext xmlns:c16="http://schemas.microsoft.com/office/drawing/2014/chart" uri="{C3380CC4-5D6E-409C-BE32-E72D297353CC}">
                <c16:uniqueId val="{00000005-951B-48A1-A4B6-BF0A99B2908C}"/>
              </c:ext>
            </c:extLst>
          </c:dPt>
          <c:dPt>
            <c:idx val="3"/>
            <c:invertIfNegative val="0"/>
            <c:bubble3D val="0"/>
            <c:spPr>
              <a:solidFill>
                <a:srgbClr val="92D050"/>
              </a:solidFill>
              <a:ln w="25000">
                <a:solidFill>
                  <a:srgbClr val="66FFFF"/>
                </a:solidFill>
                <a:prstDash val="solid"/>
              </a:ln>
            </c:spPr>
            <c:extLst>
              <c:ext xmlns:c16="http://schemas.microsoft.com/office/drawing/2014/chart" uri="{C3380CC4-5D6E-409C-BE32-E72D297353CC}">
                <c16:uniqueId val="{00000007-951B-48A1-A4B6-BF0A99B2908C}"/>
              </c:ext>
            </c:extLst>
          </c:dPt>
          <c:dPt>
            <c:idx val="4"/>
            <c:invertIfNegative val="0"/>
            <c:bubble3D val="0"/>
            <c:spPr>
              <a:solidFill>
                <a:srgbClr val="92D050"/>
              </a:solidFill>
              <a:ln w="25000">
                <a:solidFill>
                  <a:srgbClr val="66FFFF"/>
                </a:solidFill>
                <a:prstDash val="solid"/>
              </a:ln>
            </c:spPr>
            <c:extLst>
              <c:ext xmlns:c16="http://schemas.microsoft.com/office/drawing/2014/chart" uri="{C3380CC4-5D6E-409C-BE32-E72D297353CC}">
                <c16:uniqueId val="{00000009-951B-48A1-A4B6-BF0A99B2908C}"/>
              </c:ext>
            </c:extLst>
          </c:dPt>
          <c:cat>
            <c:numRef>
              <c:f>[Corona_10_Charts_COLORFUL.xlsx]Altitude2!$A$2:$A$6</c:f>
              <c:numCache>
                <c:formatCode>General</c:formatCode>
                <c:ptCount val="5"/>
                <c:pt idx="0">
                  <c:v>0</c:v>
                </c:pt>
                <c:pt idx="1">
                  <c:v>300</c:v>
                </c:pt>
                <c:pt idx="2">
                  <c:v>600</c:v>
                </c:pt>
                <c:pt idx="3">
                  <c:v>900</c:v>
                </c:pt>
                <c:pt idx="4">
                  <c:v>1200</c:v>
                </c:pt>
              </c:numCache>
            </c:numRef>
          </c:cat>
          <c:val>
            <c:numRef>
              <c:f>[Corona_10_Charts_COLORFUL.xlsx]Altitude2!$B$2:$B$6</c:f>
              <c:numCache>
                <c:formatCode>General</c:formatCode>
                <c:ptCount val="5"/>
                <c:pt idx="0">
                  <c:v>14</c:v>
                </c:pt>
                <c:pt idx="1">
                  <c:v>22</c:v>
                </c:pt>
                <c:pt idx="2">
                  <c:v>35</c:v>
                </c:pt>
                <c:pt idx="3">
                  <c:v>50</c:v>
                </c:pt>
                <c:pt idx="4">
                  <c:v>70</c:v>
                </c:pt>
              </c:numCache>
            </c:numRef>
          </c:val>
          <c:extLst>
            <c:ext xmlns:c16="http://schemas.microsoft.com/office/drawing/2014/chart" uri="{C3380CC4-5D6E-409C-BE32-E72D297353CC}">
              <c16:uniqueId val="{0000000A-951B-48A1-A4B6-BF0A99B2908C}"/>
            </c:ext>
          </c:extLst>
        </c:ser>
        <c:dLbls>
          <c:showLegendKey val="0"/>
          <c:showVal val="0"/>
          <c:showCatName val="0"/>
          <c:showSerName val="0"/>
          <c:showPercent val="0"/>
          <c:showBubbleSize val="0"/>
        </c:dLbls>
        <c:gapWidth val="150"/>
        <c:shape val="cylinder"/>
        <c:axId val="226098176"/>
        <c:axId val="226231424"/>
        <c:axId val="0"/>
      </c:bar3DChart>
      <c:catAx>
        <c:axId val="226098176"/>
        <c:scaling>
          <c:orientation val="minMax"/>
        </c:scaling>
        <c:delete val="0"/>
        <c:axPos val="b"/>
        <c:title>
          <c:tx>
            <c:rich>
              <a:bodyPr/>
              <a:lstStyle/>
              <a:p>
                <a:pPr>
                  <a:defRPr/>
                </a:pPr>
                <a:r>
                  <a:rPr lang="en-US"/>
                  <a:t>Altitude (m)</a:t>
                </a:r>
              </a:p>
            </c:rich>
          </c:tx>
          <c:overlay val="0"/>
        </c:title>
        <c:numFmt formatCode="General" sourceLinked="1"/>
        <c:majorTickMark val="none"/>
        <c:minorTickMark val="none"/>
        <c:tickLblPos val="nextTo"/>
        <c:crossAx val="226231424"/>
        <c:crosses val="autoZero"/>
        <c:auto val="0"/>
        <c:lblAlgn val="ctr"/>
        <c:lblOffset val="100"/>
        <c:noMultiLvlLbl val="0"/>
      </c:catAx>
      <c:valAx>
        <c:axId val="226231424"/>
        <c:scaling>
          <c:orientation val="minMax"/>
        </c:scaling>
        <c:delete val="0"/>
        <c:axPos val="l"/>
        <c:majorGridlines/>
        <c:title>
          <c:tx>
            <c:rich>
              <a:bodyPr/>
              <a:lstStyle/>
              <a:p>
                <a:pPr>
                  <a:defRPr/>
                </a:pPr>
                <a:r>
                  <a:rPr lang="en-US"/>
                  <a:t>Corona Loss (kW)</a:t>
                </a:r>
              </a:p>
            </c:rich>
          </c:tx>
          <c:overlay val="0"/>
        </c:title>
        <c:numFmt formatCode="0%" sourceLinked="1"/>
        <c:majorTickMark val="none"/>
        <c:minorTickMark val="none"/>
        <c:tickLblPos val="nextTo"/>
        <c:crossAx val="226098176"/>
        <c:crosses val="autoZero"/>
        <c:crossBetween val="between"/>
      </c:valAx>
    </c:plotArea>
    <c:legend>
      <c:legendPos val="r"/>
      <c:overlay val="0"/>
      <c:spPr>
        <a:solidFill>
          <a:srgbClr val="92D050"/>
        </a:solidFill>
        <a:ln>
          <a:solidFill>
            <a:srgbClr val="FF0000"/>
          </a:solidFill>
        </a:ln>
      </c:spPr>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5052</Words>
  <Characters>28799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user</cp:lastModifiedBy>
  <cp:revision>19</cp:revision>
  <cp:lastPrinted>2023-12-26T18:03:00Z</cp:lastPrinted>
  <dcterms:created xsi:type="dcterms:W3CDTF">2025-12-09T08:32:00Z</dcterms:created>
  <dcterms:modified xsi:type="dcterms:W3CDTF">2026-01-09T12:50:00Z</dcterms:modified>
</cp:coreProperties>
</file>