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7313D" w14:textId="77777777" w:rsidR="00560172" w:rsidRPr="004245A5" w:rsidRDefault="00DF45EF" w:rsidP="0084050F">
      <w:pPr>
        <w:spacing w:before="1200" w:after="200"/>
        <w:ind w:firstLine="567"/>
        <w:jc w:val="center"/>
        <w:rPr>
          <w:rFonts w:ascii="Times New Roman" w:hAnsi="Times New Roman" w:cs="Times New Roman"/>
          <w:b/>
          <w:sz w:val="36"/>
          <w:szCs w:val="36"/>
        </w:rPr>
      </w:pPr>
      <w:r w:rsidRPr="004245A5">
        <w:rPr>
          <w:rFonts w:ascii="Times New Roman" w:hAnsi="Times New Roman" w:cs="Times New Roman"/>
          <w:b/>
          <w:sz w:val="36"/>
          <w:szCs w:val="36"/>
        </w:rPr>
        <w:t>Improving organizational and economic mechanisms for increasing the efficiency of innovation activities</w:t>
      </w:r>
    </w:p>
    <w:p w14:paraId="32B8E453" w14:textId="6441F07A" w:rsidR="00DF45EF" w:rsidRPr="004245A5" w:rsidRDefault="004245A5" w:rsidP="004245A5">
      <w:pPr>
        <w:spacing w:before="240" w:after="200" w:line="240" w:lineRule="auto"/>
        <w:jc w:val="center"/>
        <w:rPr>
          <w:rFonts w:ascii="Times New Roman" w:hAnsi="Times New Roman" w:cs="Times New Roman"/>
          <w:sz w:val="28"/>
          <w:szCs w:val="28"/>
          <w:vertAlign w:val="superscript"/>
          <w:lang w:val="uz-Cyrl-UZ"/>
        </w:rPr>
      </w:pPr>
      <w:r w:rsidRPr="004245A5">
        <w:rPr>
          <w:rFonts w:ascii="Times New Roman" w:hAnsi="Times New Roman" w:cs="Times New Roman"/>
          <w:sz w:val="28"/>
          <w:szCs w:val="28"/>
        </w:rPr>
        <w:t xml:space="preserve">Saodat </w:t>
      </w:r>
      <w:r w:rsidR="00DF45EF" w:rsidRPr="004245A5">
        <w:rPr>
          <w:rFonts w:ascii="Times New Roman" w:hAnsi="Times New Roman" w:cs="Times New Roman"/>
          <w:sz w:val="28"/>
          <w:szCs w:val="28"/>
        </w:rPr>
        <w:t xml:space="preserve">Ibragimova, </w:t>
      </w:r>
      <w:r w:rsidRPr="004245A5">
        <w:rPr>
          <w:rFonts w:ascii="Times New Roman" w:hAnsi="Times New Roman" w:cs="Times New Roman"/>
          <w:sz w:val="28"/>
          <w:szCs w:val="28"/>
        </w:rPr>
        <w:t xml:space="preserve">Gulchekhra </w:t>
      </w:r>
      <w:r w:rsidR="00FF33C8" w:rsidRPr="004245A5">
        <w:rPr>
          <w:rFonts w:ascii="Times New Roman" w:hAnsi="Times New Roman" w:cs="Times New Roman"/>
          <w:sz w:val="28"/>
          <w:szCs w:val="28"/>
        </w:rPr>
        <w:t>Yusup</w:t>
      </w:r>
      <w:r w:rsidR="0055217D" w:rsidRPr="004245A5">
        <w:rPr>
          <w:rFonts w:ascii="Times New Roman" w:hAnsi="Times New Roman" w:cs="Times New Roman"/>
          <w:sz w:val="28"/>
          <w:szCs w:val="28"/>
        </w:rPr>
        <w:t>kh</w:t>
      </w:r>
      <w:r w:rsidR="00FF33C8" w:rsidRPr="004245A5">
        <w:rPr>
          <w:rFonts w:ascii="Times New Roman" w:hAnsi="Times New Roman" w:cs="Times New Roman"/>
          <w:sz w:val="28"/>
          <w:szCs w:val="28"/>
        </w:rPr>
        <w:t xml:space="preserve">odjaeva, </w:t>
      </w:r>
      <w:r w:rsidRPr="004245A5">
        <w:rPr>
          <w:rFonts w:ascii="Times New Roman" w:hAnsi="Times New Roman" w:cs="Times New Roman"/>
          <w:sz w:val="28"/>
          <w:szCs w:val="28"/>
        </w:rPr>
        <w:t xml:space="preserve">Feruza </w:t>
      </w:r>
      <w:proofErr w:type="spellStart"/>
      <w:r w:rsidR="00DF45EF" w:rsidRPr="004245A5">
        <w:rPr>
          <w:rFonts w:ascii="Times New Roman" w:hAnsi="Times New Roman" w:cs="Times New Roman"/>
          <w:sz w:val="28"/>
          <w:szCs w:val="28"/>
        </w:rPr>
        <w:t>Asimova</w:t>
      </w:r>
      <w:proofErr w:type="spellEnd"/>
      <w:r w:rsidR="004F65B5" w:rsidRPr="004245A5">
        <w:rPr>
          <w:rFonts w:ascii="Times New Roman" w:hAnsi="Times New Roman" w:cs="Times New Roman"/>
          <w:sz w:val="28"/>
          <w:szCs w:val="28"/>
          <w:vertAlign w:val="superscript"/>
          <w:lang w:val="ru-RU"/>
        </w:rPr>
        <w:t>а</w:t>
      </w:r>
      <w:proofErr w:type="gramStart"/>
      <w:r w:rsidR="004F65B5" w:rsidRPr="004245A5">
        <w:rPr>
          <w:rFonts w:ascii="Times New Roman" w:hAnsi="Times New Roman" w:cs="Times New Roman"/>
          <w:sz w:val="28"/>
          <w:szCs w:val="28"/>
          <w:vertAlign w:val="superscript"/>
        </w:rPr>
        <w:t>)</w:t>
      </w:r>
      <w:r w:rsidR="00DF45EF" w:rsidRPr="004245A5">
        <w:rPr>
          <w:rFonts w:ascii="Times New Roman" w:hAnsi="Times New Roman" w:cs="Times New Roman"/>
          <w:sz w:val="28"/>
          <w:szCs w:val="28"/>
        </w:rPr>
        <w:t xml:space="preserve">, </w:t>
      </w:r>
      <w:r w:rsidRPr="004245A5">
        <w:rPr>
          <w:rFonts w:ascii="Times New Roman" w:hAnsi="Times New Roman" w:cs="Times New Roman"/>
          <w:sz w:val="28"/>
          <w:szCs w:val="28"/>
          <w:lang w:val="uz-Cyrl-UZ"/>
        </w:rPr>
        <w:t xml:space="preserve">  </w:t>
      </w:r>
      <w:proofErr w:type="gramEnd"/>
      <w:r w:rsidRPr="004245A5">
        <w:rPr>
          <w:rFonts w:ascii="Times New Roman" w:hAnsi="Times New Roman" w:cs="Times New Roman"/>
          <w:sz w:val="28"/>
          <w:szCs w:val="28"/>
          <w:lang w:val="uz-Cyrl-UZ"/>
        </w:rPr>
        <w:t xml:space="preserve">                     </w:t>
      </w:r>
      <w:r w:rsidRPr="004245A5">
        <w:rPr>
          <w:rFonts w:ascii="Times New Roman" w:hAnsi="Times New Roman" w:cs="Times New Roman"/>
          <w:sz w:val="28"/>
          <w:szCs w:val="28"/>
        </w:rPr>
        <w:t xml:space="preserve">Kamila </w:t>
      </w:r>
      <w:proofErr w:type="spellStart"/>
      <w:r w:rsidR="00DF45EF" w:rsidRPr="004245A5">
        <w:rPr>
          <w:rFonts w:ascii="Times New Roman" w:hAnsi="Times New Roman" w:cs="Times New Roman"/>
          <w:sz w:val="28"/>
          <w:szCs w:val="28"/>
        </w:rPr>
        <w:t>Zagidullina</w:t>
      </w:r>
      <w:proofErr w:type="spellEnd"/>
    </w:p>
    <w:p w14:paraId="7A1C24F5" w14:textId="50B3753A" w:rsidR="00DF45EF" w:rsidRPr="004245A5" w:rsidRDefault="00DF45EF" w:rsidP="00DF0EC8">
      <w:pPr>
        <w:pStyle w:val="AuthorAffiliation"/>
        <w:spacing w:before="0" w:beforeAutospacing="0" w:after="0" w:afterAutospacing="0"/>
        <w:rPr>
          <w:sz w:val="20"/>
          <w:szCs w:val="20"/>
        </w:rPr>
      </w:pPr>
      <w:r w:rsidRPr="004245A5">
        <w:rPr>
          <w:sz w:val="20"/>
          <w:szCs w:val="20"/>
        </w:rPr>
        <w:t xml:space="preserve">Tashkent state technical university named after Islam Karimov, Tashkent, Uzbekistan </w:t>
      </w:r>
    </w:p>
    <w:p w14:paraId="6DFA573D" w14:textId="2C09FB96" w:rsidR="004F65B5" w:rsidRPr="004245A5" w:rsidRDefault="004F65B5" w:rsidP="00DF0EC8">
      <w:pPr>
        <w:pStyle w:val="1"/>
        <w:spacing w:before="200" w:after="200"/>
        <w:jc w:val="center"/>
        <w:rPr>
          <w:rFonts w:ascii="Times New Roman" w:eastAsia="Times New Roman" w:hAnsi="Times New Roman" w:cs="Times New Roman"/>
          <w:i/>
          <w:iCs/>
          <w:sz w:val="20"/>
          <w:szCs w:val="20"/>
        </w:rPr>
      </w:pPr>
      <w:r w:rsidRPr="004245A5">
        <w:rPr>
          <w:rFonts w:ascii="Times New Roman" w:hAnsi="Times New Roman" w:cs="Times New Roman"/>
          <w:i/>
          <w:iCs/>
          <w:sz w:val="20"/>
          <w:szCs w:val="20"/>
          <w:vertAlign w:val="superscript"/>
        </w:rPr>
        <w:t>a)</w:t>
      </w:r>
      <w:r w:rsidRPr="004245A5">
        <w:rPr>
          <w:rFonts w:ascii="Times New Roman" w:hAnsi="Times New Roman" w:cs="Times New Roman"/>
          <w:i/>
          <w:iCs/>
          <w:sz w:val="20"/>
          <w:szCs w:val="20"/>
        </w:rPr>
        <w:t xml:space="preserve"> Corresponding author: </w:t>
      </w:r>
      <w:r w:rsidR="00410AB2" w:rsidRPr="004245A5">
        <w:rPr>
          <w:rStyle w:val="a7"/>
          <w:rFonts w:ascii="Times New Roman" w:eastAsiaTheme="minorHAnsi" w:hAnsi="Times New Roman" w:cs="Times New Roman"/>
          <w:i/>
          <w:iCs/>
          <w:sz w:val="18"/>
          <w:szCs w:val="18"/>
        </w:rPr>
        <w:t>feruzaasimova85@gmail.com</w:t>
      </w:r>
    </w:p>
    <w:p w14:paraId="5FBFBDBD" w14:textId="607E19D7" w:rsidR="009949B9" w:rsidRPr="004245A5" w:rsidRDefault="009949B9" w:rsidP="003F688A">
      <w:pPr>
        <w:spacing w:before="360" w:after="360" w:line="240" w:lineRule="auto"/>
        <w:ind w:left="283" w:right="283"/>
        <w:jc w:val="both"/>
        <w:rPr>
          <w:rFonts w:ascii="Times New Roman" w:hAnsi="Times New Roman" w:cs="Times New Roman"/>
          <w:sz w:val="18"/>
          <w:szCs w:val="18"/>
        </w:rPr>
      </w:pPr>
      <w:r w:rsidRPr="004245A5">
        <w:rPr>
          <w:rFonts w:ascii="Times New Roman" w:eastAsia="Calibri" w:hAnsi="Times New Roman" w:cs="Times New Roman"/>
          <w:b/>
          <w:sz w:val="18"/>
          <w:szCs w:val="18"/>
        </w:rPr>
        <w:t>Abstract.</w:t>
      </w:r>
      <w:r w:rsidRPr="004245A5">
        <w:rPr>
          <w:rFonts w:ascii="Times New Roman" w:hAnsi="Times New Roman" w:cs="Times New Roman"/>
          <w:iCs/>
          <w:sz w:val="18"/>
          <w:szCs w:val="18"/>
        </w:rPr>
        <w:t xml:space="preserve"> Today, textile industry companies are paying particular attention to research aimed at rationally organizing production processes, creating innovative textile products, and improving the organizational and economic mechanisms of environmentally sustainable and energy-efficient production to increase their competitiveness and meet market demand.</w:t>
      </w:r>
      <w:r w:rsidRPr="004245A5">
        <w:rPr>
          <w:rFonts w:ascii="Times New Roman" w:hAnsi="Times New Roman" w:cs="Times New Roman"/>
          <w:sz w:val="18"/>
          <w:szCs w:val="18"/>
        </w:rPr>
        <w:t xml:space="preserve"> </w:t>
      </w:r>
      <w:r w:rsidRPr="004245A5">
        <w:rPr>
          <w:rFonts w:ascii="Times New Roman" w:hAnsi="Times New Roman" w:cs="Times New Roman"/>
          <w:iCs/>
          <w:sz w:val="18"/>
          <w:szCs w:val="18"/>
        </w:rPr>
        <w:t>In the process of creating a new Uzbekistan, reforms are being carried out to create a competitive textile industry, produce goods in demand on global markets, and create a complete value chain.</w:t>
      </w:r>
    </w:p>
    <w:p w14:paraId="6EA74B99" w14:textId="77777777" w:rsidR="00353B0A" w:rsidRPr="004245A5" w:rsidRDefault="00353B0A" w:rsidP="003F688A">
      <w:pPr>
        <w:spacing w:before="240" w:after="240"/>
        <w:jc w:val="center"/>
        <w:rPr>
          <w:rFonts w:ascii="Times New Roman" w:eastAsia="Calibri" w:hAnsi="Times New Roman" w:cs="Times New Roman"/>
          <w:b/>
          <w:sz w:val="24"/>
          <w:szCs w:val="24"/>
        </w:rPr>
      </w:pPr>
      <w:r w:rsidRPr="004245A5">
        <w:rPr>
          <w:rFonts w:ascii="Times New Roman" w:eastAsia="Calibri" w:hAnsi="Times New Roman" w:cs="Times New Roman"/>
          <w:b/>
          <w:sz w:val="24"/>
          <w:szCs w:val="24"/>
        </w:rPr>
        <w:t>INTRODUCTION</w:t>
      </w:r>
    </w:p>
    <w:p w14:paraId="24C2BEEC" w14:textId="7447DF81" w:rsidR="00DF45EF" w:rsidRPr="004245A5" w:rsidRDefault="00353B0A" w:rsidP="004245A5">
      <w:pPr>
        <w:spacing w:after="0" w:line="240" w:lineRule="auto"/>
        <w:ind w:firstLine="284"/>
        <w:jc w:val="both"/>
        <w:rPr>
          <w:rFonts w:ascii="Times New Roman" w:hAnsi="Times New Roman" w:cs="Times New Roman"/>
          <w:sz w:val="20"/>
          <w:szCs w:val="20"/>
        </w:rPr>
      </w:pPr>
      <w:r w:rsidRPr="004245A5">
        <w:rPr>
          <w:rFonts w:ascii="Times New Roman" w:hAnsi="Times New Roman" w:cs="Times New Roman"/>
          <w:sz w:val="20"/>
          <w:szCs w:val="20"/>
        </w:rPr>
        <w:t>In the context of constantly growing demand and need for textile products in the world, it is important to rationally use natural and production resources, as well as to increase synergistic efficiency taking into account innovative technologies. In 2024, taking into account the socio-economic importance of the industry, among the countries exporting textile products in the largest volumes, there are traditional leaders: Pakistan ($19 billion), Spain ($20 billion), the United States ($24 billion), Italy ($34 billion), Turkey ($35 billion), Germany ($40 billion), India ($44 billion55), Vietnam ($43 billion), Bangladesh ($46 billion) and China ($billion).</w:t>
      </w:r>
      <w:r w:rsidR="00203D84" w:rsidRPr="004245A5">
        <w:rPr>
          <w:rFonts w:ascii="Times New Roman" w:hAnsi="Times New Roman" w:cs="Times New Roman"/>
          <w:sz w:val="20"/>
          <w:szCs w:val="20"/>
        </w:rPr>
        <w:t xml:space="preserve">[1]. </w:t>
      </w:r>
      <w:r w:rsidRPr="004245A5">
        <w:rPr>
          <w:rFonts w:ascii="Times New Roman" w:hAnsi="Times New Roman" w:cs="Times New Roman"/>
          <w:sz w:val="20"/>
          <w:szCs w:val="20"/>
        </w:rPr>
        <w:t>These countries demonstrate growth trends in textile exports, which is an important factor influencing the global market.</w:t>
      </w:r>
    </w:p>
    <w:p w14:paraId="3D1D8C57" w14:textId="04565213" w:rsidR="0089411F" w:rsidRPr="004245A5" w:rsidRDefault="00353B0A" w:rsidP="004245A5">
      <w:pPr>
        <w:spacing w:after="0" w:line="240" w:lineRule="auto"/>
        <w:ind w:firstLine="284"/>
        <w:jc w:val="both"/>
        <w:rPr>
          <w:rFonts w:ascii="Times New Roman" w:hAnsi="Times New Roman" w:cs="Times New Roman"/>
          <w:sz w:val="20"/>
          <w:szCs w:val="20"/>
        </w:rPr>
      </w:pPr>
      <w:r w:rsidRPr="004245A5">
        <w:rPr>
          <w:rFonts w:ascii="Times New Roman" w:hAnsi="Times New Roman" w:cs="Times New Roman"/>
          <w:sz w:val="20"/>
          <w:szCs w:val="20"/>
        </w:rPr>
        <w:t>To successfully achieve strategic objectives in improving economic efficiency at industrial enterprises, assessing economic indicators, improving the scientifically based planning and analysis framework for the production process, and studying the factors influencing the full utilization of resources are of primary importance. The primary goal of improving the efficiency of innovative activities at any industrial enterprise is to generate revenue and profit, as well as secure investments to strengthen and develop its financial stability.</w:t>
      </w:r>
      <w:r w:rsidR="00203D84" w:rsidRPr="004245A5">
        <w:rPr>
          <w:rFonts w:ascii="Times New Roman" w:hAnsi="Times New Roman" w:cs="Times New Roman"/>
          <w:sz w:val="20"/>
          <w:szCs w:val="20"/>
        </w:rPr>
        <w:t xml:space="preserve"> [2].</w:t>
      </w:r>
    </w:p>
    <w:p w14:paraId="38624159" w14:textId="77777777" w:rsidR="0089411F" w:rsidRPr="004245A5" w:rsidRDefault="00552883" w:rsidP="00DF0EC8">
      <w:pPr>
        <w:spacing w:before="240" w:after="240" w:line="240" w:lineRule="auto"/>
        <w:ind w:firstLine="851"/>
        <w:jc w:val="center"/>
        <w:rPr>
          <w:rFonts w:ascii="Times New Roman" w:eastAsia="Calibri" w:hAnsi="Times New Roman" w:cs="Times New Roman"/>
          <w:b/>
          <w:sz w:val="24"/>
          <w:szCs w:val="24"/>
        </w:rPr>
      </w:pPr>
      <w:r w:rsidRPr="004245A5">
        <w:rPr>
          <w:rFonts w:ascii="Times New Roman" w:eastAsia="Calibri" w:hAnsi="Times New Roman" w:cs="Times New Roman"/>
          <w:b/>
          <w:sz w:val="24"/>
          <w:szCs w:val="24"/>
        </w:rPr>
        <w:t>EXPERIMENTAL RESEARCH</w:t>
      </w:r>
    </w:p>
    <w:p w14:paraId="48A462A1" w14:textId="77777777" w:rsidR="005A1189" w:rsidRPr="004245A5" w:rsidRDefault="00A75514" w:rsidP="004245A5">
      <w:pPr>
        <w:spacing w:after="0" w:line="240" w:lineRule="auto"/>
        <w:ind w:firstLine="284"/>
        <w:jc w:val="both"/>
        <w:rPr>
          <w:rFonts w:ascii="Times New Roman" w:hAnsi="Times New Roman" w:cs="Times New Roman"/>
          <w:sz w:val="20"/>
          <w:szCs w:val="20"/>
        </w:rPr>
      </w:pPr>
      <w:r w:rsidRPr="004245A5">
        <w:rPr>
          <w:rFonts w:ascii="Times New Roman" w:hAnsi="Times New Roman" w:cs="Times New Roman"/>
          <w:sz w:val="20"/>
          <w:szCs w:val="20"/>
        </w:rPr>
        <w:t>To successfully achieve strategic objectives in improving economic efficiency at industrial enterprises, assessing economic indicators and improving the scientifically based planning and analysis framework for the production process, as well as studying the factors influencing the full utilization of resources, are of paramount importance. The primary goal of improving the efficiency of innovative activities at any industrial enterprise is to generate revenue and profit, as well as secure investments to strengthen and develop its financial stability.</w:t>
      </w:r>
    </w:p>
    <w:p w14:paraId="0E7ADFAE" w14:textId="77777777" w:rsidR="00980808" w:rsidRPr="004245A5" w:rsidRDefault="008A0D00" w:rsidP="004245A5">
      <w:pPr>
        <w:spacing w:after="0" w:line="240" w:lineRule="auto"/>
        <w:ind w:firstLine="284"/>
        <w:jc w:val="both"/>
        <w:rPr>
          <w:rFonts w:ascii="Times New Roman" w:hAnsi="Times New Roman" w:cs="Times New Roman"/>
          <w:sz w:val="20"/>
          <w:szCs w:val="20"/>
        </w:rPr>
      </w:pPr>
      <w:r w:rsidRPr="004245A5">
        <w:rPr>
          <w:rFonts w:ascii="Times New Roman" w:hAnsi="Times New Roman" w:cs="Times New Roman"/>
          <w:sz w:val="20"/>
          <w:szCs w:val="20"/>
        </w:rPr>
        <w:t>To implement an innovation mechanism in textile companies, it is necessary to consider the environment at both the micro and macro levels. To develop an innovation mechanism, each industry must develop its own strategy and create an innovative product, as well as set marketing and market positioning goals. In the long term, this will lead to solutions for many sectors of the economy, medicine, ecology, mechanical engineering, road construction, agriculture, and others.</w:t>
      </w:r>
    </w:p>
    <w:p w14:paraId="7C3C5BC2" w14:textId="77777777" w:rsidR="00980808" w:rsidRPr="004245A5" w:rsidRDefault="008A0D00" w:rsidP="004245A5">
      <w:pPr>
        <w:spacing w:after="0" w:line="240" w:lineRule="auto"/>
        <w:ind w:firstLine="284"/>
        <w:jc w:val="both"/>
        <w:rPr>
          <w:rFonts w:ascii="Times New Roman" w:hAnsi="Times New Roman" w:cs="Times New Roman"/>
          <w:sz w:val="20"/>
          <w:szCs w:val="20"/>
        </w:rPr>
      </w:pPr>
      <w:r w:rsidRPr="004245A5">
        <w:rPr>
          <w:rFonts w:ascii="Times New Roman" w:hAnsi="Times New Roman" w:cs="Times New Roman"/>
          <w:sz w:val="20"/>
          <w:szCs w:val="20"/>
        </w:rPr>
        <w:t xml:space="preserve">The largest share of textile exports went to the Russian Federation ($910.7 million, 31.1%), China ($636.3 million, 21.7%), Turkey ($461.1 million, 15.8%), and the Kyrgyz Republic ($401.1 million, 13.7%). These countries </w:t>
      </w:r>
      <w:r w:rsidRPr="004245A5">
        <w:rPr>
          <w:rFonts w:ascii="Times New Roman" w:hAnsi="Times New Roman" w:cs="Times New Roman"/>
          <w:sz w:val="20"/>
          <w:szCs w:val="20"/>
        </w:rPr>
        <w:lastRenderedPageBreak/>
        <w:t>accounted for 83% of total exports ($1.6 billion). Uzbekistan's textile exports totaled $</w:t>
      </w:r>
      <w:r w:rsidR="00980808" w:rsidRPr="004245A5">
        <w:rPr>
          <w:rFonts w:ascii="Times New Roman" w:hAnsi="Times New Roman" w:cs="Times New Roman"/>
          <w:sz w:val="20"/>
          <w:szCs w:val="20"/>
        </w:rPr>
        <w:t xml:space="preserve">56.5 million at the end of 2023 </w:t>
      </w:r>
      <w:r w:rsidR="0044476D" w:rsidRPr="004245A5">
        <w:rPr>
          <w:rFonts w:ascii="Times New Roman" w:hAnsi="Times New Roman" w:cs="Times New Roman"/>
          <w:sz w:val="20"/>
          <w:szCs w:val="20"/>
        </w:rPr>
        <w:t>[3].</w:t>
      </w:r>
    </w:p>
    <w:p w14:paraId="7FF4835D" w14:textId="77777777" w:rsidR="00980808" w:rsidRPr="004245A5" w:rsidRDefault="008A0D00" w:rsidP="004245A5">
      <w:pPr>
        <w:spacing w:after="0" w:line="240" w:lineRule="auto"/>
        <w:ind w:firstLine="284"/>
        <w:jc w:val="both"/>
        <w:rPr>
          <w:rFonts w:ascii="Times New Roman" w:hAnsi="Times New Roman" w:cs="Times New Roman"/>
          <w:sz w:val="20"/>
          <w:szCs w:val="20"/>
        </w:rPr>
      </w:pPr>
      <w:r w:rsidRPr="004245A5">
        <w:rPr>
          <w:rFonts w:ascii="Times New Roman" w:hAnsi="Times New Roman" w:cs="Times New Roman"/>
          <w:sz w:val="20"/>
          <w:szCs w:val="20"/>
        </w:rPr>
        <w:t>Uzbekistan exported textiles to 56 countries. In January-February 2024, Uzbekistan exported textile products worth $519.4 million. This figure accounted for 14.3% of total exports, an increase of 3% compar</w:t>
      </w:r>
      <w:r w:rsidR="00980808" w:rsidRPr="004245A5">
        <w:rPr>
          <w:rFonts w:ascii="Times New Roman" w:hAnsi="Times New Roman" w:cs="Times New Roman"/>
          <w:sz w:val="20"/>
          <w:szCs w:val="20"/>
        </w:rPr>
        <w:t xml:space="preserve">ed to the same period last year. </w:t>
      </w:r>
      <w:r w:rsidR="00A83A9E" w:rsidRPr="004245A5">
        <w:rPr>
          <w:rFonts w:ascii="Times New Roman" w:hAnsi="Times New Roman" w:cs="Times New Roman"/>
          <w:sz w:val="20"/>
          <w:szCs w:val="20"/>
        </w:rPr>
        <w:t>[4].</w:t>
      </w:r>
    </w:p>
    <w:p w14:paraId="5A76D18F" w14:textId="682BB0D3" w:rsidR="008A0D00" w:rsidRPr="004245A5" w:rsidRDefault="008A0D00" w:rsidP="004245A5">
      <w:pPr>
        <w:spacing w:after="0" w:line="240" w:lineRule="auto"/>
        <w:ind w:firstLine="284"/>
        <w:jc w:val="both"/>
        <w:rPr>
          <w:rFonts w:ascii="Times New Roman" w:hAnsi="Times New Roman" w:cs="Times New Roman"/>
          <w:sz w:val="20"/>
          <w:szCs w:val="20"/>
        </w:rPr>
      </w:pPr>
      <w:r w:rsidRPr="004245A5">
        <w:rPr>
          <w:rFonts w:ascii="Times New Roman" w:hAnsi="Times New Roman" w:cs="Times New Roman"/>
          <w:sz w:val="20"/>
          <w:szCs w:val="20"/>
        </w:rPr>
        <w:t>The improvement of organizational and economic mechanisms for increasing the efficien</w:t>
      </w:r>
      <w:r w:rsidR="00547B26" w:rsidRPr="004245A5">
        <w:rPr>
          <w:rFonts w:ascii="Times New Roman" w:hAnsi="Times New Roman" w:cs="Times New Roman"/>
          <w:sz w:val="20"/>
          <w:szCs w:val="20"/>
        </w:rPr>
        <w:t xml:space="preserve">cy of innovation activities was </w:t>
      </w:r>
      <w:r w:rsidRPr="004245A5">
        <w:rPr>
          <w:rFonts w:ascii="Times New Roman" w:hAnsi="Times New Roman" w:cs="Times New Roman"/>
          <w:sz w:val="20"/>
          <w:szCs w:val="20"/>
        </w:rPr>
        <w:t>developed based on an econometric model for improving the system of measures to increase the efficiency of innovation activities in textile enterprises, the development of new methods for the reuse of textile products, and forecast indicators for 2022-2030.</w:t>
      </w:r>
    </w:p>
    <w:p w14:paraId="4B992BAC" w14:textId="77777777" w:rsidR="008A0D00" w:rsidRPr="004245A5" w:rsidRDefault="008A0D00"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Efficiency functions are used to study the effective use of innovative technologies in textile manufacturing companies. An efficiency function (SF) is a mathematical function that represents the relationship between the quantity of a product produced and the cost of producing that product. In this function, the dependent variables are the volume of output produced, and the dependent variables are the volume of resources consumed or used.</w:t>
      </w:r>
    </w:p>
    <w:p w14:paraId="4E2D46F7" w14:textId="77777777" w:rsidR="008A0D00" w:rsidRPr="004245A5" w:rsidRDefault="008A0D00"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An innovative production process is a production process that integrates raw materials (XI), capital (K), and labor (L) based on a specific technology. The inputs to the process are raw materials and supplies (XI), capital (K), and labor (L), and the outputs are finished products.</w:t>
      </w:r>
    </w:p>
    <w:p w14:paraId="11451E0D" w14:textId="018740EF" w:rsidR="008A0D00" w:rsidRPr="004245A5" w:rsidRDefault="008A0D00"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At the beginning of our study, we will examine the sequence of factors influencing the production process at “</w:t>
      </w:r>
      <w:proofErr w:type="spellStart"/>
      <w:r w:rsidRPr="004245A5">
        <w:rPr>
          <w:rFonts w:ascii="Times New Roman" w:hAnsi="Times New Roman"/>
          <w:sz w:val="20"/>
          <w:szCs w:val="20"/>
        </w:rPr>
        <w:t>Hilale</w:t>
      </w:r>
      <w:proofErr w:type="spellEnd"/>
      <w:r w:rsidRPr="004245A5">
        <w:rPr>
          <w:rFonts w:ascii="Times New Roman" w:hAnsi="Times New Roman"/>
          <w:sz w:val="20"/>
          <w:szCs w:val="20"/>
        </w:rPr>
        <w:t xml:space="preserve"> Textiles” LLC and “</w:t>
      </w:r>
      <w:proofErr w:type="spellStart"/>
      <w:r w:rsidRPr="004245A5">
        <w:rPr>
          <w:rFonts w:ascii="Times New Roman" w:hAnsi="Times New Roman"/>
          <w:sz w:val="20"/>
          <w:szCs w:val="20"/>
        </w:rPr>
        <w:t>Takro</w:t>
      </w:r>
      <w:proofErr w:type="spellEnd"/>
      <w:r w:rsidRPr="004245A5">
        <w:rPr>
          <w:rFonts w:ascii="Times New Roman" w:hAnsi="Times New Roman"/>
          <w:sz w:val="20"/>
          <w:szCs w:val="20"/>
        </w:rPr>
        <w:t xml:space="preserve"> Osiyo” LLC.</w:t>
      </w:r>
      <w:r w:rsidR="00597A39" w:rsidRPr="004245A5">
        <w:rPr>
          <w:rFonts w:ascii="Times New Roman" w:hAnsi="Times New Roman"/>
          <w:sz w:val="20"/>
          <w:szCs w:val="20"/>
        </w:rPr>
        <w:t xml:space="preserve"> [5].</w:t>
      </w:r>
    </w:p>
    <w:p w14:paraId="1DF74B93" w14:textId="0414C26B" w:rsidR="002116FD" w:rsidRPr="004245A5" w:rsidRDefault="002116FD" w:rsidP="00DF0EC8">
      <w:pPr>
        <w:overflowPunct w:val="0"/>
        <w:autoSpaceDE w:val="0"/>
        <w:autoSpaceDN w:val="0"/>
        <w:adjustRightInd w:val="0"/>
        <w:spacing w:before="240" w:after="240"/>
        <w:jc w:val="center"/>
        <w:textAlignment w:val="baseline"/>
        <w:rPr>
          <w:rFonts w:ascii="Times New Roman" w:hAnsi="Times New Roman" w:cs="Times New Roman"/>
          <w:b/>
          <w:sz w:val="24"/>
          <w:szCs w:val="24"/>
        </w:rPr>
      </w:pPr>
      <w:r w:rsidRPr="004245A5">
        <w:rPr>
          <w:rFonts w:ascii="Times New Roman" w:hAnsi="Times New Roman" w:cs="Times New Roman"/>
          <w:b/>
          <w:sz w:val="24"/>
          <w:szCs w:val="24"/>
        </w:rPr>
        <w:t>RESEARCH RESULTS</w:t>
      </w:r>
    </w:p>
    <w:p w14:paraId="5FCBBE61" w14:textId="77777777" w:rsidR="002116FD" w:rsidRPr="004245A5" w:rsidRDefault="002116FD" w:rsidP="004245A5">
      <w:pPr>
        <w:pStyle w:val="10"/>
        <w:keepNext/>
        <w:tabs>
          <w:tab w:val="left" w:pos="426"/>
        </w:tabs>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To create the econometric analysis for the enterprise, we used indicators of total cost (NV), resource intensity (RI), sales revenue (SP), wages (SF), and the value of fixed assets (LTA). Based on this case,</w:t>
      </w:r>
    </w:p>
    <w:p w14:paraId="2653761E" w14:textId="77777777" w:rsidR="002116FD" w:rsidRPr="004245A5" w:rsidRDefault="002116FD" w:rsidP="004245A5">
      <w:pPr>
        <w:pStyle w:val="10"/>
        <w:keepNext/>
        <w:tabs>
          <w:tab w:val="left" w:pos="426"/>
        </w:tabs>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Y – exports (E)</w:t>
      </w:r>
    </w:p>
    <w:p w14:paraId="6AE71F6F" w14:textId="77777777" w:rsidR="002116FD" w:rsidRPr="004245A5" w:rsidRDefault="002116FD" w:rsidP="004245A5">
      <w:pPr>
        <w:pStyle w:val="10"/>
        <w:keepNext/>
        <w:tabs>
          <w:tab w:val="left" w:pos="426"/>
        </w:tabs>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X1 – sales revenue (SP)</w:t>
      </w:r>
    </w:p>
    <w:p w14:paraId="3FADCA8D" w14:textId="77777777" w:rsidR="002116FD" w:rsidRPr="004245A5" w:rsidRDefault="002116FD" w:rsidP="004245A5">
      <w:pPr>
        <w:pStyle w:val="10"/>
        <w:keepNext/>
        <w:tabs>
          <w:tab w:val="left" w:pos="426"/>
        </w:tabs>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X2 – wages (SF)</w:t>
      </w:r>
    </w:p>
    <w:p w14:paraId="09406C5A" w14:textId="77777777" w:rsidR="002116FD" w:rsidRPr="004245A5" w:rsidRDefault="002116FD" w:rsidP="004245A5">
      <w:pPr>
        <w:pStyle w:val="10"/>
        <w:keepNext/>
        <w:tabs>
          <w:tab w:val="left" w:pos="426"/>
        </w:tabs>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X3 – value of fixed assets (LTA)</w:t>
      </w:r>
    </w:p>
    <w:p w14:paraId="0789661B" w14:textId="77777777" w:rsidR="002116FD" w:rsidRPr="004245A5" w:rsidRDefault="002116FD" w:rsidP="004245A5">
      <w:pPr>
        <w:pStyle w:val="10"/>
        <w:keepNext/>
        <w:tabs>
          <w:tab w:val="left" w:pos="426"/>
        </w:tabs>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X4 – resource intensity (RI)</w:t>
      </w:r>
    </w:p>
    <w:p w14:paraId="5FF391E9" w14:textId="24AEF029" w:rsidR="002116FD" w:rsidRPr="004245A5" w:rsidRDefault="002116FD" w:rsidP="004245A5">
      <w:pPr>
        <w:pStyle w:val="10"/>
        <w:keepNext/>
        <w:tabs>
          <w:tab w:val="left" w:pos="426"/>
        </w:tabs>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X5 – technical condition (TS)</w:t>
      </w:r>
    </w:p>
    <w:p w14:paraId="4337AF04" w14:textId="77777777" w:rsidR="004245A5" w:rsidRPr="004245A5" w:rsidRDefault="004245A5" w:rsidP="004245A5">
      <w:pPr>
        <w:pStyle w:val="10"/>
        <w:keepNext/>
        <w:overflowPunct w:val="0"/>
        <w:autoSpaceDE w:val="0"/>
        <w:autoSpaceDN w:val="0"/>
        <w:adjustRightInd w:val="0"/>
        <w:spacing w:before="0" w:beforeAutospacing="0" w:after="0" w:afterAutospacing="0" w:line="240" w:lineRule="auto"/>
        <w:ind w:firstLine="284"/>
        <w:jc w:val="center"/>
        <w:textAlignment w:val="baseline"/>
        <w:outlineLvl w:val="5"/>
        <w:rPr>
          <w:rFonts w:ascii="Times New Roman" w:hAnsi="Times New Roman"/>
          <w:b/>
          <w:sz w:val="20"/>
          <w:szCs w:val="20"/>
          <w:lang w:val="uz-Cyrl-UZ"/>
        </w:rPr>
      </w:pPr>
    </w:p>
    <w:p w14:paraId="664010E9" w14:textId="590F8394" w:rsidR="006975EB" w:rsidRPr="004245A5" w:rsidRDefault="00D17BD0" w:rsidP="004245A5">
      <w:pPr>
        <w:pStyle w:val="10"/>
        <w:keepNext/>
        <w:overflowPunct w:val="0"/>
        <w:autoSpaceDE w:val="0"/>
        <w:autoSpaceDN w:val="0"/>
        <w:adjustRightInd w:val="0"/>
        <w:spacing w:before="0" w:beforeAutospacing="0" w:after="0" w:afterAutospacing="0" w:line="240" w:lineRule="auto"/>
        <w:ind w:firstLine="284"/>
        <w:jc w:val="center"/>
        <w:textAlignment w:val="baseline"/>
        <w:outlineLvl w:val="5"/>
        <w:rPr>
          <w:rFonts w:ascii="Times New Roman" w:hAnsi="Times New Roman"/>
          <w:sz w:val="20"/>
          <w:szCs w:val="20"/>
        </w:rPr>
      </w:pPr>
      <w:r w:rsidRPr="004245A5">
        <w:rPr>
          <w:rFonts w:ascii="Times New Roman" w:hAnsi="Times New Roman"/>
          <w:b/>
          <w:sz w:val="20"/>
          <w:szCs w:val="20"/>
        </w:rPr>
        <w:t>TABLE 1</w:t>
      </w:r>
      <w:r w:rsidR="004245A5" w:rsidRPr="004245A5">
        <w:rPr>
          <w:rFonts w:ascii="Times New Roman" w:hAnsi="Times New Roman"/>
          <w:b/>
          <w:sz w:val="20"/>
          <w:szCs w:val="20"/>
          <w:lang w:val="uz-Cyrl-UZ"/>
        </w:rPr>
        <w:t xml:space="preserve">. </w:t>
      </w:r>
      <w:r w:rsidR="006975EB" w:rsidRPr="004245A5">
        <w:rPr>
          <w:rFonts w:ascii="Times New Roman" w:hAnsi="Times New Roman"/>
          <w:sz w:val="20"/>
          <w:szCs w:val="20"/>
        </w:rPr>
        <w:t>Results of autoregressive analysis in textile enterprises</w:t>
      </w:r>
      <w:r w:rsidR="00DA0367" w:rsidRPr="004245A5">
        <w:rPr>
          <w:rFonts w:ascii="Times New Roman" w:hAnsi="Times New Roman"/>
          <w:sz w:val="20"/>
          <w:szCs w:val="20"/>
        </w:rPr>
        <w:t>.</w:t>
      </w:r>
    </w:p>
    <w:tbl>
      <w:tblPr>
        <w:tblStyle w:val="11"/>
        <w:tblW w:w="0" w:type="auto"/>
        <w:jc w:val="center"/>
        <w:tblLayout w:type="fixed"/>
        <w:tblLook w:val="04A0" w:firstRow="1" w:lastRow="0" w:firstColumn="1" w:lastColumn="0" w:noHBand="0" w:noVBand="1"/>
      </w:tblPr>
      <w:tblGrid>
        <w:gridCol w:w="236"/>
        <w:gridCol w:w="473"/>
        <w:gridCol w:w="1275"/>
        <w:gridCol w:w="1276"/>
        <w:gridCol w:w="2268"/>
        <w:gridCol w:w="494"/>
        <w:gridCol w:w="924"/>
        <w:gridCol w:w="2126"/>
      </w:tblGrid>
      <w:tr w:rsidR="006975EB" w:rsidRPr="004245A5" w14:paraId="3D886FD5" w14:textId="77777777" w:rsidTr="00F815E5">
        <w:trPr>
          <w:jc w:val="center"/>
        </w:trPr>
        <w:tc>
          <w:tcPr>
            <w:tcW w:w="709" w:type="dxa"/>
            <w:gridSpan w:val="2"/>
            <w:vAlign w:val="center"/>
          </w:tcPr>
          <w:p w14:paraId="5DB51465" w14:textId="77777777" w:rsidR="006975EB" w:rsidRPr="004245A5" w:rsidRDefault="006975EB" w:rsidP="004245A5">
            <w:pPr>
              <w:jc w:val="center"/>
              <w:rPr>
                <w:b/>
                <w:sz w:val="18"/>
                <w:szCs w:val="18"/>
                <w:lang w:val="uz-Cyrl-UZ" w:eastAsia="en-US"/>
              </w:rPr>
            </w:pPr>
          </w:p>
        </w:tc>
        <w:tc>
          <w:tcPr>
            <w:tcW w:w="1275" w:type="dxa"/>
            <w:vAlign w:val="center"/>
          </w:tcPr>
          <w:p w14:paraId="06DC3DFD" w14:textId="6D147FD4" w:rsidR="006975EB" w:rsidRPr="004245A5" w:rsidRDefault="006975EB" w:rsidP="004245A5">
            <w:pPr>
              <w:jc w:val="center"/>
              <w:rPr>
                <w:b/>
                <w:sz w:val="18"/>
                <w:szCs w:val="18"/>
                <w:lang w:val="uz-Cyrl-UZ" w:eastAsia="en-US"/>
              </w:rPr>
            </w:pPr>
            <w:r w:rsidRPr="004245A5">
              <w:rPr>
                <w:b/>
                <w:sz w:val="18"/>
                <w:szCs w:val="18"/>
                <w:lang w:val="uz-Cyrl-UZ" w:eastAsia="en-US"/>
              </w:rPr>
              <w:t>Standard error</w:t>
            </w:r>
          </w:p>
        </w:tc>
        <w:tc>
          <w:tcPr>
            <w:tcW w:w="1276" w:type="dxa"/>
            <w:vAlign w:val="center"/>
          </w:tcPr>
          <w:p w14:paraId="4A42B77A" w14:textId="315277CD" w:rsidR="006975EB" w:rsidRPr="004245A5" w:rsidRDefault="006975EB" w:rsidP="004245A5">
            <w:pPr>
              <w:jc w:val="center"/>
              <w:rPr>
                <w:b/>
                <w:sz w:val="18"/>
                <w:szCs w:val="18"/>
                <w:lang w:val="uz-Cyrl-UZ" w:eastAsia="en-US"/>
              </w:rPr>
            </w:pPr>
            <w:r w:rsidRPr="004245A5">
              <w:rPr>
                <w:b/>
                <w:sz w:val="18"/>
                <w:szCs w:val="18"/>
                <w:lang w:val="uz-Cyrl-UZ" w:eastAsia="en-US"/>
              </w:rPr>
              <w:t xml:space="preserve">Plural </w:t>
            </w:r>
            <m:oMath>
              <m:sSup>
                <m:sSupPr>
                  <m:ctrlPr>
                    <w:rPr>
                      <w:rFonts w:ascii="Cambria Math" w:hAnsi="Cambria Math"/>
                      <w:b/>
                      <w:i/>
                      <w:sz w:val="18"/>
                      <w:szCs w:val="18"/>
                      <w:lang w:val="en-US"/>
                    </w:rPr>
                  </m:ctrlPr>
                </m:sSupPr>
                <m:e>
                  <m:r>
                    <m:rPr>
                      <m:sty m:val="bi"/>
                    </m:rPr>
                    <w:rPr>
                      <w:rFonts w:ascii="Cambria Math" w:hAnsi="Cambria Math"/>
                      <w:sz w:val="18"/>
                      <w:szCs w:val="18"/>
                      <w:lang w:val="uz-Cyrl-UZ" w:eastAsia="en-US"/>
                    </w:rPr>
                    <m:t>R</m:t>
                  </m:r>
                </m:e>
                <m:sup>
                  <m:r>
                    <m:rPr>
                      <m:sty m:val="bi"/>
                    </m:rPr>
                    <w:rPr>
                      <w:rFonts w:ascii="Cambria Math" w:hAnsi="Cambria Math"/>
                      <w:sz w:val="18"/>
                      <w:szCs w:val="18"/>
                      <w:lang w:val="uz-Cyrl-UZ" w:eastAsia="en-US"/>
                    </w:rPr>
                    <m:t>2</m:t>
                  </m:r>
                </m:sup>
              </m:sSup>
            </m:oMath>
          </w:p>
        </w:tc>
        <w:tc>
          <w:tcPr>
            <w:tcW w:w="2268" w:type="dxa"/>
            <w:vAlign w:val="center"/>
          </w:tcPr>
          <w:p w14:paraId="7C858F5F" w14:textId="7B0BA8F8" w:rsidR="006975EB" w:rsidRPr="004245A5" w:rsidRDefault="006975EB" w:rsidP="004245A5">
            <w:pPr>
              <w:jc w:val="center"/>
              <w:rPr>
                <w:b/>
                <w:sz w:val="18"/>
                <w:szCs w:val="18"/>
                <w:lang w:val="uz-Cyrl-UZ" w:eastAsia="en-US"/>
              </w:rPr>
            </w:pPr>
            <w:r w:rsidRPr="004245A5">
              <w:rPr>
                <w:b/>
                <w:sz w:val="18"/>
                <w:szCs w:val="18"/>
                <w:lang w:val="uz-Cyrl-UZ" w:eastAsia="en-US"/>
              </w:rPr>
              <w:t xml:space="preserve">Individual </w:t>
            </w:r>
            <m:oMath>
              <m:sSup>
                <m:sSupPr>
                  <m:ctrlPr>
                    <w:rPr>
                      <w:rFonts w:ascii="Cambria Math" w:hAnsi="Cambria Math"/>
                      <w:b/>
                      <w:i/>
                      <w:sz w:val="18"/>
                      <w:szCs w:val="18"/>
                      <w:lang w:val="en-US"/>
                    </w:rPr>
                  </m:ctrlPr>
                </m:sSupPr>
                <m:e>
                  <m:r>
                    <m:rPr>
                      <m:sty m:val="bi"/>
                    </m:rPr>
                    <w:rPr>
                      <w:rFonts w:ascii="Cambria Math" w:hAnsi="Cambria Math"/>
                      <w:sz w:val="18"/>
                      <w:szCs w:val="18"/>
                      <w:lang w:val="uz-Cyrl-UZ" w:eastAsia="en-US"/>
                    </w:rPr>
                    <m:t>R</m:t>
                  </m:r>
                </m:e>
                <m:sup>
                  <m:r>
                    <m:rPr>
                      <m:sty m:val="bi"/>
                    </m:rPr>
                    <w:rPr>
                      <w:rFonts w:ascii="Cambria Math" w:hAnsi="Cambria Math"/>
                      <w:sz w:val="18"/>
                      <w:szCs w:val="18"/>
                      <w:lang w:val="uz-Cyrl-UZ" w:eastAsia="en-US"/>
                    </w:rPr>
                    <m:t>2</m:t>
                  </m:r>
                </m:sup>
              </m:sSup>
            </m:oMath>
          </w:p>
        </w:tc>
        <w:tc>
          <w:tcPr>
            <w:tcW w:w="1418" w:type="dxa"/>
            <w:gridSpan w:val="2"/>
            <w:vAlign w:val="center"/>
          </w:tcPr>
          <w:p w14:paraId="2ADA175D" w14:textId="773CB281" w:rsidR="006975EB" w:rsidRPr="004245A5" w:rsidRDefault="006975EB" w:rsidP="004245A5">
            <w:pPr>
              <w:jc w:val="center"/>
              <w:rPr>
                <w:b/>
                <w:sz w:val="18"/>
                <w:szCs w:val="18"/>
                <w:lang w:val="uz-Cyrl-UZ" w:eastAsia="en-US"/>
              </w:rPr>
            </w:pPr>
            <w:r w:rsidRPr="004245A5">
              <w:rPr>
                <w:b/>
                <w:sz w:val="18"/>
                <w:szCs w:val="18"/>
                <w:lang w:val="uz-Cyrl-UZ" w:eastAsia="en-US"/>
              </w:rPr>
              <w:t>F statistics</w:t>
            </w:r>
          </w:p>
        </w:tc>
        <w:tc>
          <w:tcPr>
            <w:tcW w:w="2126" w:type="dxa"/>
            <w:vAlign w:val="center"/>
          </w:tcPr>
          <w:p w14:paraId="0BBF1B56" w14:textId="4474195D" w:rsidR="006975EB" w:rsidRPr="004245A5" w:rsidRDefault="006975EB" w:rsidP="004245A5">
            <w:pPr>
              <w:jc w:val="center"/>
              <w:rPr>
                <w:b/>
                <w:sz w:val="18"/>
                <w:szCs w:val="18"/>
                <w:lang w:val="uz-Cyrl-UZ" w:eastAsia="en-US"/>
              </w:rPr>
            </w:pPr>
            <w:r w:rsidRPr="004245A5">
              <w:rPr>
                <w:b/>
                <w:sz w:val="18"/>
                <w:szCs w:val="18"/>
                <w:lang w:val="uz-Cyrl-UZ" w:eastAsia="en-US"/>
              </w:rPr>
              <w:t>P probability</w:t>
            </w:r>
          </w:p>
        </w:tc>
      </w:tr>
      <w:tr w:rsidR="006975EB" w:rsidRPr="004245A5" w14:paraId="6A14CE52" w14:textId="77777777" w:rsidTr="00F815E5">
        <w:trPr>
          <w:trHeight w:val="246"/>
          <w:jc w:val="center"/>
        </w:trPr>
        <w:tc>
          <w:tcPr>
            <w:tcW w:w="709" w:type="dxa"/>
            <w:gridSpan w:val="2"/>
          </w:tcPr>
          <w:p w14:paraId="3637240F" w14:textId="77777777" w:rsidR="006975EB" w:rsidRPr="004245A5" w:rsidRDefault="006975EB" w:rsidP="004245A5">
            <w:pPr>
              <w:jc w:val="center"/>
              <w:rPr>
                <w:sz w:val="18"/>
                <w:szCs w:val="18"/>
                <w:lang w:val="en-US" w:eastAsia="en-US"/>
              </w:rPr>
            </w:pPr>
            <w:r w:rsidRPr="004245A5">
              <w:rPr>
                <w:sz w:val="18"/>
                <w:szCs w:val="18"/>
                <w:lang w:val="en-US" w:eastAsia="en-US"/>
              </w:rPr>
              <w:t>dx1</w:t>
            </w:r>
          </w:p>
        </w:tc>
        <w:tc>
          <w:tcPr>
            <w:tcW w:w="1275" w:type="dxa"/>
          </w:tcPr>
          <w:p w14:paraId="7C6F1994" w14:textId="77777777" w:rsidR="006975EB" w:rsidRPr="004245A5" w:rsidRDefault="006975EB" w:rsidP="004245A5">
            <w:pPr>
              <w:jc w:val="center"/>
              <w:rPr>
                <w:sz w:val="18"/>
                <w:szCs w:val="18"/>
                <w:lang w:val="en-US" w:eastAsia="en-US"/>
              </w:rPr>
            </w:pPr>
            <w:r w:rsidRPr="004245A5">
              <w:rPr>
                <w:sz w:val="18"/>
                <w:szCs w:val="18"/>
                <w:lang w:val="en-US" w:eastAsia="en-US"/>
              </w:rPr>
              <w:t>972500</w:t>
            </w:r>
          </w:p>
        </w:tc>
        <w:tc>
          <w:tcPr>
            <w:tcW w:w="1276" w:type="dxa"/>
          </w:tcPr>
          <w:p w14:paraId="4D354391"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9381</w:t>
            </w:r>
          </w:p>
        </w:tc>
        <w:tc>
          <w:tcPr>
            <w:tcW w:w="2268" w:type="dxa"/>
          </w:tcPr>
          <w:p w14:paraId="0F6DF4CF"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6364</w:t>
            </w:r>
          </w:p>
        </w:tc>
        <w:tc>
          <w:tcPr>
            <w:tcW w:w="1418" w:type="dxa"/>
            <w:gridSpan w:val="2"/>
          </w:tcPr>
          <w:p w14:paraId="08556898" w14:textId="77777777" w:rsidR="006975EB" w:rsidRPr="004245A5" w:rsidRDefault="006975EB" w:rsidP="004245A5">
            <w:pPr>
              <w:jc w:val="center"/>
              <w:rPr>
                <w:sz w:val="18"/>
                <w:szCs w:val="18"/>
                <w:lang w:val="en-US" w:eastAsia="en-US"/>
              </w:rPr>
            </w:pPr>
            <w:r w:rsidRPr="004245A5">
              <w:rPr>
                <w:sz w:val="18"/>
                <w:szCs w:val="18"/>
                <w:lang w:val="en-US" w:eastAsia="en-US"/>
              </w:rPr>
              <w:t>16</w:t>
            </w:r>
            <w:r w:rsidRPr="004245A5">
              <w:rPr>
                <w:sz w:val="18"/>
                <w:szCs w:val="18"/>
                <w:lang w:eastAsia="en-US"/>
              </w:rPr>
              <w:t>,</w:t>
            </w:r>
            <w:r w:rsidRPr="004245A5">
              <w:rPr>
                <w:sz w:val="18"/>
                <w:szCs w:val="18"/>
                <w:lang w:val="en-US" w:eastAsia="en-US"/>
              </w:rPr>
              <w:t>75</w:t>
            </w:r>
          </w:p>
        </w:tc>
        <w:tc>
          <w:tcPr>
            <w:tcW w:w="2126" w:type="dxa"/>
          </w:tcPr>
          <w:p w14:paraId="4F9A35F5" w14:textId="77777777" w:rsidR="006975EB" w:rsidRPr="004245A5" w:rsidRDefault="006975EB" w:rsidP="004245A5">
            <w:pPr>
              <w:jc w:val="center"/>
              <w:rPr>
                <w:sz w:val="18"/>
                <w:szCs w:val="18"/>
                <w:lang w:val="en-US" w:eastAsia="en-US"/>
              </w:rPr>
            </w:pPr>
            <w:r w:rsidRPr="004245A5">
              <w:rPr>
                <w:sz w:val="18"/>
                <w:szCs w:val="18"/>
                <w:lang w:val="en-US" w:eastAsia="en-US"/>
              </w:rPr>
              <w:t>6</w:t>
            </w:r>
            <w:r w:rsidRPr="004245A5">
              <w:rPr>
                <w:sz w:val="18"/>
                <w:szCs w:val="18"/>
                <w:lang w:eastAsia="en-US"/>
              </w:rPr>
              <w:t>,</w:t>
            </w:r>
            <w:r w:rsidRPr="004245A5">
              <w:rPr>
                <w:sz w:val="18"/>
                <w:szCs w:val="18"/>
                <w:lang w:val="en-US" w:eastAsia="en-US"/>
              </w:rPr>
              <w:t>41305</w:t>
            </w:r>
          </w:p>
        </w:tc>
      </w:tr>
      <w:tr w:rsidR="006975EB" w:rsidRPr="004245A5" w14:paraId="36864CBD" w14:textId="77777777" w:rsidTr="00F815E5">
        <w:trPr>
          <w:trHeight w:val="237"/>
          <w:jc w:val="center"/>
        </w:trPr>
        <w:tc>
          <w:tcPr>
            <w:tcW w:w="709" w:type="dxa"/>
            <w:gridSpan w:val="2"/>
          </w:tcPr>
          <w:p w14:paraId="3B3C0338" w14:textId="77777777" w:rsidR="006975EB" w:rsidRPr="004245A5" w:rsidRDefault="006975EB" w:rsidP="004245A5">
            <w:pPr>
              <w:jc w:val="center"/>
              <w:rPr>
                <w:sz w:val="18"/>
                <w:szCs w:val="18"/>
                <w:lang w:val="en-US" w:eastAsia="en-US"/>
              </w:rPr>
            </w:pPr>
            <w:r w:rsidRPr="004245A5">
              <w:rPr>
                <w:sz w:val="18"/>
                <w:szCs w:val="18"/>
                <w:lang w:val="en-US" w:eastAsia="en-US"/>
              </w:rPr>
              <w:t>dx2</w:t>
            </w:r>
          </w:p>
        </w:tc>
        <w:tc>
          <w:tcPr>
            <w:tcW w:w="1275" w:type="dxa"/>
          </w:tcPr>
          <w:p w14:paraId="0854569C" w14:textId="77777777" w:rsidR="006975EB" w:rsidRPr="004245A5" w:rsidRDefault="006975EB" w:rsidP="004245A5">
            <w:pPr>
              <w:jc w:val="center"/>
              <w:rPr>
                <w:sz w:val="18"/>
                <w:szCs w:val="18"/>
                <w:lang w:val="en-US" w:eastAsia="en-US"/>
              </w:rPr>
            </w:pPr>
            <w:r w:rsidRPr="004245A5">
              <w:rPr>
                <w:sz w:val="18"/>
                <w:szCs w:val="18"/>
                <w:lang w:val="en-US" w:eastAsia="en-US"/>
              </w:rPr>
              <w:t>165400</w:t>
            </w:r>
          </w:p>
        </w:tc>
        <w:tc>
          <w:tcPr>
            <w:tcW w:w="1276" w:type="dxa"/>
          </w:tcPr>
          <w:p w14:paraId="268B5B4A"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9367</w:t>
            </w:r>
          </w:p>
        </w:tc>
        <w:tc>
          <w:tcPr>
            <w:tcW w:w="2268" w:type="dxa"/>
          </w:tcPr>
          <w:p w14:paraId="4B39FDB3"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7775</w:t>
            </w:r>
          </w:p>
        </w:tc>
        <w:tc>
          <w:tcPr>
            <w:tcW w:w="1418" w:type="dxa"/>
            <w:gridSpan w:val="2"/>
          </w:tcPr>
          <w:p w14:paraId="0AC69160" w14:textId="77777777" w:rsidR="006975EB" w:rsidRPr="004245A5" w:rsidRDefault="006975EB" w:rsidP="004245A5">
            <w:pPr>
              <w:jc w:val="center"/>
              <w:rPr>
                <w:sz w:val="18"/>
                <w:szCs w:val="18"/>
                <w:lang w:val="en-US" w:eastAsia="en-US"/>
              </w:rPr>
            </w:pPr>
            <w:r w:rsidRPr="004245A5">
              <w:rPr>
                <w:sz w:val="18"/>
                <w:szCs w:val="18"/>
                <w:lang w:val="en-US" w:eastAsia="en-US"/>
              </w:rPr>
              <w:t>7</w:t>
            </w:r>
            <w:r w:rsidRPr="004245A5">
              <w:rPr>
                <w:sz w:val="18"/>
                <w:szCs w:val="18"/>
                <w:lang w:eastAsia="en-US"/>
              </w:rPr>
              <w:t>,</w:t>
            </w:r>
            <w:r w:rsidRPr="004245A5">
              <w:rPr>
                <w:sz w:val="18"/>
                <w:szCs w:val="18"/>
                <w:lang w:val="en-US" w:eastAsia="en-US"/>
              </w:rPr>
              <w:t>366</w:t>
            </w:r>
          </w:p>
        </w:tc>
        <w:tc>
          <w:tcPr>
            <w:tcW w:w="2126" w:type="dxa"/>
          </w:tcPr>
          <w:p w14:paraId="7EC3BF14" w14:textId="77777777" w:rsidR="006975EB" w:rsidRPr="004245A5" w:rsidRDefault="006975EB" w:rsidP="004245A5">
            <w:pPr>
              <w:jc w:val="center"/>
              <w:rPr>
                <w:sz w:val="18"/>
                <w:szCs w:val="18"/>
                <w:lang w:val="en-US" w:eastAsia="en-US"/>
              </w:rPr>
            </w:pPr>
            <w:r w:rsidRPr="004245A5">
              <w:rPr>
                <w:sz w:val="18"/>
                <w:szCs w:val="18"/>
                <w:lang w:val="en-US" w:eastAsia="en-US"/>
              </w:rPr>
              <w:t>5</w:t>
            </w:r>
            <w:r w:rsidRPr="004245A5">
              <w:rPr>
                <w:sz w:val="18"/>
                <w:szCs w:val="18"/>
                <w:lang w:eastAsia="en-US"/>
              </w:rPr>
              <w:t>,</w:t>
            </w:r>
            <w:r w:rsidRPr="004245A5">
              <w:rPr>
                <w:sz w:val="18"/>
                <w:szCs w:val="18"/>
                <w:lang w:val="en-US" w:eastAsia="en-US"/>
              </w:rPr>
              <w:t>00483</w:t>
            </w:r>
          </w:p>
        </w:tc>
      </w:tr>
      <w:tr w:rsidR="006975EB" w:rsidRPr="004245A5" w14:paraId="32AC3CC8" w14:textId="77777777" w:rsidTr="00F815E5">
        <w:trPr>
          <w:jc w:val="center"/>
        </w:trPr>
        <w:tc>
          <w:tcPr>
            <w:tcW w:w="709" w:type="dxa"/>
            <w:gridSpan w:val="2"/>
          </w:tcPr>
          <w:p w14:paraId="593ACCD8" w14:textId="77777777" w:rsidR="006975EB" w:rsidRPr="004245A5" w:rsidRDefault="006975EB" w:rsidP="004245A5">
            <w:pPr>
              <w:jc w:val="center"/>
              <w:rPr>
                <w:sz w:val="18"/>
                <w:szCs w:val="18"/>
                <w:lang w:val="en-US" w:eastAsia="en-US"/>
              </w:rPr>
            </w:pPr>
            <w:r w:rsidRPr="004245A5">
              <w:rPr>
                <w:sz w:val="18"/>
                <w:szCs w:val="18"/>
                <w:lang w:val="en-US" w:eastAsia="en-US"/>
              </w:rPr>
              <w:t>dx3</w:t>
            </w:r>
          </w:p>
        </w:tc>
        <w:tc>
          <w:tcPr>
            <w:tcW w:w="1275" w:type="dxa"/>
          </w:tcPr>
          <w:p w14:paraId="3FD160AC" w14:textId="77777777" w:rsidR="006975EB" w:rsidRPr="004245A5" w:rsidRDefault="006975EB" w:rsidP="004245A5">
            <w:pPr>
              <w:jc w:val="center"/>
              <w:rPr>
                <w:sz w:val="18"/>
                <w:szCs w:val="18"/>
                <w:lang w:val="en-US" w:eastAsia="en-US"/>
              </w:rPr>
            </w:pPr>
            <w:r w:rsidRPr="004245A5">
              <w:rPr>
                <w:sz w:val="18"/>
                <w:szCs w:val="18"/>
                <w:lang w:val="en-US" w:eastAsia="en-US"/>
              </w:rPr>
              <w:t>229700</w:t>
            </w:r>
          </w:p>
        </w:tc>
        <w:tc>
          <w:tcPr>
            <w:tcW w:w="1276" w:type="dxa"/>
          </w:tcPr>
          <w:p w14:paraId="5E767708"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9889</w:t>
            </w:r>
          </w:p>
        </w:tc>
        <w:tc>
          <w:tcPr>
            <w:tcW w:w="2268" w:type="dxa"/>
          </w:tcPr>
          <w:p w14:paraId="01C151DD"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8235</w:t>
            </w:r>
          </w:p>
        </w:tc>
        <w:tc>
          <w:tcPr>
            <w:tcW w:w="1418" w:type="dxa"/>
            <w:gridSpan w:val="2"/>
          </w:tcPr>
          <w:p w14:paraId="706E4A99" w14:textId="77777777" w:rsidR="006975EB" w:rsidRPr="004245A5" w:rsidRDefault="006975EB" w:rsidP="004245A5">
            <w:pPr>
              <w:jc w:val="center"/>
              <w:rPr>
                <w:sz w:val="18"/>
                <w:szCs w:val="18"/>
                <w:lang w:val="en-US" w:eastAsia="en-US"/>
              </w:rPr>
            </w:pPr>
            <w:r w:rsidRPr="004245A5">
              <w:rPr>
                <w:sz w:val="18"/>
                <w:szCs w:val="18"/>
                <w:lang w:val="en-US" w:eastAsia="en-US"/>
              </w:rPr>
              <w:t>6</w:t>
            </w:r>
            <w:r w:rsidRPr="004245A5">
              <w:rPr>
                <w:sz w:val="18"/>
                <w:szCs w:val="18"/>
                <w:lang w:eastAsia="en-US"/>
              </w:rPr>
              <w:t>,</w:t>
            </w:r>
            <w:r w:rsidRPr="004245A5">
              <w:rPr>
                <w:sz w:val="18"/>
                <w:szCs w:val="18"/>
                <w:lang w:val="en-US" w:eastAsia="en-US"/>
              </w:rPr>
              <w:t>022</w:t>
            </w:r>
          </w:p>
        </w:tc>
        <w:tc>
          <w:tcPr>
            <w:tcW w:w="2126" w:type="dxa"/>
          </w:tcPr>
          <w:p w14:paraId="5230BC14" w14:textId="77777777" w:rsidR="006975EB" w:rsidRPr="004245A5" w:rsidRDefault="006975EB" w:rsidP="004245A5">
            <w:pPr>
              <w:jc w:val="center"/>
              <w:rPr>
                <w:sz w:val="18"/>
                <w:szCs w:val="18"/>
                <w:lang w:val="en-US" w:eastAsia="en-US"/>
              </w:rPr>
            </w:pPr>
            <w:r w:rsidRPr="004245A5">
              <w:rPr>
                <w:sz w:val="18"/>
                <w:szCs w:val="18"/>
                <w:lang w:val="en-US" w:eastAsia="en-US"/>
              </w:rPr>
              <w:t>4</w:t>
            </w:r>
            <w:r w:rsidRPr="004245A5">
              <w:rPr>
                <w:sz w:val="18"/>
                <w:szCs w:val="18"/>
                <w:lang w:eastAsia="en-US"/>
              </w:rPr>
              <w:t>,</w:t>
            </w:r>
            <w:r w:rsidRPr="004245A5">
              <w:rPr>
                <w:sz w:val="18"/>
                <w:szCs w:val="18"/>
                <w:lang w:val="en-US" w:eastAsia="en-US"/>
              </w:rPr>
              <w:t>09428</w:t>
            </w:r>
          </w:p>
        </w:tc>
      </w:tr>
      <w:tr w:rsidR="006975EB" w:rsidRPr="004245A5" w14:paraId="295C0153" w14:textId="77777777" w:rsidTr="00F815E5">
        <w:trPr>
          <w:jc w:val="center"/>
        </w:trPr>
        <w:tc>
          <w:tcPr>
            <w:tcW w:w="709" w:type="dxa"/>
            <w:gridSpan w:val="2"/>
          </w:tcPr>
          <w:p w14:paraId="14A4A59E" w14:textId="77777777" w:rsidR="006975EB" w:rsidRPr="004245A5" w:rsidRDefault="006975EB" w:rsidP="004245A5">
            <w:pPr>
              <w:jc w:val="center"/>
              <w:rPr>
                <w:sz w:val="18"/>
                <w:szCs w:val="18"/>
                <w:lang w:val="en-US" w:eastAsia="en-US"/>
              </w:rPr>
            </w:pPr>
            <w:r w:rsidRPr="004245A5">
              <w:rPr>
                <w:sz w:val="18"/>
                <w:szCs w:val="18"/>
                <w:lang w:val="en-US" w:eastAsia="en-US"/>
              </w:rPr>
              <w:t>dx4</w:t>
            </w:r>
          </w:p>
        </w:tc>
        <w:tc>
          <w:tcPr>
            <w:tcW w:w="1275" w:type="dxa"/>
          </w:tcPr>
          <w:p w14:paraId="0B725387" w14:textId="77777777" w:rsidR="006975EB" w:rsidRPr="004245A5" w:rsidRDefault="006975EB" w:rsidP="004245A5">
            <w:pPr>
              <w:jc w:val="center"/>
              <w:rPr>
                <w:sz w:val="18"/>
                <w:szCs w:val="18"/>
                <w:lang w:val="en-US" w:eastAsia="en-US"/>
              </w:rPr>
            </w:pPr>
            <w:r w:rsidRPr="004245A5">
              <w:rPr>
                <w:sz w:val="18"/>
                <w:szCs w:val="18"/>
                <w:lang w:val="en-US" w:eastAsia="en-US"/>
              </w:rPr>
              <w:t>445900</w:t>
            </w:r>
          </w:p>
        </w:tc>
        <w:tc>
          <w:tcPr>
            <w:tcW w:w="1276" w:type="dxa"/>
          </w:tcPr>
          <w:p w14:paraId="3BFB0D34"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9299</w:t>
            </w:r>
          </w:p>
        </w:tc>
        <w:tc>
          <w:tcPr>
            <w:tcW w:w="2268" w:type="dxa"/>
          </w:tcPr>
          <w:p w14:paraId="29364F58"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9909</w:t>
            </w:r>
          </w:p>
        </w:tc>
        <w:tc>
          <w:tcPr>
            <w:tcW w:w="1418" w:type="dxa"/>
            <w:gridSpan w:val="2"/>
          </w:tcPr>
          <w:p w14:paraId="238EB970" w14:textId="77777777" w:rsidR="006975EB" w:rsidRPr="004245A5" w:rsidRDefault="006975EB" w:rsidP="004245A5">
            <w:pPr>
              <w:jc w:val="center"/>
              <w:rPr>
                <w:sz w:val="18"/>
                <w:szCs w:val="18"/>
                <w:lang w:val="en-US" w:eastAsia="en-US"/>
              </w:rPr>
            </w:pPr>
            <w:r w:rsidRPr="004245A5">
              <w:rPr>
                <w:sz w:val="18"/>
                <w:szCs w:val="18"/>
                <w:lang w:val="en-US" w:eastAsia="en-US"/>
              </w:rPr>
              <w:t>16</w:t>
            </w:r>
            <w:r w:rsidRPr="004245A5">
              <w:rPr>
                <w:sz w:val="18"/>
                <w:szCs w:val="18"/>
                <w:lang w:eastAsia="en-US"/>
              </w:rPr>
              <w:t>,</w:t>
            </w:r>
            <w:r w:rsidRPr="004245A5">
              <w:rPr>
                <w:sz w:val="18"/>
                <w:szCs w:val="18"/>
                <w:lang w:val="en-US" w:eastAsia="en-US"/>
              </w:rPr>
              <w:t>17</w:t>
            </w:r>
          </w:p>
        </w:tc>
        <w:tc>
          <w:tcPr>
            <w:tcW w:w="2126" w:type="dxa"/>
          </w:tcPr>
          <w:p w14:paraId="356CC8B1" w14:textId="77777777" w:rsidR="006975EB" w:rsidRPr="004245A5" w:rsidRDefault="006975EB" w:rsidP="004245A5">
            <w:pPr>
              <w:jc w:val="center"/>
              <w:rPr>
                <w:sz w:val="18"/>
                <w:szCs w:val="18"/>
                <w:lang w:val="en-US" w:eastAsia="en-US"/>
              </w:rPr>
            </w:pPr>
            <w:r w:rsidRPr="004245A5">
              <w:rPr>
                <w:sz w:val="18"/>
                <w:szCs w:val="18"/>
                <w:lang w:val="en-US" w:eastAsia="en-US"/>
              </w:rPr>
              <w:t>3</w:t>
            </w:r>
            <w:r w:rsidRPr="004245A5">
              <w:rPr>
                <w:sz w:val="18"/>
                <w:szCs w:val="18"/>
                <w:lang w:eastAsia="en-US"/>
              </w:rPr>
              <w:t>,</w:t>
            </w:r>
            <w:r w:rsidRPr="004245A5">
              <w:rPr>
                <w:sz w:val="18"/>
                <w:szCs w:val="18"/>
                <w:lang w:val="en-US" w:eastAsia="en-US"/>
              </w:rPr>
              <w:t>92805</w:t>
            </w:r>
          </w:p>
        </w:tc>
      </w:tr>
      <w:tr w:rsidR="006975EB" w:rsidRPr="004245A5" w14:paraId="4C6D7C5B" w14:textId="77777777" w:rsidTr="00F815E5">
        <w:trPr>
          <w:jc w:val="center"/>
        </w:trPr>
        <w:tc>
          <w:tcPr>
            <w:tcW w:w="709" w:type="dxa"/>
            <w:gridSpan w:val="2"/>
          </w:tcPr>
          <w:p w14:paraId="49AB8A85" w14:textId="77777777" w:rsidR="006975EB" w:rsidRPr="004245A5" w:rsidRDefault="006975EB" w:rsidP="004245A5">
            <w:pPr>
              <w:jc w:val="center"/>
              <w:rPr>
                <w:sz w:val="18"/>
                <w:szCs w:val="18"/>
                <w:lang w:val="en-US" w:eastAsia="en-US"/>
              </w:rPr>
            </w:pPr>
            <w:r w:rsidRPr="004245A5">
              <w:rPr>
                <w:sz w:val="18"/>
                <w:szCs w:val="18"/>
                <w:lang w:val="en-US" w:eastAsia="en-US"/>
              </w:rPr>
              <w:t>dx5</w:t>
            </w:r>
          </w:p>
        </w:tc>
        <w:tc>
          <w:tcPr>
            <w:tcW w:w="1275" w:type="dxa"/>
          </w:tcPr>
          <w:p w14:paraId="54EDE117" w14:textId="77777777" w:rsidR="006975EB" w:rsidRPr="004245A5" w:rsidRDefault="006975EB" w:rsidP="004245A5">
            <w:pPr>
              <w:jc w:val="center"/>
              <w:rPr>
                <w:sz w:val="18"/>
                <w:szCs w:val="18"/>
                <w:lang w:val="en-US" w:eastAsia="en-US"/>
              </w:rPr>
            </w:pPr>
            <w:r w:rsidRPr="004245A5">
              <w:rPr>
                <w:sz w:val="18"/>
                <w:szCs w:val="18"/>
                <w:lang w:val="en-US" w:eastAsia="en-US"/>
              </w:rPr>
              <w:t>445900</w:t>
            </w:r>
          </w:p>
        </w:tc>
        <w:tc>
          <w:tcPr>
            <w:tcW w:w="1276" w:type="dxa"/>
          </w:tcPr>
          <w:p w14:paraId="44E101DA"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9299</w:t>
            </w:r>
          </w:p>
        </w:tc>
        <w:tc>
          <w:tcPr>
            <w:tcW w:w="2268" w:type="dxa"/>
          </w:tcPr>
          <w:p w14:paraId="0710E183"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7909</w:t>
            </w:r>
          </w:p>
        </w:tc>
        <w:tc>
          <w:tcPr>
            <w:tcW w:w="1418" w:type="dxa"/>
            <w:gridSpan w:val="2"/>
          </w:tcPr>
          <w:p w14:paraId="2DA825D9" w14:textId="77777777" w:rsidR="006975EB" w:rsidRPr="004245A5" w:rsidRDefault="006975EB" w:rsidP="004245A5">
            <w:pPr>
              <w:jc w:val="center"/>
              <w:rPr>
                <w:sz w:val="18"/>
                <w:szCs w:val="18"/>
                <w:lang w:val="en-US" w:eastAsia="en-US"/>
              </w:rPr>
            </w:pPr>
            <w:r w:rsidRPr="004245A5">
              <w:rPr>
                <w:sz w:val="18"/>
                <w:szCs w:val="18"/>
                <w:lang w:val="en-US" w:eastAsia="en-US"/>
              </w:rPr>
              <w:t>16</w:t>
            </w:r>
            <w:r w:rsidRPr="004245A5">
              <w:rPr>
                <w:sz w:val="18"/>
                <w:szCs w:val="18"/>
                <w:lang w:eastAsia="en-US"/>
              </w:rPr>
              <w:t>,</w:t>
            </w:r>
            <w:r w:rsidRPr="004245A5">
              <w:rPr>
                <w:sz w:val="18"/>
                <w:szCs w:val="18"/>
                <w:lang w:val="en-US" w:eastAsia="en-US"/>
              </w:rPr>
              <w:t>17</w:t>
            </w:r>
          </w:p>
        </w:tc>
        <w:tc>
          <w:tcPr>
            <w:tcW w:w="2126" w:type="dxa"/>
          </w:tcPr>
          <w:p w14:paraId="26C0C5B5" w14:textId="77777777" w:rsidR="006975EB" w:rsidRPr="004245A5" w:rsidRDefault="006975EB" w:rsidP="004245A5">
            <w:pPr>
              <w:jc w:val="center"/>
              <w:rPr>
                <w:sz w:val="18"/>
                <w:szCs w:val="18"/>
                <w:lang w:val="en-US" w:eastAsia="en-US"/>
              </w:rPr>
            </w:pPr>
            <w:r w:rsidRPr="004245A5">
              <w:rPr>
                <w:sz w:val="18"/>
                <w:szCs w:val="18"/>
                <w:lang w:val="en-US" w:eastAsia="en-US"/>
              </w:rPr>
              <w:t>2</w:t>
            </w:r>
            <w:r w:rsidRPr="004245A5">
              <w:rPr>
                <w:sz w:val="18"/>
                <w:szCs w:val="18"/>
                <w:lang w:eastAsia="en-US"/>
              </w:rPr>
              <w:t>,</w:t>
            </w:r>
            <w:r w:rsidRPr="004245A5">
              <w:rPr>
                <w:sz w:val="18"/>
                <w:szCs w:val="18"/>
                <w:lang w:val="en-US" w:eastAsia="en-US"/>
              </w:rPr>
              <w:t>92805</w:t>
            </w:r>
          </w:p>
        </w:tc>
      </w:tr>
      <w:tr w:rsidR="006975EB" w:rsidRPr="004245A5" w14:paraId="5B0F1C7C" w14:textId="77777777" w:rsidTr="00F815E5">
        <w:trPr>
          <w:jc w:val="center"/>
        </w:trPr>
        <w:tc>
          <w:tcPr>
            <w:tcW w:w="709" w:type="dxa"/>
            <w:gridSpan w:val="2"/>
          </w:tcPr>
          <w:p w14:paraId="1F489377" w14:textId="77777777" w:rsidR="006975EB" w:rsidRPr="004245A5" w:rsidRDefault="006975EB" w:rsidP="004245A5">
            <w:pPr>
              <w:jc w:val="center"/>
              <w:rPr>
                <w:sz w:val="18"/>
                <w:szCs w:val="18"/>
                <w:lang w:val="en-US" w:eastAsia="en-US"/>
              </w:rPr>
            </w:pPr>
            <w:r w:rsidRPr="004245A5">
              <w:rPr>
                <w:sz w:val="18"/>
                <w:szCs w:val="18"/>
                <w:lang w:val="en-US" w:eastAsia="en-US"/>
              </w:rPr>
              <w:t>dx6</w:t>
            </w:r>
          </w:p>
        </w:tc>
        <w:tc>
          <w:tcPr>
            <w:tcW w:w="1275" w:type="dxa"/>
          </w:tcPr>
          <w:p w14:paraId="3E4DFEFE" w14:textId="77777777" w:rsidR="006975EB" w:rsidRPr="004245A5" w:rsidRDefault="006975EB" w:rsidP="004245A5">
            <w:pPr>
              <w:jc w:val="center"/>
              <w:rPr>
                <w:sz w:val="18"/>
                <w:szCs w:val="18"/>
                <w:lang w:val="en-US" w:eastAsia="en-US"/>
              </w:rPr>
            </w:pPr>
            <w:r w:rsidRPr="004245A5">
              <w:rPr>
                <w:sz w:val="18"/>
                <w:szCs w:val="18"/>
                <w:lang w:val="uz-Cyrl-UZ" w:eastAsia="en-US"/>
              </w:rPr>
              <w:t>3</w:t>
            </w:r>
            <w:r w:rsidRPr="004245A5">
              <w:rPr>
                <w:sz w:val="18"/>
                <w:szCs w:val="18"/>
                <w:lang w:val="en-US" w:eastAsia="en-US"/>
              </w:rPr>
              <w:t>86250</w:t>
            </w:r>
          </w:p>
        </w:tc>
        <w:tc>
          <w:tcPr>
            <w:tcW w:w="1276" w:type="dxa"/>
          </w:tcPr>
          <w:p w14:paraId="513C2A0B"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9821</w:t>
            </w:r>
          </w:p>
        </w:tc>
        <w:tc>
          <w:tcPr>
            <w:tcW w:w="2268" w:type="dxa"/>
          </w:tcPr>
          <w:p w14:paraId="0C25C4B0"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5276</w:t>
            </w:r>
          </w:p>
        </w:tc>
        <w:tc>
          <w:tcPr>
            <w:tcW w:w="1418" w:type="dxa"/>
            <w:gridSpan w:val="2"/>
          </w:tcPr>
          <w:p w14:paraId="1FF73B80" w14:textId="77777777" w:rsidR="006975EB" w:rsidRPr="004245A5" w:rsidRDefault="006975EB" w:rsidP="004245A5">
            <w:pPr>
              <w:jc w:val="center"/>
              <w:rPr>
                <w:sz w:val="18"/>
                <w:szCs w:val="18"/>
                <w:lang w:val="en-US" w:eastAsia="en-US"/>
              </w:rPr>
            </w:pPr>
            <w:r w:rsidRPr="004245A5">
              <w:rPr>
                <w:sz w:val="18"/>
                <w:szCs w:val="18"/>
                <w:lang w:val="en-US" w:eastAsia="en-US"/>
              </w:rPr>
              <w:t>8</w:t>
            </w:r>
            <w:r w:rsidRPr="004245A5">
              <w:rPr>
                <w:sz w:val="18"/>
                <w:szCs w:val="18"/>
                <w:lang w:eastAsia="en-US"/>
              </w:rPr>
              <w:t>,</w:t>
            </w:r>
            <w:r w:rsidRPr="004245A5">
              <w:rPr>
                <w:sz w:val="18"/>
                <w:szCs w:val="18"/>
                <w:lang w:val="en-US" w:eastAsia="en-US"/>
              </w:rPr>
              <w:t>844</w:t>
            </w:r>
          </w:p>
        </w:tc>
        <w:tc>
          <w:tcPr>
            <w:tcW w:w="2126" w:type="dxa"/>
          </w:tcPr>
          <w:p w14:paraId="6AB273BD"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001929</w:t>
            </w:r>
          </w:p>
        </w:tc>
      </w:tr>
      <w:tr w:rsidR="006975EB" w:rsidRPr="004245A5" w14:paraId="11CD23D9" w14:textId="77777777" w:rsidTr="00F815E5">
        <w:trPr>
          <w:jc w:val="center"/>
        </w:trPr>
        <w:tc>
          <w:tcPr>
            <w:tcW w:w="709" w:type="dxa"/>
            <w:gridSpan w:val="2"/>
          </w:tcPr>
          <w:p w14:paraId="6DC4A06E" w14:textId="77777777" w:rsidR="006975EB" w:rsidRPr="004245A5" w:rsidRDefault="006975EB" w:rsidP="004245A5">
            <w:pPr>
              <w:jc w:val="center"/>
              <w:rPr>
                <w:sz w:val="18"/>
                <w:szCs w:val="18"/>
                <w:lang w:val="en-US" w:eastAsia="en-US"/>
              </w:rPr>
            </w:pPr>
            <w:r w:rsidRPr="004245A5">
              <w:rPr>
                <w:sz w:val="18"/>
                <w:szCs w:val="18"/>
                <w:lang w:val="en-US" w:eastAsia="en-US"/>
              </w:rPr>
              <w:t>dx7</w:t>
            </w:r>
          </w:p>
        </w:tc>
        <w:tc>
          <w:tcPr>
            <w:tcW w:w="1275" w:type="dxa"/>
          </w:tcPr>
          <w:p w14:paraId="2B4B7E91" w14:textId="77777777" w:rsidR="006975EB" w:rsidRPr="004245A5" w:rsidRDefault="006975EB" w:rsidP="004245A5">
            <w:pPr>
              <w:jc w:val="center"/>
              <w:rPr>
                <w:sz w:val="18"/>
                <w:szCs w:val="18"/>
                <w:lang w:val="en-US" w:eastAsia="en-US"/>
              </w:rPr>
            </w:pPr>
            <w:r w:rsidRPr="004245A5">
              <w:rPr>
                <w:sz w:val="18"/>
                <w:szCs w:val="18"/>
                <w:lang w:val="en-US" w:eastAsia="en-US"/>
              </w:rPr>
              <w:t>325998</w:t>
            </w:r>
          </w:p>
        </w:tc>
        <w:tc>
          <w:tcPr>
            <w:tcW w:w="1276" w:type="dxa"/>
          </w:tcPr>
          <w:p w14:paraId="0A435C04"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9598</w:t>
            </w:r>
          </w:p>
        </w:tc>
        <w:tc>
          <w:tcPr>
            <w:tcW w:w="2268" w:type="dxa"/>
          </w:tcPr>
          <w:p w14:paraId="552DC90A"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4474</w:t>
            </w:r>
          </w:p>
        </w:tc>
        <w:tc>
          <w:tcPr>
            <w:tcW w:w="1418" w:type="dxa"/>
            <w:gridSpan w:val="2"/>
          </w:tcPr>
          <w:p w14:paraId="58865854" w14:textId="77777777" w:rsidR="006975EB" w:rsidRPr="004245A5" w:rsidRDefault="006975EB" w:rsidP="004245A5">
            <w:pPr>
              <w:jc w:val="center"/>
              <w:rPr>
                <w:sz w:val="18"/>
                <w:szCs w:val="18"/>
                <w:lang w:val="en-US" w:eastAsia="en-US"/>
              </w:rPr>
            </w:pPr>
            <w:r w:rsidRPr="004245A5">
              <w:rPr>
                <w:sz w:val="18"/>
                <w:szCs w:val="18"/>
                <w:lang w:val="en-US" w:eastAsia="en-US"/>
              </w:rPr>
              <w:t>9</w:t>
            </w:r>
            <w:r w:rsidRPr="004245A5">
              <w:rPr>
                <w:sz w:val="18"/>
                <w:szCs w:val="18"/>
                <w:lang w:eastAsia="en-US"/>
              </w:rPr>
              <w:t>,</w:t>
            </w:r>
            <w:r w:rsidRPr="004245A5">
              <w:rPr>
                <w:sz w:val="18"/>
                <w:szCs w:val="18"/>
                <w:lang w:val="en-US" w:eastAsia="en-US"/>
              </w:rPr>
              <w:t>541</w:t>
            </w:r>
          </w:p>
        </w:tc>
        <w:tc>
          <w:tcPr>
            <w:tcW w:w="2126" w:type="dxa"/>
          </w:tcPr>
          <w:p w14:paraId="34F7643C" w14:textId="77777777" w:rsidR="006975EB" w:rsidRPr="004245A5" w:rsidRDefault="006975EB" w:rsidP="004245A5">
            <w:pPr>
              <w:jc w:val="center"/>
              <w:rPr>
                <w:sz w:val="18"/>
                <w:szCs w:val="18"/>
                <w:lang w:val="en-US" w:eastAsia="en-US"/>
              </w:rPr>
            </w:pPr>
            <w:r w:rsidRPr="004245A5">
              <w:rPr>
                <w:sz w:val="18"/>
                <w:szCs w:val="18"/>
                <w:lang w:val="en-US" w:eastAsia="en-US"/>
              </w:rPr>
              <w:t>0</w:t>
            </w:r>
            <w:r w:rsidRPr="004245A5">
              <w:rPr>
                <w:sz w:val="18"/>
                <w:szCs w:val="18"/>
                <w:lang w:eastAsia="en-US"/>
              </w:rPr>
              <w:t>,</w:t>
            </w:r>
            <w:r w:rsidRPr="004245A5">
              <w:rPr>
                <w:sz w:val="18"/>
                <w:szCs w:val="18"/>
                <w:lang w:val="en-US" w:eastAsia="en-US"/>
              </w:rPr>
              <w:t>001381</w:t>
            </w:r>
          </w:p>
        </w:tc>
      </w:tr>
      <w:tr w:rsidR="006975EB" w:rsidRPr="004245A5" w14:paraId="11EC0566" w14:textId="77777777" w:rsidTr="00F815E5">
        <w:trPr>
          <w:jc w:val="center"/>
        </w:trPr>
        <w:tc>
          <w:tcPr>
            <w:tcW w:w="236" w:type="dxa"/>
          </w:tcPr>
          <w:p w14:paraId="05E4EB57" w14:textId="77777777" w:rsidR="006975EB" w:rsidRPr="004245A5" w:rsidRDefault="006975EB" w:rsidP="004245A5">
            <w:pPr>
              <w:jc w:val="both"/>
              <w:rPr>
                <w:sz w:val="18"/>
                <w:szCs w:val="18"/>
                <w:lang w:eastAsia="en-US"/>
              </w:rPr>
            </w:pPr>
            <w:r w:rsidRPr="004245A5">
              <w:rPr>
                <w:sz w:val="18"/>
                <w:szCs w:val="18"/>
                <w:lang w:eastAsia="en-US"/>
              </w:rPr>
              <w:t>1</w:t>
            </w:r>
          </w:p>
        </w:tc>
        <w:tc>
          <w:tcPr>
            <w:tcW w:w="5786" w:type="dxa"/>
            <w:gridSpan w:val="5"/>
          </w:tcPr>
          <w:p w14:paraId="3A25223A" w14:textId="6BDE0E30" w:rsidR="006975EB" w:rsidRPr="004245A5" w:rsidRDefault="006975EB" w:rsidP="004245A5">
            <w:pPr>
              <w:jc w:val="both"/>
              <w:rPr>
                <w:sz w:val="18"/>
                <w:szCs w:val="18"/>
                <w:lang w:val="uz-Cyrl-UZ" w:eastAsia="en-US"/>
              </w:rPr>
            </w:pPr>
            <w:r w:rsidRPr="004245A5">
              <w:rPr>
                <w:sz w:val="18"/>
                <w:szCs w:val="18"/>
                <w:lang w:val="uz-Cyrl-UZ" w:eastAsia="en-US"/>
              </w:rPr>
              <w:t>Standard error</w:t>
            </w:r>
          </w:p>
        </w:tc>
        <w:tc>
          <w:tcPr>
            <w:tcW w:w="3050" w:type="dxa"/>
            <w:gridSpan w:val="2"/>
          </w:tcPr>
          <w:p w14:paraId="3D9ED8B2" w14:textId="77777777" w:rsidR="006975EB" w:rsidRPr="004245A5" w:rsidRDefault="006975EB" w:rsidP="004245A5">
            <w:pPr>
              <w:jc w:val="both"/>
              <w:rPr>
                <w:sz w:val="18"/>
                <w:szCs w:val="18"/>
                <w:lang w:val="uz-Cyrl-UZ" w:eastAsia="en-US"/>
              </w:rPr>
            </w:pPr>
            <w:r w:rsidRPr="004245A5">
              <w:rPr>
                <w:sz w:val="18"/>
                <w:szCs w:val="18"/>
                <w:lang w:val="uz-Cyrl-UZ" w:eastAsia="en-US"/>
              </w:rPr>
              <w:t>0,0</w:t>
            </w:r>
            <w:r w:rsidRPr="004245A5">
              <w:rPr>
                <w:sz w:val="18"/>
                <w:szCs w:val="18"/>
                <w:lang w:val="en-US" w:eastAsia="en-US"/>
              </w:rPr>
              <w:t>0</w:t>
            </w:r>
            <w:r w:rsidRPr="004245A5">
              <w:rPr>
                <w:sz w:val="18"/>
                <w:szCs w:val="18"/>
                <w:lang w:val="uz-Cyrl-UZ" w:eastAsia="en-US"/>
              </w:rPr>
              <w:t>44</w:t>
            </w:r>
          </w:p>
        </w:tc>
      </w:tr>
      <w:tr w:rsidR="006975EB" w:rsidRPr="004245A5" w14:paraId="3FD262F6" w14:textId="77777777" w:rsidTr="00F815E5">
        <w:trPr>
          <w:jc w:val="center"/>
        </w:trPr>
        <w:tc>
          <w:tcPr>
            <w:tcW w:w="236" w:type="dxa"/>
          </w:tcPr>
          <w:p w14:paraId="2697E0A4" w14:textId="77777777" w:rsidR="006975EB" w:rsidRPr="004245A5" w:rsidRDefault="006975EB" w:rsidP="004245A5">
            <w:pPr>
              <w:jc w:val="both"/>
              <w:rPr>
                <w:sz w:val="18"/>
                <w:szCs w:val="18"/>
                <w:lang w:eastAsia="en-US"/>
              </w:rPr>
            </w:pPr>
            <w:r w:rsidRPr="004245A5">
              <w:rPr>
                <w:sz w:val="18"/>
                <w:szCs w:val="18"/>
                <w:lang w:eastAsia="en-US"/>
              </w:rPr>
              <w:t>2</w:t>
            </w:r>
          </w:p>
        </w:tc>
        <w:tc>
          <w:tcPr>
            <w:tcW w:w="5786" w:type="dxa"/>
            <w:gridSpan w:val="5"/>
          </w:tcPr>
          <w:p w14:paraId="2B91AB1A" w14:textId="6FA92A33" w:rsidR="006975EB" w:rsidRPr="004245A5" w:rsidRDefault="006975EB" w:rsidP="004245A5">
            <w:pPr>
              <w:jc w:val="both"/>
              <w:rPr>
                <w:sz w:val="18"/>
                <w:szCs w:val="18"/>
                <w:lang w:val="uz-Cyrl-UZ" w:eastAsia="en-US"/>
              </w:rPr>
            </w:pPr>
            <w:r w:rsidRPr="004245A5">
              <w:rPr>
                <w:sz w:val="18"/>
                <w:szCs w:val="18"/>
                <w:lang w:val="uz-Cyrl-UZ" w:eastAsia="en-US"/>
              </w:rPr>
              <w:t xml:space="preserve">Plural </w:t>
            </w:r>
            <m:oMath>
              <m:sSup>
                <m:sSupPr>
                  <m:ctrlPr>
                    <w:rPr>
                      <w:rFonts w:ascii="Cambria Math" w:hAnsi="Cambria Math"/>
                      <w:i/>
                      <w:sz w:val="18"/>
                      <w:szCs w:val="18"/>
                      <w:lang w:val="en-US"/>
                    </w:rPr>
                  </m:ctrlPr>
                </m:sSupPr>
                <m:e>
                  <m:r>
                    <w:rPr>
                      <w:rFonts w:ascii="Cambria Math" w:hAnsi="Cambria Math"/>
                      <w:sz w:val="18"/>
                      <w:szCs w:val="18"/>
                      <w:lang w:val="en-US" w:eastAsia="en-US"/>
                    </w:rPr>
                    <m:t>R</m:t>
                  </m:r>
                </m:e>
                <m:sup>
                  <m:r>
                    <w:rPr>
                      <w:rFonts w:ascii="Cambria Math" w:hAnsi="Cambria Math"/>
                      <w:sz w:val="18"/>
                      <w:szCs w:val="18"/>
                      <w:lang w:eastAsia="en-US"/>
                    </w:rPr>
                    <m:t>2</m:t>
                  </m:r>
                </m:sup>
              </m:sSup>
            </m:oMath>
          </w:p>
        </w:tc>
        <w:tc>
          <w:tcPr>
            <w:tcW w:w="3050" w:type="dxa"/>
            <w:gridSpan w:val="2"/>
          </w:tcPr>
          <w:p w14:paraId="0E5DCEC7" w14:textId="77777777" w:rsidR="006975EB" w:rsidRPr="004245A5" w:rsidRDefault="006975EB" w:rsidP="004245A5">
            <w:pPr>
              <w:jc w:val="both"/>
              <w:rPr>
                <w:sz w:val="18"/>
                <w:szCs w:val="18"/>
                <w:lang w:val="uz-Cyrl-UZ" w:eastAsia="en-US"/>
              </w:rPr>
            </w:pPr>
            <w:r w:rsidRPr="004245A5">
              <w:rPr>
                <w:sz w:val="18"/>
                <w:szCs w:val="18"/>
                <w:lang w:val="uz-Cyrl-UZ" w:eastAsia="en-US"/>
              </w:rPr>
              <w:t>0,</w:t>
            </w:r>
            <w:r w:rsidRPr="004245A5">
              <w:rPr>
                <w:sz w:val="18"/>
                <w:szCs w:val="18"/>
                <w:lang w:val="en-US" w:eastAsia="en-US"/>
              </w:rPr>
              <w:t>9</w:t>
            </w:r>
            <w:r w:rsidRPr="004245A5">
              <w:rPr>
                <w:sz w:val="18"/>
                <w:szCs w:val="18"/>
                <w:lang w:val="uz-Cyrl-UZ" w:eastAsia="en-US"/>
              </w:rPr>
              <w:t>378</w:t>
            </w:r>
          </w:p>
        </w:tc>
      </w:tr>
      <w:tr w:rsidR="006975EB" w:rsidRPr="004245A5" w14:paraId="2D6E40F4" w14:textId="77777777" w:rsidTr="00F815E5">
        <w:trPr>
          <w:jc w:val="center"/>
        </w:trPr>
        <w:tc>
          <w:tcPr>
            <w:tcW w:w="236" w:type="dxa"/>
          </w:tcPr>
          <w:p w14:paraId="052B59D4" w14:textId="77777777" w:rsidR="006975EB" w:rsidRPr="004245A5" w:rsidRDefault="006975EB" w:rsidP="004245A5">
            <w:pPr>
              <w:jc w:val="both"/>
              <w:rPr>
                <w:sz w:val="18"/>
                <w:szCs w:val="18"/>
                <w:lang w:eastAsia="en-US"/>
              </w:rPr>
            </w:pPr>
            <w:r w:rsidRPr="004245A5">
              <w:rPr>
                <w:sz w:val="18"/>
                <w:szCs w:val="18"/>
                <w:lang w:eastAsia="en-US"/>
              </w:rPr>
              <w:t>3</w:t>
            </w:r>
          </w:p>
        </w:tc>
        <w:tc>
          <w:tcPr>
            <w:tcW w:w="5786" w:type="dxa"/>
            <w:gridSpan w:val="5"/>
          </w:tcPr>
          <w:p w14:paraId="6B21C10D" w14:textId="0C0562F5" w:rsidR="006975EB" w:rsidRPr="004245A5" w:rsidRDefault="006975EB" w:rsidP="004245A5">
            <w:pPr>
              <w:jc w:val="both"/>
              <w:rPr>
                <w:sz w:val="18"/>
                <w:szCs w:val="18"/>
                <w:lang w:val="uz-Cyrl-UZ" w:eastAsia="en-US"/>
              </w:rPr>
            </w:pPr>
            <w:r w:rsidRPr="004245A5">
              <w:rPr>
                <w:sz w:val="18"/>
                <w:szCs w:val="18"/>
                <w:lang w:val="uz-Cyrl-UZ" w:eastAsia="en-US"/>
              </w:rPr>
              <w:t xml:space="preserve">Individual  </w:t>
            </w:r>
            <w:r w:rsidRPr="004245A5">
              <w:rPr>
                <w:i/>
                <w:sz w:val="18"/>
                <w:szCs w:val="18"/>
                <w:lang w:val="en-US" w:eastAsia="en-US"/>
              </w:rPr>
              <w:t>R</w:t>
            </w:r>
          </w:p>
        </w:tc>
        <w:tc>
          <w:tcPr>
            <w:tcW w:w="3050" w:type="dxa"/>
            <w:gridSpan w:val="2"/>
          </w:tcPr>
          <w:p w14:paraId="08F801EB" w14:textId="77777777" w:rsidR="006975EB" w:rsidRPr="004245A5" w:rsidRDefault="006975EB" w:rsidP="004245A5">
            <w:pPr>
              <w:jc w:val="both"/>
              <w:rPr>
                <w:sz w:val="18"/>
                <w:szCs w:val="18"/>
                <w:lang w:val="uz-Cyrl-UZ" w:eastAsia="en-US"/>
              </w:rPr>
            </w:pPr>
            <w:r w:rsidRPr="004245A5">
              <w:rPr>
                <w:sz w:val="18"/>
                <w:szCs w:val="18"/>
                <w:lang w:val="uz-Cyrl-UZ" w:eastAsia="en-US"/>
              </w:rPr>
              <w:t>0,</w:t>
            </w:r>
            <w:r w:rsidRPr="004245A5">
              <w:rPr>
                <w:sz w:val="18"/>
                <w:szCs w:val="18"/>
                <w:lang w:val="en-US" w:eastAsia="en-US"/>
              </w:rPr>
              <w:t>9</w:t>
            </w:r>
            <w:r w:rsidRPr="004245A5">
              <w:rPr>
                <w:sz w:val="18"/>
                <w:szCs w:val="18"/>
                <w:lang w:val="uz-Cyrl-UZ" w:eastAsia="en-US"/>
              </w:rPr>
              <w:t>493</w:t>
            </w:r>
          </w:p>
        </w:tc>
      </w:tr>
      <w:tr w:rsidR="006975EB" w:rsidRPr="004245A5" w14:paraId="741ABFC7" w14:textId="77777777" w:rsidTr="00F815E5">
        <w:trPr>
          <w:jc w:val="center"/>
        </w:trPr>
        <w:tc>
          <w:tcPr>
            <w:tcW w:w="236" w:type="dxa"/>
          </w:tcPr>
          <w:p w14:paraId="79BEAD66" w14:textId="77777777" w:rsidR="006975EB" w:rsidRPr="004245A5" w:rsidRDefault="006975EB" w:rsidP="004245A5">
            <w:pPr>
              <w:jc w:val="both"/>
              <w:rPr>
                <w:sz w:val="18"/>
                <w:szCs w:val="18"/>
                <w:lang w:eastAsia="en-US"/>
              </w:rPr>
            </w:pPr>
            <w:r w:rsidRPr="004245A5">
              <w:rPr>
                <w:sz w:val="18"/>
                <w:szCs w:val="18"/>
                <w:lang w:eastAsia="en-US"/>
              </w:rPr>
              <w:t>4</w:t>
            </w:r>
          </w:p>
        </w:tc>
        <w:tc>
          <w:tcPr>
            <w:tcW w:w="5786" w:type="dxa"/>
            <w:gridSpan w:val="5"/>
          </w:tcPr>
          <w:p w14:paraId="230F1D50" w14:textId="15351763" w:rsidR="006975EB" w:rsidRPr="004245A5" w:rsidRDefault="006975EB" w:rsidP="004245A5">
            <w:pPr>
              <w:jc w:val="both"/>
              <w:rPr>
                <w:sz w:val="18"/>
                <w:szCs w:val="18"/>
                <w:lang w:val="uz-Cyrl-UZ" w:eastAsia="en-US"/>
              </w:rPr>
            </w:pPr>
            <w:r w:rsidRPr="004245A5">
              <w:rPr>
                <w:sz w:val="18"/>
                <w:szCs w:val="18"/>
                <w:lang w:val="en-US" w:eastAsia="en-US"/>
              </w:rPr>
              <w:t xml:space="preserve">F </w:t>
            </w:r>
            <w:r w:rsidRPr="004245A5">
              <w:rPr>
                <w:sz w:val="18"/>
                <w:szCs w:val="18"/>
                <w:lang w:val="uz-Cyrl-UZ" w:eastAsia="en-US"/>
              </w:rPr>
              <w:t>statistics</w:t>
            </w:r>
          </w:p>
        </w:tc>
        <w:tc>
          <w:tcPr>
            <w:tcW w:w="3050" w:type="dxa"/>
            <w:gridSpan w:val="2"/>
          </w:tcPr>
          <w:p w14:paraId="15E45843" w14:textId="77777777" w:rsidR="006975EB" w:rsidRPr="004245A5" w:rsidRDefault="006975EB" w:rsidP="004245A5">
            <w:pPr>
              <w:jc w:val="both"/>
              <w:rPr>
                <w:sz w:val="18"/>
                <w:szCs w:val="18"/>
                <w:lang w:val="uz-Cyrl-UZ" w:eastAsia="en-US"/>
              </w:rPr>
            </w:pPr>
            <w:r w:rsidRPr="004245A5">
              <w:rPr>
                <w:sz w:val="18"/>
                <w:szCs w:val="18"/>
                <w:lang w:val="uz-Cyrl-UZ" w:eastAsia="en-US"/>
              </w:rPr>
              <w:t>53,78</w:t>
            </w:r>
          </w:p>
        </w:tc>
      </w:tr>
      <w:tr w:rsidR="006975EB" w:rsidRPr="004245A5" w14:paraId="43C0234B" w14:textId="77777777" w:rsidTr="00F815E5">
        <w:trPr>
          <w:jc w:val="center"/>
        </w:trPr>
        <w:tc>
          <w:tcPr>
            <w:tcW w:w="236" w:type="dxa"/>
          </w:tcPr>
          <w:p w14:paraId="413C3366" w14:textId="77777777" w:rsidR="006975EB" w:rsidRPr="004245A5" w:rsidRDefault="006975EB" w:rsidP="004245A5">
            <w:pPr>
              <w:jc w:val="both"/>
              <w:rPr>
                <w:sz w:val="18"/>
                <w:szCs w:val="18"/>
                <w:lang w:eastAsia="en-US"/>
              </w:rPr>
            </w:pPr>
            <w:r w:rsidRPr="004245A5">
              <w:rPr>
                <w:sz w:val="18"/>
                <w:szCs w:val="18"/>
                <w:lang w:eastAsia="en-US"/>
              </w:rPr>
              <w:t>5</w:t>
            </w:r>
          </w:p>
        </w:tc>
        <w:tc>
          <w:tcPr>
            <w:tcW w:w="5786" w:type="dxa"/>
            <w:gridSpan w:val="5"/>
          </w:tcPr>
          <w:p w14:paraId="3D8C9E81" w14:textId="3EAC63D0" w:rsidR="006975EB" w:rsidRPr="004245A5" w:rsidRDefault="006975EB" w:rsidP="004245A5">
            <w:pPr>
              <w:jc w:val="both"/>
              <w:rPr>
                <w:sz w:val="18"/>
                <w:szCs w:val="18"/>
                <w:lang w:val="uz-Cyrl-UZ" w:eastAsia="en-US"/>
              </w:rPr>
            </w:pPr>
            <w:r w:rsidRPr="004245A5">
              <w:rPr>
                <w:sz w:val="18"/>
                <w:szCs w:val="18"/>
                <w:lang w:val="en-US" w:eastAsia="en-US"/>
              </w:rPr>
              <w:t>P probability</w:t>
            </w:r>
          </w:p>
        </w:tc>
        <w:tc>
          <w:tcPr>
            <w:tcW w:w="3050" w:type="dxa"/>
            <w:gridSpan w:val="2"/>
          </w:tcPr>
          <w:p w14:paraId="56A99B85" w14:textId="77777777" w:rsidR="006975EB" w:rsidRPr="004245A5" w:rsidRDefault="006975EB" w:rsidP="004245A5">
            <w:pPr>
              <w:jc w:val="both"/>
              <w:rPr>
                <w:sz w:val="18"/>
                <w:szCs w:val="18"/>
                <w:lang w:val="uz-Cyrl-UZ" w:eastAsia="en-US"/>
              </w:rPr>
            </w:pPr>
            <w:r w:rsidRPr="004245A5">
              <w:rPr>
                <w:sz w:val="18"/>
                <w:szCs w:val="18"/>
                <w:lang w:val="uz-Cyrl-UZ" w:eastAsia="en-US"/>
              </w:rPr>
              <w:t>0,0</w:t>
            </w:r>
            <w:r w:rsidRPr="004245A5">
              <w:rPr>
                <w:sz w:val="18"/>
                <w:szCs w:val="18"/>
                <w:lang w:val="en-US" w:eastAsia="en-US"/>
              </w:rPr>
              <w:t>3</w:t>
            </w:r>
            <w:r w:rsidRPr="004245A5">
              <w:rPr>
                <w:sz w:val="18"/>
                <w:szCs w:val="18"/>
                <w:lang w:val="uz-Cyrl-UZ" w:eastAsia="en-US"/>
              </w:rPr>
              <w:t>84</w:t>
            </w:r>
          </w:p>
        </w:tc>
      </w:tr>
    </w:tbl>
    <w:p w14:paraId="5820C813" w14:textId="77777777" w:rsidR="00245B77" w:rsidRPr="004245A5" w:rsidRDefault="009E3AA5"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 xml:space="preserve">According to calculations performed in the software, the coefficient of determination for AKTM is R=0.9493, and the multiple R2=0.8378. The calculations show that the final cost indicator is 74 percent dependent on other indicators, and 26 percent can change as a result of other, unforeseen factors. We will study the process of efficient resource utilization at an enterprise operating in the textile industry of the Republic of Uzbekistan using the Cobb-Douglas production function. Using the statistical performance indicators of </w:t>
      </w:r>
      <w:proofErr w:type="spellStart"/>
      <w:r w:rsidRPr="004245A5">
        <w:rPr>
          <w:rFonts w:ascii="Times New Roman" w:hAnsi="Times New Roman"/>
          <w:sz w:val="20"/>
          <w:szCs w:val="20"/>
        </w:rPr>
        <w:t>Hilale</w:t>
      </w:r>
      <w:proofErr w:type="spellEnd"/>
      <w:r w:rsidRPr="004245A5">
        <w:rPr>
          <w:rFonts w:ascii="Times New Roman" w:hAnsi="Times New Roman"/>
          <w:sz w:val="20"/>
          <w:szCs w:val="20"/>
        </w:rPr>
        <w:t xml:space="preserve"> Textiles LLC for the relevant years, we will compile production functions based on them.</w:t>
      </w:r>
      <w:r w:rsidR="00245B77" w:rsidRPr="004245A5">
        <w:rPr>
          <w:rFonts w:ascii="Times New Roman" w:hAnsi="Times New Roman"/>
          <w:sz w:val="20"/>
          <w:szCs w:val="20"/>
        </w:rPr>
        <w:t xml:space="preserve"> </w:t>
      </w:r>
    </w:p>
    <w:p w14:paraId="216C5FB7" w14:textId="6B7DE756" w:rsidR="002116FD" w:rsidRPr="004245A5" w:rsidRDefault="00245B77"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The Cobb-Douglas production function (CP) is a function that expresses the dependence of the volume of production of net product (net income) on the amount of capital and labor resources used (the costs of their use) and has a multiplicative form.</w:t>
      </w:r>
    </w:p>
    <w:p w14:paraId="6F136BA8" w14:textId="77777777" w:rsidR="00245B77" w:rsidRPr="004245A5" w:rsidRDefault="00245B77" w:rsidP="004245A5">
      <w:pPr>
        <w:spacing w:after="0" w:line="240" w:lineRule="auto"/>
        <w:ind w:firstLine="284"/>
        <w:rPr>
          <w:rFonts w:ascii="Times New Roman" w:eastAsia="Times New Roman" w:hAnsi="Times New Roman" w:cs="Times New Roman"/>
          <w:kern w:val="0"/>
          <w:sz w:val="20"/>
          <w:szCs w:val="20"/>
        </w:rPr>
      </w:pPr>
      <w:r w:rsidRPr="004245A5">
        <w:rPr>
          <w:rFonts w:ascii="Times New Roman" w:hAnsi="Times New Roman" w:cs="Times New Roman"/>
          <w:sz w:val="20"/>
          <w:szCs w:val="20"/>
        </w:rPr>
        <w:br w:type="page"/>
      </w:r>
    </w:p>
    <w:p w14:paraId="4851AD35" w14:textId="5A234EC1" w:rsidR="00245B77" w:rsidRPr="004245A5" w:rsidRDefault="00245B77"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noProof/>
          <w:sz w:val="20"/>
          <w:szCs w:val="20"/>
        </w:rPr>
        <w:lastRenderedPageBreak/>
        <w:drawing>
          <wp:inline distT="0" distB="0" distL="0" distR="0" wp14:anchorId="0098D150" wp14:editId="0CD760E5">
            <wp:extent cx="5798820" cy="2362200"/>
            <wp:effectExtent l="0" t="0" r="0" b="0"/>
            <wp:docPr id="30" name="Диаграмма 18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6F8BDE6" w14:textId="17D6FC85" w:rsidR="00245B77" w:rsidRPr="004245A5" w:rsidRDefault="004B1620" w:rsidP="004245A5">
      <w:pPr>
        <w:pStyle w:val="10"/>
        <w:keepNext/>
        <w:overflowPunct w:val="0"/>
        <w:autoSpaceDE w:val="0"/>
        <w:autoSpaceDN w:val="0"/>
        <w:adjustRightInd w:val="0"/>
        <w:spacing w:before="0" w:beforeAutospacing="0" w:after="0" w:afterAutospacing="0" w:line="240" w:lineRule="auto"/>
        <w:ind w:firstLine="284"/>
        <w:jc w:val="center"/>
        <w:textAlignment w:val="baseline"/>
        <w:outlineLvl w:val="5"/>
        <w:rPr>
          <w:rFonts w:ascii="Times New Roman" w:hAnsi="Times New Roman"/>
          <w:b/>
          <w:sz w:val="20"/>
          <w:szCs w:val="20"/>
        </w:rPr>
      </w:pPr>
      <w:r w:rsidRPr="004245A5">
        <w:rPr>
          <w:rFonts w:ascii="Times New Roman" w:hAnsi="Times New Roman"/>
          <w:b/>
          <w:sz w:val="20"/>
          <w:szCs w:val="20"/>
        </w:rPr>
        <w:t xml:space="preserve">FIG. 1. </w:t>
      </w:r>
      <w:r w:rsidR="00245B77" w:rsidRPr="004245A5">
        <w:rPr>
          <w:rFonts w:ascii="Times New Roman" w:hAnsi="Times New Roman"/>
          <w:sz w:val="20"/>
          <w:szCs w:val="20"/>
        </w:rPr>
        <w:t xml:space="preserve">Volume of innovative production at the enterprises of </w:t>
      </w:r>
      <w:proofErr w:type="spellStart"/>
      <w:r w:rsidR="00245B77" w:rsidRPr="004245A5">
        <w:rPr>
          <w:rFonts w:ascii="Times New Roman" w:hAnsi="Times New Roman"/>
          <w:sz w:val="20"/>
          <w:szCs w:val="20"/>
        </w:rPr>
        <w:t>Takro</w:t>
      </w:r>
      <w:proofErr w:type="spellEnd"/>
      <w:r w:rsidR="00245B77" w:rsidRPr="004245A5">
        <w:rPr>
          <w:rFonts w:ascii="Times New Roman" w:hAnsi="Times New Roman"/>
          <w:sz w:val="20"/>
          <w:szCs w:val="20"/>
        </w:rPr>
        <w:t xml:space="preserve"> Osiyo LLC and </w:t>
      </w:r>
      <w:proofErr w:type="spellStart"/>
      <w:r w:rsidR="00245B77" w:rsidRPr="004245A5">
        <w:rPr>
          <w:rFonts w:ascii="Times New Roman" w:hAnsi="Times New Roman"/>
          <w:sz w:val="20"/>
          <w:szCs w:val="20"/>
        </w:rPr>
        <w:t>Hilale</w:t>
      </w:r>
      <w:proofErr w:type="spellEnd"/>
      <w:r w:rsidR="00245B77" w:rsidRPr="004245A5">
        <w:rPr>
          <w:rFonts w:ascii="Times New Roman" w:hAnsi="Times New Roman"/>
          <w:sz w:val="20"/>
          <w:szCs w:val="20"/>
        </w:rPr>
        <w:t xml:space="preserve"> Textiles </w:t>
      </w:r>
      <w:proofErr w:type="gramStart"/>
      <w:r w:rsidR="00245B77" w:rsidRPr="004245A5">
        <w:rPr>
          <w:rFonts w:ascii="Times New Roman" w:hAnsi="Times New Roman"/>
          <w:sz w:val="20"/>
          <w:szCs w:val="20"/>
        </w:rPr>
        <w:t>LLC</w:t>
      </w:r>
      <w:r w:rsidR="00794137" w:rsidRPr="004245A5">
        <w:rPr>
          <w:rFonts w:ascii="Times New Roman" w:hAnsi="Times New Roman"/>
          <w:sz w:val="20"/>
          <w:szCs w:val="20"/>
        </w:rPr>
        <w:t xml:space="preserve"> .</w:t>
      </w:r>
      <w:proofErr w:type="gramEnd"/>
    </w:p>
    <w:p w14:paraId="2AA4EB93" w14:textId="77777777" w:rsidR="004245A5" w:rsidRDefault="004245A5"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p>
    <w:p w14:paraId="7551CF42" w14:textId="0FE3A105" w:rsidR="009B74EA" w:rsidRPr="004245A5" w:rsidRDefault="009B74EA"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Therefore, from the Cobb-Douglas production function of rank (2*), calculated based on enterprise data, it can be seen that if the value of fixed assets (K) at an enterprise increases by an average of one percent, then the enterprise's gross product (Y) can increase by an average of 0.67 percent. While the number of employees at the enterprise (L) increases by an average of one percent, the enterprise's gross product (y) increases by an average of 0.41 percent.</w:t>
      </w:r>
      <w:r w:rsidR="00B049EB" w:rsidRPr="004245A5">
        <w:rPr>
          <w:rFonts w:ascii="Times New Roman" w:hAnsi="Times New Roman"/>
          <w:sz w:val="20"/>
          <w:szCs w:val="20"/>
        </w:rPr>
        <w:t xml:space="preserve"> [8].</w:t>
      </w:r>
    </w:p>
    <w:p w14:paraId="5E890352" w14:textId="4A2BB649" w:rsidR="009B74EA" w:rsidRPr="004245A5" w:rsidRDefault="009B74EA"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From the Cobb-Douglas production function with a potentiated power, it can be seen that if the value of fixed assets (K) at an enterprise increases by an average of one percent, then the enterprise's gross product (Y) can increase by an average of 0.73 percent. While the number of employees at the enterprise (L) increases by an average of one percent, the enterprise's gross product (Y) increases by an average of 0.46 percent.</w:t>
      </w:r>
      <w:r w:rsidR="00B049EB" w:rsidRPr="004245A5">
        <w:rPr>
          <w:rFonts w:ascii="Times New Roman" w:hAnsi="Times New Roman"/>
          <w:sz w:val="20"/>
          <w:szCs w:val="20"/>
        </w:rPr>
        <w:t xml:space="preserve"> [9]. </w:t>
      </w:r>
    </w:p>
    <w:p w14:paraId="4ACCF33A" w14:textId="36543BB9" w:rsidR="00245B77" w:rsidRPr="004245A5" w:rsidRDefault="009B74EA"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Let's determine the average labor productivity</w:t>
      </w:r>
      <w:r w:rsidR="00421335" w:rsidRPr="004245A5">
        <w:rPr>
          <w:rFonts w:ascii="Times New Roman" w:hAnsi="Times New Roman"/>
          <w:sz w:val="20"/>
          <w:szCs w:val="20"/>
        </w:rPr>
        <w:t xml:space="preserve"> at </w:t>
      </w:r>
      <w:proofErr w:type="spellStart"/>
      <w:r w:rsidR="00421335" w:rsidRPr="004245A5">
        <w:rPr>
          <w:rFonts w:ascii="Times New Roman" w:hAnsi="Times New Roman"/>
          <w:sz w:val="20"/>
          <w:szCs w:val="20"/>
        </w:rPr>
        <w:t>Hilale</w:t>
      </w:r>
      <w:proofErr w:type="spellEnd"/>
      <w:r w:rsidR="00421335" w:rsidRPr="004245A5">
        <w:rPr>
          <w:rFonts w:ascii="Times New Roman" w:hAnsi="Times New Roman"/>
          <w:sz w:val="20"/>
          <w:szCs w:val="20"/>
        </w:rPr>
        <w:t xml:space="preserve"> Textiles LLC for 2019-2024</w:t>
      </w:r>
      <w:r w:rsidRPr="004245A5">
        <w:rPr>
          <w:rFonts w:ascii="Times New Roman" w:hAnsi="Times New Roman"/>
          <w:sz w:val="20"/>
          <w:szCs w:val="20"/>
        </w:rPr>
        <w:t>, shown in Fig. 1</w:t>
      </w:r>
    </w:p>
    <w:p w14:paraId="4189F7B8" w14:textId="77777777" w:rsidR="00F50DC4" w:rsidRPr="004245A5" w:rsidRDefault="00F50DC4"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p>
    <w:p w14:paraId="2F8E4E74" w14:textId="0635D30E" w:rsidR="00F50DC4" w:rsidRPr="004245A5" w:rsidRDefault="00F50DC4"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noProof/>
          <w:sz w:val="20"/>
          <w:szCs w:val="20"/>
        </w:rPr>
        <w:drawing>
          <wp:inline distT="0" distB="0" distL="0" distR="0" wp14:anchorId="2B36DBBD" wp14:editId="1980DEF8">
            <wp:extent cx="5742305" cy="2613660"/>
            <wp:effectExtent l="0" t="0" r="0" b="0"/>
            <wp:docPr id="31" name="Диаграмма 18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444A6440" w14:textId="77777777" w:rsidR="00F82267" w:rsidRPr="004245A5" w:rsidRDefault="00F82267" w:rsidP="004245A5">
      <w:pPr>
        <w:pStyle w:val="10"/>
        <w:keepNext/>
        <w:overflowPunct w:val="0"/>
        <w:autoSpaceDE w:val="0"/>
        <w:autoSpaceDN w:val="0"/>
        <w:adjustRightInd w:val="0"/>
        <w:spacing w:before="0" w:beforeAutospacing="0" w:after="0" w:afterAutospacing="0" w:line="240" w:lineRule="auto"/>
        <w:ind w:firstLine="284"/>
        <w:jc w:val="center"/>
        <w:textAlignment w:val="baseline"/>
        <w:outlineLvl w:val="5"/>
        <w:rPr>
          <w:rFonts w:ascii="Times New Roman" w:hAnsi="Times New Roman"/>
          <w:b/>
          <w:sz w:val="20"/>
          <w:szCs w:val="20"/>
        </w:rPr>
      </w:pPr>
    </w:p>
    <w:p w14:paraId="71BFC7BF" w14:textId="06543AC4" w:rsidR="00F50DC4" w:rsidRPr="004245A5" w:rsidRDefault="004B1620" w:rsidP="004245A5">
      <w:pPr>
        <w:pStyle w:val="10"/>
        <w:keepNext/>
        <w:overflowPunct w:val="0"/>
        <w:autoSpaceDE w:val="0"/>
        <w:autoSpaceDN w:val="0"/>
        <w:adjustRightInd w:val="0"/>
        <w:spacing w:before="0" w:beforeAutospacing="0" w:after="0" w:afterAutospacing="0" w:line="240" w:lineRule="auto"/>
        <w:ind w:firstLine="284"/>
        <w:jc w:val="center"/>
        <w:textAlignment w:val="baseline"/>
        <w:outlineLvl w:val="5"/>
        <w:rPr>
          <w:rFonts w:ascii="Times New Roman" w:hAnsi="Times New Roman"/>
          <w:b/>
          <w:sz w:val="20"/>
          <w:szCs w:val="20"/>
        </w:rPr>
      </w:pPr>
      <w:r w:rsidRPr="004245A5">
        <w:rPr>
          <w:rFonts w:ascii="Times New Roman" w:hAnsi="Times New Roman"/>
          <w:b/>
          <w:sz w:val="20"/>
          <w:szCs w:val="20"/>
        </w:rPr>
        <w:t xml:space="preserve">FIG. 2. </w:t>
      </w:r>
      <w:r w:rsidR="005E5586" w:rsidRPr="004245A5">
        <w:rPr>
          <w:rFonts w:ascii="Times New Roman" w:hAnsi="Times New Roman"/>
          <w:sz w:val="20"/>
          <w:szCs w:val="20"/>
        </w:rPr>
        <w:t xml:space="preserve">Average estimated resource volume at the enterprises of </w:t>
      </w:r>
      <w:proofErr w:type="spellStart"/>
      <w:r w:rsidR="005E5586" w:rsidRPr="004245A5">
        <w:rPr>
          <w:rFonts w:ascii="Times New Roman" w:hAnsi="Times New Roman"/>
          <w:sz w:val="20"/>
          <w:szCs w:val="20"/>
        </w:rPr>
        <w:t>Takro</w:t>
      </w:r>
      <w:proofErr w:type="spellEnd"/>
      <w:r w:rsidR="005E5586" w:rsidRPr="004245A5">
        <w:rPr>
          <w:rFonts w:ascii="Times New Roman" w:hAnsi="Times New Roman"/>
          <w:sz w:val="20"/>
          <w:szCs w:val="20"/>
        </w:rPr>
        <w:t xml:space="preserve"> Osiyo LLC and </w:t>
      </w:r>
      <w:proofErr w:type="spellStart"/>
      <w:r w:rsidR="005E5586" w:rsidRPr="004245A5">
        <w:rPr>
          <w:rFonts w:ascii="Times New Roman" w:hAnsi="Times New Roman"/>
          <w:sz w:val="20"/>
          <w:szCs w:val="20"/>
        </w:rPr>
        <w:t>Hilale</w:t>
      </w:r>
      <w:proofErr w:type="spellEnd"/>
      <w:r w:rsidR="005E5586" w:rsidRPr="004245A5">
        <w:rPr>
          <w:rFonts w:ascii="Times New Roman" w:hAnsi="Times New Roman"/>
          <w:sz w:val="20"/>
          <w:szCs w:val="20"/>
        </w:rPr>
        <w:t xml:space="preserve"> Textiles LLC</w:t>
      </w:r>
    </w:p>
    <w:p w14:paraId="3294C202" w14:textId="77777777" w:rsidR="004245A5" w:rsidRDefault="004245A5"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p>
    <w:p w14:paraId="10D1459E" w14:textId="7FF69A92" w:rsidR="005E5586" w:rsidRPr="004245A5" w:rsidRDefault="005E5586"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 xml:space="preserve">The calculation result and the multifactor econometric model show that the volume of production (lnX1) at the enterprise </w:t>
      </w:r>
      <w:proofErr w:type="spellStart"/>
      <w:r w:rsidRPr="004245A5">
        <w:rPr>
          <w:rFonts w:ascii="Times New Roman" w:hAnsi="Times New Roman"/>
          <w:sz w:val="20"/>
          <w:szCs w:val="20"/>
        </w:rPr>
        <w:t>Hilale</w:t>
      </w:r>
      <w:proofErr w:type="spellEnd"/>
      <w:r w:rsidRPr="004245A5">
        <w:rPr>
          <w:rFonts w:ascii="Times New Roman" w:hAnsi="Times New Roman"/>
          <w:sz w:val="20"/>
          <w:szCs w:val="20"/>
        </w:rPr>
        <w:t xml:space="preserve"> Textiles LLC increases by 1 percent, and the volume of sales of products (</w:t>
      </w:r>
      <w:proofErr w:type="spellStart"/>
      <w:r w:rsidRPr="004245A5">
        <w:rPr>
          <w:rFonts w:ascii="Times New Roman" w:hAnsi="Times New Roman"/>
          <w:sz w:val="20"/>
          <w:szCs w:val="20"/>
        </w:rPr>
        <w:t>lny</w:t>
      </w:r>
      <w:proofErr w:type="spellEnd"/>
      <w:r w:rsidRPr="004245A5">
        <w:rPr>
          <w:rFonts w:ascii="Times New Roman" w:hAnsi="Times New Roman"/>
          <w:sz w:val="20"/>
          <w:szCs w:val="20"/>
        </w:rPr>
        <w:t>) of the enterprise increases by an average of 3.12 percent.</w:t>
      </w:r>
    </w:p>
    <w:p w14:paraId="40149846" w14:textId="00F9D714" w:rsidR="00EF38AC" w:rsidRPr="004245A5" w:rsidRDefault="00EF38AC"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lastRenderedPageBreak/>
        <w:t xml:space="preserve">Thus, since </w:t>
      </w:r>
      <w:proofErr w:type="spellStart"/>
      <w:r w:rsidRPr="004245A5">
        <w:rPr>
          <w:rFonts w:ascii="Times New Roman" w:hAnsi="Times New Roman"/>
          <w:sz w:val="20"/>
          <w:szCs w:val="20"/>
        </w:rPr>
        <w:t>Dscore</w:t>
      </w:r>
      <w:proofErr w:type="spellEnd"/>
      <w:r w:rsidRPr="004245A5">
        <w:rPr>
          <w:rFonts w:ascii="Times New Roman" w:hAnsi="Times New Roman"/>
          <w:sz w:val="20"/>
          <w:szCs w:val="20"/>
        </w:rPr>
        <w:t>&gt;</w:t>
      </w:r>
      <w:proofErr w:type="spellStart"/>
      <w:r w:rsidRPr="004245A5">
        <w:rPr>
          <w:rFonts w:ascii="Times New Roman" w:hAnsi="Times New Roman"/>
          <w:sz w:val="20"/>
          <w:szCs w:val="20"/>
        </w:rPr>
        <w:t>dwu</w:t>
      </w:r>
      <w:proofErr w:type="spellEnd"/>
      <w:r w:rsidRPr="004245A5">
        <w:rPr>
          <w:rFonts w:ascii="Times New Roman" w:hAnsi="Times New Roman"/>
          <w:sz w:val="20"/>
          <w:szCs w:val="20"/>
        </w:rPr>
        <w:t>, there is no autocorrelation in the residuals of the resulting factor (product sales volume – (</w:t>
      </w:r>
      <w:proofErr w:type="spellStart"/>
      <w:r w:rsidRPr="004245A5">
        <w:rPr>
          <w:rFonts w:ascii="Times New Roman" w:hAnsi="Times New Roman"/>
          <w:sz w:val="20"/>
          <w:szCs w:val="20"/>
        </w:rPr>
        <w:t>lny</w:t>
      </w:r>
      <w:proofErr w:type="spellEnd"/>
      <w:r w:rsidRPr="004245A5">
        <w:rPr>
          <w:rFonts w:ascii="Times New Roman" w:hAnsi="Times New Roman"/>
          <w:sz w:val="20"/>
          <w:szCs w:val="20"/>
        </w:rPr>
        <w:t>)). The analysis results show that the efficiency level has changed significantly due to the increase in sales volumes at the enterprise.</w:t>
      </w:r>
      <w:r w:rsidR="00B049EB" w:rsidRPr="004245A5">
        <w:rPr>
          <w:rFonts w:ascii="Times New Roman" w:hAnsi="Times New Roman"/>
          <w:sz w:val="20"/>
          <w:szCs w:val="20"/>
        </w:rPr>
        <w:t xml:space="preserve"> [10</w:t>
      </w:r>
      <w:r w:rsidR="00F664EE" w:rsidRPr="004245A5">
        <w:rPr>
          <w:rFonts w:ascii="Times New Roman" w:hAnsi="Times New Roman"/>
          <w:sz w:val="20"/>
          <w:szCs w:val="20"/>
        </w:rPr>
        <w:t>].</w:t>
      </w:r>
    </w:p>
    <w:p w14:paraId="6CF314FF" w14:textId="77777777" w:rsidR="0002766E" w:rsidRPr="0002766E" w:rsidRDefault="0002766E" w:rsidP="0002766E">
      <w:pPr>
        <w:pStyle w:val="10"/>
        <w:keepNext/>
        <w:overflowPunct w:val="0"/>
        <w:autoSpaceDE w:val="0"/>
        <w:autoSpaceDN w:val="0"/>
        <w:adjustRightInd w:val="0"/>
        <w:spacing w:after="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During the forecast period, production volume is expected to grow by 2%. The growth rate is 3.26 times in the fourth quarter of 2024 compared to the fourth quarter of 2023. The main reason for this is the increase in production volumes at the enterprise.</w:t>
      </w:r>
    </w:p>
    <w:p w14:paraId="325D87A6" w14:textId="02A5D3A2" w:rsidR="004245A5" w:rsidRDefault="0002766E" w:rsidP="0002766E">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The average increase in the efficiency of innovative activitie</w:t>
      </w:r>
      <w:r>
        <w:rPr>
          <w:rFonts w:ascii="Times New Roman" w:hAnsi="Times New Roman"/>
          <w:sz w:val="20"/>
          <w:szCs w:val="20"/>
        </w:rPr>
        <w:t>s at the enterprise in 2018-2024</w:t>
      </w:r>
      <w:r w:rsidRPr="0002766E">
        <w:rPr>
          <w:rFonts w:ascii="Times New Roman" w:hAnsi="Times New Roman"/>
          <w:sz w:val="20"/>
          <w:szCs w:val="20"/>
        </w:rPr>
        <w:t xml:space="preserve"> was 3.06 percent (even in 2019 it was 5.27 percent, in 2020 it was 5.30 percent). According to the enterprise's development strategy, the share of innovative activities is expected to increase by 2.4 percent. This, of course, will ensure production efficiency and save certain financial resources. During the forecast period, it can be observed that the enterprise's costs are decreasing by 2/3.</w:t>
      </w:r>
    </w:p>
    <w:p w14:paraId="276CAC26" w14:textId="4A708156" w:rsidR="0002766E" w:rsidRPr="0002766E" w:rsidRDefault="0002766E" w:rsidP="0002766E">
      <w:pPr>
        <w:pStyle w:val="10"/>
        <w:keepNext/>
        <w:overflowPunct w:val="0"/>
        <w:autoSpaceDE w:val="0"/>
        <w:autoSpaceDN w:val="0"/>
        <w:adjustRightInd w:val="0"/>
        <w:spacing w:after="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During the forecast period, it is possible to see an increase in the volume of production at the enter</w:t>
      </w:r>
      <w:r>
        <w:rPr>
          <w:rFonts w:ascii="Times New Roman" w:hAnsi="Times New Roman"/>
          <w:sz w:val="20"/>
          <w:szCs w:val="20"/>
        </w:rPr>
        <w:t>prise in the 4th quarter of 2025</w:t>
      </w:r>
      <w:r w:rsidRPr="0002766E">
        <w:rPr>
          <w:rFonts w:ascii="Times New Roman" w:hAnsi="Times New Roman"/>
          <w:sz w:val="20"/>
          <w:szCs w:val="20"/>
        </w:rPr>
        <w:t xml:space="preserve"> compared to the 1st quarter of 2022 by 1.07 times. The volume of profit in production at the enterprise is shown to increase by 2.3%. The wages of employees at the enterprise increased by 8.53 times from the 1st quarter of 2019 to the 4th quarter of 2019. If in the 4th quarter of 2019 the wages at the enterprise amounted to 266607.5 million </w:t>
      </w:r>
      <w:proofErr w:type="spellStart"/>
      <w:r w:rsidRPr="0002766E">
        <w:rPr>
          <w:rFonts w:ascii="Times New Roman" w:hAnsi="Times New Roman"/>
          <w:sz w:val="20"/>
          <w:szCs w:val="20"/>
        </w:rPr>
        <w:t>soums</w:t>
      </w:r>
      <w:proofErr w:type="spellEnd"/>
      <w:r w:rsidRPr="0002766E">
        <w:rPr>
          <w:rFonts w:ascii="Times New Roman" w:hAnsi="Times New Roman"/>
          <w:sz w:val="20"/>
          <w:szCs w:val="20"/>
        </w:rPr>
        <w:t xml:space="preserve">, then in the 4th quarter of 2025 it is observed that it will amount to 770235.9 million </w:t>
      </w:r>
      <w:proofErr w:type="spellStart"/>
      <w:r w:rsidRPr="0002766E">
        <w:rPr>
          <w:rFonts w:ascii="Times New Roman" w:hAnsi="Times New Roman"/>
          <w:sz w:val="20"/>
          <w:szCs w:val="20"/>
        </w:rPr>
        <w:t>soums</w:t>
      </w:r>
      <w:proofErr w:type="spellEnd"/>
      <w:r w:rsidRPr="0002766E">
        <w:rPr>
          <w:rFonts w:ascii="Times New Roman" w:hAnsi="Times New Roman"/>
          <w:sz w:val="20"/>
          <w:szCs w:val="20"/>
        </w:rPr>
        <w:t xml:space="preserve"> and the growth rate is 2.89 times. The volume of wages at the enterprise has a growth trend during the forecast period.</w:t>
      </w:r>
    </w:p>
    <w:p w14:paraId="58BECD86" w14:textId="4BE92953" w:rsidR="0002766E" w:rsidRDefault="0002766E" w:rsidP="0002766E">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The total expenses allocated to exported products at the enterpri</w:t>
      </w:r>
      <w:r>
        <w:rPr>
          <w:rFonts w:ascii="Times New Roman" w:hAnsi="Times New Roman"/>
          <w:sz w:val="20"/>
          <w:szCs w:val="20"/>
        </w:rPr>
        <w:t>se for the quarters of 2018-2024</w:t>
      </w:r>
      <w:r w:rsidRPr="0002766E">
        <w:rPr>
          <w:rFonts w:ascii="Times New Roman" w:hAnsi="Times New Roman"/>
          <w:sz w:val="20"/>
          <w:szCs w:val="20"/>
        </w:rPr>
        <w:t xml:space="preserve"> amounted to an average of 8.3475 million </w:t>
      </w:r>
      <w:proofErr w:type="spellStart"/>
      <w:r w:rsidRPr="0002766E">
        <w:rPr>
          <w:rFonts w:ascii="Times New Roman" w:hAnsi="Times New Roman"/>
          <w:sz w:val="20"/>
          <w:szCs w:val="20"/>
        </w:rPr>
        <w:t>soums</w:t>
      </w:r>
      <w:proofErr w:type="spellEnd"/>
      <w:r w:rsidRPr="0002766E">
        <w:rPr>
          <w:rFonts w:ascii="Times New Roman" w:hAnsi="Times New Roman"/>
          <w:sz w:val="20"/>
          <w:szCs w:val="20"/>
        </w:rPr>
        <w:t xml:space="preserve">. During the forecast period, it is expected to reach 14.8429 million </w:t>
      </w:r>
      <w:proofErr w:type="spellStart"/>
      <w:r w:rsidRPr="0002766E">
        <w:rPr>
          <w:rFonts w:ascii="Times New Roman" w:hAnsi="Times New Roman"/>
          <w:sz w:val="20"/>
          <w:szCs w:val="20"/>
        </w:rPr>
        <w:t>soums</w:t>
      </w:r>
      <w:proofErr w:type="spellEnd"/>
      <w:r w:rsidRPr="0002766E">
        <w:rPr>
          <w:rFonts w:ascii="Times New Roman" w:hAnsi="Times New Roman"/>
          <w:sz w:val="20"/>
          <w:szCs w:val="20"/>
        </w:rPr>
        <w:t>. This indicator indicates an increase of 2.75 times com</w:t>
      </w:r>
      <w:r>
        <w:rPr>
          <w:rFonts w:ascii="Times New Roman" w:hAnsi="Times New Roman"/>
          <w:sz w:val="20"/>
          <w:szCs w:val="20"/>
        </w:rPr>
        <w:t>pared to the 4th quarter of 2024</w:t>
      </w:r>
      <w:r w:rsidRPr="0002766E">
        <w:rPr>
          <w:rFonts w:ascii="Times New Roman" w:hAnsi="Times New Roman"/>
          <w:sz w:val="20"/>
          <w:szCs w:val="20"/>
        </w:rPr>
        <w:t>.</w:t>
      </w:r>
    </w:p>
    <w:p w14:paraId="554C448B" w14:textId="6D0CD699" w:rsidR="00CD6F61" w:rsidRDefault="00CD6F61"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The conducted research shows that in terms of the volume of sales of products at textile industry enterprises we will obtain the following forecast indicators.</w:t>
      </w:r>
      <w:r w:rsidR="00B049EB" w:rsidRPr="004245A5">
        <w:rPr>
          <w:rFonts w:ascii="Times New Roman" w:hAnsi="Times New Roman"/>
          <w:sz w:val="20"/>
          <w:szCs w:val="20"/>
        </w:rPr>
        <w:t xml:space="preserve"> [11].</w:t>
      </w:r>
    </w:p>
    <w:p w14:paraId="4C0A833F" w14:textId="77777777" w:rsidR="0002766E" w:rsidRPr="0002766E" w:rsidRDefault="0002766E" w:rsidP="0002766E">
      <w:pPr>
        <w:pStyle w:val="10"/>
        <w:keepNext/>
        <w:overflowPunct w:val="0"/>
        <w:autoSpaceDE w:val="0"/>
        <w:autoSpaceDN w:val="0"/>
        <w:adjustRightInd w:val="0"/>
        <w:spacing w:after="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Uzbekistan is the first country to receive GSP+ status in the last 5 years and the ninth country to receive GSP+ beneficiary status after Armenia, Bolivia, Cape Verde, Kyrgyzstan, Mongolia, Pakistan, the Philippines and Sri Lanka.</w:t>
      </w:r>
    </w:p>
    <w:p w14:paraId="4A59E625" w14:textId="77777777" w:rsidR="0002766E" w:rsidRPr="0002766E" w:rsidRDefault="0002766E" w:rsidP="0002766E">
      <w:pPr>
        <w:pStyle w:val="10"/>
        <w:keepNext/>
        <w:overflowPunct w:val="0"/>
        <w:autoSpaceDE w:val="0"/>
        <w:autoSpaceDN w:val="0"/>
        <w:adjustRightInd w:val="0"/>
        <w:spacing w:after="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The application of the GSP+ system creates additional opportunities for increasing the volume of trade between the European Union and Uzbekistan, as duties will be eliminated on a number of important export goods. The number of goods that Uzbek manufacturers can export duty-free under the GSP+ scheme to the European Union countries has reached 6,200. This is twice as many as before, including more than 1,000 types of all types of textile products, including:</w:t>
      </w:r>
    </w:p>
    <w:p w14:paraId="75DF069C" w14:textId="77777777" w:rsidR="0002766E" w:rsidRPr="0002766E" w:rsidRDefault="0002766E" w:rsidP="0002766E">
      <w:pPr>
        <w:pStyle w:val="10"/>
        <w:keepNext/>
        <w:overflowPunct w:val="0"/>
        <w:autoSpaceDE w:val="0"/>
        <w:autoSpaceDN w:val="0"/>
        <w:adjustRightInd w:val="0"/>
        <w:spacing w:after="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-cotton yarn;</w:t>
      </w:r>
    </w:p>
    <w:p w14:paraId="080D8177" w14:textId="77777777" w:rsidR="0002766E" w:rsidRPr="0002766E" w:rsidRDefault="0002766E" w:rsidP="0002766E">
      <w:pPr>
        <w:pStyle w:val="10"/>
        <w:keepNext/>
        <w:overflowPunct w:val="0"/>
        <w:autoSpaceDE w:val="0"/>
        <w:autoSpaceDN w:val="0"/>
        <w:adjustRightInd w:val="0"/>
        <w:spacing w:after="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-yarns, non-woven fibers;</w:t>
      </w:r>
    </w:p>
    <w:p w14:paraId="092C7033" w14:textId="77777777" w:rsidR="0002766E" w:rsidRPr="0002766E" w:rsidRDefault="0002766E" w:rsidP="0002766E">
      <w:pPr>
        <w:pStyle w:val="10"/>
        <w:keepNext/>
        <w:overflowPunct w:val="0"/>
        <w:autoSpaceDE w:val="0"/>
        <w:autoSpaceDN w:val="0"/>
        <w:adjustRightInd w:val="0"/>
        <w:spacing w:after="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-carpets;</w:t>
      </w:r>
    </w:p>
    <w:p w14:paraId="08D91053" w14:textId="77777777" w:rsidR="0002766E" w:rsidRPr="0002766E" w:rsidRDefault="0002766E" w:rsidP="0002766E">
      <w:pPr>
        <w:pStyle w:val="10"/>
        <w:keepNext/>
        <w:overflowPunct w:val="0"/>
        <w:autoSpaceDE w:val="0"/>
        <w:autoSpaceDN w:val="0"/>
        <w:adjustRightInd w:val="0"/>
        <w:spacing w:after="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-fabrics, textile materials, canvases;</w:t>
      </w:r>
    </w:p>
    <w:p w14:paraId="0A53F1AF" w14:textId="77777777" w:rsidR="0002766E" w:rsidRPr="0002766E" w:rsidRDefault="0002766E" w:rsidP="0002766E">
      <w:pPr>
        <w:pStyle w:val="10"/>
        <w:keepNext/>
        <w:overflowPunct w:val="0"/>
        <w:autoSpaceDE w:val="0"/>
        <w:autoSpaceDN w:val="0"/>
        <w:adjustRightInd w:val="0"/>
        <w:spacing w:after="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-finished textiles, clothing;</w:t>
      </w:r>
    </w:p>
    <w:p w14:paraId="2091A44B" w14:textId="516B7C86" w:rsidR="0002766E" w:rsidRPr="004245A5" w:rsidRDefault="0002766E" w:rsidP="0002766E">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02766E">
        <w:rPr>
          <w:rFonts w:ascii="Times New Roman" w:hAnsi="Times New Roman"/>
          <w:sz w:val="20"/>
          <w:szCs w:val="20"/>
        </w:rPr>
        <w:t>The textile industry is one of the promising sectors of the Uzbek economy, increasing its export potential by supplying finished products with high added value to foreign markets. The volume of exports of textile products produced in Uzbekistan is increasing every year, and its geography is expanding.</w:t>
      </w:r>
    </w:p>
    <w:p w14:paraId="18036690" w14:textId="4B97C921" w:rsidR="004B1620" w:rsidRPr="004245A5" w:rsidRDefault="004B1620" w:rsidP="004245A5">
      <w:pPr>
        <w:overflowPunct w:val="0"/>
        <w:autoSpaceDE w:val="0"/>
        <w:autoSpaceDN w:val="0"/>
        <w:adjustRightInd w:val="0"/>
        <w:spacing w:before="240" w:after="240" w:line="240" w:lineRule="auto"/>
        <w:ind w:firstLine="284"/>
        <w:jc w:val="center"/>
        <w:textAlignment w:val="baseline"/>
        <w:rPr>
          <w:rFonts w:ascii="Times New Roman" w:eastAsia="Calibri" w:hAnsi="Times New Roman" w:cs="Times New Roman"/>
          <w:b/>
          <w:sz w:val="24"/>
          <w:szCs w:val="24"/>
        </w:rPr>
      </w:pPr>
      <w:r w:rsidRPr="004245A5">
        <w:rPr>
          <w:rFonts w:ascii="Times New Roman" w:eastAsia="Calibri" w:hAnsi="Times New Roman" w:cs="Times New Roman"/>
          <w:b/>
          <w:sz w:val="24"/>
          <w:szCs w:val="24"/>
        </w:rPr>
        <w:t>CONCLUSIONS</w:t>
      </w:r>
    </w:p>
    <w:p w14:paraId="1CC2AD77" w14:textId="77777777" w:rsidR="005A69ED" w:rsidRPr="004245A5" w:rsidRDefault="005A69ED"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Based on the analysis, the EU has currently developed and implemented harmonized standards (directives) providing for technical regulations and product labeling procedures for more than 30 types of products entering the European market. Efforts are needed to establish investment cooperation with major business associations and EU financial institutions to further expand production capacity in the republic for new types of products that are highly valued in the European market and to establish their future supply to EU member states.</w:t>
      </w:r>
    </w:p>
    <w:p w14:paraId="1165106A" w14:textId="4C127086" w:rsidR="004B1620" w:rsidRPr="004245A5" w:rsidRDefault="005A69ED" w:rsidP="004245A5">
      <w:pPr>
        <w:pStyle w:val="10"/>
        <w:keepNext/>
        <w:overflowPunct w:val="0"/>
        <w:autoSpaceDE w:val="0"/>
        <w:autoSpaceDN w:val="0"/>
        <w:adjustRightInd w:val="0"/>
        <w:spacing w:before="0" w:beforeAutospacing="0" w:after="0" w:afterAutospacing="0" w:line="240" w:lineRule="auto"/>
        <w:ind w:firstLine="284"/>
        <w:jc w:val="both"/>
        <w:textAlignment w:val="baseline"/>
        <w:outlineLvl w:val="5"/>
        <w:rPr>
          <w:rFonts w:ascii="Times New Roman" w:hAnsi="Times New Roman"/>
          <w:sz w:val="20"/>
          <w:szCs w:val="20"/>
        </w:rPr>
      </w:pPr>
      <w:r w:rsidRPr="004245A5">
        <w:rPr>
          <w:rFonts w:ascii="Times New Roman" w:hAnsi="Times New Roman"/>
          <w:sz w:val="20"/>
          <w:szCs w:val="20"/>
        </w:rPr>
        <w:t xml:space="preserve"> Improving the efficiency of innovation activities at textile enterprises was used to justify the long-term development of </w:t>
      </w:r>
      <w:proofErr w:type="spellStart"/>
      <w:r w:rsidRPr="004245A5">
        <w:rPr>
          <w:rFonts w:ascii="Times New Roman" w:hAnsi="Times New Roman"/>
          <w:sz w:val="20"/>
          <w:szCs w:val="20"/>
        </w:rPr>
        <w:t>Hilale</w:t>
      </w:r>
      <w:proofErr w:type="spellEnd"/>
      <w:r w:rsidRPr="004245A5">
        <w:rPr>
          <w:rFonts w:ascii="Times New Roman" w:hAnsi="Times New Roman"/>
          <w:sz w:val="20"/>
          <w:szCs w:val="20"/>
        </w:rPr>
        <w:t xml:space="preserve"> Textiles LLC and </w:t>
      </w:r>
      <w:proofErr w:type="spellStart"/>
      <w:r w:rsidRPr="004245A5">
        <w:rPr>
          <w:rFonts w:ascii="Times New Roman" w:hAnsi="Times New Roman"/>
          <w:sz w:val="20"/>
          <w:szCs w:val="20"/>
        </w:rPr>
        <w:t>Takro</w:t>
      </w:r>
      <w:proofErr w:type="spellEnd"/>
      <w:r w:rsidRPr="004245A5">
        <w:rPr>
          <w:rFonts w:ascii="Times New Roman" w:hAnsi="Times New Roman"/>
          <w:sz w:val="20"/>
          <w:szCs w:val="20"/>
        </w:rPr>
        <w:t xml:space="preserve"> Osiyo LLC based on projected indicators for improving the mechanism for 2023-2030. The proposal calls for an increase in the overall efficiency of innovation activities by 2.3 percent by 2030 due to factors such as the efficient use of internal capacities.</w:t>
      </w:r>
    </w:p>
    <w:p w14:paraId="514E585F" w14:textId="77777777" w:rsidR="00627A24" w:rsidRDefault="00627A24" w:rsidP="004245A5">
      <w:pPr>
        <w:overflowPunct w:val="0"/>
        <w:autoSpaceDE w:val="0"/>
        <w:autoSpaceDN w:val="0"/>
        <w:adjustRightInd w:val="0"/>
        <w:spacing w:before="240" w:after="240" w:line="240" w:lineRule="auto"/>
        <w:ind w:firstLine="284"/>
        <w:jc w:val="center"/>
        <w:textAlignment w:val="baseline"/>
        <w:rPr>
          <w:rFonts w:ascii="Times New Roman" w:eastAsia="Calibri" w:hAnsi="Times New Roman" w:cs="Times New Roman"/>
          <w:b/>
          <w:sz w:val="24"/>
          <w:szCs w:val="24"/>
        </w:rPr>
      </w:pPr>
    </w:p>
    <w:p w14:paraId="590A8BDF" w14:textId="022E9D1F" w:rsidR="00955248" w:rsidRPr="004245A5" w:rsidRDefault="004245A5" w:rsidP="004245A5">
      <w:pPr>
        <w:overflowPunct w:val="0"/>
        <w:autoSpaceDE w:val="0"/>
        <w:autoSpaceDN w:val="0"/>
        <w:adjustRightInd w:val="0"/>
        <w:spacing w:before="240" w:after="240" w:line="240" w:lineRule="auto"/>
        <w:ind w:firstLine="284"/>
        <w:jc w:val="center"/>
        <w:textAlignment w:val="baseline"/>
        <w:rPr>
          <w:rFonts w:ascii="Times New Roman" w:eastAsia="Calibri" w:hAnsi="Times New Roman" w:cs="Times New Roman"/>
          <w:b/>
          <w:sz w:val="24"/>
          <w:szCs w:val="24"/>
        </w:rPr>
      </w:pPr>
      <w:r w:rsidRPr="004245A5">
        <w:rPr>
          <w:rFonts w:ascii="Times New Roman" w:eastAsia="Calibri" w:hAnsi="Times New Roman" w:cs="Times New Roman"/>
          <w:b/>
          <w:sz w:val="24"/>
          <w:szCs w:val="24"/>
        </w:rPr>
        <w:lastRenderedPageBreak/>
        <w:t>REFERENCES</w:t>
      </w:r>
    </w:p>
    <w:p w14:paraId="73645B5C" w14:textId="1492EFD4"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World Bank, </w:t>
      </w:r>
      <w:r w:rsidRPr="004245A5">
        <w:rPr>
          <w:rFonts w:ascii="Times New Roman" w:eastAsia="Calibri" w:hAnsi="Times New Roman" w:cs="Times New Roman"/>
          <w:i/>
          <w:iCs/>
          <w:sz w:val="20"/>
          <w:szCs w:val="20"/>
        </w:rPr>
        <w:t>World Development Indicators</w:t>
      </w:r>
      <w:r w:rsidRPr="004245A5">
        <w:rPr>
          <w:rFonts w:ascii="Times New Roman" w:eastAsia="Calibri" w:hAnsi="Times New Roman" w:cs="Times New Roman"/>
          <w:sz w:val="20"/>
          <w:szCs w:val="20"/>
        </w:rPr>
        <w:t xml:space="preserve">, </w:t>
      </w:r>
      <w:hyperlink r:id="rId7" w:tgtFrame="_new" w:history="1">
        <w:r w:rsidRPr="004245A5">
          <w:rPr>
            <w:rStyle w:val="a7"/>
            <w:rFonts w:ascii="Times New Roman" w:eastAsia="Calibri" w:hAnsi="Times New Roman" w:cs="Times New Roman"/>
            <w:sz w:val="20"/>
            <w:szCs w:val="20"/>
          </w:rPr>
          <w:t>https://www.worldbank.org</w:t>
        </w:r>
      </w:hyperlink>
    </w:p>
    <w:p w14:paraId="6C11CBCF" w14:textId="64075D53"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Decree of the President of the Republic of Uzbekistan, </w:t>
      </w:r>
      <w:r w:rsidRPr="004245A5">
        <w:rPr>
          <w:rFonts w:ascii="Times New Roman" w:eastAsia="Calibri" w:hAnsi="Times New Roman" w:cs="Times New Roman"/>
          <w:i/>
          <w:iCs/>
          <w:sz w:val="20"/>
          <w:szCs w:val="20"/>
        </w:rPr>
        <w:t>On the Development Strategy of New Uzbekistan for 2022–2026</w:t>
      </w:r>
      <w:r w:rsidRPr="004245A5">
        <w:rPr>
          <w:rFonts w:ascii="Times New Roman" w:eastAsia="Calibri" w:hAnsi="Times New Roman" w:cs="Times New Roman"/>
          <w:sz w:val="20"/>
          <w:szCs w:val="20"/>
        </w:rPr>
        <w:t>, No. PF-60 (January 28, 2022).</w:t>
      </w:r>
    </w:p>
    <w:p w14:paraId="01C4B9EA" w14:textId="099413AB"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Compiled based on data from the State Statistics Committee of the Republic of Uzbekistan.</w:t>
      </w:r>
    </w:p>
    <w:p w14:paraId="731D0744" w14:textId="10C34AC9"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Information from the </w:t>
      </w:r>
      <w:r w:rsidRPr="004245A5">
        <w:rPr>
          <w:rFonts w:ascii="Times New Roman" w:eastAsia="Calibri" w:hAnsi="Times New Roman" w:cs="Times New Roman"/>
          <w:i/>
          <w:iCs/>
          <w:sz w:val="20"/>
          <w:szCs w:val="20"/>
        </w:rPr>
        <w:t>Uzbek Textile Industry</w:t>
      </w:r>
      <w:r w:rsidRPr="004245A5">
        <w:rPr>
          <w:rFonts w:ascii="Times New Roman" w:eastAsia="Calibri" w:hAnsi="Times New Roman" w:cs="Times New Roman"/>
          <w:sz w:val="20"/>
          <w:szCs w:val="20"/>
        </w:rPr>
        <w:t xml:space="preserve"> Association.</w:t>
      </w:r>
    </w:p>
    <w:p w14:paraId="3BACC3ED" w14:textId="2F18B552"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Compiled based on information obtained from </w:t>
      </w:r>
      <w:proofErr w:type="spellStart"/>
      <w:r w:rsidRPr="004245A5">
        <w:rPr>
          <w:rFonts w:ascii="Times New Roman" w:eastAsia="Calibri" w:hAnsi="Times New Roman" w:cs="Times New Roman"/>
          <w:sz w:val="20"/>
          <w:szCs w:val="20"/>
        </w:rPr>
        <w:t>Hilale</w:t>
      </w:r>
      <w:proofErr w:type="spellEnd"/>
      <w:r w:rsidRPr="004245A5">
        <w:rPr>
          <w:rFonts w:ascii="Times New Roman" w:eastAsia="Calibri" w:hAnsi="Times New Roman" w:cs="Times New Roman"/>
          <w:sz w:val="20"/>
          <w:szCs w:val="20"/>
        </w:rPr>
        <w:t xml:space="preserve"> Textiles LLC and </w:t>
      </w:r>
      <w:proofErr w:type="spellStart"/>
      <w:r w:rsidRPr="004245A5">
        <w:rPr>
          <w:rFonts w:ascii="Times New Roman" w:eastAsia="Calibri" w:hAnsi="Times New Roman" w:cs="Times New Roman"/>
          <w:sz w:val="20"/>
          <w:szCs w:val="20"/>
        </w:rPr>
        <w:t>Takro</w:t>
      </w:r>
      <w:proofErr w:type="spellEnd"/>
      <w:r w:rsidRPr="004245A5">
        <w:rPr>
          <w:rFonts w:ascii="Times New Roman" w:eastAsia="Calibri" w:hAnsi="Times New Roman" w:cs="Times New Roman"/>
          <w:sz w:val="20"/>
          <w:szCs w:val="20"/>
        </w:rPr>
        <w:t xml:space="preserve"> Asia LLC.</w:t>
      </w:r>
    </w:p>
    <w:p w14:paraId="6DE52E31" w14:textId="61F0DC62"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Author’s development based on the Cobb–Douglas production function.</w:t>
      </w:r>
    </w:p>
    <w:p w14:paraId="0C29F881" w14:textId="70439462"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F. A. </w:t>
      </w:r>
      <w:proofErr w:type="spellStart"/>
      <w:r w:rsidRPr="004245A5">
        <w:rPr>
          <w:rFonts w:ascii="Times New Roman" w:eastAsia="Calibri" w:hAnsi="Times New Roman" w:cs="Times New Roman"/>
          <w:sz w:val="20"/>
          <w:szCs w:val="20"/>
        </w:rPr>
        <w:t>Asimova</w:t>
      </w:r>
      <w:proofErr w:type="spellEnd"/>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i/>
          <w:iCs/>
          <w:sz w:val="20"/>
          <w:szCs w:val="20"/>
        </w:rPr>
        <w:t>The mechanism for increasing the efficiency of innovation activity at textile industry enterprises</w:t>
      </w:r>
      <w:r w:rsidRPr="004245A5">
        <w:rPr>
          <w:rFonts w:ascii="Times New Roman" w:eastAsia="Calibri" w:hAnsi="Times New Roman" w:cs="Times New Roman"/>
          <w:sz w:val="20"/>
          <w:szCs w:val="20"/>
        </w:rPr>
        <w:t>, Abstract of the dissertation for the degree of Doctor of Philosophy (PhD) in Economics.</w:t>
      </w:r>
    </w:p>
    <w:p w14:paraId="412F1327" w14:textId="6BA06C4F"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A. F. </w:t>
      </w:r>
      <w:proofErr w:type="spellStart"/>
      <w:r w:rsidRPr="004245A5">
        <w:rPr>
          <w:rFonts w:ascii="Times New Roman" w:eastAsia="Calibri" w:hAnsi="Times New Roman" w:cs="Times New Roman"/>
          <w:sz w:val="20"/>
          <w:szCs w:val="20"/>
        </w:rPr>
        <w:t>Abdusattorovna</w:t>
      </w:r>
      <w:proofErr w:type="spellEnd"/>
      <w:r w:rsidRPr="004245A5">
        <w:rPr>
          <w:rFonts w:ascii="Times New Roman" w:eastAsia="Calibri" w:hAnsi="Times New Roman" w:cs="Times New Roman"/>
          <w:sz w:val="20"/>
          <w:szCs w:val="20"/>
        </w:rPr>
        <w:t xml:space="preserve">, “Product diversification in industrial enterprises,” </w:t>
      </w:r>
      <w:r w:rsidRPr="004245A5">
        <w:rPr>
          <w:rFonts w:ascii="Times New Roman" w:eastAsia="Calibri" w:hAnsi="Times New Roman" w:cs="Times New Roman"/>
          <w:i/>
          <w:iCs/>
          <w:sz w:val="20"/>
          <w:szCs w:val="20"/>
        </w:rPr>
        <w:t>European Scholar Journal</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w:t>
      </w:r>
      <w:r w:rsidRPr="004245A5">
        <w:rPr>
          <w:rFonts w:ascii="Times New Roman" w:eastAsia="Calibri" w:hAnsi="Times New Roman" w:cs="Times New Roman"/>
          <w:sz w:val="20"/>
          <w:szCs w:val="20"/>
        </w:rPr>
        <w:t>(3), 113–114 (2022).</w:t>
      </w:r>
    </w:p>
    <w:p w14:paraId="45FE920A" w14:textId="04680485"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Allaeva</w:t>
      </w:r>
      <w:proofErr w:type="spellEnd"/>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Yusupkhodjaeva</w:t>
      </w:r>
      <w:proofErr w:type="spellEnd"/>
      <w:r w:rsidRPr="004245A5">
        <w:rPr>
          <w:rFonts w:ascii="Times New Roman" w:eastAsia="Calibri" w:hAnsi="Times New Roman" w:cs="Times New Roman"/>
          <w:sz w:val="20"/>
          <w:szCs w:val="20"/>
        </w:rPr>
        <w:t xml:space="preserve">, and K. </w:t>
      </w:r>
      <w:proofErr w:type="spellStart"/>
      <w:r w:rsidRPr="004245A5">
        <w:rPr>
          <w:rFonts w:ascii="Times New Roman" w:eastAsia="Calibri" w:hAnsi="Times New Roman" w:cs="Times New Roman"/>
          <w:sz w:val="20"/>
          <w:szCs w:val="20"/>
        </w:rPr>
        <w:t>Mukhitdinova</w:t>
      </w:r>
      <w:proofErr w:type="spellEnd"/>
      <w:r w:rsidRPr="004245A5">
        <w:rPr>
          <w:rFonts w:ascii="Times New Roman" w:eastAsia="Calibri" w:hAnsi="Times New Roman" w:cs="Times New Roman"/>
          <w:sz w:val="20"/>
          <w:szCs w:val="20"/>
        </w:rPr>
        <w:t xml:space="preserve">, “Methodology for calculating sustainable development of FEC enterprises based on consolidated integral indices,”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3331</w:t>
      </w:r>
      <w:r w:rsidRPr="004245A5">
        <w:rPr>
          <w:rFonts w:ascii="Times New Roman" w:eastAsia="Calibri" w:hAnsi="Times New Roman" w:cs="Times New Roman"/>
          <w:sz w:val="20"/>
          <w:szCs w:val="20"/>
        </w:rPr>
        <w:t xml:space="preserve">, 030006 (2025). </w:t>
      </w:r>
      <w:hyperlink r:id="rId8" w:tgtFrame="_new" w:history="1">
        <w:r w:rsidRPr="004245A5">
          <w:rPr>
            <w:rStyle w:val="a7"/>
            <w:rFonts w:ascii="Times New Roman" w:eastAsia="Calibri" w:hAnsi="Times New Roman" w:cs="Times New Roman"/>
            <w:sz w:val="20"/>
            <w:szCs w:val="20"/>
          </w:rPr>
          <w:t>https://doi.org/10.1063/5.0308133</w:t>
        </w:r>
      </w:hyperlink>
    </w:p>
    <w:p w14:paraId="52355F6D" w14:textId="2582127F"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Yusupkhodjaeva</w:t>
      </w:r>
      <w:proofErr w:type="spellEnd"/>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Allaeva</w:t>
      </w:r>
      <w:proofErr w:type="spellEnd"/>
      <w:r w:rsidRPr="004245A5">
        <w:rPr>
          <w:rFonts w:ascii="Times New Roman" w:eastAsia="Calibri" w:hAnsi="Times New Roman" w:cs="Times New Roman"/>
          <w:sz w:val="20"/>
          <w:szCs w:val="20"/>
        </w:rPr>
        <w:t xml:space="preserve">, and K. </w:t>
      </w:r>
      <w:proofErr w:type="spellStart"/>
      <w:r w:rsidRPr="004245A5">
        <w:rPr>
          <w:rFonts w:ascii="Times New Roman" w:eastAsia="Calibri" w:hAnsi="Times New Roman" w:cs="Times New Roman"/>
          <w:sz w:val="20"/>
          <w:szCs w:val="20"/>
        </w:rPr>
        <w:t>Mukhitdinova</w:t>
      </w:r>
      <w:proofErr w:type="spellEnd"/>
      <w:r w:rsidRPr="004245A5">
        <w:rPr>
          <w:rFonts w:ascii="Times New Roman" w:eastAsia="Calibri" w:hAnsi="Times New Roman" w:cs="Times New Roman"/>
          <w:sz w:val="20"/>
          <w:szCs w:val="20"/>
        </w:rPr>
        <w:t xml:space="preserve">, “Sustainable development of transport enterprises in the context of the formation of the digital economy,”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3331</w:t>
      </w:r>
      <w:r w:rsidRPr="004245A5">
        <w:rPr>
          <w:rFonts w:ascii="Times New Roman" w:eastAsia="Calibri" w:hAnsi="Times New Roman" w:cs="Times New Roman"/>
          <w:sz w:val="20"/>
          <w:szCs w:val="20"/>
        </w:rPr>
        <w:t xml:space="preserve">, 030087 (2025). </w:t>
      </w:r>
      <w:hyperlink r:id="rId9" w:tgtFrame="_new" w:history="1">
        <w:r w:rsidRPr="004245A5">
          <w:rPr>
            <w:rStyle w:val="a7"/>
            <w:rFonts w:ascii="Times New Roman" w:eastAsia="Calibri" w:hAnsi="Times New Roman" w:cs="Times New Roman"/>
            <w:sz w:val="20"/>
            <w:szCs w:val="20"/>
          </w:rPr>
          <w:t>https://doi.org/10.1063/5.0306872</w:t>
        </w:r>
      </w:hyperlink>
    </w:p>
    <w:p w14:paraId="649AB19C" w14:textId="0A0C641D"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K. </w:t>
      </w:r>
      <w:proofErr w:type="spellStart"/>
      <w:r w:rsidRPr="004245A5">
        <w:rPr>
          <w:rFonts w:ascii="Times New Roman" w:eastAsia="Calibri" w:hAnsi="Times New Roman" w:cs="Times New Roman"/>
          <w:sz w:val="20"/>
          <w:szCs w:val="20"/>
        </w:rPr>
        <w:t>Mukhitdinova</w:t>
      </w:r>
      <w:proofErr w:type="spellEnd"/>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Yusupkhodjaeva</w:t>
      </w:r>
      <w:proofErr w:type="spellEnd"/>
      <w:r w:rsidRPr="004245A5">
        <w:rPr>
          <w:rFonts w:ascii="Times New Roman" w:eastAsia="Calibri" w:hAnsi="Times New Roman" w:cs="Times New Roman"/>
          <w:sz w:val="20"/>
          <w:szCs w:val="20"/>
        </w:rPr>
        <w:t xml:space="preserve">, and G. </w:t>
      </w:r>
      <w:proofErr w:type="spellStart"/>
      <w:r w:rsidRPr="004245A5">
        <w:rPr>
          <w:rFonts w:ascii="Times New Roman" w:eastAsia="Calibri" w:hAnsi="Times New Roman" w:cs="Times New Roman"/>
          <w:sz w:val="20"/>
          <w:szCs w:val="20"/>
        </w:rPr>
        <w:t>Allaeva</w:t>
      </w:r>
      <w:proofErr w:type="spellEnd"/>
      <w:r w:rsidRPr="004245A5">
        <w:rPr>
          <w:rFonts w:ascii="Times New Roman" w:eastAsia="Calibri" w:hAnsi="Times New Roman" w:cs="Times New Roman"/>
          <w:sz w:val="20"/>
          <w:szCs w:val="20"/>
        </w:rPr>
        <w:t xml:space="preserve">, “Econometric modeling of investment potential of industrial enterprises,”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3331</w:t>
      </w:r>
      <w:r w:rsidRPr="004245A5">
        <w:rPr>
          <w:rFonts w:ascii="Times New Roman" w:eastAsia="Calibri" w:hAnsi="Times New Roman" w:cs="Times New Roman"/>
          <w:sz w:val="20"/>
          <w:szCs w:val="20"/>
        </w:rPr>
        <w:t xml:space="preserve">, 050026 (2025). </w:t>
      </w:r>
      <w:hyperlink r:id="rId10" w:tgtFrame="_new" w:history="1">
        <w:r w:rsidRPr="004245A5">
          <w:rPr>
            <w:rStyle w:val="a7"/>
            <w:rFonts w:ascii="Times New Roman" w:eastAsia="Calibri" w:hAnsi="Times New Roman" w:cs="Times New Roman"/>
            <w:sz w:val="20"/>
            <w:szCs w:val="20"/>
          </w:rPr>
          <w:t>https://doi.org/10.1063/5.0308123</w:t>
        </w:r>
      </w:hyperlink>
    </w:p>
    <w:p w14:paraId="1D9CA5C9" w14:textId="18695513"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Allaeva</w:t>
      </w:r>
      <w:proofErr w:type="spellEnd"/>
      <w:r w:rsidRPr="004245A5">
        <w:rPr>
          <w:rFonts w:ascii="Times New Roman" w:eastAsia="Calibri" w:hAnsi="Times New Roman" w:cs="Times New Roman"/>
          <w:sz w:val="20"/>
          <w:szCs w:val="20"/>
        </w:rPr>
        <w:t xml:space="preserve">, “Main directions of sustainable development of fuel and energy enterprises,”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3152</w:t>
      </w:r>
      <w:r w:rsidRPr="004245A5">
        <w:rPr>
          <w:rFonts w:ascii="Times New Roman" w:eastAsia="Calibri" w:hAnsi="Times New Roman" w:cs="Times New Roman"/>
          <w:sz w:val="20"/>
          <w:szCs w:val="20"/>
        </w:rPr>
        <w:t xml:space="preserve">, 050012 (2024). </w:t>
      </w:r>
      <w:hyperlink r:id="rId11" w:tgtFrame="_new" w:history="1">
        <w:r w:rsidRPr="004245A5">
          <w:rPr>
            <w:rStyle w:val="a7"/>
            <w:rFonts w:ascii="Times New Roman" w:eastAsia="Calibri" w:hAnsi="Times New Roman" w:cs="Times New Roman"/>
            <w:sz w:val="20"/>
            <w:szCs w:val="20"/>
          </w:rPr>
          <w:t>https://doi.org/10.1063/5.0220851</w:t>
        </w:r>
      </w:hyperlink>
    </w:p>
    <w:p w14:paraId="1D90CA04" w14:textId="1BF177A5"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Allaeva</w:t>
      </w:r>
      <w:proofErr w:type="spellEnd"/>
      <w:r w:rsidRPr="004245A5">
        <w:rPr>
          <w:rFonts w:ascii="Times New Roman" w:eastAsia="Calibri" w:hAnsi="Times New Roman" w:cs="Times New Roman"/>
          <w:sz w:val="20"/>
          <w:szCs w:val="20"/>
        </w:rPr>
        <w:t xml:space="preserve">, “The role of energy security in forming the foundations for sustainable development of fuel and energy complex enterprises,” </w:t>
      </w:r>
      <w:r w:rsidRPr="004245A5">
        <w:rPr>
          <w:rFonts w:ascii="Times New Roman" w:eastAsia="Calibri" w:hAnsi="Times New Roman" w:cs="Times New Roman"/>
          <w:i/>
          <w:iCs/>
          <w:sz w:val="20"/>
          <w:szCs w:val="20"/>
        </w:rPr>
        <w:t>E3S Web Conf.</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461</w:t>
      </w:r>
      <w:r w:rsidRPr="004245A5">
        <w:rPr>
          <w:rFonts w:ascii="Times New Roman" w:eastAsia="Calibri" w:hAnsi="Times New Roman" w:cs="Times New Roman"/>
          <w:sz w:val="20"/>
          <w:szCs w:val="20"/>
        </w:rPr>
        <w:t xml:space="preserve">, 01061 (2023). </w:t>
      </w:r>
      <w:hyperlink r:id="rId12" w:tgtFrame="_new" w:history="1">
        <w:r w:rsidRPr="004245A5">
          <w:rPr>
            <w:rStyle w:val="a7"/>
            <w:rFonts w:ascii="Times New Roman" w:eastAsia="Calibri" w:hAnsi="Times New Roman" w:cs="Times New Roman"/>
            <w:sz w:val="20"/>
            <w:szCs w:val="20"/>
          </w:rPr>
          <w:t>https://doi.org/10.1051/e3sconf/202346101061</w:t>
        </w:r>
      </w:hyperlink>
    </w:p>
    <w:p w14:paraId="56A2C58E" w14:textId="1987C232"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Allaeva</w:t>
      </w:r>
      <w:proofErr w:type="spellEnd"/>
      <w:r w:rsidRPr="004245A5">
        <w:rPr>
          <w:rFonts w:ascii="Times New Roman" w:eastAsia="Calibri" w:hAnsi="Times New Roman" w:cs="Times New Roman"/>
          <w:sz w:val="20"/>
          <w:szCs w:val="20"/>
        </w:rPr>
        <w:t xml:space="preserve">, “Sustainable development methodology of the fuel-energy complex of the Republic of Uzbekistan,” </w:t>
      </w:r>
      <w:r w:rsidRPr="004245A5">
        <w:rPr>
          <w:rFonts w:ascii="Times New Roman" w:eastAsia="Calibri" w:hAnsi="Times New Roman" w:cs="Times New Roman"/>
          <w:i/>
          <w:iCs/>
          <w:sz w:val="20"/>
          <w:szCs w:val="20"/>
        </w:rPr>
        <w:t>E3S Web Conf.</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289</w:t>
      </w:r>
      <w:r w:rsidRPr="004245A5">
        <w:rPr>
          <w:rFonts w:ascii="Times New Roman" w:eastAsia="Calibri" w:hAnsi="Times New Roman" w:cs="Times New Roman"/>
          <w:sz w:val="20"/>
          <w:szCs w:val="20"/>
        </w:rPr>
        <w:t xml:space="preserve">, 07033 (2021). </w:t>
      </w:r>
      <w:hyperlink r:id="rId13" w:tgtFrame="_new" w:history="1">
        <w:r w:rsidRPr="004245A5">
          <w:rPr>
            <w:rStyle w:val="a7"/>
            <w:rFonts w:ascii="Times New Roman" w:eastAsia="Calibri" w:hAnsi="Times New Roman" w:cs="Times New Roman"/>
            <w:sz w:val="20"/>
            <w:szCs w:val="20"/>
          </w:rPr>
          <w:t>https://doi.org/10.1051/e3sconf/202128907033</w:t>
        </w:r>
      </w:hyperlink>
    </w:p>
    <w:p w14:paraId="3D81CB14" w14:textId="0831B60F"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Allaeva</w:t>
      </w:r>
      <w:proofErr w:type="spellEnd"/>
      <w:r w:rsidRPr="004245A5">
        <w:rPr>
          <w:rFonts w:ascii="Times New Roman" w:eastAsia="Calibri" w:hAnsi="Times New Roman" w:cs="Times New Roman"/>
          <w:sz w:val="20"/>
          <w:szCs w:val="20"/>
        </w:rPr>
        <w:t xml:space="preserve">, “Fiscal instruments of taxation improvement as a factor of sustainable development of fuel and energy sector enterprises,” </w:t>
      </w:r>
      <w:r w:rsidRPr="004245A5">
        <w:rPr>
          <w:rFonts w:ascii="Times New Roman" w:eastAsia="Calibri" w:hAnsi="Times New Roman" w:cs="Times New Roman"/>
          <w:i/>
          <w:iCs/>
          <w:sz w:val="20"/>
          <w:szCs w:val="20"/>
        </w:rPr>
        <w:t>E3S Web Conf.</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216</w:t>
      </w:r>
      <w:r w:rsidRPr="004245A5">
        <w:rPr>
          <w:rFonts w:ascii="Times New Roman" w:eastAsia="Calibri" w:hAnsi="Times New Roman" w:cs="Times New Roman"/>
          <w:sz w:val="20"/>
          <w:szCs w:val="20"/>
        </w:rPr>
        <w:t xml:space="preserve">, 01173 (2020). </w:t>
      </w:r>
      <w:hyperlink r:id="rId14" w:tgtFrame="_new" w:history="1">
        <w:r w:rsidRPr="004245A5">
          <w:rPr>
            <w:rStyle w:val="a7"/>
            <w:rFonts w:ascii="Times New Roman" w:eastAsia="Calibri" w:hAnsi="Times New Roman" w:cs="Times New Roman"/>
            <w:sz w:val="20"/>
            <w:szCs w:val="20"/>
          </w:rPr>
          <w:t>https://doi.org/10.1051/e3sconf/202021601173</w:t>
        </w:r>
      </w:hyperlink>
    </w:p>
    <w:p w14:paraId="375886B9" w14:textId="76221245"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Allaeva</w:t>
      </w:r>
      <w:proofErr w:type="spellEnd"/>
      <w:r w:rsidRPr="004245A5">
        <w:rPr>
          <w:rFonts w:ascii="Times New Roman" w:eastAsia="Calibri" w:hAnsi="Times New Roman" w:cs="Times New Roman"/>
          <w:sz w:val="20"/>
          <w:szCs w:val="20"/>
        </w:rPr>
        <w:t xml:space="preserve">, “Priority directions of development of </w:t>
      </w:r>
      <w:proofErr w:type="spellStart"/>
      <w:r w:rsidRPr="004245A5">
        <w:rPr>
          <w:rFonts w:ascii="Times New Roman" w:eastAsia="Calibri" w:hAnsi="Times New Roman" w:cs="Times New Roman"/>
          <w:sz w:val="20"/>
          <w:szCs w:val="20"/>
        </w:rPr>
        <w:t>Uzbekneftegas</w:t>
      </w:r>
      <w:proofErr w:type="spellEnd"/>
      <w:r w:rsidRPr="004245A5">
        <w:rPr>
          <w:rFonts w:ascii="Times New Roman" w:eastAsia="Calibri" w:hAnsi="Times New Roman" w:cs="Times New Roman"/>
          <w:sz w:val="20"/>
          <w:szCs w:val="20"/>
        </w:rPr>
        <w:t xml:space="preserve"> JSC in the conditions of globalization of the world economy,” </w:t>
      </w:r>
      <w:r w:rsidRPr="004245A5">
        <w:rPr>
          <w:rFonts w:ascii="Times New Roman" w:eastAsia="Calibri" w:hAnsi="Times New Roman" w:cs="Times New Roman"/>
          <w:i/>
          <w:iCs/>
          <w:sz w:val="20"/>
          <w:szCs w:val="20"/>
        </w:rPr>
        <w:t>E3S Web Conf.</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139</w:t>
      </w:r>
      <w:r w:rsidRPr="004245A5">
        <w:rPr>
          <w:rFonts w:ascii="Times New Roman" w:eastAsia="Calibri" w:hAnsi="Times New Roman" w:cs="Times New Roman"/>
          <w:sz w:val="20"/>
          <w:szCs w:val="20"/>
        </w:rPr>
        <w:t xml:space="preserve">, 01008 (2019). </w:t>
      </w:r>
      <w:hyperlink r:id="rId15" w:tgtFrame="_new" w:history="1">
        <w:r w:rsidRPr="004245A5">
          <w:rPr>
            <w:rStyle w:val="a7"/>
            <w:rFonts w:ascii="Times New Roman" w:eastAsia="Calibri" w:hAnsi="Times New Roman" w:cs="Times New Roman"/>
            <w:sz w:val="20"/>
            <w:szCs w:val="20"/>
          </w:rPr>
          <w:t>https://doi.org/10.1051/e3sconf/201913901008</w:t>
        </w:r>
      </w:hyperlink>
    </w:p>
    <w:p w14:paraId="5A35337C" w14:textId="1423E372"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S. Ibragimova and K. </w:t>
      </w:r>
      <w:proofErr w:type="spellStart"/>
      <w:r w:rsidRPr="004245A5">
        <w:rPr>
          <w:rFonts w:ascii="Times New Roman" w:eastAsia="Calibri" w:hAnsi="Times New Roman" w:cs="Times New Roman"/>
          <w:sz w:val="20"/>
          <w:szCs w:val="20"/>
        </w:rPr>
        <w:t>Bakhodirova</w:t>
      </w:r>
      <w:proofErr w:type="spellEnd"/>
      <w:r w:rsidRPr="004245A5">
        <w:rPr>
          <w:rFonts w:ascii="Times New Roman" w:eastAsia="Calibri" w:hAnsi="Times New Roman" w:cs="Times New Roman"/>
          <w:sz w:val="20"/>
          <w:szCs w:val="20"/>
        </w:rPr>
        <w:t xml:space="preserve">, “Formation of investment activities of energy enterprises,” </w:t>
      </w:r>
      <w:r w:rsidRPr="004245A5">
        <w:rPr>
          <w:rFonts w:ascii="Times New Roman" w:eastAsia="Calibri" w:hAnsi="Times New Roman" w:cs="Times New Roman"/>
          <w:i/>
          <w:iCs/>
          <w:sz w:val="20"/>
          <w:szCs w:val="20"/>
        </w:rPr>
        <w:t>E3S Web Conf.</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461</w:t>
      </w:r>
      <w:r w:rsidRPr="004245A5">
        <w:rPr>
          <w:rFonts w:ascii="Times New Roman" w:eastAsia="Calibri" w:hAnsi="Times New Roman" w:cs="Times New Roman"/>
          <w:sz w:val="20"/>
          <w:szCs w:val="20"/>
        </w:rPr>
        <w:t xml:space="preserve">, 01074 (2023). </w:t>
      </w:r>
      <w:hyperlink r:id="rId16" w:tgtFrame="_new" w:history="1">
        <w:r w:rsidRPr="004245A5">
          <w:rPr>
            <w:rStyle w:val="a7"/>
            <w:rFonts w:ascii="Times New Roman" w:eastAsia="Calibri" w:hAnsi="Times New Roman" w:cs="Times New Roman"/>
            <w:sz w:val="20"/>
            <w:szCs w:val="20"/>
          </w:rPr>
          <w:t>https://doi.org/10.1051/e3sconf/202346101074</w:t>
        </w:r>
      </w:hyperlink>
    </w:p>
    <w:p w14:paraId="4604F270" w14:textId="3FD941FD"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R. </w:t>
      </w:r>
      <w:proofErr w:type="spellStart"/>
      <w:r w:rsidRPr="004245A5">
        <w:rPr>
          <w:rFonts w:ascii="Times New Roman" w:eastAsia="Calibri" w:hAnsi="Times New Roman" w:cs="Times New Roman"/>
          <w:sz w:val="20"/>
          <w:szCs w:val="20"/>
        </w:rPr>
        <w:t>Xusainov</w:t>
      </w:r>
      <w:proofErr w:type="spellEnd"/>
      <w:r w:rsidRPr="004245A5">
        <w:rPr>
          <w:rFonts w:ascii="Times New Roman" w:eastAsia="Calibri" w:hAnsi="Times New Roman" w:cs="Times New Roman"/>
          <w:sz w:val="20"/>
          <w:szCs w:val="20"/>
        </w:rPr>
        <w:t xml:space="preserve"> and O. </w:t>
      </w:r>
      <w:proofErr w:type="spellStart"/>
      <w:r w:rsidRPr="004245A5">
        <w:rPr>
          <w:rFonts w:ascii="Times New Roman" w:eastAsia="Calibri" w:hAnsi="Times New Roman" w:cs="Times New Roman"/>
          <w:sz w:val="20"/>
          <w:szCs w:val="20"/>
        </w:rPr>
        <w:t>Begmullaev</w:t>
      </w:r>
      <w:proofErr w:type="spellEnd"/>
      <w:r w:rsidRPr="004245A5">
        <w:rPr>
          <w:rFonts w:ascii="Times New Roman" w:eastAsia="Calibri" w:hAnsi="Times New Roman" w:cs="Times New Roman"/>
          <w:sz w:val="20"/>
          <w:szCs w:val="20"/>
        </w:rPr>
        <w:t xml:space="preserve">, “Problems of ensuring the electricity supply system in Uzbekistan,”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3331</w:t>
      </w:r>
      <w:r w:rsidRPr="004245A5">
        <w:rPr>
          <w:rFonts w:ascii="Times New Roman" w:eastAsia="Calibri" w:hAnsi="Times New Roman" w:cs="Times New Roman"/>
          <w:sz w:val="20"/>
          <w:szCs w:val="20"/>
        </w:rPr>
        <w:t xml:space="preserve">, 030002 (2025). </w:t>
      </w:r>
      <w:hyperlink r:id="rId17" w:tgtFrame="_new" w:history="1">
        <w:r w:rsidRPr="004245A5">
          <w:rPr>
            <w:rStyle w:val="a7"/>
            <w:rFonts w:ascii="Times New Roman" w:eastAsia="Calibri" w:hAnsi="Times New Roman" w:cs="Times New Roman"/>
            <w:sz w:val="20"/>
            <w:szCs w:val="20"/>
          </w:rPr>
          <w:t>https://doi.org/10.1063/5.0305927</w:t>
        </w:r>
      </w:hyperlink>
    </w:p>
    <w:p w14:paraId="46D59D16" w14:textId="0CC55BE2"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R. Xusainov, B. </w:t>
      </w:r>
      <w:proofErr w:type="spellStart"/>
      <w:r w:rsidRPr="004245A5">
        <w:rPr>
          <w:rFonts w:ascii="Times New Roman" w:eastAsia="Calibri" w:hAnsi="Times New Roman" w:cs="Times New Roman"/>
          <w:sz w:val="20"/>
          <w:szCs w:val="20"/>
        </w:rPr>
        <w:t>Tillayeva</w:t>
      </w:r>
      <w:proofErr w:type="spellEnd"/>
      <w:r w:rsidRPr="004245A5">
        <w:rPr>
          <w:rFonts w:ascii="Times New Roman" w:eastAsia="Calibri" w:hAnsi="Times New Roman" w:cs="Times New Roman"/>
          <w:sz w:val="20"/>
          <w:szCs w:val="20"/>
        </w:rPr>
        <w:t xml:space="preserve">, and N. </w:t>
      </w:r>
      <w:proofErr w:type="spellStart"/>
      <w:r w:rsidRPr="004245A5">
        <w:rPr>
          <w:rFonts w:ascii="Times New Roman" w:eastAsia="Calibri" w:hAnsi="Times New Roman" w:cs="Times New Roman"/>
          <w:sz w:val="20"/>
          <w:szCs w:val="20"/>
        </w:rPr>
        <w:t>Sayfutdinova</w:t>
      </w:r>
      <w:proofErr w:type="spellEnd"/>
      <w:r w:rsidRPr="004245A5">
        <w:rPr>
          <w:rFonts w:ascii="Times New Roman" w:eastAsia="Calibri" w:hAnsi="Times New Roman" w:cs="Times New Roman"/>
          <w:sz w:val="20"/>
          <w:szCs w:val="20"/>
        </w:rPr>
        <w:t xml:space="preserve">, “Development of ecology and energy in Uzbekistan,”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3331</w:t>
      </w:r>
      <w:r w:rsidRPr="004245A5">
        <w:rPr>
          <w:rFonts w:ascii="Times New Roman" w:eastAsia="Calibri" w:hAnsi="Times New Roman" w:cs="Times New Roman"/>
          <w:sz w:val="20"/>
          <w:szCs w:val="20"/>
        </w:rPr>
        <w:t xml:space="preserve">, 030010 (2025). </w:t>
      </w:r>
      <w:hyperlink r:id="rId18" w:tgtFrame="_new" w:history="1">
        <w:r w:rsidRPr="004245A5">
          <w:rPr>
            <w:rStyle w:val="a7"/>
            <w:rFonts w:ascii="Times New Roman" w:eastAsia="Calibri" w:hAnsi="Times New Roman" w:cs="Times New Roman"/>
            <w:sz w:val="20"/>
            <w:szCs w:val="20"/>
          </w:rPr>
          <w:t>https://doi.org/10.1063/5.0306384</w:t>
        </w:r>
      </w:hyperlink>
    </w:p>
    <w:p w14:paraId="0BF82C23" w14:textId="0A629FD5"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G. </w:t>
      </w:r>
      <w:proofErr w:type="spellStart"/>
      <w:r w:rsidRPr="004245A5">
        <w:rPr>
          <w:rFonts w:ascii="Times New Roman" w:eastAsia="Calibri" w:hAnsi="Times New Roman" w:cs="Times New Roman"/>
          <w:sz w:val="20"/>
          <w:szCs w:val="20"/>
        </w:rPr>
        <w:t>Yusupkhodjaeva</w:t>
      </w:r>
      <w:proofErr w:type="spellEnd"/>
      <w:r w:rsidRPr="004245A5">
        <w:rPr>
          <w:rFonts w:ascii="Times New Roman" w:eastAsia="Calibri" w:hAnsi="Times New Roman" w:cs="Times New Roman"/>
          <w:sz w:val="20"/>
          <w:szCs w:val="20"/>
        </w:rPr>
        <w:t xml:space="preserve">, “Development of a unified digital transport and logistics intelligent platform based on the national operator,” </w:t>
      </w:r>
      <w:r w:rsidRPr="004245A5">
        <w:rPr>
          <w:rFonts w:ascii="Times New Roman" w:eastAsia="Calibri" w:hAnsi="Times New Roman" w:cs="Times New Roman"/>
          <w:i/>
          <w:iCs/>
          <w:sz w:val="20"/>
          <w:szCs w:val="20"/>
        </w:rPr>
        <w:t>E3S Web Conf.</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461</w:t>
      </w:r>
      <w:r w:rsidRPr="004245A5">
        <w:rPr>
          <w:rFonts w:ascii="Times New Roman" w:eastAsia="Calibri" w:hAnsi="Times New Roman" w:cs="Times New Roman"/>
          <w:sz w:val="20"/>
          <w:szCs w:val="20"/>
        </w:rPr>
        <w:t xml:space="preserve">, 01055 (2023). </w:t>
      </w:r>
      <w:hyperlink r:id="rId19" w:tgtFrame="_new" w:history="1">
        <w:r w:rsidRPr="004245A5">
          <w:rPr>
            <w:rStyle w:val="a7"/>
            <w:rFonts w:ascii="Times New Roman" w:eastAsia="Calibri" w:hAnsi="Times New Roman" w:cs="Times New Roman"/>
            <w:sz w:val="20"/>
            <w:szCs w:val="20"/>
          </w:rPr>
          <w:t>https://doi.org/10.1051/e3sconf/202346101055</w:t>
        </w:r>
      </w:hyperlink>
    </w:p>
    <w:p w14:paraId="4AC1F7B5" w14:textId="049A60BC"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K. </w:t>
      </w:r>
      <w:proofErr w:type="spellStart"/>
      <w:r w:rsidRPr="004245A5">
        <w:rPr>
          <w:rFonts w:ascii="Times New Roman" w:eastAsia="Calibri" w:hAnsi="Times New Roman" w:cs="Times New Roman"/>
          <w:sz w:val="20"/>
          <w:szCs w:val="20"/>
        </w:rPr>
        <w:t>Mukhitdinova</w:t>
      </w:r>
      <w:proofErr w:type="spellEnd"/>
      <w:r w:rsidRPr="004245A5">
        <w:rPr>
          <w:rFonts w:ascii="Times New Roman" w:eastAsia="Calibri" w:hAnsi="Times New Roman" w:cs="Times New Roman"/>
          <w:sz w:val="20"/>
          <w:szCs w:val="20"/>
        </w:rPr>
        <w:t xml:space="preserve"> and G. </w:t>
      </w:r>
      <w:proofErr w:type="spellStart"/>
      <w:r w:rsidRPr="004245A5">
        <w:rPr>
          <w:rFonts w:ascii="Times New Roman" w:eastAsia="Calibri" w:hAnsi="Times New Roman" w:cs="Times New Roman"/>
          <w:sz w:val="20"/>
          <w:szCs w:val="20"/>
        </w:rPr>
        <w:t>Tarakhtieva</w:t>
      </w:r>
      <w:proofErr w:type="spellEnd"/>
      <w:r w:rsidRPr="004245A5">
        <w:rPr>
          <w:rFonts w:ascii="Times New Roman" w:eastAsia="Calibri" w:hAnsi="Times New Roman" w:cs="Times New Roman"/>
          <w:sz w:val="20"/>
          <w:szCs w:val="20"/>
        </w:rPr>
        <w:t xml:space="preserve">, “Ensuring a sustainable future: The interconnectedness of food safety and environmental health,” </w:t>
      </w:r>
      <w:r w:rsidRPr="004245A5">
        <w:rPr>
          <w:rFonts w:ascii="Times New Roman" w:eastAsia="Calibri" w:hAnsi="Times New Roman" w:cs="Times New Roman"/>
          <w:i/>
          <w:iCs/>
          <w:sz w:val="20"/>
          <w:szCs w:val="20"/>
        </w:rPr>
        <w:t>E3S Web Conf.</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497</w:t>
      </w:r>
      <w:r w:rsidRPr="004245A5">
        <w:rPr>
          <w:rFonts w:ascii="Times New Roman" w:eastAsia="Calibri" w:hAnsi="Times New Roman" w:cs="Times New Roman"/>
          <w:sz w:val="20"/>
          <w:szCs w:val="20"/>
        </w:rPr>
        <w:t xml:space="preserve">, 03037 (2024). </w:t>
      </w:r>
      <w:hyperlink r:id="rId20" w:tgtFrame="_new" w:history="1">
        <w:r w:rsidRPr="004245A5">
          <w:rPr>
            <w:rStyle w:val="a7"/>
            <w:rFonts w:ascii="Times New Roman" w:eastAsia="Calibri" w:hAnsi="Times New Roman" w:cs="Times New Roman"/>
            <w:sz w:val="20"/>
            <w:szCs w:val="20"/>
          </w:rPr>
          <w:t>https://doi.org/10.1051/e3sconf/202449703037</w:t>
        </w:r>
      </w:hyperlink>
    </w:p>
    <w:p w14:paraId="0E48AF0D" w14:textId="317DC22C"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S. Hashimova, D. Yakubova, and N. </w:t>
      </w:r>
      <w:proofErr w:type="spellStart"/>
      <w:r w:rsidRPr="004245A5">
        <w:rPr>
          <w:rFonts w:ascii="Times New Roman" w:eastAsia="Calibri" w:hAnsi="Times New Roman" w:cs="Times New Roman"/>
          <w:sz w:val="20"/>
          <w:szCs w:val="20"/>
        </w:rPr>
        <w:t>Tursunova</w:t>
      </w:r>
      <w:proofErr w:type="spellEnd"/>
      <w:r w:rsidRPr="004245A5">
        <w:rPr>
          <w:rFonts w:ascii="Times New Roman" w:eastAsia="Calibri" w:hAnsi="Times New Roman" w:cs="Times New Roman"/>
          <w:sz w:val="20"/>
          <w:szCs w:val="20"/>
        </w:rPr>
        <w:t xml:space="preserve">, “Possibilities of expanding the mineral resource base of ferrous metallurgy,” </w:t>
      </w:r>
      <w:r w:rsidRPr="004245A5">
        <w:rPr>
          <w:rFonts w:ascii="Times New Roman" w:eastAsia="Calibri" w:hAnsi="Times New Roman" w:cs="Times New Roman"/>
          <w:i/>
          <w:iCs/>
          <w:sz w:val="20"/>
          <w:szCs w:val="20"/>
        </w:rPr>
        <w:t>Lecture Notes in Networks and Systems</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733</w:t>
      </w:r>
      <w:r w:rsidRPr="004245A5">
        <w:rPr>
          <w:rFonts w:ascii="Times New Roman" w:eastAsia="Calibri" w:hAnsi="Times New Roman" w:cs="Times New Roman"/>
          <w:sz w:val="20"/>
          <w:szCs w:val="20"/>
        </w:rPr>
        <w:t xml:space="preserve">, Springer, Cham (2024). </w:t>
      </w:r>
      <w:hyperlink r:id="rId21" w:tgtFrame="_new" w:history="1">
        <w:r w:rsidRPr="004245A5">
          <w:rPr>
            <w:rStyle w:val="a7"/>
            <w:rFonts w:ascii="Times New Roman" w:eastAsia="Calibri" w:hAnsi="Times New Roman" w:cs="Times New Roman"/>
            <w:sz w:val="20"/>
            <w:szCs w:val="20"/>
          </w:rPr>
          <w:t>https://doi.org/10.1007/978-3-031-37978-9_70</w:t>
        </w:r>
      </w:hyperlink>
    </w:p>
    <w:p w14:paraId="15704677" w14:textId="408EDC77"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S. Salomova </w:t>
      </w:r>
      <w:r w:rsidRPr="004245A5">
        <w:rPr>
          <w:rFonts w:ascii="Times New Roman" w:eastAsia="Calibri" w:hAnsi="Times New Roman" w:cs="Times New Roman"/>
          <w:i/>
          <w:iCs/>
          <w:sz w:val="20"/>
          <w:szCs w:val="20"/>
        </w:rPr>
        <w:t>et al.</w:t>
      </w:r>
      <w:r w:rsidRPr="004245A5">
        <w:rPr>
          <w:rFonts w:ascii="Times New Roman" w:eastAsia="Calibri" w:hAnsi="Times New Roman" w:cs="Times New Roman"/>
          <w:sz w:val="20"/>
          <w:szCs w:val="20"/>
        </w:rPr>
        <w:t xml:space="preserve">, “Improving the efficiency of energy enterprises,”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3331</w:t>
      </w:r>
      <w:r w:rsidRPr="004245A5">
        <w:rPr>
          <w:rFonts w:ascii="Times New Roman" w:eastAsia="Calibri" w:hAnsi="Times New Roman" w:cs="Times New Roman"/>
          <w:sz w:val="20"/>
          <w:szCs w:val="20"/>
        </w:rPr>
        <w:t xml:space="preserve">, 040076 (2025). </w:t>
      </w:r>
      <w:hyperlink r:id="rId22" w:tgtFrame="_new" w:history="1">
        <w:r w:rsidRPr="004245A5">
          <w:rPr>
            <w:rStyle w:val="a7"/>
            <w:rFonts w:ascii="Times New Roman" w:eastAsia="Calibri" w:hAnsi="Times New Roman" w:cs="Times New Roman"/>
            <w:sz w:val="20"/>
            <w:szCs w:val="20"/>
          </w:rPr>
          <w:t>https://doi.org/10.1063/5.0305987</w:t>
        </w:r>
      </w:hyperlink>
    </w:p>
    <w:p w14:paraId="0F4BF450" w14:textId="43AC89D6"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O. </w:t>
      </w:r>
      <w:proofErr w:type="spellStart"/>
      <w:r w:rsidRPr="004245A5">
        <w:rPr>
          <w:rFonts w:ascii="Times New Roman" w:eastAsia="Calibri" w:hAnsi="Times New Roman" w:cs="Times New Roman"/>
          <w:sz w:val="20"/>
          <w:szCs w:val="20"/>
        </w:rPr>
        <w:t>Begmullaev</w:t>
      </w:r>
      <w:proofErr w:type="spellEnd"/>
      <w:r w:rsidRPr="004245A5">
        <w:rPr>
          <w:rFonts w:ascii="Times New Roman" w:eastAsia="Calibri" w:hAnsi="Times New Roman" w:cs="Times New Roman"/>
          <w:sz w:val="20"/>
          <w:szCs w:val="20"/>
        </w:rPr>
        <w:t xml:space="preserve">, S. Nabieva, and S. </w:t>
      </w:r>
      <w:proofErr w:type="spellStart"/>
      <w:r w:rsidRPr="004245A5">
        <w:rPr>
          <w:rFonts w:ascii="Times New Roman" w:eastAsia="Calibri" w:hAnsi="Times New Roman" w:cs="Times New Roman"/>
          <w:sz w:val="20"/>
          <w:szCs w:val="20"/>
        </w:rPr>
        <w:t>Mirsaidova</w:t>
      </w:r>
      <w:proofErr w:type="spellEnd"/>
      <w:r w:rsidRPr="004245A5">
        <w:rPr>
          <w:rFonts w:ascii="Times New Roman" w:eastAsia="Calibri" w:hAnsi="Times New Roman" w:cs="Times New Roman"/>
          <w:sz w:val="20"/>
          <w:szCs w:val="20"/>
        </w:rPr>
        <w:t xml:space="preserve">, “Classification of energy efficiency policies and their implementation,”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3331</w:t>
      </w:r>
      <w:r w:rsidRPr="004245A5">
        <w:rPr>
          <w:rFonts w:ascii="Times New Roman" w:eastAsia="Calibri" w:hAnsi="Times New Roman" w:cs="Times New Roman"/>
          <w:sz w:val="20"/>
          <w:szCs w:val="20"/>
        </w:rPr>
        <w:t xml:space="preserve">, 030053 (2025). </w:t>
      </w:r>
      <w:hyperlink r:id="rId23" w:tgtFrame="_new" w:history="1">
        <w:r w:rsidRPr="004245A5">
          <w:rPr>
            <w:rStyle w:val="a7"/>
            <w:rFonts w:ascii="Times New Roman" w:eastAsia="Calibri" w:hAnsi="Times New Roman" w:cs="Times New Roman"/>
            <w:sz w:val="20"/>
            <w:szCs w:val="20"/>
          </w:rPr>
          <w:t>https://doi.org/10.1063/5.0305929</w:t>
        </w:r>
      </w:hyperlink>
    </w:p>
    <w:p w14:paraId="6FE85390" w14:textId="4D30B0F5"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A. Otabek and B. Otabek, “Alternative energy and its place in ensuring the energy balance of the Republic of Uzbekistan,”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2552</w:t>
      </w:r>
      <w:r w:rsidRPr="004245A5">
        <w:rPr>
          <w:rFonts w:ascii="Times New Roman" w:eastAsia="Calibri" w:hAnsi="Times New Roman" w:cs="Times New Roman"/>
          <w:sz w:val="20"/>
          <w:szCs w:val="20"/>
        </w:rPr>
        <w:t xml:space="preserve">, 050030 (2023). </w:t>
      </w:r>
      <w:hyperlink r:id="rId24" w:tgtFrame="_new" w:history="1">
        <w:r w:rsidRPr="004245A5">
          <w:rPr>
            <w:rStyle w:val="a7"/>
            <w:rFonts w:ascii="Times New Roman" w:eastAsia="Calibri" w:hAnsi="Times New Roman" w:cs="Times New Roman"/>
            <w:sz w:val="20"/>
            <w:szCs w:val="20"/>
          </w:rPr>
          <w:t>https://doi.org/10.1063/5.0117633</w:t>
        </w:r>
      </w:hyperlink>
    </w:p>
    <w:p w14:paraId="3EDAA57C" w14:textId="60017527"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O. Akhmedov and O. </w:t>
      </w:r>
      <w:proofErr w:type="spellStart"/>
      <w:r w:rsidRPr="004245A5">
        <w:rPr>
          <w:rFonts w:ascii="Times New Roman" w:eastAsia="Calibri" w:hAnsi="Times New Roman" w:cs="Times New Roman"/>
          <w:sz w:val="20"/>
          <w:szCs w:val="20"/>
        </w:rPr>
        <w:t>Begmullaev</w:t>
      </w:r>
      <w:proofErr w:type="spellEnd"/>
      <w:r w:rsidRPr="004245A5">
        <w:rPr>
          <w:rFonts w:ascii="Times New Roman" w:eastAsia="Calibri" w:hAnsi="Times New Roman" w:cs="Times New Roman"/>
          <w:sz w:val="20"/>
          <w:szCs w:val="20"/>
        </w:rPr>
        <w:t xml:space="preserve">, “Ways of ensuring energy balance in Uzbekistan,” </w:t>
      </w:r>
      <w:r w:rsidRPr="004245A5">
        <w:rPr>
          <w:rFonts w:ascii="Times New Roman" w:eastAsia="Calibri" w:hAnsi="Times New Roman" w:cs="Times New Roman"/>
          <w:i/>
          <w:iCs/>
          <w:sz w:val="20"/>
          <w:szCs w:val="20"/>
        </w:rPr>
        <w:t>E3S Web Conf.</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216</w:t>
      </w:r>
      <w:r w:rsidRPr="004245A5">
        <w:rPr>
          <w:rFonts w:ascii="Times New Roman" w:eastAsia="Calibri" w:hAnsi="Times New Roman" w:cs="Times New Roman"/>
          <w:sz w:val="20"/>
          <w:szCs w:val="20"/>
        </w:rPr>
        <w:t xml:space="preserve">, 01137 (2020). </w:t>
      </w:r>
      <w:hyperlink r:id="rId25" w:tgtFrame="_new" w:history="1">
        <w:r w:rsidRPr="004245A5">
          <w:rPr>
            <w:rStyle w:val="a7"/>
            <w:rFonts w:ascii="Times New Roman" w:eastAsia="Calibri" w:hAnsi="Times New Roman" w:cs="Times New Roman"/>
            <w:sz w:val="20"/>
            <w:szCs w:val="20"/>
          </w:rPr>
          <w:t>https://doi.org/10.1051/e3sconf/202021601137</w:t>
        </w:r>
      </w:hyperlink>
    </w:p>
    <w:p w14:paraId="650B6EB8" w14:textId="32F84451"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lastRenderedPageBreak/>
        <w:t xml:space="preserve">  S. Nabieva and S. </w:t>
      </w:r>
      <w:proofErr w:type="spellStart"/>
      <w:r w:rsidRPr="004245A5">
        <w:rPr>
          <w:rFonts w:ascii="Times New Roman" w:eastAsia="Calibri" w:hAnsi="Times New Roman" w:cs="Times New Roman"/>
          <w:sz w:val="20"/>
          <w:szCs w:val="20"/>
        </w:rPr>
        <w:t>Atakhanova</w:t>
      </w:r>
      <w:proofErr w:type="spellEnd"/>
      <w:r w:rsidRPr="004245A5">
        <w:rPr>
          <w:rFonts w:ascii="Times New Roman" w:eastAsia="Calibri" w:hAnsi="Times New Roman" w:cs="Times New Roman"/>
          <w:sz w:val="20"/>
          <w:szCs w:val="20"/>
        </w:rPr>
        <w:t xml:space="preserve">, “Modern methods of investment activity in the development of industrial enterprises,”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3331</w:t>
      </w:r>
      <w:r w:rsidRPr="004245A5">
        <w:rPr>
          <w:rFonts w:ascii="Times New Roman" w:eastAsia="Calibri" w:hAnsi="Times New Roman" w:cs="Times New Roman"/>
          <w:sz w:val="20"/>
          <w:szCs w:val="20"/>
        </w:rPr>
        <w:t xml:space="preserve">, 050010 (2025). </w:t>
      </w:r>
      <w:hyperlink r:id="rId26" w:tgtFrame="_new" w:history="1">
        <w:r w:rsidRPr="004245A5">
          <w:rPr>
            <w:rStyle w:val="a7"/>
            <w:rFonts w:ascii="Times New Roman" w:eastAsia="Calibri" w:hAnsi="Times New Roman" w:cs="Times New Roman"/>
            <w:sz w:val="20"/>
            <w:szCs w:val="20"/>
          </w:rPr>
          <w:t>https://doi.org/10.1063/5.0308119</w:t>
        </w:r>
      </w:hyperlink>
    </w:p>
    <w:p w14:paraId="02A37F89" w14:textId="7961A785"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S. Salomova, “Increasing the efficiency of oil and gas industry enterprises in Uzbekistan,” </w:t>
      </w:r>
      <w:r w:rsidRPr="004245A5">
        <w:rPr>
          <w:rFonts w:ascii="Times New Roman" w:eastAsia="Calibri" w:hAnsi="Times New Roman" w:cs="Times New Roman"/>
          <w:i/>
          <w:iCs/>
          <w:sz w:val="20"/>
          <w:szCs w:val="20"/>
        </w:rPr>
        <w:t>AIP Conf. Proc.</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3331</w:t>
      </w:r>
      <w:r w:rsidRPr="004245A5">
        <w:rPr>
          <w:rFonts w:ascii="Times New Roman" w:eastAsia="Calibri" w:hAnsi="Times New Roman" w:cs="Times New Roman"/>
          <w:sz w:val="20"/>
          <w:szCs w:val="20"/>
        </w:rPr>
        <w:t xml:space="preserve">, 040075 (2025). </w:t>
      </w:r>
      <w:hyperlink r:id="rId27" w:tgtFrame="_new" w:history="1">
        <w:r w:rsidRPr="004245A5">
          <w:rPr>
            <w:rStyle w:val="a7"/>
            <w:rFonts w:ascii="Times New Roman" w:eastAsia="Calibri" w:hAnsi="Times New Roman" w:cs="Times New Roman"/>
            <w:sz w:val="20"/>
            <w:szCs w:val="20"/>
          </w:rPr>
          <w:t>https://doi.org/10.1063/5.0305986</w:t>
        </w:r>
      </w:hyperlink>
    </w:p>
    <w:p w14:paraId="55605374" w14:textId="3264A030"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K. A. </w:t>
      </w:r>
      <w:proofErr w:type="spellStart"/>
      <w:r w:rsidRPr="004245A5">
        <w:rPr>
          <w:rFonts w:ascii="Times New Roman" w:eastAsia="Calibri" w:hAnsi="Times New Roman" w:cs="Times New Roman"/>
          <w:sz w:val="20"/>
          <w:szCs w:val="20"/>
        </w:rPr>
        <w:t>Mukhitdinova</w:t>
      </w:r>
      <w:proofErr w:type="spellEnd"/>
      <w:r w:rsidRPr="004245A5">
        <w:rPr>
          <w:rFonts w:ascii="Times New Roman" w:eastAsia="Calibri" w:hAnsi="Times New Roman" w:cs="Times New Roman"/>
          <w:sz w:val="20"/>
          <w:szCs w:val="20"/>
        </w:rPr>
        <w:t xml:space="preserve"> and L. A. </w:t>
      </w:r>
      <w:proofErr w:type="spellStart"/>
      <w:r w:rsidRPr="004245A5">
        <w:rPr>
          <w:rFonts w:ascii="Times New Roman" w:eastAsia="Calibri" w:hAnsi="Times New Roman" w:cs="Times New Roman"/>
          <w:sz w:val="20"/>
          <w:szCs w:val="20"/>
        </w:rPr>
        <w:t>Vildanova</w:t>
      </w:r>
      <w:proofErr w:type="spellEnd"/>
      <w:r w:rsidRPr="004245A5">
        <w:rPr>
          <w:rFonts w:ascii="Times New Roman" w:eastAsia="Calibri" w:hAnsi="Times New Roman" w:cs="Times New Roman"/>
          <w:sz w:val="20"/>
          <w:szCs w:val="20"/>
        </w:rPr>
        <w:t xml:space="preserve">, “Improvement of the method for assessing investment attractiveness of automotive enterprises,” </w:t>
      </w:r>
      <w:r w:rsidRPr="004245A5">
        <w:rPr>
          <w:rFonts w:ascii="Times New Roman" w:eastAsia="Calibri" w:hAnsi="Times New Roman" w:cs="Times New Roman"/>
          <w:i/>
          <w:iCs/>
          <w:sz w:val="20"/>
          <w:szCs w:val="20"/>
        </w:rPr>
        <w:t>Journal of Critical Reviews</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7</w:t>
      </w:r>
      <w:r w:rsidRPr="004245A5">
        <w:rPr>
          <w:rFonts w:ascii="Times New Roman" w:eastAsia="Calibri" w:hAnsi="Times New Roman" w:cs="Times New Roman"/>
          <w:sz w:val="20"/>
          <w:szCs w:val="20"/>
        </w:rPr>
        <w:t>(5), 171 (2020). https://doi.org/10.31838/jcr.07.05</w:t>
      </w:r>
    </w:p>
    <w:p w14:paraId="6B6E7B2E" w14:textId="5962297A" w:rsidR="004245A5" w:rsidRPr="004245A5" w:rsidRDefault="004245A5" w:rsidP="004245A5">
      <w:pPr>
        <w:pStyle w:val="a4"/>
        <w:numPr>
          <w:ilvl w:val="0"/>
          <w:numId w:val="1"/>
        </w:numPr>
        <w:tabs>
          <w:tab w:val="left" w:pos="284"/>
        </w:tabs>
        <w:spacing w:before="0" w:beforeAutospacing="0" w:after="0" w:afterAutospacing="0"/>
        <w:ind w:left="0" w:firstLine="284"/>
        <w:jc w:val="both"/>
        <w:rPr>
          <w:rFonts w:ascii="Times New Roman" w:eastAsia="Calibri" w:hAnsi="Times New Roman" w:cs="Times New Roman"/>
          <w:sz w:val="20"/>
          <w:szCs w:val="20"/>
        </w:rPr>
      </w:pPr>
      <w:r w:rsidRPr="004245A5">
        <w:rPr>
          <w:rFonts w:ascii="Times New Roman" w:eastAsia="Calibri" w:hAnsi="Times New Roman" w:cs="Times New Roman"/>
          <w:sz w:val="20"/>
          <w:szCs w:val="20"/>
        </w:rPr>
        <w:t xml:space="preserve">  Sh. A. Sultanova, A. A. Artikov, Z. A. </w:t>
      </w:r>
      <w:proofErr w:type="spellStart"/>
      <w:r w:rsidRPr="004245A5">
        <w:rPr>
          <w:rFonts w:ascii="Times New Roman" w:eastAsia="Calibri" w:hAnsi="Times New Roman" w:cs="Times New Roman"/>
          <w:sz w:val="20"/>
          <w:szCs w:val="20"/>
        </w:rPr>
        <w:t>Masharipova</w:t>
      </w:r>
      <w:proofErr w:type="spellEnd"/>
      <w:r w:rsidRPr="004245A5">
        <w:rPr>
          <w:rFonts w:ascii="Times New Roman" w:eastAsia="Calibri" w:hAnsi="Times New Roman" w:cs="Times New Roman"/>
          <w:sz w:val="20"/>
          <w:szCs w:val="20"/>
        </w:rPr>
        <w:t xml:space="preserve">, A. </w:t>
      </w:r>
      <w:proofErr w:type="spellStart"/>
      <w:r w:rsidRPr="004245A5">
        <w:rPr>
          <w:rFonts w:ascii="Times New Roman" w:eastAsia="Calibri" w:hAnsi="Times New Roman" w:cs="Times New Roman"/>
          <w:sz w:val="20"/>
          <w:szCs w:val="20"/>
        </w:rPr>
        <w:t>Tarawade</w:t>
      </w:r>
      <w:proofErr w:type="spellEnd"/>
      <w:r w:rsidRPr="004245A5">
        <w:rPr>
          <w:rFonts w:ascii="Times New Roman" w:eastAsia="Calibri" w:hAnsi="Times New Roman" w:cs="Times New Roman"/>
          <w:sz w:val="20"/>
          <w:szCs w:val="20"/>
        </w:rPr>
        <w:t xml:space="preserve">, and J. E. Safarov, “Results of experiments conducted in a </w:t>
      </w:r>
      <w:proofErr w:type="spellStart"/>
      <w:r w:rsidRPr="004245A5">
        <w:rPr>
          <w:rFonts w:ascii="Times New Roman" w:eastAsia="Calibri" w:hAnsi="Times New Roman" w:cs="Times New Roman"/>
          <w:sz w:val="20"/>
          <w:szCs w:val="20"/>
        </w:rPr>
        <w:t>helio</w:t>
      </w:r>
      <w:proofErr w:type="spellEnd"/>
      <w:r w:rsidRPr="004245A5">
        <w:rPr>
          <w:rFonts w:ascii="Times New Roman" w:eastAsia="Calibri" w:hAnsi="Times New Roman" w:cs="Times New Roman"/>
          <w:sz w:val="20"/>
          <w:szCs w:val="20"/>
        </w:rPr>
        <w:t xml:space="preserve"> water heating convective drying plant,” </w:t>
      </w:r>
      <w:r w:rsidRPr="004245A5">
        <w:rPr>
          <w:rFonts w:ascii="Times New Roman" w:eastAsia="Calibri" w:hAnsi="Times New Roman" w:cs="Times New Roman"/>
          <w:i/>
          <w:iCs/>
          <w:sz w:val="20"/>
          <w:szCs w:val="20"/>
        </w:rPr>
        <w:t>IOP Conf. Ser.: Earth Environ. Sci.</w:t>
      </w:r>
      <w:r w:rsidRPr="004245A5">
        <w:rPr>
          <w:rFonts w:ascii="Times New Roman" w:eastAsia="Calibri" w:hAnsi="Times New Roman" w:cs="Times New Roman"/>
          <w:sz w:val="20"/>
          <w:szCs w:val="20"/>
        </w:rPr>
        <w:t xml:space="preserve"> </w:t>
      </w:r>
      <w:r w:rsidRPr="004245A5">
        <w:rPr>
          <w:rFonts w:ascii="Times New Roman" w:eastAsia="Calibri" w:hAnsi="Times New Roman" w:cs="Times New Roman"/>
          <w:b/>
          <w:bCs/>
          <w:sz w:val="20"/>
          <w:szCs w:val="20"/>
        </w:rPr>
        <w:t>868</w:t>
      </w:r>
      <w:r w:rsidRPr="004245A5">
        <w:rPr>
          <w:rFonts w:ascii="Times New Roman" w:eastAsia="Calibri" w:hAnsi="Times New Roman" w:cs="Times New Roman"/>
          <w:sz w:val="20"/>
          <w:szCs w:val="20"/>
        </w:rPr>
        <w:t>, 012045 (2021). https://doi.org/10.1088/1755-1315/868/1/012045</w:t>
      </w:r>
    </w:p>
    <w:p w14:paraId="20DFFE07" w14:textId="5B2D495D" w:rsidR="00245F2D" w:rsidRPr="004245A5" w:rsidRDefault="00245F2D" w:rsidP="004245A5">
      <w:pPr>
        <w:pStyle w:val="a4"/>
        <w:tabs>
          <w:tab w:val="left" w:pos="284"/>
        </w:tabs>
        <w:spacing w:before="0" w:beforeAutospacing="0" w:after="0" w:afterAutospacing="0"/>
        <w:jc w:val="both"/>
        <w:rPr>
          <w:rFonts w:ascii="Times New Roman" w:hAnsi="Times New Roman" w:cs="Times New Roman"/>
          <w:sz w:val="20"/>
          <w:szCs w:val="20"/>
        </w:rPr>
      </w:pPr>
    </w:p>
    <w:sectPr w:rsidR="00245F2D" w:rsidRPr="004245A5" w:rsidSect="004245A5">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320A4"/>
    <w:multiLevelType w:val="multilevel"/>
    <w:tmpl w:val="E1C0454E"/>
    <w:lvl w:ilvl="0">
      <w:start w:val="1"/>
      <w:numFmt w:val="decimal"/>
      <w:lvlText w:val="[%1]"/>
      <w:lvlJc w:val="left"/>
      <w:pPr>
        <w:tabs>
          <w:tab w:val="left" w:pos="0"/>
          <w:tab w:val="left" w:pos="270"/>
          <w:tab w:val="num" w:pos="720"/>
        </w:tabs>
        <w:ind w:left="720" w:hanging="360"/>
      </w:pPr>
      <w:rPr>
        <w:rFonts w:ascii="Times New Roman" w:hAnsi="Times New Roman" w:cs="Times New Roman" w:hint="default"/>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B61CD3"/>
    <w:multiLevelType w:val="hybridMultilevel"/>
    <w:tmpl w:val="8772CB2C"/>
    <w:lvl w:ilvl="0" w:tplc="54B2896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421306B4"/>
    <w:multiLevelType w:val="hybridMultilevel"/>
    <w:tmpl w:val="CF0A37C0"/>
    <w:lvl w:ilvl="0" w:tplc="25AA4E5C">
      <w:start w:val="1"/>
      <w:numFmt w:val="decimal"/>
      <w:lvlText w:val="%1."/>
      <w:lvlJc w:val="left"/>
      <w:pPr>
        <w:ind w:left="927" w:hanging="360"/>
      </w:pPr>
      <w:rPr>
        <w:rFonts w:hint="default"/>
        <w:sz w:val="20"/>
        <w:szCs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A195CC2"/>
    <w:multiLevelType w:val="multilevel"/>
    <w:tmpl w:val="7CDA449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913583353">
    <w:abstractNumId w:val="2"/>
  </w:num>
  <w:num w:numId="2" w16cid:durableId="141193161">
    <w:abstractNumId w:val="1"/>
  </w:num>
  <w:num w:numId="3" w16cid:durableId="863206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4735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3A88"/>
    <w:rsid w:val="00002C31"/>
    <w:rsid w:val="0002766E"/>
    <w:rsid w:val="000863A3"/>
    <w:rsid w:val="0010118A"/>
    <w:rsid w:val="001D63C0"/>
    <w:rsid w:val="00203D84"/>
    <w:rsid w:val="00204771"/>
    <w:rsid w:val="002116FD"/>
    <w:rsid w:val="00245B77"/>
    <w:rsid w:val="00245F2D"/>
    <w:rsid w:val="00271795"/>
    <w:rsid w:val="003161A1"/>
    <w:rsid w:val="00353B0A"/>
    <w:rsid w:val="003C027D"/>
    <w:rsid w:val="003F688A"/>
    <w:rsid w:val="00402D29"/>
    <w:rsid w:val="00410AB2"/>
    <w:rsid w:val="00421335"/>
    <w:rsid w:val="004245A5"/>
    <w:rsid w:val="00440067"/>
    <w:rsid w:val="0044476D"/>
    <w:rsid w:val="004810DA"/>
    <w:rsid w:val="00482C65"/>
    <w:rsid w:val="004933FC"/>
    <w:rsid w:val="004B1620"/>
    <w:rsid w:val="004F65B5"/>
    <w:rsid w:val="00547B26"/>
    <w:rsid w:val="0055217D"/>
    <w:rsid w:val="00552883"/>
    <w:rsid w:val="00560172"/>
    <w:rsid w:val="00563602"/>
    <w:rsid w:val="00597A39"/>
    <w:rsid w:val="005A1189"/>
    <w:rsid w:val="005A69ED"/>
    <w:rsid w:val="005E5586"/>
    <w:rsid w:val="005F028F"/>
    <w:rsid w:val="00607EE9"/>
    <w:rsid w:val="00627A24"/>
    <w:rsid w:val="00670042"/>
    <w:rsid w:val="006975EB"/>
    <w:rsid w:val="00710ED8"/>
    <w:rsid w:val="0071616A"/>
    <w:rsid w:val="00727649"/>
    <w:rsid w:val="00785BCC"/>
    <w:rsid w:val="00794137"/>
    <w:rsid w:val="007E12F2"/>
    <w:rsid w:val="007E7374"/>
    <w:rsid w:val="00811B12"/>
    <w:rsid w:val="0084050F"/>
    <w:rsid w:val="0089411F"/>
    <w:rsid w:val="008A0D00"/>
    <w:rsid w:val="00955248"/>
    <w:rsid w:val="009603B0"/>
    <w:rsid w:val="00980808"/>
    <w:rsid w:val="009949B9"/>
    <w:rsid w:val="009B74EA"/>
    <w:rsid w:val="009E3AA5"/>
    <w:rsid w:val="00A15808"/>
    <w:rsid w:val="00A75514"/>
    <w:rsid w:val="00A83A9E"/>
    <w:rsid w:val="00AF7DEB"/>
    <w:rsid w:val="00B049EB"/>
    <w:rsid w:val="00B476F1"/>
    <w:rsid w:val="00C00DE1"/>
    <w:rsid w:val="00C43A88"/>
    <w:rsid w:val="00CC74AB"/>
    <w:rsid w:val="00CD6F61"/>
    <w:rsid w:val="00CE791B"/>
    <w:rsid w:val="00CF322B"/>
    <w:rsid w:val="00D17BD0"/>
    <w:rsid w:val="00DA0367"/>
    <w:rsid w:val="00DF0EC8"/>
    <w:rsid w:val="00DF45EF"/>
    <w:rsid w:val="00E951E7"/>
    <w:rsid w:val="00EB74E6"/>
    <w:rsid w:val="00EF38AC"/>
    <w:rsid w:val="00F50DC4"/>
    <w:rsid w:val="00F52893"/>
    <w:rsid w:val="00F664EE"/>
    <w:rsid w:val="00F82267"/>
    <w:rsid w:val="00FA6DC6"/>
    <w:rsid w:val="00FF3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FE146"/>
  <w15:chartTrackingRefBased/>
  <w15:docId w15:val="{B0DA39A8-B0C3-4AE1-86E9-C9213F07D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uthorAffiliation">
    <w:name w:val="Author Affiliation"/>
    <w:basedOn w:val="a"/>
    <w:rsid w:val="00DF45EF"/>
    <w:pPr>
      <w:spacing w:before="100" w:beforeAutospacing="1" w:after="100" w:afterAutospacing="1" w:line="240" w:lineRule="auto"/>
      <w:jc w:val="center"/>
    </w:pPr>
    <w:rPr>
      <w:rFonts w:ascii="Times New Roman" w:eastAsia="Times New Roman" w:hAnsi="Times New Roman" w:cs="Times New Roman"/>
      <w:i/>
      <w:kern w:val="0"/>
      <w:sz w:val="24"/>
      <w:szCs w:val="24"/>
    </w:rPr>
  </w:style>
  <w:style w:type="paragraph" w:customStyle="1" w:styleId="1">
    <w:name w:val="Обычный1"/>
    <w:rsid w:val="004F65B5"/>
    <w:pPr>
      <w:spacing w:after="0" w:line="240" w:lineRule="auto"/>
      <w:jc w:val="both"/>
    </w:pPr>
    <w:rPr>
      <w:rFonts w:ascii="Calibri" w:eastAsia="SimSun" w:hAnsi="Calibri" w:cs="Calibri"/>
      <w:kern w:val="0"/>
      <w:sz w:val="24"/>
      <w:szCs w:val="24"/>
    </w:rPr>
  </w:style>
  <w:style w:type="paragraph" w:customStyle="1" w:styleId="10">
    <w:name w:val="Абзац списка1"/>
    <w:basedOn w:val="a"/>
    <w:rsid w:val="00552883"/>
    <w:pPr>
      <w:spacing w:before="100" w:beforeAutospacing="1" w:after="100" w:afterAutospacing="1" w:line="256" w:lineRule="auto"/>
      <w:contextualSpacing/>
    </w:pPr>
    <w:rPr>
      <w:rFonts w:ascii="Calibri" w:eastAsia="Times New Roman" w:hAnsi="Calibri" w:cs="Times New Roman"/>
      <w:kern w:val="0"/>
      <w:sz w:val="24"/>
      <w:szCs w:val="24"/>
    </w:rPr>
  </w:style>
  <w:style w:type="table" w:customStyle="1" w:styleId="11">
    <w:name w:val="Сетка таблицы1"/>
    <w:basedOn w:val="a1"/>
    <w:next w:val="a3"/>
    <w:uiPriority w:val="39"/>
    <w:rsid w:val="006975EB"/>
    <w:pPr>
      <w:spacing w:after="0" w:line="240" w:lineRule="auto"/>
    </w:pPr>
    <w:rPr>
      <w:rFonts w:ascii="Times New Roman" w:eastAsia="Times New Roman" w:hAnsi="Times New Roman"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69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203D84"/>
    <w:pPr>
      <w:spacing w:before="100" w:beforeAutospacing="1" w:after="100" w:afterAutospacing="1" w:line="240" w:lineRule="auto"/>
    </w:pPr>
    <w:rPr>
      <w:rFonts w:ascii="Calibri" w:eastAsia="Times New Roman" w:hAnsi="Calibri" w:cs="Arial"/>
      <w:kern w:val="0"/>
      <w:sz w:val="24"/>
      <w:szCs w:val="24"/>
    </w:rPr>
  </w:style>
  <w:style w:type="character" w:customStyle="1" w:styleId="a5">
    <w:name w:val="Текст сноски Знак"/>
    <w:basedOn w:val="a0"/>
    <w:link w:val="a4"/>
    <w:uiPriority w:val="99"/>
    <w:rsid w:val="00203D84"/>
    <w:rPr>
      <w:rFonts w:ascii="Calibri" w:eastAsia="Times New Roman" w:hAnsi="Calibri" w:cs="Arial"/>
      <w:kern w:val="0"/>
      <w:sz w:val="24"/>
      <w:szCs w:val="24"/>
    </w:rPr>
  </w:style>
  <w:style w:type="paragraph" w:styleId="a6">
    <w:name w:val="List Paragraph"/>
    <w:basedOn w:val="a"/>
    <w:uiPriority w:val="34"/>
    <w:qFormat/>
    <w:rsid w:val="00794137"/>
    <w:pPr>
      <w:ind w:left="720"/>
      <w:contextualSpacing/>
    </w:pPr>
  </w:style>
  <w:style w:type="paragraph" w:customStyle="1" w:styleId="31">
    <w:name w:val="Основной текст (3)1"/>
    <w:basedOn w:val="a"/>
    <w:rsid w:val="00794137"/>
    <w:pPr>
      <w:widowControl w:val="0"/>
      <w:shd w:val="clear" w:color="auto" w:fill="FFFFFF"/>
      <w:spacing w:before="100" w:beforeAutospacing="1" w:after="100" w:afterAutospacing="1" w:line="240" w:lineRule="auto"/>
    </w:pPr>
    <w:rPr>
      <w:rFonts w:ascii="Times New Roman" w:eastAsia="Times New Roman" w:hAnsi="Times New Roman" w:cs="Times New Roman"/>
      <w:b/>
      <w:bCs/>
      <w:color w:val="000000"/>
      <w:kern w:val="0"/>
      <w:sz w:val="24"/>
      <w:szCs w:val="24"/>
    </w:rPr>
  </w:style>
  <w:style w:type="paragraph" w:customStyle="1" w:styleId="2">
    <w:name w:val="Абзац списка2"/>
    <w:basedOn w:val="a"/>
    <w:rsid w:val="00F664EE"/>
    <w:pPr>
      <w:spacing w:before="100" w:beforeAutospacing="1" w:after="100" w:afterAutospacing="1" w:line="256" w:lineRule="auto"/>
      <w:contextualSpacing/>
    </w:pPr>
    <w:rPr>
      <w:rFonts w:ascii="Calibri" w:eastAsia="Times New Roman" w:hAnsi="Calibri" w:cs="Times New Roman"/>
      <w:kern w:val="0"/>
      <w:sz w:val="24"/>
      <w:szCs w:val="24"/>
    </w:rPr>
  </w:style>
  <w:style w:type="paragraph" w:customStyle="1" w:styleId="references">
    <w:name w:val="references"/>
    <w:basedOn w:val="a"/>
    <w:rsid w:val="00980808"/>
    <w:pPr>
      <w:tabs>
        <w:tab w:val="left" w:pos="0"/>
        <w:tab w:val="left" w:pos="270"/>
      </w:tabs>
      <w:spacing w:before="100" w:beforeAutospacing="1" w:after="100" w:afterAutospacing="1" w:line="240" w:lineRule="auto"/>
      <w:jc w:val="both"/>
    </w:pPr>
    <w:rPr>
      <w:rFonts w:ascii="Times New Roman" w:eastAsia="MS Mincho" w:hAnsi="Times New Roman" w:cs="Times New Roman"/>
      <w:kern w:val="0"/>
      <w:sz w:val="24"/>
      <w:szCs w:val="24"/>
    </w:rPr>
  </w:style>
  <w:style w:type="character" w:customStyle="1" w:styleId="15">
    <w:name w:val="15"/>
    <w:basedOn w:val="a0"/>
    <w:rsid w:val="00980808"/>
    <w:rPr>
      <w:rFonts w:ascii="Calibri" w:hAnsi="Calibri" w:cs="Calibri" w:hint="default"/>
      <w:color w:val="0000FF"/>
      <w:u w:val="single"/>
    </w:rPr>
  </w:style>
  <w:style w:type="character" w:styleId="a7">
    <w:name w:val="Hyperlink"/>
    <w:basedOn w:val="a0"/>
    <w:uiPriority w:val="99"/>
    <w:unhideWhenUsed/>
    <w:qFormat/>
    <w:rsid w:val="00670042"/>
    <w:rPr>
      <w:color w:val="0563C1" w:themeColor="hyperlink"/>
      <w:u w:val="single"/>
    </w:rPr>
  </w:style>
  <w:style w:type="character" w:customStyle="1" w:styleId="12">
    <w:name w:val="Неразрешенное упоминание1"/>
    <w:basedOn w:val="a0"/>
    <w:uiPriority w:val="99"/>
    <w:semiHidden/>
    <w:unhideWhenUsed/>
    <w:rsid w:val="0067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233">
      <w:bodyDiv w:val="1"/>
      <w:marLeft w:val="0"/>
      <w:marRight w:val="0"/>
      <w:marTop w:val="0"/>
      <w:marBottom w:val="0"/>
      <w:divBdr>
        <w:top w:val="none" w:sz="0" w:space="0" w:color="auto"/>
        <w:left w:val="none" w:sz="0" w:space="0" w:color="auto"/>
        <w:bottom w:val="none" w:sz="0" w:space="0" w:color="auto"/>
        <w:right w:val="none" w:sz="0" w:space="0" w:color="auto"/>
      </w:divBdr>
    </w:div>
    <w:div w:id="106631219">
      <w:bodyDiv w:val="1"/>
      <w:marLeft w:val="0"/>
      <w:marRight w:val="0"/>
      <w:marTop w:val="0"/>
      <w:marBottom w:val="0"/>
      <w:divBdr>
        <w:top w:val="none" w:sz="0" w:space="0" w:color="auto"/>
        <w:left w:val="none" w:sz="0" w:space="0" w:color="auto"/>
        <w:bottom w:val="none" w:sz="0" w:space="0" w:color="auto"/>
        <w:right w:val="none" w:sz="0" w:space="0" w:color="auto"/>
      </w:divBdr>
    </w:div>
    <w:div w:id="139923681">
      <w:bodyDiv w:val="1"/>
      <w:marLeft w:val="0"/>
      <w:marRight w:val="0"/>
      <w:marTop w:val="0"/>
      <w:marBottom w:val="0"/>
      <w:divBdr>
        <w:top w:val="none" w:sz="0" w:space="0" w:color="auto"/>
        <w:left w:val="none" w:sz="0" w:space="0" w:color="auto"/>
        <w:bottom w:val="none" w:sz="0" w:space="0" w:color="auto"/>
        <w:right w:val="none" w:sz="0" w:space="0" w:color="auto"/>
      </w:divBdr>
    </w:div>
    <w:div w:id="216820150">
      <w:bodyDiv w:val="1"/>
      <w:marLeft w:val="0"/>
      <w:marRight w:val="0"/>
      <w:marTop w:val="0"/>
      <w:marBottom w:val="0"/>
      <w:divBdr>
        <w:top w:val="none" w:sz="0" w:space="0" w:color="auto"/>
        <w:left w:val="none" w:sz="0" w:space="0" w:color="auto"/>
        <w:bottom w:val="none" w:sz="0" w:space="0" w:color="auto"/>
        <w:right w:val="none" w:sz="0" w:space="0" w:color="auto"/>
      </w:divBdr>
    </w:div>
    <w:div w:id="239146786">
      <w:bodyDiv w:val="1"/>
      <w:marLeft w:val="0"/>
      <w:marRight w:val="0"/>
      <w:marTop w:val="0"/>
      <w:marBottom w:val="0"/>
      <w:divBdr>
        <w:top w:val="none" w:sz="0" w:space="0" w:color="auto"/>
        <w:left w:val="none" w:sz="0" w:space="0" w:color="auto"/>
        <w:bottom w:val="none" w:sz="0" w:space="0" w:color="auto"/>
        <w:right w:val="none" w:sz="0" w:space="0" w:color="auto"/>
      </w:divBdr>
    </w:div>
    <w:div w:id="269627453">
      <w:bodyDiv w:val="1"/>
      <w:marLeft w:val="0"/>
      <w:marRight w:val="0"/>
      <w:marTop w:val="0"/>
      <w:marBottom w:val="0"/>
      <w:divBdr>
        <w:top w:val="none" w:sz="0" w:space="0" w:color="auto"/>
        <w:left w:val="none" w:sz="0" w:space="0" w:color="auto"/>
        <w:bottom w:val="none" w:sz="0" w:space="0" w:color="auto"/>
        <w:right w:val="none" w:sz="0" w:space="0" w:color="auto"/>
      </w:divBdr>
    </w:div>
    <w:div w:id="285740793">
      <w:bodyDiv w:val="1"/>
      <w:marLeft w:val="0"/>
      <w:marRight w:val="0"/>
      <w:marTop w:val="0"/>
      <w:marBottom w:val="0"/>
      <w:divBdr>
        <w:top w:val="none" w:sz="0" w:space="0" w:color="auto"/>
        <w:left w:val="none" w:sz="0" w:space="0" w:color="auto"/>
        <w:bottom w:val="none" w:sz="0" w:space="0" w:color="auto"/>
        <w:right w:val="none" w:sz="0" w:space="0" w:color="auto"/>
      </w:divBdr>
    </w:div>
    <w:div w:id="625283711">
      <w:bodyDiv w:val="1"/>
      <w:marLeft w:val="0"/>
      <w:marRight w:val="0"/>
      <w:marTop w:val="0"/>
      <w:marBottom w:val="0"/>
      <w:divBdr>
        <w:top w:val="none" w:sz="0" w:space="0" w:color="auto"/>
        <w:left w:val="none" w:sz="0" w:space="0" w:color="auto"/>
        <w:bottom w:val="none" w:sz="0" w:space="0" w:color="auto"/>
        <w:right w:val="none" w:sz="0" w:space="0" w:color="auto"/>
      </w:divBdr>
    </w:div>
    <w:div w:id="658768699">
      <w:bodyDiv w:val="1"/>
      <w:marLeft w:val="0"/>
      <w:marRight w:val="0"/>
      <w:marTop w:val="0"/>
      <w:marBottom w:val="0"/>
      <w:divBdr>
        <w:top w:val="none" w:sz="0" w:space="0" w:color="auto"/>
        <w:left w:val="none" w:sz="0" w:space="0" w:color="auto"/>
        <w:bottom w:val="none" w:sz="0" w:space="0" w:color="auto"/>
        <w:right w:val="none" w:sz="0" w:space="0" w:color="auto"/>
      </w:divBdr>
    </w:div>
    <w:div w:id="683824403">
      <w:bodyDiv w:val="1"/>
      <w:marLeft w:val="0"/>
      <w:marRight w:val="0"/>
      <w:marTop w:val="0"/>
      <w:marBottom w:val="0"/>
      <w:divBdr>
        <w:top w:val="none" w:sz="0" w:space="0" w:color="auto"/>
        <w:left w:val="none" w:sz="0" w:space="0" w:color="auto"/>
        <w:bottom w:val="none" w:sz="0" w:space="0" w:color="auto"/>
        <w:right w:val="none" w:sz="0" w:space="0" w:color="auto"/>
      </w:divBdr>
    </w:div>
    <w:div w:id="689601519">
      <w:bodyDiv w:val="1"/>
      <w:marLeft w:val="0"/>
      <w:marRight w:val="0"/>
      <w:marTop w:val="0"/>
      <w:marBottom w:val="0"/>
      <w:divBdr>
        <w:top w:val="none" w:sz="0" w:space="0" w:color="auto"/>
        <w:left w:val="none" w:sz="0" w:space="0" w:color="auto"/>
        <w:bottom w:val="none" w:sz="0" w:space="0" w:color="auto"/>
        <w:right w:val="none" w:sz="0" w:space="0" w:color="auto"/>
      </w:divBdr>
    </w:div>
    <w:div w:id="958872732">
      <w:bodyDiv w:val="1"/>
      <w:marLeft w:val="0"/>
      <w:marRight w:val="0"/>
      <w:marTop w:val="0"/>
      <w:marBottom w:val="0"/>
      <w:divBdr>
        <w:top w:val="none" w:sz="0" w:space="0" w:color="auto"/>
        <w:left w:val="none" w:sz="0" w:space="0" w:color="auto"/>
        <w:bottom w:val="none" w:sz="0" w:space="0" w:color="auto"/>
        <w:right w:val="none" w:sz="0" w:space="0" w:color="auto"/>
      </w:divBdr>
    </w:div>
    <w:div w:id="1221357006">
      <w:bodyDiv w:val="1"/>
      <w:marLeft w:val="0"/>
      <w:marRight w:val="0"/>
      <w:marTop w:val="0"/>
      <w:marBottom w:val="0"/>
      <w:divBdr>
        <w:top w:val="none" w:sz="0" w:space="0" w:color="auto"/>
        <w:left w:val="none" w:sz="0" w:space="0" w:color="auto"/>
        <w:bottom w:val="none" w:sz="0" w:space="0" w:color="auto"/>
        <w:right w:val="none" w:sz="0" w:space="0" w:color="auto"/>
      </w:divBdr>
    </w:div>
    <w:div w:id="1696072473">
      <w:bodyDiv w:val="1"/>
      <w:marLeft w:val="0"/>
      <w:marRight w:val="0"/>
      <w:marTop w:val="0"/>
      <w:marBottom w:val="0"/>
      <w:divBdr>
        <w:top w:val="none" w:sz="0" w:space="0" w:color="auto"/>
        <w:left w:val="none" w:sz="0" w:space="0" w:color="auto"/>
        <w:bottom w:val="none" w:sz="0" w:space="0" w:color="auto"/>
        <w:right w:val="none" w:sz="0" w:space="0" w:color="auto"/>
      </w:divBdr>
    </w:div>
    <w:div w:id="1790582958">
      <w:bodyDiv w:val="1"/>
      <w:marLeft w:val="0"/>
      <w:marRight w:val="0"/>
      <w:marTop w:val="0"/>
      <w:marBottom w:val="0"/>
      <w:divBdr>
        <w:top w:val="none" w:sz="0" w:space="0" w:color="auto"/>
        <w:left w:val="none" w:sz="0" w:space="0" w:color="auto"/>
        <w:bottom w:val="none" w:sz="0" w:space="0" w:color="auto"/>
        <w:right w:val="none" w:sz="0" w:space="0" w:color="auto"/>
      </w:divBdr>
    </w:div>
    <w:div w:id="1957061915">
      <w:bodyDiv w:val="1"/>
      <w:marLeft w:val="0"/>
      <w:marRight w:val="0"/>
      <w:marTop w:val="0"/>
      <w:marBottom w:val="0"/>
      <w:divBdr>
        <w:top w:val="none" w:sz="0" w:space="0" w:color="auto"/>
        <w:left w:val="none" w:sz="0" w:space="0" w:color="auto"/>
        <w:bottom w:val="none" w:sz="0" w:space="0" w:color="auto"/>
        <w:right w:val="none" w:sz="0" w:space="0" w:color="auto"/>
      </w:divBdr>
    </w:div>
    <w:div w:id="1968464534">
      <w:bodyDiv w:val="1"/>
      <w:marLeft w:val="0"/>
      <w:marRight w:val="0"/>
      <w:marTop w:val="0"/>
      <w:marBottom w:val="0"/>
      <w:divBdr>
        <w:top w:val="none" w:sz="0" w:space="0" w:color="auto"/>
        <w:left w:val="none" w:sz="0" w:space="0" w:color="auto"/>
        <w:bottom w:val="none" w:sz="0" w:space="0" w:color="auto"/>
        <w:right w:val="none" w:sz="0" w:space="0" w:color="auto"/>
      </w:divBdr>
    </w:div>
    <w:div w:id="1990937755">
      <w:bodyDiv w:val="1"/>
      <w:marLeft w:val="0"/>
      <w:marRight w:val="0"/>
      <w:marTop w:val="0"/>
      <w:marBottom w:val="0"/>
      <w:divBdr>
        <w:top w:val="none" w:sz="0" w:space="0" w:color="auto"/>
        <w:left w:val="none" w:sz="0" w:space="0" w:color="auto"/>
        <w:bottom w:val="none" w:sz="0" w:space="0" w:color="auto"/>
        <w:right w:val="none" w:sz="0" w:space="0" w:color="auto"/>
      </w:divBdr>
    </w:div>
    <w:div w:id="21153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308133" TargetMode="External"/><Relationship Id="rId13" Type="http://schemas.openxmlformats.org/officeDocument/2006/relationships/hyperlink" Target="https://doi.org/10.1051/e3sconf/202128907033" TargetMode="External"/><Relationship Id="rId18" Type="http://schemas.openxmlformats.org/officeDocument/2006/relationships/hyperlink" Target="https://doi.org/10.1063/5.0306384" TargetMode="External"/><Relationship Id="rId26" Type="http://schemas.openxmlformats.org/officeDocument/2006/relationships/hyperlink" Target="https://doi.org/10.1063/5.0308119" TargetMode="External"/><Relationship Id="rId3" Type="http://schemas.openxmlformats.org/officeDocument/2006/relationships/settings" Target="settings.xml"/><Relationship Id="rId21" Type="http://schemas.openxmlformats.org/officeDocument/2006/relationships/hyperlink" Target="https://doi.org/10.1007/978-3-031-37978-9_70" TargetMode="External"/><Relationship Id="rId7" Type="http://schemas.openxmlformats.org/officeDocument/2006/relationships/hyperlink" Target="https://www.worldbank.org" TargetMode="External"/><Relationship Id="rId12" Type="http://schemas.openxmlformats.org/officeDocument/2006/relationships/hyperlink" Target="https://doi.org/10.1051/e3sconf/202346101061" TargetMode="External"/><Relationship Id="rId17" Type="http://schemas.openxmlformats.org/officeDocument/2006/relationships/hyperlink" Target="https://doi.org/10.1063/5.0305927" TargetMode="External"/><Relationship Id="rId25" Type="http://schemas.openxmlformats.org/officeDocument/2006/relationships/hyperlink" Target="https://doi.org/10.1051/e3sconf/202021601137" TargetMode="External"/><Relationship Id="rId2" Type="http://schemas.openxmlformats.org/officeDocument/2006/relationships/styles" Target="styles.xml"/><Relationship Id="rId16" Type="http://schemas.openxmlformats.org/officeDocument/2006/relationships/hyperlink" Target="https://doi.org/10.1051/e3sconf/202346101074" TargetMode="External"/><Relationship Id="rId20" Type="http://schemas.openxmlformats.org/officeDocument/2006/relationships/hyperlink" Target="https://doi.org/10.1051/e3sconf/202449703037"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doi.org/10.1063/5.0220851" TargetMode="External"/><Relationship Id="rId24" Type="http://schemas.openxmlformats.org/officeDocument/2006/relationships/hyperlink" Target="https://doi.org/10.1063/5.0117633" TargetMode="External"/><Relationship Id="rId5" Type="http://schemas.openxmlformats.org/officeDocument/2006/relationships/chart" Target="charts/chart1.xml"/><Relationship Id="rId15" Type="http://schemas.openxmlformats.org/officeDocument/2006/relationships/hyperlink" Target="https://doi.org/10.1051/e3sconf/201913901008" TargetMode="External"/><Relationship Id="rId23" Type="http://schemas.openxmlformats.org/officeDocument/2006/relationships/hyperlink" Target="https://doi.org/10.1063/5.0305929" TargetMode="External"/><Relationship Id="rId28" Type="http://schemas.openxmlformats.org/officeDocument/2006/relationships/fontTable" Target="fontTable.xml"/><Relationship Id="rId10" Type="http://schemas.openxmlformats.org/officeDocument/2006/relationships/hyperlink" Target="https://doi.org/10.1063/5.0308123" TargetMode="External"/><Relationship Id="rId19" Type="http://schemas.openxmlformats.org/officeDocument/2006/relationships/hyperlink" Target="https://doi.org/10.1051/e3sconf/202346101055" TargetMode="External"/><Relationship Id="rId4" Type="http://schemas.openxmlformats.org/officeDocument/2006/relationships/webSettings" Target="webSettings.xml"/><Relationship Id="rId9" Type="http://schemas.openxmlformats.org/officeDocument/2006/relationships/hyperlink" Target="https://doi.org/10.1063/5.0306872" TargetMode="External"/><Relationship Id="rId14" Type="http://schemas.openxmlformats.org/officeDocument/2006/relationships/hyperlink" Target="https://doi.org/10.1051/e3sconf/202021601173" TargetMode="External"/><Relationship Id="rId22" Type="http://schemas.openxmlformats.org/officeDocument/2006/relationships/hyperlink" Target="https://doi.org/10.1063/5.0305987" TargetMode="External"/><Relationship Id="rId27" Type="http://schemas.openxmlformats.org/officeDocument/2006/relationships/hyperlink" Target="https://doi.org/10.1063/5.0305986"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070927079388723E-2"/>
          <c:y val="9.9182971991514782E-2"/>
          <c:w val="0.92517847769028905"/>
          <c:h val="0.66958317710286219"/>
        </c:manualLayout>
      </c:layout>
      <c:lineChart>
        <c:grouping val="stacked"/>
        <c:varyColors val="0"/>
        <c:ser>
          <c:idx val="0"/>
          <c:order val="0"/>
          <c:tx>
            <c:strRef>
              <c:f>Лист1!$B$1</c:f>
              <c:strCache>
                <c:ptCount val="1"/>
                <c:pt idx="0">
                  <c:v>OOO "TAKRO OSIYO" </c:v>
                </c:pt>
              </c:strCache>
            </c:strRef>
          </c:tx>
          <c:spPr>
            <a:ln w="22226" cap="rnd" cmpd="sng" algn="ctr">
              <a:solidFill>
                <a:schemeClr val="accent1"/>
              </a:solidFill>
              <a:round/>
            </a:ln>
            <a:effectLst/>
          </c:spPr>
          <c:marker>
            <c:symbol val="none"/>
          </c:marker>
          <c:dLbls>
            <c:dLbl>
              <c:idx val="0"/>
              <c:layout>
                <c:manualLayout>
                  <c:x val="-4.7112314085739321E-2"/>
                  <c:y val="-7.97020732991093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4B4-41EE-BAF5-6225BCE751E9}"/>
                </c:ext>
              </c:extLst>
            </c:dLbl>
            <c:dLbl>
              <c:idx val="1"/>
              <c:layout>
                <c:manualLayout>
                  <c:x val="-4.7112295042721734E-2"/>
                  <c:y val="-7.96916010498688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4B4-41EE-BAF5-6225BCE751E9}"/>
                </c:ext>
              </c:extLst>
            </c:dLbl>
            <c:spPr>
              <a:noFill/>
              <a:ln w="25385">
                <a:noFill/>
              </a:ln>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Лист1!$A$2:$A$22</c:f>
              <c:strCache>
                <c:ptCount val="21"/>
                <c:pt idx="0">
                  <c:v>2019.1</c:v>
                </c:pt>
                <c:pt idx="1">
                  <c:v>2019.2</c:v>
                </c:pt>
                <c:pt idx="2">
                  <c:v>2019.3</c:v>
                </c:pt>
                <c:pt idx="3">
                  <c:v>2019.4</c:v>
                </c:pt>
                <c:pt idx="4">
                  <c:v>2020.1</c:v>
                </c:pt>
                <c:pt idx="5">
                  <c:v>2020.2</c:v>
                </c:pt>
                <c:pt idx="6">
                  <c:v>2020.3</c:v>
                </c:pt>
                <c:pt idx="7">
                  <c:v>2020.4</c:v>
                </c:pt>
                <c:pt idx="8">
                  <c:v>2021.1</c:v>
                </c:pt>
                <c:pt idx="9">
                  <c:v>2021.2</c:v>
                </c:pt>
                <c:pt idx="10">
                  <c:v>2021.3</c:v>
                </c:pt>
                <c:pt idx="11">
                  <c:v>2021.4</c:v>
                </c:pt>
                <c:pt idx="12">
                  <c:v>2022.1</c:v>
                </c:pt>
                <c:pt idx="13">
                  <c:v>2022.2</c:v>
                </c:pt>
                <c:pt idx="14">
                  <c:v>2022.3</c:v>
                </c:pt>
                <c:pt idx="15">
                  <c:v>2022.4</c:v>
                </c:pt>
                <c:pt idx="16">
                  <c:v>2023.1</c:v>
                </c:pt>
                <c:pt idx="17">
                  <c:v>2023.2</c:v>
                </c:pt>
                <c:pt idx="18">
                  <c:v>2023.3</c:v>
                </c:pt>
                <c:pt idx="19">
                  <c:v>2023.4</c:v>
                </c:pt>
                <c:pt idx="20">
                  <c:v>2024.1</c:v>
                </c:pt>
              </c:strCache>
            </c:strRef>
          </c:cat>
          <c:val>
            <c:numRef>
              <c:f>Лист1!$B$2:$B$22</c:f>
              <c:numCache>
                <c:formatCode>General</c:formatCode>
                <c:ptCount val="21"/>
                <c:pt idx="0">
                  <c:v>21.5</c:v>
                </c:pt>
                <c:pt idx="1">
                  <c:v>24.7</c:v>
                </c:pt>
                <c:pt idx="2">
                  <c:v>25.9</c:v>
                </c:pt>
                <c:pt idx="3">
                  <c:v>26.8</c:v>
                </c:pt>
                <c:pt idx="4">
                  <c:v>22.9</c:v>
                </c:pt>
                <c:pt idx="5">
                  <c:v>23.8</c:v>
                </c:pt>
                <c:pt idx="6">
                  <c:v>29.6</c:v>
                </c:pt>
                <c:pt idx="7">
                  <c:v>21.5</c:v>
                </c:pt>
                <c:pt idx="8">
                  <c:v>25.9</c:v>
                </c:pt>
                <c:pt idx="9">
                  <c:v>29.7</c:v>
                </c:pt>
                <c:pt idx="10">
                  <c:v>21.4</c:v>
                </c:pt>
                <c:pt idx="11">
                  <c:v>25.9</c:v>
                </c:pt>
                <c:pt idx="12">
                  <c:v>42.7</c:v>
                </c:pt>
                <c:pt idx="13">
                  <c:v>46.1</c:v>
                </c:pt>
                <c:pt idx="14">
                  <c:v>60.4</c:v>
                </c:pt>
                <c:pt idx="15">
                  <c:v>66.2</c:v>
                </c:pt>
                <c:pt idx="16">
                  <c:v>64.3</c:v>
                </c:pt>
                <c:pt idx="17">
                  <c:v>63.1</c:v>
                </c:pt>
                <c:pt idx="18">
                  <c:v>66.5</c:v>
                </c:pt>
                <c:pt idx="19">
                  <c:v>17.899999999999999</c:v>
                </c:pt>
                <c:pt idx="20">
                  <c:v>18.5</c:v>
                </c:pt>
              </c:numCache>
            </c:numRef>
          </c:val>
          <c:smooth val="0"/>
          <c:extLst>
            <c:ext xmlns:c16="http://schemas.microsoft.com/office/drawing/2014/chart" uri="{C3380CC4-5D6E-409C-BE32-E72D297353CC}">
              <c16:uniqueId val="{00000002-04B4-41EE-BAF5-6225BCE751E9}"/>
            </c:ext>
          </c:extLst>
        </c:ser>
        <c:ser>
          <c:idx val="1"/>
          <c:order val="1"/>
          <c:tx>
            <c:strRef>
              <c:f>Лист1!$C$1</c:f>
              <c:strCache>
                <c:ptCount val="1"/>
                <c:pt idx="0">
                  <c:v>ООО "HILALE TEXTILES" </c:v>
                </c:pt>
              </c:strCache>
            </c:strRef>
          </c:tx>
          <c:spPr>
            <a:ln w="22226" cap="rnd" cmpd="sng" algn="ctr">
              <a:solidFill>
                <a:schemeClr val="accent2"/>
              </a:solidFill>
              <a:round/>
            </a:ln>
            <a:effectLst/>
          </c:spPr>
          <c:marker>
            <c:symbol val="none"/>
          </c:marker>
          <c:dLbls>
            <c:spPr>
              <a:noFill/>
              <a:ln w="25385">
                <a:noFill/>
              </a:ln>
            </c:spPr>
            <c:txPr>
              <a:bodyPr rot="0" vert="horz"/>
              <a:lstStyle/>
              <a:p>
                <a:pPr>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Лист1!$A$2:$A$22</c:f>
              <c:strCache>
                <c:ptCount val="21"/>
                <c:pt idx="0">
                  <c:v>2019.1</c:v>
                </c:pt>
                <c:pt idx="1">
                  <c:v>2019.2</c:v>
                </c:pt>
                <c:pt idx="2">
                  <c:v>2019.3</c:v>
                </c:pt>
                <c:pt idx="3">
                  <c:v>2019.4</c:v>
                </c:pt>
                <c:pt idx="4">
                  <c:v>2020.1</c:v>
                </c:pt>
                <c:pt idx="5">
                  <c:v>2020.2</c:v>
                </c:pt>
                <c:pt idx="6">
                  <c:v>2020.3</c:v>
                </c:pt>
                <c:pt idx="7">
                  <c:v>2020.4</c:v>
                </c:pt>
                <c:pt idx="8">
                  <c:v>2021.1</c:v>
                </c:pt>
                <c:pt idx="9">
                  <c:v>2021.2</c:v>
                </c:pt>
                <c:pt idx="10">
                  <c:v>2021.3</c:v>
                </c:pt>
                <c:pt idx="11">
                  <c:v>2021.4</c:v>
                </c:pt>
                <c:pt idx="12">
                  <c:v>2022.1</c:v>
                </c:pt>
                <c:pt idx="13">
                  <c:v>2022.2</c:v>
                </c:pt>
                <c:pt idx="14">
                  <c:v>2022.3</c:v>
                </c:pt>
                <c:pt idx="15">
                  <c:v>2022.4</c:v>
                </c:pt>
                <c:pt idx="16">
                  <c:v>2023.1</c:v>
                </c:pt>
                <c:pt idx="17">
                  <c:v>2023.2</c:v>
                </c:pt>
                <c:pt idx="18">
                  <c:v>2023.3</c:v>
                </c:pt>
                <c:pt idx="19">
                  <c:v>2023.4</c:v>
                </c:pt>
                <c:pt idx="20">
                  <c:v>2024.1</c:v>
                </c:pt>
              </c:strCache>
            </c:strRef>
          </c:cat>
          <c:val>
            <c:numRef>
              <c:f>Лист1!$C$2:$C$22</c:f>
              <c:numCache>
                <c:formatCode>General</c:formatCode>
                <c:ptCount val="21"/>
                <c:pt idx="0">
                  <c:v>23.1</c:v>
                </c:pt>
                <c:pt idx="1">
                  <c:v>26.7</c:v>
                </c:pt>
                <c:pt idx="2">
                  <c:v>30.1</c:v>
                </c:pt>
                <c:pt idx="3">
                  <c:v>28.3</c:v>
                </c:pt>
                <c:pt idx="4">
                  <c:v>28.9</c:v>
                </c:pt>
                <c:pt idx="5">
                  <c:v>45.7</c:v>
                </c:pt>
                <c:pt idx="6">
                  <c:v>36.200000000000003</c:v>
                </c:pt>
                <c:pt idx="7">
                  <c:v>28.3</c:v>
                </c:pt>
                <c:pt idx="8">
                  <c:v>28.9</c:v>
                </c:pt>
                <c:pt idx="9">
                  <c:v>45.7</c:v>
                </c:pt>
                <c:pt idx="10">
                  <c:v>36.4</c:v>
                </c:pt>
                <c:pt idx="11">
                  <c:v>28.2</c:v>
                </c:pt>
                <c:pt idx="12">
                  <c:v>29.7</c:v>
                </c:pt>
                <c:pt idx="13">
                  <c:v>35.700000000000003</c:v>
                </c:pt>
                <c:pt idx="14">
                  <c:v>29.8</c:v>
                </c:pt>
                <c:pt idx="15">
                  <c:v>30.3</c:v>
                </c:pt>
                <c:pt idx="16">
                  <c:v>52.3</c:v>
                </c:pt>
                <c:pt idx="17">
                  <c:v>41.3</c:v>
                </c:pt>
                <c:pt idx="18">
                  <c:v>69.099999999999994</c:v>
                </c:pt>
                <c:pt idx="19">
                  <c:v>65.8</c:v>
                </c:pt>
                <c:pt idx="20">
                  <c:v>66.099999999999994</c:v>
                </c:pt>
              </c:numCache>
            </c:numRef>
          </c:val>
          <c:smooth val="0"/>
          <c:extLst>
            <c:ext xmlns:c16="http://schemas.microsoft.com/office/drawing/2014/chart" uri="{C3380CC4-5D6E-409C-BE32-E72D297353CC}">
              <c16:uniqueId val="{00000003-04B4-41EE-BAF5-6225BCE751E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421528896"/>
        <c:axId val="421540264"/>
      </c:lineChart>
      <c:catAx>
        <c:axId val="4215288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en-US"/>
          </a:p>
        </c:txPr>
        <c:crossAx val="421540264"/>
        <c:crosses val="autoZero"/>
        <c:auto val="1"/>
        <c:lblAlgn val="ctr"/>
        <c:lblOffset val="100"/>
        <c:noMultiLvlLbl val="0"/>
      </c:catAx>
      <c:valAx>
        <c:axId val="421540264"/>
        <c:scaling>
          <c:orientation val="minMax"/>
        </c:scaling>
        <c:delete val="0"/>
        <c:axPos val="l"/>
        <c:numFmt formatCode="General" sourceLinked="1"/>
        <c:majorTickMark val="none"/>
        <c:minorTickMark val="none"/>
        <c:tickLblPos val="nextTo"/>
        <c:spPr>
          <a:ln w="6346">
            <a:noFill/>
          </a:ln>
        </c:spPr>
        <c:txPr>
          <a:bodyPr rot="-60000000" vert="horz"/>
          <a:lstStyle/>
          <a:p>
            <a:pPr>
              <a:defRPr/>
            </a:pPr>
            <a:endParaRPr lang="en-US"/>
          </a:p>
        </c:txPr>
        <c:crossAx val="421528896"/>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22727272727272727"/>
          <c:y val="0.91346153846153832"/>
          <c:w val="0.54285714285714293"/>
          <c:h val="8.9743589743589744E-2"/>
        </c:manualLayout>
      </c:layout>
      <c:overlay val="0"/>
      <c:spPr>
        <a:noFill/>
        <a:ln w="25385">
          <a:noFill/>
        </a:ln>
      </c:spPr>
      <c:txPr>
        <a:bodyPr rot="0" vert="horz"/>
        <a:lstStyle/>
        <a:p>
          <a:pPr>
            <a:defRPr/>
          </a:pPr>
          <a:endParaRPr lang="en-US"/>
        </a:p>
      </c:txPr>
    </c:legend>
    <c:plotVisOnly val="1"/>
    <c:dispBlanksAs val="zero"/>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9518788166554564E-2"/>
          <c:y val="5.589430894308943E-2"/>
          <c:w val="0.88214085519460816"/>
          <c:h val="0.74856083157288267"/>
        </c:manualLayout>
      </c:layout>
      <c:lineChart>
        <c:grouping val="standard"/>
        <c:varyColors val="0"/>
        <c:ser>
          <c:idx val="0"/>
          <c:order val="0"/>
          <c:tx>
            <c:strRef>
              <c:f>Лист1!$B$1</c:f>
              <c:strCache>
                <c:ptCount val="1"/>
                <c:pt idx="0">
                  <c:v>Hilale Textiles</c:v>
                </c:pt>
              </c:strCache>
            </c:strRef>
          </c:tx>
          <c:spPr>
            <a:ln w="2222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Лист1!$A$2:$A$23</c:f>
              <c:strCache>
                <c:ptCount val="22"/>
                <c:pt idx="0">
                  <c:v>2019.1</c:v>
                </c:pt>
                <c:pt idx="1">
                  <c:v>2019.2</c:v>
                </c:pt>
                <c:pt idx="2">
                  <c:v>2019.3</c:v>
                </c:pt>
                <c:pt idx="3">
                  <c:v>2019.4</c:v>
                </c:pt>
                <c:pt idx="4">
                  <c:v>2020.1</c:v>
                </c:pt>
                <c:pt idx="5">
                  <c:v>2020.2</c:v>
                </c:pt>
                <c:pt idx="6">
                  <c:v>2020.3</c:v>
                </c:pt>
                <c:pt idx="7">
                  <c:v>2020.4</c:v>
                </c:pt>
                <c:pt idx="8">
                  <c:v>2021.1</c:v>
                </c:pt>
                <c:pt idx="9">
                  <c:v>2021.2</c:v>
                </c:pt>
                <c:pt idx="10">
                  <c:v>2021.3</c:v>
                </c:pt>
                <c:pt idx="11">
                  <c:v>2021.4</c:v>
                </c:pt>
                <c:pt idx="12">
                  <c:v>2022.1</c:v>
                </c:pt>
                <c:pt idx="13">
                  <c:v>2022.2</c:v>
                </c:pt>
                <c:pt idx="14">
                  <c:v>2022.3</c:v>
                </c:pt>
                <c:pt idx="15">
                  <c:v>2022.4</c:v>
                </c:pt>
                <c:pt idx="16">
                  <c:v>2023.1</c:v>
                </c:pt>
                <c:pt idx="17">
                  <c:v>2023.2</c:v>
                </c:pt>
                <c:pt idx="18">
                  <c:v>2023.3</c:v>
                </c:pt>
                <c:pt idx="19">
                  <c:v>2023.4</c:v>
                </c:pt>
                <c:pt idx="20">
                  <c:v>2024.3</c:v>
                </c:pt>
                <c:pt idx="21">
                  <c:v>2024.2</c:v>
                </c:pt>
              </c:strCache>
            </c:strRef>
          </c:cat>
          <c:val>
            <c:numRef>
              <c:f>Лист1!$B$2:$B$23</c:f>
              <c:numCache>
                <c:formatCode>_-* #,##0.00\ _₽_-;\-* #,##0.00\ _₽_-;_-* "-"??\ _₽_-;_-@_-</c:formatCode>
                <c:ptCount val="22"/>
                <c:pt idx="0">
                  <c:v>5.0999999999999996</c:v>
                </c:pt>
                <c:pt idx="1">
                  <c:v>5.0999999999999996</c:v>
                </c:pt>
                <c:pt idx="2">
                  <c:v>5.0999999999999996</c:v>
                </c:pt>
                <c:pt idx="3" formatCode="0.00">
                  <c:v>5.2</c:v>
                </c:pt>
                <c:pt idx="4" formatCode="0.00">
                  <c:v>4.9000000000000004</c:v>
                </c:pt>
                <c:pt idx="5" formatCode="0.00">
                  <c:v>4.9000000000000004</c:v>
                </c:pt>
                <c:pt idx="6" formatCode="0.00">
                  <c:v>4.8</c:v>
                </c:pt>
                <c:pt idx="7" formatCode="0.00">
                  <c:v>4.7</c:v>
                </c:pt>
                <c:pt idx="8" formatCode="0.00">
                  <c:v>7.1</c:v>
                </c:pt>
                <c:pt idx="9" formatCode="0.00">
                  <c:v>7.2</c:v>
                </c:pt>
                <c:pt idx="10" formatCode="0.00">
                  <c:v>7</c:v>
                </c:pt>
                <c:pt idx="11" formatCode="0.00">
                  <c:v>6.8</c:v>
                </c:pt>
                <c:pt idx="12" formatCode="0.00">
                  <c:v>8.1</c:v>
                </c:pt>
                <c:pt idx="13" formatCode="0.00">
                  <c:v>8</c:v>
                </c:pt>
                <c:pt idx="14" formatCode="0.00">
                  <c:v>5.4</c:v>
                </c:pt>
                <c:pt idx="15" formatCode="0.00">
                  <c:v>5.4</c:v>
                </c:pt>
                <c:pt idx="16" formatCode="0.00">
                  <c:v>6.7</c:v>
                </c:pt>
                <c:pt idx="17" formatCode="0.00">
                  <c:v>6.7</c:v>
                </c:pt>
                <c:pt idx="18" formatCode="0.00">
                  <c:v>6.8</c:v>
                </c:pt>
                <c:pt idx="19" formatCode="0.00">
                  <c:v>6.8</c:v>
                </c:pt>
                <c:pt idx="20" formatCode="0.00">
                  <c:v>7.1</c:v>
                </c:pt>
                <c:pt idx="21" formatCode="0.00">
                  <c:v>7.3</c:v>
                </c:pt>
              </c:numCache>
            </c:numRef>
          </c:val>
          <c:smooth val="0"/>
          <c:extLst>
            <c:ext xmlns:c16="http://schemas.microsoft.com/office/drawing/2014/chart" uri="{C3380CC4-5D6E-409C-BE32-E72D297353CC}">
              <c16:uniqueId val="{00000000-6F4F-49AD-B2AF-78F30EB479F6}"/>
            </c:ext>
          </c:extLst>
        </c:ser>
        <c:ser>
          <c:idx val="1"/>
          <c:order val="1"/>
          <c:tx>
            <c:strRef>
              <c:f>Лист1!$C$1</c:f>
              <c:strCache>
                <c:ptCount val="1"/>
                <c:pt idx="0">
                  <c:v>Takro Osiyo</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7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Лист1!$A$2:$A$23</c:f>
              <c:strCache>
                <c:ptCount val="22"/>
                <c:pt idx="0">
                  <c:v>2019.1</c:v>
                </c:pt>
                <c:pt idx="1">
                  <c:v>2019.2</c:v>
                </c:pt>
                <c:pt idx="2">
                  <c:v>2019.3</c:v>
                </c:pt>
                <c:pt idx="3">
                  <c:v>2019.4</c:v>
                </c:pt>
                <c:pt idx="4">
                  <c:v>2020.1</c:v>
                </c:pt>
                <c:pt idx="5">
                  <c:v>2020.2</c:v>
                </c:pt>
                <c:pt idx="6">
                  <c:v>2020.3</c:v>
                </c:pt>
                <c:pt idx="7">
                  <c:v>2020.4</c:v>
                </c:pt>
                <c:pt idx="8">
                  <c:v>2021.1</c:v>
                </c:pt>
                <c:pt idx="9">
                  <c:v>2021.2</c:v>
                </c:pt>
                <c:pt idx="10">
                  <c:v>2021.3</c:v>
                </c:pt>
                <c:pt idx="11">
                  <c:v>2021.4</c:v>
                </c:pt>
                <c:pt idx="12">
                  <c:v>2022.1</c:v>
                </c:pt>
                <c:pt idx="13">
                  <c:v>2022.2</c:v>
                </c:pt>
                <c:pt idx="14">
                  <c:v>2022.3</c:v>
                </c:pt>
                <c:pt idx="15">
                  <c:v>2022.4</c:v>
                </c:pt>
                <c:pt idx="16">
                  <c:v>2023.1</c:v>
                </c:pt>
                <c:pt idx="17">
                  <c:v>2023.2</c:v>
                </c:pt>
                <c:pt idx="18">
                  <c:v>2023.3</c:v>
                </c:pt>
                <c:pt idx="19">
                  <c:v>2023.4</c:v>
                </c:pt>
                <c:pt idx="20">
                  <c:v>2024.3</c:v>
                </c:pt>
                <c:pt idx="21">
                  <c:v>2024.2</c:v>
                </c:pt>
              </c:strCache>
            </c:strRef>
          </c:cat>
          <c:val>
            <c:numRef>
              <c:f>Лист1!$C$2:$C$23</c:f>
              <c:numCache>
                <c:formatCode>0.00</c:formatCode>
                <c:ptCount val="22"/>
                <c:pt idx="0">
                  <c:v>2.6</c:v>
                </c:pt>
                <c:pt idx="1">
                  <c:v>2.4</c:v>
                </c:pt>
                <c:pt idx="2">
                  <c:v>3</c:v>
                </c:pt>
                <c:pt idx="3">
                  <c:v>2.2000000000000002</c:v>
                </c:pt>
                <c:pt idx="4">
                  <c:v>1.8</c:v>
                </c:pt>
                <c:pt idx="5">
                  <c:v>3</c:v>
                </c:pt>
                <c:pt idx="6">
                  <c:v>3.1</c:v>
                </c:pt>
                <c:pt idx="7">
                  <c:v>2.6</c:v>
                </c:pt>
                <c:pt idx="8">
                  <c:v>2.8</c:v>
                </c:pt>
                <c:pt idx="9">
                  <c:v>2.7</c:v>
                </c:pt>
                <c:pt idx="10">
                  <c:v>2.2999999999999998</c:v>
                </c:pt>
                <c:pt idx="11">
                  <c:v>2.5</c:v>
                </c:pt>
                <c:pt idx="12">
                  <c:v>2.1</c:v>
                </c:pt>
                <c:pt idx="13">
                  <c:v>2.2000000000000002</c:v>
                </c:pt>
                <c:pt idx="14">
                  <c:v>2.6</c:v>
                </c:pt>
                <c:pt idx="15">
                  <c:v>2.2000000000000002</c:v>
                </c:pt>
                <c:pt idx="16">
                  <c:v>2.2000000000000002</c:v>
                </c:pt>
                <c:pt idx="17">
                  <c:v>2.2000000000000002</c:v>
                </c:pt>
                <c:pt idx="18">
                  <c:v>2.2000000000000002</c:v>
                </c:pt>
                <c:pt idx="19">
                  <c:v>2.4</c:v>
                </c:pt>
                <c:pt idx="20">
                  <c:v>2.6</c:v>
                </c:pt>
                <c:pt idx="21">
                  <c:v>2.6</c:v>
                </c:pt>
              </c:numCache>
            </c:numRef>
          </c:val>
          <c:smooth val="0"/>
          <c:extLst>
            <c:ext xmlns:c16="http://schemas.microsoft.com/office/drawing/2014/chart" uri="{C3380CC4-5D6E-409C-BE32-E72D297353CC}">
              <c16:uniqueId val="{00000001-6F4F-49AD-B2AF-78F30EB479F6}"/>
            </c:ext>
          </c:extLst>
        </c:ser>
        <c:dLbls>
          <c:showLegendKey val="0"/>
          <c:showVal val="0"/>
          <c:showCatName val="0"/>
          <c:showSerName val="0"/>
          <c:showPercent val="0"/>
          <c:showBubbleSize val="0"/>
        </c:dLbls>
        <c:smooth val="0"/>
        <c:axId val="421541048"/>
        <c:axId val="421541440"/>
      </c:lineChart>
      <c:catAx>
        <c:axId val="421541048"/>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7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1541440"/>
        <c:crosses val="autoZero"/>
        <c:auto val="1"/>
        <c:lblAlgn val="ctr"/>
        <c:lblOffset val="100"/>
        <c:noMultiLvlLbl val="0"/>
      </c:catAx>
      <c:valAx>
        <c:axId val="421541440"/>
        <c:scaling>
          <c:orientation val="minMax"/>
        </c:scaling>
        <c:delete val="0"/>
        <c:axPos val="l"/>
        <c:majorGridlines>
          <c:spPr>
            <a:ln w="9525" cap="flat" cmpd="sng" algn="ctr">
              <a:solidFill>
                <a:schemeClr val="dk1">
                  <a:lumMod val="15000"/>
                  <a:lumOff val="85000"/>
                  <a:alpha val="54000"/>
                </a:schemeClr>
              </a:solidFill>
              <a:round/>
            </a:ln>
            <a:effectLst/>
          </c:spPr>
        </c:majorGridlines>
        <c:numFmt formatCode="_-* #,##0.00\ _₽_-;\-* #,##0.00\ _₽_-;_-* &quot;-&quot;??\ _₽_-;_-@_-"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21541048"/>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0.33468215289853115"/>
          <c:y val="0.9335399401605412"/>
          <c:w val="0.33063552005684127"/>
          <c:h val="6.6460059839458838E-2"/>
        </c:manualLayout>
      </c:layout>
      <c:overlay val="0"/>
      <c:spPr>
        <a:noFill/>
        <a:ln>
          <a:noFill/>
        </a:ln>
        <a:effectLst/>
      </c:spPr>
      <c:txPr>
        <a:bodyPr rot="0" spcFirstLastPara="1" vertOverflow="ellipsis" vert="horz" wrap="square" anchor="ctr" anchorCtr="1"/>
        <a:lstStyle/>
        <a:p>
          <a:pPr>
            <a:defRPr sz="7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1352</TotalTime>
  <Pages>6</Pages>
  <Words>2876</Words>
  <Characters>16395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Umid Adilov</dc:creator>
  <cp:keywords/>
  <dc:description/>
  <cp:lastModifiedBy>Пользователь</cp:lastModifiedBy>
  <cp:revision>64</cp:revision>
  <dcterms:created xsi:type="dcterms:W3CDTF">2025-11-20T15:57:00Z</dcterms:created>
  <dcterms:modified xsi:type="dcterms:W3CDTF">2026-01-05T14:58:00Z</dcterms:modified>
</cp:coreProperties>
</file>