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44EE" w14:textId="4F8F9A9F" w:rsidR="00264290" w:rsidRPr="00FF65DF" w:rsidRDefault="00EF78B5" w:rsidP="00EF78B5">
      <w:pPr>
        <w:spacing w:before="1200" w:line="240" w:lineRule="auto"/>
        <w:ind w:firstLine="284"/>
        <w:jc w:val="center"/>
        <w:rPr>
          <w:rFonts w:ascii="Times New Roman" w:eastAsia="Calibri" w:hAnsi="Times New Roman" w:cs="Times New Roman"/>
          <w:b/>
          <w:bCs/>
          <w:sz w:val="36"/>
          <w:szCs w:val="36"/>
          <w:lang w:val="en-US"/>
        </w:rPr>
      </w:pPr>
      <w:r w:rsidRPr="00FF65DF">
        <w:rPr>
          <w:rFonts w:ascii="Times New Roman" w:eastAsia="Calibri" w:hAnsi="Times New Roman" w:cs="Times New Roman"/>
          <w:b/>
          <w:bCs/>
          <w:sz w:val="36"/>
          <w:szCs w:val="36"/>
          <w:lang w:val="en-US"/>
        </w:rPr>
        <w:t>Effective development of the innovative potential of a manufacturing enterprise in the context of a digital economy</w:t>
      </w:r>
    </w:p>
    <w:p w14:paraId="2E7C13D1" w14:textId="101C3A77" w:rsidR="00EB5CAA" w:rsidRPr="00FF65DF" w:rsidRDefault="00862474" w:rsidP="00862474">
      <w:pPr>
        <w:pStyle w:val="AuthorName"/>
        <w:spacing w:before="240" w:after="200"/>
        <w:rPr>
          <w:szCs w:val="28"/>
        </w:rPr>
      </w:pPr>
      <w:proofErr w:type="spellStart"/>
      <w:r w:rsidRPr="00FF65DF">
        <w:rPr>
          <w:szCs w:val="28"/>
        </w:rPr>
        <w:t>Saidakhon</w:t>
      </w:r>
      <w:proofErr w:type="spellEnd"/>
      <w:r w:rsidRPr="00FF65DF">
        <w:rPr>
          <w:szCs w:val="28"/>
        </w:rPr>
        <w:t xml:space="preserve"> </w:t>
      </w:r>
      <w:r w:rsidR="00EB5CAA" w:rsidRPr="00FF65DF">
        <w:rPr>
          <w:szCs w:val="28"/>
        </w:rPr>
        <w:t xml:space="preserve">Nabieva </w:t>
      </w:r>
      <w:r w:rsidR="001E2192" w:rsidRPr="00FF65DF">
        <w:rPr>
          <w:szCs w:val="28"/>
          <w:vertAlign w:val="superscript"/>
        </w:rPr>
        <w:t>1, a)</w:t>
      </w:r>
      <w:r w:rsidR="001E2192" w:rsidRPr="00FF65DF">
        <w:rPr>
          <w:szCs w:val="28"/>
        </w:rPr>
        <w:t xml:space="preserve">, </w:t>
      </w:r>
      <w:proofErr w:type="spellStart"/>
      <w:r w:rsidRPr="00FF65DF">
        <w:rPr>
          <w:szCs w:val="28"/>
        </w:rPr>
        <w:t>Abdulaxat</w:t>
      </w:r>
      <w:proofErr w:type="spellEnd"/>
      <w:r w:rsidRPr="00FF65DF">
        <w:rPr>
          <w:szCs w:val="28"/>
        </w:rPr>
        <w:t xml:space="preserve"> </w:t>
      </w:r>
      <w:r w:rsidR="00D459EF" w:rsidRPr="00FF65DF">
        <w:rPr>
          <w:szCs w:val="28"/>
        </w:rPr>
        <w:t xml:space="preserve">Isxakov </w:t>
      </w:r>
      <w:r w:rsidR="00D01359" w:rsidRPr="00FF65DF">
        <w:rPr>
          <w:szCs w:val="28"/>
          <w:vertAlign w:val="superscript"/>
        </w:rPr>
        <w:t>1</w:t>
      </w:r>
      <w:r w:rsidR="00D459EF" w:rsidRPr="00FF65DF">
        <w:rPr>
          <w:szCs w:val="28"/>
        </w:rPr>
        <w:t xml:space="preserve">, </w:t>
      </w:r>
      <w:proofErr w:type="spellStart"/>
      <w:r w:rsidRPr="00FF65DF">
        <w:rPr>
          <w:szCs w:val="28"/>
        </w:rPr>
        <w:t>Sanjav</w:t>
      </w:r>
      <w:proofErr w:type="spellEnd"/>
      <w:r w:rsidRPr="00FF65DF">
        <w:rPr>
          <w:szCs w:val="28"/>
        </w:rPr>
        <w:t xml:space="preserve"> </w:t>
      </w:r>
      <w:r w:rsidR="00D01359" w:rsidRPr="00FF65DF">
        <w:rPr>
          <w:szCs w:val="28"/>
        </w:rPr>
        <w:t xml:space="preserve">Sonayev </w:t>
      </w:r>
      <w:r w:rsidR="00D01359" w:rsidRPr="00FF65DF">
        <w:rPr>
          <w:szCs w:val="28"/>
          <w:vertAlign w:val="superscript"/>
        </w:rPr>
        <w:t>1</w:t>
      </w:r>
      <w:r w:rsidR="00D01359" w:rsidRPr="00FF65DF">
        <w:rPr>
          <w:szCs w:val="28"/>
        </w:rPr>
        <w:t xml:space="preserve">, </w:t>
      </w:r>
      <w:r w:rsidRPr="00FF65DF">
        <w:rPr>
          <w:szCs w:val="28"/>
        </w:rPr>
        <w:t>Ravshan</w:t>
      </w:r>
      <w:r w:rsidRPr="00FF65DF">
        <w:rPr>
          <w:szCs w:val="28"/>
        </w:rPr>
        <w:t xml:space="preserve"> </w:t>
      </w:r>
      <w:r w:rsidR="00071AEA" w:rsidRPr="00FF65DF">
        <w:rPr>
          <w:szCs w:val="28"/>
        </w:rPr>
        <w:t xml:space="preserve">Khikmatov </w:t>
      </w:r>
      <w:r w:rsidR="00071AEA" w:rsidRPr="00FF65DF">
        <w:rPr>
          <w:szCs w:val="28"/>
          <w:vertAlign w:val="superscript"/>
        </w:rPr>
        <w:t>1</w:t>
      </w:r>
      <w:r w:rsidR="00071AEA" w:rsidRPr="00FF65DF">
        <w:rPr>
          <w:szCs w:val="28"/>
        </w:rPr>
        <w:t xml:space="preserve">, </w:t>
      </w:r>
      <w:proofErr w:type="spellStart"/>
      <w:r w:rsidRPr="00FF65DF">
        <w:rPr>
          <w:szCs w:val="28"/>
        </w:rPr>
        <w:t>Saidakhrokhon</w:t>
      </w:r>
      <w:proofErr w:type="spellEnd"/>
      <w:r w:rsidRPr="00FF65DF">
        <w:rPr>
          <w:szCs w:val="28"/>
        </w:rPr>
        <w:t xml:space="preserve"> </w:t>
      </w:r>
      <w:r w:rsidR="00940822" w:rsidRPr="00FF65DF">
        <w:rPr>
          <w:szCs w:val="28"/>
        </w:rPr>
        <w:t xml:space="preserve">Nabiev </w:t>
      </w:r>
      <w:r w:rsidR="00071AEA" w:rsidRPr="00FF65DF">
        <w:rPr>
          <w:szCs w:val="28"/>
          <w:vertAlign w:val="superscript"/>
        </w:rPr>
        <w:t>2</w:t>
      </w:r>
    </w:p>
    <w:p w14:paraId="4A106671" w14:textId="327A9EC5" w:rsidR="00360D31" w:rsidRPr="00FF65DF" w:rsidRDefault="00360D31" w:rsidP="00EB5CAA">
      <w:pPr>
        <w:pStyle w:val="AuthorAffiliation"/>
      </w:pPr>
      <w:r w:rsidRPr="00FF65DF">
        <w:rPr>
          <w:vertAlign w:val="superscript"/>
        </w:rPr>
        <w:t>1</w:t>
      </w:r>
      <w:r w:rsidR="00EB5CAA" w:rsidRPr="00FF65DF">
        <w:t>Tashkent state technical university named after Islam Karimov, Tashkent, Uzbekistan</w:t>
      </w:r>
    </w:p>
    <w:p w14:paraId="69110460" w14:textId="4F533373" w:rsidR="00EB5CAA" w:rsidRPr="00FF65DF" w:rsidRDefault="001E2192" w:rsidP="00EB5CAA">
      <w:pPr>
        <w:pStyle w:val="AuthorAffiliation"/>
      </w:pPr>
      <w:r w:rsidRPr="00FF65DF">
        <w:rPr>
          <w:vertAlign w:val="superscript"/>
        </w:rPr>
        <w:t>2</w:t>
      </w:r>
      <w:r w:rsidR="00360D31" w:rsidRPr="00FF65DF">
        <w:t>Tashkent University of Information Technologies named after Muhammad al-Khwarizmi</w:t>
      </w:r>
      <w:r w:rsidR="00862474">
        <w:t xml:space="preserve">, </w:t>
      </w:r>
      <w:r w:rsidR="00862474" w:rsidRPr="00FF65DF">
        <w:t>Tashkent, Uzbekistan</w:t>
      </w:r>
    </w:p>
    <w:p w14:paraId="4CE1D3B4" w14:textId="6D40469F" w:rsidR="00EB5CAA" w:rsidRPr="00FF65DF" w:rsidRDefault="00862474" w:rsidP="00862474">
      <w:pPr>
        <w:pStyle w:val="a9"/>
        <w:spacing w:before="200" w:after="200" w:line="240" w:lineRule="auto"/>
        <w:ind w:left="284"/>
        <w:jc w:val="center"/>
        <w:rPr>
          <w:rFonts w:ascii="Times New Roman" w:hAnsi="Times New Roman" w:cs="Times New Roman"/>
          <w:i/>
          <w:sz w:val="20"/>
          <w:szCs w:val="20"/>
          <w:lang w:val="en-US"/>
        </w:rPr>
      </w:pPr>
      <w:r w:rsidRPr="00862474">
        <w:rPr>
          <w:rFonts w:ascii="Times New Roman" w:hAnsi="Times New Roman" w:cs="Times New Roman"/>
          <w:i/>
          <w:sz w:val="20"/>
          <w:szCs w:val="20"/>
          <w:vertAlign w:val="superscript"/>
          <w:lang w:val="en-US"/>
        </w:rPr>
        <w:t>a)</w:t>
      </w:r>
      <w:r>
        <w:rPr>
          <w:rFonts w:ascii="Times New Roman" w:hAnsi="Times New Roman" w:cs="Times New Roman"/>
          <w:i/>
          <w:sz w:val="20"/>
          <w:szCs w:val="20"/>
          <w:lang w:val="en-US"/>
        </w:rPr>
        <w:t xml:space="preserve"> </w:t>
      </w:r>
      <w:r w:rsidR="00EB5CAA" w:rsidRPr="00FF65DF">
        <w:rPr>
          <w:rFonts w:ascii="Times New Roman" w:hAnsi="Times New Roman" w:cs="Times New Roman"/>
          <w:i/>
          <w:sz w:val="20"/>
          <w:szCs w:val="20"/>
          <w:lang w:val="en-US"/>
        </w:rPr>
        <w:t xml:space="preserve">Corresponding author: </w:t>
      </w:r>
      <w:hyperlink r:id="rId5" w:history="1">
        <w:r w:rsidR="00EB5CAA" w:rsidRPr="00FF65DF">
          <w:rPr>
            <w:rFonts w:ascii="Times New Roman" w:eastAsia="Calibri" w:hAnsi="Times New Roman" w:cs="Times New Roman"/>
            <w:bCs/>
            <w:i/>
            <w:color w:val="0563C1"/>
            <w:sz w:val="20"/>
            <w:szCs w:val="20"/>
            <w:u w:val="single"/>
            <w:lang w:val="en-US"/>
          </w:rPr>
          <w:t>saidaxon-nabiyeva@mail.ru</w:t>
        </w:r>
      </w:hyperlink>
    </w:p>
    <w:p w14:paraId="01BB5483" w14:textId="77777777" w:rsidR="00264290" w:rsidRPr="00FF65DF" w:rsidRDefault="00264290" w:rsidP="00862474">
      <w:pPr>
        <w:tabs>
          <w:tab w:val="left" w:pos="1134"/>
        </w:tabs>
        <w:spacing w:before="360" w:after="360" w:line="240" w:lineRule="auto"/>
        <w:ind w:left="284" w:right="284"/>
        <w:jc w:val="both"/>
        <w:outlineLvl w:val="1"/>
        <w:rPr>
          <w:rFonts w:ascii="Times New Roman" w:eastAsia="Times New Roman" w:hAnsi="Times New Roman" w:cs="Times New Roman"/>
          <w:b/>
          <w:bCs/>
          <w:sz w:val="18"/>
          <w:szCs w:val="18"/>
          <w:lang w:val="en-US" w:eastAsia="ru-RU"/>
        </w:rPr>
      </w:pPr>
      <w:r w:rsidRPr="00FF65DF">
        <w:rPr>
          <w:rFonts w:ascii="Times New Roman" w:eastAsia="Times New Roman" w:hAnsi="Times New Roman" w:cs="Times New Roman"/>
          <w:b/>
          <w:bCs/>
          <w:sz w:val="18"/>
          <w:szCs w:val="18"/>
          <w:lang w:val="en-US" w:eastAsia="ru-RU"/>
        </w:rPr>
        <w:t xml:space="preserve">Abstract. </w:t>
      </w:r>
      <w:r w:rsidRPr="00FF65DF">
        <w:rPr>
          <w:rFonts w:ascii="Times New Roman" w:eastAsia="Times New Roman" w:hAnsi="Times New Roman" w:cs="Times New Roman"/>
          <w:bCs/>
          <w:sz w:val="18"/>
          <w:szCs w:val="18"/>
          <w:lang w:val="en-US" w:eastAsia="ru-RU"/>
        </w:rPr>
        <w:t>In this article, the issues of effective development of the innovative potential of a manufacturing enterprise in the context of the digital economy are analyzed from a scientific-theoretical and practical point of view. The study highlights the influence of digital technologies, human capital, financial and organizational resources on the innovative potential of the enterprise. The level of digitalization of production processes, indicators of innovation activity, and their impact on efficiency were also studied. The article develops recommendations for increasing the efficiency of resource use, improving management and innovation processes through the implementation of digital transformation, automated systems, "Big Data," IoT, and artificial intelligence technologies.</w:t>
      </w:r>
    </w:p>
    <w:p w14:paraId="6BE430F1" w14:textId="04520C00" w:rsidR="00A05B37" w:rsidRPr="00862474" w:rsidRDefault="00001FB5" w:rsidP="00001FB5">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862474">
        <w:rPr>
          <w:rFonts w:ascii="Times New Roman" w:eastAsia="Times New Roman" w:hAnsi="Times New Roman" w:cs="Times New Roman"/>
          <w:b/>
          <w:bCs/>
          <w:sz w:val="24"/>
          <w:szCs w:val="24"/>
          <w:lang w:val="en-US" w:eastAsia="ru-RU"/>
        </w:rPr>
        <w:t>INTRODUCTION</w:t>
      </w:r>
    </w:p>
    <w:p w14:paraId="2C3690D4" w14:textId="77777777" w:rsidR="00A05B37"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In the context of the digital economy, the effective development of the innovative potential of manufacturing enterprises is regarded as one of the priority directions of modern industrial progress. The rapid advancement of digital technologies is fundamentally transforming production processes, management systems, and interactions with markets. Under these conditions, an enterprise’s innovative potential is determined not only by its ability to create new products and technologies, but also by its capacity to swiftly adopt digital solutions, efficiently utilize knowledge and data, and ensure flexible and adaptive management.</w:t>
      </w:r>
    </w:p>
    <w:p w14:paraId="445ED17C" w14:textId="77777777" w:rsidR="00A05B37"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First and foremost, the consistent implementation of digital transformation in manufacturing enterprises serves as a key driver for the development of innovative potential. The introduction of automated production systems, artificial intelligence, big data analytics, the Internet of Things (IoT), and digital twin technologies enhances resource efficiency, optimizes production processes, and creates a solid technological foundation for generating new innovative solutions. As a result, enterprises gain the ability to make faster and more accurate managerial decisions. According to statistics from the European Union, in 2024 enterprises that actively applied digital technologies increased their productivity by an average of 35–40 percent (European Commission, 2024).</w:t>
      </w:r>
    </w:p>
    <w:p w14:paraId="04974BEE" w14:textId="77777777" w:rsidR="00A05B37"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Human capital plays a particularly significant role in strengthening innovative potential. In the digital economy, employees’ digital literacy, creative thinking, and innovative initiatives become crucial factors of enterprise competitiveness. Therefore, it is essential to reinforce workforce capacity through continuous professional development, enhancement of digital skills, and involvement in research and development as well as experimental design activities. This approach facilitates the rapid implementation of knowledge-based innovations.</w:t>
      </w:r>
    </w:p>
    <w:p w14:paraId="3B48A0AF" w14:textId="77777777" w:rsidR="00A05B37"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The improvement of financial and organizational mechanisms is also an important prerequisite for the effective development of innovative potential. The use of modern forms of financing innovative projects, cooperation with venture capital and startups, and the adoption of open innovation models stimulate innovative activity within enterprises. At the same time, the application of digital management platforms increases the transparency and flexibility of organizational processes.</w:t>
      </w:r>
    </w:p>
    <w:p w14:paraId="6C492E64" w14:textId="77777777" w:rsidR="00A05B37"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 xml:space="preserve">Given the dynamic development of Uzbekistan’s economy and the implementation of the “New Uzbekistan” Strategy up to 2030, strengthening the innovative potential of domestic enterprises has become an urgent task. </w:t>
      </w:r>
      <w:r w:rsidRPr="00862474">
        <w:rPr>
          <w:rFonts w:ascii="Times New Roman" w:eastAsia="Times New Roman" w:hAnsi="Times New Roman" w:cs="Times New Roman"/>
          <w:sz w:val="20"/>
          <w:szCs w:val="20"/>
          <w:lang w:val="en-US" w:eastAsia="ru-RU"/>
        </w:rPr>
        <w:lastRenderedPageBreak/>
        <w:t>Currently, only about 15–20 percent of Uzbekistan’s industrial enterprises have fully integrated innovative technologies, which is significantly lower than the average level of developed countries (45–50 percent) (Stat, 2024). This gap represents both a challenge and a substantial opportunity for local enterprises.</w:t>
      </w:r>
    </w:p>
    <w:p w14:paraId="4E85A3D8" w14:textId="77777777" w:rsidR="00A05B37"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The transition to a digital economy requires not only technological modernization, but also the transformation of management systems, workforce training, and the formation of an innovative corporate culture. International experience demonstrates that enterprises which successfully develop their innovative potential not only enhance their competitiveness, but also expand into new markets and achieve sustainable growth. According to data from the United Nations Industrial Development Organization (UNIDO), enterprises in developing countries that adopted innovative technologies increased their export volumes by an average of 2.5 times over a five-year period.</w:t>
      </w:r>
    </w:p>
    <w:p w14:paraId="77EB767F" w14:textId="77777777" w:rsidR="00A05B37"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At the same time, enterprises face a number of challenges in the process of digital transformation, including high initial investment costs, shortages of qualified personnel, cybersecurity risks, and the need to restructure management systems. This research is conducted with the aim of addressing these challenges and developing practical recommendations for manufacturing enterprises in Uzbekistan. The topic is highly relevant in the context of improving enterprise efficiency, strengthening competitiveness, and contributing to the innovative development of the national economy under contemporary socio-economic conditions.</w:t>
      </w:r>
    </w:p>
    <w:p w14:paraId="24456CEE" w14:textId="5107EA42" w:rsidR="00D938C6" w:rsidRPr="00862474" w:rsidRDefault="00A05B37"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The main objective of the study is to identify criteria for assessing the innovative potential of manufacturing enterprises in the digital economy, to improve mechanisms for its development, and to formulate scientifically grounded recommendations for practical implementation.</w:t>
      </w:r>
    </w:p>
    <w:p w14:paraId="7DE7FDC5" w14:textId="270C74A8" w:rsidR="00E669CF" w:rsidRPr="00862474" w:rsidRDefault="00862474" w:rsidP="00862474">
      <w:pPr>
        <w:tabs>
          <w:tab w:val="left" w:pos="567"/>
        </w:tabs>
        <w:spacing w:before="240" w:after="240" w:line="240" w:lineRule="auto"/>
        <w:ind w:firstLine="284"/>
        <w:jc w:val="center"/>
        <w:rPr>
          <w:rFonts w:ascii="Times New Roman" w:eastAsia="Times New Roman" w:hAnsi="Times New Roman" w:cs="Times New Roman"/>
          <w:sz w:val="24"/>
          <w:szCs w:val="24"/>
          <w:lang w:val="en-US" w:eastAsia="ru-RU"/>
        </w:rPr>
      </w:pPr>
      <w:r w:rsidRPr="00862474">
        <w:rPr>
          <w:rFonts w:ascii="Times New Roman" w:eastAsia="Times New Roman" w:hAnsi="Times New Roman" w:cs="Times New Roman"/>
          <w:b/>
          <w:bCs/>
          <w:sz w:val="24"/>
          <w:szCs w:val="24"/>
          <w:lang w:val="en-US" w:eastAsia="ru-RU"/>
        </w:rPr>
        <w:t>LITERATURE REVIEW</w:t>
      </w:r>
    </w:p>
    <w:p w14:paraId="47FF6AB9"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The issues of the digital economy and innovative capacity have been widely explored within the global academic community. Schwab (2016), drawing on the concept of the Fourth Industrial Revolution, analyzed the impact of digital technologies on manufacturing systems. He emphasized that cyber-physical systems, artificial intelligence, and automation fundamentally reshape firms’ business models. According to Schwab, the effective development of innovative capacity requires the coherent integration of technological infrastructure, human capital, and a supportive institutional environment.</w:t>
      </w:r>
    </w:p>
    <w:p w14:paraId="2CAE144C"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 xml:space="preserve">Within the framework of the dynamic </w:t>
      </w:r>
      <w:proofErr w:type="gramStart"/>
      <w:r w:rsidRPr="00862474">
        <w:rPr>
          <w:rFonts w:ascii="Times New Roman" w:eastAsia="Times New Roman" w:hAnsi="Times New Roman" w:cs="Times New Roman"/>
          <w:sz w:val="20"/>
          <w:szCs w:val="20"/>
          <w:lang w:val="en-US" w:eastAsia="ru-RU"/>
        </w:rPr>
        <w:t>capabilities</w:t>
      </w:r>
      <w:proofErr w:type="gramEnd"/>
      <w:r w:rsidRPr="00862474">
        <w:rPr>
          <w:rFonts w:ascii="Times New Roman" w:eastAsia="Times New Roman" w:hAnsi="Times New Roman" w:cs="Times New Roman"/>
          <w:sz w:val="20"/>
          <w:szCs w:val="20"/>
          <w:lang w:val="en-US" w:eastAsia="ru-RU"/>
        </w:rPr>
        <w:t xml:space="preserve"> theory, Teece (2018) examined firms’ innovative capacity and underscored the importance of adaptability and transformational capability in rapidly changing market conditions. His research demonstrates that innovative capacity is determined not only by technological resources, but also by organizational knowledge and managerial competencies. Teece advocates the advancement of open innovation models through the creation of ecosystems based on digital platforms.</w:t>
      </w:r>
    </w:p>
    <w:p w14:paraId="2D4D8053"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 xml:space="preserve">Porter and </w:t>
      </w:r>
      <w:proofErr w:type="spellStart"/>
      <w:r w:rsidRPr="00862474">
        <w:rPr>
          <w:rFonts w:ascii="Times New Roman" w:eastAsia="Times New Roman" w:hAnsi="Times New Roman" w:cs="Times New Roman"/>
          <w:sz w:val="20"/>
          <w:szCs w:val="20"/>
          <w:lang w:val="en-US" w:eastAsia="ru-RU"/>
        </w:rPr>
        <w:t>Heppelmann</w:t>
      </w:r>
      <w:proofErr w:type="spellEnd"/>
      <w:r w:rsidRPr="00862474">
        <w:rPr>
          <w:rFonts w:ascii="Times New Roman" w:eastAsia="Times New Roman" w:hAnsi="Times New Roman" w:cs="Times New Roman"/>
          <w:sz w:val="20"/>
          <w:szCs w:val="20"/>
          <w:lang w:val="en-US" w:eastAsia="ru-RU"/>
        </w:rPr>
        <w:t xml:space="preserve"> (2014) introduced the concept of “smart products,” demonstrating that the integration of IoT technologies into production value chains enables enterprises to create new sources of value. Their studies indicate that digital technologies connect the stages of product development, manufacturing, and service provision, thereby fundamentally transforming relationships between producers and consumers.</w:t>
      </w:r>
    </w:p>
    <w:p w14:paraId="1140CC64"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 xml:space="preserve">Within the Russian scholarly tradition, </w:t>
      </w:r>
      <w:proofErr w:type="spellStart"/>
      <w:r w:rsidRPr="00862474">
        <w:rPr>
          <w:rFonts w:ascii="Times New Roman" w:eastAsia="Times New Roman" w:hAnsi="Times New Roman" w:cs="Times New Roman"/>
          <w:sz w:val="20"/>
          <w:szCs w:val="20"/>
          <w:lang w:val="en-US" w:eastAsia="ru-RU"/>
        </w:rPr>
        <w:t>Golichenko</w:t>
      </w:r>
      <w:proofErr w:type="spellEnd"/>
      <w:r w:rsidRPr="00862474">
        <w:rPr>
          <w:rFonts w:ascii="Times New Roman" w:eastAsia="Times New Roman" w:hAnsi="Times New Roman" w:cs="Times New Roman"/>
          <w:sz w:val="20"/>
          <w:szCs w:val="20"/>
          <w:lang w:val="en-US" w:eastAsia="ru-RU"/>
        </w:rPr>
        <w:t xml:space="preserve"> (2016) further developed the theory of national innovation systems and investigated the specific features of innovative capacity formation in transition economies. By analyzing the interaction between the institutional environment, state policy, and firms’ internal capabilities, he substantiated the necessity of establishing an innovation ecosystem. </w:t>
      </w:r>
      <w:proofErr w:type="spellStart"/>
      <w:r w:rsidRPr="00862474">
        <w:rPr>
          <w:rFonts w:ascii="Times New Roman" w:eastAsia="Times New Roman" w:hAnsi="Times New Roman" w:cs="Times New Roman"/>
          <w:sz w:val="20"/>
          <w:szCs w:val="20"/>
          <w:lang w:val="en-US" w:eastAsia="ru-RU"/>
        </w:rPr>
        <w:t>Golichenko</w:t>
      </w:r>
      <w:proofErr w:type="spellEnd"/>
      <w:r w:rsidRPr="00862474">
        <w:rPr>
          <w:rFonts w:ascii="Times New Roman" w:eastAsia="Times New Roman" w:hAnsi="Times New Roman" w:cs="Times New Roman"/>
          <w:sz w:val="20"/>
          <w:szCs w:val="20"/>
          <w:lang w:val="en-US" w:eastAsia="ru-RU"/>
        </w:rPr>
        <w:t xml:space="preserve"> also highlighted the non-linear nature of innovation processes and the critical role of network-based collaboration.</w:t>
      </w:r>
    </w:p>
    <w:p w14:paraId="7DEDE2CE"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Ivanov and Sokolov (2019) developed methodological approaches for modeling and optimizing digital manufacturing systems. They proposed mathematical models and algorithms for managing production chains based on cyber-physical systems. The researchers demonstrated that the application of artificial intelligence and machine learning technologies enables forecasting and real-time optimization of production processes.</w:t>
      </w:r>
    </w:p>
    <w:p w14:paraId="2A22E7CE"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Rumyantseva (2020) improved methodologies for assessing innovative capacity and proposed an integrated system of indicators for measuring the level of digital transformation. Her approach allows for a multidimensional evaluation of innovative capacity by combining technological, organizational, and cultural factors. By applying a digital maturity model, Rumyantseva developed a step-by-step methodology for planning enterprises’ transformation pathways.</w:t>
      </w:r>
    </w:p>
    <w:p w14:paraId="1823A421"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Sultonov (2022) conducted an empirical analysis of the impact of digital technologies on the performance of manufacturing enterprises in Uzbekistan. His findings show that enterprises implementing ERP systems reduced operational costs by an average of 22 percent and improved product quality by approximately 18 percent. Sultonov emphasizes that, alongside technological modernization, workforce retraining and the formation of an innovation-oriented culture are essential for enhancing innovative capacity.</w:t>
      </w:r>
    </w:p>
    <w:p w14:paraId="2A5C34BF"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lastRenderedPageBreak/>
        <w:t>Karimova (2023) examined the specific characteristics of digital transformation processes in small and medium-sized enterprises (SMEs). Her analysis indicates that cloud technologies and SaaS solutions provide SMEs with opportunities for digitalization without substantial initial investments. Karimova proposed a model for increasing SMEs’ innovative capacity through cooperation and cluster-based development of shared digital platforms.</w:t>
      </w:r>
    </w:p>
    <w:p w14:paraId="2AC20374" w14:textId="1BD4EB48" w:rsidR="007831C0"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Overall, the literature review demonstrates that the development of innovative capacity in the context of the digital economy requires a multifaceted approach that involves the effective integration of technological, organizational, human, and financial resources. In the Uzbek context, this issue calls for deeper and more comprehensive research.</w:t>
      </w:r>
    </w:p>
    <w:p w14:paraId="26F30580" w14:textId="5A0B54EC" w:rsidR="00E669CF" w:rsidRPr="00862474" w:rsidRDefault="00862474" w:rsidP="00862474">
      <w:pPr>
        <w:tabs>
          <w:tab w:val="left" w:pos="567"/>
        </w:tabs>
        <w:spacing w:before="240" w:after="240" w:line="240" w:lineRule="auto"/>
        <w:ind w:firstLine="284"/>
        <w:jc w:val="center"/>
        <w:rPr>
          <w:rFonts w:ascii="Times New Roman" w:eastAsia="Times New Roman" w:hAnsi="Times New Roman" w:cs="Times New Roman"/>
          <w:sz w:val="24"/>
          <w:szCs w:val="24"/>
          <w:lang w:val="en-US" w:eastAsia="ru-RU"/>
        </w:rPr>
      </w:pPr>
      <w:r w:rsidRPr="00862474">
        <w:rPr>
          <w:rFonts w:ascii="Times New Roman" w:eastAsia="Times New Roman" w:hAnsi="Times New Roman" w:cs="Times New Roman"/>
          <w:b/>
          <w:bCs/>
          <w:sz w:val="24"/>
          <w:szCs w:val="24"/>
          <w:lang w:val="en-US" w:eastAsia="ru-RU"/>
        </w:rPr>
        <w:t>RESEARCH METHODOLOGY</w:t>
      </w:r>
    </w:p>
    <w:p w14:paraId="5426BCDE"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This study is aimed at conducting a scientifically grounded examination of issues related to the effective development of the innovative capacity of manufacturing enterprises in the context of the digital economy. To achieve this objective, a comprehensive set of general and specialized methods of modern economic research was employed. The methodological foundation of the study is based on systemic and innovation-oriented approaches, under which the innovative capacity of an enterprise is analyzed as an integrated system formed by the interrelated interaction of digital technologies, human capital, financial resources, and organizational capabilities.</w:t>
      </w:r>
    </w:p>
    <w:p w14:paraId="7BFBB196" w14:textId="435D53A8" w:rsidR="007831C0"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During the research process, methods of analysis and synthesis were applied to examine, both separately and in an aggregated manner, the level of digital technology adoption in manufacturing enterprises, key indicators of innovative activity, and the interdependencies among them. In addition, the comparative method was used to identify the distinguishing features of traditional and digital models of innovative development, as well as to compare the experiences of domestic and foreign enterprises.</w:t>
      </w:r>
    </w:p>
    <w:p w14:paraId="75DDB88E" w14:textId="60733897" w:rsidR="00E669CF" w:rsidRPr="00862474" w:rsidRDefault="00862474" w:rsidP="00862474">
      <w:pPr>
        <w:tabs>
          <w:tab w:val="left" w:pos="567"/>
        </w:tabs>
        <w:spacing w:before="240" w:after="240" w:line="240" w:lineRule="auto"/>
        <w:ind w:firstLine="284"/>
        <w:jc w:val="center"/>
        <w:rPr>
          <w:rFonts w:ascii="Times New Roman" w:eastAsia="Times New Roman" w:hAnsi="Times New Roman" w:cs="Times New Roman"/>
          <w:sz w:val="24"/>
          <w:szCs w:val="24"/>
          <w:lang w:val="en-US" w:eastAsia="ru-RU"/>
        </w:rPr>
      </w:pPr>
      <w:r w:rsidRPr="00862474">
        <w:rPr>
          <w:rFonts w:ascii="Times New Roman" w:eastAsia="Times New Roman" w:hAnsi="Times New Roman" w:cs="Times New Roman"/>
          <w:b/>
          <w:bCs/>
          <w:sz w:val="24"/>
          <w:szCs w:val="24"/>
          <w:lang w:val="en-US" w:eastAsia="ru-RU"/>
        </w:rPr>
        <w:t>ANALYSIS AND RESULTS</w:t>
      </w:r>
    </w:p>
    <w:p w14:paraId="55FE0DE1"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In contemporary economic conditions, the impact of digital technologies on enterprise performance has acquired strategic importance, as these technologies encompass all stages of production, management, and interaction with markets. Digitalization processes enable enterprises to use resources more efficiently, reduce operational costs, and improve the quality of managerial decision-making. As a result, the overall performance of enterprises rises to a qualitatively new level.</w:t>
      </w:r>
    </w:p>
    <w:p w14:paraId="0E6758F8"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First, the introduction of digital technologies into production processes significantly increases labor productivity. Automated production lines, robotics, and systems based on the Internet of Things (IoT) and artificial intelligence reduce errors associated with the human factor and ensure continuity and precision in manufacturing operations. This leads to a higher level of capacity utilization and a reduction in product unit costs.</w:t>
      </w:r>
    </w:p>
    <w:p w14:paraId="2DCCC89C"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Digital technologies also fundamentally enhance management efficiency. Enterprise resource planning (ERP) systems, manufacturing execution systems (MES), and data analytics platforms provide accurate, real-time information, enabling timely and well-substantiated managerial decisions. Consequently, management costs decline, organizational processes become more transparent, and the level of operational flexibility increases.</w:t>
      </w:r>
    </w:p>
    <w:p w14:paraId="2438CA16" w14:textId="77777777" w:rsidR="00E669CF" w:rsidRPr="00862474" w:rsidRDefault="00E669CF"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Moreover, digital technologies stimulate innovative activity. Through the use of big data and advanced analytical tools, enterprises can conduct in-depth analyses of market demand and consumer behavior, thereby accelerating the development of new products and services. This allows enterprises to adapt more rapidly to changing market conditions and to gain a competitive advantage. The table below illustrates the impact of key digital technologies on enterprise performance.</w:t>
      </w:r>
    </w:p>
    <w:p w14:paraId="61D68122" w14:textId="77777777" w:rsidR="00862474" w:rsidRDefault="00862474" w:rsidP="00862474">
      <w:pPr>
        <w:tabs>
          <w:tab w:val="left" w:pos="567"/>
          <w:tab w:val="left" w:pos="1134"/>
        </w:tabs>
        <w:spacing w:after="0" w:line="240" w:lineRule="auto"/>
        <w:ind w:firstLine="284"/>
        <w:rPr>
          <w:rFonts w:ascii="Times New Roman" w:eastAsia="Times New Roman" w:hAnsi="Times New Roman" w:cs="Times New Roman"/>
          <w:b/>
          <w:bCs/>
          <w:sz w:val="20"/>
          <w:szCs w:val="20"/>
          <w:lang w:val="en-US" w:eastAsia="ru-RU"/>
        </w:rPr>
      </w:pPr>
    </w:p>
    <w:p w14:paraId="0DB79A71" w14:textId="741B9956" w:rsidR="00E669CF" w:rsidRPr="00862474" w:rsidRDefault="00EE4460" w:rsidP="00862474">
      <w:pPr>
        <w:tabs>
          <w:tab w:val="left" w:pos="567"/>
          <w:tab w:val="left" w:pos="1134"/>
        </w:tabs>
        <w:spacing w:after="0" w:line="240" w:lineRule="auto"/>
        <w:ind w:firstLine="284"/>
        <w:jc w:val="center"/>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b/>
          <w:bCs/>
          <w:sz w:val="20"/>
          <w:szCs w:val="20"/>
          <w:lang w:val="en-US" w:eastAsia="ru-RU"/>
        </w:rPr>
        <w:t>TABLE</w:t>
      </w:r>
      <w:r w:rsidR="00862474">
        <w:rPr>
          <w:rFonts w:ascii="Times New Roman" w:eastAsia="Times New Roman" w:hAnsi="Times New Roman" w:cs="Times New Roman"/>
          <w:b/>
          <w:bCs/>
          <w:sz w:val="20"/>
          <w:szCs w:val="20"/>
          <w:lang w:val="en-US" w:eastAsia="ru-RU"/>
        </w:rPr>
        <w:t xml:space="preserve"> 1</w:t>
      </w:r>
      <w:r w:rsidR="003113A8" w:rsidRPr="00862474">
        <w:rPr>
          <w:rFonts w:ascii="Times New Roman" w:eastAsia="Times New Roman" w:hAnsi="Times New Roman" w:cs="Times New Roman"/>
          <w:b/>
          <w:bCs/>
          <w:sz w:val="20"/>
          <w:szCs w:val="20"/>
          <w:lang w:val="en-US" w:eastAsia="ru-RU"/>
        </w:rPr>
        <w:t>.</w:t>
      </w:r>
      <w:r w:rsidR="00862474">
        <w:rPr>
          <w:rFonts w:ascii="Times New Roman" w:eastAsia="Times New Roman" w:hAnsi="Times New Roman" w:cs="Times New Roman"/>
          <w:b/>
          <w:bCs/>
          <w:sz w:val="20"/>
          <w:szCs w:val="20"/>
          <w:lang w:val="en-US" w:eastAsia="ru-RU"/>
        </w:rPr>
        <w:t xml:space="preserve"> </w:t>
      </w:r>
      <w:r w:rsidR="00E669CF" w:rsidRPr="00862474">
        <w:rPr>
          <w:rFonts w:ascii="Times New Roman" w:eastAsia="Times New Roman" w:hAnsi="Times New Roman" w:cs="Times New Roman"/>
          <w:sz w:val="20"/>
          <w:szCs w:val="20"/>
          <w:lang w:val="en-US" w:eastAsia="ru-RU"/>
        </w:rPr>
        <w:t>The impact of digital technologies on enterprise performance</w:t>
      </w:r>
    </w:p>
    <w:tbl>
      <w:tblPr>
        <w:tblStyle w:val="a6"/>
        <w:tblW w:w="0" w:type="auto"/>
        <w:jc w:val="center"/>
        <w:tblLook w:val="04A0" w:firstRow="1" w:lastRow="0" w:firstColumn="1" w:lastColumn="0" w:noHBand="0" w:noVBand="1"/>
      </w:tblPr>
      <w:tblGrid>
        <w:gridCol w:w="3397"/>
        <w:gridCol w:w="1843"/>
        <w:gridCol w:w="1559"/>
        <w:gridCol w:w="2217"/>
      </w:tblGrid>
      <w:tr w:rsidR="003965EF" w:rsidRPr="00862474" w14:paraId="02D111F5" w14:textId="77777777" w:rsidTr="00862474">
        <w:trPr>
          <w:trHeight w:val="70"/>
          <w:jc w:val="center"/>
        </w:trPr>
        <w:tc>
          <w:tcPr>
            <w:tcW w:w="3397" w:type="dxa"/>
            <w:vAlign w:val="center"/>
            <w:hideMark/>
          </w:tcPr>
          <w:p w14:paraId="4A8566FD" w14:textId="0ED2C374" w:rsidR="003965EF" w:rsidRPr="00862474" w:rsidRDefault="00935D8E"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b/>
                <w:bCs/>
                <w:sz w:val="18"/>
                <w:szCs w:val="18"/>
                <w:lang w:eastAsia="ru-RU"/>
              </w:rPr>
              <w:t>Technology</w:t>
            </w:r>
          </w:p>
        </w:tc>
        <w:tc>
          <w:tcPr>
            <w:tcW w:w="1843" w:type="dxa"/>
            <w:vAlign w:val="center"/>
            <w:hideMark/>
          </w:tcPr>
          <w:p w14:paraId="7ACCDCAF" w14:textId="7675AFD4" w:rsidR="003965EF" w:rsidRPr="00862474" w:rsidRDefault="00935D8E"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b/>
                <w:bCs/>
                <w:sz w:val="18"/>
                <w:szCs w:val="18"/>
                <w:lang w:eastAsia="ru-RU"/>
              </w:rPr>
              <w:t>Productivity</w:t>
            </w:r>
            <w:proofErr w:type="spellEnd"/>
            <w:r w:rsidRPr="00862474">
              <w:rPr>
                <w:rFonts w:ascii="Times New Roman" w:eastAsia="Times New Roman" w:hAnsi="Times New Roman" w:cs="Times New Roman"/>
                <w:b/>
                <w:bCs/>
                <w:sz w:val="18"/>
                <w:szCs w:val="18"/>
                <w:lang w:eastAsia="ru-RU"/>
              </w:rPr>
              <w:t xml:space="preserve"> Growth (%)</w:t>
            </w:r>
          </w:p>
        </w:tc>
        <w:tc>
          <w:tcPr>
            <w:tcW w:w="1559" w:type="dxa"/>
            <w:vAlign w:val="center"/>
            <w:hideMark/>
          </w:tcPr>
          <w:p w14:paraId="203B318B" w14:textId="7FE7B814" w:rsidR="003965EF" w:rsidRPr="00862474" w:rsidRDefault="00935D8E"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b/>
                <w:bCs/>
                <w:sz w:val="18"/>
                <w:szCs w:val="18"/>
                <w:lang w:eastAsia="ru-RU"/>
              </w:rPr>
              <w:t xml:space="preserve">Cost </w:t>
            </w:r>
            <w:proofErr w:type="spellStart"/>
            <w:r w:rsidRPr="00862474">
              <w:rPr>
                <w:rFonts w:ascii="Times New Roman" w:eastAsia="Times New Roman" w:hAnsi="Times New Roman" w:cs="Times New Roman"/>
                <w:b/>
                <w:bCs/>
                <w:sz w:val="18"/>
                <w:szCs w:val="18"/>
                <w:lang w:eastAsia="ru-RU"/>
              </w:rPr>
              <w:t>Reduction</w:t>
            </w:r>
            <w:proofErr w:type="spellEnd"/>
            <w:r w:rsidRPr="00862474">
              <w:rPr>
                <w:rFonts w:ascii="Times New Roman" w:eastAsia="Times New Roman" w:hAnsi="Times New Roman" w:cs="Times New Roman"/>
                <w:b/>
                <w:bCs/>
                <w:sz w:val="18"/>
                <w:szCs w:val="18"/>
                <w:lang w:eastAsia="ru-RU"/>
              </w:rPr>
              <w:t xml:space="preserve"> (%)</w:t>
            </w:r>
          </w:p>
        </w:tc>
        <w:tc>
          <w:tcPr>
            <w:tcW w:w="2217" w:type="dxa"/>
            <w:vAlign w:val="center"/>
            <w:hideMark/>
          </w:tcPr>
          <w:p w14:paraId="19E860AA" w14:textId="2A825422" w:rsidR="003965EF" w:rsidRPr="00862474" w:rsidRDefault="00935D8E"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b/>
                <w:bCs/>
                <w:sz w:val="18"/>
                <w:szCs w:val="18"/>
                <w:lang w:eastAsia="ru-RU"/>
              </w:rPr>
              <w:t>Share</w:t>
            </w:r>
            <w:proofErr w:type="spellEnd"/>
            <w:r w:rsidRPr="00862474">
              <w:rPr>
                <w:rFonts w:ascii="Times New Roman" w:eastAsia="Times New Roman" w:hAnsi="Times New Roman" w:cs="Times New Roman"/>
                <w:b/>
                <w:bCs/>
                <w:sz w:val="18"/>
                <w:szCs w:val="18"/>
                <w:lang w:eastAsia="ru-RU"/>
              </w:rPr>
              <w:t xml:space="preserve"> </w:t>
            </w:r>
            <w:proofErr w:type="spellStart"/>
            <w:r w:rsidRPr="00862474">
              <w:rPr>
                <w:rFonts w:ascii="Times New Roman" w:eastAsia="Times New Roman" w:hAnsi="Times New Roman" w:cs="Times New Roman"/>
                <w:b/>
                <w:bCs/>
                <w:sz w:val="18"/>
                <w:szCs w:val="18"/>
                <w:lang w:eastAsia="ru-RU"/>
              </w:rPr>
              <w:t>of</w:t>
            </w:r>
            <w:proofErr w:type="spellEnd"/>
            <w:r w:rsidRPr="00862474">
              <w:rPr>
                <w:rFonts w:ascii="Times New Roman" w:eastAsia="Times New Roman" w:hAnsi="Times New Roman" w:cs="Times New Roman"/>
                <w:b/>
                <w:bCs/>
                <w:sz w:val="18"/>
                <w:szCs w:val="18"/>
                <w:lang w:eastAsia="ru-RU"/>
              </w:rPr>
              <w:t xml:space="preserve"> </w:t>
            </w:r>
            <w:proofErr w:type="spellStart"/>
            <w:r w:rsidRPr="00862474">
              <w:rPr>
                <w:rFonts w:ascii="Times New Roman" w:eastAsia="Times New Roman" w:hAnsi="Times New Roman" w:cs="Times New Roman"/>
                <w:b/>
                <w:bCs/>
                <w:sz w:val="18"/>
                <w:szCs w:val="18"/>
                <w:lang w:val="en-US" w:eastAsia="ru-RU"/>
              </w:rPr>
              <w:t>i</w:t>
            </w:r>
            <w:r w:rsidRPr="00862474">
              <w:rPr>
                <w:rFonts w:ascii="Times New Roman" w:eastAsia="Times New Roman" w:hAnsi="Times New Roman" w:cs="Times New Roman"/>
                <w:b/>
                <w:bCs/>
                <w:sz w:val="18"/>
                <w:szCs w:val="18"/>
                <w:lang w:eastAsia="ru-RU"/>
              </w:rPr>
              <w:t>mplementing</w:t>
            </w:r>
            <w:proofErr w:type="spellEnd"/>
            <w:r w:rsidRPr="00862474">
              <w:rPr>
                <w:rFonts w:ascii="Times New Roman" w:eastAsia="Times New Roman" w:hAnsi="Times New Roman" w:cs="Times New Roman"/>
                <w:b/>
                <w:bCs/>
                <w:sz w:val="18"/>
                <w:szCs w:val="18"/>
                <w:lang w:eastAsia="ru-RU"/>
              </w:rPr>
              <w:t xml:space="preserve"> </w:t>
            </w:r>
            <w:r w:rsidRPr="00862474">
              <w:rPr>
                <w:rFonts w:ascii="Times New Roman" w:eastAsia="Times New Roman" w:hAnsi="Times New Roman" w:cs="Times New Roman"/>
                <w:b/>
                <w:bCs/>
                <w:sz w:val="18"/>
                <w:szCs w:val="18"/>
                <w:lang w:val="en-US" w:eastAsia="ru-RU"/>
              </w:rPr>
              <w:t>e</w:t>
            </w:r>
            <w:proofErr w:type="spellStart"/>
            <w:r w:rsidRPr="00862474">
              <w:rPr>
                <w:rFonts w:ascii="Times New Roman" w:eastAsia="Times New Roman" w:hAnsi="Times New Roman" w:cs="Times New Roman"/>
                <w:b/>
                <w:bCs/>
                <w:sz w:val="18"/>
                <w:szCs w:val="18"/>
                <w:lang w:eastAsia="ru-RU"/>
              </w:rPr>
              <w:t>nterprises</w:t>
            </w:r>
            <w:proofErr w:type="spellEnd"/>
            <w:r w:rsidRPr="00862474">
              <w:rPr>
                <w:rFonts w:ascii="Times New Roman" w:eastAsia="Times New Roman" w:hAnsi="Times New Roman" w:cs="Times New Roman"/>
                <w:b/>
                <w:bCs/>
                <w:sz w:val="18"/>
                <w:szCs w:val="18"/>
                <w:lang w:eastAsia="ru-RU"/>
              </w:rPr>
              <w:t xml:space="preserve"> (%)</w:t>
            </w:r>
          </w:p>
        </w:tc>
      </w:tr>
      <w:tr w:rsidR="003965EF" w:rsidRPr="00862474" w14:paraId="4900B917" w14:textId="77777777" w:rsidTr="00862474">
        <w:trPr>
          <w:jc w:val="center"/>
        </w:trPr>
        <w:tc>
          <w:tcPr>
            <w:tcW w:w="3397" w:type="dxa"/>
            <w:vAlign w:val="center"/>
            <w:hideMark/>
          </w:tcPr>
          <w:p w14:paraId="29AAA053" w14:textId="72C23F7D" w:rsidR="003965EF" w:rsidRPr="00862474" w:rsidRDefault="00935D8E" w:rsidP="00862474">
            <w:pPr>
              <w:tabs>
                <w:tab w:val="left" w:pos="567"/>
              </w:tabs>
              <w:jc w:val="center"/>
              <w:rPr>
                <w:rFonts w:ascii="Times New Roman" w:eastAsia="Times New Roman" w:hAnsi="Times New Roman" w:cs="Times New Roman"/>
                <w:sz w:val="18"/>
                <w:szCs w:val="18"/>
                <w:lang w:val="en-US" w:eastAsia="ru-RU"/>
              </w:rPr>
            </w:pPr>
            <w:r w:rsidRPr="00862474">
              <w:rPr>
                <w:rFonts w:ascii="Times New Roman" w:eastAsia="Times New Roman" w:hAnsi="Times New Roman" w:cs="Times New Roman"/>
                <w:sz w:val="18"/>
                <w:szCs w:val="18"/>
                <w:lang w:val="en-US" w:eastAsia="ru-RU"/>
              </w:rPr>
              <w:t>Artificial Intelligence (AI) and Machine Learning (ML)</w:t>
            </w:r>
          </w:p>
        </w:tc>
        <w:tc>
          <w:tcPr>
            <w:tcW w:w="1843" w:type="dxa"/>
            <w:vAlign w:val="center"/>
            <w:hideMark/>
          </w:tcPr>
          <w:p w14:paraId="11D54C1A"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38-42</w:t>
            </w:r>
          </w:p>
        </w:tc>
        <w:tc>
          <w:tcPr>
            <w:tcW w:w="1559" w:type="dxa"/>
            <w:vAlign w:val="center"/>
            <w:hideMark/>
          </w:tcPr>
          <w:p w14:paraId="3ED5318D"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25-30</w:t>
            </w:r>
          </w:p>
        </w:tc>
        <w:tc>
          <w:tcPr>
            <w:tcW w:w="2217" w:type="dxa"/>
            <w:vAlign w:val="center"/>
            <w:hideMark/>
          </w:tcPr>
          <w:p w14:paraId="13DAB93B"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34</w:t>
            </w:r>
          </w:p>
        </w:tc>
      </w:tr>
      <w:tr w:rsidR="003965EF" w:rsidRPr="00862474" w14:paraId="5D00F339" w14:textId="77777777" w:rsidTr="00862474">
        <w:trPr>
          <w:jc w:val="center"/>
        </w:trPr>
        <w:tc>
          <w:tcPr>
            <w:tcW w:w="3397" w:type="dxa"/>
            <w:vAlign w:val="center"/>
            <w:hideMark/>
          </w:tcPr>
          <w:p w14:paraId="3BC98B16" w14:textId="78B3DCE1" w:rsidR="003965EF" w:rsidRPr="00862474" w:rsidRDefault="0093103B"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IoT</w:t>
            </w:r>
            <w:proofErr w:type="spellEnd"/>
            <w:r w:rsidRPr="00862474">
              <w:rPr>
                <w:rFonts w:ascii="Times New Roman" w:eastAsia="Times New Roman" w:hAnsi="Times New Roman" w:cs="Times New Roman"/>
                <w:sz w:val="18"/>
                <w:szCs w:val="18"/>
                <w:lang w:eastAsia="ru-RU"/>
              </w:rPr>
              <w:t xml:space="preserve"> </w:t>
            </w:r>
            <w:proofErr w:type="spellStart"/>
            <w:r w:rsidRPr="00862474">
              <w:rPr>
                <w:rFonts w:ascii="Times New Roman" w:eastAsia="Times New Roman" w:hAnsi="Times New Roman" w:cs="Times New Roman"/>
                <w:sz w:val="18"/>
                <w:szCs w:val="18"/>
                <w:lang w:eastAsia="ru-RU"/>
              </w:rPr>
              <w:t>and</w:t>
            </w:r>
            <w:proofErr w:type="spellEnd"/>
            <w:r w:rsidRPr="00862474">
              <w:rPr>
                <w:rFonts w:ascii="Times New Roman" w:eastAsia="Times New Roman" w:hAnsi="Times New Roman" w:cs="Times New Roman"/>
                <w:sz w:val="18"/>
                <w:szCs w:val="18"/>
                <w:lang w:eastAsia="ru-RU"/>
              </w:rPr>
              <w:t xml:space="preserve"> </w:t>
            </w:r>
            <w:r w:rsidRPr="00862474">
              <w:rPr>
                <w:rFonts w:ascii="Times New Roman" w:eastAsia="Times New Roman" w:hAnsi="Times New Roman" w:cs="Times New Roman"/>
                <w:sz w:val="18"/>
                <w:szCs w:val="18"/>
                <w:lang w:val="en-US" w:eastAsia="ru-RU"/>
              </w:rPr>
              <w:t>s</w:t>
            </w:r>
            <w:proofErr w:type="spellStart"/>
            <w:r w:rsidRPr="00862474">
              <w:rPr>
                <w:rFonts w:ascii="Times New Roman" w:eastAsia="Times New Roman" w:hAnsi="Times New Roman" w:cs="Times New Roman"/>
                <w:sz w:val="18"/>
                <w:szCs w:val="18"/>
                <w:lang w:eastAsia="ru-RU"/>
              </w:rPr>
              <w:t>ensors</w:t>
            </w:r>
            <w:proofErr w:type="spellEnd"/>
          </w:p>
        </w:tc>
        <w:tc>
          <w:tcPr>
            <w:tcW w:w="1843" w:type="dxa"/>
            <w:vAlign w:val="center"/>
            <w:hideMark/>
          </w:tcPr>
          <w:p w14:paraId="3DE99BC4"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32-35</w:t>
            </w:r>
          </w:p>
        </w:tc>
        <w:tc>
          <w:tcPr>
            <w:tcW w:w="1559" w:type="dxa"/>
            <w:vAlign w:val="center"/>
            <w:hideMark/>
          </w:tcPr>
          <w:p w14:paraId="460980B3"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20-25</w:t>
            </w:r>
          </w:p>
        </w:tc>
        <w:tc>
          <w:tcPr>
            <w:tcW w:w="2217" w:type="dxa"/>
            <w:vAlign w:val="center"/>
            <w:hideMark/>
          </w:tcPr>
          <w:p w14:paraId="759B2C57"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45</w:t>
            </w:r>
          </w:p>
        </w:tc>
      </w:tr>
      <w:tr w:rsidR="003965EF" w:rsidRPr="00862474" w14:paraId="1CD46037" w14:textId="77777777" w:rsidTr="00862474">
        <w:trPr>
          <w:jc w:val="center"/>
        </w:trPr>
        <w:tc>
          <w:tcPr>
            <w:tcW w:w="3397" w:type="dxa"/>
            <w:vAlign w:val="center"/>
            <w:hideMark/>
          </w:tcPr>
          <w:p w14:paraId="087FC806" w14:textId="69B213A4" w:rsidR="003965EF" w:rsidRPr="00862474" w:rsidRDefault="0093103B"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Cloud</w:t>
            </w:r>
            <w:proofErr w:type="spellEnd"/>
            <w:r w:rsidRPr="00862474">
              <w:rPr>
                <w:rFonts w:ascii="Times New Roman" w:eastAsia="Times New Roman" w:hAnsi="Times New Roman" w:cs="Times New Roman"/>
                <w:sz w:val="18"/>
                <w:szCs w:val="18"/>
                <w:lang w:eastAsia="ru-RU"/>
              </w:rPr>
              <w:t xml:space="preserve"> Technologies</w:t>
            </w:r>
          </w:p>
        </w:tc>
        <w:tc>
          <w:tcPr>
            <w:tcW w:w="1843" w:type="dxa"/>
            <w:vAlign w:val="center"/>
            <w:hideMark/>
          </w:tcPr>
          <w:p w14:paraId="29293A64"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28-32</w:t>
            </w:r>
          </w:p>
        </w:tc>
        <w:tc>
          <w:tcPr>
            <w:tcW w:w="1559" w:type="dxa"/>
            <w:vAlign w:val="center"/>
            <w:hideMark/>
          </w:tcPr>
          <w:p w14:paraId="2DB1C840"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22-28</w:t>
            </w:r>
          </w:p>
        </w:tc>
        <w:tc>
          <w:tcPr>
            <w:tcW w:w="2217" w:type="dxa"/>
            <w:vAlign w:val="center"/>
            <w:hideMark/>
          </w:tcPr>
          <w:p w14:paraId="185C0263"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67</w:t>
            </w:r>
          </w:p>
        </w:tc>
      </w:tr>
      <w:tr w:rsidR="003965EF" w:rsidRPr="00862474" w14:paraId="1097BCB2" w14:textId="77777777" w:rsidTr="00862474">
        <w:trPr>
          <w:jc w:val="center"/>
        </w:trPr>
        <w:tc>
          <w:tcPr>
            <w:tcW w:w="3397" w:type="dxa"/>
            <w:vAlign w:val="center"/>
            <w:hideMark/>
          </w:tcPr>
          <w:p w14:paraId="1A7BE610" w14:textId="16CC8D47" w:rsidR="003965EF" w:rsidRPr="00862474" w:rsidRDefault="0093103B"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 xml:space="preserve">Big Data </w:t>
            </w:r>
            <w:r w:rsidRPr="00862474">
              <w:rPr>
                <w:rFonts w:ascii="Times New Roman" w:eastAsia="Times New Roman" w:hAnsi="Times New Roman" w:cs="Times New Roman"/>
                <w:sz w:val="18"/>
                <w:szCs w:val="18"/>
                <w:lang w:val="en-US" w:eastAsia="ru-RU"/>
              </w:rPr>
              <w:t>a</w:t>
            </w:r>
            <w:proofErr w:type="spellStart"/>
            <w:r w:rsidRPr="00862474">
              <w:rPr>
                <w:rFonts w:ascii="Times New Roman" w:eastAsia="Times New Roman" w:hAnsi="Times New Roman" w:cs="Times New Roman"/>
                <w:sz w:val="18"/>
                <w:szCs w:val="18"/>
                <w:lang w:eastAsia="ru-RU"/>
              </w:rPr>
              <w:t>nalytics</w:t>
            </w:r>
            <w:proofErr w:type="spellEnd"/>
          </w:p>
        </w:tc>
        <w:tc>
          <w:tcPr>
            <w:tcW w:w="1843" w:type="dxa"/>
            <w:vAlign w:val="center"/>
            <w:hideMark/>
          </w:tcPr>
          <w:p w14:paraId="1E35C39D"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35-40</w:t>
            </w:r>
          </w:p>
        </w:tc>
        <w:tc>
          <w:tcPr>
            <w:tcW w:w="1559" w:type="dxa"/>
            <w:vAlign w:val="center"/>
            <w:hideMark/>
          </w:tcPr>
          <w:p w14:paraId="0F9E22AC"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18-23</w:t>
            </w:r>
          </w:p>
        </w:tc>
        <w:tc>
          <w:tcPr>
            <w:tcW w:w="2217" w:type="dxa"/>
            <w:vAlign w:val="center"/>
            <w:hideMark/>
          </w:tcPr>
          <w:p w14:paraId="40A4E2A5"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41</w:t>
            </w:r>
          </w:p>
        </w:tc>
      </w:tr>
      <w:tr w:rsidR="003965EF" w:rsidRPr="00862474" w14:paraId="4AD4B98B" w14:textId="77777777" w:rsidTr="00862474">
        <w:trPr>
          <w:jc w:val="center"/>
        </w:trPr>
        <w:tc>
          <w:tcPr>
            <w:tcW w:w="3397" w:type="dxa"/>
            <w:vAlign w:val="center"/>
            <w:hideMark/>
          </w:tcPr>
          <w:p w14:paraId="282EA998" w14:textId="7C29FE21" w:rsidR="003965EF" w:rsidRPr="00862474" w:rsidRDefault="0093103B"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Robotics</w:t>
            </w:r>
            <w:proofErr w:type="spellEnd"/>
          </w:p>
        </w:tc>
        <w:tc>
          <w:tcPr>
            <w:tcW w:w="1843" w:type="dxa"/>
            <w:vAlign w:val="center"/>
            <w:hideMark/>
          </w:tcPr>
          <w:p w14:paraId="212CF726"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45-50</w:t>
            </w:r>
          </w:p>
        </w:tc>
        <w:tc>
          <w:tcPr>
            <w:tcW w:w="1559" w:type="dxa"/>
            <w:vAlign w:val="center"/>
            <w:hideMark/>
          </w:tcPr>
          <w:p w14:paraId="551238DB"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30-35</w:t>
            </w:r>
          </w:p>
        </w:tc>
        <w:tc>
          <w:tcPr>
            <w:tcW w:w="2217" w:type="dxa"/>
            <w:vAlign w:val="center"/>
            <w:hideMark/>
          </w:tcPr>
          <w:p w14:paraId="371C1169"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29</w:t>
            </w:r>
          </w:p>
        </w:tc>
      </w:tr>
    </w:tbl>
    <w:p w14:paraId="4A319282" w14:textId="2205FCFB" w:rsidR="003113A8" w:rsidRPr="00862474" w:rsidRDefault="00B35341" w:rsidP="00862474">
      <w:pPr>
        <w:tabs>
          <w:tab w:val="left" w:pos="567"/>
        </w:tabs>
        <w:spacing w:after="0" w:line="240" w:lineRule="auto"/>
        <w:ind w:firstLine="284"/>
        <w:rPr>
          <w:rFonts w:ascii="Times New Roman" w:eastAsia="Times New Roman" w:hAnsi="Times New Roman" w:cs="Times New Roman"/>
          <w:i/>
          <w:iCs/>
          <w:sz w:val="20"/>
          <w:szCs w:val="20"/>
          <w:lang w:val="en-US" w:eastAsia="ru-RU"/>
        </w:rPr>
      </w:pPr>
      <w:r w:rsidRPr="00862474">
        <w:rPr>
          <w:rFonts w:ascii="Times New Roman" w:eastAsia="Times New Roman" w:hAnsi="Times New Roman" w:cs="Times New Roman"/>
          <w:b/>
          <w:bCs/>
          <w:i/>
          <w:iCs/>
          <w:sz w:val="20"/>
          <w:szCs w:val="20"/>
          <w:lang w:val="en-US" w:eastAsia="ru-RU"/>
        </w:rPr>
        <w:t>Source:</w:t>
      </w:r>
      <w:r w:rsidRPr="00862474">
        <w:rPr>
          <w:rFonts w:ascii="Times New Roman" w:eastAsia="Times New Roman" w:hAnsi="Times New Roman" w:cs="Times New Roman"/>
          <w:i/>
          <w:iCs/>
          <w:sz w:val="20"/>
          <w:szCs w:val="20"/>
          <w:lang w:val="en-US" w:eastAsia="ru-RU"/>
        </w:rPr>
        <w:t xml:space="preserve"> Developed by the author based on McKinsey Global Institute (2023), Industry 4.0 Impact Report data.</w:t>
      </w:r>
    </w:p>
    <w:p w14:paraId="3D96745E" w14:textId="77777777" w:rsidR="00B35341" w:rsidRPr="00862474" w:rsidRDefault="00B35341"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lastRenderedPageBreak/>
        <w:t>The data indicate that while robotics ensures the highest productivity growth, cloud technologies are the most widely adopted due to their relatively low investment requirements and rapid implementation potential. Artificial intelligence and big data analytics significantly enhance efficiency in complex decision-making processes.</w:t>
      </w:r>
    </w:p>
    <w:p w14:paraId="4FFB218D" w14:textId="77777777" w:rsidR="00B35341" w:rsidRPr="00862474" w:rsidRDefault="00B35341"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The digitalization process is primarily aimed at increasing production efficiency in industrial sectors, improving management, and strengthening competitiveness. However, the pace of this process varies across different industries. Currently, large and medium-sized manufacturing enterprises are relatively active in implementing digital technologies. In particular, automated production lines, enterprise resource planning (ERP) systems, electronic document management, and digital platforms for financial management have begun to be widely applied.</w:t>
      </w:r>
    </w:p>
    <w:p w14:paraId="7042EB2C" w14:textId="77777777" w:rsidR="00B35341" w:rsidRPr="00862474" w:rsidRDefault="00B35341"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In small and some medium-sized manufacturing enterprises, the level of digitalization remains low. This is due to limited financial resources, a shortage of qualified IT personnel, and a lack of experience and knowledge in implementing digital technologies. In many enterprises, digitalization is limited to accounting and reporting processes and has not yet been fully integrated into the technological stages of production.</w:t>
      </w:r>
    </w:p>
    <w:p w14:paraId="5244E5BA" w14:textId="77777777" w:rsidR="00B35341" w:rsidRPr="00862474" w:rsidRDefault="00B35341"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Based on data from the State Statistics Committee of the Republic of Uzbekistan and the Ministry of Investments, Industry, and Trade, the analysis of the level of digital transformation in local enterprises yielded the following results:</w:t>
      </w:r>
    </w:p>
    <w:p w14:paraId="65B23D96" w14:textId="77777777" w:rsidR="00862474" w:rsidRDefault="00862474" w:rsidP="00862474">
      <w:pPr>
        <w:tabs>
          <w:tab w:val="left" w:pos="567"/>
          <w:tab w:val="left" w:pos="1134"/>
        </w:tabs>
        <w:spacing w:after="0" w:line="240" w:lineRule="auto"/>
        <w:ind w:firstLine="284"/>
        <w:rPr>
          <w:rFonts w:ascii="Times New Roman" w:eastAsia="Times New Roman" w:hAnsi="Times New Roman" w:cs="Times New Roman"/>
          <w:b/>
          <w:bCs/>
          <w:sz w:val="20"/>
          <w:szCs w:val="20"/>
          <w:lang w:val="en-US" w:eastAsia="ru-RU"/>
        </w:rPr>
      </w:pPr>
    </w:p>
    <w:p w14:paraId="512DFD9F" w14:textId="55FF44CD" w:rsidR="00B35341" w:rsidRPr="00862474" w:rsidRDefault="00EE4460" w:rsidP="00862474">
      <w:pPr>
        <w:tabs>
          <w:tab w:val="left" w:pos="567"/>
          <w:tab w:val="left" w:pos="1134"/>
        </w:tabs>
        <w:spacing w:after="0" w:line="240" w:lineRule="auto"/>
        <w:ind w:firstLine="284"/>
        <w:jc w:val="center"/>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b/>
          <w:bCs/>
          <w:sz w:val="20"/>
          <w:szCs w:val="20"/>
          <w:lang w:val="en-US" w:eastAsia="ru-RU"/>
        </w:rPr>
        <w:t>TABLE</w:t>
      </w:r>
      <w:r w:rsidR="00862474">
        <w:rPr>
          <w:rFonts w:ascii="Times New Roman" w:eastAsia="Times New Roman" w:hAnsi="Times New Roman" w:cs="Times New Roman"/>
          <w:b/>
          <w:bCs/>
          <w:sz w:val="20"/>
          <w:szCs w:val="20"/>
          <w:lang w:val="en-US" w:eastAsia="ru-RU"/>
        </w:rPr>
        <w:t xml:space="preserve"> 1</w:t>
      </w:r>
      <w:r w:rsidR="00B27AE8" w:rsidRPr="00862474">
        <w:rPr>
          <w:rFonts w:ascii="Times New Roman" w:eastAsia="Times New Roman" w:hAnsi="Times New Roman" w:cs="Times New Roman"/>
          <w:b/>
          <w:bCs/>
          <w:sz w:val="20"/>
          <w:szCs w:val="20"/>
          <w:lang w:val="en-US" w:eastAsia="ru-RU"/>
        </w:rPr>
        <w:t>.</w:t>
      </w:r>
      <w:r w:rsidRPr="00862474">
        <w:rPr>
          <w:rFonts w:ascii="Times New Roman" w:eastAsia="Times New Roman" w:hAnsi="Times New Roman" w:cs="Times New Roman"/>
          <w:b/>
          <w:bCs/>
          <w:sz w:val="20"/>
          <w:szCs w:val="20"/>
          <w:lang w:val="en-US" w:eastAsia="ru-RU"/>
        </w:rPr>
        <w:t xml:space="preserve"> </w:t>
      </w:r>
      <w:r w:rsidR="00B35341" w:rsidRPr="00862474">
        <w:rPr>
          <w:rFonts w:ascii="Times New Roman" w:eastAsia="Times New Roman" w:hAnsi="Times New Roman" w:cs="Times New Roman"/>
          <w:sz w:val="20"/>
          <w:szCs w:val="20"/>
          <w:lang w:val="en-US" w:eastAsia="ru-RU"/>
        </w:rPr>
        <w:t>Level of digitalization in manufacturing enterprises in Uzbekistan</w:t>
      </w:r>
    </w:p>
    <w:tbl>
      <w:tblPr>
        <w:tblStyle w:val="a6"/>
        <w:tblW w:w="0" w:type="auto"/>
        <w:tblLook w:val="04A0" w:firstRow="1" w:lastRow="0" w:firstColumn="1" w:lastColumn="0" w:noHBand="0" w:noVBand="1"/>
      </w:tblPr>
      <w:tblGrid>
        <w:gridCol w:w="2830"/>
        <w:gridCol w:w="1843"/>
        <w:gridCol w:w="1559"/>
        <w:gridCol w:w="1524"/>
        <w:gridCol w:w="1260"/>
      </w:tblGrid>
      <w:tr w:rsidR="00B35341" w:rsidRPr="00862474" w14:paraId="21C0C0ED" w14:textId="77777777" w:rsidTr="00862474">
        <w:trPr>
          <w:trHeight w:val="70"/>
        </w:trPr>
        <w:tc>
          <w:tcPr>
            <w:tcW w:w="2830" w:type="dxa"/>
            <w:vAlign w:val="center"/>
            <w:hideMark/>
          </w:tcPr>
          <w:p w14:paraId="260D5D57" w14:textId="7C0E8E69" w:rsidR="003965EF" w:rsidRPr="00862474" w:rsidRDefault="00B35341"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Indicator</w:t>
            </w:r>
            <w:proofErr w:type="spellEnd"/>
          </w:p>
        </w:tc>
        <w:tc>
          <w:tcPr>
            <w:tcW w:w="1843" w:type="dxa"/>
            <w:vAlign w:val="center"/>
            <w:hideMark/>
          </w:tcPr>
          <w:p w14:paraId="69C2AC11" w14:textId="6D8AEC7B" w:rsidR="003965EF" w:rsidRPr="00862474" w:rsidRDefault="00B35341"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Large</w:t>
            </w:r>
            <w:proofErr w:type="spellEnd"/>
            <w:r w:rsidRPr="00862474">
              <w:rPr>
                <w:rFonts w:ascii="Times New Roman" w:eastAsia="Times New Roman" w:hAnsi="Times New Roman" w:cs="Times New Roman"/>
                <w:sz w:val="18"/>
                <w:szCs w:val="18"/>
                <w:lang w:eastAsia="ru-RU"/>
              </w:rPr>
              <w:t xml:space="preserve"> </w:t>
            </w:r>
            <w:proofErr w:type="gramStart"/>
            <w:r w:rsidRPr="00862474">
              <w:rPr>
                <w:rFonts w:ascii="Times New Roman" w:eastAsia="Times New Roman" w:hAnsi="Times New Roman" w:cs="Times New Roman"/>
                <w:sz w:val="18"/>
                <w:szCs w:val="18"/>
                <w:lang w:val="en-US" w:eastAsia="ru-RU"/>
              </w:rPr>
              <w:t>e</w:t>
            </w:r>
            <w:proofErr w:type="spellStart"/>
            <w:r w:rsidRPr="00862474">
              <w:rPr>
                <w:rFonts w:ascii="Times New Roman" w:eastAsia="Times New Roman" w:hAnsi="Times New Roman" w:cs="Times New Roman"/>
                <w:sz w:val="18"/>
                <w:szCs w:val="18"/>
                <w:lang w:eastAsia="ru-RU"/>
              </w:rPr>
              <w:t>nterprises</w:t>
            </w:r>
            <w:proofErr w:type="spellEnd"/>
            <w:r w:rsidR="003965EF" w:rsidRPr="00862474">
              <w:rPr>
                <w:rFonts w:ascii="Times New Roman" w:eastAsia="Times New Roman" w:hAnsi="Times New Roman" w:cs="Times New Roman"/>
                <w:sz w:val="18"/>
                <w:szCs w:val="18"/>
                <w:lang w:eastAsia="ru-RU"/>
              </w:rPr>
              <w:t>(</w:t>
            </w:r>
            <w:proofErr w:type="gramEnd"/>
            <w:r w:rsidR="003965EF" w:rsidRPr="00862474">
              <w:rPr>
                <w:rFonts w:ascii="Times New Roman" w:eastAsia="Times New Roman" w:hAnsi="Times New Roman" w:cs="Times New Roman"/>
                <w:sz w:val="18"/>
                <w:szCs w:val="18"/>
                <w:lang w:eastAsia="ru-RU"/>
              </w:rPr>
              <w:t>%)</w:t>
            </w:r>
          </w:p>
        </w:tc>
        <w:tc>
          <w:tcPr>
            <w:tcW w:w="1559" w:type="dxa"/>
            <w:vAlign w:val="center"/>
            <w:hideMark/>
          </w:tcPr>
          <w:p w14:paraId="6C5003BB" w14:textId="464B777D" w:rsidR="003965EF" w:rsidRPr="00862474" w:rsidRDefault="00B35341"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Medium</w:t>
            </w:r>
            <w:proofErr w:type="spellEnd"/>
            <w:r w:rsidRPr="00862474">
              <w:rPr>
                <w:rFonts w:ascii="Times New Roman" w:eastAsia="Times New Roman" w:hAnsi="Times New Roman" w:cs="Times New Roman"/>
                <w:sz w:val="18"/>
                <w:szCs w:val="18"/>
                <w:lang w:eastAsia="ru-RU"/>
              </w:rPr>
              <w:t xml:space="preserve"> </w:t>
            </w:r>
            <w:proofErr w:type="gramStart"/>
            <w:r w:rsidRPr="00862474">
              <w:rPr>
                <w:rFonts w:ascii="Times New Roman" w:eastAsia="Times New Roman" w:hAnsi="Times New Roman" w:cs="Times New Roman"/>
                <w:sz w:val="18"/>
                <w:szCs w:val="18"/>
                <w:lang w:val="en-US" w:eastAsia="ru-RU"/>
              </w:rPr>
              <w:t>e</w:t>
            </w:r>
            <w:proofErr w:type="spellStart"/>
            <w:r w:rsidRPr="00862474">
              <w:rPr>
                <w:rFonts w:ascii="Times New Roman" w:eastAsia="Times New Roman" w:hAnsi="Times New Roman" w:cs="Times New Roman"/>
                <w:sz w:val="18"/>
                <w:szCs w:val="18"/>
                <w:lang w:eastAsia="ru-RU"/>
              </w:rPr>
              <w:t>nterprises</w:t>
            </w:r>
            <w:proofErr w:type="spellEnd"/>
            <w:r w:rsidR="003965EF" w:rsidRPr="00862474">
              <w:rPr>
                <w:rFonts w:ascii="Times New Roman" w:eastAsia="Times New Roman" w:hAnsi="Times New Roman" w:cs="Times New Roman"/>
                <w:sz w:val="18"/>
                <w:szCs w:val="18"/>
                <w:lang w:eastAsia="ru-RU"/>
              </w:rPr>
              <w:t>(</w:t>
            </w:r>
            <w:proofErr w:type="gramEnd"/>
            <w:r w:rsidR="003965EF" w:rsidRPr="00862474">
              <w:rPr>
                <w:rFonts w:ascii="Times New Roman" w:eastAsia="Times New Roman" w:hAnsi="Times New Roman" w:cs="Times New Roman"/>
                <w:sz w:val="18"/>
                <w:szCs w:val="18"/>
                <w:lang w:eastAsia="ru-RU"/>
              </w:rPr>
              <w:t>%)</w:t>
            </w:r>
          </w:p>
        </w:tc>
        <w:tc>
          <w:tcPr>
            <w:tcW w:w="1524" w:type="dxa"/>
            <w:vAlign w:val="center"/>
            <w:hideMark/>
          </w:tcPr>
          <w:p w14:paraId="54AC0AED" w14:textId="320BFF84" w:rsidR="003965EF" w:rsidRPr="00862474" w:rsidRDefault="00B35341"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 xml:space="preserve">Small </w:t>
            </w:r>
            <w:proofErr w:type="gramStart"/>
            <w:r w:rsidR="008A287E" w:rsidRPr="00862474">
              <w:rPr>
                <w:rFonts w:ascii="Times New Roman" w:eastAsia="Times New Roman" w:hAnsi="Times New Roman" w:cs="Times New Roman"/>
                <w:sz w:val="18"/>
                <w:szCs w:val="18"/>
                <w:lang w:val="en-US" w:eastAsia="ru-RU"/>
              </w:rPr>
              <w:t>e</w:t>
            </w:r>
            <w:proofErr w:type="spellStart"/>
            <w:r w:rsidRPr="00862474">
              <w:rPr>
                <w:rFonts w:ascii="Times New Roman" w:eastAsia="Times New Roman" w:hAnsi="Times New Roman" w:cs="Times New Roman"/>
                <w:sz w:val="18"/>
                <w:szCs w:val="18"/>
                <w:lang w:eastAsia="ru-RU"/>
              </w:rPr>
              <w:t>nterprises</w:t>
            </w:r>
            <w:proofErr w:type="spellEnd"/>
            <w:r w:rsidR="003965EF" w:rsidRPr="00862474">
              <w:rPr>
                <w:rFonts w:ascii="Times New Roman" w:eastAsia="Times New Roman" w:hAnsi="Times New Roman" w:cs="Times New Roman"/>
                <w:sz w:val="18"/>
                <w:szCs w:val="18"/>
                <w:lang w:eastAsia="ru-RU"/>
              </w:rPr>
              <w:t>(</w:t>
            </w:r>
            <w:proofErr w:type="gramEnd"/>
            <w:r w:rsidR="003965EF" w:rsidRPr="00862474">
              <w:rPr>
                <w:rFonts w:ascii="Times New Roman" w:eastAsia="Times New Roman" w:hAnsi="Times New Roman" w:cs="Times New Roman"/>
                <w:sz w:val="18"/>
                <w:szCs w:val="18"/>
                <w:lang w:eastAsia="ru-RU"/>
              </w:rPr>
              <w:t>%)</w:t>
            </w:r>
          </w:p>
        </w:tc>
        <w:tc>
          <w:tcPr>
            <w:tcW w:w="1260" w:type="dxa"/>
            <w:vAlign w:val="center"/>
            <w:hideMark/>
          </w:tcPr>
          <w:p w14:paraId="672C18D0" w14:textId="0D676AA2" w:rsidR="003965EF" w:rsidRPr="00862474" w:rsidRDefault="00B35341" w:rsidP="00862474">
            <w:pPr>
              <w:tabs>
                <w:tab w:val="left" w:pos="567"/>
              </w:tabs>
              <w:rPr>
                <w:rFonts w:ascii="Times New Roman" w:eastAsia="Times New Roman" w:hAnsi="Times New Roman" w:cs="Times New Roman"/>
                <w:sz w:val="18"/>
                <w:szCs w:val="18"/>
                <w:lang w:eastAsia="ru-RU"/>
              </w:rPr>
            </w:pPr>
            <w:proofErr w:type="spellStart"/>
            <w:proofErr w:type="gramStart"/>
            <w:r w:rsidRPr="00862474">
              <w:rPr>
                <w:rFonts w:ascii="Times New Roman" w:eastAsia="Times New Roman" w:hAnsi="Times New Roman" w:cs="Times New Roman"/>
                <w:sz w:val="18"/>
                <w:szCs w:val="18"/>
                <w:lang w:eastAsia="ru-RU"/>
              </w:rPr>
              <w:t>Average</w:t>
            </w:r>
            <w:proofErr w:type="spellEnd"/>
            <w:r w:rsidR="003965EF" w:rsidRPr="00862474">
              <w:rPr>
                <w:rFonts w:ascii="Times New Roman" w:eastAsia="Times New Roman" w:hAnsi="Times New Roman" w:cs="Times New Roman"/>
                <w:sz w:val="18"/>
                <w:szCs w:val="18"/>
                <w:lang w:eastAsia="ru-RU"/>
              </w:rPr>
              <w:t>(</w:t>
            </w:r>
            <w:proofErr w:type="gramEnd"/>
            <w:r w:rsidR="003965EF" w:rsidRPr="00862474">
              <w:rPr>
                <w:rFonts w:ascii="Times New Roman" w:eastAsia="Times New Roman" w:hAnsi="Times New Roman" w:cs="Times New Roman"/>
                <w:sz w:val="18"/>
                <w:szCs w:val="18"/>
                <w:lang w:eastAsia="ru-RU"/>
              </w:rPr>
              <w:t>%)</w:t>
            </w:r>
          </w:p>
        </w:tc>
      </w:tr>
      <w:tr w:rsidR="00B35341" w:rsidRPr="00862474" w14:paraId="24DB7EA4" w14:textId="77777777" w:rsidTr="00484988">
        <w:tc>
          <w:tcPr>
            <w:tcW w:w="2830" w:type="dxa"/>
            <w:vAlign w:val="center"/>
            <w:hideMark/>
          </w:tcPr>
          <w:p w14:paraId="7AB60402" w14:textId="5FF5D216" w:rsidR="003965EF" w:rsidRPr="00862474" w:rsidRDefault="008A287E"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ERP Systems</w:t>
            </w:r>
          </w:p>
        </w:tc>
        <w:tc>
          <w:tcPr>
            <w:tcW w:w="1843" w:type="dxa"/>
            <w:vAlign w:val="center"/>
            <w:hideMark/>
          </w:tcPr>
          <w:p w14:paraId="33C4BE9B"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45</w:t>
            </w:r>
          </w:p>
        </w:tc>
        <w:tc>
          <w:tcPr>
            <w:tcW w:w="1559" w:type="dxa"/>
            <w:vAlign w:val="center"/>
            <w:hideMark/>
          </w:tcPr>
          <w:p w14:paraId="1DD12025"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23</w:t>
            </w:r>
          </w:p>
        </w:tc>
        <w:tc>
          <w:tcPr>
            <w:tcW w:w="1524" w:type="dxa"/>
            <w:vAlign w:val="center"/>
            <w:hideMark/>
          </w:tcPr>
          <w:p w14:paraId="7ACAEB21"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8</w:t>
            </w:r>
          </w:p>
        </w:tc>
        <w:tc>
          <w:tcPr>
            <w:tcW w:w="1260" w:type="dxa"/>
            <w:vAlign w:val="center"/>
            <w:hideMark/>
          </w:tcPr>
          <w:p w14:paraId="55AB39F6"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25</w:t>
            </w:r>
          </w:p>
        </w:tc>
      </w:tr>
      <w:tr w:rsidR="00B35341" w:rsidRPr="00862474" w14:paraId="485D1BB5" w14:textId="77777777" w:rsidTr="00484988">
        <w:tc>
          <w:tcPr>
            <w:tcW w:w="2830" w:type="dxa"/>
            <w:vAlign w:val="center"/>
            <w:hideMark/>
          </w:tcPr>
          <w:p w14:paraId="13961F1D" w14:textId="3EA50C03" w:rsidR="003965EF" w:rsidRPr="00862474" w:rsidRDefault="008A287E"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Automated</w:t>
            </w:r>
            <w:proofErr w:type="spellEnd"/>
            <w:r w:rsidRPr="00862474">
              <w:rPr>
                <w:rFonts w:ascii="Times New Roman" w:eastAsia="Times New Roman" w:hAnsi="Times New Roman" w:cs="Times New Roman"/>
                <w:sz w:val="18"/>
                <w:szCs w:val="18"/>
                <w:lang w:eastAsia="ru-RU"/>
              </w:rPr>
              <w:t xml:space="preserve"> </w:t>
            </w:r>
            <w:r w:rsidRPr="00862474">
              <w:rPr>
                <w:rFonts w:ascii="Times New Roman" w:eastAsia="Times New Roman" w:hAnsi="Times New Roman" w:cs="Times New Roman"/>
                <w:sz w:val="18"/>
                <w:szCs w:val="18"/>
                <w:lang w:val="en-US" w:eastAsia="ru-RU"/>
              </w:rPr>
              <w:t>p</w:t>
            </w:r>
            <w:proofErr w:type="spellStart"/>
            <w:r w:rsidRPr="00862474">
              <w:rPr>
                <w:rFonts w:ascii="Times New Roman" w:eastAsia="Times New Roman" w:hAnsi="Times New Roman" w:cs="Times New Roman"/>
                <w:sz w:val="18"/>
                <w:szCs w:val="18"/>
                <w:lang w:eastAsia="ru-RU"/>
              </w:rPr>
              <w:t>roduction</w:t>
            </w:r>
            <w:proofErr w:type="spellEnd"/>
          </w:p>
        </w:tc>
        <w:tc>
          <w:tcPr>
            <w:tcW w:w="1843" w:type="dxa"/>
            <w:vAlign w:val="center"/>
            <w:hideMark/>
          </w:tcPr>
          <w:p w14:paraId="01346498"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38</w:t>
            </w:r>
          </w:p>
        </w:tc>
        <w:tc>
          <w:tcPr>
            <w:tcW w:w="1559" w:type="dxa"/>
            <w:vAlign w:val="center"/>
            <w:hideMark/>
          </w:tcPr>
          <w:p w14:paraId="5203D284"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18</w:t>
            </w:r>
          </w:p>
        </w:tc>
        <w:tc>
          <w:tcPr>
            <w:tcW w:w="1524" w:type="dxa"/>
            <w:vAlign w:val="center"/>
            <w:hideMark/>
          </w:tcPr>
          <w:p w14:paraId="77AFEDBD"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5</w:t>
            </w:r>
          </w:p>
        </w:tc>
        <w:tc>
          <w:tcPr>
            <w:tcW w:w="1260" w:type="dxa"/>
            <w:vAlign w:val="center"/>
            <w:hideMark/>
          </w:tcPr>
          <w:p w14:paraId="33406485"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20</w:t>
            </w:r>
          </w:p>
        </w:tc>
      </w:tr>
      <w:tr w:rsidR="00B35341" w:rsidRPr="00862474" w14:paraId="0219A71A" w14:textId="77777777" w:rsidTr="00484988">
        <w:tc>
          <w:tcPr>
            <w:tcW w:w="2830" w:type="dxa"/>
            <w:vAlign w:val="center"/>
            <w:hideMark/>
          </w:tcPr>
          <w:p w14:paraId="36FCBCFB" w14:textId="215E0981" w:rsidR="003965EF" w:rsidRPr="00862474" w:rsidRDefault="008A287E"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E-</w:t>
            </w:r>
            <w:proofErr w:type="spellStart"/>
            <w:r w:rsidRPr="00862474">
              <w:rPr>
                <w:rFonts w:ascii="Times New Roman" w:eastAsia="Times New Roman" w:hAnsi="Times New Roman" w:cs="Times New Roman"/>
                <w:sz w:val="18"/>
                <w:szCs w:val="18"/>
                <w:lang w:eastAsia="ru-RU"/>
              </w:rPr>
              <w:t>commerce</w:t>
            </w:r>
            <w:proofErr w:type="spellEnd"/>
            <w:r w:rsidRPr="00862474">
              <w:rPr>
                <w:rFonts w:ascii="Times New Roman" w:eastAsia="Times New Roman" w:hAnsi="Times New Roman" w:cs="Times New Roman"/>
                <w:sz w:val="18"/>
                <w:szCs w:val="18"/>
                <w:lang w:eastAsia="ru-RU"/>
              </w:rPr>
              <w:t xml:space="preserve"> </w:t>
            </w:r>
            <w:r w:rsidRPr="00862474">
              <w:rPr>
                <w:rFonts w:ascii="Times New Roman" w:eastAsia="Times New Roman" w:hAnsi="Times New Roman" w:cs="Times New Roman"/>
                <w:sz w:val="18"/>
                <w:szCs w:val="18"/>
                <w:lang w:val="en-US" w:eastAsia="ru-RU"/>
              </w:rPr>
              <w:t>p</w:t>
            </w:r>
            <w:proofErr w:type="spellStart"/>
            <w:r w:rsidRPr="00862474">
              <w:rPr>
                <w:rFonts w:ascii="Times New Roman" w:eastAsia="Times New Roman" w:hAnsi="Times New Roman" w:cs="Times New Roman"/>
                <w:sz w:val="18"/>
                <w:szCs w:val="18"/>
                <w:lang w:eastAsia="ru-RU"/>
              </w:rPr>
              <w:t>latforms</w:t>
            </w:r>
            <w:proofErr w:type="spellEnd"/>
          </w:p>
        </w:tc>
        <w:tc>
          <w:tcPr>
            <w:tcW w:w="1843" w:type="dxa"/>
            <w:vAlign w:val="center"/>
            <w:hideMark/>
          </w:tcPr>
          <w:p w14:paraId="18EAB4F0"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52</w:t>
            </w:r>
          </w:p>
        </w:tc>
        <w:tc>
          <w:tcPr>
            <w:tcW w:w="1559" w:type="dxa"/>
            <w:vAlign w:val="center"/>
            <w:hideMark/>
          </w:tcPr>
          <w:p w14:paraId="7F2C2729"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34</w:t>
            </w:r>
          </w:p>
        </w:tc>
        <w:tc>
          <w:tcPr>
            <w:tcW w:w="1524" w:type="dxa"/>
            <w:vAlign w:val="center"/>
            <w:hideMark/>
          </w:tcPr>
          <w:p w14:paraId="5BE75724"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15</w:t>
            </w:r>
          </w:p>
        </w:tc>
        <w:tc>
          <w:tcPr>
            <w:tcW w:w="1260" w:type="dxa"/>
            <w:vAlign w:val="center"/>
            <w:hideMark/>
          </w:tcPr>
          <w:p w14:paraId="5506D4AC"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34</w:t>
            </w:r>
          </w:p>
        </w:tc>
      </w:tr>
      <w:tr w:rsidR="00B35341" w:rsidRPr="00862474" w14:paraId="777A7850" w14:textId="77777777" w:rsidTr="00484988">
        <w:tc>
          <w:tcPr>
            <w:tcW w:w="2830" w:type="dxa"/>
            <w:vAlign w:val="center"/>
            <w:hideMark/>
          </w:tcPr>
          <w:p w14:paraId="2D2C310A" w14:textId="5A303EE6" w:rsidR="003965EF" w:rsidRPr="00862474" w:rsidRDefault="008A287E"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Cybersecurity</w:t>
            </w:r>
            <w:proofErr w:type="spellEnd"/>
            <w:r w:rsidRPr="00862474">
              <w:rPr>
                <w:rFonts w:ascii="Times New Roman" w:eastAsia="Times New Roman" w:hAnsi="Times New Roman" w:cs="Times New Roman"/>
                <w:sz w:val="18"/>
                <w:szCs w:val="18"/>
                <w:lang w:eastAsia="ru-RU"/>
              </w:rPr>
              <w:t xml:space="preserve"> </w:t>
            </w:r>
            <w:r w:rsidRPr="00862474">
              <w:rPr>
                <w:rFonts w:ascii="Times New Roman" w:eastAsia="Times New Roman" w:hAnsi="Times New Roman" w:cs="Times New Roman"/>
                <w:sz w:val="18"/>
                <w:szCs w:val="18"/>
                <w:lang w:val="en-US" w:eastAsia="ru-RU"/>
              </w:rPr>
              <w:t>s</w:t>
            </w:r>
            <w:proofErr w:type="spellStart"/>
            <w:r w:rsidRPr="00862474">
              <w:rPr>
                <w:rFonts w:ascii="Times New Roman" w:eastAsia="Times New Roman" w:hAnsi="Times New Roman" w:cs="Times New Roman"/>
                <w:sz w:val="18"/>
                <w:szCs w:val="18"/>
                <w:lang w:eastAsia="ru-RU"/>
              </w:rPr>
              <w:t>ystems</w:t>
            </w:r>
            <w:proofErr w:type="spellEnd"/>
          </w:p>
        </w:tc>
        <w:tc>
          <w:tcPr>
            <w:tcW w:w="1843" w:type="dxa"/>
            <w:vAlign w:val="center"/>
            <w:hideMark/>
          </w:tcPr>
          <w:p w14:paraId="13622700"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41</w:t>
            </w:r>
          </w:p>
        </w:tc>
        <w:tc>
          <w:tcPr>
            <w:tcW w:w="1559" w:type="dxa"/>
            <w:vAlign w:val="center"/>
            <w:hideMark/>
          </w:tcPr>
          <w:p w14:paraId="377EF7BA"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19</w:t>
            </w:r>
          </w:p>
        </w:tc>
        <w:tc>
          <w:tcPr>
            <w:tcW w:w="1524" w:type="dxa"/>
            <w:vAlign w:val="center"/>
            <w:hideMark/>
          </w:tcPr>
          <w:p w14:paraId="1CF27469"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7</w:t>
            </w:r>
          </w:p>
        </w:tc>
        <w:tc>
          <w:tcPr>
            <w:tcW w:w="1260" w:type="dxa"/>
            <w:vAlign w:val="center"/>
            <w:hideMark/>
          </w:tcPr>
          <w:p w14:paraId="1C68B1D2"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22</w:t>
            </w:r>
          </w:p>
        </w:tc>
      </w:tr>
      <w:tr w:rsidR="00B35341" w:rsidRPr="00862474" w14:paraId="64427254" w14:textId="77777777" w:rsidTr="00484988">
        <w:tc>
          <w:tcPr>
            <w:tcW w:w="2830" w:type="dxa"/>
            <w:vAlign w:val="center"/>
            <w:hideMark/>
          </w:tcPr>
          <w:p w14:paraId="306689A7" w14:textId="7A7D1B08" w:rsidR="003965EF" w:rsidRPr="00862474" w:rsidRDefault="008A287E"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Artificial</w:t>
            </w:r>
            <w:proofErr w:type="spellEnd"/>
            <w:r w:rsidRPr="00862474">
              <w:rPr>
                <w:rFonts w:ascii="Times New Roman" w:eastAsia="Times New Roman" w:hAnsi="Times New Roman" w:cs="Times New Roman"/>
                <w:sz w:val="18"/>
                <w:szCs w:val="18"/>
                <w:lang w:eastAsia="ru-RU"/>
              </w:rPr>
              <w:t xml:space="preserve"> Intelligence </w:t>
            </w:r>
            <w:r w:rsidRPr="00862474">
              <w:rPr>
                <w:rFonts w:ascii="Times New Roman" w:eastAsia="Times New Roman" w:hAnsi="Times New Roman" w:cs="Times New Roman"/>
                <w:sz w:val="18"/>
                <w:szCs w:val="18"/>
                <w:lang w:val="en-US" w:eastAsia="ru-RU"/>
              </w:rPr>
              <w:t>s</w:t>
            </w:r>
            <w:proofErr w:type="spellStart"/>
            <w:r w:rsidRPr="00862474">
              <w:rPr>
                <w:rFonts w:ascii="Times New Roman" w:eastAsia="Times New Roman" w:hAnsi="Times New Roman" w:cs="Times New Roman"/>
                <w:sz w:val="18"/>
                <w:szCs w:val="18"/>
                <w:lang w:eastAsia="ru-RU"/>
              </w:rPr>
              <w:t>olutions</w:t>
            </w:r>
            <w:proofErr w:type="spellEnd"/>
          </w:p>
        </w:tc>
        <w:tc>
          <w:tcPr>
            <w:tcW w:w="1843" w:type="dxa"/>
            <w:vAlign w:val="center"/>
            <w:hideMark/>
          </w:tcPr>
          <w:p w14:paraId="68BB976B"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12</w:t>
            </w:r>
          </w:p>
        </w:tc>
        <w:tc>
          <w:tcPr>
            <w:tcW w:w="1559" w:type="dxa"/>
            <w:vAlign w:val="center"/>
            <w:hideMark/>
          </w:tcPr>
          <w:p w14:paraId="7FACD635"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w:t>
            </w:r>
          </w:p>
        </w:tc>
        <w:tc>
          <w:tcPr>
            <w:tcW w:w="1524" w:type="dxa"/>
            <w:vAlign w:val="center"/>
            <w:hideMark/>
          </w:tcPr>
          <w:p w14:paraId="24A2B680"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w:t>
            </w:r>
          </w:p>
        </w:tc>
        <w:tc>
          <w:tcPr>
            <w:tcW w:w="1260" w:type="dxa"/>
            <w:vAlign w:val="center"/>
            <w:hideMark/>
          </w:tcPr>
          <w:p w14:paraId="11402119"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6</w:t>
            </w:r>
          </w:p>
        </w:tc>
      </w:tr>
      <w:tr w:rsidR="00B35341" w:rsidRPr="00862474" w14:paraId="243EE2ED" w14:textId="77777777" w:rsidTr="00484988">
        <w:tc>
          <w:tcPr>
            <w:tcW w:w="2830" w:type="dxa"/>
            <w:vAlign w:val="center"/>
            <w:hideMark/>
          </w:tcPr>
          <w:p w14:paraId="6428EDD6" w14:textId="425C1BC6" w:rsidR="003965EF" w:rsidRPr="00862474" w:rsidRDefault="008A287E"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IoT</w:t>
            </w:r>
            <w:proofErr w:type="spellEnd"/>
            <w:r w:rsidRPr="00862474">
              <w:rPr>
                <w:rFonts w:ascii="Times New Roman" w:eastAsia="Times New Roman" w:hAnsi="Times New Roman" w:cs="Times New Roman"/>
                <w:sz w:val="18"/>
                <w:szCs w:val="18"/>
                <w:lang w:eastAsia="ru-RU"/>
              </w:rPr>
              <w:t xml:space="preserve"> </w:t>
            </w:r>
            <w:r w:rsidRPr="00862474">
              <w:rPr>
                <w:rFonts w:ascii="Times New Roman" w:eastAsia="Times New Roman" w:hAnsi="Times New Roman" w:cs="Times New Roman"/>
                <w:sz w:val="18"/>
                <w:szCs w:val="18"/>
                <w:lang w:val="en-US" w:eastAsia="ru-RU"/>
              </w:rPr>
              <w:t>t</w:t>
            </w:r>
            <w:proofErr w:type="spellStart"/>
            <w:r w:rsidRPr="00862474">
              <w:rPr>
                <w:rFonts w:ascii="Times New Roman" w:eastAsia="Times New Roman" w:hAnsi="Times New Roman" w:cs="Times New Roman"/>
                <w:sz w:val="18"/>
                <w:szCs w:val="18"/>
                <w:lang w:eastAsia="ru-RU"/>
              </w:rPr>
              <w:t>echnologies</w:t>
            </w:r>
            <w:proofErr w:type="spellEnd"/>
          </w:p>
        </w:tc>
        <w:tc>
          <w:tcPr>
            <w:tcW w:w="1843" w:type="dxa"/>
            <w:vAlign w:val="center"/>
            <w:hideMark/>
          </w:tcPr>
          <w:p w14:paraId="1139051C"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15</w:t>
            </w:r>
          </w:p>
        </w:tc>
        <w:tc>
          <w:tcPr>
            <w:tcW w:w="1559" w:type="dxa"/>
            <w:vAlign w:val="center"/>
            <w:hideMark/>
          </w:tcPr>
          <w:p w14:paraId="5385B8E5"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6</w:t>
            </w:r>
          </w:p>
        </w:tc>
        <w:tc>
          <w:tcPr>
            <w:tcW w:w="1524" w:type="dxa"/>
            <w:vAlign w:val="center"/>
            <w:hideMark/>
          </w:tcPr>
          <w:p w14:paraId="4C130C19"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w:t>
            </w:r>
          </w:p>
        </w:tc>
        <w:tc>
          <w:tcPr>
            <w:tcW w:w="1260" w:type="dxa"/>
            <w:vAlign w:val="center"/>
            <w:hideMark/>
          </w:tcPr>
          <w:p w14:paraId="11C3EBEF"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8</w:t>
            </w:r>
          </w:p>
        </w:tc>
      </w:tr>
    </w:tbl>
    <w:p w14:paraId="2917CBE1" w14:textId="485FC0F7" w:rsidR="00B27AE8" w:rsidRPr="00862474" w:rsidRDefault="008A287E" w:rsidP="00862474">
      <w:pPr>
        <w:tabs>
          <w:tab w:val="left" w:pos="567"/>
        </w:tabs>
        <w:spacing w:after="0" w:line="240" w:lineRule="auto"/>
        <w:ind w:firstLine="284"/>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b/>
          <w:bCs/>
          <w:sz w:val="20"/>
          <w:szCs w:val="20"/>
          <w:lang w:val="en-US" w:eastAsia="ru-RU"/>
        </w:rPr>
        <w:t>Source:</w:t>
      </w:r>
      <w:r w:rsidRPr="00862474">
        <w:rPr>
          <w:rFonts w:ascii="Times New Roman" w:eastAsia="Times New Roman" w:hAnsi="Times New Roman" w:cs="Times New Roman"/>
          <w:sz w:val="20"/>
          <w:szCs w:val="20"/>
          <w:lang w:val="en-US" w:eastAsia="ru-RU"/>
        </w:rPr>
        <w:t xml:space="preserve"> Prepared by the author based on the data from the State Statistics Committee of the Republic of Uzbekistan (2023), </w:t>
      </w:r>
      <w:r w:rsidRPr="00862474">
        <w:rPr>
          <w:rFonts w:ascii="Times New Roman" w:eastAsia="Times New Roman" w:hAnsi="Times New Roman" w:cs="Times New Roman"/>
          <w:i/>
          <w:iCs/>
          <w:sz w:val="20"/>
          <w:szCs w:val="20"/>
          <w:lang w:val="en-US" w:eastAsia="ru-RU"/>
        </w:rPr>
        <w:t>Digital Economy 2023</w:t>
      </w:r>
      <w:r w:rsidRPr="00862474">
        <w:rPr>
          <w:rFonts w:ascii="Times New Roman" w:eastAsia="Times New Roman" w:hAnsi="Times New Roman" w:cs="Times New Roman"/>
          <w:sz w:val="20"/>
          <w:szCs w:val="20"/>
          <w:lang w:val="en-US" w:eastAsia="ru-RU"/>
        </w:rPr>
        <w:t>.</w:t>
      </w:r>
    </w:p>
    <w:p w14:paraId="2559BE05" w14:textId="77777777" w:rsidR="00862474" w:rsidRDefault="00862474"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p>
    <w:p w14:paraId="11FF8766" w14:textId="7C215228" w:rsidR="008A287E" w:rsidRPr="00862474" w:rsidRDefault="008A287E"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According to the analysis, large enterprises are considerably ahead in terms of digitalization, while small enterprises lag significantly behind. E-commerce is relatively well-developed; however, the adoption of advanced technologies such as AI and IoT remains very low.</w:t>
      </w:r>
    </w:p>
    <w:p w14:paraId="12FA036A" w14:textId="77777777" w:rsidR="008A287E" w:rsidRPr="00862474" w:rsidRDefault="008A287E"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In recent years, the government has introduced a number of support mechanisms to accelerate digitalization in enterprises. Industrial digitalization projects, the activities of IT parks, the attraction of foreign technologies, and the development of specialist training systems have positively influenced the digital transformation of enterprises. As a result, some enterprises are beginning to gain initial experience in using artificial intelligence, big data, IoT, and remote monitoring technologies.</w:t>
      </w:r>
    </w:p>
    <w:p w14:paraId="1C61A532" w14:textId="77777777" w:rsidR="008A287E" w:rsidRPr="00862474" w:rsidRDefault="008A287E"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A comparison of the key economic indicators of enterprises with varying levels of digitalization yielded the following results:</w:t>
      </w:r>
    </w:p>
    <w:p w14:paraId="3A300C17" w14:textId="77777777" w:rsidR="00862474" w:rsidRDefault="00862474" w:rsidP="00862474">
      <w:pPr>
        <w:tabs>
          <w:tab w:val="left" w:pos="567"/>
          <w:tab w:val="left" w:pos="1134"/>
        </w:tabs>
        <w:spacing w:after="0" w:line="240" w:lineRule="auto"/>
        <w:ind w:firstLine="284"/>
        <w:jc w:val="center"/>
        <w:rPr>
          <w:rFonts w:ascii="Times New Roman" w:eastAsia="Times New Roman" w:hAnsi="Times New Roman" w:cs="Times New Roman"/>
          <w:b/>
          <w:bCs/>
          <w:sz w:val="20"/>
          <w:szCs w:val="20"/>
          <w:lang w:val="en-US" w:eastAsia="ru-RU"/>
        </w:rPr>
      </w:pPr>
    </w:p>
    <w:p w14:paraId="08D0BCDC" w14:textId="2FBB2966" w:rsidR="008A287E" w:rsidRPr="00862474" w:rsidRDefault="00EE4460" w:rsidP="00862474">
      <w:pPr>
        <w:tabs>
          <w:tab w:val="left" w:pos="567"/>
          <w:tab w:val="left" w:pos="1134"/>
        </w:tabs>
        <w:spacing w:after="0" w:line="240" w:lineRule="auto"/>
        <w:ind w:firstLine="284"/>
        <w:jc w:val="center"/>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b/>
          <w:bCs/>
          <w:sz w:val="20"/>
          <w:szCs w:val="20"/>
          <w:lang w:val="en-US" w:eastAsia="ru-RU"/>
        </w:rPr>
        <w:t>TABLE</w:t>
      </w:r>
      <w:r w:rsidR="00862474">
        <w:rPr>
          <w:rFonts w:ascii="Times New Roman" w:eastAsia="Times New Roman" w:hAnsi="Times New Roman" w:cs="Times New Roman"/>
          <w:b/>
          <w:bCs/>
          <w:sz w:val="20"/>
          <w:szCs w:val="20"/>
          <w:lang w:val="en-US" w:eastAsia="ru-RU"/>
        </w:rPr>
        <w:t xml:space="preserve"> 3</w:t>
      </w:r>
      <w:r w:rsidR="00CC7761" w:rsidRPr="00862474">
        <w:rPr>
          <w:rFonts w:ascii="Times New Roman" w:eastAsia="Times New Roman" w:hAnsi="Times New Roman" w:cs="Times New Roman"/>
          <w:b/>
          <w:bCs/>
          <w:sz w:val="20"/>
          <w:szCs w:val="20"/>
          <w:lang w:val="en-US" w:eastAsia="ru-RU"/>
        </w:rPr>
        <w:t>.</w:t>
      </w:r>
      <w:r w:rsidR="00862474">
        <w:rPr>
          <w:rFonts w:ascii="Times New Roman" w:eastAsia="Times New Roman" w:hAnsi="Times New Roman" w:cs="Times New Roman"/>
          <w:b/>
          <w:bCs/>
          <w:sz w:val="20"/>
          <w:szCs w:val="20"/>
          <w:lang w:val="en-US" w:eastAsia="ru-RU"/>
        </w:rPr>
        <w:t xml:space="preserve"> </w:t>
      </w:r>
      <w:r w:rsidR="008A287E" w:rsidRPr="00862474">
        <w:rPr>
          <w:rFonts w:ascii="Times New Roman" w:eastAsia="Times New Roman" w:hAnsi="Times New Roman" w:cs="Times New Roman"/>
          <w:sz w:val="20"/>
          <w:szCs w:val="20"/>
          <w:lang w:val="en-US" w:eastAsia="ru-RU"/>
        </w:rPr>
        <w:t>Relationship between the level of digitalization and enterprise performance</w:t>
      </w:r>
    </w:p>
    <w:tbl>
      <w:tblPr>
        <w:tblStyle w:val="a6"/>
        <w:tblW w:w="0" w:type="auto"/>
        <w:tblLook w:val="04A0" w:firstRow="1" w:lastRow="0" w:firstColumn="1" w:lastColumn="0" w:noHBand="0" w:noVBand="1"/>
      </w:tblPr>
      <w:tblGrid>
        <w:gridCol w:w="1753"/>
        <w:gridCol w:w="1767"/>
        <w:gridCol w:w="2133"/>
        <w:gridCol w:w="2297"/>
        <w:gridCol w:w="1402"/>
      </w:tblGrid>
      <w:tr w:rsidR="00E0401D" w:rsidRPr="00862474" w14:paraId="408EC75E" w14:textId="77777777" w:rsidTr="00CC7761">
        <w:tc>
          <w:tcPr>
            <w:tcW w:w="0" w:type="auto"/>
            <w:vAlign w:val="center"/>
            <w:hideMark/>
          </w:tcPr>
          <w:p w14:paraId="3F6F351B" w14:textId="5979F626" w:rsidR="003965EF" w:rsidRPr="00862474" w:rsidRDefault="00A859D2"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b/>
                <w:bCs/>
                <w:sz w:val="18"/>
                <w:szCs w:val="18"/>
                <w:lang w:eastAsia="ru-RU"/>
              </w:rPr>
              <w:t xml:space="preserve">Level </w:t>
            </w:r>
            <w:proofErr w:type="spellStart"/>
            <w:r w:rsidRPr="00862474">
              <w:rPr>
                <w:rFonts w:ascii="Times New Roman" w:eastAsia="Times New Roman" w:hAnsi="Times New Roman" w:cs="Times New Roman"/>
                <w:b/>
                <w:bCs/>
                <w:sz w:val="18"/>
                <w:szCs w:val="18"/>
                <w:lang w:eastAsia="ru-RU"/>
              </w:rPr>
              <w:t>of</w:t>
            </w:r>
            <w:proofErr w:type="spellEnd"/>
            <w:r w:rsidRPr="00862474">
              <w:rPr>
                <w:rFonts w:ascii="Times New Roman" w:eastAsia="Times New Roman" w:hAnsi="Times New Roman" w:cs="Times New Roman"/>
                <w:b/>
                <w:bCs/>
                <w:sz w:val="18"/>
                <w:szCs w:val="18"/>
                <w:lang w:eastAsia="ru-RU"/>
              </w:rPr>
              <w:t xml:space="preserve"> </w:t>
            </w:r>
            <w:r w:rsidRPr="00862474">
              <w:rPr>
                <w:rFonts w:ascii="Times New Roman" w:eastAsia="Times New Roman" w:hAnsi="Times New Roman" w:cs="Times New Roman"/>
                <w:b/>
                <w:bCs/>
                <w:sz w:val="18"/>
                <w:szCs w:val="18"/>
                <w:lang w:val="en-US" w:eastAsia="ru-RU"/>
              </w:rPr>
              <w:t>d</w:t>
            </w:r>
            <w:proofErr w:type="spellStart"/>
            <w:r w:rsidRPr="00862474">
              <w:rPr>
                <w:rFonts w:ascii="Times New Roman" w:eastAsia="Times New Roman" w:hAnsi="Times New Roman" w:cs="Times New Roman"/>
                <w:b/>
                <w:bCs/>
                <w:sz w:val="18"/>
                <w:szCs w:val="18"/>
                <w:lang w:eastAsia="ru-RU"/>
              </w:rPr>
              <w:t>igitalization</w:t>
            </w:r>
            <w:proofErr w:type="spellEnd"/>
          </w:p>
        </w:tc>
        <w:tc>
          <w:tcPr>
            <w:tcW w:w="0" w:type="auto"/>
            <w:vAlign w:val="center"/>
            <w:hideMark/>
          </w:tcPr>
          <w:p w14:paraId="285532DD" w14:textId="41A9BE27" w:rsidR="003965EF" w:rsidRPr="00862474" w:rsidRDefault="00A859D2"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b/>
                <w:bCs/>
                <w:sz w:val="18"/>
                <w:szCs w:val="18"/>
                <w:lang w:eastAsia="ru-RU"/>
              </w:rPr>
              <w:t xml:space="preserve">Number </w:t>
            </w:r>
            <w:proofErr w:type="spellStart"/>
            <w:r w:rsidRPr="00862474">
              <w:rPr>
                <w:rFonts w:ascii="Times New Roman" w:eastAsia="Times New Roman" w:hAnsi="Times New Roman" w:cs="Times New Roman"/>
                <w:b/>
                <w:bCs/>
                <w:sz w:val="18"/>
                <w:szCs w:val="18"/>
                <w:lang w:eastAsia="ru-RU"/>
              </w:rPr>
              <w:t>of</w:t>
            </w:r>
            <w:proofErr w:type="spellEnd"/>
            <w:r w:rsidRPr="00862474">
              <w:rPr>
                <w:rFonts w:ascii="Times New Roman" w:eastAsia="Times New Roman" w:hAnsi="Times New Roman" w:cs="Times New Roman"/>
                <w:b/>
                <w:bCs/>
                <w:sz w:val="18"/>
                <w:szCs w:val="18"/>
                <w:lang w:eastAsia="ru-RU"/>
              </w:rPr>
              <w:t xml:space="preserve"> </w:t>
            </w:r>
            <w:r w:rsidRPr="00862474">
              <w:rPr>
                <w:rFonts w:ascii="Times New Roman" w:eastAsia="Times New Roman" w:hAnsi="Times New Roman" w:cs="Times New Roman"/>
                <w:b/>
                <w:bCs/>
                <w:sz w:val="18"/>
                <w:szCs w:val="18"/>
                <w:lang w:val="en-US" w:eastAsia="ru-RU"/>
              </w:rPr>
              <w:t>e</w:t>
            </w:r>
            <w:proofErr w:type="spellStart"/>
            <w:r w:rsidRPr="00862474">
              <w:rPr>
                <w:rFonts w:ascii="Times New Roman" w:eastAsia="Times New Roman" w:hAnsi="Times New Roman" w:cs="Times New Roman"/>
                <w:b/>
                <w:bCs/>
                <w:sz w:val="18"/>
                <w:szCs w:val="18"/>
                <w:lang w:eastAsia="ru-RU"/>
              </w:rPr>
              <w:t>nterprises</w:t>
            </w:r>
            <w:proofErr w:type="spellEnd"/>
          </w:p>
        </w:tc>
        <w:tc>
          <w:tcPr>
            <w:tcW w:w="0" w:type="auto"/>
            <w:vAlign w:val="center"/>
            <w:hideMark/>
          </w:tcPr>
          <w:p w14:paraId="678D0AE5" w14:textId="19DBAD7D" w:rsidR="003965EF" w:rsidRPr="00862474" w:rsidRDefault="00A859D2"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b/>
                <w:bCs/>
                <w:sz w:val="18"/>
                <w:szCs w:val="18"/>
                <w:lang w:eastAsia="ru-RU"/>
              </w:rPr>
              <w:t>Average</w:t>
            </w:r>
            <w:proofErr w:type="spellEnd"/>
            <w:r w:rsidRPr="00862474">
              <w:rPr>
                <w:rFonts w:ascii="Times New Roman" w:eastAsia="Times New Roman" w:hAnsi="Times New Roman" w:cs="Times New Roman"/>
                <w:b/>
                <w:bCs/>
                <w:sz w:val="18"/>
                <w:szCs w:val="18"/>
                <w:lang w:eastAsia="ru-RU"/>
              </w:rPr>
              <w:t xml:space="preserve"> </w:t>
            </w:r>
            <w:r w:rsidRPr="00862474">
              <w:rPr>
                <w:rFonts w:ascii="Times New Roman" w:eastAsia="Times New Roman" w:hAnsi="Times New Roman" w:cs="Times New Roman"/>
                <w:b/>
                <w:bCs/>
                <w:sz w:val="18"/>
                <w:szCs w:val="18"/>
                <w:lang w:val="en-US" w:eastAsia="ru-RU"/>
              </w:rPr>
              <w:t>r</w:t>
            </w:r>
            <w:proofErr w:type="spellStart"/>
            <w:r w:rsidRPr="00862474">
              <w:rPr>
                <w:rFonts w:ascii="Times New Roman" w:eastAsia="Times New Roman" w:hAnsi="Times New Roman" w:cs="Times New Roman"/>
                <w:b/>
                <w:bCs/>
                <w:sz w:val="18"/>
                <w:szCs w:val="18"/>
                <w:lang w:eastAsia="ru-RU"/>
              </w:rPr>
              <w:t>evenue</w:t>
            </w:r>
            <w:proofErr w:type="spellEnd"/>
            <w:r w:rsidRPr="00862474">
              <w:rPr>
                <w:rFonts w:ascii="Times New Roman" w:eastAsia="Times New Roman" w:hAnsi="Times New Roman" w:cs="Times New Roman"/>
                <w:b/>
                <w:bCs/>
                <w:sz w:val="18"/>
                <w:szCs w:val="18"/>
                <w:lang w:eastAsia="ru-RU"/>
              </w:rPr>
              <w:t xml:space="preserve"> </w:t>
            </w:r>
            <w:proofErr w:type="gramStart"/>
            <w:r w:rsidRPr="00862474">
              <w:rPr>
                <w:rFonts w:ascii="Times New Roman" w:eastAsia="Times New Roman" w:hAnsi="Times New Roman" w:cs="Times New Roman"/>
                <w:b/>
                <w:bCs/>
                <w:sz w:val="18"/>
                <w:szCs w:val="18"/>
                <w:lang w:val="en-US" w:eastAsia="ru-RU"/>
              </w:rPr>
              <w:t>g</w:t>
            </w:r>
            <w:proofErr w:type="spellStart"/>
            <w:r w:rsidRPr="00862474">
              <w:rPr>
                <w:rFonts w:ascii="Times New Roman" w:eastAsia="Times New Roman" w:hAnsi="Times New Roman" w:cs="Times New Roman"/>
                <w:b/>
                <w:bCs/>
                <w:sz w:val="18"/>
                <w:szCs w:val="18"/>
                <w:lang w:eastAsia="ru-RU"/>
              </w:rPr>
              <w:t>rowth</w:t>
            </w:r>
            <w:proofErr w:type="spellEnd"/>
            <w:r w:rsidR="003965EF" w:rsidRPr="00862474">
              <w:rPr>
                <w:rFonts w:ascii="Times New Roman" w:eastAsia="Times New Roman" w:hAnsi="Times New Roman" w:cs="Times New Roman"/>
                <w:b/>
                <w:bCs/>
                <w:sz w:val="18"/>
                <w:szCs w:val="18"/>
                <w:lang w:val="en-US" w:eastAsia="ru-RU"/>
              </w:rPr>
              <w:t>(</w:t>
            </w:r>
            <w:proofErr w:type="gramEnd"/>
            <w:r w:rsidR="003965EF" w:rsidRPr="00862474">
              <w:rPr>
                <w:rFonts w:ascii="Times New Roman" w:eastAsia="Times New Roman" w:hAnsi="Times New Roman" w:cs="Times New Roman"/>
                <w:b/>
                <w:bCs/>
                <w:sz w:val="18"/>
                <w:szCs w:val="18"/>
                <w:lang w:val="en-US" w:eastAsia="ru-RU"/>
              </w:rPr>
              <w:t>%)</w:t>
            </w:r>
          </w:p>
        </w:tc>
        <w:tc>
          <w:tcPr>
            <w:tcW w:w="0" w:type="auto"/>
            <w:vAlign w:val="center"/>
            <w:hideMark/>
          </w:tcPr>
          <w:p w14:paraId="28E7DF64" w14:textId="6C2F3BC7" w:rsidR="003965EF" w:rsidRPr="00862474" w:rsidRDefault="00E0401D"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b/>
                <w:bCs/>
                <w:sz w:val="18"/>
                <w:szCs w:val="18"/>
                <w:lang w:eastAsia="ru-RU"/>
              </w:rPr>
              <w:t>Labor</w:t>
            </w:r>
            <w:proofErr w:type="spellEnd"/>
            <w:r w:rsidRPr="00862474">
              <w:rPr>
                <w:rFonts w:ascii="Times New Roman" w:eastAsia="Times New Roman" w:hAnsi="Times New Roman" w:cs="Times New Roman"/>
                <w:b/>
                <w:bCs/>
                <w:sz w:val="18"/>
                <w:szCs w:val="18"/>
                <w:lang w:eastAsia="ru-RU"/>
              </w:rPr>
              <w:t xml:space="preserve"> </w:t>
            </w:r>
            <w:r w:rsidRPr="00862474">
              <w:rPr>
                <w:rFonts w:ascii="Times New Roman" w:eastAsia="Times New Roman" w:hAnsi="Times New Roman" w:cs="Times New Roman"/>
                <w:b/>
                <w:bCs/>
                <w:sz w:val="18"/>
                <w:szCs w:val="18"/>
                <w:lang w:val="en-US" w:eastAsia="ru-RU"/>
              </w:rPr>
              <w:t>p</w:t>
            </w:r>
            <w:proofErr w:type="spellStart"/>
            <w:r w:rsidRPr="00862474">
              <w:rPr>
                <w:rFonts w:ascii="Times New Roman" w:eastAsia="Times New Roman" w:hAnsi="Times New Roman" w:cs="Times New Roman"/>
                <w:b/>
                <w:bCs/>
                <w:sz w:val="18"/>
                <w:szCs w:val="18"/>
                <w:lang w:eastAsia="ru-RU"/>
              </w:rPr>
              <w:t>roductivity</w:t>
            </w:r>
            <w:proofErr w:type="spellEnd"/>
            <w:r w:rsidRPr="00862474">
              <w:rPr>
                <w:rFonts w:ascii="Times New Roman" w:eastAsia="Times New Roman" w:hAnsi="Times New Roman" w:cs="Times New Roman"/>
                <w:b/>
                <w:bCs/>
                <w:sz w:val="18"/>
                <w:szCs w:val="18"/>
                <w:lang w:eastAsia="ru-RU"/>
              </w:rPr>
              <w:t xml:space="preserve"> </w:t>
            </w:r>
            <w:proofErr w:type="gramStart"/>
            <w:r w:rsidRPr="00862474">
              <w:rPr>
                <w:rFonts w:ascii="Times New Roman" w:eastAsia="Times New Roman" w:hAnsi="Times New Roman" w:cs="Times New Roman"/>
                <w:b/>
                <w:bCs/>
                <w:sz w:val="18"/>
                <w:szCs w:val="18"/>
                <w:lang w:val="en-US" w:eastAsia="ru-RU"/>
              </w:rPr>
              <w:t>g</w:t>
            </w:r>
            <w:proofErr w:type="spellStart"/>
            <w:r w:rsidRPr="00862474">
              <w:rPr>
                <w:rFonts w:ascii="Times New Roman" w:eastAsia="Times New Roman" w:hAnsi="Times New Roman" w:cs="Times New Roman"/>
                <w:b/>
                <w:bCs/>
                <w:sz w:val="18"/>
                <w:szCs w:val="18"/>
                <w:lang w:eastAsia="ru-RU"/>
              </w:rPr>
              <w:t>rowth</w:t>
            </w:r>
            <w:proofErr w:type="spellEnd"/>
            <w:r w:rsidR="003965EF" w:rsidRPr="00862474">
              <w:rPr>
                <w:rFonts w:ascii="Times New Roman" w:eastAsia="Times New Roman" w:hAnsi="Times New Roman" w:cs="Times New Roman"/>
                <w:b/>
                <w:bCs/>
                <w:sz w:val="18"/>
                <w:szCs w:val="18"/>
                <w:lang w:val="en-US" w:eastAsia="ru-RU"/>
              </w:rPr>
              <w:t>(</w:t>
            </w:r>
            <w:proofErr w:type="gramEnd"/>
            <w:r w:rsidR="003965EF" w:rsidRPr="00862474">
              <w:rPr>
                <w:rFonts w:ascii="Times New Roman" w:eastAsia="Times New Roman" w:hAnsi="Times New Roman" w:cs="Times New Roman"/>
                <w:b/>
                <w:bCs/>
                <w:sz w:val="18"/>
                <w:szCs w:val="18"/>
                <w:lang w:val="en-US" w:eastAsia="ru-RU"/>
              </w:rPr>
              <w:t>%)</w:t>
            </w:r>
          </w:p>
        </w:tc>
        <w:tc>
          <w:tcPr>
            <w:tcW w:w="0" w:type="auto"/>
            <w:vAlign w:val="center"/>
            <w:hideMark/>
          </w:tcPr>
          <w:p w14:paraId="6271BDE4" w14:textId="1CD8A57A" w:rsidR="003965EF" w:rsidRPr="00862474" w:rsidRDefault="00E0401D"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b/>
                <w:bCs/>
                <w:sz w:val="18"/>
                <w:szCs w:val="18"/>
                <w:lang w:eastAsia="ru-RU"/>
              </w:rPr>
              <w:t>Export</w:t>
            </w:r>
            <w:proofErr w:type="spellEnd"/>
            <w:r w:rsidRPr="00862474">
              <w:rPr>
                <w:rFonts w:ascii="Times New Roman" w:eastAsia="Times New Roman" w:hAnsi="Times New Roman" w:cs="Times New Roman"/>
                <w:b/>
                <w:bCs/>
                <w:sz w:val="18"/>
                <w:szCs w:val="18"/>
                <w:lang w:eastAsia="ru-RU"/>
              </w:rPr>
              <w:t xml:space="preserve"> </w:t>
            </w:r>
            <w:proofErr w:type="gramStart"/>
            <w:r w:rsidRPr="00862474">
              <w:rPr>
                <w:rFonts w:ascii="Times New Roman" w:eastAsia="Times New Roman" w:hAnsi="Times New Roman" w:cs="Times New Roman"/>
                <w:b/>
                <w:bCs/>
                <w:sz w:val="18"/>
                <w:szCs w:val="18"/>
                <w:lang w:val="en-US" w:eastAsia="ru-RU"/>
              </w:rPr>
              <w:t>s</w:t>
            </w:r>
            <w:proofErr w:type="spellStart"/>
            <w:r w:rsidRPr="00862474">
              <w:rPr>
                <w:rFonts w:ascii="Times New Roman" w:eastAsia="Times New Roman" w:hAnsi="Times New Roman" w:cs="Times New Roman"/>
                <w:b/>
                <w:bCs/>
                <w:sz w:val="18"/>
                <w:szCs w:val="18"/>
                <w:lang w:eastAsia="ru-RU"/>
              </w:rPr>
              <w:t>hare</w:t>
            </w:r>
            <w:proofErr w:type="spellEnd"/>
            <w:r w:rsidR="003965EF" w:rsidRPr="00862474">
              <w:rPr>
                <w:rFonts w:ascii="Times New Roman" w:eastAsia="Times New Roman" w:hAnsi="Times New Roman" w:cs="Times New Roman"/>
                <w:b/>
                <w:bCs/>
                <w:sz w:val="18"/>
                <w:szCs w:val="18"/>
                <w:lang w:val="en-US" w:eastAsia="ru-RU"/>
              </w:rPr>
              <w:t>(</w:t>
            </w:r>
            <w:proofErr w:type="gramEnd"/>
            <w:r w:rsidR="003965EF" w:rsidRPr="00862474">
              <w:rPr>
                <w:rFonts w:ascii="Times New Roman" w:eastAsia="Times New Roman" w:hAnsi="Times New Roman" w:cs="Times New Roman"/>
                <w:b/>
                <w:bCs/>
                <w:sz w:val="18"/>
                <w:szCs w:val="18"/>
                <w:lang w:val="en-US" w:eastAsia="ru-RU"/>
              </w:rPr>
              <w:t>%)</w:t>
            </w:r>
          </w:p>
        </w:tc>
      </w:tr>
      <w:tr w:rsidR="00E0401D" w:rsidRPr="00862474" w14:paraId="4D8162EC" w14:textId="77777777" w:rsidTr="00CC7761">
        <w:tc>
          <w:tcPr>
            <w:tcW w:w="0" w:type="auto"/>
            <w:vAlign w:val="center"/>
            <w:hideMark/>
          </w:tcPr>
          <w:p w14:paraId="40833E6F" w14:textId="13196937" w:rsidR="003965EF" w:rsidRPr="00862474" w:rsidRDefault="00E0401D" w:rsidP="00862474">
            <w:pPr>
              <w:tabs>
                <w:tab w:val="left" w:pos="567"/>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High</w:t>
            </w:r>
            <w:r w:rsidR="003965EF" w:rsidRPr="00862474">
              <w:rPr>
                <w:rFonts w:ascii="Times New Roman" w:eastAsia="Times New Roman" w:hAnsi="Times New Roman" w:cs="Times New Roman"/>
                <w:sz w:val="18"/>
                <w:szCs w:val="18"/>
                <w:lang w:eastAsia="ru-RU"/>
              </w:rPr>
              <w:t xml:space="preserve"> (70%+)</w:t>
            </w:r>
          </w:p>
        </w:tc>
        <w:tc>
          <w:tcPr>
            <w:tcW w:w="0" w:type="auto"/>
            <w:vAlign w:val="center"/>
            <w:hideMark/>
          </w:tcPr>
          <w:p w14:paraId="05FF07A3"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124</w:t>
            </w:r>
          </w:p>
        </w:tc>
        <w:tc>
          <w:tcPr>
            <w:tcW w:w="0" w:type="auto"/>
            <w:vAlign w:val="center"/>
            <w:hideMark/>
          </w:tcPr>
          <w:p w14:paraId="23D4AD7E"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34</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5</w:t>
            </w:r>
          </w:p>
        </w:tc>
        <w:tc>
          <w:tcPr>
            <w:tcW w:w="0" w:type="auto"/>
            <w:vAlign w:val="center"/>
            <w:hideMark/>
          </w:tcPr>
          <w:p w14:paraId="311073DF"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41</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2</w:t>
            </w:r>
          </w:p>
        </w:tc>
        <w:tc>
          <w:tcPr>
            <w:tcW w:w="0" w:type="auto"/>
            <w:vAlign w:val="center"/>
            <w:hideMark/>
          </w:tcPr>
          <w:p w14:paraId="5F39F539"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28</w:t>
            </w:r>
            <w:r w:rsidR="00CC7761" w:rsidRPr="00862474">
              <w:rPr>
                <w:rFonts w:ascii="Times New Roman" w:eastAsia="Times New Roman" w:hAnsi="Times New Roman" w:cs="Times New Roman"/>
                <w:sz w:val="18"/>
                <w:szCs w:val="18"/>
                <w:lang w:val="en-US" w:eastAsia="ru-RU"/>
              </w:rPr>
              <w:t>,</w:t>
            </w:r>
            <w:r w:rsidRPr="00862474">
              <w:rPr>
                <w:rFonts w:ascii="Times New Roman" w:eastAsia="Times New Roman" w:hAnsi="Times New Roman" w:cs="Times New Roman"/>
                <w:sz w:val="18"/>
                <w:szCs w:val="18"/>
                <w:lang w:eastAsia="ru-RU"/>
              </w:rPr>
              <w:t>5</w:t>
            </w:r>
          </w:p>
        </w:tc>
      </w:tr>
      <w:tr w:rsidR="00E0401D" w:rsidRPr="00862474" w14:paraId="64760DEA" w14:textId="77777777" w:rsidTr="00CC7761">
        <w:tc>
          <w:tcPr>
            <w:tcW w:w="0" w:type="auto"/>
            <w:vAlign w:val="center"/>
            <w:hideMark/>
          </w:tcPr>
          <w:p w14:paraId="77BCE20E" w14:textId="04A61615" w:rsidR="003965EF" w:rsidRPr="00862474" w:rsidRDefault="00E0401D" w:rsidP="00862474">
            <w:pPr>
              <w:tabs>
                <w:tab w:val="left" w:pos="567"/>
              </w:tabs>
              <w:jc w:val="center"/>
              <w:rPr>
                <w:rFonts w:ascii="Times New Roman" w:eastAsia="Times New Roman" w:hAnsi="Times New Roman" w:cs="Times New Roman"/>
                <w:sz w:val="18"/>
                <w:szCs w:val="18"/>
                <w:lang w:eastAsia="ru-RU"/>
              </w:rPr>
            </w:pPr>
            <w:proofErr w:type="spellStart"/>
            <w:proofErr w:type="gramStart"/>
            <w:r w:rsidRPr="00862474">
              <w:rPr>
                <w:rFonts w:ascii="Times New Roman" w:eastAsia="Times New Roman" w:hAnsi="Times New Roman" w:cs="Times New Roman"/>
                <w:sz w:val="18"/>
                <w:szCs w:val="18"/>
                <w:lang w:eastAsia="ru-RU"/>
              </w:rPr>
              <w:t>Medium</w:t>
            </w:r>
            <w:proofErr w:type="spellEnd"/>
            <w:r w:rsidR="003965EF" w:rsidRPr="00862474">
              <w:rPr>
                <w:rFonts w:ascii="Times New Roman" w:eastAsia="Times New Roman" w:hAnsi="Times New Roman" w:cs="Times New Roman"/>
                <w:sz w:val="18"/>
                <w:szCs w:val="18"/>
                <w:lang w:eastAsia="ru-RU"/>
              </w:rPr>
              <w:t>(</w:t>
            </w:r>
            <w:proofErr w:type="gramEnd"/>
            <w:r w:rsidR="003965EF" w:rsidRPr="00862474">
              <w:rPr>
                <w:rFonts w:ascii="Times New Roman" w:eastAsia="Times New Roman" w:hAnsi="Times New Roman" w:cs="Times New Roman"/>
                <w:sz w:val="18"/>
                <w:szCs w:val="18"/>
                <w:lang w:eastAsia="ru-RU"/>
              </w:rPr>
              <w:t>40-69%)</w:t>
            </w:r>
          </w:p>
        </w:tc>
        <w:tc>
          <w:tcPr>
            <w:tcW w:w="0" w:type="auto"/>
            <w:vAlign w:val="center"/>
            <w:hideMark/>
          </w:tcPr>
          <w:p w14:paraId="243929A0"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487</w:t>
            </w:r>
          </w:p>
        </w:tc>
        <w:tc>
          <w:tcPr>
            <w:tcW w:w="0" w:type="auto"/>
            <w:vAlign w:val="center"/>
            <w:hideMark/>
          </w:tcPr>
          <w:p w14:paraId="3FFEA063"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18</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7</w:t>
            </w:r>
          </w:p>
        </w:tc>
        <w:tc>
          <w:tcPr>
            <w:tcW w:w="0" w:type="auto"/>
            <w:vAlign w:val="center"/>
            <w:hideMark/>
          </w:tcPr>
          <w:p w14:paraId="265BD7D3"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22</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4</w:t>
            </w:r>
          </w:p>
        </w:tc>
        <w:tc>
          <w:tcPr>
            <w:tcW w:w="0" w:type="auto"/>
            <w:vAlign w:val="center"/>
            <w:hideMark/>
          </w:tcPr>
          <w:p w14:paraId="2C7375AC"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15</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3</w:t>
            </w:r>
          </w:p>
        </w:tc>
      </w:tr>
      <w:tr w:rsidR="00E0401D" w:rsidRPr="00862474" w14:paraId="64905158" w14:textId="77777777" w:rsidTr="00CC7761">
        <w:tc>
          <w:tcPr>
            <w:tcW w:w="0" w:type="auto"/>
            <w:vAlign w:val="center"/>
            <w:hideMark/>
          </w:tcPr>
          <w:p w14:paraId="2000C052" w14:textId="78A419F3" w:rsidR="003965EF" w:rsidRPr="00862474" w:rsidRDefault="00E0401D" w:rsidP="00862474">
            <w:pPr>
              <w:tabs>
                <w:tab w:val="left" w:pos="567"/>
              </w:tabs>
              <w:jc w:val="center"/>
              <w:rPr>
                <w:rFonts w:ascii="Times New Roman" w:eastAsia="Times New Roman" w:hAnsi="Times New Roman" w:cs="Times New Roman"/>
                <w:sz w:val="18"/>
                <w:szCs w:val="18"/>
                <w:lang w:eastAsia="ru-RU"/>
              </w:rPr>
            </w:pPr>
            <w:proofErr w:type="spellStart"/>
            <w:r w:rsidRPr="00862474">
              <w:rPr>
                <w:rFonts w:ascii="Times New Roman" w:eastAsia="Times New Roman" w:hAnsi="Times New Roman" w:cs="Times New Roman"/>
                <w:sz w:val="18"/>
                <w:szCs w:val="18"/>
                <w:lang w:eastAsia="ru-RU"/>
              </w:rPr>
              <w:t>Low</w:t>
            </w:r>
            <w:proofErr w:type="spellEnd"/>
            <w:r w:rsidR="003965EF" w:rsidRPr="00862474">
              <w:rPr>
                <w:rFonts w:ascii="Times New Roman" w:eastAsia="Times New Roman" w:hAnsi="Times New Roman" w:cs="Times New Roman"/>
                <w:sz w:val="18"/>
                <w:szCs w:val="18"/>
                <w:lang w:eastAsia="ru-RU"/>
              </w:rPr>
              <w:t xml:space="preserve"> </w:t>
            </w:r>
            <w:proofErr w:type="gramStart"/>
            <w:r w:rsidR="003965EF" w:rsidRPr="00862474">
              <w:rPr>
                <w:rFonts w:ascii="Times New Roman" w:eastAsia="Times New Roman" w:hAnsi="Times New Roman" w:cs="Times New Roman"/>
                <w:sz w:val="18"/>
                <w:szCs w:val="18"/>
                <w:lang w:eastAsia="ru-RU"/>
              </w:rPr>
              <w:t>(&lt; 40</w:t>
            </w:r>
            <w:proofErr w:type="gramEnd"/>
            <w:r w:rsidR="003965EF" w:rsidRPr="00862474">
              <w:rPr>
                <w:rFonts w:ascii="Times New Roman" w:eastAsia="Times New Roman" w:hAnsi="Times New Roman" w:cs="Times New Roman"/>
                <w:sz w:val="18"/>
                <w:szCs w:val="18"/>
                <w:lang w:eastAsia="ru-RU"/>
              </w:rPr>
              <w:t>%)</w:t>
            </w:r>
          </w:p>
        </w:tc>
        <w:tc>
          <w:tcPr>
            <w:tcW w:w="0" w:type="auto"/>
            <w:vAlign w:val="center"/>
            <w:hideMark/>
          </w:tcPr>
          <w:p w14:paraId="57DEDC5C" w14:textId="77777777" w:rsidR="003965EF" w:rsidRPr="00862474" w:rsidRDefault="003965EF"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1,856</w:t>
            </w:r>
          </w:p>
        </w:tc>
        <w:tc>
          <w:tcPr>
            <w:tcW w:w="0" w:type="auto"/>
            <w:vAlign w:val="center"/>
            <w:hideMark/>
          </w:tcPr>
          <w:p w14:paraId="1BB895B5"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6</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3</w:t>
            </w:r>
          </w:p>
        </w:tc>
        <w:tc>
          <w:tcPr>
            <w:tcW w:w="0" w:type="auto"/>
            <w:vAlign w:val="center"/>
            <w:hideMark/>
          </w:tcPr>
          <w:p w14:paraId="135403E5"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8</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7</w:t>
            </w:r>
          </w:p>
        </w:tc>
        <w:tc>
          <w:tcPr>
            <w:tcW w:w="0" w:type="auto"/>
            <w:vAlign w:val="center"/>
            <w:hideMark/>
          </w:tcPr>
          <w:p w14:paraId="19261214" w14:textId="77777777" w:rsidR="003965EF" w:rsidRPr="00862474" w:rsidRDefault="00CC7761" w:rsidP="00862474">
            <w:pPr>
              <w:tabs>
                <w:tab w:val="left" w:pos="567"/>
                <w:tab w:val="left" w:pos="1134"/>
              </w:tabs>
              <w:jc w:val="center"/>
              <w:rPr>
                <w:rFonts w:ascii="Times New Roman" w:eastAsia="Times New Roman" w:hAnsi="Times New Roman" w:cs="Times New Roman"/>
                <w:sz w:val="18"/>
                <w:szCs w:val="18"/>
                <w:lang w:eastAsia="ru-RU"/>
              </w:rPr>
            </w:pPr>
            <w:r w:rsidRPr="00862474">
              <w:rPr>
                <w:rFonts w:ascii="Times New Roman" w:eastAsia="Times New Roman" w:hAnsi="Times New Roman" w:cs="Times New Roman"/>
                <w:sz w:val="18"/>
                <w:szCs w:val="18"/>
                <w:lang w:eastAsia="ru-RU"/>
              </w:rPr>
              <w:t>4</w:t>
            </w:r>
            <w:r w:rsidRPr="00862474">
              <w:rPr>
                <w:rFonts w:ascii="Times New Roman" w:eastAsia="Times New Roman" w:hAnsi="Times New Roman" w:cs="Times New Roman"/>
                <w:sz w:val="18"/>
                <w:szCs w:val="18"/>
                <w:lang w:val="en-US" w:eastAsia="ru-RU"/>
              </w:rPr>
              <w:t>,</w:t>
            </w:r>
            <w:r w:rsidR="003965EF" w:rsidRPr="00862474">
              <w:rPr>
                <w:rFonts w:ascii="Times New Roman" w:eastAsia="Times New Roman" w:hAnsi="Times New Roman" w:cs="Times New Roman"/>
                <w:sz w:val="18"/>
                <w:szCs w:val="18"/>
                <w:lang w:eastAsia="ru-RU"/>
              </w:rPr>
              <w:t>2</w:t>
            </w:r>
          </w:p>
        </w:tc>
      </w:tr>
    </w:tbl>
    <w:p w14:paraId="455243FC" w14:textId="77796360" w:rsidR="00CC7761" w:rsidRPr="00862474" w:rsidRDefault="00E0401D" w:rsidP="00862474">
      <w:pPr>
        <w:tabs>
          <w:tab w:val="left" w:pos="567"/>
        </w:tabs>
        <w:spacing w:after="0" w:line="240" w:lineRule="auto"/>
        <w:ind w:firstLine="284"/>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b/>
          <w:bCs/>
          <w:sz w:val="20"/>
          <w:szCs w:val="20"/>
          <w:lang w:val="en-US" w:eastAsia="ru-RU"/>
        </w:rPr>
        <w:t>Source:</w:t>
      </w:r>
      <w:r w:rsidRPr="00862474">
        <w:rPr>
          <w:rFonts w:ascii="Times New Roman" w:eastAsia="Times New Roman" w:hAnsi="Times New Roman" w:cs="Times New Roman"/>
          <w:sz w:val="20"/>
          <w:szCs w:val="20"/>
          <w:lang w:val="en-US" w:eastAsia="ru-RU"/>
        </w:rPr>
        <w:t xml:space="preserve"> Compiled based on data from the center for economic research of Uzbekistan (2024).</w:t>
      </w:r>
    </w:p>
    <w:p w14:paraId="3EF5F0BD" w14:textId="77777777" w:rsidR="00862474" w:rsidRDefault="00862474"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p>
    <w:p w14:paraId="4D506454" w14:textId="4D3D2D0C" w:rsidR="00E0401D" w:rsidRPr="00862474" w:rsidRDefault="00E0401D"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According to the table data, highly digitalized enterprises (70% and above) demonstrate an average revenue growth of 34.5%, labor productivity growth of 41.2%, and an export share of 28.5%. These figures indicate that as enterprises increasingly adopt digital technologies, their economic performance improves significantly.</w:t>
      </w:r>
    </w:p>
    <w:p w14:paraId="2025BCF0" w14:textId="77777777" w:rsidR="00E0401D" w:rsidRPr="00862474" w:rsidRDefault="00E0401D"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Enterprises with a medium level of digitalization (40–69%) show revenue growth of 18.7%, labor productivity of 22.4%, and an export share of 15.3%. In other words, efficiency indicators in moderately digitalized enterprises are approximately half of those in highly digitalized ones.</w:t>
      </w:r>
    </w:p>
    <w:p w14:paraId="62CE1588" w14:textId="77777777" w:rsidR="00E0401D" w:rsidRPr="00862474" w:rsidRDefault="00E0401D"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 xml:space="preserve">Enterprises with a low level of digitalization (&lt;40%) exhibit revenue growth of 6.3%, labor productivity of 8.7%, and an export share of 4.2%, demonstrating that low digital adoption correlates with very low efficiency. Statistical analysis confirms a strong positive correlation between the level of digitalization and economic performance (r = 0.87, </w:t>
      </w:r>
      <w:r w:rsidRPr="00862474">
        <w:rPr>
          <w:rFonts w:ascii="Times New Roman" w:eastAsia="Times New Roman" w:hAnsi="Times New Roman" w:cs="Times New Roman"/>
          <w:sz w:val="20"/>
          <w:szCs w:val="20"/>
          <w:lang w:val="en-US" w:eastAsia="ru-RU"/>
        </w:rPr>
        <w:lastRenderedPageBreak/>
        <w:t>p &lt; 0.01). Highly digitalized enterprises outperform less digitalized ones by 5.5 times in revenue growth, 4.7 times in labor productivity, and 6.8 times in export performance.</w:t>
      </w:r>
    </w:p>
    <w:p w14:paraId="171CF426" w14:textId="77777777" w:rsidR="00E0401D" w:rsidRPr="00862474" w:rsidRDefault="00E0401D"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Thus, the data clearly shows a strong positive relationship between digitalization and enterprise performance. Enterprises that implement digital technologies more extensively not only increase revenue and labor productivity but also expand export opportunities. This provides a clear economic rationale for investing in digitalization.</w:t>
      </w:r>
    </w:p>
    <w:p w14:paraId="4CCF254E" w14:textId="77777777" w:rsidR="00E0401D" w:rsidRPr="00862474" w:rsidRDefault="00E0401D"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The study also identifies the main barriers to developing the innovative potential of enterprises in Uzbekistan:</w:t>
      </w:r>
    </w:p>
    <w:p w14:paraId="41D6F076" w14:textId="77777777" w:rsidR="00E0401D" w:rsidRPr="00862474" w:rsidRDefault="00E0401D" w:rsidP="00862474">
      <w:pPr>
        <w:numPr>
          <w:ilvl w:val="0"/>
          <w:numId w:val="9"/>
        </w:numPr>
        <w:tabs>
          <w:tab w:val="left" w:pos="567"/>
        </w:tabs>
        <w:spacing w:after="0" w:line="240" w:lineRule="auto"/>
        <w:ind w:left="0" w:firstLine="284"/>
        <w:jc w:val="both"/>
        <w:rPr>
          <w:rFonts w:ascii="Times New Roman" w:eastAsia="Times New Roman" w:hAnsi="Times New Roman" w:cs="Times New Roman"/>
          <w:sz w:val="20"/>
          <w:szCs w:val="20"/>
          <w:lang w:eastAsia="ru-RU"/>
        </w:rPr>
      </w:pPr>
      <w:r w:rsidRPr="00862474">
        <w:rPr>
          <w:rFonts w:ascii="Times New Roman" w:eastAsia="Times New Roman" w:hAnsi="Times New Roman" w:cs="Times New Roman"/>
          <w:sz w:val="20"/>
          <w:szCs w:val="20"/>
          <w:lang w:val="en-US" w:eastAsia="ru-RU"/>
        </w:rPr>
        <w:t xml:space="preserve">Financial constraints: 67% of enterprises consider high initial investments as the main obstacle. </w:t>
      </w:r>
      <w:proofErr w:type="spellStart"/>
      <w:r w:rsidRPr="00862474">
        <w:rPr>
          <w:rFonts w:ascii="Times New Roman" w:eastAsia="Times New Roman" w:hAnsi="Times New Roman" w:cs="Times New Roman"/>
          <w:sz w:val="20"/>
          <w:szCs w:val="20"/>
          <w:lang w:eastAsia="ru-RU"/>
        </w:rPr>
        <w:t>Implementing</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an</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average</w:t>
      </w:r>
      <w:proofErr w:type="spellEnd"/>
      <w:r w:rsidRPr="00862474">
        <w:rPr>
          <w:rFonts w:ascii="Times New Roman" w:eastAsia="Times New Roman" w:hAnsi="Times New Roman" w:cs="Times New Roman"/>
          <w:sz w:val="20"/>
          <w:szCs w:val="20"/>
          <w:lang w:eastAsia="ru-RU"/>
        </w:rPr>
        <w:t xml:space="preserve"> ERP </w:t>
      </w:r>
      <w:proofErr w:type="spellStart"/>
      <w:r w:rsidRPr="00862474">
        <w:rPr>
          <w:rFonts w:ascii="Times New Roman" w:eastAsia="Times New Roman" w:hAnsi="Times New Roman" w:cs="Times New Roman"/>
          <w:sz w:val="20"/>
          <w:szCs w:val="20"/>
          <w:lang w:eastAsia="ru-RU"/>
        </w:rPr>
        <w:t>system</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costs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between</w:t>
      </w:r>
      <w:proofErr w:type="spellEnd"/>
      <w:r w:rsidRPr="00862474">
        <w:rPr>
          <w:rFonts w:ascii="Times New Roman" w:eastAsia="Times New Roman" w:hAnsi="Times New Roman" w:cs="Times New Roman"/>
          <w:sz w:val="20"/>
          <w:szCs w:val="20"/>
          <w:lang w:eastAsia="ru-RU"/>
        </w:rPr>
        <w:t xml:space="preserve"> $50,000 </w:t>
      </w:r>
      <w:proofErr w:type="spellStart"/>
      <w:r w:rsidRPr="00862474">
        <w:rPr>
          <w:rFonts w:ascii="Times New Roman" w:eastAsia="Times New Roman" w:hAnsi="Times New Roman" w:cs="Times New Roman"/>
          <w:sz w:val="20"/>
          <w:szCs w:val="20"/>
          <w:lang w:eastAsia="ru-RU"/>
        </w:rPr>
        <w:t>and</w:t>
      </w:r>
      <w:proofErr w:type="spellEnd"/>
      <w:r w:rsidRPr="00862474">
        <w:rPr>
          <w:rFonts w:ascii="Times New Roman" w:eastAsia="Times New Roman" w:hAnsi="Times New Roman" w:cs="Times New Roman"/>
          <w:sz w:val="20"/>
          <w:szCs w:val="20"/>
          <w:lang w:eastAsia="ru-RU"/>
        </w:rPr>
        <w:t xml:space="preserve"> $200,000.</w:t>
      </w:r>
    </w:p>
    <w:p w14:paraId="6DD3B183" w14:textId="77777777" w:rsidR="00E0401D" w:rsidRPr="00862474" w:rsidRDefault="00E0401D" w:rsidP="00862474">
      <w:pPr>
        <w:numPr>
          <w:ilvl w:val="0"/>
          <w:numId w:val="9"/>
        </w:numPr>
        <w:tabs>
          <w:tab w:val="left" w:pos="567"/>
        </w:tabs>
        <w:spacing w:after="0" w:line="240" w:lineRule="auto"/>
        <w:ind w:left="0" w:firstLine="284"/>
        <w:jc w:val="both"/>
        <w:rPr>
          <w:rFonts w:ascii="Times New Roman" w:eastAsia="Times New Roman" w:hAnsi="Times New Roman" w:cs="Times New Roman"/>
          <w:sz w:val="20"/>
          <w:szCs w:val="20"/>
          <w:lang w:eastAsia="ru-RU"/>
        </w:rPr>
      </w:pPr>
      <w:r w:rsidRPr="00862474">
        <w:rPr>
          <w:rFonts w:ascii="Times New Roman" w:eastAsia="Times New Roman" w:hAnsi="Times New Roman" w:cs="Times New Roman"/>
          <w:sz w:val="20"/>
          <w:szCs w:val="20"/>
          <w:lang w:val="en-US" w:eastAsia="ru-RU"/>
        </w:rPr>
        <w:t xml:space="preserve">Personnel challenges: 73% of enterprises report a shortage of qualified specialists in digital technologies. </w:t>
      </w:r>
      <w:proofErr w:type="spellStart"/>
      <w:r w:rsidRPr="00862474">
        <w:rPr>
          <w:rFonts w:ascii="Times New Roman" w:eastAsia="Times New Roman" w:hAnsi="Times New Roman" w:cs="Times New Roman"/>
          <w:sz w:val="20"/>
          <w:szCs w:val="20"/>
          <w:lang w:eastAsia="ru-RU"/>
        </w:rPr>
        <w:t>Demand</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for</w:t>
      </w:r>
      <w:proofErr w:type="spellEnd"/>
      <w:r w:rsidRPr="00862474">
        <w:rPr>
          <w:rFonts w:ascii="Times New Roman" w:eastAsia="Times New Roman" w:hAnsi="Times New Roman" w:cs="Times New Roman"/>
          <w:sz w:val="20"/>
          <w:szCs w:val="20"/>
          <w:lang w:eastAsia="ru-RU"/>
        </w:rPr>
        <w:t xml:space="preserve"> IT </w:t>
      </w:r>
      <w:proofErr w:type="spellStart"/>
      <w:r w:rsidRPr="00862474">
        <w:rPr>
          <w:rFonts w:ascii="Times New Roman" w:eastAsia="Times New Roman" w:hAnsi="Times New Roman" w:cs="Times New Roman"/>
          <w:sz w:val="20"/>
          <w:szCs w:val="20"/>
          <w:lang w:eastAsia="ru-RU"/>
        </w:rPr>
        <w:t>professionals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exceeds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supply</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by</w:t>
      </w:r>
      <w:proofErr w:type="spellEnd"/>
      <w:r w:rsidRPr="00862474">
        <w:rPr>
          <w:rFonts w:ascii="Times New Roman" w:eastAsia="Times New Roman" w:hAnsi="Times New Roman" w:cs="Times New Roman"/>
          <w:sz w:val="20"/>
          <w:szCs w:val="20"/>
          <w:lang w:eastAsia="ru-RU"/>
        </w:rPr>
        <w:t xml:space="preserve"> 3.2 </w:t>
      </w:r>
      <w:proofErr w:type="spellStart"/>
      <w:r w:rsidRPr="00862474">
        <w:rPr>
          <w:rFonts w:ascii="Times New Roman" w:eastAsia="Times New Roman" w:hAnsi="Times New Roman" w:cs="Times New Roman"/>
          <w:sz w:val="20"/>
          <w:szCs w:val="20"/>
          <w:lang w:eastAsia="ru-RU"/>
        </w:rPr>
        <w:t>times</w:t>
      </w:r>
      <w:proofErr w:type="spellEnd"/>
      <w:r w:rsidRPr="00862474">
        <w:rPr>
          <w:rFonts w:ascii="Times New Roman" w:eastAsia="Times New Roman" w:hAnsi="Times New Roman" w:cs="Times New Roman"/>
          <w:sz w:val="20"/>
          <w:szCs w:val="20"/>
          <w:lang w:eastAsia="ru-RU"/>
        </w:rPr>
        <w:t>.</w:t>
      </w:r>
    </w:p>
    <w:p w14:paraId="6D4DD5D7" w14:textId="77777777" w:rsidR="00E0401D" w:rsidRPr="00862474" w:rsidRDefault="00E0401D" w:rsidP="00862474">
      <w:pPr>
        <w:numPr>
          <w:ilvl w:val="0"/>
          <w:numId w:val="9"/>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Management resistance: 45% of enterprises experience difficulties abandoning traditional management practices and show resistance to change.</w:t>
      </w:r>
    </w:p>
    <w:p w14:paraId="5E117EA2" w14:textId="77777777" w:rsidR="00E0401D" w:rsidRPr="00862474" w:rsidRDefault="00E0401D"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However, significant opportunities exist. Government digitalization programs, foreign investments, high adaptability of young personnel, and the development of technology parks in Uzbekistan create favorable conditions for enhancing innovative potential.</w:t>
      </w:r>
    </w:p>
    <w:p w14:paraId="6033EB7C" w14:textId="77777777" w:rsidR="00E0401D" w:rsidRPr="00862474" w:rsidRDefault="00E0401D" w:rsidP="00862474">
      <w:pPr>
        <w:tabs>
          <w:tab w:val="left" w:pos="567"/>
        </w:tabs>
        <w:spacing w:after="0" w:line="240" w:lineRule="auto"/>
        <w:ind w:firstLine="284"/>
        <w:rPr>
          <w:rFonts w:ascii="Times New Roman" w:eastAsia="Times New Roman" w:hAnsi="Times New Roman" w:cs="Times New Roman"/>
          <w:sz w:val="20"/>
          <w:szCs w:val="20"/>
          <w:lang w:eastAsia="ru-RU"/>
        </w:rPr>
      </w:pPr>
      <w:proofErr w:type="spellStart"/>
      <w:r w:rsidRPr="00862474">
        <w:rPr>
          <w:rFonts w:ascii="Times New Roman" w:eastAsia="Times New Roman" w:hAnsi="Times New Roman" w:cs="Times New Roman"/>
          <w:sz w:val="20"/>
          <w:szCs w:val="20"/>
          <w:lang w:eastAsia="ru-RU"/>
        </w:rPr>
        <w:t>Successful</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practice</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examples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include</w:t>
      </w:r>
      <w:proofErr w:type="spellEnd"/>
      <w:r w:rsidRPr="00862474">
        <w:rPr>
          <w:rFonts w:ascii="Times New Roman" w:eastAsia="Times New Roman" w:hAnsi="Times New Roman" w:cs="Times New Roman"/>
          <w:sz w:val="20"/>
          <w:szCs w:val="20"/>
          <w:lang w:eastAsia="ru-RU"/>
        </w:rPr>
        <w:t>:</w:t>
      </w:r>
    </w:p>
    <w:p w14:paraId="42DDDDB2" w14:textId="77777777" w:rsidR="00E0401D" w:rsidRPr="00862474" w:rsidRDefault="00E0401D" w:rsidP="00862474">
      <w:pPr>
        <w:numPr>
          <w:ilvl w:val="0"/>
          <w:numId w:val="10"/>
        </w:numPr>
        <w:tabs>
          <w:tab w:val="left" w:pos="567"/>
        </w:tabs>
        <w:spacing w:after="0" w:line="240" w:lineRule="auto"/>
        <w:ind w:left="0" w:firstLine="284"/>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Artel Electronics LLC: A prominent example of digital transformation in Uzbekistan. Between 2020 and 2023, the company invested $15 million to implement fully automated production lines, an AI-based quality control system, and an ERP platform. As a result, product quality improved by 34%, production capacity increased by 52%, and exports grew 2.8 times.</w:t>
      </w:r>
    </w:p>
    <w:p w14:paraId="27252163" w14:textId="5A194AE7" w:rsidR="00893572" w:rsidRPr="00862474" w:rsidRDefault="00E0401D" w:rsidP="00862474">
      <w:pPr>
        <w:numPr>
          <w:ilvl w:val="0"/>
          <w:numId w:val="10"/>
        </w:numPr>
        <w:tabs>
          <w:tab w:val="left" w:pos="567"/>
        </w:tabs>
        <w:spacing w:after="0" w:line="240" w:lineRule="auto"/>
        <w:ind w:left="0" w:firstLine="284"/>
        <w:rPr>
          <w:rFonts w:ascii="Times New Roman" w:eastAsia="Times New Roman" w:hAnsi="Times New Roman" w:cs="Times New Roman"/>
          <w:sz w:val="20"/>
          <w:szCs w:val="20"/>
          <w:lang w:val="en-US" w:eastAsia="ru-RU"/>
        </w:rPr>
      </w:pPr>
      <w:proofErr w:type="spellStart"/>
      <w:r w:rsidRPr="00862474">
        <w:rPr>
          <w:rFonts w:ascii="Times New Roman" w:eastAsia="Times New Roman" w:hAnsi="Times New Roman" w:cs="Times New Roman"/>
          <w:sz w:val="20"/>
          <w:szCs w:val="20"/>
          <w:lang w:val="en-US" w:eastAsia="ru-RU"/>
        </w:rPr>
        <w:t>UzAuto</w:t>
      </w:r>
      <w:proofErr w:type="spellEnd"/>
      <w:r w:rsidRPr="00862474">
        <w:rPr>
          <w:rFonts w:ascii="Times New Roman" w:eastAsia="Times New Roman" w:hAnsi="Times New Roman" w:cs="Times New Roman"/>
          <w:sz w:val="20"/>
          <w:szCs w:val="20"/>
          <w:lang w:val="en-US" w:eastAsia="ru-RU"/>
        </w:rPr>
        <w:t xml:space="preserve"> Motors: By implementing IoT technologies, the company optimized maintenance processes and increased order forecasting accuracy by 67%, reducing costs by 23% and significantly improving customer satisfaction.</w:t>
      </w:r>
    </w:p>
    <w:p w14:paraId="567EA89B" w14:textId="5156E040" w:rsidR="00893572" w:rsidRPr="00862474" w:rsidRDefault="00862474" w:rsidP="00862474">
      <w:pPr>
        <w:tabs>
          <w:tab w:val="left" w:pos="567"/>
        </w:tabs>
        <w:spacing w:before="240" w:after="240" w:line="240" w:lineRule="auto"/>
        <w:ind w:firstLine="284"/>
        <w:jc w:val="center"/>
        <w:rPr>
          <w:rFonts w:ascii="Times New Roman" w:eastAsia="Times New Roman" w:hAnsi="Times New Roman" w:cs="Times New Roman"/>
          <w:sz w:val="24"/>
          <w:szCs w:val="24"/>
          <w:lang w:val="en-US" w:eastAsia="ru-RU"/>
        </w:rPr>
      </w:pPr>
      <w:r w:rsidRPr="00862474">
        <w:rPr>
          <w:rFonts w:ascii="Times New Roman" w:eastAsia="Times New Roman" w:hAnsi="Times New Roman" w:cs="Times New Roman"/>
          <w:b/>
          <w:bCs/>
          <w:sz w:val="24"/>
          <w:szCs w:val="24"/>
          <w:lang w:val="en-US" w:eastAsia="ru-RU"/>
        </w:rPr>
        <w:t>CONCLUSIONS</w:t>
      </w:r>
    </w:p>
    <w:p w14:paraId="541733C0" w14:textId="77777777" w:rsidR="00893572" w:rsidRPr="00862474" w:rsidRDefault="00893572"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 xml:space="preserve">The study results indicate that effectively developing the innovative potential of manufacturing enterprises in the context of the digital economy is a critical factor for economic growth and competitiveness. A comparison of global practices and the experience of Uzbekistan </w:t>
      </w:r>
      <w:proofErr w:type="gramStart"/>
      <w:r w:rsidRPr="00862474">
        <w:rPr>
          <w:rFonts w:ascii="Times New Roman" w:eastAsia="Times New Roman" w:hAnsi="Times New Roman" w:cs="Times New Roman"/>
          <w:sz w:val="20"/>
          <w:szCs w:val="20"/>
          <w:lang w:val="en-US" w:eastAsia="ru-RU"/>
        </w:rPr>
        <w:t>leads</w:t>
      </w:r>
      <w:proofErr w:type="gramEnd"/>
      <w:r w:rsidRPr="00862474">
        <w:rPr>
          <w:rFonts w:ascii="Times New Roman" w:eastAsia="Times New Roman" w:hAnsi="Times New Roman" w:cs="Times New Roman"/>
          <w:sz w:val="20"/>
          <w:szCs w:val="20"/>
          <w:lang w:val="en-US" w:eastAsia="ru-RU"/>
        </w:rPr>
        <w:t xml:space="preserve"> to the following key conclusions:</w:t>
      </w:r>
    </w:p>
    <w:p w14:paraId="192926BE" w14:textId="77777777" w:rsidR="00893572" w:rsidRPr="00862474" w:rsidRDefault="00893572" w:rsidP="00862474">
      <w:pPr>
        <w:numPr>
          <w:ilvl w:val="0"/>
          <w:numId w:val="11"/>
        </w:numPr>
        <w:tabs>
          <w:tab w:val="left" w:pos="567"/>
        </w:tabs>
        <w:spacing w:after="0" w:line="240" w:lineRule="auto"/>
        <w:ind w:left="0" w:firstLine="284"/>
        <w:jc w:val="both"/>
        <w:rPr>
          <w:rFonts w:ascii="Times New Roman" w:eastAsia="Times New Roman" w:hAnsi="Times New Roman" w:cs="Times New Roman"/>
          <w:sz w:val="20"/>
          <w:szCs w:val="20"/>
          <w:lang w:eastAsia="ru-RU"/>
        </w:rPr>
      </w:pPr>
      <w:r w:rsidRPr="00862474">
        <w:rPr>
          <w:rFonts w:ascii="Times New Roman" w:eastAsia="Times New Roman" w:hAnsi="Times New Roman" w:cs="Times New Roman"/>
          <w:sz w:val="20"/>
          <w:szCs w:val="20"/>
          <w:lang w:val="en-US" w:eastAsia="ru-RU"/>
        </w:rPr>
        <w:t xml:space="preserve">Efficiency is achieved through the interaction of technological equipment, human capital, organizational culture, and management systems. </w:t>
      </w:r>
      <w:proofErr w:type="spellStart"/>
      <w:r w:rsidRPr="00862474">
        <w:rPr>
          <w:rFonts w:ascii="Times New Roman" w:eastAsia="Times New Roman" w:hAnsi="Times New Roman" w:cs="Times New Roman"/>
          <w:sz w:val="20"/>
          <w:szCs w:val="20"/>
          <w:lang w:eastAsia="ru-RU"/>
        </w:rPr>
        <w:t>Weakness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in</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any</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one</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factor</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reduces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overall</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performance</w:t>
      </w:r>
      <w:proofErr w:type="spellEnd"/>
      <w:r w:rsidRPr="00862474">
        <w:rPr>
          <w:rFonts w:ascii="Times New Roman" w:eastAsia="Times New Roman" w:hAnsi="Times New Roman" w:cs="Times New Roman"/>
          <w:sz w:val="20"/>
          <w:szCs w:val="20"/>
          <w:lang w:eastAsia="ru-RU"/>
        </w:rPr>
        <w:t>.</w:t>
      </w:r>
    </w:p>
    <w:p w14:paraId="5AC00044" w14:textId="77777777" w:rsidR="00893572" w:rsidRPr="00862474" w:rsidRDefault="00893572" w:rsidP="00862474">
      <w:pPr>
        <w:numPr>
          <w:ilvl w:val="0"/>
          <w:numId w:val="11"/>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Enterprises should gradually transition from digitalizing operational processes to adopting more complex technologies (such as AI and IoT) according to their capabilities. Attempts to implement all technologies simultaneously often result in failure.</w:t>
      </w:r>
    </w:p>
    <w:p w14:paraId="12D72838" w14:textId="77777777" w:rsidR="00893572" w:rsidRPr="00862474" w:rsidRDefault="00893572" w:rsidP="00862474">
      <w:pPr>
        <w:numPr>
          <w:ilvl w:val="0"/>
          <w:numId w:val="11"/>
        </w:numPr>
        <w:tabs>
          <w:tab w:val="left" w:pos="567"/>
        </w:tabs>
        <w:spacing w:after="0" w:line="240" w:lineRule="auto"/>
        <w:ind w:left="0" w:firstLine="284"/>
        <w:jc w:val="both"/>
        <w:rPr>
          <w:rFonts w:ascii="Times New Roman" w:eastAsia="Times New Roman" w:hAnsi="Times New Roman" w:cs="Times New Roman"/>
          <w:sz w:val="20"/>
          <w:szCs w:val="20"/>
          <w:lang w:eastAsia="ru-RU"/>
        </w:rPr>
      </w:pPr>
      <w:r w:rsidRPr="00862474">
        <w:rPr>
          <w:rFonts w:ascii="Times New Roman" w:eastAsia="Times New Roman" w:hAnsi="Times New Roman" w:cs="Times New Roman"/>
          <w:sz w:val="20"/>
          <w:szCs w:val="20"/>
          <w:lang w:val="en-US" w:eastAsia="ru-RU"/>
        </w:rPr>
        <w:t xml:space="preserve">The shortage of skilled specialists in digital technologies is one of the main barriers to transformation. </w:t>
      </w:r>
      <w:proofErr w:type="spellStart"/>
      <w:r w:rsidRPr="00862474">
        <w:rPr>
          <w:rFonts w:ascii="Times New Roman" w:eastAsia="Times New Roman" w:hAnsi="Times New Roman" w:cs="Times New Roman"/>
          <w:sz w:val="20"/>
          <w:szCs w:val="20"/>
          <w:lang w:eastAsia="ru-RU"/>
        </w:rPr>
        <w:t>Continuous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education</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and</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retraining</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systems</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are</w:t>
      </w:r>
      <w:proofErr w:type="spellEnd"/>
      <w:r w:rsidRPr="00862474">
        <w:rPr>
          <w:rFonts w:ascii="Times New Roman" w:eastAsia="Times New Roman" w:hAnsi="Times New Roman" w:cs="Times New Roman"/>
          <w:sz w:val="20"/>
          <w:szCs w:val="20"/>
          <w:lang w:eastAsia="ru-RU"/>
        </w:rPr>
        <w:t xml:space="preserve"> </w:t>
      </w:r>
      <w:proofErr w:type="spellStart"/>
      <w:r w:rsidRPr="00862474">
        <w:rPr>
          <w:rFonts w:ascii="Times New Roman" w:eastAsia="Times New Roman" w:hAnsi="Times New Roman" w:cs="Times New Roman"/>
          <w:sz w:val="20"/>
          <w:szCs w:val="20"/>
          <w:lang w:eastAsia="ru-RU"/>
        </w:rPr>
        <w:t>essential</w:t>
      </w:r>
      <w:proofErr w:type="spellEnd"/>
      <w:r w:rsidRPr="00862474">
        <w:rPr>
          <w:rFonts w:ascii="Times New Roman" w:eastAsia="Times New Roman" w:hAnsi="Times New Roman" w:cs="Times New Roman"/>
          <w:sz w:val="20"/>
          <w:szCs w:val="20"/>
          <w:lang w:eastAsia="ru-RU"/>
        </w:rPr>
        <w:t>.</w:t>
      </w:r>
    </w:p>
    <w:p w14:paraId="632E94F4" w14:textId="77777777" w:rsidR="00893572" w:rsidRPr="00862474" w:rsidRDefault="00893572"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The following practical recommendations can be proposed:</w:t>
      </w:r>
    </w:p>
    <w:p w14:paraId="0D153FB7" w14:textId="77777777" w:rsidR="00893572" w:rsidRPr="00862474" w:rsidRDefault="00893572" w:rsidP="00862474">
      <w:pPr>
        <w:numPr>
          <w:ilvl w:val="0"/>
          <w:numId w:val="12"/>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Each enterprise should develop a digital transformation strategy and create a 3–5-year digitalization roadmap tailored to its specific characteristics, identify priority areas, and implement the plan in stages.</w:t>
      </w:r>
    </w:p>
    <w:p w14:paraId="033A189D" w14:textId="77777777" w:rsidR="00893572" w:rsidRPr="00862474" w:rsidRDefault="00893572" w:rsidP="00862474">
      <w:pPr>
        <w:numPr>
          <w:ilvl w:val="0"/>
          <w:numId w:val="12"/>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Investments should be made in human capital by training employees in modern technologies, enhancing digital skills, and fostering an innovative culture. It is recommended to allocate at least 3–5% of the annual budget for these purposes.</w:t>
      </w:r>
    </w:p>
    <w:p w14:paraId="66CEFD4C" w14:textId="77777777" w:rsidR="00893572" w:rsidRPr="00862474" w:rsidRDefault="00893572" w:rsidP="00862474">
      <w:pPr>
        <w:numPr>
          <w:ilvl w:val="0"/>
          <w:numId w:val="12"/>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Collaboration with technology providers, research institutions, and other enterprises should be strengthened, applying open innovation principles to reduce costs and share experience.</w:t>
      </w:r>
    </w:p>
    <w:p w14:paraId="2DD84AA4" w14:textId="77777777" w:rsidR="00893572" w:rsidRPr="00862474" w:rsidRDefault="00893572" w:rsidP="00862474">
      <w:pPr>
        <w:numPr>
          <w:ilvl w:val="0"/>
          <w:numId w:val="12"/>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Targeted financial support should be expanded, including concessional loans, grants, and subsidies for digitalization projects, with special mechanisms established for small and medium-sized enterprises.</w:t>
      </w:r>
    </w:p>
    <w:p w14:paraId="5DB453FC" w14:textId="77777777" w:rsidR="00893572" w:rsidRPr="00862474" w:rsidRDefault="00893572" w:rsidP="00862474">
      <w:pPr>
        <w:numPr>
          <w:ilvl w:val="0"/>
          <w:numId w:val="12"/>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Clusters and innovation ecosystems should be developed, integrating complementary enterprises, educational institutions, and research centers to create digital innovation clusters.</w:t>
      </w:r>
    </w:p>
    <w:p w14:paraId="0D7A98D0" w14:textId="334516BD" w:rsidR="00893572" w:rsidRPr="00862474" w:rsidRDefault="00893572" w:rsidP="00862474">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862474">
        <w:rPr>
          <w:rFonts w:ascii="Times New Roman" w:eastAsia="Times New Roman" w:hAnsi="Times New Roman" w:cs="Times New Roman"/>
          <w:sz w:val="20"/>
          <w:szCs w:val="20"/>
          <w:lang w:val="en-US" w:eastAsia="ru-RU"/>
        </w:rPr>
        <w:t>Implementing these recommendations will significantly enhance the innovative potential of Uzbekistan’s manufacturing enterprises, strengthen their competitiveness, and contribute to the sustainable development of the national economy. Digital transformation is not merely technological renewal but also a process of changing mindset and culture, requiring a long-term strategic approach.</w:t>
      </w:r>
    </w:p>
    <w:p w14:paraId="263978EE" w14:textId="77777777" w:rsidR="00862474" w:rsidRDefault="00862474" w:rsidP="00862474">
      <w:pPr>
        <w:tabs>
          <w:tab w:val="left" w:pos="1134"/>
        </w:tabs>
        <w:spacing w:before="240" w:after="240" w:line="240" w:lineRule="auto"/>
        <w:ind w:firstLine="284"/>
        <w:jc w:val="center"/>
        <w:rPr>
          <w:rFonts w:ascii="Times New Roman" w:hAnsi="Times New Roman" w:cs="Times New Roman"/>
          <w:b/>
          <w:bCs/>
          <w:sz w:val="24"/>
          <w:szCs w:val="24"/>
          <w:lang w:val="en-US"/>
        </w:rPr>
      </w:pPr>
    </w:p>
    <w:p w14:paraId="4942E1B1" w14:textId="44810F6C" w:rsidR="00A11344" w:rsidRPr="00862474" w:rsidRDefault="00A11344" w:rsidP="00862474">
      <w:pPr>
        <w:tabs>
          <w:tab w:val="left" w:pos="1134"/>
        </w:tabs>
        <w:spacing w:before="240" w:after="240" w:line="240" w:lineRule="auto"/>
        <w:ind w:firstLine="284"/>
        <w:jc w:val="center"/>
        <w:rPr>
          <w:rFonts w:ascii="Times New Roman" w:eastAsia="Times New Roman" w:hAnsi="Times New Roman" w:cs="Times New Roman"/>
          <w:i/>
          <w:sz w:val="24"/>
          <w:szCs w:val="24"/>
          <w:lang w:val="en-US" w:eastAsia="ru-RU"/>
        </w:rPr>
      </w:pPr>
      <w:r w:rsidRPr="00862474">
        <w:rPr>
          <w:rFonts w:ascii="Times New Roman" w:hAnsi="Times New Roman" w:cs="Times New Roman"/>
          <w:b/>
          <w:bCs/>
          <w:sz w:val="24"/>
          <w:szCs w:val="24"/>
          <w:lang w:val="en-US"/>
        </w:rPr>
        <w:lastRenderedPageBreak/>
        <w:t>REFERENCES</w:t>
      </w:r>
    </w:p>
    <w:p w14:paraId="68793F24" w14:textId="40F2D37A"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European Commission, </w:t>
      </w:r>
      <w:r w:rsidRPr="00862474">
        <w:rPr>
          <w:rFonts w:ascii="Times New Roman" w:eastAsia="Times New Roman" w:hAnsi="Times New Roman" w:cs="Times New Roman"/>
          <w:i/>
          <w:iCs/>
          <w:sz w:val="20"/>
          <w:szCs w:val="20"/>
          <w:lang w:val="en-US" w:eastAsia="ru-RU"/>
        </w:rPr>
        <w:t>Digital Economy and Society Index (DESI) 2023</w:t>
      </w:r>
      <w:r w:rsidRPr="00862474">
        <w:rPr>
          <w:rFonts w:ascii="Times New Roman" w:eastAsia="Times New Roman" w:hAnsi="Times New Roman" w:cs="Times New Roman"/>
          <w:iCs/>
          <w:sz w:val="20"/>
          <w:szCs w:val="20"/>
          <w:lang w:val="en-US" w:eastAsia="ru-RU"/>
        </w:rPr>
        <w:t xml:space="preserve"> (Publications Office of the European Union, Brussels, 2024).</w:t>
      </w:r>
    </w:p>
    <w:p w14:paraId="0E784343" w14:textId="46D9F030"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McKinsey Global Institute, </w:t>
      </w:r>
      <w:r w:rsidRPr="00862474">
        <w:rPr>
          <w:rFonts w:ascii="Times New Roman" w:eastAsia="Times New Roman" w:hAnsi="Times New Roman" w:cs="Times New Roman"/>
          <w:i/>
          <w:iCs/>
          <w:sz w:val="20"/>
          <w:szCs w:val="20"/>
          <w:lang w:val="en-US" w:eastAsia="ru-RU"/>
        </w:rPr>
        <w:t>Industry 4.0 Impact Report: Digital Transformation in Manufacturing</w:t>
      </w:r>
      <w:r w:rsidRPr="00862474">
        <w:rPr>
          <w:rFonts w:ascii="Times New Roman" w:eastAsia="Times New Roman" w:hAnsi="Times New Roman" w:cs="Times New Roman"/>
          <w:iCs/>
          <w:sz w:val="20"/>
          <w:szCs w:val="20"/>
          <w:lang w:val="en-US" w:eastAsia="ru-RU"/>
        </w:rPr>
        <w:t xml:space="preserve"> (McKinsey &amp; Company, 2023), pp. 45–89.</w:t>
      </w:r>
    </w:p>
    <w:p w14:paraId="36B92C7E" w14:textId="7FA2C33E"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Agency of Statistics of the Republic of Uzbekistan (2024).</w:t>
      </w:r>
    </w:p>
    <w:p w14:paraId="78ECBEBA" w14:textId="1C704BCE"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K. Schwab, </w:t>
      </w:r>
      <w:r w:rsidRPr="00862474">
        <w:rPr>
          <w:rFonts w:ascii="Times New Roman" w:eastAsia="Times New Roman" w:hAnsi="Times New Roman" w:cs="Times New Roman"/>
          <w:i/>
          <w:iCs/>
          <w:sz w:val="20"/>
          <w:szCs w:val="20"/>
          <w:lang w:val="en-US" w:eastAsia="ru-RU"/>
        </w:rPr>
        <w:t>The Fourth Industrial Revolution</w:t>
      </w:r>
      <w:r w:rsidRPr="00862474">
        <w:rPr>
          <w:rFonts w:ascii="Times New Roman" w:eastAsia="Times New Roman" w:hAnsi="Times New Roman" w:cs="Times New Roman"/>
          <w:iCs/>
          <w:sz w:val="20"/>
          <w:szCs w:val="20"/>
          <w:lang w:val="en-US" w:eastAsia="ru-RU"/>
        </w:rPr>
        <w:t xml:space="preserve"> (World Economic Forum, Geneva, 2016).</w:t>
      </w:r>
    </w:p>
    <w:p w14:paraId="2D5DE76C" w14:textId="25F12FE5"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D. J. Teece, “Dynamic capabilities as (workable) management systems theory,” </w:t>
      </w:r>
      <w:r w:rsidRPr="00862474">
        <w:rPr>
          <w:rFonts w:ascii="Times New Roman" w:eastAsia="Times New Roman" w:hAnsi="Times New Roman" w:cs="Times New Roman"/>
          <w:i/>
          <w:iCs/>
          <w:sz w:val="20"/>
          <w:szCs w:val="20"/>
          <w:lang w:val="en-US" w:eastAsia="ru-RU"/>
        </w:rPr>
        <w:t>J. Manage. Organ.</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24</w:t>
      </w:r>
      <w:r w:rsidRPr="00862474">
        <w:rPr>
          <w:rFonts w:ascii="Times New Roman" w:eastAsia="Times New Roman" w:hAnsi="Times New Roman" w:cs="Times New Roman"/>
          <w:iCs/>
          <w:sz w:val="20"/>
          <w:szCs w:val="20"/>
          <w:lang w:val="en-US" w:eastAsia="ru-RU"/>
        </w:rPr>
        <w:t xml:space="preserve">(3), 359–368 (2018). </w:t>
      </w:r>
      <w:hyperlink r:id="rId6" w:tgtFrame="_new" w:history="1">
        <w:r w:rsidRPr="00862474">
          <w:rPr>
            <w:rStyle w:val="a7"/>
            <w:rFonts w:ascii="Times New Roman" w:eastAsia="Times New Roman" w:hAnsi="Times New Roman" w:cs="Times New Roman"/>
            <w:iCs/>
            <w:sz w:val="20"/>
            <w:szCs w:val="20"/>
            <w:lang w:val="en-US" w:eastAsia="ru-RU"/>
          </w:rPr>
          <w:t>https://doi.org/10.1017/jmo.2017.75</w:t>
        </w:r>
      </w:hyperlink>
    </w:p>
    <w:p w14:paraId="0683EBD6" w14:textId="642E06E6"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D. A. Ivanov and B. V. Sokolov, “Modeling digital supply chains based on cyber-physical systems,” </w:t>
      </w:r>
      <w:r w:rsidRPr="00862474">
        <w:rPr>
          <w:rFonts w:ascii="Times New Roman" w:eastAsia="Times New Roman" w:hAnsi="Times New Roman" w:cs="Times New Roman"/>
          <w:i/>
          <w:iCs/>
          <w:sz w:val="20"/>
          <w:szCs w:val="20"/>
          <w:lang w:val="en-US" w:eastAsia="ru-RU"/>
        </w:rPr>
        <w:t xml:space="preserve">Scientific and Technical Proceedings of </w:t>
      </w:r>
      <w:proofErr w:type="spellStart"/>
      <w:r w:rsidRPr="00862474">
        <w:rPr>
          <w:rFonts w:ascii="Times New Roman" w:eastAsia="Times New Roman" w:hAnsi="Times New Roman" w:cs="Times New Roman"/>
          <w:i/>
          <w:iCs/>
          <w:sz w:val="20"/>
          <w:szCs w:val="20"/>
          <w:lang w:val="en-US" w:eastAsia="ru-RU"/>
        </w:rPr>
        <w:t>SPbPU</w:t>
      </w:r>
      <w:proofErr w:type="spellEnd"/>
      <w:r w:rsidRPr="00862474">
        <w:rPr>
          <w:rFonts w:ascii="Times New Roman" w:eastAsia="Times New Roman" w:hAnsi="Times New Roman" w:cs="Times New Roman"/>
          <w:i/>
          <w:iCs/>
          <w:sz w:val="20"/>
          <w:szCs w:val="20"/>
          <w:lang w:val="en-US" w:eastAsia="ru-RU"/>
        </w:rPr>
        <w:t>. Economic Sciences</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12</w:t>
      </w:r>
      <w:r w:rsidRPr="00862474">
        <w:rPr>
          <w:rFonts w:ascii="Times New Roman" w:eastAsia="Times New Roman" w:hAnsi="Times New Roman" w:cs="Times New Roman"/>
          <w:iCs/>
          <w:sz w:val="20"/>
          <w:szCs w:val="20"/>
          <w:lang w:val="en-US" w:eastAsia="ru-RU"/>
        </w:rPr>
        <w:t xml:space="preserve">(4), 7–22 (2019). </w:t>
      </w:r>
      <w:hyperlink r:id="rId7" w:tgtFrame="_new" w:history="1">
        <w:r w:rsidRPr="00862474">
          <w:rPr>
            <w:rStyle w:val="a7"/>
            <w:rFonts w:ascii="Times New Roman" w:eastAsia="Times New Roman" w:hAnsi="Times New Roman" w:cs="Times New Roman"/>
            <w:iCs/>
            <w:sz w:val="20"/>
            <w:szCs w:val="20"/>
            <w:lang w:val="en-US" w:eastAsia="ru-RU"/>
          </w:rPr>
          <w:t>https://doi.org/10.18721/JE.12401</w:t>
        </w:r>
      </w:hyperlink>
    </w:p>
    <w:p w14:paraId="0DFB1CCE" w14:textId="20D7155A"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D. R. Karimova, “Digital transformation of small and medium enterprises: Opportunities and constraints,” </w:t>
      </w:r>
      <w:r w:rsidRPr="00862474">
        <w:rPr>
          <w:rFonts w:ascii="Times New Roman" w:eastAsia="Times New Roman" w:hAnsi="Times New Roman" w:cs="Times New Roman"/>
          <w:i/>
          <w:iCs/>
          <w:sz w:val="20"/>
          <w:szCs w:val="20"/>
          <w:lang w:val="en-US" w:eastAsia="ru-RU"/>
        </w:rPr>
        <w:t>Digital Economy Journal</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2</w:t>
      </w:r>
      <w:r w:rsidRPr="00862474">
        <w:rPr>
          <w:rFonts w:ascii="Times New Roman" w:eastAsia="Times New Roman" w:hAnsi="Times New Roman" w:cs="Times New Roman"/>
          <w:iCs/>
          <w:sz w:val="20"/>
          <w:szCs w:val="20"/>
          <w:lang w:val="en-US" w:eastAsia="ru-RU"/>
        </w:rPr>
        <w:t>(5), 78–91 (2023).</w:t>
      </w:r>
    </w:p>
    <w:p w14:paraId="758CB6D1" w14:textId="195305E7"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S. Yu. Rumyantseva, “Methodology for assessing the innovative potential of enterprises in the context of digital transformation,” </w:t>
      </w:r>
      <w:r w:rsidRPr="00862474">
        <w:rPr>
          <w:rFonts w:ascii="Times New Roman" w:eastAsia="Times New Roman" w:hAnsi="Times New Roman" w:cs="Times New Roman"/>
          <w:i/>
          <w:iCs/>
          <w:sz w:val="20"/>
          <w:szCs w:val="20"/>
          <w:lang w:val="en-US" w:eastAsia="ru-RU"/>
        </w:rPr>
        <w:t>Innovations</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9</w:t>
      </w:r>
      <w:r w:rsidRPr="00862474">
        <w:rPr>
          <w:rFonts w:ascii="Times New Roman" w:eastAsia="Times New Roman" w:hAnsi="Times New Roman" w:cs="Times New Roman"/>
          <w:iCs/>
          <w:sz w:val="20"/>
          <w:szCs w:val="20"/>
          <w:lang w:val="en-US" w:eastAsia="ru-RU"/>
        </w:rPr>
        <w:t>, 56–64 (2020).</w:t>
      </w:r>
    </w:p>
    <w:p w14:paraId="324E61AB" w14:textId="6C06ADC5"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Sh. A. Sultonov, “The impact of digital technologies on the efficiency of manufacturing enterprises: An empirical analysis,” </w:t>
      </w:r>
      <w:r w:rsidRPr="00862474">
        <w:rPr>
          <w:rFonts w:ascii="Times New Roman" w:eastAsia="Times New Roman" w:hAnsi="Times New Roman" w:cs="Times New Roman"/>
          <w:i/>
          <w:iCs/>
          <w:sz w:val="20"/>
          <w:szCs w:val="20"/>
          <w:lang w:val="en-US" w:eastAsia="ru-RU"/>
        </w:rPr>
        <w:t>Economic Research</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4</w:t>
      </w:r>
      <w:r w:rsidRPr="00862474">
        <w:rPr>
          <w:rFonts w:ascii="Times New Roman" w:eastAsia="Times New Roman" w:hAnsi="Times New Roman" w:cs="Times New Roman"/>
          <w:iCs/>
          <w:sz w:val="20"/>
          <w:szCs w:val="20"/>
          <w:lang w:val="en-US" w:eastAsia="ru-RU"/>
        </w:rPr>
        <w:t>(8), 112–128 (2022).</w:t>
      </w:r>
    </w:p>
    <w:p w14:paraId="0405ACC6" w14:textId="1AD8C2BF"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O. </w:t>
      </w:r>
      <w:proofErr w:type="spellStart"/>
      <w:r w:rsidRPr="00862474">
        <w:rPr>
          <w:rFonts w:ascii="Times New Roman" w:eastAsia="Times New Roman" w:hAnsi="Times New Roman" w:cs="Times New Roman"/>
          <w:iCs/>
          <w:sz w:val="20"/>
          <w:szCs w:val="20"/>
          <w:lang w:val="en-US" w:eastAsia="ru-RU"/>
        </w:rPr>
        <w:t>Begmullaev</w:t>
      </w:r>
      <w:proofErr w:type="spellEnd"/>
      <w:r w:rsidRPr="00862474">
        <w:rPr>
          <w:rFonts w:ascii="Times New Roman" w:eastAsia="Times New Roman" w:hAnsi="Times New Roman" w:cs="Times New Roman"/>
          <w:iCs/>
          <w:sz w:val="20"/>
          <w:szCs w:val="20"/>
          <w:lang w:val="en-US" w:eastAsia="ru-RU"/>
        </w:rPr>
        <w:t xml:space="preserve">, S. Nabieva, and S. </w:t>
      </w:r>
      <w:proofErr w:type="spellStart"/>
      <w:r w:rsidRPr="00862474">
        <w:rPr>
          <w:rFonts w:ascii="Times New Roman" w:eastAsia="Times New Roman" w:hAnsi="Times New Roman" w:cs="Times New Roman"/>
          <w:iCs/>
          <w:sz w:val="20"/>
          <w:szCs w:val="20"/>
          <w:lang w:val="en-US" w:eastAsia="ru-RU"/>
        </w:rPr>
        <w:t>Mirsaidova</w:t>
      </w:r>
      <w:proofErr w:type="spellEnd"/>
      <w:r w:rsidRPr="00862474">
        <w:rPr>
          <w:rFonts w:ascii="Times New Roman" w:eastAsia="Times New Roman" w:hAnsi="Times New Roman" w:cs="Times New Roman"/>
          <w:iCs/>
          <w:sz w:val="20"/>
          <w:szCs w:val="20"/>
          <w:lang w:val="en-US" w:eastAsia="ru-RU"/>
        </w:rPr>
        <w:t xml:space="preserve">, “Classification of energy efficiency policies and their implementation,”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030053 (2025). </w:t>
      </w:r>
      <w:hyperlink r:id="rId8" w:tgtFrame="_new" w:history="1">
        <w:r w:rsidRPr="00862474">
          <w:rPr>
            <w:rStyle w:val="a7"/>
            <w:rFonts w:ascii="Times New Roman" w:eastAsia="Times New Roman" w:hAnsi="Times New Roman" w:cs="Times New Roman"/>
            <w:iCs/>
            <w:sz w:val="20"/>
            <w:szCs w:val="20"/>
            <w:lang w:val="en-US" w:eastAsia="ru-RU"/>
          </w:rPr>
          <w:t>https://doi.org/10.1063/5.0305929</w:t>
        </w:r>
      </w:hyperlink>
    </w:p>
    <w:p w14:paraId="68C1DEA0" w14:textId="78B23ED2"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S. Nabieva and S. </w:t>
      </w:r>
      <w:proofErr w:type="spellStart"/>
      <w:r w:rsidRPr="00862474">
        <w:rPr>
          <w:rFonts w:ascii="Times New Roman" w:eastAsia="Times New Roman" w:hAnsi="Times New Roman" w:cs="Times New Roman"/>
          <w:iCs/>
          <w:sz w:val="20"/>
          <w:szCs w:val="20"/>
          <w:lang w:val="en-US" w:eastAsia="ru-RU"/>
        </w:rPr>
        <w:t>Atakhanova</w:t>
      </w:r>
      <w:proofErr w:type="spellEnd"/>
      <w:r w:rsidRPr="00862474">
        <w:rPr>
          <w:rFonts w:ascii="Times New Roman" w:eastAsia="Times New Roman" w:hAnsi="Times New Roman" w:cs="Times New Roman"/>
          <w:iCs/>
          <w:sz w:val="20"/>
          <w:szCs w:val="20"/>
          <w:lang w:val="en-US" w:eastAsia="ru-RU"/>
        </w:rPr>
        <w:t xml:space="preserve">, “Modern methods of investment activity in the development of industrial enterprises,”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050010 (2025). </w:t>
      </w:r>
      <w:hyperlink r:id="rId9" w:tgtFrame="_new" w:history="1">
        <w:r w:rsidRPr="00862474">
          <w:rPr>
            <w:rStyle w:val="a7"/>
            <w:rFonts w:ascii="Times New Roman" w:eastAsia="Times New Roman" w:hAnsi="Times New Roman" w:cs="Times New Roman"/>
            <w:iCs/>
            <w:sz w:val="20"/>
            <w:szCs w:val="20"/>
            <w:lang w:val="en-US" w:eastAsia="ru-RU"/>
          </w:rPr>
          <w:t>https://doi.org/10.1063/5.0308119</w:t>
        </w:r>
      </w:hyperlink>
    </w:p>
    <w:p w14:paraId="708690E4" w14:textId="2EED3AD5"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G. </w:t>
      </w:r>
      <w:proofErr w:type="spellStart"/>
      <w:r w:rsidRPr="00862474">
        <w:rPr>
          <w:rFonts w:ascii="Times New Roman" w:eastAsia="Times New Roman" w:hAnsi="Times New Roman" w:cs="Times New Roman"/>
          <w:iCs/>
          <w:sz w:val="20"/>
          <w:szCs w:val="20"/>
          <w:lang w:val="en-US" w:eastAsia="ru-RU"/>
        </w:rPr>
        <w:t>Yusupkhodjaeva</w:t>
      </w:r>
      <w:proofErr w:type="spellEnd"/>
      <w:r w:rsidRPr="00862474">
        <w:rPr>
          <w:rFonts w:ascii="Times New Roman" w:eastAsia="Times New Roman" w:hAnsi="Times New Roman" w:cs="Times New Roman"/>
          <w:iCs/>
          <w:sz w:val="20"/>
          <w:szCs w:val="20"/>
          <w:lang w:val="en-US" w:eastAsia="ru-RU"/>
        </w:rPr>
        <w:t xml:space="preserve">, and K. </w:t>
      </w:r>
      <w:proofErr w:type="spellStart"/>
      <w:r w:rsidRPr="00862474">
        <w:rPr>
          <w:rFonts w:ascii="Times New Roman" w:eastAsia="Times New Roman" w:hAnsi="Times New Roman" w:cs="Times New Roman"/>
          <w:iCs/>
          <w:sz w:val="20"/>
          <w:szCs w:val="20"/>
          <w:lang w:val="en-US" w:eastAsia="ru-RU"/>
        </w:rPr>
        <w:t>Mukhitdinova</w:t>
      </w:r>
      <w:proofErr w:type="spellEnd"/>
      <w:r w:rsidRPr="00862474">
        <w:rPr>
          <w:rFonts w:ascii="Times New Roman" w:eastAsia="Times New Roman" w:hAnsi="Times New Roman" w:cs="Times New Roman"/>
          <w:iCs/>
          <w:sz w:val="20"/>
          <w:szCs w:val="20"/>
          <w:lang w:val="en-US" w:eastAsia="ru-RU"/>
        </w:rPr>
        <w:t xml:space="preserve">, “Methodology for calculating sustainable development of fuel and energy complex enterprises based on consolidated integral indices,”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030006 (2025). </w:t>
      </w:r>
      <w:hyperlink r:id="rId10" w:tgtFrame="_new" w:history="1">
        <w:r w:rsidRPr="00862474">
          <w:rPr>
            <w:rStyle w:val="a7"/>
            <w:rFonts w:ascii="Times New Roman" w:eastAsia="Times New Roman" w:hAnsi="Times New Roman" w:cs="Times New Roman"/>
            <w:iCs/>
            <w:sz w:val="20"/>
            <w:szCs w:val="20"/>
            <w:lang w:val="en-US" w:eastAsia="ru-RU"/>
          </w:rPr>
          <w:t>https://doi.org/10.1063/5.0308133</w:t>
        </w:r>
      </w:hyperlink>
    </w:p>
    <w:p w14:paraId="757162D3" w14:textId="616EF3BB"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Yusupkhodjaeva</w:t>
      </w:r>
      <w:proofErr w:type="spellEnd"/>
      <w:r w:rsidRPr="00862474">
        <w:rPr>
          <w:rFonts w:ascii="Times New Roman" w:eastAsia="Times New Roman" w:hAnsi="Times New Roman" w:cs="Times New Roman"/>
          <w:iCs/>
          <w:sz w:val="20"/>
          <w:szCs w:val="20"/>
          <w:lang w:val="en-US" w:eastAsia="ru-RU"/>
        </w:rPr>
        <w:t xml:space="preserve">, 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and K. </w:t>
      </w:r>
      <w:proofErr w:type="spellStart"/>
      <w:r w:rsidRPr="00862474">
        <w:rPr>
          <w:rFonts w:ascii="Times New Roman" w:eastAsia="Times New Roman" w:hAnsi="Times New Roman" w:cs="Times New Roman"/>
          <w:iCs/>
          <w:sz w:val="20"/>
          <w:szCs w:val="20"/>
          <w:lang w:val="en-US" w:eastAsia="ru-RU"/>
        </w:rPr>
        <w:t>Mukhitdinova</w:t>
      </w:r>
      <w:proofErr w:type="spellEnd"/>
      <w:r w:rsidRPr="00862474">
        <w:rPr>
          <w:rFonts w:ascii="Times New Roman" w:eastAsia="Times New Roman" w:hAnsi="Times New Roman" w:cs="Times New Roman"/>
          <w:iCs/>
          <w:sz w:val="20"/>
          <w:szCs w:val="20"/>
          <w:lang w:val="en-US" w:eastAsia="ru-RU"/>
        </w:rPr>
        <w:t xml:space="preserve">, “Sustainable development of transport enterprises in the context of the formation of the digital economy,”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030087 (2025). </w:t>
      </w:r>
      <w:hyperlink r:id="rId11" w:tgtFrame="_new" w:history="1">
        <w:r w:rsidRPr="00862474">
          <w:rPr>
            <w:rStyle w:val="a7"/>
            <w:rFonts w:ascii="Times New Roman" w:eastAsia="Times New Roman" w:hAnsi="Times New Roman" w:cs="Times New Roman"/>
            <w:iCs/>
            <w:sz w:val="20"/>
            <w:szCs w:val="20"/>
            <w:lang w:val="en-US" w:eastAsia="ru-RU"/>
          </w:rPr>
          <w:t>https://doi.org/10.1063/5.0306872</w:t>
        </w:r>
      </w:hyperlink>
    </w:p>
    <w:p w14:paraId="19E93D5A" w14:textId="42089B70"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K. </w:t>
      </w:r>
      <w:proofErr w:type="spellStart"/>
      <w:r w:rsidRPr="00862474">
        <w:rPr>
          <w:rFonts w:ascii="Times New Roman" w:eastAsia="Times New Roman" w:hAnsi="Times New Roman" w:cs="Times New Roman"/>
          <w:iCs/>
          <w:sz w:val="20"/>
          <w:szCs w:val="20"/>
          <w:lang w:val="en-US" w:eastAsia="ru-RU"/>
        </w:rPr>
        <w:t>Mukhitdinova</w:t>
      </w:r>
      <w:proofErr w:type="spellEnd"/>
      <w:r w:rsidRPr="00862474">
        <w:rPr>
          <w:rFonts w:ascii="Times New Roman" w:eastAsia="Times New Roman" w:hAnsi="Times New Roman" w:cs="Times New Roman"/>
          <w:iCs/>
          <w:sz w:val="20"/>
          <w:szCs w:val="20"/>
          <w:lang w:val="en-US" w:eastAsia="ru-RU"/>
        </w:rPr>
        <w:t xml:space="preserve">, G. </w:t>
      </w:r>
      <w:proofErr w:type="spellStart"/>
      <w:r w:rsidRPr="00862474">
        <w:rPr>
          <w:rFonts w:ascii="Times New Roman" w:eastAsia="Times New Roman" w:hAnsi="Times New Roman" w:cs="Times New Roman"/>
          <w:iCs/>
          <w:sz w:val="20"/>
          <w:szCs w:val="20"/>
          <w:lang w:val="en-US" w:eastAsia="ru-RU"/>
        </w:rPr>
        <w:t>Yusupkhodjaeva</w:t>
      </w:r>
      <w:proofErr w:type="spellEnd"/>
      <w:r w:rsidRPr="00862474">
        <w:rPr>
          <w:rFonts w:ascii="Times New Roman" w:eastAsia="Times New Roman" w:hAnsi="Times New Roman" w:cs="Times New Roman"/>
          <w:iCs/>
          <w:sz w:val="20"/>
          <w:szCs w:val="20"/>
          <w:lang w:val="en-US" w:eastAsia="ru-RU"/>
        </w:rPr>
        <w:t xml:space="preserve">, and 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“Econometric modeling of investment potential of industrial enterprises,”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050026 (2025). </w:t>
      </w:r>
      <w:hyperlink r:id="rId12" w:tgtFrame="_new" w:history="1">
        <w:r w:rsidRPr="00862474">
          <w:rPr>
            <w:rStyle w:val="a7"/>
            <w:rFonts w:ascii="Times New Roman" w:eastAsia="Times New Roman" w:hAnsi="Times New Roman" w:cs="Times New Roman"/>
            <w:iCs/>
            <w:sz w:val="20"/>
            <w:szCs w:val="20"/>
            <w:lang w:val="en-US" w:eastAsia="ru-RU"/>
          </w:rPr>
          <w:t>https://doi.org/10.1063/5.0308123</w:t>
        </w:r>
      </w:hyperlink>
    </w:p>
    <w:p w14:paraId="23E3738C" w14:textId="309DB6AF"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“Main directions of sustainable development of fuel and energy enterprises,”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3152</w:t>
      </w:r>
      <w:r w:rsidRPr="00862474">
        <w:rPr>
          <w:rFonts w:ascii="Times New Roman" w:eastAsia="Times New Roman" w:hAnsi="Times New Roman" w:cs="Times New Roman"/>
          <w:iCs/>
          <w:sz w:val="20"/>
          <w:szCs w:val="20"/>
          <w:lang w:val="en-US" w:eastAsia="ru-RU"/>
        </w:rPr>
        <w:t xml:space="preserve">, 050012 (2024). </w:t>
      </w:r>
      <w:hyperlink r:id="rId13" w:tgtFrame="_new" w:history="1">
        <w:r w:rsidRPr="00862474">
          <w:rPr>
            <w:rStyle w:val="a7"/>
            <w:rFonts w:ascii="Times New Roman" w:eastAsia="Times New Roman" w:hAnsi="Times New Roman" w:cs="Times New Roman"/>
            <w:iCs/>
            <w:sz w:val="20"/>
            <w:szCs w:val="20"/>
            <w:lang w:val="en-US" w:eastAsia="ru-RU"/>
          </w:rPr>
          <w:t>https://doi.org/10.1063/5.0220851</w:t>
        </w:r>
      </w:hyperlink>
    </w:p>
    <w:p w14:paraId="67D49122" w14:textId="2A9D3DD2"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“The role of energy security in forming the foundations for sustainable development of fuel and energy complex enterprises,”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461</w:t>
      </w:r>
      <w:r w:rsidRPr="00862474">
        <w:rPr>
          <w:rFonts w:ascii="Times New Roman" w:eastAsia="Times New Roman" w:hAnsi="Times New Roman" w:cs="Times New Roman"/>
          <w:iCs/>
          <w:sz w:val="20"/>
          <w:szCs w:val="20"/>
          <w:lang w:val="en-US" w:eastAsia="ru-RU"/>
        </w:rPr>
        <w:t xml:space="preserve">, 01061 (2023). </w:t>
      </w:r>
      <w:hyperlink r:id="rId14" w:tgtFrame="_new" w:history="1">
        <w:r w:rsidRPr="00862474">
          <w:rPr>
            <w:rStyle w:val="a7"/>
            <w:rFonts w:ascii="Times New Roman" w:eastAsia="Times New Roman" w:hAnsi="Times New Roman" w:cs="Times New Roman"/>
            <w:iCs/>
            <w:sz w:val="20"/>
            <w:szCs w:val="20"/>
            <w:lang w:val="en-US" w:eastAsia="ru-RU"/>
          </w:rPr>
          <w:t>https://doi.org/10.1051/e3sconf/202346101061</w:t>
        </w:r>
      </w:hyperlink>
    </w:p>
    <w:p w14:paraId="60D0A5EF" w14:textId="183527F2"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“Sustainable development methodology of the fuel-energy complex of the Republic of Uzbekistan,”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289</w:t>
      </w:r>
      <w:r w:rsidRPr="00862474">
        <w:rPr>
          <w:rFonts w:ascii="Times New Roman" w:eastAsia="Times New Roman" w:hAnsi="Times New Roman" w:cs="Times New Roman"/>
          <w:iCs/>
          <w:sz w:val="20"/>
          <w:szCs w:val="20"/>
          <w:lang w:val="en-US" w:eastAsia="ru-RU"/>
        </w:rPr>
        <w:t xml:space="preserve">, 07033 (2021). </w:t>
      </w:r>
      <w:hyperlink r:id="rId15" w:tgtFrame="_new" w:history="1">
        <w:r w:rsidRPr="00862474">
          <w:rPr>
            <w:rStyle w:val="a7"/>
            <w:rFonts w:ascii="Times New Roman" w:eastAsia="Times New Roman" w:hAnsi="Times New Roman" w:cs="Times New Roman"/>
            <w:iCs/>
            <w:sz w:val="20"/>
            <w:szCs w:val="20"/>
            <w:lang w:val="en-US" w:eastAsia="ru-RU"/>
          </w:rPr>
          <w:t>https://doi.org/10.1051/e3sconf/202128907033</w:t>
        </w:r>
      </w:hyperlink>
    </w:p>
    <w:p w14:paraId="3F7AA0D5" w14:textId="1A861773"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“Fiscal instruments of taxation improvement as a factor of sustainable development of enterprises of the fuel and energy sector,”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216</w:t>
      </w:r>
      <w:r w:rsidRPr="00862474">
        <w:rPr>
          <w:rFonts w:ascii="Times New Roman" w:eastAsia="Times New Roman" w:hAnsi="Times New Roman" w:cs="Times New Roman"/>
          <w:iCs/>
          <w:sz w:val="20"/>
          <w:szCs w:val="20"/>
          <w:lang w:val="en-US" w:eastAsia="ru-RU"/>
        </w:rPr>
        <w:t xml:space="preserve">, 01173 (2020). </w:t>
      </w:r>
      <w:hyperlink r:id="rId16" w:tgtFrame="_new" w:history="1">
        <w:r w:rsidRPr="00862474">
          <w:rPr>
            <w:rStyle w:val="a7"/>
            <w:rFonts w:ascii="Times New Roman" w:eastAsia="Times New Roman" w:hAnsi="Times New Roman" w:cs="Times New Roman"/>
            <w:iCs/>
            <w:sz w:val="20"/>
            <w:szCs w:val="20"/>
            <w:lang w:val="en-US" w:eastAsia="ru-RU"/>
          </w:rPr>
          <w:t>https://doi.org/10.1051/e3sconf/202021601173</w:t>
        </w:r>
      </w:hyperlink>
    </w:p>
    <w:p w14:paraId="5E78F181" w14:textId="63122181"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Allaeva</w:t>
      </w:r>
      <w:proofErr w:type="spellEnd"/>
      <w:r w:rsidRPr="00862474">
        <w:rPr>
          <w:rFonts w:ascii="Times New Roman" w:eastAsia="Times New Roman" w:hAnsi="Times New Roman" w:cs="Times New Roman"/>
          <w:iCs/>
          <w:sz w:val="20"/>
          <w:szCs w:val="20"/>
          <w:lang w:val="en-US" w:eastAsia="ru-RU"/>
        </w:rPr>
        <w:t xml:space="preserve">, “Priority directions of development of </w:t>
      </w:r>
      <w:proofErr w:type="spellStart"/>
      <w:r w:rsidRPr="00862474">
        <w:rPr>
          <w:rFonts w:ascii="Times New Roman" w:eastAsia="Times New Roman" w:hAnsi="Times New Roman" w:cs="Times New Roman"/>
          <w:iCs/>
          <w:sz w:val="20"/>
          <w:szCs w:val="20"/>
          <w:lang w:val="en-US" w:eastAsia="ru-RU"/>
        </w:rPr>
        <w:t>Uzbekneftegas</w:t>
      </w:r>
      <w:proofErr w:type="spellEnd"/>
      <w:r w:rsidRPr="00862474">
        <w:rPr>
          <w:rFonts w:ascii="Times New Roman" w:eastAsia="Times New Roman" w:hAnsi="Times New Roman" w:cs="Times New Roman"/>
          <w:iCs/>
          <w:sz w:val="20"/>
          <w:szCs w:val="20"/>
          <w:lang w:val="en-US" w:eastAsia="ru-RU"/>
        </w:rPr>
        <w:t xml:space="preserve"> JSC in the conditions of globalization of the world economy,”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139</w:t>
      </w:r>
      <w:r w:rsidRPr="00862474">
        <w:rPr>
          <w:rFonts w:ascii="Times New Roman" w:eastAsia="Times New Roman" w:hAnsi="Times New Roman" w:cs="Times New Roman"/>
          <w:iCs/>
          <w:sz w:val="20"/>
          <w:szCs w:val="20"/>
          <w:lang w:val="en-US" w:eastAsia="ru-RU"/>
        </w:rPr>
        <w:t xml:space="preserve">, 01008 (2019). </w:t>
      </w:r>
      <w:hyperlink r:id="rId17" w:tgtFrame="_new" w:history="1">
        <w:r w:rsidRPr="00862474">
          <w:rPr>
            <w:rStyle w:val="a7"/>
            <w:rFonts w:ascii="Times New Roman" w:eastAsia="Times New Roman" w:hAnsi="Times New Roman" w:cs="Times New Roman"/>
            <w:iCs/>
            <w:sz w:val="20"/>
            <w:szCs w:val="20"/>
            <w:lang w:val="en-US" w:eastAsia="ru-RU"/>
          </w:rPr>
          <w:t>https://doi.org/10.1051/e3sconf/201913901008</w:t>
        </w:r>
      </w:hyperlink>
    </w:p>
    <w:p w14:paraId="60D5D1CE" w14:textId="0C58AF9C"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S. Ibragimova and K. </w:t>
      </w:r>
      <w:proofErr w:type="spellStart"/>
      <w:r w:rsidRPr="00862474">
        <w:rPr>
          <w:rFonts w:ascii="Times New Roman" w:eastAsia="Times New Roman" w:hAnsi="Times New Roman" w:cs="Times New Roman"/>
          <w:iCs/>
          <w:sz w:val="20"/>
          <w:szCs w:val="20"/>
          <w:lang w:val="en-US" w:eastAsia="ru-RU"/>
        </w:rPr>
        <w:t>Bakhodirova</w:t>
      </w:r>
      <w:proofErr w:type="spellEnd"/>
      <w:r w:rsidRPr="00862474">
        <w:rPr>
          <w:rFonts w:ascii="Times New Roman" w:eastAsia="Times New Roman" w:hAnsi="Times New Roman" w:cs="Times New Roman"/>
          <w:iCs/>
          <w:sz w:val="20"/>
          <w:szCs w:val="20"/>
          <w:lang w:val="en-US" w:eastAsia="ru-RU"/>
        </w:rPr>
        <w:t xml:space="preserve">, “Formation of investment activities of energy enterprises,”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461</w:t>
      </w:r>
      <w:r w:rsidRPr="00862474">
        <w:rPr>
          <w:rFonts w:ascii="Times New Roman" w:eastAsia="Times New Roman" w:hAnsi="Times New Roman" w:cs="Times New Roman"/>
          <w:iCs/>
          <w:sz w:val="20"/>
          <w:szCs w:val="20"/>
          <w:lang w:val="en-US" w:eastAsia="ru-RU"/>
        </w:rPr>
        <w:t xml:space="preserve">, 01074 (2023). </w:t>
      </w:r>
      <w:hyperlink r:id="rId18" w:tgtFrame="_new" w:history="1">
        <w:r w:rsidRPr="00862474">
          <w:rPr>
            <w:rStyle w:val="a7"/>
            <w:rFonts w:ascii="Times New Roman" w:eastAsia="Times New Roman" w:hAnsi="Times New Roman" w:cs="Times New Roman"/>
            <w:iCs/>
            <w:sz w:val="20"/>
            <w:szCs w:val="20"/>
            <w:lang w:val="en-US" w:eastAsia="ru-RU"/>
          </w:rPr>
          <w:t>https://doi.org/10.1051/e3sconf/202346101074</w:t>
        </w:r>
      </w:hyperlink>
    </w:p>
    <w:p w14:paraId="05DEB3EA" w14:textId="107851C5"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R. </w:t>
      </w:r>
      <w:proofErr w:type="spellStart"/>
      <w:r w:rsidRPr="00862474">
        <w:rPr>
          <w:rFonts w:ascii="Times New Roman" w:eastAsia="Times New Roman" w:hAnsi="Times New Roman" w:cs="Times New Roman"/>
          <w:iCs/>
          <w:sz w:val="20"/>
          <w:szCs w:val="20"/>
          <w:lang w:val="en-US" w:eastAsia="ru-RU"/>
        </w:rPr>
        <w:t>Xusainov</w:t>
      </w:r>
      <w:proofErr w:type="spellEnd"/>
      <w:r w:rsidRPr="00862474">
        <w:rPr>
          <w:rFonts w:ascii="Times New Roman" w:eastAsia="Times New Roman" w:hAnsi="Times New Roman" w:cs="Times New Roman"/>
          <w:iCs/>
          <w:sz w:val="20"/>
          <w:szCs w:val="20"/>
          <w:lang w:val="en-US" w:eastAsia="ru-RU"/>
        </w:rPr>
        <w:t xml:space="preserve"> and O. </w:t>
      </w:r>
      <w:proofErr w:type="spellStart"/>
      <w:r w:rsidRPr="00862474">
        <w:rPr>
          <w:rFonts w:ascii="Times New Roman" w:eastAsia="Times New Roman" w:hAnsi="Times New Roman" w:cs="Times New Roman"/>
          <w:iCs/>
          <w:sz w:val="20"/>
          <w:szCs w:val="20"/>
          <w:lang w:val="en-US" w:eastAsia="ru-RU"/>
        </w:rPr>
        <w:t>Begmullaev</w:t>
      </w:r>
      <w:proofErr w:type="spellEnd"/>
      <w:r w:rsidRPr="00862474">
        <w:rPr>
          <w:rFonts w:ascii="Times New Roman" w:eastAsia="Times New Roman" w:hAnsi="Times New Roman" w:cs="Times New Roman"/>
          <w:iCs/>
          <w:sz w:val="20"/>
          <w:szCs w:val="20"/>
          <w:lang w:val="en-US" w:eastAsia="ru-RU"/>
        </w:rPr>
        <w:t xml:space="preserve">, “Problems of ensuring the electricity supply system in Uzbekistan,”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030002 (2025). </w:t>
      </w:r>
      <w:hyperlink r:id="rId19" w:tgtFrame="_new" w:history="1">
        <w:r w:rsidRPr="00862474">
          <w:rPr>
            <w:rStyle w:val="a7"/>
            <w:rFonts w:ascii="Times New Roman" w:eastAsia="Times New Roman" w:hAnsi="Times New Roman" w:cs="Times New Roman"/>
            <w:iCs/>
            <w:sz w:val="20"/>
            <w:szCs w:val="20"/>
            <w:lang w:val="en-US" w:eastAsia="ru-RU"/>
          </w:rPr>
          <w:t>https://doi.org/10.1063/5.0305927</w:t>
        </w:r>
      </w:hyperlink>
    </w:p>
    <w:p w14:paraId="4BA8D6F2" w14:textId="6FEEBC5B"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R. Xusainov, B. </w:t>
      </w:r>
      <w:proofErr w:type="spellStart"/>
      <w:r w:rsidRPr="00862474">
        <w:rPr>
          <w:rFonts w:ascii="Times New Roman" w:eastAsia="Times New Roman" w:hAnsi="Times New Roman" w:cs="Times New Roman"/>
          <w:iCs/>
          <w:sz w:val="20"/>
          <w:szCs w:val="20"/>
          <w:lang w:val="en-US" w:eastAsia="ru-RU"/>
        </w:rPr>
        <w:t>Tillayeva</w:t>
      </w:r>
      <w:proofErr w:type="spellEnd"/>
      <w:r w:rsidRPr="00862474">
        <w:rPr>
          <w:rFonts w:ascii="Times New Roman" w:eastAsia="Times New Roman" w:hAnsi="Times New Roman" w:cs="Times New Roman"/>
          <w:iCs/>
          <w:sz w:val="20"/>
          <w:szCs w:val="20"/>
          <w:lang w:val="en-US" w:eastAsia="ru-RU"/>
        </w:rPr>
        <w:t xml:space="preserve">, and N. </w:t>
      </w:r>
      <w:proofErr w:type="spellStart"/>
      <w:r w:rsidRPr="00862474">
        <w:rPr>
          <w:rFonts w:ascii="Times New Roman" w:eastAsia="Times New Roman" w:hAnsi="Times New Roman" w:cs="Times New Roman"/>
          <w:iCs/>
          <w:sz w:val="20"/>
          <w:szCs w:val="20"/>
          <w:lang w:val="en-US" w:eastAsia="ru-RU"/>
        </w:rPr>
        <w:t>Sayfutdinova</w:t>
      </w:r>
      <w:proofErr w:type="spellEnd"/>
      <w:r w:rsidRPr="00862474">
        <w:rPr>
          <w:rFonts w:ascii="Times New Roman" w:eastAsia="Times New Roman" w:hAnsi="Times New Roman" w:cs="Times New Roman"/>
          <w:iCs/>
          <w:sz w:val="20"/>
          <w:szCs w:val="20"/>
          <w:lang w:val="en-US" w:eastAsia="ru-RU"/>
        </w:rPr>
        <w:t xml:space="preserve">, “Development of ecology and energy in Uzbekistan,”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030010 (2025). </w:t>
      </w:r>
      <w:hyperlink r:id="rId20" w:tgtFrame="_new" w:history="1">
        <w:r w:rsidRPr="00862474">
          <w:rPr>
            <w:rStyle w:val="a7"/>
            <w:rFonts w:ascii="Times New Roman" w:eastAsia="Times New Roman" w:hAnsi="Times New Roman" w:cs="Times New Roman"/>
            <w:iCs/>
            <w:sz w:val="20"/>
            <w:szCs w:val="20"/>
            <w:lang w:val="en-US" w:eastAsia="ru-RU"/>
          </w:rPr>
          <w:t>https://doi.org/10.1063/5.0306384</w:t>
        </w:r>
      </w:hyperlink>
    </w:p>
    <w:p w14:paraId="274AF1EF" w14:textId="4AEF603B"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G. </w:t>
      </w:r>
      <w:proofErr w:type="spellStart"/>
      <w:r w:rsidRPr="00862474">
        <w:rPr>
          <w:rFonts w:ascii="Times New Roman" w:eastAsia="Times New Roman" w:hAnsi="Times New Roman" w:cs="Times New Roman"/>
          <w:iCs/>
          <w:sz w:val="20"/>
          <w:szCs w:val="20"/>
          <w:lang w:val="en-US" w:eastAsia="ru-RU"/>
        </w:rPr>
        <w:t>Yusupkhodjaeva</w:t>
      </w:r>
      <w:proofErr w:type="spellEnd"/>
      <w:r w:rsidRPr="00862474">
        <w:rPr>
          <w:rFonts w:ascii="Times New Roman" w:eastAsia="Times New Roman" w:hAnsi="Times New Roman" w:cs="Times New Roman"/>
          <w:iCs/>
          <w:sz w:val="20"/>
          <w:szCs w:val="20"/>
          <w:lang w:val="en-US" w:eastAsia="ru-RU"/>
        </w:rPr>
        <w:t xml:space="preserve">, “Development of a unified digital transport and logistics intelligent platform based on the national operator,”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461</w:t>
      </w:r>
      <w:r w:rsidRPr="00862474">
        <w:rPr>
          <w:rFonts w:ascii="Times New Roman" w:eastAsia="Times New Roman" w:hAnsi="Times New Roman" w:cs="Times New Roman"/>
          <w:iCs/>
          <w:sz w:val="20"/>
          <w:szCs w:val="20"/>
          <w:lang w:val="en-US" w:eastAsia="ru-RU"/>
        </w:rPr>
        <w:t xml:space="preserve">, 01055 (2023). </w:t>
      </w:r>
      <w:hyperlink r:id="rId21" w:tgtFrame="_new" w:history="1">
        <w:r w:rsidRPr="00862474">
          <w:rPr>
            <w:rStyle w:val="a7"/>
            <w:rFonts w:ascii="Times New Roman" w:eastAsia="Times New Roman" w:hAnsi="Times New Roman" w:cs="Times New Roman"/>
            <w:iCs/>
            <w:sz w:val="20"/>
            <w:szCs w:val="20"/>
            <w:lang w:val="en-US" w:eastAsia="ru-RU"/>
          </w:rPr>
          <w:t>https://doi.org/10.1051/e3sconf/202346101055</w:t>
        </w:r>
      </w:hyperlink>
    </w:p>
    <w:p w14:paraId="01302682" w14:textId="5A029CBF"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K. </w:t>
      </w:r>
      <w:proofErr w:type="spellStart"/>
      <w:r w:rsidRPr="00862474">
        <w:rPr>
          <w:rFonts w:ascii="Times New Roman" w:eastAsia="Times New Roman" w:hAnsi="Times New Roman" w:cs="Times New Roman"/>
          <w:iCs/>
          <w:sz w:val="20"/>
          <w:szCs w:val="20"/>
          <w:lang w:val="en-US" w:eastAsia="ru-RU"/>
        </w:rPr>
        <w:t>Mukhitdinova</w:t>
      </w:r>
      <w:proofErr w:type="spellEnd"/>
      <w:r w:rsidRPr="00862474">
        <w:rPr>
          <w:rFonts w:ascii="Times New Roman" w:eastAsia="Times New Roman" w:hAnsi="Times New Roman" w:cs="Times New Roman"/>
          <w:iCs/>
          <w:sz w:val="20"/>
          <w:szCs w:val="20"/>
          <w:lang w:val="en-US" w:eastAsia="ru-RU"/>
        </w:rPr>
        <w:t xml:space="preserve"> and G. </w:t>
      </w:r>
      <w:proofErr w:type="spellStart"/>
      <w:r w:rsidRPr="00862474">
        <w:rPr>
          <w:rFonts w:ascii="Times New Roman" w:eastAsia="Times New Roman" w:hAnsi="Times New Roman" w:cs="Times New Roman"/>
          <w:iCs/>
          <w:sz w:val="20"/>
          <w:szCs w:val="20"/>
          <w:lang w:val="en-US" w:eastAsia="ru-RU"/>
        </w:rPr>
        <w:t>Tarakhtieva</w:t>
      </w:r>
      <w:proofErr w:type="spellEnd"/>
      <w:r w:rsidRPr="00862474">
        <w:rPr>
          <w:rFonts w:ascii="Times New Roman" w:eastAsia="Times New Roman" w:hAnsi="Times New Roman" w:cs="Times New Roman"/>
          <w:iCs/>
          <w:sz w:val="20"/>
          <w:szCs w:val="20"/>
          <w:lang w:val="en-US" w:eastAsia="ru-RU"/>
        </w:rPr>
        <w:t xml:space="preserve">, “Ensuring sustainable future: The interconnectedness of food safety and environmental health,”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497</w:t>
      </w:r>
      <w:r w:rsidRPr="00862474">
        <w:rPr>
          <w:rFonts w:ascii="Times New Roman" w:eastAsia="Times New Roman" w:hAnsi="Times New Roman" w:cs="Times New Roman"/>
          <w:iCs/>
          <w:sz w:val="20"/>
          <w:szCs w:val="20"/>
          <w:lang w:val="en-US" w:eastAsia="ru-RU"/>
        </w:rPr>
        <w:t xml:space="preserve">, 03037 (2024). </w:t>
      </w:r>
      <w:hyperlink r:id="rId22" w:tgtFrame="_new" w:history="1">
        <w:r w:rsidRPr="00862474">
          <w:rPr>
            <w:rStyle w:val="a7"/>
            <w:rFonts w:ascii="Times New Roman" w:eastAsia="Times New Roman" w:hAnsi="Times New Roman" w:cs="Times New Roman"/>
            <w:iCs/>
            <w:sz w:val="20"/>
            <w:szCs w:val="20"/>
            <w:lang w:val="en-US" w:eastAsia="ru-RU"/>
          </w:rPr>
          <w:t>https://doi.org/10.1051/e3sconf/202449703037</w:t>
        </w:r>
      </w:hyperlink>
    </w:p>
    <w:p w14:paraId="2F42040C" w14:textId="215A30F5"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S. Hashimova, D. Yakubova, and N. </w:t>
      </w:r>
      <w:proofErr w:type="spellStart"/>
      <w:r w:rsidRPr="00862474">
        <w:rPr>
          <w:rFonts w:ascii="Times New Roman" w:eastAsia="Times New Roman" w:hAnsi="Times New Roman" w:cs="Times New Roman"/>
          <w:iCs/>
          <w:sz w:val="20"/>
          <w:szCs w:val="20"/>
          <w:lang w:val="en-US" w:eastAsia="ru-RU"/>
        </w:rPr>
        <w:t>Tursunova</w:t>
      </w:r>
      <w:proofErr w:type="spellEnd"/>
      <w:r w:rsidRPr="00862474">
        <w:rPr>
          <w:rFonts w:ascii="Times New Roman" w:eastAsia="Times New Roman" w:hAnsi="Times New Roman" w:cs="Times New Roman"/>
          <w:iCs/>
          <w:sz w:val="20"/>
          <w:szCs w:val="20"/>
          <w:lang w:val="en-US" w:eastAsia="ru-RU"/>
        </w:rPr>
        <w:t xml:space="preserve">, “Possibilities of expanding the mineral resource as a base of ferrous metallurgy,” </w:t>
      </w:r>
      <w:r w:rsidRPr="00862474">
        <w:rPr>
          <w:rFonts w:ascii="Times New Roman" w:eastAsia="Times New Roman" w:hAnsi="Times New Roman" w:cs="Times New Roman"/>
          <w:i/>
          <w:iCs/>
          <w:sz w:val="20"/>
          <w:szCs w:val="20"/>
          <w:lang w:val="en-US" w:eastAsia="ru-RU"/>
        </w:rPr>
        <w:t xml:space="preserve">Lect. Notes </w:t>
      </w:r>
      <w:proofErr w:type="spellStart"/>
      <w:r w:rsidRPr="00862474">
        <w:rPr>
          <w:rFonts w:ascii="Times New Roman" w:eastAsia="Times New Roman" w:hAnsi="Times New Roman" w:cs="Times New Roman"/>
          <w:i/>
          <w:iCs/>
          <w:sz w:val="20"/>
          <w:szCs w:val="20"/>
          <w:lang w:val="en-US" w:eastAsia="ru-RU"/>
        </w:rPr>
        <w:t>Netw</w:t>
      </w:r>
      <w:proofErr w:type="spellEnd"/>
      <w:r w:rsidRPr="00862474">
        <w:rPr>
          <w:rFonts w:ascii="Times New Roman" w:eastAsia="Times New Roman" w:hAnsi="Times New Roman" w:cs="Times New Roman"/>
          <w:i/>
          <w:iCs/>
          <w:sz w:val="20"/>
          <w:szCs w:val="20"/>
          <w:lang w:val="en-US" w:eastAsia="ru-RU"/>
        </w:rPr>
        <w:t>. Syst.</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733</w:t>
      </w:r>
      <w:r w:rsidRPr="00862474">
        <w:rPr>
          <w:rFonts w:ascii="Times New Roman" w:eastAsia="Times New Roman" w:hAnsi="Times New Roman" w:cs="Times New Roman"/>
          <w:iCs/>
          <w:sz w:val="20"/>
          <w:szCs w:val="20"/>
          <w:lang w:val="en-US" w:eastAsia="ru-RU"/>
        </w:rPr>
        <w:t xml:space="preserve">, 879–888 (2024). </w:t>
      </w:r>
      <w:hyperlink r:id="rId23" w:tgtFrame="_new" w:history="1">
        <w:r w:rsidRPr="00862474">
          <w:rPr>
            <w:rStyle w:val="a7"/>
            <w:rFonts w:ascii="Times New Roman" w:eastAsia="Times New Roman" w:hAnsi="Times New Roman" w:cs="Times New Roman"/>
            <w:iCs/>
            <w:sz w:val="20"/>
            <w:szCs w:val="20"/>
            <w:lang w:val="en-US" w:eastAsia="ru-RU"/>
          </w:rPr>
          <w:t>https://doi.org/10.1007/978-3-031-37978-9_70</w:t>
        </w:r>
      </w:hyperlink>
    </w:p>
    <w:p w14:paraId="12A20A65" w14:textId="67958C46"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S. Salomova </w:t>
      </w:r>
      <w:r w:rsidRPr="00862474">
        <w:rPr>
          <w:rFonts w:ascii="Times New Roman" w:eastAsia="Times New Roman" w:hAnsi="Times New Roman" w:cs="Times New Roman"/>
          <w:i/>
          <w:iCs/>
          <w:sz w:val="20"/>
          <w:szCs w:val="20"/>
          <w:lang w:val="en-US" w:eastAsia="ru-RU"/>
        </w:rPr>
        <w:t>et al.</w:t>
      </w:r>
      <w:r w:rsidRPr="00862474">
        <w:rPr>
          <w:rFonts w:ascii="Times New Roman" w:eastAsia="Times New Roman" w:hAnsi="Times New Roman" w:cs="Times New Roman"/>
          <w:iCs/>
          <w:sz w:val="20"/>
          <w:szCs w:val="20"/>
          <w:lang w:val="en-US" w:eastAsia="ru-RU"/>
        </w:rPr>
        <w:t xml:space="preserve">, “Improving the efficiency of energy enterprises,”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040076 (2025). </w:t>
      </w:r>
      <w:hyperlink r:id="rId24" w:tgtFrame="_new" w:history="1">
        <w:r w:rsidRPr="00862474">
          <w:rPr>
            <w:rStyle w:val="a7"/>
            <w:rFonts w:ascii="Times New Roman" w:eastAsia="Times New Roman" w:hAnsi="Times New Roman" w:cs="Times New Roman"/>
            <w:iCs/>
            <w:sz w:val="20"/>
            <w:szCs w:val="20"/>
            <w:lang w:val="en-US" w:eastAsia="ru-RU"/>
          </w:rPr>
          <w:t>https://doi.org/10.1063/5.0305987</w:t>
        </w:r>
      </w:hyperlink>
    </w:p>
    <w:p w14:paraId="6D756EFC" w14:textId="56F6E257"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lastRenderedPageBreak/>
        <w:t xml:space="preserve">  A. Otabek and O. </w:t>
      </w:r>
      <w:proofErr w:type="spellStart"/>
      <w:r w:rsidRPr="00862474">
        <w:rPr>
          <w:rFonts w:ascii="Times New Roman" w:eastAsia="Times New Roman" w:hAnsi="Times New Roman" w:cs="Times New Roman"/>
          <w:iCs/>
          <w:sz w:val="20"/>
          <w:szCs w:val="20"/>
          <w:lang w:val="en-US" w:eastAsia="ru-RU"/>
        </w:rPr>
        <w:t>Begmullaev</w:t>
      </w:r>
      <w:proofErr w:type="spellEnd"/>
      <w:r w:rsidRPr="00862474">
        <w:rPr>
          <w:rFonts w:ascii="Times New Roman" w:eastAsia="Times New Roman" w:hAnsi="Times New Roman" w:cs="Times New Roman"/>
          <w:iCs/>
          <w:sz w:val="20"/>
          <w:szCs w:val="20"/>
          <w:lang w:val="en-US" w:eastAsia="ru-RU"/>
        </w:rPr>
        <w:t xml:space="preserve">, “Alternative energy and its place in ensuring the energy balance of the Republic of Uzbekistan,”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2552</w:t>
      </w:r>
      <w:r w:rsidRPr="00862474">
        <w:rPr>
          <w:rFonts w:ascii="Times New Roman" w:eastAsia="Times New Roman" w:hAnsi="Times New Roman" w:cs="Times New Roman"/>
          <w:iCs/>
          <w:sz w:val="20"/>
          <w:szCs w:val="20"/>
          <w:lang w:val="en-US" w:eastAsia="ru-RU"/>
        </w:rPr>
        <w:t xml:space="preserve">, 050030 (2023). </w:t>
      </w:r>
      <w:hyperlink r:id="rId25" w:tgtFrame="_new" w:history="1">
        <w:r w:rsidRPr="00862474">
          <w:rPr>
            <w:rStyle w:val="a7"/>
            <w:rFonts w:ascii="Times New Roman" w:eastAsia="Times New Roman" w:hAnsi="Times New Roman" w:cs="Times New Roman"/>
            <w:iCs/>
            <w:sz w:val="20"/>
            <w:szCs w:val="20"/>
            <w:lang w:val="en-US" w:eastAsia="ru-RU"/>
          </w:rPr>
          <w:t>https://doi.org/10.1063/5.0117633</w:t>
        </w:r>
      </w:hyperlink>
    </w:p>
    <w:p w14:paraId="4D2FBB23" w14:textId="5856186B"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  O. Akhmedov and O. </w:t>
      </w:r>
      <w:proofErr w:type="spellStart"/>
      <w:r w:rsidRPr="00862474">
        <w:rPr>
          <w:rFonts w:ascii="Times New Roman" w:eastAsia="Times New Roman" w:hAnsi="Times New Roman" w:cs="Times New Roman"/>
          <w:iCs/>
          <w:sz w:val="20"/>
          <w:szCs w:val="20"/>
          <w:lang w:val="en-US" w:eastAsia="ru-RU"/>
        </w:rPr>
        <w:t>Begmullaev</w:t>
      </w:r>
      <w:proofErr w:type="spellEnd"/>
      <w:r w:rsidRPr="00862474">
        <w:rPr>
          <w:rFonts w:ascii="Times New Roman" w:eastAsia="Times New Roman" w:hAnsi="Times New Roman" w:cs="Times New Roman"/>
          <w:iCs/>
          <w:sz w:val="20"/>
          <w:szCs w:val="20"/>
          <w:lang w:val="en-US" w:eastAsia="ru-RU"/>
        </w:rPr>
        <w:t xml:space="preserve">, “Ways of ensuring energy balance in Uzbekistan,” </w:t>
      </w:r>
      <w:r w:rsidRPr="00862474">
        <w:rPr>
          <w:rFonts w:ascii="Times New Roman" w:eastAsia="Times New Roman" w:hAnsi="Times New Roman" w:cs="Times New Roman"/>
          <w:i/>
          <w:iCs/>
          <w:sz w:val="20"/>
          <w:szCs w:val="20"/>
          <w:lang w:val="en-US" w:eastAsia="ru-RU"/>
        </w:rPr>
        <w:t>E3S Web Conf.</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216</w:t>
      </w:r>
      <w:r w:rsidRPr="00862474">
        <w:rPr>
          <w:rFonts w:ascii="Times New Roman" w:eastAsia="Times New Roman" w:hAnsi="Times New Roman" w:cs="Times New Roman"/>
          <w:iCs/>
          <w:sz w:val="20"/>
          <w:szCs w:val="20"/>
          <w:lang w:val="en-US" w:eastAsia="ru-RU"/>
        </w:rPr>
        <w:t xml:space="preserve">, 01137 (2020). </w:t>
      </w:r>
      <w:hyperlink r:id="rId26" w:tgtFrame="_new" w:history="1">
        <w:r w:rsidRPr="00862474">
          <w:rPr>
            <w:rStyle w:val="a7"/>
            <w:rFonts w:ascii="Times New Roman" w:eastAsia="Times New Roman" w:hAnsi="Times New Roman" w:cs="Times New Roman"/>
            <w:iCs/>
            <w:sz w:val="20"/>
            <w:szCs w:val="20"/>
            <w:lang w:val="en-US" w:eastAsia="ru-RU"/>
          </w:rPr>
          <w:t>https://doi.org/10.1051/e3sconf/202021601137</w:t>
        </w:r>
      </w:hyperlink>
    </w:p>
    <w:p w14:paraId="3B2AFA11" w14:textId="79F3A186" w:rsidR="00862474"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  S. Salomova, “Increasing the efficiency of oil and gas industry enterprises in Uzbekistan,” </w:t>
      </w:r>
      <w:r w:rsidRPr="00862474">
        <w:rPr>
          <w:rFonts w:ascii="Times New Roman" w:eastAsia="Times New Roman" w:hAnsi="Times New Roman" w:cs="Times New Roman"/>
          <w:i/>
          <w:iCs/>
          <w:sz w:val="20"/>
          <w:szCs w:val="20"/>
          <w:lang w:val="en-US" w:eastAsia="ru-RU"/>
        </w:rPr>
        <w:t>AIP Conf. Proc.</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3331</w:t>
      </w:r>
      <w:r w:rsidRPr="00862474">
        <w:rPr>
          <w:rFonts w:ascii="Times New Roman" w:eastAsia="Times New Roman" w:hAnsi="Times New Roman" w:cs="Times New Roman"/>
          <w:iCs/>
          <w:sz w:val="20"/>
          <w:szCs w:val="20"/>
          <w:lang w:val="en-US" w:eastAsia="ru-RU"/>
        </w:rPr>
        <w:t xml:space="preserve">, 040075 (2025). </w:t>
      </w:r>
      <w:hyperlink r:id="rId27" w:tgtFrame="_new" w:history="1">
        <w:r w:rsidRPr="00862474">
          <w:rPr>
            <w:rStyle w:val="a7"/>
            <w:rFonts w:ascii="Times New Roman" w:eastAsia="Times New Roman" w:hAnsi="Times New Roman" w:cs="Times New Roman"/>
            <w:iCs/>
            <w:sz w:val="20"/>
            <w:szCs w:val="20"/>
            <w:lang w:val="en-US" w:eastAsia="ru-RU"/>
          </w:rPr>
          <w:t>https://doi.org/10.1063/5.0305986</w:t>
        </w:r>
      </w:hyperlink>
    </w:p>
    <w:p w14:paraId="163CA47C" w14:textId="12889E06" w:rsidR="003F712F" w:rsidRPr="00862474" w:rsidRDefault="00862474" w:rsidP="00F327EC">
      <w:pPr>
        <w:pStyle w:val="a9"/>
        <w:numPr>
          <w:ilvl w:val="0"/>
          <w:numId w:val="16"/>
        </w:numPr>
        <w:tabs>
          <w:tab w:val="left" w:pos="284"/>
        </w:tabs>
        <w:spacing w:after="0" w:line="240" w:lineRule="auto"/>
        <w:ind w:left="0" w:firstLine="0"/>
        <w:jc w:val="both"/>
        <w:rPr>
          <w:rFonts w:ascii="Times New Roman" w:eastAsia="Times New Roman" w:hAnsi="Times New Roman" w:cs="Times New Roman"/>
          <w:iCs/>
          <w:sz w:val="20"/>
          <w:szCs w:val="20"/>
          <w:lang w:val="en-US" w:eastAsia="ru-RU"/>
        </w:rPr>
      </w:pPr>
      <w:r w:rsidRPr="00862474">
        <w:rPr>
          <w:rFonts w:ascii="Times New Roman" w:eastAsia="Times New Roman" w:hAnsi="Times New Roman" w:cs="Times New Roman"/>
          <w:iCs/>
          <w:sz w:val="20"/>
          <w:szCs w:val="20"/>
          <w:lang w:val="en-US" w:eastAsia="ru-RU"/>
        </w:rPr>
        <w:t xml:space="preserve">  K. A. </w:t>
      </w:r>
      <w:proofErr w:type="spellStart"/>
      <w:r w:rsidRPr="00862474">
        <w:rPr>
          <w:rFonts w:ascii="Times New Roman" w:eastAsia="Times New Roman" w:hAnsi="Times New Roman" w:cs="Times New Roman"/>
          <w:iCs/>
          <w:sz w:val="20"/>
          <w:szCs w:val="20"/>
          <w:lang w:val="en-US" w:eastAsia="ru-RU"/>
        </w:rPr>
        <w:t>Mukhitdinova</w:t>
      </w:r>
      <w:proofErr w:type="spellEnd"/>
      <w:r w:rsidRPr="00862474">
        <w:rPr>
          <w:rFonts w:ascii="Times New Roman" w:eastAsia="Times New Roman" w:hAnsi="Times New Roman" w:cs="Times New Roman"/>
          <w:iCs/>
          <w:sz w:val="20"/>
          <w:szCs w:val="20"/>
          <w:lang w:val="en-US" w:eastAsia="ru-RU"/>
        </w:rPr>
        <w:t xml:space="preserve"> and L. A. </w:t>
      </w:r>
      <w:proofErr w:type="spellStart"/>
      <w:r w:rsidRPr="00862474">
        <w:rPr>
          <w:rFonts w:ascii="Times New Roman" w:eastAsia="Times New Roman" w:hAnsi="Times New Roman" w:cs="Times New Roman"/>
          <w:iCs/>
          <w:sz w:val="20"/>
          <w:szCs w:val="20"/>
          <w:lang w:val="en-US" w:eastAsia="ru-RU"/>
        </w:rPr>
        <w:t>Vildanova</w:t>
      </w:r>
      <w:proofErr w:type="spellEnd"/>
      <w:r w:rsidRPr="00862474">
        <w:rPr>
          <w:rFonts w:ascii="Times New Roman" w:eastAsia="Times New Roman" w:hAnsi="Times New Roman" w:cs="Times New Roman"/>
          <w:iCs/>
          <w:sz w:val="20"/>
          <w:szCs w:val="20"/>
          <w:lang w:val="en-US" w:eastAsia="ru-RU"/>
        </w:rPr>
        <w:t xml:space="preserve">, “Transport improvement of the method of assessing the attractiveness of investment in automotive enterprises,” </w:t>
      </w:r>
      <w:r w:rsidRPr="00862474">
        <w:rPr>
          <w:rFonts w:ascii="Times New Roman" w:eastAsia="Times New Roman" w:hAnsi="Times New Roman" w:cs="Times New Roman"/>
          <w:i/>
          <w:iCs/>
          <w:sz w:val="20"/>
          <w:szCs w:val="20"/>
          <w:lang w:val="en-US" w:eastAsia="ru-RU"/>
        </w:rPr>
        <w:t>J. Crit. Rev.</w:t>
      </w:r>
      <w:r w:rsidRPr="00862474">
        <w:rPr>
          <w:rFonts w:ascii="Times New Roman" w:eastAsia="Times New Roman" w:hAnsi="Times New Roman" w:cs="Times New Roman"/>
          <w:iCs/>
          <w:sz w:val="20"/>
          <w:szCs w:val="20"/>
          <w:lang w:val="en-US" w:eastAsia="ru-RU"/>
        </w:rPr>
        <w:t xml:space="preserve"> </w:t>
      </w:r>
      <w:r w:rsidRPr="00862474">
        <w:rPr>
          <w:rFonts w:ascii="Times New Roman" w:eastAsia="Times New Roman" w:hAnsi="Times New Roman" w:cs="Times New Roman"/>
          <w:b/>
          <w:bCs/>
          <w:iCs/>
          <w:sz w:val="20"/>
          <w:szCs w:val="20"/>
          <w:lang w:val="en-US" w:eastAsia="ru-RU"/>
        </w:rPr>
        <w:t>7</w:t>
      </w:r>
      <w:r w:rsidRPr="00862474">
        <w:rPr>
          <w:rFonts w:ascii="Times New Roman" w:eastAsia="Times New Roman" w:hAnsi="Times New Roman" w:cs="Times New Roman"/>
          <w:iCs/>
          <w:sz w:val="20"/>
          <w:szCs w:val="20"/>
          <w:lang w:val="en-US" w:eastAsia="ru-RU"/>
        </w:rPr>
        <w:t>(5), 171–176 (2020). https://doi.org/10.31838/jcr.07.05</w:t>
      </w:r>
    </w:p>
    <w:sectPr w:rsidR="003F712F" w:rsidRPr="00862474" w:rsidSect="00862474">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C72"/>
    <w:multiLevelType w:val="multilevel"/>
    <w:tmpl w:val="FE9E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D1024"/>
    <w:multiLevelType w:val="multilevel"/>
    <w:tmpl w:val="F40C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C6968"/>
    <w:multiLevelType w:val="multilevel"/>
    <w:tmpl w:val="36E2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74F5D"/>
    <w:multiLevelType w:val="multilevel"/>
    <w:tmpl w:val="FFB2E3D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F4215B"/>
    <w:multiLevelType w:val="hybridMultilevel"/>
    <w:tmpl w:val="204A3CFA"/>
    <w:lvl w:ilvl="0" w:tplc="CADA9DB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A7283"/>
    <w:multiLevelType w:val="multilevel"/>
    <w:tmpl w:val="C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EB5CC9"/>
    <w:multiLevelType w:val="hybridMultilevel"/>
    <w:tmpl w:val="CEE0F8E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51F90F86"/>
    <w:multiLevelType w:val="multilevel"/>
    <w:tmpl w:val="623AE4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090372"/>
    <w:multiLevelType w:val="multilevel"/>
    <w:tmpl w:val="A404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D3459E"/>
    <w:multiLevelType w:val="multilevel"/>
    <w:tmpl w:val="06985A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C3506"/>
    <w:multiLevelType w:val="multilevel"/>
    <w:tmpl w:val="E59045F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1494A8C"/>
    <w:multiLevelType w:val="multilevel"/>
    <w:tmpl w:val="6508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8B73EE"/>
    <w:multiLevelType w:val="multilevel"/>
    <w:tmpl w:val="A764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B5067"/>
    <w:multiLevelType w:val="multilevel"/>
    <w:tmpl w:val="9CCE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C570E0"/>
    <w:multiLevelType w:val="hybridMultilevel"/>
    <w:tmpl w:val="036C83AE"/>
    <w:lvl w:ilvl="0" w:tplc="04190017">
      <w:start w:val="1"/>
      <w:numFmt w:val="lowerLetter"/>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94341282">
    <w:abstractNumId w:val="5"/>
  </w:num>
  <w:num w:numId="2" w16cid:durableId="119348226">
    <w:abstractNumId w:val="1"/>
  </w:num>
  <w:num w:numId="3" w16cid:durableId="1043946115">
    <w:abstractNumId w:val="14"/>
  </w:num>
  <w:num w:numId="4" w16cid:durableId="75707514">
    <w:abstractNumId w:val="3"/>
  </w:num>
  <w:num w:numId="5" w16cid:durableId="1876654194">
    <w:abstractNumId w:val="11"/>
  </w:num>
  <w:num w:numId="6" w16cid:durableId="1997566888">
    <w:abstractNumId w:val="0"/>
  </w:num>
  <w:num w:numId="7" w16cid:durableId="1623343389">
    <w:abstractNumId w:val="10"/>
  </w:num>
  <w:num w:numId="8" w16cid:durableId="925573635">
    <w:abstractNumId w:val="7"/>
  </w:num>
  <w:num w:numId="9" w16cid:durableId="1823422882">
    <w:abstractNumId w:val="9"/>
  </w:num>
  <w:num w:numId="10" w16cid:durableId="185294059">
    <w:abstractNumId w:val="2"/>
  </w:num>
  <w:num w:numId="11" w16cid:durableId="2059039914">
    <w:abstractNumId w:val="13"/>
  </w:num>
  <w:num w:numId="12" w16cid:durableId="1988852459">
    <w:abstractNumId w:val="12"/>
  </w:num>
  <w:num w:numId="13" w16cid:durableId="2076661489">
    <w:abstractNumId w:val="8"/>
  </w:num>
  <w:num w:numId="14" w16cid:durableId="274559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4499366">
    <w:abstractNumId w:val="15"/>
  </w:num>
  <w:num w:numId="16" w16cid:durableId="11229691">
    <w:abstractNumId w:val="6"/>
  </w:num>
  <w:num w:numId="17" w16cid:durableId="250772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09"/>
    <w:rsid w:val="00001FB5"/>
    <w:rsid w:val="00027C95"/>
    <w:rsid w:val="000344F0"/>
    <w:rsid w:val="00071AEA"/>
    <w:rsid w:val="00072F9F"/>
    <w:rsid w:val="00077D3E"/>
    <w:rsid w:val="00106A9F"/>
    <w:rsid w:val="00143697"/>
    <w:rsid w:val="001706C0"/>
    <w:rsid w:val="00177B41"/>
    <w:rsid w:val="001E2192"/>
    <w:rsid w:val="00264290"/>
    <w:rsid w:val="00282690"/>
    <w:rsid w:val="003113A8"/>
    <w:rsid w:val="00360D31"/>
    <w:rsid w:val="003965EF"/>
    <w:rsid w:val="003D27CE"/>
    <w:rsid w:val="003F712F"/>
    <w:rsid w:val="00463922"/>
    <w:rsid w:val="004677FD"/>
    <w:rsid w:val="00484988"/>
    <w:rsid w:val="004937C3"/>
    <w:rsid w:val="004E32C4"/>
    <w:rsid w:val="0051602A"/>
    <w:rsid w:val="0053012C"/>
    <w:rsid w:val="00592B18"/>
    <w:rsid w:val="00643C84"/>
    <w:rsid w:val="006D7496"/>
    <w:rsid w:val="00735E58"/>
    <w:rsid w:val="007831C0"/>
    <w:rsid w:val="007A25FA"/>
    <w:rsid w:val="00862474"/>
    <w:rsid w:val="00877A0C"/>
    <w:rsid w:val="00893572"/>
    <w:rsid w:val="008A287E"/>
    <w:rsid w:val="0093103B"/>
    <w:rsid w:val="00935D8E"/>
    <w:rsid w:val="00940822"/>
    <w:rsid w:val="009646FE"/>
    <w:rsid w:val="00A05B37"/>
    <w:rsid w:val="00A11344"/>
    <w:rsid w:val="00A15808"/>
    <w:rsid w:val="00A859D2"/>
    <w:rsid w:val="00B27AE8"/>
    <w:rsid w:val="00B32DD5"/>
    <w:rsid w:val="00B35341"/>
    <w:rsid w:val="00B42B7E"/>
    <w:rsid w:val="00BB475B"/>
    <w:rsid w:val="00BD7238"/>
    <w:rsid w:val="00BF4809"/>
    <w:rsid w:val="00BF52B9"/>
    <w:rsid w:val="00C734E2"/>
    <w:rsid w:val="00CC4E2E"/>
    <w:rsid w:val="00CC7761"/>
    <w:rsid w:val="00D01359"/>
    <w:rsid w:val="00D426ED"/>
    <w:rsid w:val="00D459EF"/>
    <w:rsid w:val="00D77529"/>
    <w:rsid w:val="00D938C6"/>
    <w:rsid w:val="00E0401D"/>
    <w:rsid w:val="00E669CF"/>
    <w:rsid w:val="00EB5CAA"/>
    <w:rsid w:val="00EE4460"/>
    <w:rsid w:val="00EF78B5"/>
    <w:rsid w:val="00F101F5"/>
    <w:rsid w:val="00F327EC"/>
    <w:rsid w:val="00FF6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3D98"/>
  <w15:docId w15:val="{7A0EC669-5A59-46D9-A986-E0E868BB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B37"/>
  </w:style>
  <w:style w:type="paragraph" w:styleId="1">
    <w:name w:val="heading 1"/>
    <w:basedOn w:val="a"/>
    <w:link w:val="10"/>
    <w:uiPriority w:val="9"/>
    <w:qFormat/>
    <w:rsid w:val="00396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965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965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965E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5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965E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965E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965E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96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65EF"/>
    <w:rPr>
      <w:b/>
      <w:bCs/>
    </w:rPr>
  </w:style>
  <w:style w:type="character" w:styleId="a5">
    <w:name w:val="Emphasis"/>
    <w:basedOn w:val="a0"/>
    <w:uiPriority w:val="20"/>
    <w:qFormat/>
    <w:rsid w:val="003965EF"/>
    <w:rPr>
      <w:i/>
      <w:iCs/>
    </w:rPr>
  </w:style>
  <w:style w:type="table" w:styleId="a6">
    <w:name w:val="Table Grid"/>
    <w:basedOn w:val="a1"/>
    <w:uiPriority w:val="59"/>
    <w:rsid w:val="00311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93572"/>
    <w:rPr>
      <w:color w:val="0000FF"/>
      <w:u w:val="single"/>
    </w:rPr>
  </w:style>
  <w:style w:type="paragraph" w:customStyle="1" w:styleId="references">
    <w:name w:val="references"/>
    <w:uiPriority w:val="99"/>
    <w:rsid w:val="001706C0"/>
    <w:pPr>
      <w:numPr>
        <w:numId w:val="13"/>
      </w:numPr>
      <w:spacing w:after="50" w:line="180" w:lineRule="exact"/>
      <w:jc w:val="both"/>
    </w:pPr>
    <w:rPr>
      <w:rFonts w:ascii="Times New Roman" w:eastAsia="MS Mincho" w:hAnsi="Times New Roman" w:cs="Times New Roman"/>
      <w:noProof/>
      <w:sz w:val="16"/>
      <w:szCs w:val="16"/>
      <w:lang w:val="en-US"/>
    </w:rPr>
  </w:style>
  <w:style w:type="character" w:styleId="a8">
    <w:name w:val="Unresolved Mention"/>
    <w:basedOn w:val="a0"/>
    <w:uiPriority w:val="99"/>
    <w:semiHidden/>
    <w:unhideWhenUsed/>
    <w:rsid w:val="004E32C4"/>
    <w:rPr>
      <w:color w:val="605E5C"/>
      <w:shd w:val="clear" w:color="auto" w:fill="E1DFDD"/>
    </w:rPr>
  </w:style>
  <w:style w:type="paragraph" w:styleId="a9">
    <w:name w:val="List Paragraph"/>
    <w:aliases w:val="Абзац вправо-1,List Paragraph1"/>
    <w:basedOn w:val="a"/>
    <w:link w:val="aa"/>
    <w:uiPriority w:val="34"/>
    <w:qFormat/>
    <w:rsid w:val="00EB5CAA"/>
    <w:pPr>
      <w:spacing w:after="160" w:line="259" w:lineRule="auto"/>
      <w:ind w:left="720"/>
      <w:contextualSpacing/>
    </w:pPr>
  </w:style>
  <w:style w:type="character" w:customStyle="1" w:styleId="aa">
    <w:name w:val="Абзац списка Знак"/>
    <w:aliases w:val="Абзац вправо-1 Знак,List Paragraph1 Знак"/>
    <w:link w:val="a9"/>
    <w:uiPriority w:val="34"/>
    <w:locked/>
    <w:rsid w:val="00EB5CAA"/>
  </w:style>
  <w:style w:type="paragraph" w:customStyle="1" w:styleId="AuthorName">
    <w:name w:val="Author Name"/>
    <w:basedOn w:val="a"/>
    <w:next w:val="a"/>
    <w:rsid w:val="00EB5CAA"/>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EB5CAA"/>
    <w:pPr>
      <w:spacing w:after="0" w:line="240" w:lineRule="auto"/>
      <w:jc w:val="center"/>
    </w:pPr>
    <w:rPr>
      <w:rFonts w:ascii="Times New Roman" w:eastAsia="Times New Roman" w:hAnsi="Times New Roman" w:cs="Times New Roman"/>
      <w: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7673">
      <w:bodyDiv w:val="1"/>
      <w:marLeft w:val="0"/>
      <w:marRight w:val="0"/>
      <w:marTop w:val="0"/>
      <w:marBottom w:val="0"/>
      <w:divBdr>
        <w:top w:val="none" w:sz="0" w:space="0" w:color="auto"/>
        <w:left w:val="none" w:sz="0" w:space="0" w:color="auto"/>
        <w:bottom w:val="none" w:sz="0" w:space="0" w:color="auto"/>
        <w:right w:val="none" w:sz="0" w:space="0" w:color="auto"/>
      </w:divBdr>
    </w:div>
    <w:div w:id="103773130">
      <w:bodyDiv w:val="1"/>
      <w:marLeft w:val="0"/>
      <w:marRight w:val="0"/>
      <w:marTop w:val="0"/>
      <w:marBottom w:val="0"/>
      <w:divBdr>
        <w:top w:val="none" w:sz="0" w:space="0" w:color="auto"/>
        <w:left w:val="none" w:sz="0" w:space="0" w:color="auto"/>
        <w:bottom w:val="none" w:sz="0" w:space="0" w:color="auto"/>
        <w:right w:val="none" w:sz="0" w:space="0" w:color="auto"/>
      </w:divBdr>
    </w:div>
    <w:div w:id="123430828">
      <w:bodyDiv w:val="1"/>
      <w:marLeft w:val="0"/>
      <w:marRight w:val="0"/>
      <w:marTop w:val="0"/>
      <w:marBottom w:val="0"/>
      <w:divBdr>
        <w:top w:val="none" w:sz="0" w:space="0" w:color="auto"/>
        <w:left w:val="none" w:sz="0" w:space="0" w:color="auto"/>
        <w:bottom w:val="none" w:sz="0" w:space="0" w:color="auto"/>
        <w:right w:val="none" w:sz="0" w:space="0" w:color="auto"/>
      </w:divBdr>
    </w:div>
    <w:div w:id="138503122">
      <w:bodyDiv w:val="1"/>
      <w:marLeft w:val="0"/>
      <w:marRight w:val="0"/>
      <w:marTop w:val="0"/>
      <w:marBottom w:val="0"/>
      <w:divBdr>
        <w:top w:val="none" w:sz="0" w:space="0" w:color="auto"/>
        <w:left w:val="none" w:sz="0" w:space="0" w:color="auto"/>
        <w:bottom w:val="none" w:sz="0" w:space="0" w:color="auto"/>
        <w:right w:val="none" w:sz="0" w:space="0" w:color="auto"/>
      </w:divBdr>
    </w:div>
    <w:div w:id="155532767">
      <w:bodyDiv w:val="1"/>
      <w:marLeft w:val="0"/>
      <w:marRight w:val="0"/>
      <w:marTop w:val="0"/>
      <w:marBottom w:val="0"/>
      <w:divBdr>
        <w:top w:val="none" w:sz="0" w:space="0" w:color="auto"/>
        <w:left w:val="none" w:sz="0" w:space="0" w:color="auto"/>
        <w:bottom w:val="none" w:sz="0" w:space="0" w:color="auto"/>
        <w:right w:val="none" w:sz="0" w:space="0" w:color="auto"/>
      </w:divBdr>
    </w:div>
    <w:div w:id="173687104">
      <w:bodyDiv w:val="1"/>
      <w:marLeft w:val="0"/>
      <w:marRight w:val="0"/>
      <w:marTop w:val="0"/>
      <w:marBottom w:val="0"/>
      <w:divBdr>
        <w:top w:val="none" w:sz="0" w:space="0" w:color="auto"/>
        <w:left w:val="none" w:sz="0" w:space="0" w:color="auto"/>
        <w:bottom w:val="none" w:sz="0" w:space="0" w:color="auto"/>
        <w:right w:val="none" w:sz="0" w:space="0" w:color="auto"/>
      </w:divBdr>
    </w:div>
    <w:div w:id="189733445">
      <w:bodyDiv w:val="1"/>
      <w:marLeft w:val="0"/>
      <w:marRight w:val="0"/>
      <w:marTop w:val="0"/>
      <w:marBottom w:val="0"/>
      <w:divBdr>
        <w:top w:val="none" w:sz="0" w:space="0" w:color="auto"/>
        <w:left w:val="none" w:sz="0" w:space="0" w:color="auto"/>
        <w:bottom w:val="none" w:sz="0" w:space="0" w:color="auto"/>
        <w:right w:val="none" w:sz="0" w:space="0" w:color="auto"/>
      </w:divBdr>
    </w:div>
    <w:div w:id="214045181">
      <w:bodyDiv w:val="1"/>
      <w:marLeft w:val="0"/>
      <w:marRight w:val="0"/>
      <w:marTop w:val="0"/>
      <w:marBottom w:val="0"/>
      <w:divBdr>
        <w:top w:val="none" w:sz="0" w:space="0" w:color="auto"/>
        <w:left w:val="none" w:sz="0" w:space="0" w:color="auto"/>
        <w:bottom w:val="none" w:sz="0" w:space="0" w:color="auto"/>
        <w:right w:val="none" w:sz="0" w:space="0" w:color="auto"/>
      </w:divBdr>
    </w:div>
    <w:div w:id="260335106">
      <w:bodyDiv w:val="1"/>
      <w:marLeft w:val="0"/>
      <w:marRight w:val="0"/>
      <w:marTop w:val="0"/>
      <w:marBottom w:val="0"/>
      <w:divBdr>
        <w:top w:val="none" w:sz="0" w:space="0" w:color="auto"/>
        <w:left w:val="none" w:sz="0" w:space="0" w:color="auto"/>
        <w:bottom w:val="none" w:sz="0" w:space="0" w:color="auto"/>
        <w:right w:val="none" w:sz="0" w:space="0" w:color="auto"/>
      </w:divBdr>
    </w:div>
    <w:div w:id="313266678">
      <w:bodyDiv w:val="1"/>
      <w:marLeft w:val="0"/>
      <w:marRight w:val="0"/>
      <w:marTop w:val="0"/>
      <w:marBottom w:val="0"/>
      <w:divBdr>
        <w:top w:val="none" w:sz="0" w:space="0" w:color="auto"/>
        <w:left w:val="none" w:sz="0" w:space="0" w:color="auto"/>
        <w:bottom w:val="none" w:sz="0" w:space="0" w:color="auto"/>
        <w:right w:val="none" w:sz="0" w:space="0" w:color="auto"/>
      </w:divBdr>
    </w:div>
    <w:div w:id="332030006">
      <w:bodyDiv w:val="1"/>
      <w:marLeft w:val="0"/>
      <w:marRight w:val="0"/>
      <w:marTop w:val="0"/>
      <w:marBottom w:val="0"/>
      <w:divBdr>
        <w:top w:val="none" w:sz="0" w:space="0" w:color="auto"/>
        <w:left w:val="none" w:sz="0" w:space="0" w:color="auto"/>
        <w:bottom w:val="none" w:sz="0" w:space="0" w:color="auto"/>
        <w:right w:val="none" w:sz="0" w:space="0" w:color="auto"/>
      </w:divBdr>
    </w:div>
    <w:div w:id="355623814">
      <w:bodyDiv w:val="1"/>
      <w:marLeft w:val="0"/>
      <w:marRight w:val="0"/>
      <w:marTop w:val="0"/>
      <w:marBottom w:val="0"/>
      <w:divBdr>
        <w:top w:val="none" w:sz="0" w:space="0" w:color="auto"/>
        <w:left w:val="none" w:sz="0" w:space="0" w:color="auto"/>
        <w:bottom w:val="none" w:sz="0" w:space="0" w:color="auto"/>
        <w:right w:val="none" w:sz="0" w:space="0" w:color="auto"/>
      </w:divBdr>
    </w:div>
    <w:div w:id="370038849">
      <w:bodyDiv w:val="1"/>
      <w:marLeft w:val="0"/>
      <w:marRight w:val="0"/>
      <w:marTop w:val="0"/>
      <w:marBottom w:val="0"/>
      <w:divBdr>
        <w:top w:val="none" w:sz="0" w:space="0" w:color="auto"/>
        <w:left w:val="none" w:sz="0" w:space="0" w:color="auto"/>
        <w:bottom w:val="none" w:sz="0" w:space="0" w:color="auto"/>
        <w:right w:val="none" w:sz="0" w:space="0" w:color="auto"/>
      </w:divBdr>
    </w:div>
    <w:div w:id="373043034">
      <w:bodyDiv w:val="1"/>
      <w:marLeft w:val="0"/>
      <w:marRight w:val="0"/>
      <w:marTop w:val="0"/>
      <w:marBottom w:val="0"/>
      <w:divBdr>
        <w:top w:val="none" w:sz="0" w:space="0" w:color="auto"/>
        <w:left w:val="none" w:sz="0" w:space="0" w:color="auto"/>
        <w:bottom w:val="none" w:sz="0" w:space="0" w:color="auto"/>
        <w:right w:val="none" w:sz="0" w:space="0" w:color="auto"/>
      </w:divBdr>
    </w:div>
    <w:div w:id="374623527">
      <w:bodyDiv w:val="1"/>
      <w:marLeft w:val="0"/>
      <w:marRight w:val="0"/>
      <w:marTop w:val="0"/>
      <w:marBottom w:val="0"/>
      <w:divBdr>
        <w:top w:val="none" w:sz="0" w:space="0" w:color="auto"/>
        <w:left w:val="none" w:sz="0" w:space="0" w:color="auto"/>
        <w:bottom w:val="none" w:sz="0" w:space="0" w:color="auto"/>
        <w:right w:val="none" w:sz="0" w:space="0" w:color="auto"/>
      </w:divBdr>
    </w:div>
    <w:div w:id="443355315">
      <w:bodyDiv w:val="1"/>
      <w:marLeft w:val="0"/>
      <w:marRight w:val="0"/>
      <w:marTop w:val="0"/>
      <w:marBottom w:val="0"/>
      <w:divBdr>
        <w:top w:val="none" w:sz="0" w:space="0" w:color="auto"/>
        <w:left w:val="none" w:sz="0" w:space="0" w:color="auto"/>
        <w:bottom w:val="none" w:sz="0" w:space="0" w:color="auto"/>
        <w:right w:val="none" w:sz="0" w:space="0" w:color="auto"/>
      </w:divBdr>
    </w:div>
    <w:div w:id="531000199">
      <w:bodyDiv w:val="1"/>
      <w:marLeft w:val="0"/>
      <w:marRight w:val="0"/>
      <w:marTop w:val="0"/>
      <w:marBottom w:val="0"/>
      <w:divBdr>
        <w:top w:val="none" w:sz="0" w:space="0" w:color="auto"/>
        <w:left w:val="none" w:sz="0" w:space="0" w:color="auto"/>
        <w:bottom w:val="none" w:sz="0" w:space="0" w:color="auto"/>
        <w:right w:val="none" w:sz="0" w:space="0" w:color="auto"/>
      </w:divBdr>
    </w:div>
    <w:div w:id="547375202">
      <w:bodyDiv w:val="1"/>
      <w:marLeft w:val="0"/>
      <w:marRight w:val="0"/>
      <w:marTop w:val="0"/>
      <w:marBottom w:val="0"/>
      <w:divBdr>
        <w:top w:val="none" w:sz="0" w:space="0" w:color="auto"/>
        <w:left w:val="none" w:sz="0" w:space="0" w:color="auto"/>
        <w:bottom w:val="none" w:sz="0" w:space="0" w:color="auto"/>
        <w:right w:val="none" w:sz="0" w:space="0" w:color="auto"/>
      </w:divBdr>
    </w:div>
    <w:div w:id="578712738">
      <w:bodyDiv w:val="1"/>
      <w:marLeft w:val="0"/>
      <w:marRight w:val="0"/>
      <w:marTop w:val="0"/>
      <w:marBottom w:val="0"/>
      <w:divBdr>
        <w:top w:val="none" w:sz="0" w:space="0" w:color="auto"/>
        <w:left w:val="none" w:sz="0" w:space="0" w:color="auto"/>
        <w:bottom w:val="none" w:sz="0" w:space="0" w:color="auto"/>
        <w:right w:val="none" w:sz="0" w:space="0" w:color="auto"/>
      </w:divBdr>
    </w:div>
    <w:div w:id="592513590">
      <w:bodyDiv w:val="1"/>
      <w:marLeft w:val="0"/>
      <w:marRight w:val="0"/>
      <w:marTop w:val="0"/>
      <w:marBottom w:val="0"/>
      <w:divBdr>
        <w:top w:val="none" w:sz="0" w:space="0" w:color="auto"/>
        <w:left w:val="none" w:sz="0" w:space="0" w:color="auto"/>
        <w:bottom w:val="none" w:sz="0" w:space="0" w:color="auto"/>
        <w:right w:val="none" w:sz="0" w:space="0" w:color="auto"/>
      </w:divBdr>
    </w:div>
    <w:div w:id="609045748">
      <w:bodyDiv w:val="1"/>
      <w:marLeft w:val="0"/>
      <w:marRight w:val="0"/>
      <w:marTop w:val="0"/>
      <w:marBottom w:val="0"/>
      <w:divBdr>
        <w:top w:val="none" w:sz="0" w:space="0" w:color="auto"/>
        <w:left w:val="none" w:sz="0" w:space="0" w:color="auto"/>
        <w:bottom w:val="none" w:sz="0" w:space="0" w:color="auto"/>
        <w:right w:val="none" w:sz="0" w:space="0" w:color="auto"/>
      </w:divBdr>
    </w:div>
    <w:div w:id="623385906">
      <w:bodyDiv w:val="1"/>
      <w:marLeft w:val="0"/>
      <w:marRight w:val="0"/>
      <w:marTop w:val="0"/>
      <w:marBottom w:val="0"/>
      <w:divBdr>
        <w:top w:val="none" w:sz="0" w:space="0" w:color="auto"/>
        <w:left w:val="none" w:sz="0" w:space="0" w:color="auto"/>
        <w:bottom w:val="none" w:sz="0" w:space="0" w:color="auto"/>
        <w:right w:val="none" w:sz="0" w:space="0" w:color="auto"/>
      </w:divBdr>
    </w:div>
    <w:div w:id="631448666">
      <w:bodyDiv w:val="1"/>
      <w:marLeft w:val="0"/>
      <w:marRight w:val="0"/>
      <w:marTop w:val="0"/>
      <w:marBottom w:val="0"/>
      <w:divBdr>
        <w:top w:val="none" w:sz="0" w:space="0" w:color="auto"/>
        <w:left w:val="none" w:sz="0" w:space="0" w:color="auto"/>
        <w:bottom w:val="none" w:sz="0" w:space="0" w:color="auto"/>
        <w:right w:val="none" w:sz="0" w:space="0" w:color="auto"/>
      </w:divBdr>
    </w:div>
    <w:div w:id="632751917">
      <w:bodyDiv w:val="1"/>
      <w:marLeft w:val="0"/>
      <w:marRight w:val="0"/>
      <w:marTop w:val="0"/>
      <w:marBottom w:val="0"/>
      <w:divBdr>
        <w:top w:val="none" w:sz="0" w:space="0" w:color="auto"/>
        <w:left w:val="none" w:sz="0" w:space="0" w:color="auto"/>
        <w:bottom w:val="none" w:sz="0" w:space="0" w:color="auto"/>
        <w:right w:val="none" w:sz="0" w:space="0" w:color="auto"/>
      </w:divBdr>
    </w:div>
    <w:div w:id="634338420">
      <w:bodyDiv w:val="1"/>
      <w:marLeft w:val="0"/>
      <w:marRight w:val="0"/>
      <w:marTop w:val="0"/>
      <w:marBottom w:val="0"/>
      <w:divBdr>
        <w:top w:val="none" w:sz="0" w:space="0" w:color="auto"/>
        <w:left w:val="none" w:sz="0" w:space="0" w:color="auto"/>
        <w:bottom w:val="none" w:sz="0" w:space="0" w:color="auto"/>
        <w:right w:val="none" w:sz="0" w:space="0" w:color="auto"/>
      </w:divBdr>
    </w:div>
    <w:div w:id="672296424">
      <w:bodyDiv w:val="1"/>
      <w:marLeft w:val="0"/>
      <w:marRight w:val="0"/>
      <w:marTop w:val="0"/>
      <w:marBottom w:val="0"/>
      <w:divBdr>
        <w:top w:val="none" w:sz="0" w:space="0" w:color="auto"/>
        <w:left w:val="none" w:sz="0" w:space="0" w:color="auto"/>
        <w:bottom w:val="none" w:sz="0" w:space="0" w:color="auto"/>
        <w:right w:val="none" w:sz="0" w:space="0" w:color="auto"/>
      </w:divBdr>
    </w:div>
    <w:div w:id="699360537">
      <w:bodyDiv w:val="1"/>
      <w:marLeft w:val="0"/>
      <w:marRight w:val="0"/>
      <w:marTop w:val="0"/>
      <w:marBottom w:val="0"/>
      <w:divBdr>
        <w:top w:val="none" w:sz="0" w:space="0" w:color="auto"/>
        <w:left w:val="none" w:sz="0" w:space="0" w:color="auto"/>
        <w:bottom w:val="none" w:sz="0" w:space="0" w:color="auto"/>
        <w:right w:val="none" w:sz="0" w:space="0" w:color="auto"/>
      </w:divBdr>
    </w:div>
    <w:div w:id="712196288">
      <w:bodyDiv w:val="1"/>
      <w:marLeft w:val="0"/>
      <w:marRight w:val="0"/>
      <w:marTop w:val="0"/>
      <w:marBottom w:val="0"/>
      <w:divBdr>
        <w:top w:val="none" w:sz="0" w:space="0" w:color="auto"/>
        <w:left w:val="none" w:sz="0" w:space="0" w:color="auto"/>
        <w:bottom w:val="none" w:sz="0" w:space="0" w:color="auto"/>
        <w:right w:val="none" w:sz="0" w:space="0" w:color="auto"/>
      </w:divBdr>
    </w:div>
    <w:div w:id="778178499">
      <w:bodyDiv w:val="1"/>
      <w:marLeft w:val="0"/>
      <w:marRight w:val="0"/>
      <w:marTop w:val="0"/>
      <w:marBottom w:val="0"/>
      <w:divBdr>
        <w:top w:val="none" w:sz="0" w:space="0" w:color="auto"/>
        <w:left w:val="none" w:sz="0" w:space="0" w:color="auto"/>
        <w:bottom w:val="none" w:sz="0" w:space="0" w:color="auto"/>
        <w:right w:val="none" w:sz="0" w:space="0" w:color="auto"/>
      </w:divBdr>
    </w:div>
    <w:div w:id="788548585">
      <w:bodyDiv w:val="1"/>
      <w:marLeft w:val="0"/>
      <w:marRight w:val="0"/>
      <w:marTop w:val="0"/>
      <w:marBottom w:val="0"/>
      <w:divBdr>
        <w:top w:val="none" w:sz="0" w:space="0" w:color="auto"/>
        <w:left w:val="none" w:sz="0" w:space="0" w:color="auto"/>
        <w:bottom w:val="none" w:sz="0" w:space="0" w:color="auto"/>
        <w:right w:val="none" w:sz="0" w:space="0" w:color="auto"/>
      </w:divBdr>
    </w:div>
    <w:div w:id="799231499">
      <w:bodyDiv w:val="1"/>
      <w:marLeft w:val="0"/>
      <w:marRight w:val="0"/>
      <w:marTop w:val="0"/>
      <w:marBottom w:val="0"/>
      <w:divBdr>
        <w:top w:val="none" w:sz="0" w:space="0" w:color="auto"/>
        <w:left w:val="none" w:sz="0" w:space="0" w:color="auto"/>
        <w:bottom w:val="none" w:sz="0" w:space="0" w:color="auto"/>
        <w:right w:val="none" w:sz="0" w:space="0" w:color="auto"/>
      </w:divBdr>
    </w:div>
    <w:div w:id="884102789">
      <w:bodyDiv w:val="1"/>
      <w:marLeft w:val="0"/>
      <w:marRight w:val="0"/>
      <w:marTop w:val="0"/>
      <w:marBottom w:val="0"/>
      <w:divBdr>
        <w:top w:val="none" w:sz="0" w:space="0" w:color="auto"/>
        <w:left w:val="none" w:sz="0" w:space="0" w:color="auto"/>
        <w:bottom w:val="none" w:sz="0" w:space="0" w:color="auto"/>
        <w:right w:val="none" w:sz="0" w:space="0" w:color="auto"/>
      </w:divBdr>
    </w:div>
    <w:div w:id="906841752">
      <w:bodyDiv w:val="1"/>
      <w:marLeft w:val="0"/>
      <w:marRight w:val="0"/>
      <w:marTop w:val="0"/>
      <w:marBottom w:val="0"/>
      <w:divBdr>
        <w:top w:val="none" w:sz="0" w:space="0" w:color="auto"/>
        <w:left w:val="none" w:sz="0" w:space="0" w:color="auto"/>
        <w:bottom w:val="none" w:sz="0" w:space="0" w:color="auto"/>
        <w:right w:val="none" w:sz="0" w:space="0" w:color="auto"/>
      </w:divBdr>
    </w:div>
    <w:div w:id="958030862">
      <w:bodyDiv w:val="1"/>
      <w:marLeft w:val="0"/>
      <w:marRight w:val="0"/>
      <w:marTop w:val="0"/>
      <w:marBottom w:val="0"/>
      <w:divBdr>
        <w:top w:val="none" w:sz="0" w:space="0" w:color="auto"/>
        <w:left w:val="none" w:sz="0" w:space="0" w:color="auto"/>
        <w:bottom w:val="none" w:sz="0" w:space="0" w:color="auto"/>
        <w:right w:val="none" w:sz="0" w:space="0" w:color="auto"/>
      </w:divBdr>
    </w:div>
    <w:div w:id="1133476623">
      <w:bodyDiv w:val="1"/>
      <w:marLeft w:val="0"/>
      <w:marRight w:val="0"/>
      <w:marTop w:val="0"/>
      <w:marBottom w:val="0"/>
      <w:divBdr>
        <w:top w:val="none" w:sz="0" w:space="0" w:color="auto"/>
        <w:left w:val="none" w:sz="0" w:space="0" w:color="auto"/>
        <w:bottom w:val="none" w:sz="0" w:space="0" w:color="auto"/>
        <w:right w:val="none" w:sz="0" w:space="0" w:color="auto"/>
      </w:divBdr>
    </w:div>
    <w:div w:id="1175343633">
      <w:bodyDiv w:val="1"/>
      <w:marLeft w:val="0"/>
      <w:marRight w:val="0"/>
      <w:marTop w:val="0"/>
      <w:marBottom w:val="0"/>
      <w:divBdr>
        <w:top w:val="none" w:sz="0" w:space="0" w:color="auto"/>
        <w:left w:val="none" w:sz="0" w:space="0" w:color="auto"/>
        <w:bottom w:val="none" w:sz="0" w:space="0" w:color="auto"/>
        <w:right w:val="none" w:sz="0" w:space="0" w:color="auto"/>
      </w:divBdr>
    </w:div>
    <w:div w:id="1230381839">
      <w:bodyDiv w:val="1"/>
      <w:marLeft w:val="0"/>
      <w:marRight w:val="0"/>
      <w:marTop w:val="0"/>
      <w:marBottom w:val="0"/>
      <w:divBdr>
        <w:top w:val="none" w:sz="0" w:space="0" w:color="auto"/>
        <w:left w:val="none" w:sz="0" w:space="0" w:color="auto"/>
        <w:bottom w:val="none" w:sz="0" w:space="0" w:color="auto"/>
        <w:right w:val="none" w:sz="0" w:space="0" w:color="auto"/>
      </w:divBdr>
    </w:div>
    <w:div w:id="1238638478">
      <w:bodyDiv w:val="1"/>
      <w:marLeft w:val="0"/>
      <w:marRight w:val="0"/>
      <w:marTop w:val="0"/>
      <w:marBottom w:val="0"/>
      <w:divBdr>
        <w:top w:val="none" w:sz="0" w:space="0" w:color="auto"/>
        <w:left w:val="none" w:sz="0" w:space="0" w:color="auto"/>
        <w:bottom w:val="none" w:sz="0" w:space="0" w:color="auto"/>
        <w:right w:val="none" w:sz="0" w:space="0" w:color="auto"/>
      </w:divBdr>
    </w:div>
    <w:div w:id="1249462204">
      <w:bodyDiv w:val="1"/>
      <w:marLeft w:val="0"/>
      <w:marRight w:val="0"/>
      <w:marTop w:val="0"/>
      <w:marBottom w:val="0"/>
      <w:divBdr>
        <w:top w:val="none" w:sz="0" w:space="0" w:color="auto"/>
        <w:left w:val="none" w:sz="0" w:space="0" w:color="auto"/>
        <w:bottom w:val="none" w:sz="0" w:space="0" w:color="auto"/>
        <w:right w:val="none" w:sz="0" w:space="0" w:color="auto"/>
      </w:divBdr>
    </w:div>
    <w:div w:id="1261454824">
      <w:bodyDiv w:val="1"/>
      <w:marLeft w:val="0"/>
      <w:marRight w:val="0"/>
      <w:marTop w:val="0"/>
      <w:marBottom w:val="0"/>
      <w:divBdr>
        <w:top w:val="none" w:sz="0" w:space="0" w:color="auto"/>
        <w:left w:val="none" w:sz="0" w:space="0" w:color="auto"/>
        <w:bottom w:val="none" w:sz="0" w:space="0" w:color="auto"/>
        <w:right w:val="none" w:sz="0" w:space="0" w:color="auto"/>
      </w:divBdr>
    </w:div>
    <w:div w:id="1299872994">
      <w:bodyDiv w:val="1"/>
      <w:marLeft w:val="0"/>
      <w:marRight w:val="0"/>
      <w:marTop w:val="0"/>
      <w:marBottom w:val="0"/>
      <w:divBdr>
        <w:top w:val="none" w:sz="0" w:space="0" w:color="auto"/>
        <w:left w:val="none" w:sz="0" w:space="0" w:color="auto"/>
        <w:bottom w:val="none" w:sz="0" w:space="0" w:color="auto"/>
        <w:right w:val="none" w:sz="0" w:space="0" w:color="auto"/>
      </w:divBdr>
    </w:div>
    <w:div w:id="1302659889">
      <w:bodyDiv w:val="1"/>
      <w:marLeft w:val="0"/>
      <w:marRight w:val="0"/>
      <w:marTop w:val="0"/>
      <w:marBottom w:val="0"/>
      <w:divBdr>
        <w:top w:val="none" w:sz="0" w:space="0" w:color="auto"/>
        <w:left w:val="none" w:sz="0" w:space="0" w:color="auto"/>
        <w:bottom w:val="none" w:sz="0" w:space="0" w:color="auto"/>
        <w:right w:val="none" w:sz="0" w:space="0" w:color="auto"/>
      </w:divBdr>
    </w:div>
    <w:div w:id="1358508233">
      <w:bodyDiv w:val="1"/>
      <w:marLeft w:val="0"/>
      <w:marRight w:val="0"/>
      <w:marTop w:val="0"/>
      <w:marBottom w:val="0"/>
      <w:divBdr>
        <w:top w:val="none" w:sz="0" w:space="0" w:color="auto"/>
        <w:left w:val="none" w:sz="0" w:space="0" w:color="auto"/>
        <w:bottom w:val="none" w:sz="0" w:space="0" w:color="auto"/>
        <w:right w:val="none" w:sz="0" w:space="0" w:color="auto"/>
      </w:divBdr>
    </w:div>
    <w:div w:id="1534999145">
      <w:bodyDiv w:val="1"/>
      <w:marLeft w:val="0"/>
      <w:marRight w:val="0"/>
      <w:marTop w:val="0"/>
      <w:marBottom w:val="0"/>
      <w:divBdr>
        <w:top w:val="none" w:sz="0" w:space="0" w:color="auto"/>
        <w:left w:val="none" w:sz="0" w:space="0" w:color="auto"/>
        <w:bottom w:val="none" w:sz="0" w:space="0" w:color="auto"/>
        <w:right w:val="none" w:sz="0" w:space="0" w:color="auto"/>
      </w:divBdr>
    </w:div>
    <w:div w:id="1549537091">
      <w:bodyDiv w:val="1"/>
      <w:marLeft w:val="0"/>
      <w:marRight w:val="0"/>
      <w:marTop w:val="0"/>
      <w:marBottom w:val="0"/>
      <w:divBdr>
        <w:top w:val="none" w:sz="0" w:space="0" w:color="auto"/>
        <w:left w:val="none" w:sz="0" w:space="0" w:color="auto"/>
        <w:bottom w:val="none" w:sz="0" w:space="0" w:color="auto"/>
        <w:right w:val="none" w:sz="0" w:space="0" w:color="auto"/>
      </w:divBdr>
    </w:div>
    <w:div w:id="1732267770">
      <w:bodyDiv w:val="1"/>
      <w:marLeft w:val="0"/>
      <w:marRight w:val="0"/>
      <w:marTop w:val="0"/>
      <w:marBottom w:val="0"/>
      <w:divBdr>
        <w:top w:val="none" w:sz="0" w:space="0" w:color="auto"/>
        <w:left w:val="none" w:sz="0" w:space="0" w:color="auto"/>
        <w:bottom w:val="none" w:sz="0" w:space="0" w:color="auto"/>
        <w:right w:val="none" w:sz="0" w:space="0" w:color="auto"/>
      </w:divBdr>
    </w:div>
    <w:div w:id="1757894102">
      <w:bodyDiv w:val="1"/>
      <w:marLeft w:val="0"/>
      <w:marRight w:val="0"/>
      <w:marTop w:val="0"/>
      <w:marBottom w:val="0"/>
      <w:divBdr>
        <w:top w:val="none" w:sz="0" w:space="0" w:color="auto"/>
        <w:left w:val="none" w:sz="0" w:space="0" w:color="auto"/>
        <w:bottom w:val="none" w:sz="0" w:space="0" w:color="auto"/>
        <w:right w:val="none" w:sz="0" w:space="0" w:color="auto"/>
      </w:divBdr>
    </w:div>
    <w:div w:id="1772893453">
      <w:bodyDiv w:val="1"/>
      <w:marLeft w:val="0"/>
      <w:marRight w:val="0"/>
      <w:marTop w:val="0"/>
      <w:marBottom w:val="0"/>
      <w:divBdr>
        <w:top w:val="none" w:sz="0" w:space="0" w:color="auto"/>
        <w:left w:val="none" w:sz="0" w:space="0" w:color="auto"/>
        <w:bottom w:val="none" w:sz="0" w:space="0" w:color="auto"/>
        <w:right w:val="none" w:sz="0" w:space="0" w:color="auto"/>
      </w:divBdr>
    </w:div>
    <w:div w:id="1791850442">
      <w:bodyDiv w:val="1"/>
      <w:marLeft w:val="0"/>
      <w:marRight w:val="0"/>
      <w:marTop w:val="0"/>
      <w:marBottom w:val="0"/>
      <w:divBdr>
        <w:top w:val="none" w:sz="0" w:space="0" w:color="auto"/>
        <w:left w:val="none" w:sz="0" w:space="0" w:color="auto"/>
        <w:bottom w:val="none" w:sz="0" w:space="0" w:color="auto"/>
        <w:right w:val="none" w:sz="0" w:space="0" w:color="auto"/>
      </w:divBdr>
    </w:div>
    <w:div w:id="1796019560">
      <w:bodyDiv w:val="1"/>
      <w:marLeft w:val="0"/>
      <w:marRight w:val="0"/>
      <w:marTop w:val="0"/>
      <w:marBottom w:val="0"/>
      <w:divBdr>
        <w:top w:val="none" w:sz="0" w:space="0" w:color="auto"/>
        <w:left w:val="none" w:sz="0" w:space="0" w:color="auto"/>
        <w:bottom w:val="none" w:sz="0" w:space="0" w:color="auto"/>
        <w:right w:val="none" w:sz="0" w:space="0" w:color="auto"/>
      </w:divBdr>
    </w:div>
    <w:div w:id="1815830790">
      <w:bodyDiv w:val="1"/>
      <w:marLeft w:val="0"/>
      <w:marRight w:val="0"/>
      <w:marTop w:val="0"/>
      <w:marBottom w:val="0"/>
      <w:divBdr>
        <w:top w:val="none" w:sz="0" w:space="0" w:color="auto"/>
        <w:left w:val="none" w:sz="0" w:space="0" w:color="auto"/>
        <w:bottom w:val="none" w:sz="0" w:space="0" w:color="auto"/>
        <w:right w:val="none" w:sz="0" w:space="0" w:color="auto"/>
      </w:divBdr>
    </w:div>
    <w:div w:id="1883401157">
      <w:bodyDiv w:val="1"/>
      <w:marLeft w:val="0"/>
      <w:marRight w:val="0"/>
      <w:marTop w:val="0"/>
      <w:marBottom w:val="0"/>
      <w:divBdr>
        <w:top w:val="none" w:sz="0" w:space="0" w:color="auto"/>
        <w:left w:val="none" w:sz="0" w:space="0" w:color="auto"/>
        <w:bottom w:val="none" w:sz="0" w:space="0" w:color="auto"/>
        <w:right w:val="none" w:sz="0" w:space="0" w:color="auto"/>
      </w:divBdr>
    </w:div>
    <w:div w:id="1887137673">
      <w:bodyDiv w:val="1"/>
      <w:marLeft w:val="0"/>
      <w:marRight w:val="0"/>
      <w:marTop w:val="0"/>
      <w:marBottom w:val="0"/>
      <w:divBdr>
        <w:top w:val="none" w:sz="0" w:space="0" w:color="auto"/>
        <w:left w:val="none" w:sz="0" w:space="0" w:color="auto"/>
        <w:bottom w:val="none" w:sz="0" w:space="0" w:color="auto"/>
        <w:right w:val="none" w:sz="0" w:space="0" w:color="auto"/>
      </w:divBdr>
    </w:div>
    <w:div w:id="2029600230">
      <w:bodyDiv w:val="1"/>
      <w:marLeft w:val="0"/>
      <w:marRight w:val="0"/>
      <w:marTop w:val="0"/>
      <w:marBottom w:val="0"/>
      <w:divBdr>
        <w:top w:val="none" w:sz="0" w:space="0" w:color="auto"/>
        <w:left w:val="none" w:sz="0" w:space="0" w:color="auto"/>
        <w:bottom w:val="none" w:sz="0" w:space="0" w:color="auto"/>
        <w:right w:val="none" w:sz="0" w:space="0" w:color="auto"/>
      </w:divBdr>
    </w:div>
    <w:div w:id="20461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5929" TargetMode="External"/><Relationship Id="rId13" Type="http://schemas.openxmlformats.org/officeDocument/2006/relationships/hyperlink" Target="https://doi.org/10.1063/5.0220851" TargetMode="External"/><Relationship Id="rId18" Type="http://schemas.openxmlformats.org/officeDocument/2006/relationships/hyperlink" Target="https://doi.org/10.1051/e3sconf/202346101074" TargetMode="External"/><Relationship Id="rId26" Type="http://schemas.openxmlformats.org/officeDocument/2006/relationships/hyperlink" Target="https://doi.org/10.1051/e3sconf/202021601137" TargetMode="External"/><Relationship Id="rId3" Type="http://schemas.openxmlformats.org/officeDocument/2006/relationships/settings" Target="settings.xml"/><Relationship Id="rId21" Type="http://schemas.openxmlformats.org/officeDocument/2006/relationships/hyperlink" Target="https://doi.org/10.1051/e3sconf/202346101055" TargetMode="External"/><Relationship Id="rId7" Type="http://schemas.openxmlformats.org/officeDocument/2006/relationships/hyperlink" Target="https://doi.org/10.18721/JE.12401" TargetMode="External"/><Relationship Id="rId12" Type="http://schemas.openxmlformats.org/officeDocument/2006/relationships/hyperlink" Target="https://doi.org/10.1063/5.0308123" TargetMode="External"/><Relationship Id="rId17" Type="http://schemas.openxmlformats.org/officeDocument/2006/relationships/hyperlink" Target="https://doi.org/10.1051/e3sconf/201913901008" TargetMode="External"/><Relationship Id="rId25" Type="http://schemas.openxmlformats.org/officeDocument/2006/relationships/hyperlink" Target="https://doi.org/10.1063/5.0117633" TargetMode="External"/><Relationship Id="rId2" Type="http://schemas.openxmlformats.org/officeDocument/2006/relationships/styles" Target="styles.xml"/><Relationship Id="rId16" Type="http://schemas.openxmlformats.org/officeDocument/2006/relationships/hyperlink" Target="https://doi.org/10.1051/e3sconf/202021601173" TargetMode="External"/><Relationship Id="rId20" Type="http://schemas.openxmlformats.org/officeDocument/2006/relationships/hyperlink" Target="https://doi.org/10.1063/5.030638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17/jmo.2017.75" TargetMode="External"/><Relationship Id="rId11" Type="http://schemas.openxmlformats.org/officeDocument/2006/relationships/hyperlink" Target="https://doi.org/10.1063/5.0306872" TargetMode="External"/><Relationship Id="rId24" Type="http://schemas.openxmlformats.org/officeDocument/2006/relationships/hyperlink" Target="https://doi.org/10.1063/5.0305987" TargetMode="External"/><Relationship Id="rId5" Type="http://schemas.openxmlformats.org/officeDocument/2006/relationships/hyperlink" Target="mailto:saidaxon-nabiyeva@mail.ru" TargetMode="External"/><Relationship Id="rId15" Type="http://schemas.openxmlformats.org/officeDocument/2006/relationships/hyperlink" Target="https://doi.org/10.1051/e3sconf/202128907033" TargetMode="External"/><Relationship Id="rId23" Type="http://schemas.openxmlformats.org/officeDocument/2006/relationships/hyperlink" Target="https://doi.org/10.1007/978-3-031-37978-9_70" TargetMode="External"/><Relationship Id="rId28" Type="http://schemas.openxmlformats.org/officeDocument/2006/relationships/fontTable" Target="fontTable.xml"/><Relationship Id="rId10" Type="http://schemas.openxmlformats.org/officeDocument/2006/relationships/hyperlink" Target="https://doi.org/10.1063/5.0308133" TargetMode="External"/><Relationship Id="rId19" Type="http://schemas.openxmlformats.org/officeDocument/2006/relationships/hyperlink" Target="https://doi.org/10.1063/5.0305927" TargetMode="External"/><Relationship Id="rId4" Type="http://schemas.openxmlformats.org/officeDocument/2006/relationships/webSettings" Target="webSettings.xml"/><Relationship Id="rId9" Type="http://schemas.openxmlformats.org/officeDocument/2006/relationships/hyperlink" Target="https://doi.org/10.1063/5.0308119" TargetMode="External"/><Relationship Id="rId14" Type="http://schemas.openxmlformats.org/officeDocument/2006/relationships/hyperlink" Target="https://doi.org/10.1051/e3sconf/202346101061" TargetMode="External"/><Relationship Id="rId22" Type="http://schemas.openxmlformats.org/officeDocument/2006/relationships/hyperlink" Target="https://doi.org/10.1051/e3sconf/202449703037" TargetMode="External"/><Relationship Id="rId27" Type="http://schemas.openxmlformats.org/officeDocument/2006/relationships/hyperlink" Target="https://doi.org/10.1063/5.03059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4331</Words>
  <Characters>24689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2025-12-18T11:41:00Z</dcterms:created>
  <dcterms:modified xsi:type="dcterms:W3CDTF">2026-01-04T11:04:00Z</dcterms:modified>
</cp:coreProperties>
</file>