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bookmarkStart w:colFirst="0" w:colLast="0" w:name="_heading=h.9cna1mly6ocr" w:id="0"/>
      <w:bookmarkEnd w:id="0"/>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b w:val="1"/>
          <w:color w:val="000000"/>
          <w:sz w:val="36"/>
          <w:szCs w:val="36"/>
        </w:rPr>
      </w:pPr>
      <w:bookmarkStart w:colFirst="0" w:colLast="0" w:name="_heading=h.ko9rr9nsqkci" w:id="1"/>
      <w:bookmarkEnd w:id="1"/>
      <w:r w:rsidDel="00000000" w:rsidR="00000000" w:rsidRPr="00000000">
        <w:rPr>
          <w:b w:val="1"/>
          <w:color w:val="000000"/>
          <w:sz w:val="36"/>
          <w:szCs w:val="36"/>
          <w:rtl w:val="0"/>
        </w:rPr>
        <w:t xml:space="preserve">Bridging the Domain Gap in Remote Sensing: A Comparative Study of Deep CORAL, DAN, and DANN on Multi-Sensor Aerial Image Datasets</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360" w:before="360" w:lineRule="auto"/>
        <w:jc w:val="center"/>
        <w:rPr>
          <w:sz w:val="28"/>
          <w:szCs w:val="28"/>
          <w:vertAlign w:val="superscript"/>
        </w:rPr>
      </w:pPr>
      <w:r w:rsidDel="00000000" w:rsidR="00000000" w:rsidRPr="00000000">
        <w:rPr>
          <w:color w:val="000000"/>
          <w:sz w:val="28"/>
          <w:szCs w:val="28"/>
          <w:rtl w:val="0"/>
        </w:rPr>
        <w:t xml:space="preserve">Sumit Kumar</w:t>
      </w:r>
      <w:r w:rsidDel="00000000" w:rsidR="00000000" w:rsidRPr="00000000">
        <w:rPr>
          <w:color w:val="000000"/>
          <w:sz w:val="28"/>
          <w:szCs w:val="28"/>
          <w:vertAlign w:val="superscript"/>
          <w:rtl w:val="0"/>
        </w:rPr>
        <w:t xml:space="preserve">1, a)</w:t>
      </w:r>
      <w:r w:rsidDel="00000000" w:rsidR="00000000" w:rsidRPr="00000000">
        <w:rPr>
          <w:color w:val="000000"/>
          <w:sz w:val="28"/>
          <w:szCs w:val="28"/>
          <w:rtl w:val="0"/>
        </w:rPr>
        <w:t xml:space="preserve"> and Kalpesh Jadav</w:t>
      </w:r>
      <w:r w:rsidDel="00000000" w:rsidR="00000000" w:rsidRPr="00000000">
        <w:rPr>
          <w:color w:val="000000"/>
          <w:sz w:val="28"/>
          <w:szCs w:val="28"/>
          <w:vertAlign w:val="superscript"/>
          <w:rtl w:val="0"/>
        </w:rPr>
        <w:t xml:space="preserve">2, b)</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i w:val="1"/>
          <w:color w:val="000000"/>
          <w:sz w:val="20"/>
          <w:szCs w:val="20"/>
          <w:vertAlign w:val="superscript"/>
          <w:rtl w:val="0"/>
        </w:rPr>
        <w:t xml:space="preserve">1</w:t>
      </w:r>
      <w:r w:rsidDel="00000000" w:rsidR="00000000" w:rsidRPr="00000000">
        <w:rPr>
          <w:color w:val="000000"/>
          <w:sz w:val="20"/>
          <w:szCs w:val="20"/>
          <w:rtl w:val="0"/>
        </w:rPr>
        <w:t xml:space="preserve">Research Scholar, Parul Institute of Engineering and Technology, Parul University, Vadodara, Gujarat, India</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Faculty of Engineering and Technology, Parul Institute of Engineering and Technology, Parul University, Vadodara, Gujarat, India</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 </w:t>
        <w:br w:type="textWrapping"/>
      </w:r>
      <w:r w:rsidDel="00000000" w:rsidR="00000000" w:rsidRPr="00000000">
        <w:rPr>
          <w:color w:val="000000"/>
          <w:sz w:val="20"/>
          <w:szCs w:val="20"/>
          <w:vertAlign w:val="superscript"/>
          <w:rtl w:val="0"/>
        </w:rPr>
        <w:t xml:space="preserve">a)</w:t>
      </w:r>
      <w:hyperlink r:id="rId9">
        <w:r w:rsidDel="00000000" w:rsidR="00000000" w:rsidRPr="00000000">
          <w:rPr>
            <w:i w:val="1"/>
            <w:color w:val="0000ff"/>
            <w:sz w:val="20"/>
            <w:szCs w:val="20"/>
            <w:u w:val="single"/>
            <w:rtl w:val="0"/>
          </w:rPr>
          <w:t xml:space="preserve">ys.sumitkumar@gmail.com</w:t>
        </w:r>
      </w:hyperlink>
      <w:r w:rsidDel="00000000" w:rsidR="00000000" w:rsidRPr="00000000">
        <w:rPr>
          <w:i w:val="1"/>
          <w:color w:val="000000"/>
          <w:sz w:val="20"/>
          <w:szCs w:val="20"/>
          <w:rtl w:val="0"/>
        </w:rPr>
        <w:br w:type="textWrapping"/>
      </w:r>
      <w:r w:rsidDel="00000000" w:rsidR="00000000" w:rsidRPr="00000000">
        <w:rPr>
          <w:color w:val="000000"/>
          <w:sz w:val="20"/>
          <w:szCs w:val="20"/>
          <w:vertAlign w:val="superscript"/>
          <w:rtl w:val="0"/>
        </w:rPr>
        <w:t xml:space="preserve">b)</w:t>
      </w:r>
      <w:hyperlink r:id="rId10">
        <w:r w:rsidDel="00000000" w:rsidR="00000000" w:rsidRPr="00000000">
          <w:rPr>
            <w:color w:val="0000ff"/>
            <w:sz w:val="20"/>
            <w:szCs w:val="20"/>
            <w:u w:val="single"/>
            <w:rtl w:val="0"/>
          </w:rPr>
          <w:t xml:space="preserve">kalpesh.jadav@paruluniversity.ac.in</w:t>
        </w:r>
      </w:hyperlink>
      <w:r w:rsidDel="00000000" w:rsidR="00000000" w:rsidRPr="00000000">
        <w:rPr>
          <w:color w:val="000000"/>
          <w:sz w:val="20"/>
          <w:szCs w:val="20"/>
          <w:rtl w:val="0"/>
        </w:rPr>
        <w:br w:type="textWrapping"/>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360" w:before="360" w:lineRule="auto"/>
        <w:ind w:right="289"/>
        <w:rPr>
          <w:color w:val="000000"/>
          <w:sz w:val="18"/>
          <w:szCs w:val="18"/>
        </w:rPr>
      </w:pPr>
      <w:r w:rsidDel="00000000" w:rsidR="00000000" w:rsidRPr="00000000">
        <w:rPr>
          <w:b w:val="1"/>
          <w:color w:val="000000"/>
          <w:sz w:val="18"/>
          <w:szCs w:val="18"/>
          <w:rtl w:val="0"/>
        </w:rPr>
        <w:t xml:space="preserve">Abstract.</w:t>
      </w:r>
      <w:r w:rsidDel="00000000" w:rsidR="00000000" w:rsidRPr="00000000">
        <w:rPr>
          <w:color w:val="000000"/>
          <w:sz w:val="18"/>
          <w:szCs w:val="18"/>
          <w:rtl w:val="0"/>
        </w:rPr>
        <w:t xml:space="preserve"> Domain adaptation (DA) is essential in remote sensing image analysis, where models frequently encounter substantial performance drops due to domain shift—a result of distributional discrepancies across datasets sourced from heterogeneous sensors, platforms, and imaging conditions. This comparative study evaluates three leading unsupervised DA algorithms—Deep CORAL, Domain Adaptation Network (DAN), and Domain-Adversarial Neural Network (DANN)—on four major aerial image benchmarks, each presenting unique sensor characteristics. Six semantically aligned scene classes are selected to facilitate a rigorous assessment of how each technique manages sensor-induced and platform-driven variability. Through extensive experimentation and interpretability analyses, we quantify strengths and limitations of each approach, aiming to offer clear guidelines for DA algorithm selection in practical, sensor-diverse remote sensing tasks.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360" w:before="360" w:lineRule="auto"/>
        <w:ind w:right="289"/>
        <w:rPr>
          <w:b w:val="1"/>
          <w:i w:val="1"/>
          <w:color w:val="000000"/>
          <w:sz w:val="18"/>
          <w:szCs w:val="18"/>
        </w:rPr>
      </w:pPr>
      <w:r w:rsidDel="00000000" w:rsidR="00000000" w:rsidRPr="00000000">
        <w:rPr>
          <w:b w:val="1"/>
          <w:i w:val="1"/>
          <w:color w:val="000000"/>
          <w:sz w:val="18"/>
          <w:szCs w:val="18"/>
          <w:rtl w:val="0"/>
        </w:rPr>
        <w:t xml:space="preserve">Keywords: Remote sensing, domain adaptation, Deep CORAL, DAN, DANN, aerial image classification, cross-domain learning, sensor variability.</w:t>
      </w:r>
    </w:p>
    <w:p w:rsidR="00000000" w:rsidDel="00000000" w:rsidP="00000000" w:rsidRDefault="00000000" w:rsidRPr="00000000" w14:paraId="0000000A">
      <w:pPr>
        <w:pStyle w:val="Heading1"/>
        <w:rPr>
          <w:b w:val="0"/>
          <w:smallCaps w:val="0"/>
          <w:sz w:val="20"/>
          <w:szCs w:val="20"/>
        </w:rPr>
      </w:pP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Remote sensing imagery has become indispensable to disciplines such as land cover mapping, urban development monitoring, disaster assessment, and global environmental change analysis. Advances in satellite and airborne imaging systems have produced vast amounts of high-resolution, multi-sensor data, greatly benefiting machine learning-driven automation of image classification tasks [1][2]. However, a central challenge persists: the phenomenon of “domain shift”. This describes the degradation in model accuracy when algorithms trained in one domain (source) fail to generalize to new domains (target) caused by differences in imaging sensors, acquisition platforms, spatial and spectral characteristics, atmospheric conditions, or even societal and temporal changes [3].</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For example, an image classification model trained on the AID dataset (Google Earth multisensory imagery) may not succeed when deployed on the UCMerced dataset (collected by USGS aircrafts), due to differences in resolution, compression artifacts, color palettes, and viewpoint angles. The domain gap is therefore not merely semantic, but fundamentally rooted in sensor and acquisition heterogeneity—posing a substantial obstacle to the operational scalability of remote sensing models [3][4].</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Recent years have witnessed the emergence of domain adaptation (DA) techniques designed to counteract such distribution mismatches between source and target data. This paper investigates three mainstream unsupervised DA strategies—DeepCORAL[5], DAN[6], and DANN[7][8]—and systematically benchmarks them on four aerial scene classification datasets with six harmonized semantic classes. Our goal is to provide insight into how such methods perform across significant sensor and platform-related domain shifts, a frontier that remains underexplored in the remote sensing community [3][4].</w:t>
      </w:r>
    </w:p>
    <w:p w:rsidR="00000000" w:rsidDel="00000000" w:rsidP="00000000" w:rsidRDefault="00000000" w:rsidRPr="00000000" w14:paraId="0000000E">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w:rtl w:val="0"/>
        </w:rPr>
        <w:t xml:space="preserve">RELATED WORK</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The growing interest in domain adaptation for remote sensing has led to a taxonomy of approaches:</w:t>
      </w:r>
    </w:p>
    <w:p w:rsidR="00000000" w:rsidDel="00000000" w:rsidP="00000000" w:rsidRDefault="00000000" w:rsidRPr="00000000" w14:paraId="00000012">
      <w:pPr>
        <w:numPr>
          <w:ilvl w:val="0"/>
          <w:numId w:val="6"/>
        </w:numPr>
        <w:pBdr>
          <w:top w:space="0" w:sz="0" w:val="nil"/>
          <w:left w:space="0" w:sz="0" w:val="nil"/>
          <w:bottom w:space="0" w:sz="0" w:val="nil"/>
          <w:right w:space="0" w:sz="0" w:val="nil"/>
          <w:between w:space="0" w:sz="0" w:val="nil"/>
        </w:pBdr>
        <w:ind w:left="1004" w:hanging="360"/>
        <w:jc w:val="both"/>
        <w:rPr>
          <w:color w:val="000000"/>
          <w:sz w:val="20"/>
          <w:szCs w:val="20"/>
        </w:rPr>
      </w:pPr>
      <w:r w:rsidDel="00000000" w:rsidR="00000000" w:rsidRPr="00000000">
        <w:rPr>
          <w:color w:val="000000"/>
          <w:sz w:val="20"/>
          <w:szCs w:val="20"/>
          <w:rtl w:val="0"/>
        </w:rPr>
        <w:t xml:space="preserve">Feature Alignment Methods: Early work, such as Correlation Alignment (CORAL), focused on matching the distribution of shallow or deep feature spaces by aligning second-order statistics (covariance) between source and target domains. Deep CORAL extends this concept to deep neural network features [4][5].</w:t>
      </w:r>
    </w:p>
    <w:p w:rsidR="00000000" w:rsidDel="00000000" w:rsidP="00000000" w:rsidRDefault="00000000" w:rsidRPr="00000000" w14:paraId="00000013">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Distribution Distance Minimization: Domain Adaptation Network (DAN) utilizes measures like Maximum Mean Discrepancy (MMD) at multiple neural layers, enabling alignment of more complex, nonlinear data distributions [3].</w:t>
      </w:r>
      <w:r w:rsidDel="00000000" w:rsidR="00000000" w:rsidRPr="00000000">
        <w:rPr>
          <w:rtl w:val="0"/>
        </w:rPr>
      </w:r>
    </w:p>
    <w:p w:rsidR="00000000" w:rsidDel="00000000" w:rsidP="00000000" w:rsidRDefault="00000000" w:rsidRPr="00000000" w14:paraId="00000014">
      <w:pPr>
        <w:numPr>
          <w:ilvl w:val="0"/>
          <w:numId w:val="6"/>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Adversarial Methods: Domain-Adversarial Neural Network (DANN) advances a paradigm where a domain discriminator tries to distinguish source from target features, while the feature extractor is trained (via a gradient reversal layer) to produce domain-invariant representations, facilitating robust transfer learning [7][8].</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In remote sensing, DA has been explored for multispectral, hyperspectral, and panchromatic scenes, with prior works illustrating both the challenges and the promise of such approaches [3]. However, systematic and comparative studies focusing on aerial scene classification using data from multiple, disparate sensors are relatively scarce [4].</w:t>
      </w:r>
    </w:p>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DATASETS AND SENSOR CHARACTERISTICS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This study uses four benchmark datasets, each with a distinct sensor and collection profile, illustrating the spectrum of domain variability encountered in remote sensing.</w:t>
      </w:r>
    </w:p>
    <w:p w:rsidR="00000000" w:rsidDel="00000000" w:rsidP="00000000" w:rsidRDefault="00000000" w:rsidRPr="00000000" w14:paraId="00000019">
      <w:pPr>
        <w:pStyle w:val="Heading2"/>
        <w:rPr/>
      </w:pPr>
      <w:r w:rsidDel="00000000" w:rsidR="00000000" w:rsidRPr="00000000">
        <w:rPr>
          <w:rtl w:val="0"/>
        </w:rPr>
        <w:t xml:space="preserve">Dataset Summary</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20" w:lineRule="auto"/>
        <w:jc w:val="center"/>
        <w:rPr>
          <w:i w:val="1"/>
          <w:sz w:val="18"/>
          <w:szCs w:val="18"/>
        </w:rPr>
      </w:pPr>
      <w:r w:rsidDel="00000000" w:rsidR="00000000" w:rsidRPr="00000000">
        <w:rPr>
          <w:i w:val="1"/>
          <w:color w:val="000000"/>
          <w:sz w:val="18"/>
          <w:szCs w:val="18"/>
          <w:rtl w:val="0"/>
        </w:rPr>
        <w:t xml:space="preserve">TABLE 1: Dataset description</w:t>
      </w:r>
      <w:r w:rsidDel="00000000" w:rsidR="00000000" w:rsidRPr="00000000">
        <w:rPr>
          <w:rtl w:val="0"/>
        </w:rPr>
      </w:r>
    </w:p>
    <w:tbl>
      <w:tblPr>
        <w:tblStyle w:val="Table1"/>
        <w:tblW w:w="9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95"/>
        <w:gridCol w:w="1785"/>
        <w:gridCol w:w="1110"/>
        <w:gridCol w:w="1875"/>
        <w:gridCol w:w="3375"/>
        <w:tblGridChange w:id="0">
          <w:tblGrid>
            <w:gridCol w:w="1695"/>
            <w:gridCol w:w="1785"/>
            <w:gridCol w:w="1110"/>
            <w:gridCol w:w="1875"/>
            <w:gridCol w:w="3375"/>
          </w:tblGrid>
        </w:tblGridChange>
      </w:tblGrid>
      <w:tr>
        <w:trPr>
          <w:cantSplit w:val="0"/>
          <w:trHeight w:val="347" w:hRule="atLeast"/>
          <w:tblHeader w:val="0"/>
        </w:trPr>
        <w:tc>
          <w:tcPr>
            <w:tcBorders>
              <w:top w:color="000000" w:space="0" w:sz="4" w:val="single"/>
              <w:bottom w:color="000000" w:space="0" w:sz="4" w:val="single"/>
            </w:tcBorders>
          </w:tcPr>
          <w:p w:rsidR="00000000" w:rsidDel="00000000" w:rsidP="00000000" w:rsidRDefault="00000000" w:rsidRPr="00000000" w14:paraId="0000001B">
            <w:pPr>
              <w:rPr>
                <w:b w:val="1"/>
                <w:sz w:val="20"/>
                <w:szCs w:val="20"/>
              </w:rPr>
            </w:pPr>
            <w:r w:rsidDel="00000000" w:rsidR="00000000" w:rsidRPr="00000000">
              <w:rPr>
                <w:b w:val="1"/>
                <w:sz w:val="20"/>
                <w:szCs w:val="20"/>
                <w:rtl w:val="0"/>
              </w:rPr>
              <w:t xml:space="preserve">Dataset</w:t>
            </w:r>
          </w:p>
        </w:tc>
        <w:tc>
          <w:tcPr>
            <w:tcBorders>
              <w:top w:color="000000" w:space="0" w:sz="4" w:val="single"/>
              <w:bottom w:color="000000" w:space="0" w:sz="4" w:val="single"/>
            </w:tcBorders>
          </w:tcPr>
          <w:p w:rsidR="00000000" w:rsidDel="00000000" w:rsidP="00000000" w:rsidRDefault="00000000" w:rsidRPr="00000000" w14:paraId="0000001C">
            <w:pPr>
              <w:rPr>
                <w:b w:val="1"/>
                <w:sz w:val="20"/>
                <w:szCs w:val="20"/>
              </w:rPr>
            </w:pPr>
            <w:r w:rsidDel="00000000" w:rsidR="00000000" w:rsidRPr="00000000">
              <w:rPr>
                <w:b w:val="1"/>
                <w:sz w:val="20"/>
                <w:szCs w:val="20"/>
                <w:rtl w:val="0"/>
              </w:rPr>
              <w:t xml:space="preserve">Sensor/Platform</w:t>
            </w:r>
          </w:p>
        </w:tc>
        <w:tc>
          <w:tcPr>
            <w:tcBorders>
              <w:top w:color="000000" w:space="0" w:sz="4" w:val="single"/>
              <w:bottom w:color="000000" w:space="0" w:sz="4" w:val="single"/>
            </w:tcBorders>
          </w:tcPr>
          <w:p w:rsidR="00000000" w:rsidDel="00000000" w:rsidP="00000000" w:rsidRDefault="00000000" w:rsidRPr="00000000" w14:paraId="0000001D">
            <w:pPr>
              <w:rPr>
                <w:b w:val="1"/>
                <w:sz w:val="20"/>
                <w:szCs w:val="20"/>
              </w:rPr>
            </w:pPr>
            <w:r w:rsidDel="00000000" w:rsidR="00000000" w:rsidRPr="00000000">
              <w:rPr>
                <w:b w:val="1"/>
                <w:sz w:val="20"/>
                <w:szCs w:val="20"/>
                <w:rtl w:val="0"/>
              </w:rPr>
              <w:t xml:space="preserve">Resolution</w:t>
            </w:r>
          </w:p>
        </w:tc>
        <w:tc>
          <w:tcPr>
            <w:tcBorders>
              <w:top w:color="000000" w:space="0" w:sz="4" w:val="single"/>
              <w:bottom w:color="000000" w:space="0" w:sz="4" w:val="single"/>
            </w:tcBorders>
          </w:tcPr>
          <w:p w:rsidR="00000000" w:rsidDel="00000000" w:rsidP="00000000" w:rsidRDefault="00000000" w:rsidRPr="00000000" w14:paraId="0000001E">
            <w:pPr>
              <w:rPr>
                <w:b w:val="1"/>
                <w:sz w:val="20"/>
                <w:szCs w:val="20"/>
              </w:rPr>
            </w:pPr>
            <w:r w:rsidDel="00000000" w:rsidR="00000000" w:rsidRPr="00000000">
              <w:rPr>
                <w:b w:val="1"/>
                <w:sz w:val="20"/>
                <w:szCs w:val="20"/>
                <w:rtl w:val="0"/>
              </w:rPr>
              <w:t xml:space="preserve">Classes Used / Total</w:t>
            </w:r>
          </w:p>
        </w:tc>
        <w:tc>
          <w:tcPr>
            <w:tcBorders>
              <w:top w:color="000000" w:space="0" w:sz="4" w:val="single"/>
              <w:bottom w:color="000000" w:space="0" w:sz="4" w:val="single"/>
            </w:tcBorders>
          </w:tcPr>
          <w:p w:rsidR="00000000" w:rsidDel="00000000" w:rsidP="00000000" w:rsidRDefault="00000000" w:rsidRPr="00000000" w14:paraId="0000001F">
            <w:pPr>
              <w:rPr>
                <w:b w:val="1"/>
                <w:sz w:val="20"/>
                <w:szCs w:val="20"/>
              </w:rPr>
            </w:pPr>
            <w:r w:rsidDel="00000000" w:rsidR="00000000" w:rsidRPr="00000000">
              <w:rPr>
                <w:b w:val="1"/>
                <w:sz w:val="20"/>
                <w:szCs w:val="20"/>
                <w:rtl w:val="0"/>
              </w:rPr>
              <w:t xml:space="preserve">Description</w:t>
            </w:r>
          </w:p>
        </w:tc>
      </w:tr>
      <w:tr>
        <w:trPr>
          <w:cantSplit w:val="0"/>
          <w:trHeight w:val="370" w:hRule="atLeast"/>
          <w:tblHeader w:val="0"/>
        </w:trPr>
        <w:tc>
          <w:tcPr>
            <w:tcBorders>
              <w:top w:color="000000" w:space="0" w:sz="4" w:val="single"/>
            </w:tcBorders>
          </w:tcPr>
          <w:p w:rsidR="00000000" w:rsidDel="00000000" w:rsidP="00000000" w:rsidRDefault="00000000" w:rsidRPr="00000000" w14:paraId="00000020">
            <w:pPr>
              <w:jc w:val="center"/>
              <w:rPr>
                <w:b w:val="1"/>
                <w:i w:val="1"/>
                <w:sz w:val="20"/>
                <w:szCs w:val="20"/>
              </w:rPr>
            </w:pPr>
            <w:r w:rsidDel="00000000" w:rsidR="00000000" w:rsidRPr="00000000">
              <w:rPr>
                <w:b w:val="1"/>
                <w:i w:val="1"/>
                <w:sz w:val="20"/>
                <w:szCs w:val="20"/>
                <w:rtl w:val="0"/>
              </w:rPr>
              <w:t xml:space="preserve">AID [10]</w:t>
            </w:r>
          </w:p>
        </w:tc>
        <w:tc>
          <w:tcPr>
            <w:tcBorders>
              <w:top w:color="000000" w:space="0" w:sz="4" w:val="single"/>
            </w:tcBorders>
          </w:tcPr>
          <w:p w:rsidR="00000000" w:rsidDel="00000000" w:rsidP="00000000" w:rsidRDefault="00000000" w:rsidRPr="00000000" w14:paraId="00000021">
            <w:pPr>
              <w:rPr>
                <w:sz w:val="20"/>
                <w:szCs w:val="20"/>
              </w:rPr>
            </w:pPr>
            <w:r w:rsidDel="00000000" w:rsidR="00000000" w:rsidRPr="00000000">
              <w:rPr>
                <w:sz w:val="20"/>
                <w:szCs w:val="20"/>
                <w:rtl w:val="0"/>
              </w:rPr>
              <w:t xml:space="preserve">Google Earth (multi-sensor)</w:t>
            </w:r>
          </w:p>
        </w:tc>
        <w:tc>
          <w:tcPr>
            <w:tcBorders>
              <w:top w:color="000000" w:space="0" w:sz="4" w:val="single"/>
            </w:tcBorders>
          </w:tcPr>
          <w:p w:rsidR="00000000" w:rsidDel="00000000" w:rsidP="00000000" w:rsidRDefault="00000000" w:rsidRPr="00000000" w14:paraId="00000022">
            <w:pPr>
              <w:jc w:val="center"/>
              <w:rPr>
                <w:sz w:val="20"/>
                <w:szCs w:val="20"/>
              </w:rPr>
            </w:pPr>
            <w:r w:rsidDel="00000000" w:rsidR="00000000" w:rsidRPr="00000000">
              <w:rPr>
                <w:sz w:val="20"/>
                <w:szCs w:val="20"/>
                <w:rtl w:val="0"/>
              </w:rPr>
              <w:t xml:space="preserve">0.5–8 m</w:t>
            </w:r>
          </w:p>
        </w:tc>
        <w:tc>
          <w:tcPr>
            <w:tcBorders>
              <w:top w:color="000000" w:space="0" w:sz="4" w:val="single"/>
            </w:tcBorders>
          </w:tcPr>
          <w:p w:rsidR="00000000" w:rsidDel="00000000" w:rsidP="00000000" w:rsidRDefault="00000000" w:rsidRPr="00000000" w14:paraId="00000023">
            <w:pPr>
              <w:jc w:val="center"/>
              <w:rPr>
                <w:sz w:val="20"/>
                <w:szCs w:val="20"/>
              </w:rPr>
            </w:pPr>
            <w:r w:rsidDel="00000000" w:rsidR="00000000" w:rsidRPr="00000000">
              <w:rPr>
                <w:sz w:val="20"/>
                <w:szCs w:val="20"/>
                <w:rtl w:val="0"/>
              </w:rPr>
              <w:t xml:space="preserve">6 / 30</w:t>
            </w:r>
          </w:p>
        </w:tc>
        <w:tc>
          <w:tcPr>
            <w:tcBorders>
              <w:top w:color="000000" w:space="0" w:sz="4" w:val="single"/>
            </w:tcBorders>
          </w:tcPr>
          <w:p w:rsidR="00000000" w:rsidDel="00000000" w:rsidP="00000000" w:rsidRDefault="00000000" w:rsidRPr="00000000" w14:paraId="00000024">
            <w:pPr>
              <w:rPr>
                <w:sz w:val="20"/>
                <w:szCs w:val="20"/>
              </w:rPr>
            </w:pPr>
            <w:r w:rsidDel="00000000" w:rsidR="00000000" w:rsidRPr="00000000">
              <w:rPr>
                <w:sz w:val="20"/>
                <w:szCs w:val="20"/>
                <w:rtl w:val="0"/>
              </w:rPr>
              <w:t xml:space="preserve">Diverse locations, varied sources</w:t>
            </w:r>
          </w:p>
        </w:tc>
      </w:tr>
      <w:tr>
        <w:trPr>
          <w:cantSplit w:val="0"/>
          <w:trHeight w:val="347" w:hRule="atLeast"/>
          <w:tblHeader w:val="0"/>
        </w:trPr>
        <w:tc>
          <w:tcPr/>
          <w:p w:rsidR="00000000" w:rsidDel="00000000" w:rsidP="00000000" w:rsidRDefault="00000000" w:rsidRPr="00000000" w14:paraId="00000025">
            <w:pPr>
              <w:jc w:val="center"/>
              <w:rPr>
                <w:b w:val="1"/>
                <w:i w:val="1"/>
                <w:sz w:val="20"/>
                <w:szCs w:val="20"/>
              </w:rPr>
            </w:pPr>
            <w:r w:rsidDel="00000000" w:rsidR="00000000" w:rsidRPr="00000000">
              <w:rPr>
                <w:b w:val="1"/>
                <w:i w:val="1"/>
                <w:sz w:val="20"/>
                <w:szCs w:val="20"/>
                <w:rtl w:val="0"/>
              </w:rPr>
              <w:t xml:space="preserve">NWPU [11]</w:t>
            </w:r>
          </w:p>
        </w:tc>
        <w:tc>
          <w:tcPr/>
          <w:p w:rsidR="00000000" w:rsidDel="00000000" w:rsidP="00000000" w:rsidRDefault="00000000" w:rsidRPr="00000000" w14:paraId="00000026">
            <w:pPr>
              <w:rPr>
                <w:sz w:val="20"/>
                <w:szCs w:val="20"/>
              </w:rPr>
            </w:pPr>
            <w:r w:rsidDel="00000000" w:rsidR="00000000" w:rsidRPr="00000000">
              <w:rPr>
                <w:sz w:val="20"/>
                <w:szCs w:val="20"/>
                <w:rtl w:val="0"/>
              </w:rPr>
              <w:t xml:space="preserve">Google Earth (multi-source)</w:t>
            </w:r>
          </w:p>
        </w:tc>
        <w:tc>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0.2–30 m</w:t>
            </w:r>
          </w:p>
        </w:tc>
        <w:tc>
          <w:tcPr/>
          <w:p w:rsidR="00000000" w:rsidDel="00000000" w:rsidP="00000000" w:rsidRDefault="00000000" w:rsidRPr="00000000" w14:paraId="00000028">
            <w:pPr>
              <w:jc w:val="center"/>
              <w:rPr>
                <w:sz w:val="20"/>
                <w:szCs w:val="20"/>
              </w:rPr>
            </w:pPr>
            <w:r w:rsidDel="00000000" w:rsidR="00000000" w:rsidRPr="00000000">
              <w:rPr>
                <w:sz w:val="20"/>
                <w:szCs w:val="20"/>
                <w:rtl w:val="0"/>
              </w:rPr>
              <w:t xml:space="preserve">6 / 45</w:t>
            </w:r>
          </w:p>
        </w:tc>
        <w:tc>
          <w:tcPr/>
          <w:p w:rsidR="00000000" w:rsidDel="00000000" w:rsidP="00000000" w:rsidRDefault="00000000" w:rsidRPr="00000000" w14:paraId="00000029">
            <w:pPr>
              <w:rPr>
                <w:sz w:val="20"/>
                <w:szCs w:val="20"/>
              </w:rPr>
            </w:pPr>
            <w:r w:rsidDel="00000000" w:rsidR="00000000" w:rsidRPr="00000000">
              <w:rPr>
                <w:sz w:val="20"/>
                <w:szCs w:val="20"/>
                <w:rtl w:val="0"/>
              </w:rPr>
              <w:t xml:space="preserve">Greater spatial detail than AID</w:t>
            </w:r>
          </w:p>
        </w:tc>
      </w:tr>
      <w:tr>
        <w:trPr>
          <w:cantSplit w:val="0"/>
          <w:trHeight w:val="370" w:hRule="atLeast"/>
          <w:tblHeader w:val="0"/>
        </w:trPr>
        <w:tc>
          <w:tcPr/>
          <w:p w:rsidR="00000000" w:rsidDel="00000000" w:rsidP="00000000" w:rsidRDefault="00000000" w:rsidRPr="00000000" w14:paraId="0000002A">
            <w:pPr>
              <w:jc w:val="center"/>
              <w:rPr>
                <w:b w:val="1"/>
                <w:i w:val="1"/>
                <w:sz w:val="20"/>
                <w:szCs w:val="20"/>
              </w:rPr>
            </w:pPr>
            <w:r w:rsidDel="00000000" w:rsidR="00000000" w:rsidRPr="00000000">
              <w:rPr>
                <w:b w:val="1"/>
                <w:i w:val="1"/>
                <w:sz w:val="20"/>
                <w:szCs w:val="20"/>
                <w:rtl w:val="0"/>
              </w:rPr>
              <w:t xml:space="preserve">PatternNet [12]</w:t>
            </w:r>
          </w:p>
        </w:tc>
        <w:tc>
          <w:tcPr/>
          <w:p w:rsidR="00000000" w:rsidDel="00000000" w:rsidP="00000000" w:rsidRDefault="00000000" w:rsidRPr="00000000" w14:paraId="0000002B">
            <w:pPr>
              <w:rPr>
                <w:sz w:val="20"/>
                <w:szCs w:val="20"/>
              </w:rPr>
            </w:pPr>
            <w:r w:rsidDel="00000000" w:rsidR="00000000" w:rsidRPr="00000000">
              <w:rPr>
                <w:sz w:val="20"/>
                <w:szCs w:val="20"/>
                <w:rtl w:val="0"/>
              </w:rPr>
              <w:t xml:space="preserve">Aircraft/Aerial</w:t>
            </w:r>
          </w:p>
        </w:tc>
        <w:tc>
          <w:tcPr/>
          <w:p w:rsidR="00000000" w:rsidDel="00000000" w:rsidP="00000000" w:rsidRDefault="00000000" w:rsidRPr="00000000" w14:paraId="0000002C">
            <w:pPr>
              <w:jc w:val="center"/>
              <w:rPr>
                <w:sz w:val="20"/>
                <w:szCs w:val="20"/>
              </w:rPr>
            </w:pPr>
            <w:r w:rsidDel="00000000" w:rsidR="00000000" w:rsidRPr="00000000">
              <w:rPr>
                <w:sz w:val="20"/>
                <w:szCs w:val="20"/>
                <w:rtl w:val="0"/>
              </w:rPr>
              <w:t xml:space="preserve">~0.06 m</w:t>
            </w:r>
          </w:p>
        </w:tc>
        <w:tc>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6 / 38</w:t>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Ultra-high spatial resolution, rich texture</w:t>
            </w:r>
          </w:p>
        </w:tc>
      </w:tr>
      <w:tr>
        <w:trPr>
          <w:cantSplit w:val="0"/>
          <w:trHeight w:val="347" w:hRule="atLeast"/>
          <w:tblHeader w:val="0"/>
        </w:trPr>
        <w:tc>
          <w:tcPr>
            <w:tcBorders>
              <w:bottom w:color="000000" w:space="0" w:sz="4" w:val="single"/>
            </w:tcBorders>
          </w:tcPr>
          <w:p w:rsidR="00000000" w:rsidDel="00000000" w:rsidP="00000000" w:rsidRDefault="00000000" w:rsidRPr="00000000" w14:paraId="0000002F">
            <w:pPr>
              <w:jc w:val="center"/>
              <w:rPr>
                <w:b w:val="1"/>
                <w:i w:val="1"/>
                <w:sz w:val="20"/>
                <w:szCs w:val="20"/>
              </w:rPr>
            </w:pPr>
            <w:r w:rsidDel="00000000" w:rsidR="00000000" w:rsidRPr="00000000">
              <w:rPr>
                <w:b w:val="1"/>
                <w:i w:val="1"/>
                <w:sz w:val="20"/>
                <w:szCs w:val="20"/>
                <w:rtl w:val="0"/>
              </w:rPr>
              <w:t xml:space="preserve">UCMerced [13]</w:t>
            </w:r>
          </w:p>
        </w:tc>
        <w:tc>
          <w:tcPr>
            <w:tcBorders>
              <w:bottom w:color="000000" w:space="0" w:sz="4" w:val="single"/>
            </w:tcBorders>
          </w:tcPr>
          <w:p w:rsidR="00000000" w:rsidDel="00000000" w:rsidP="00000000" w:rsidRDefault="00000000" w:rsidRPr="00000000" w14:paraId="00000030">
            <w:pPr>
              <w:rPr>
                <w:sz w:val="20"/>
                <w:szCs w:val="20"/>
              </w:rPr>
            </w:pPr>
            <w:r w:rsidDel="00000000" w:rsidR="00000000" w:rsidRPr="00000000">
              <w:rPr>
                <w:sz w:val="20"/>
                <w:szCs w:val="20"/>
                <w:rtl w:val="0"/>
              </w:rPr>
              <w:t xml:space="preserve">USGS aircraft</w:t>
            </w:r>
          </w:p>
        </w:tc>
        <w:tc>
          <w:tcPr>
            <w:tcBorders>
              <w:bottom w:color="000000" w:space="0" w:sz="4" w:val="single"/>
            </w:tcBorders>
          </w:tcPr>
          <w:p w:rsidR="00000000" w:rsidDel="00000000" w:rsidP="00000000" w:rsidRDefault="00000000" w:rsidRPr="00000000" w14:paraId="00000031">
            <w:pPr>
              <w:jc w:val="center"/>
              <w:rPr>
                <w:sz w:val="20"/>
                <w:szCs w:val="20"/>
              </w:rPr>
            </w:pPr>
            <w:r w:rsidDel="00000000" w:rsidR="00000000" w:rsidRPr="00000000">
              <w:rPr>
                <w:sz w:val="20"/>
                <w:szCs w:val="20"/>
                <w:rtl w:val="0"/>
              </w:rPr>
              <w:t xml:space="preserve">0.3 m</w:t>
            </w:r>
          </w:p>
        </w:tc>
        <w:tc>
          <w:tcPr>
            <w:tcBorders>
              <w:bottom w:color="000000" w:space="0" w:sz="4" w:val="single"/>
            </w:tcBorders>
          </w:tcPr>
          <w:p w:rsidR="00000000" w:rsidDel="00000000" w:rsidP="00000000" w:rsidRDefault="00000000" w:rsidRPr="00000000" w14:paraId="00000032">
            <w:pPr>
              <w:jc w:val="center"/>
              <w:rPr>
                <w:sz w:val="20"/>
                <w:szCs w:val="20"/>
              </w:rPr>
            </w:pPr>
            <w:r w:rsidDel="00000000" w:rsidR="00000000" w:rsidRPr="00000000">
              <w:rPr>
                <w:sz w:val="20"/>
                <w:szCs w:val="20"/>
                <w:rtl w:val="0"/>
              </w:rPr>
              <w:t xml:space="preserve">6 / 21</w:t>
            </w:r>
          </w:p>
        </w:tc>
        <w:tc>
          <w:tcPr>
            <w:tcBorders>
              <w:bottom w:color="000000" w:space="0" w:sz="4" w:val="single"/>
            </w:tcBorders>
          </w:tcPr>
          <w:p w:rsidR="00000000" w:rsidDel="00000000" w:rsidP="00000000" w:rsidRDefault="00000000" w:rsidRPr="00000000" w14:paraId="00000033">
            <w:pPr>
              <w:rPr>
                <w:sz w:val="20"/>
                <w:szCs w:val="20"/>
              </w:rPr>
            </w:pPr>
            <w:r w:rsidDel="00000000" w:rsidR="00000000" w:rsidRPr="00000000">
              <w:rPr>
                <w:sz w:val="20"/>
                <w:szCs w:val="20"/>
                <w:rtl w:val="0"/>
              </w:rPr>
              <w:t xml:space="preserve">Widely used aerial scene benchmark</w:t>
            </w:r>
          </w:p>
        </w:tc>
      </w:tr>
    </w:tbl>
    <w:p w:rsidR="00000000" w:rsidDel="00000000" w:rsidP="00000000" w:rsidRDefault="00000000" w:rsidRPr="00000000" w14:paraId="00000034">
      <w:pPr>
        <w:rPr>
          <w:i w:val="1"/>
          <w:sz w:val="18"/>
          <w:szCs w:val="18"/>
        </w:rPr>
      </w:pP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rtl w:val="0"/>
        </w:rPr>
        <w:t xml:space="preserve">Common Class Selection</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To ensure consistency, we extract six common classes namely Airplane, Beach, Dense Residential, Forest, Sparse Residential and Storage Tank from each dataset as shown in figure 1.</w:t>
      </w:r>
    </w:p>
    <w:p w:rsidR="00000000" w:rsidDel="00000000" w:rsidP="00000000" w:rsidRDefault="00000000" w:rsidRPr="00000000" w14:paraId="00000037">
      <w:pPr>
        <w:keepNext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Pr>
        <w:drawing>
          <wp:inline distB="0" distT="0" distL="0" distR="0">
            <wp:extent cx="5915025" cy="3876675"/>
            <wp:effectExtent b="0" l="0" r="0" t="0"/>
            <wp:docPr id="1884730603"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1502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20" w:lineRule="auto"/>
        <w:jc w:val="center"/>
        <w:rPr>
          <w:i w:val="1"/>
          <w:color w:val="000000"/>
          <w:sz w:val="18"/>
          <w:szCs w:val="18"/>
        </w:rPr>
      </w:pPr>
      <w:r w:rsidDel="00000000" w:rsidR="00000000" w:rsidRPr="00000000">
        <w:rPr>
          <w:i w:val="1"/>
          <w:color w:val="000000"/>
          <w:sz w:val="18"/>
          <w:szCs w:val="18"/>
          <w:rtl w:val="0"/>
        </w:rPr>
        <w:t xml:space="preserve">FIG 1</w:t>
      </w:r>
      <w:r w:rsidDel="00000000" w:rsidR="00000000" w:rsidRPr="00000000">
        <w:rPr>
          <w:b w:val="1"/>
          <w:i w:val="1"/>
          <w:color w:val="000000"/>
          <w:sz w:val="18"/>
          <w:szCs w:val="18"/>
          <w:rtl w:val="0"/>
        </w:rPr>
        <w:t xml:space="preserve">.</w:t>
      </w:r>
      <w:r w:rsidDel="00000000" w:rsidR="00000000" w:rsidRPr="00000000">
        <w:rPr>
          <w:i w:val="1"/>
          <w:color w:val="000000"/>
          <w:sz w:val="18"/>
          <w:szCs w:val="18"/>
          <w:rtl w:val="0"/>
        </w:rPr>
        <w:t xml:space="preserve"> Sample image from each class across the different datasets. The first row shows images from the NWPU dataset, followed by samples from PatternNet, AID, and UCMerced</w:t>
      </w:r>
    </w:p>
    <w:p w:rsidR="00000000" w:rsidDel="00000000" w:rsidP="00000000" w:rsidRDefault="00000000" w:rsidRPr="00000000" w14:paraId="00000039">
      <w:pPr>
        <w:pStyle w:val="Heading2"/>
        <w:rPr/>
      </w:pPr>
      <w:r w:rsidDel="00000000" w:rsidR="00000000" w:rsidRPr="00000000">
        <w:rPr>
          <w:rtl w:val="0"/>
        </w:rPr>
        <w:t xml:space="preserve">Sensor Variability</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Each dataset reflects sensor differences: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Spatial resolution: PatternNet presents ultra-high resolution, whereas AID and NWPU have broader and lower resolution ranges.</w:t>
      </w:r>
      <w:r w:rsidDel="00000000" w:rsidR="00000000" w:rsidRPr="00000000">
        <w:rPr>
          <w:rtl w:val="0"/>
        </w:rPr>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Acquisition platform: UCMerced is based on aircraft imagery; AID and NWPU rely on aggregated satellite/aerial imagery from Google Earth.</w:t>
      </w:r>
      <w:r w:rsidDel="00000000" w:rsidR="00000000" w:rsidRPr="00000000">
        <w:rPr>
          <w:rtl w:val="0"/>
        </w:rPr>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Compression and visual artifacts: Google Earth datasets introduce color tone variations and probable compression artifacts, enhancing domain discrepancies.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Such diverse acquisition conditions represent ideal testbeds for benchmarking DA methods, as they closely reflect real-world operational scenarios.</w:t>
      </w:r>
    </w:p>
    <w:p w:rsidR="00000000" w:rsidDel="00000000" w:rsidP="00000000" w:rsidRDefault="00000000" w:rsidRPr="00000000" w14:paraId="0000003F">
      <w:pPr>
        <w:pStyle w:val="Heading2"/>
        <w:rPr/>
      </w:pPr>
      <w:r w:rsidDel="00000000" w:rsidR="00000000" w:rsidRPr="00000000">
        <w:rPr>
          <w:rtl w:val="0"/>
        </w:rPr>
        <w:t xml:space="preserve">Domain Gap Quantification via Fréchet Inception Distance (FID)</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While domain shift in remote sensing is often attributed to differences in sensor platforms, resolutions, and acquisition conditions, we quantitatively assess these shifts using the Fréchet Inception Distance (FID) [14] [15]. FID measures the distributional distance between feature embeddings of two datasets, capturing both first and second-order statistics. Lower FID indicates higher similarity between datasets.</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We computed FID scores for all 12 source-target combinations using InceptionV3 activations on the six aligned classes across datasets (Airplane, Beach, Dense Residential, Forest, Sparse Residential, Storage Tank). Results are summarized in Table 2.</w:t>
      </w:r>
    </w:p>
    <w:p w:rsidR="00000000" w:rsidDel="00000000" w:rsidP="00000000" w:rsidRDefault="00000000" w:rsidRPr="00000000" w14:paraId="00000042">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20" w:lineRule="auto"/>
        <w:jc w:val="center"/>
        <w:rPr>
          <w:i w:val="1"/>
          <w:color w:val="000000"/>
          <w:sz w:val="18"/>
          <w:szCs w:val="18"/>
        </w:rPr>
      </w:pPr>
      <w:r w:rsidDel="00000000" w:rsidR="00000000" w:rsidRPr="00000000">
        <w:rPr>
          <w:b w:val="1"/>
          <w:i w:val="1"/>
          <w:sz w:val="18"/>
          <w:szCs w:val="18"/>
          <w:rtl w:val="0"/>
        </w:rPr>
        <w:br w:type="textWrapping"/>
      </w:r>
      <w:r w:rsidDel="00000000" w:rsidR="00000000" w:rsidRPr="00000000">
        <w:rPr>
          <w:i w:val="1"/>
          <w:color w:val="000000"/>
          <w:sz w:val="18"/>
          <w:szCs w:val="18"/>
          <w:rtl w:val="0"/>
        </w:rPr>
        <w:t xml:space="preserve">TABLE 2: FID Score Matrix Between Datasets</w:t>
      </w:r>
    </w:p>
    <w:tbl>
      <w:tblPr>
        <w:tblStyle w:val="Table2"/>
        <w:tblW w:w="7861.000000000002" w:type="dxa"/>
        <w:jc w:val="center"/>
        <w:tblLayout w:type="fixed"/>
        <w:tblLook w:val="0400"/>
      </w:tblPr>
      <w:tblGrid>
        <w:gridCol w:w="1828"/>
        <w:gridCol w:w="1229"/>
        <w:gridCol w:w="1828"/>
        <w:gridCol w:w="1229"/>
        <w:gridCol w:w="1747"/>
        <w:tblGridChange w:id="0">
          <w:tblGrid>
            <w:gridCol w:w="1828"/>
            <w:gridCol w:w="1229"/>
            <w:gridCol w:w="1828"/>
            <w:gridCol w:w="1229"/>
            <w:gridCol w:w="1747"/>
          </w:tblGrid>
        </w:tblGridChange>
      </w:tblGrid>
      <w:tr>
        <w:trPr>
          <w:cantSplit w:val="0"/>
          <w:trHeight w:val="468"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45">
            <w:pPr>
              <w:jc w:val="both"/>
              <w:rPr>
                <w:b w:val="1"/>
                <w:color w:val="000000"/>
                <w:sz w:val="20"/>
                <w:szCs w:val="20"/>
              </w:rPr>
            </w:pPr>
            <w:sdt>
              <w:sdtPr>
                <w:id w:val="-695413958"/>
                <w:tag w:val="goog_rdk_0"/>
              </w:sdtPr>
              <w:sdtContent>
                <w:r w:rsidDel="00000000" w:rsidR="00000000" w:rsidRPr="00000000">
                  <w:rPr>
                    <w:rFonts w:ascii="Cardo" w:cs="Cardo" w:eastAsia="Cardo" w:hAnsi="Cardo"/>
                    <w:b w:val="1"/>
                    <w:color w:val="000000"/>
                    <w:sz w:val="20"/>
                    <w:szCs w:val="20"/>
                    <w:rtl w:val="0"/>
                  </w:rPr>
                  <w:t xml:space="preserve">Source → Target</w:t>
                </w:r>
              </w:sdtContent>
            </w:sdt>
          </w:p>
        </w:tc>
        <w:tc>
          <w:tcPr>
            <w:tcBorders>
              <w:top w:color="000000" w:space="0" w:sz="4" w:val="single"/>
              <w:bottom w:color="000000" w:space="0" w:sz="4" w:val="single"/>
            </w:tcBorders>
            <w:vAlign w:val="center"/>
          </w:tcPr>
          <w:p w:rsidR="00000000" w:rsidDel="00000000" w:rsidP="00000000" w:rsidRDefault="00000000" w:rsidRPr="00000000" w14:paraId="00000046">
            <w:pPr>
              <w:jc w:val="center"/>
              <w:rPr>
                <w:b w:val="1"/>
                <w:color w:val="000000"/>
                <w:sz w:val="20"/>
                <w:szCs w:val="20"/>
              </w:rPr>
            </w:pPr>
            <w:r w:rsidDel="00000000" w:rsidR="00000000" w:rsidRPr="00000000">
              <w:rPr>
                <w:b w:val="1"/>
                <w:color w:val="000000"/>
                <w:sz w:val="20"/>
                <w:szCs w:val="20"/>
                <w:rtl w:val="0"/>
              </w:rPr>
              <w:t xml:space="preserve">NWPU</w:t>
            </w:r>
          </w:p>
        </w:tc>
        <w:tc>
          <w:tcPr>
            <w:tcBorders>
              <w:top w:color="000000" w:space="0" w:sz="4" w:val="single"/>
              <w:bottom w:color="000000" w:space="0" w:sz="4" w:val="single"/>
            </w:tcBorders>
            <w:vAlign w:val="center"/>
          </w:tcPr>
          <w:p w:rsidR="00000000" w:rsidDel="00000000" w:rsidP="00000000" w:rsidRDefault="00000000" w:rsidRPr="00000000" w14:paraId="00000047">
            <w:pPr>
              <w:jc w:val="center"/>
              <w:rPr>
                <w:b w:val="1"/>
                <w:color w:val="000000"/>
                <w:sz w:val="20"/>
                <w:szCs w:val="20"/>
              </w:rPr>
            </w:pPr>
            <w:r w:rsidDel="00000000" w:rsidR="00000000" w:rsidRPr="00000000">
              <w:rPr>
                <w:b w:val="1"/>
                <w:color w:val="000000"/>
                <w:sz w:val="20"/>
                <w:szCs w:val="20"/>
                <w:rtl w:val="0"/>
              </w:rPr>
              <w:t xml:space="preserve">PatternNet</w:t>
            </w:r>
          </w:p>
        </w:tc>
        <w:tc>
          <w:tcPr>
            <w:tcBorders>
              <w:top w:color="000000" w:space="0" w:sz="4" w:val="single"/>
              <w:bottom w:color="000000" w:space="0" w:sz="4" w:val="single"/>
            </w:tcBorders>
            <w:vAlign w:val="center"/>
          </w:tcPr>
          <w:p w:rsidR="00000000" w:rsidDel="00000000" w:rsidP="00000000" w:rsidRDefault="00000000" w:rsidRPr="00000000" w14:paraId="00000048">
            <w:pPr>
              <w:jc w:val="center"/>
              <w:rPr>
                <w:b w:val="1"/>
                <w:color w:val="000000"/>
                <w:sz w:val="20"/>
                <w:szCs w:val="20"/>
              </w:rPr>
            </w:pPr>
            <w:r w:rsidDel="00000000" w:rsidR="00000000" w:rsidRPr="00000000">
              <w:rPr>
                <w:b w:val="1"/>
                <w:color w:val="000000"/>
                <w:sz w:val="20"/>
                <w:szCs w:val="20"/>
                <w:rtl w:val="0"/>
              </w:rPr>
              <w:t xml:space="preserve">AID</w:t>
            </w:r>
          </w:p>
        </w:tc>
        <w:tc>
          <w:tcPr>
            <w:tcBorders>
              <w:top w:color="000000" w:space="0" w:sz="4" w:val="single"/>
              <w:bottom w:color="000000" w:space="0" w:sz="4" w:val="single"/>
            </w:tcBorders>
            <w:vAlign w:val="center"/>
          </w:tcPr>
          <w:p w:rsidR="00000000" w:rsidDel="00000000" w:rsidP="00000000" w:rsidRDefault="00000000" w:rsidRPr="00000000" w14:paraId="00000049">
            <w:pPr>
              <w:jc w:val="center"/>
              <w:rPr>
                <w:b w:val="1"/>
                <w:color w:val="000000"/>
                <w:sz w:val="20"/>
                <w:szCs w:val="20"/>
              </w:rPr>
            </w:pPr>
            <w:r w:rsidDel="00000000" w:rsidR="00000000" w:rsidRPr="00000000">
              <w:rPr>
                <w:b w:val="1"/>
                <w:color w:val="000000"/>
                <w:sz w:val="20"/>
                <w:szCs w:val="20"/>
                <w:rtl w:val="0"/>
              </w:rPr>
              <w:t xml:space="preserve">UCMerced</w:t>
            </w:r>
          </w:p>
        </w:tc>
      </w:tr>
      <w:tr>
        <w:trPr>
          <w:cantSplit w:val="0"/>
          <w:trHeight w:val="233" w:hRule="atLeast"/>
          <w:tblHeader w:val="0"/>
        </w:trPr>
        <w:tc>
          <w:tcPr>
            <w:tcBorders>
              <w:top w:color="000000" w:space="0" w:sz="4" w:val="single"/>
            </w:tcBorders>
            <w:vAlign w:val="center"/>
          </w:tcPr>
          <w:p w:rsidR="00000000" w:rsidDel="00000000" w:rsidP="00000000" w:rsidRDefault="00000000" w:rsidRPr="00000000" w14:paraId="0000004A">
            <w:pPr>
              <w:jc w:val="both"/>
              <w:rPr>
                <w:b w:val="1"/>
                <w:i w:val="1"/>
                <w:color w:val="000000"/>
                <w:sz w:val="20"/>
                <w:szCs w:val="20"/>
              </w:rPr>
            </w:pPr>
            <w:r w:rsidDel="00000000" w:rsidR="00000000" w:rsidRPr="00000000">
              <w:rPr>
                <w:b w:val="1"/>
                <w:i w:val="1"/>
                <w:color w:val="000000"/>
                <w:sz w:val="20"/>
                <w:szCs w:val="20"/>
                <w:rtl w:val="0"/>
              </w:rPr>
              <w:t xml:space="preserve">NWPU</w:t>
            </w:r>
          </w:p>
        </w:tc>
        <w:tc>
          <w:tcPr>
            <w:tcBorders>
              <w:top w:color="000000" w:space="0" w:sz="4" w:val="single"/>
            </w:tcBorders>
            <w:vAlign w:val="center"/>
          </w:tcPr>
          <w:p w:rsidR="00000000" w:rsidDel="00000000" w:rsidP="00000000" w:rsidRDefault="00000000" w:rsidRPr="00000000" w14:paraId="0000004B">
            <w:pPr>
              <w:jc w:val="center"/>
              <w:rPr>
                <w:color w:val="000000"/>
                <w:sz w:val="20"/>
                <w:szCs w:val="20"/>
              </w:rPr>
            </w:pPr>
            <w:r w:rsidDel="00000000" w:rsidR="00000000" w:rsidRPr="00000000">
              <w:rPr>
                <w:color w:val="000000"/>
                <w:sz w:val="20"/>
                <w:szCs w:val="20"/>
                <w:rtl w:val="0"/>
              </w:rPr>
              <w:t xml:space="preserve">—</w:t>
            </w:r>
          </w:p>
        </w:tc>
        <w:tc>
          <w:tcPr>
            <w:tcBorders>
              <w:top w:color="000000" w:space="0" w:sz="4" w:val="single"/>
            </w:tcBorders>
            <w:vAlign w:val="center"/>
          </w:tcPr>
          <w:p w:rsidR="00000000" w:rsidDel="00000000" w:rsidP="00000000" w:rsidRDefault="00000000" w:rsidRPr="00000000" w14:paraId="0000004C">
            <w:pPr>
              <w:jc w:val="center"/>
              <w:rPr>
                <w:color w:val="000000"/>
                <w:sz w:val="20"/>
                <w:szCs w:val="20"/>
              </w:rPr>
            </w:pPr>
            <w:r w:rsidDel="00000000" w:rsidR="00000000" w:rsidRPr="00000000">
              <w:rPr>
                <w:color w:val="000000"/>
                <w:sz w:val="20"/>
                <w:szCs w:val="20"/>
                <w:rtl w:val="0"/>
              </w:rPr>
              <w:t xml:space="preserve">165.68</w:t>
            </w:r>
          </w:p>
        </w:tc>
        <w:tc>
          <w:tcPr>
            <w:tcBorders>
              <w:top w:color="000000" w:space="0" w:sz="4" w:val="single"/>
            </w:tcBorders>
            <w:vAlign w:val="center"/>
          </w:tcPr>
          <w:p w:rsidR="00000000" w:rsidDel="00000000" w:rsidP="00000000" w:rsidRDefault="00000000" w:rsidRPr="00000000" w14:paraId="0000004D">
            <w:pPr>
              <w:jc w:val="center"/>
              <w:rPr>
                <w:color w:val="000000"/>
                <w:sz w:val="20"/>
                <w:szCs w:val="20"/>
              </w:rPr>
            </w:pPr>
            <w:r w:rsidDel="00000000" w:rsidR="00000000" w:rsidRPr="00000000">
              <w:rPr>
                <w:color w:val="000000"/>
                <w:sz w:val="20"/>
                <w:szCs w:val="20"/>
                <w:rtl w:val="0"/>
              </w:rPr>
              <w:t xml:space="preserve">136.06</w:t>
            </w:r>
          </w:p>
        </w:tc>
        <w:tc>
          <w:tcPr>
            <w:tcBorders>
              <w:top w:color="000000" w:space="0" w:sz="4" w:val="single"/>
            </w:tcBorders>
            <w:vAlign w:val="center"/>
          </w:tcPr>
          <w:p w:rsidR="00000000" w:rsidDel="00000000" w:rsidP="00000000" w:rsidRDefault="00000000" w:rsidRPr="00000000" w14:paraId="0000004E">
            <w:pPr>
              <w:jc w:val="center"/>
              <w:rPr>
                <w:color w:val="000000"/>
                <w:sz w:val="20"/>
                <w:szCs w:val="20"/>
              </w:rPr>
            </w:pPr>
            <w:r w:rsidDel="00000000" w:rsidR="00000000" w:rsidRPr="00000000">
              <w:rPr>
                <w:color w:val="000000"/>
                <w:sz w:val="20"/>
                <w:szCs w:val="20"/>
                <w:rtl w:val="0"/>
              </w:rPr>
              <w:t xml:space="preserve">252.68</w:t>
            </w:r>
          </w:p>
        </w:tc>
      </w:tr>
      <w:tr>
        <w:trPr>
          <w:cantSplit w:val="0"/>
          <w:trHeight w:val="468" w:hRule="atLeast"/>
          <w:tblHeader w:val="0"/>
        </w:trPr>
        <w:tc>
          <w:tcPr>
            <w:vAlign w:val="center"/>
          </w:tcPr>
          <w:p w:rsidR="00000000" w:rsidDel="00000000" w:rsidP="00000000" w:rsidRDefault="00000000" w:rsidRPr="00000000" w14:paraId="0000004F">
            <w:pPr>
              <w:jc w:val="both"/>
              <w:rPr>
                <w:b w:val="1"/>
                <w:i w:val="1"/>
                <w:color w:val="000000"/>
                <w:sz w:val="20"/>
                <w:szCs w:val="20"/>
              </w:rPr>
            </w:pPr>
            <w:r w:rsidDel="00000000" w:rsidR="00000000" w:rsidRPr="00000000">
              <w:rPr>
                <w:b w:val="1"/>
                <w:i w:val="1"/>
                <w:color w:val="000000"/>
                <w:sz w:val="20"/>
                <w:szCs w:val="20"/>
                <w:rtl w:val="0"/>
              </w:rPr>
              <w:t xml:space="preserve">PatternNet</w:t>
            </w:r>
          </w:p>
        </w:tc>
        <w:tc>
          <w:tcPr>
            <w:vAlign w:val="center"/>
          </w:tcPr>
          <w:p w:rsidR="00000000" w:rsidDel="00000000" w:rsidP="00000000" w:rsidRDefault="00000000" w:rsidRPr="00000000" w14:paraId="00000050">
            <w:pPr>
              <w:jc w:val="center"/>
              <w:rPr>
                <w:color w:val="000000"/>
                <w:sz w:val="20"/>
                <w:szCs w:val="20"/>
              </w:rPr>
            </w:pPr>
            <w:r w:rsidDel="00000000" w:rsidR="00000000" w:rsidRPr="00000000">
              <w:rPr>
                <w:color w:val="000000"/>
                <w:sz w:val="20"/>
                <w:szCs w:val="20"/>
                <w:rtl w:val="0"/>
              </w:rPr>
              <w:t xml:space="preserve">165.68</w:t>
            </w:r>
          </w:p>
        </w:tc>
        <w:tc>
          <w:tcPr>
            <w:vAlign w:val="center"/>
          </w:tcPr>
          <w:p w:rsidR="00000000" w:rsidDel="00000000" w:rsidP="00000000" w:rsidRDefault="00000000" w:rsidRPr="00000000" w14:paraId="00000051">
            <w:pPr>
              <w:jc w:val="center"/>
              <w:rPr>
                <w:color w:val="000000"/>
                <w:sz w:val="20"/>
                <w:szCs w:val="20"/>
              </w:rPr>
            </w:pPr>
            <w:r w:rsidDel="00000000" w:rsidR="00000000" w:rsidRPr="00000000">
              <w:rPr>
                <w:color w:val="000000"/>
                <w:sz w:val="20"/>
                <w:szCs w:val="20"/>
                <w:rtl w:val="0"/>
              </w:rPr>
              <w:t xml:space="preserve">—</w:t>
            </w:r>
          </w:p>
        </w:tc>
        <w:tc>
          <w:tcPr>
            <w:vAlign w:val="center"/>
          </w:tcPr>
          <w:p w:rsidR="00000000" w:rsidDel="00000000" w:rsidP="00000000" w:rsidRDefault="00000000" w:rsidRPr="00000000" w14:paraId="00000052">
            <w:pPr>
              <w:jc w:val="center"/>
              <w:rPr>
                <w:color w:val="000000"/>
                <w:sz w:val="20"/>
                <w:szCs w:val="20"/>
              </w:rPr>
            </w:pPr>
            <w:r w:rsidDel="00000000" w:rsidR="00000000" w:rsidRPr="00000000">
              <w:rPr>
                <w:color w:val="000000"/>
                <w:sz w:val="20"/>
                <w:szCs w:val="20"/>
                <w:rtl w:val="0"/>
              </w:rPr>
              <w:t xml:space="preserve">242.45</w:t>
            </w:r>
          </w:p>
        </w:tc>
        <w:tc>
          <w:tcPr>
            <w:vAlign w:val="center"/>
          </w:tcPr>
          <w:p w:rsidR="00000000" w:rsidDel="00000000" w:rsidP="00000000" w:rsidRDefault="00000000" w:rsidRPr="00000000" w14:paraId="00000053">
            <w:pPr>
              <w:jc w:val="center"/>
              <w:rPr>
                <w:color w:val="000000"/>
                <w:sz w:val="20"/>
                <w:szCs w:val="20"/>
              </w:rPr>
            </w:pPr>
            <w:r w:rsidDel="00000000" w:rsidR="00000000" w:rsidRPr="00000000">
              <w:rPr>
                <w:color w:val="000000"/>
                <w:sz w:val="20"/>
                <w:szCs w:val="20"/>
                <w:rtl w:val="0"/>
              </w:rPr>
              <w:t xml:space="preserve">212.71</w:t>
            </w:r>
          </w:p>
        </w:tc>
      </w:tr>
      <w:tr>
        <w:trPr>
          <w:cantSplit w:val="0"/>
          <w:trHeight w:val="233" w:hRule="atLeast"/>
          <w:tblHeader w:val="0"/>
        </w:trPr>
        <w:tc>
          <w:tcPr>
            <w:vAlign w:val="center"/>
          </w:tcPr>
          <w:p w:rsidR="00000000" w:rsidDel="00000000" w:rsidP="00000000" w:rsidRDefault="00000000" w:rsidRPr="00000000" w14:paraId="00000054">
            <w:pPr>
              <w:jc w:val="both"/>
              <w:rPr>
                <w:b w:val="1"/>
                <w:i w:val="1"/>
                <w:color w:val="000000"/>
                <w:sz w:val="20"/>
                <w:szCs w:val="20"/>
              </w:rPr>
            </w:pPr>
            <w:r w:rsidDel="00000000" w:rsidR="00000000" w:rsidRPr="00000000">
              <w:rPr>
                <w:b w:val="1"/>
                <w:i w:val="1"/>
                <w:color w:val="000000"/>
                <w:sz w:val="20"/>
                <w:szCs w:val="20"/>
                <w:rtl w:val="0"/>
              </w:rPr>
              <w:t xml:space="preserve">AID</w:t>
            </w:r>
          </w:p>
        </w:tc>
        <w:tc>
          <w:tcPr>
            <w:vAlign w:val="center"/>
          </w:tcPr>
          <w:p w:rsidR="00000000" w:rsidDel="00000000" w:rsidP="00000000" w:rsidRDefault="00000000" w:rsidRPr="00000000" w14:paraId="00000055">
            <w:pPr>
              <w:jc w:val="center"/>
              <w:rPr>
                <w:color w:val="000000"/>
                <w:sz w:val="20"/>
                <w:szCs w:val="20"/>
              </w:rPr>
            </w:pPr>
            <w:r w:rsidDel="00000000" w:rsidR="00000000" w:rsidRPr="00000000">
              <w:rPr>
                <w:color w:val="000000"/>
                <w:sz w:val="20"/>
                <w:szCs w:val="20"/>
                <w:rtl w:val="0"/>
              </w:rPr>
              <w:t xml:space="preserve">136.06</w:t>
            </w:r>
          </w:p>
        </w:tc>
        <w:tc>
          <w:tcPr>
            <w:vAlign w:val="center"/>
          </w:tcPr>
          <w:p w:rsidR="00000000" w:rsidDel="00000000" w:rsidP="00000000" w:rsidRDefault="00000000" w:rsidRPr="00000000" w14:paraId="00000056">
            <w:pPr>
              <w:jc w:val="center"/>
              <w:rPr>
                <w:color w:val="000000"/>
                <w:sz w:val="20"/>
                <w:szCs w:val="20"/>
              </w:rPr>
            </w:pPr>
            <w:r w:rsidDel="00000000" w:rsidR="00000000" w:rsidRPr="00000000">
              <w:rPr>
                <w:color w:val="000000"/>
                <w:sz w:val="20"/>
                <w:szCs w:val="20"/>
                <w:rtl w:val="0"/>
              </w:rPr>
              <w:t xml:space="preserve">242.45</w:t>
            </w:r>
          </w:p>
        </w:tc>
        <w:tc>
          <w:tcPr>
            <w:vAlign w:val="center"/>
          </w:tcPr>
          <w:p w:rsidR="00000000" w:rsidDel="00000000" w:rsidP="00000000" w:rsidRDefault="00000000" w:rsidRPr="00000000" w14:paraId="00000057">
            <w:pPr>
              <w:jc w:val="center"/>
              <w:rPr>
                <w:color w:val="000000"/>
                <w:sz w:val="20"/>
                <w:szCs w:val="20"/>
              </w:rPr>
            </w:pPr>
            <w:r w:rsidDel="00000000" w:rsidR="00000000" w:rsidRPr="00000000">
              <w:rPr>
                <w:color w:val="000000"/>
                <w:sz w:val="20"/>
                <w:szCs w:val="20"/>
                <w:rtl w:val="0"/>
              </w:rPr>
              <w:t xml:space="preserve">—</w:t>
            </w:r>
          </w:p>
        </w:tc>
        <w:tc>
          <w:tcPr>
            <w:vAlign w:val="center"/>
          </w:tcPr>
          <w:p w:rsidR="00000000" w:rsidDel="00000000" w:rsidP="00000000" w:rsidRDefault="00000000" w:rsidRPr="00000000" w14:paraId="00000058">
            <w:pPr>
              <w:jc w:val="center"/>
              <w:rPr>
                <w:color w:val="000000"/>
                <w:sz w:val="20"/>
                <w:szCs w:val="20"/>
              </w:rPr>
            </w:pPr>
            <w:r w:rsidDel="00000000" w:rsidR="00000000" w:rsidRPr="00000000">
              <w:rPr>
                <w:color w:val="000000"/>
                <w:sz w:val="20"/>
                <w:szCs w:val="20"/>
                <w:rtl w:val="0"/>
              </w:rPr>
              <w:t xml:space="preserve">296.53</w:t>
            </w:r>
          </w:p>
        </w:tc>
      </w:tr>
      <w:tr>
        <w:trPr>
          <w:cantSplit w:val="0"/>
          <w:trHeight w:val="468" w:hRule="atLeast"/>
          <w:tblHeader w:val="0"/>
        </w:trPr>
        <w:tc>
          <w:tcPr>
            <w:tcBorders>
              <w:bottom w:color="000000" w:space="0" w:sz="4" w:val="single"/>
            </w:tcBorders>
            <w:vAlign w:val="center"/>
          </w:tcPr>
          <w:p w:rsidR="00000000" w:rsidDel="00000000" w:rsidP="00000000" w:rsidRDefault="00000000" w:rsidRPr="00000000" w14:paraId="00000059">
            <w:pPr>
              <w:jc w:val="both"/>
              <w:rPr>
                <w:b w:val="1"/>
                <w:i w:val="1"/>
                <w:color w:val="000000"/>
                <w:sz w:val="20"/>
                <w:szCs w:val="20"/>
              </w:rPr>
            </w:pPr>
            <w:r w:rsidDel="00000000" w:rsidR="00000000" w:rsidRPr="00000000">
              <w:rPr>
                <w:b w:val="1"/>
                <w:i w:val="1"/>
                <w:color w:val="000000"/>
                <w:sz w:val="20"/>
                <w:szCs w:val="20"/>
                <w:rtl w:val="0"/>
              </w:rPr>
              <w:t xml:space="preserve">UCMerced</w:t>
            </w:r>
          </w:p>
        </w:tc>
        <w:tc>
          <w:tcPr>
            <w:tcBorders>
              <w:bottom w:color="000000" w:space="0" w:sz="4" w:val="single"/>
            </w:tcBorders>
            <w:vAlign w:val="center"/>
          </w:tcPr>
          <w:p w:rsidR="00000000" w:rsidDel="00000000" w:rsidP="00000000" w:rsidRDefault="00000000" w:rsidRPr="00000000" w14:paraId="0000005A">
            <w:pPr>
              <w:jc w:val="center"/>
              <w:rPr>
                <w:color w:val="000000"/>
                <w:sz w:val="20"/>
                <w:szCs w:val="20"/>
              </w:rPr>
            </w:pPr>
            <w:r w:rsidDel="00000000" w:rsidR="00000000" w:rsidRPr="00000000">
              <w:rPr>
                <w:color w:val="000000"/>
                <w:sz w:val="20"/>
                <w:szCs w:val="20"/>
                <w:rtl w:val="0"/>
              </w:rPr>
              <w:t xml:space="preserve">252.68</w:t>
            </w:r>
          </w:p>
        </w:tc>
        <w:tc>
          <w:tcPr>
            <w:tcBorders>
              <w:bottom w:color="000000" w:space="0" w:sz="4" w:val="single"/>
            </w:tcBorders>
            <w:vAlign w:val="center"/>
          </w:tcPr>
          <w:p w:rsidR="00000000" w:rsidDel="00000000" w:rsidP="00000000" w:rsidRDefault="00000000" w:rsidRPr="00000000" w14:paraId="0000005B">
            <w:pPr>
              <w:jc w:val="center"/>
              <w:rPr>
                <w:color w:val="000000"/>
                <w:sz w:val="20"/>
                <w:szCs w:val="20"/>
              </w:rPr>
            </w:pPr>
            <w:r w:rsidDel="00000000" w:rsidR="00000000" w:rsidRPr="00000000">
              <w:rPr>
                <w:color w:val="000000"/>
                <w:sz w:val="20"/>
                <w:szCs w:val="20"/>
                <w:rtl w:val="0"/>
              </w:rPr>
              <w:t xml:space="preserve">212.71</w:t>
            </w:r>
          </w:p>
        </w:tc>
        <w:tc>
          <w:tcPr>
            <w:tcBorders>
              <w:bottom w:color="000000" w:space="0" w:sz="4" w:val="single"/>
            </w:tcBorders>
            <w:vAlign w:val="center"/>
          </w:tcPr>
          <w:p w:rsidR="00000000" w:rsidDel="00000000" w:rsidP="00000000" w:rsidRDefault="00000000" w:rsidRPr="00000000" w14:paraId="0000005C">
            <w:pPr>
              <w:jc w:val="center"/>
              <w:rPr>
                <w:color w:val="000000"/>
                <w:sz w:val="20"/>
                <w:szCs w:val="20"/>
              </w:rPr>
            </w:pPr>
            <w:r w:rsidDel="00000000" w:rsidR="00000000" w:rsidRPr="00000000">
              <w:rPr>
                <w:color w:val="000000"/>
                <w:sz w:val="20"/>
                <w:szCs w:val="20"/>
                <w:rtl w:val="0"/>
              </w:rPr>
              <w:t xml:space="preserve">296.53</w:t>
            </w:r>
          </w:p>
        </w:tc>
        <w:tc>
          <w:tcPr>
            <w:tcBorders>
              <w:bottom w:color="000000" w:space="0" w:sz="4" w:val="single"/>
            </w:tcBorders>
            <w:vAlign w:val="center"/>
          </w:tcPr>
          <w:p w:rsidR="00000000" w:rsidDel="00000000" w:rsidP="00000000" w:rsidRDefault="00000000" w:rsidRPr="00000000" w14:paraId="0000005D">
            <w:pPr>
              <w:jc w:val="center"/>
              <w:rPr>
                <w:color w:val="000000"/>
                <w:sz w:val="20"/>
                <w:szCs w:val="20"/>
              </w:rPr>
            </w:pPr>
            <w:r w:rsidDel="00000000" w:rsidR="00000000" w:rsidRPr="00000000">
              <w:rPr>
                <w:color w:val="000000"/>
                <w:sz w:val="20"/>
                <w:szCs w:val="20"/>
                <w:rtl w:val="0"/>
              </w:rPr>
              <w:t xml:space="preserve">—</w:t>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Based on FID scores in Table 2 we observe that AID and NWPU show the smallest domain gap (FID=136.06), making them a relatively easy adaptation pair. Conversely, AID and UCMerced (FID=296.53) exhibit the largest distributional discrepancy, highlighting a hard domain transfer case. PatternNet displays moderate similarity with UCMerced but diverges significantly from AID, likely due to its ultra-high spatial resolution and low background clutter.</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To better interpret the relative difficulty of adaptation tasks, we categorize the domain shifts using FID thresholds. Table 3 provides a ranked summary of selected source-target pairs, their FID values, and qualitative difficulty levels based on empirically observed accuracy drops and distributional divergence.[16][17]</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20" w:lineRule="auto"/>
        <w:jc w:val="center"/>
        <w:rPr>
          <w:color w:val="000000"/>
          <w:sz w:val="18"/>
          <w:szCs w:val="18"/>
        </w:rPr>
      </w:pPr>
      <w:r w:rsidDel="00000000" w:rsidR="00000000" w:rsidRPr="00000000">
        <w:rPr>
          <w:b w:val="1"/>
          <w:color w:val="000000"/>
          <w:sz w:val="18"/>
          <w:szCs w:val="18"/>
          <w:rtl w:val="0"/>
        </w:rPr>
        <w:t xml:space="preserve">TABLE 3</w:t>
      </w:r>
      <w:r w:rsidDel="00000000" w:rsidR="00000000" w:rsidRPr="00000000">
        <w:rPr>
          <w:color w:val="000000"/>
          <w:sz w:val="18"/>
          <w:szCs w:val="18"/>
          <w:rtl w:val="0"/>
        </w:rPr>
        <w:t xml:space="preserve">: FID Score Matrix Between Datasets</w:t>
      </w:r>
    </w:p>
    <w:tbl>
      <w:tblPr>
        <w:tblStyle w:val="Table3"/>
        <w:tblW w:w="7064.0" w:type="dxa"/>
        <w:jc w:val="center"/>
        <w:tblLayout w:type="fixed"/>
        <w:tblLook w:val="0400"/>
      </w:tblPr>
      <w:tblGrid>
        <w:gridCol w:w="2694"/>
        <w:gridCol w:w="1866"/>
        <w:gridCol w:w="2504"/>
        <w:tblGridChange w:id="0">
          <w:tblGrid>
            <w:gridCol w:w="2694"/>
            <w:gridCol w:w="1866"/>
            <w:gridCol w:w="2504"/>
          </w:tblGrid>
        </w:tblGridChange>
      </w:tblGrid>
      <w:tr>
        <w:trPr>
          <w:cantSplit w:val="0"/>
          <w:trHeight w:val="286"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62">
            <w:pPr>
              <w:jc w:val="both"/>
              <w:rPr>
                <w:b w:val="1"/>
                <w:color w:val="000000"/>
                <w:sz w:val="20"/>
                <w:szCs w:val="20"/>
              </w:rPr>
            </w:pPr>
            <w:sdt>
              <w:sdtPr>
                <w:id w:val="1159192378"/>
                <w:tag w:val="goog_rdk_1"/>
              </w:sdtPr>
              <w:sdtContent>
                <w:r w:rsidDel="00000000" w:rsidR="00000000" w:rsidRPr="00000000">
                  <w:rPr>
                    <w:rFonts w:ascii="Cardo" w:cs="Cardo" w:eastAsia="Cardo" w:hAnsi="Cardo"/>
                    <w:b w:val="1"/>
                    <w:color w:val="000000"/>
                    <w:sz w:val="20"/>
                    <w:szCs w:val="20"/>
                    <w:rtl w:val="0"/>
                  </w:rPr>
                  <w:t xml:space="preserve">Source → Target</w:t>
                </w:r>
              </w:sdtContent>
            </w:sdt>
          </w:p>
        </w:tc>
        <w:tc>
          <w:tcPr>
            <w:tcBorders>
              <w:top w:color="000000" w:space="0" w:sz="4" w:val="single"/>
              <w:bottom w:color="000000" w:space="0" w:sz="4" w:val="single"/>
            </w:tcBorders>
            <w:vAlign w:val="center"/>
          </w:tcPr>
          <w:p w:rsidR="00000000" w:rsidDel="00000000" w:rsidP="00000000" w:rsidRDefault="00000000" w:rsidRPr="00000000" w14:paraId="00000063">
            <w:pPr>
              <w:jc w:val="center"/>
              <w:rPr>
                <w:b w:val="1"/>
                <w:color w:val="000000"/>
                <w:sz w:val="20"/>
                <w:szCs w:val="20"/>
              </w:rPr>
            </w:pPr>
            <w:r w:rsidDel="00000000" w:rsidR="00000000" w:rsidRPr="00000000">
              <w:rPr>
                <w:b w:val="1"/>
                <w:color w:val="000000"/>
                <w:sz w:val="20"/>
                <w:szCs w:val="20"/>
                <w:rtl w:val="0"/>
              </w:rPr>
              <w:t xml:space="preserve">FID Score</w:t>
            </w:r>
          </w:p>
        </w:tc>
        <w:tc>
          <w:tcPr>
            <w:tcBorders>
              <w:top w:color="000000" w:space="0" w:sz="4" w:val="single"/>
              <w:bottom w:color="000000" w:space="0" w:sz="4" w:val="single"/>
            </w:tcBorders>
            <w:vAlign w:val="center"/>
          </w:tcPr>
          <w:p w:rsidR="00000000" w:rsidDel="00000000" w:rsidP="00000000" w:rsidRDefault="00000000" w:rsidRPr="00000000" w14:paraId="00000064">
            <w:pPr>
              <w:jc w:val="center"/>
              <w:rPr>
                <w:b w:val="1"/>
                <w:color w:val="000000"/>
                <w:sz w:val="20"/>
                <w:szCs w:val="20"/>
              </w:rPr>
            </w:pPr>
            <w:r w:rsidDel="00000000" w:rsidR="00000000" w:rsidRPr="00000000">
              <w:rPr>
                <w:b w:val="1"/>
                <w:color w:val="000000"/>
                <w:sz w:val="20"/>
                <w:szCs w:val="20"/>
                <w:rtl w:val="0"/>
              </w:rPr>
              <w:t xml:space="preserve">Difficulty Level</w:t>
            </w:r>
          </w:p>
        </w:tc>
      </w:tr>
      <w:tr>
        <w:trPr>
          <w:cantSplit w:val="0"/>
          <w:trHeight w:val="286" w:hRule="atLeast"/>
          <w:tblHeader w:val="0"/>
        </w:trPr>
        <w:tc>
          <w:tcPr>
            <w:tcBorders>
              <w:top w:color="000000" w:space="0" w:sz="4" w:val="single"/>
            </w:tcBorders>
            <w:vAlign w:val="center"/>
          </w:tcPr>
          <w:p w:rsidR="00000000" w:rsidDel="00000000" w:rsidP="00000000" w:rsidRDefault="00000000" w:rsidRPr="00000000" w14:paraId="00000065">
            <w:pPr>
              <w:jc w:val="both"/>
              <w:rPr>
                <w:b w:val="1"/>
                <w:i w:val="1"/>
                <w:color w:val="000000"/>
                <w:sz w:val="20"/>
                <w:szCs w:val="20"/>
              </w:rPr>
            </w:pPr>
            <w:sdt>
              <w:sdtPr>
                <w:id w:val="-1418699667"/>
                <w:tag w:val="goog_rdk_2"/>
              </w:sdtPr>
              <w:sdtContent>
                <w:r w:rsidDel="00000000" w:rsidR="00000000" w:rsidRPr="00000000">
                  <w:rPr>
                    <w:rFonts w:ascii="Cardo" w:cs="Cardo" w:eastAsia="Cardo" w:hAnsi="Cardo"/>
                    <w:b w:val="1"/>
                    <w:i w:val="1"/>
                    <w:color w:val="000000"/>
                    <w:sz w:val="20"/>
                    <w:szCs w:val="20"/>
                    <w:rtl w:val="0"/>
                  </w:rPr>
                  <w:t xml:space="preserve">AID → UCMerced</w:t>
                </w:r>
              </w:sdtContent>
            </w:sdt>
          </w:p>
        </w:tc>
        <w:tc>
          <w:tcPr>
            <w:tcBorders>
              <w:top w:color="000000" w:space="0" w:sz="4" w:val="single"/>
            </w:tcBorders>
            <w:vAlign w:val="center"/>
          </w:tcPr>
          <w:p w:rsidR="00000000" w:rsidDel="00000000" w:rsidP="00000000" w:rsidRDefault="00000000" w:rsidRPr="00000000" w14:paraId="00000066">
            <w:pPr>
              <w:jc w:val="center"/>
              <w:rPr>
                <w:color w:val="000000"/>
                <w:sz w:val="20"/>
                <w:szCs w:val="20"/>
              </w:rPr>
            </w:pPr>
            <w:r w:rsidDel="00000000" w:rsidR="00000000" w:rsidRPr="00000000">
              <w:rPr>
                <w:color w:val="000000"/>
                <w:sz w:val="20"/>
                <w:szCs w:val="20"/>
                <w:rtl w:val="0"/>
              </w:rPr>
              <w:t xml:space="preserve">296.53</w:t>
            </w:r>
          </w:p>
        </w:tc>
        <w:tc>
          <w:tcPr>
            <w:tcBorders>
              <w:top w:color="000000" w:space="0" w:sz="4" w:val="single"/>
            </w:tcBorders>
            <w:vAlign w:val="center"/>
          </w:tcPr>
          <w:p w:rsidR="00000000" w:rsidDel="00000000" w:rsidP="00000000" w:rsidRDefault="00000000" w:rsidRPr="00000000" w14:paraId="00000067">
            <w:pPr>
              <w:jc w:val="center"/>
              <w:rPr>
                <w:b w:val="1"/>
                <w:color w:val="000000"/>
                <w:sz w:val="20"/>
                <w:szCs w:val="20"/>
              </w:rPr>
            </w:pPr>
            <w:r w:rsidDel="00000000" w:rsidR="00000000" w:rsidRPr="00000000">
              <w:rPr>
                <w:b w:val="1"/>
                <w:color w:val="000000"/>
                <w:sz w:val="20"/>
                <w:szCs w:val="20"/>
                <w:rtl w:val="0"/>
              </w:rPr>
              <w:t xml:space="preserve">Hard</w:t>
            </w:r>
          </w:p>
        </w:tc>
      </w:tr>
      <w:tr>
        <w:trPr>
          <w:cantSplit w:val="0"/>
          <w:trHeight w:val="286" w:hRule="atLeast"/>
          <w:tblHeader w:val="0"/>
        </w:trPr>
        <w:tc>
          <w:tcPr>
            <w:vAlign w:val="center"/>
          </w:tcPr>
          <w:p w:rsidR="00000000" w:rsidDel="00000000" w:rsidP="00000000" w:rsidRDefault="00000000" w:rsidRPr="00000000" w14:paraId="00000068">
            <w:pPr>
              <w:jc w:val="both"/>
              <w:rPr>
                <w:b w:val="1"/>
                <w:i w:val="1"/>
                <w:color w:val="000000"/>
                <w:sz w:val="20"/>
                <w:szCs w:val="20"/>
              </w:rPr>
            </w:pPr>
            <w:sdt>
              <w:sdtPr>
                <w:id w:val="1117757818"/>
                <w:tag w:val="goog_rdk_3"/>
              </w:sdtPr>
              <w:sdtContent>
                <w:r w:rsidDel="00000000" w:rsidR="00000000" w:rsidRPr="00000000">
                  <w:rPr>
                    <w:rFonts w:ascii="Cardo" w:cs="Cardo" w:eastAsia="Cardo" w:hAnsi="Cardo"/>
                    <w:b w:val="1"/>
                    <w:i w:val="1"/>
                    <w:color w:val="000000"/>
                    <w:sz w:val="20"/>
                    <w:szCs w:val="20"/>
                    <w:rtl w:val="0"/>
                  </w:rPr>
                  <w:t xml:space="preserve">UCMerced → NWPU</w:t>
                </w:r>
              </w:sdtContent>
            </w:sdt>
          </w:p>
        </w:tc>
        <w:tc>
          <w:tcPr>
            <w:vAlign w:val="center"/>
          </w:tcPr>
          <w:p w:rsidR="00000000" w:rsidDel="00000000" w:rsidP="00000000" w:rsidRDefault="00000000" w:rsidRPr="00000000" w14:paraId="00000069">
            <w:pPr>
              <w:jc w:val="center"/>
              <w:rPr>
                <w:color w:val="000000"/>
                <w:sz w:val="20"/>
                <w:szCs w:val="20"/>
              </w:rPr>
            </w:pPr>
            <w:r w:rsidDel="00000000" w:rsidR="00000000" w:rsidRPr="00000000">
              <w:rPr>
                <w:color w:val="000000"/>
                <w:sz w:val="20"/>
                <w:szCs w:val="20"/>
                <w:rtl w:val="0"/>
              </w:rPr>
              <w:t xml:space="preserve">252.68</w:t>
            </w:r>
          </w:p>
        </w:tc>
        <w:tc>
          <w:tcPr>
            <w:vAlign w:val="center"/>
          </w:tcPr>
          <w:p w:rsidR="00000000" w:rsidDel="00000000" w:rsidP="00000000" w:rsidRDefault="00000000" w:rsidRPr="00000000" w14:paraId="0000006A">
            <w:pPr>
              <w:jc w:val="center"/>
              <w:rPr>
                <w:color w:val="000000"/>
                <w:sz w:val="20"/>
                <w:szCs w:val="20"/>
              </w:rPr>
            </w:pPr>
            <w:r w:rsidDel="00000000" w:rsidR="00000000" w:rsidRPr="00000000">
              <w:rPr>
                <w:color w:val="000000"/>
                <w:sz w:val="20"/>
                <w:szCs w:val="20"/>
                <w:rtl w:val="0"/>
              </w:rPr>
              <w:t xml:space="preserve">Hard</w:t>
            </w:r>
          </w:p>
        </w:tc>
      </w:tr>
      <w:tr>
        <w:trPr>
          <w:cantSplit w:val="0"/>
          <w:trHeight w:val="286" w:hRule="atLeast"/>
          <w:tblHeader w:val="0"/>
        </w:trPr>
        <w:tc>
          <w:tcPr>
            <w:vAlign w:val="center"/>
          </w:tcPr>
          <w:p w:rsidR="00000000" w:rsidDel="00000000" w:rsidP="00000000" w:rsidRDefault="00000000" w:rsidRPr="00000000" w14:paraId="0000006B">
            <w:pPr>
              <w:jc w:val="both"/>
              <w:rPr>
                <w:b w:val="1"/>
                <w:i w:val="1"/>
                <w:color w:val="000000"/>
                <w:sz w:val="20"/>
                <w:szCs w:val="20"/>
              </w:rPr>
            </w:pPr>
            <w:sdt>
              <w:sdtPr>
                <w:id w:val="-1768177561"/>
                <w:tag w:val="goog_rdk_4"/>
              </w:sdtPr>
              <w:sdtContent>
                <w:r w:rsidDel="00000000" w:rsidR="00000000" w:rsidRPr="00000000">
                  <w:rPr>
                    <w:rFonts w:ascii="Cardo" w:cs="Cardo" w:eastAsia="Cardo" w:hAnsi="Cardo"/>
                    <w:b w:val="1"/>
                    <w:i w:val="1"/>
                    <w:color w:val="000000"/>
                    <w:sz w:val="20"/>
                    <w:szCs w:val="20"/>
                    <w:rtl w:val="0"/>
                  </w:rPr>
                  <w:t xml:space="preserve">PatternNet → AID</w:t>
                </w:r>
              </w:sdtContent>
            </w:sdt>
          </w:p>
        </w:tc>
        <w:tc>
          <w:tcPr>
            <w:vAlign w:val="center"/>
          </w:tcPr>
          <w:p w:rsidR="00000000" w:rsidDel="00000000" w:rsidP="00000000" w:rsidRDefault="00000000" w:rsidRPr="00000000" w14:paraId="0000006C">
            <w:pPr>
              <w:jc w:val="center"/>
              <w:rPr>
                <w:color w:val="000000"/>
                <w:sz w:val="20"/>
                <w:szCs w:val="20"/>
              </w:rPr>
            </w:pPr>
            <w:r w:rsidDel="00000000" w:rsidR="00000000" w:rsidRPr="00000000">
              <w:rPr>
                <w:color w:val="000000"/>
                <w:sz w:val="20"/>
                <w:szCs w:val="20"/>
                <w:rtl w:val="0"/>
              </w:rPr>
              <w:t xml:space="preserve">242.45</w:t>
            </w:r>
          </w:p>
        </w:tc>
        <w:tc>
          <w:tcPr>
            <w:vAlign w:val="center"/>
          </w:tcPr>
          <w:p w:rsidR="00000000" w:rsidDel="00000000" w:rsidP="00000000" w:rsidRDefault="00000000" w:rsidRPr="00000000" w14:paraId="0000006D">
            <w:pPr>
              <w:jc w:val="center"/>
              <w:rPr>
                <w:color w:val="000000"/>
                <w:sz w:val="20"/>
                <w:szCs w:val="20"/>
              </w:rPr>
            </w:pPr>
            <w:r w:rsidDel="00000000" w:rsidR="00000000" w:rsidRPr="00000000">
              <w:rPr>
                <w:color w:val="000000"/>
                <w:sz w:val="20"/>
                <w:szCs w:val="20"/>
                <w:rtl w:val="0"/>
              </w:rPr>
              <w:t xml:space="preserve">Hard</w:t>
            </w:r>
          </w:p>
        </w:tc>
      </w:tr>
      <w:tr>
        <w:trPr>
          <w:cantSplit w:val="0"/>
          <w:trHeight w:val="286" w:hRule="atLeast"/>
          <w:tblHeader w:val="0"/>
        </w:trPr>
        <w:tc>
          <w:tcPr>
            <w:vAlign w:val="center"/>
          </w:tcPr>
          <w:p w:rsidR="00000000" w:rsidDel="00000000" w:rsidP="00000000" w:rsidRDefault="00000000" w:rsidRPr="00000000" w14:paraId="0000006E">
            <w:pPr>
              <w:jc w:val="both"/>
              <w:rPr>
                <w:b w:val="1"/>
                <w:i w:val="1"/>
                <w:color w:val="000000"/>
                <w:sz w:val="20"/>
                <w:szCs w:val="20"/>
              </w:rPr>
            </w:pPr>
            <w:sdt>
              <w:sdtPr>
                <w:id w:val="-1267333382"/>
                <w:tag w:val="goog_rdk_5"/>
              </w:sdtPr>
              <w:sdtContent>
                <w:r w:rsidDel="00000000" w:rsidR="00000000" w:rsidRPr="00000000">
                  <w:rPr>
                    <w:rFonts w:ascii="Cardo" w:cs="Cardo" w:eastAsia="Cardo" w:hAnsi="Cardo"/>
                    <w:b w:val="1"/>
                    <w:i w:val="1"/>
                    <w:color w:val="000000"/>
                    <w:sz w:val="20"/>
                    <w:szCs w:val="20"/>
                    <w:rtl w:val="0"/>
                  </w:rPr>
                  <w:t xml:space="preserve">PatternNet → UCMerced</w:t>
                </w:r>
              </w:sdtContent>
            </w:sdt>
          </w:p>
        </w:tc>
        <w:tc>
          <w:tcPr>
            <w:vAlign w:val="center"/>
          </w:tcPr>
          <w:p w:rsidR="00000000" w:rsidDel="00000000" w:rsidP="00000000" w:rsidRDefault="00000000" w:rsidRPr="00000000" w14:paraId="0000006F">
            <w:pPr>
              <w:jc w:val="center"/>
              <w:rPr>
                <w:color w:val="000000"/>
                <w:sz w:val="20"/>
                <w:szCs w:val="20"/>
              </w:rPr>
            </w:pPr>
            <w:r w:rsidDel="00000000" w:rsidR="00000000" w:rsidRPr="00000000">
              <w:rPr>
                <w:color w:val="000000"/>
                <w:sz w:val="20"/>
                <w:szCs w:val="20"/>
                <w:rtl w:val="0"/>
              </w:rPr>
              <w:t xml:space="preserve">212.71</w:t>
            </w:r>
          </w:p>
        </w:tc>
        <w:tc>
          <w:tcPr>
            <w:vAlign w:val="center"/>
          </w:tcPr>
          <w:p w:rsidR="00000000" w:rsidDel="00000000" w:rsidP="00000000" w:rsidRDefault="00000000" w:rsidRPr="00000000" w14:paraId="00000070">
            <w:pPr>
              <w:jc w:val="center"/>
              <w:rPr>
                <w:color w:val="000000"/>
                <w:sz w:val="20"/>
                <w:szCs w:val="20"/>
              </w:rPr>
            </w:pPr>
            <w:r w:rsidDel="00000000" w:rsidR="00000000" w:rsidRPr="00000000">
              <w:rPr>
                <w:color w:val="000000"/>
                <w:sz w:val="20"/>
                <w:szCs w:val="20"/>
                <w:rtl w:val="0"/>
              </w:rPr>
              <w:t xml:space="preserve">Medium</w:t>
            </w:r>
          </w:p>
        </w:tc>
      </w:tr>
      <w:tr>
        <w:trPr>
          <w:cantSplit w:val="0"/>
          <w:trHeight w:val="286" w:hRule="atLeast"/>
          <w:tblHeader w:val="0"/>
        </w:trPr>
        <w:tc>
          <w:tcPr>
            <w:vAlign w:val="center"/>
          </w:tcPr>
          <w:p w:rsidR="00000000" w:rsidDel="00000000" w:rsidP="00000000" w:rsidRDefault="00000000" w:rsidRPr="00000000" w14:paraId="00000071">
            <w:pPr>
              <w:jc w:val="both"/>
              <w:rPr>
                <w:b w:val="1"/>
                <w:i w:val="1"/>
                <w:color w:val="000000"/>
                <w:sz w:val="20"/>
                <w:szCs w:val="20"/>
              </w:rPr>
            </w:pPr>
            <w:sdt>
              <w:sdtPr>
                <w:id w:val="-1845130999"/>
                <w:tag w:val="goog_rdk_6"/>
              </w:sdtPr>
              <w:sdtContent>
                <w:r w:rsidDel="00000000" w:rsidR="00000000" w:rsidRPr="00000000">
                  <w:rPr>
                    <w:rFonts w:ascii="Cardo" w:cs="Cardo" w:eastAsia="Cardo" w:hAnsi="Cardo"/>
                    <w:b w:val="1"/>
                    <w:i w:val="1"/>
                    <w:color w:val="000000"/>
                    <w:sz w:val="20"/>
                    <w:szCs w:val="20"/>
                    <w:rtl w:val="0"/>
                  </w:rPr>
                  <w:t xml:space="preserve">NWPU → PatternNet</w:t>
                </w:r>
              </w:sdtContent>
            </w:sdt>
          </w:p>
        </w:tc>
        <w:tc>
          <w:tcPr>
            <w:vAlign w:val="center"/>
          </w:tcPr>
          <w:p w:rsidR="00000000" w:rsidDel="00000000" w:rsidP="00000000" w:rsidRDefault="00000000" w:rsidRPr="00000000" w14:paraId="00000072">
            <w:pPr>
              <w:jc w:val="center"/>
              <w:rPr>
                <w:color w:val="000000"/>
                <w:sz w:val="20"/>
                <w:szCs w:val="20"/>
              </w:rPr>
            </w:pPr>
            <w:r w:rsidDel="00000000" w:rsidR="00000000" w:rsidRPr="00000000">
              <w:rPr>
                <w:color w:val="000000"/>
                <w:sz w:val="20"/>
                <w:szCs w:val="20"/>
                <w:rtl w:val="0"/>
              </w:rPr>
              <w:t xml:space="preserve">165.68</w:t>
            </w:r>
          </w:p>
        </w:tc>
        <w:tc>
          <w:tcPr>
            <w:vAlign w:val="center"/>
          </w:tcPr>
          <w:p w:rsidR="00000000" w:rsidDel="00000000" w:rsidP="00000000" w:rsidRDefault="00000000" w:rsidRPr="00000000" w14:paraId="00000073">
            <w:pPr>
              <w:jc w:val="center"/>
              <w:rPr>
                <w:color w:val="000000"/>
                <w:sz w:val="20"/>
                <w:szCs w:val="20"/>
              </w:rPr>
            </w:pPr>
            <w:r w:rsidDel="00000000" w:rsidR="00000000" w:rsidRPr="00000000">
              <w:rPr>
                <w:color w:val="000000"/>
                <w:sz w:val="20"/>
                <w:szCs w:val="20"/>
                <w:rtl w:val="0"/>
              </w:rPr>
              <w:t xml:space="preserve">Medium</w:t>
            </w:r>
          </w:p>
        </w:tc>
      </w:tr>
      <w:tr>
        <w:trPr>
          <w:cantSplit w:val="0"/>
          <w:trHeight w:val="286" w:hRule="atLeast"/>
          <w:tblHeader w:val="0"/>
        </w:trPr>
        <w:tc>
          <w:tcPr>
            <w:tcBorders>
              <w:bottom w:color="000000" w:space="0" w:sz="4" w:val="single"/>
            </w:tcBorders>
            <w:vAlign w:val="center"/>
          </w:tcPr>
          <w:p w:rsidR="00000000" w:rsidDel="00000000" w:rsidP="00000000" w:rsidRDefault="00000000" w:rsidRPr="00000000" w14:paraId="00000074">
            <w:pPr>
              <w:jc w:val="both"/>
              <w:rPr>
                <w:b w:val="1"/>
                <w:i w:val="1"/>
                <w:color w:val="000000"/>
                <w:sz w:val="20"/>
                <w:szCs w:val="20"/>
              </w:rPr>
            </w:pPr>
            <w:sdt>
              <w:sdtPr>
                <w:id w:val="-1699669645"/>
                <w:tag w:val="goog_rdk_7"/>
              </w:sdtPr>
              <w:sdtContent>
                <w:r w:rsidDel="00000000" w:rsidR="00000000" w:rsidRPr="00000000">
                  <w:rPr>
                    <w:rFonts w:ascii="Cardo" w:cs="Cardo" w:eastAsia="Cardo" w:hAnsi="Cardo"/>
                    <w:b w:val="1"/>
                    <w:i w:val="1"/>
                    <w:color w:val="000000"/>
                    <w:sz w:val="20"/>
                    <w:szCs w:val="20"/>
                    <w:rtl w:val="0"/>
                  </w:rPr>
                  <w:t xml:space="preserve">NWPU → AID</w:t>
                </w:r>
              </w:sdtContent>
            </w:sdt>
          </w:p>
        </w:tc>
        <w:tc>
          <w:tcPr>
            <w:tcBorders>
              <w:bottom w:color="000000" w:space="0" w:sz="4" w:val="single"/>
            </w:tcBorders>
            <w:vAlign w:val="center"/>
          </w:tcPr>
          <w:p w:rsidR="00000000" w:rsidDel="00000000" w:rsidP="00000000" w:rsidRDefault="00000000" w:rsidRPr="00000000" w14:paraId="00000075">
            <w:pPr>
              <w:jc w:val="center"/>
              <w:rPr>
                <w:color w:val="000000"/>
                <w:sz w:val="20"/>
                <w:szCs w:val="20"/>
              </w:rPr>
            </w:pPr>
            <w:r w:rsidDel="00000000" w:rsidR="00000000" w:rsidRPr="00000000">
              <w:rPr>
                <w:color w:val="000000"/>
                <w:sz w:val="20"/>
                <w:szCs w:val="20"/>
                <w:rtl w:val="0"/>
              </w:rPr>
              <w:t xml:space="preserve">136.06</w:t>
            </w:r>
          </w:p>
        </w:tc>
        <w:tc>
          <w:tcPr>
            <w:tcBorders>
              <w:bottom w:color="000000" w:space="0" w:sz="4" w:val="single"/>
            </w:tcBorders>
            <w:vAlign w:val="center"/>
          </w:tcPr>
          <w:p w:rsidR="00000000" w:rsidDel="00000000" w:rsidP="00000000" w:rsidRDefault="00000000" w:rsidRPr="00000000" w14:paraId="00000076">
            <w:pPr>
              <w:jc w:val="center"/>
              <w:rPr>
                <w:b w:val="1"/>
                <w:color w:val="000000"/>
                <w:sz w:val="20"/>
                <w:szCs w:val="20"/>
              </w:rPr>
            </w:pPr>
            <w:r w:rsidDel="00000000" w:rsidR="00000000" w:rsidRPr="00000000">
              <w:rPr>
                <w:b w:val="1"/>
                <w:color w:val="000000"/>
                <w:sz w:val="20"/>
                <w:szCs w:val="20"/>
                <w:rtl w:val="0"/>
              </w:rPr>
              <w:t xml:space="preserve">Easy</w:t>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20" w:lineRule="auto"/>
        <w:jc w:val="center"/>
        <w:rPr>
          <w:color w:val="000000"/>
          <w:sz w:val="18"/>
          <w:szCs w:val="18"/>
        </w:rPr>
      </w:pPr>
      <w:r w:rsidDel="00000000" w:rsidR="00000000" w:rsidRPr="00000000">
        <w:rPr>
          <w:rtl w:val="0"/>
        </w:rPr>
      </w:r>
    </w:p>
    <w:p w:rsidR="00000000" w:rsidDel="00000000" w:rsidP="00000000" w:rsidRDefault="00000000" w:rsidRPr="00000000" w14:paraId="00000078">
      <w:pPr>
        <w:widowControl w:val="0"/>
        <w:spacing w:line="276" w:lineRule="auto"/>
        <w:jc w:val="center"/>
        <w:rPr/>
      </w:pPr>
      <w:r w:rsidDel="00000000" w:rsidR="00000000" w:rsidRPr="00000000">
        <w:rPr>
          <w:b w:val="1"/>
          <w:rtl w:val="0"/>
        </w:rPr>
        <w:t xml:space="preserve">METHODOLOGY</w:t>
      </w:r>
      <w:r w:rsidDel="00000000" w:rsidR="00000000" w:rsidRPr="00000000">
        <w:rPr>
          <w:rtl w:val="0"/>
        </w:rPr>
      </w:r>
    </w:p>
    <w:p w:rsidR="00000000" w:rsidDel="00000000" w:rsidP="00000000" w:rsidRDefault="00000000" w:rsidRPr="00000000" w14:paraId="00000079">
      <w:pPr>
        <w:pStyle w:val="Heading2"/>
        <w:rPr/>
      </w:pPr>
      <w:r w:rsidDel="00000000" w:rsidR="00000000" w:rsidRPr="00000000">
        <w:rPr>
          <w:rtl w:val="0"/>
        </w:rPr>
        <w:t xml:space="preserve">A. Problem Setup</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Let the labeled source domain be: </w:t>
      </w:r>
      <m:oMath>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D</m:t>
            </m:r>
          </m:e>
          <m:sub>
            <m:r>
              <w:rPr>
                <w:rFonts w:ascii="Cambria Math" w:cs="Cambria Math" w:eastAsia="Cambria Math" w:hAnsi="Cambria Math"/>
                <w:color w:val="000000"/>
                <w:sz w:val="20"/>
                <w:szCs w:val="20"/>
              </w:rPr>
              <m:t xml:space="preserve">s</m:t>
            </m:r>
          </m:sub>
        </m:sSub>
        <m:r>
          <w:rPr>
            <w:rFonts w:ascii="Cambria Math" w:cs="Cambria Math" w:eastAsia="Cambria Math" w:hAnsi="Cambria Math"/>
            <w:color w:val="000000"/>
            <w:sz w:val="20"/>
            <w:szCs w:val="20"/>
          </w:rPr>
          <m:t xml:space="preserve">=</m:t>
        </m:r>
        <m:sSubSup>
          <m:sSubSupPr>
            <m:ctrlPr>
              <w:rPr>
                <w:rFonts w:ascii="Cambria Math" w:cs="Cambria Math" w:eastAsia="Cambria Math" w:hAnsi="Cambria Math"/>
                <w:color w:val="000000"/>
                <w:sz w:val="20"/>
                <w:szCs w:val="20"/>
              </w:rPr>
            </m:ctrlPr>
          </m:sSubSupPr>
          <m:e>
            <m:r>
              <w:rPr>
                <w:rFonts w:ascii="Cambria Math" w:cs="Cambria Math" w:eastAsia="Cambria Math" w:hAnsi="Cambria Math"/>
                <w:color w:val="000000"/>
                <w:sz w:val="20"/>
                <w:szCs w:val="20"/>
              </w:rPr>
              <m:t xml:space="preserve">{</m:t>
            </m:r>
            <m:d>
              <m:dPr>
                <m:begChr m:val="("/>
                <m:endChr m:val=")"/>
                <m:ctrlPr>
                  <w:rPr>
                    <w:rFonts w:ascii="Cambria Math" w:cs="Cambria Math" w:eastAsia="Cambria Math" w:hAnsi="Cambria Math"/>
                    <w:color w:val="000000"/>
                    <w:sz w:val="20"/>
                    <w:szCs w:val="20"/>
                  </w:rPr>
                </m:ctrlPr>
              </m:dPr>
              <m:e>
                <m:sSubSup>
                  <m:sSubSupPr>
                    <m:ctrlPr>
                      <w:rPr>
                        <w:rFonts w:ascii="Cambria Math" w:cs="Cambria Math" w:eastAsia="Cambria Math" w:hAnsi="Cambria Math"/>
                        <w:color w:val="000000"/>
                        <w:sz w:val="20"/>
                        <w:szCs w:val="20"/>
                      </w:rPr>
                    </m:ctrlPr>
                  </m:sSubSupPr>
                  <m:e>
                    <m:r>
                      <w:rPr>
                        <w:rFonts w:ascii="Cambria Math" w:cs="Cambria Math" w:eastAsia="Cambria Math" w:hAnsi="Cambria Math"/>
                        <w:color w:val="000000"/>
                        <w:sz w:val="20"/>
                        <w:szCs w:val="20"/>
                      </w:rPr>
                      <m:t xml:space="preserve">x</m:t>
                    </m:r>
                  </m:e>
                  <m:sub>
                    <m:r>
                      <w:rPr>
                        <w:rFonts w:ascii="Cambria Math" w:cs="Cambria Math" w:eastAsia="Cambria Math" w:hAnsi="Cambria Math"/>
                        <w:color w:val="000000"/>
                        <w:sz w:val="20"/>
                        <w:szCs w:val="20"/>
                      </w:rPr>
                      <m:t xml:space="preserve">i</m:t>
                    </m:r>
                  </m:sub>
                  <m:sup>
                    <m:r>
                      <w:rPr>
                        <w:rFonts w:ascii="Cambria Math" w:cs="Cambria Math" w:eastAsia="Cambria Math" w:hAnsi="Cambria Math"/>
                        <w:color w:val="000000"/>
                        <w:sz w:val="20"/>
                        <w:szCs w:val="20"/>
                      </w:rPr>
                      <m:t xml:space="preserve">s</m:t>
                    </m:r>
                  </m:sup>
                </m:sSubSup>
                <m:r>
                  <w:rPr>
                    <w:rFonts w:ascii="Cambria Math" w:cs="Cambria Math" w:eastAsia="Cambria Math" w:hAnsi="Cambria Math"/>
                    <w:color w:val="000000"/>
                    <w:sz w:val="20"/>
                    <w:szCs w:val="20"/>
                  </w:rPr>
                  <m:t xml:space="preserve">,</m:t>
                </m:r>
                <m:sSubSup>
                  <m:sSubSupPr>
                    <m:ctrlPr>
                      <w:rPr>
                        <w:rFonts w:ascii="Cambria Math" w:cs="Cambria Math" w:eastAsia="Cambria Math" w:hAnsi="Cambria Math"/>
                        <w:color w:val="000000"/>
                        <w:sz w:val="20"/>
                        <w:szCs w:val="20"/>
                      </w:rPr>
                    </m:ctrlPr>
                  </m:sSubSupPr>
                  <m:e>
                    <m:r>
                      <w:rPr>
                        <w:rFonts w:ascii="Cambria Math" w:cs="Cambria Math" w:eastAsia="Cambria Math" w:hAnsi="Cambria Math"/>
                        <w:color w:val="000000"/>
                        <w:sz w:val="20"/>
                        <w:szCs w:val="20"/>
                      </w:rPr>
                      <m:t xml:space="preserve">y</m:t>
                    </m:r>
                  </m:e>
                  <m:sub>
                    <m:r>
                      <w:rPr>
                        <w:rFonts w:ascii="Cambria Math" w:cs="Cambria Math" w:eastAsia="Cambria Math" w:hAnsi="Cambria Math"/>
                        <w:color w:val="000000"/>
                        <w:sz w:val="20"/>
                        <w:szCs w:val="20"/>
                      </w:rPr>
                      <m:t xml:space="preserve">i</m:t>
                    </m:r>
                  </m:sub>
                  <m:sup>
                    <m:r>
                      <w:rPr>
                        <w:rFonts w:ascii="Cambria Math" w:cs="Cambria Math" w:eastAsia="Cambria Math" w:hAnsi="Cambria Math"/>
                        <w:color w:val="000000"/>
                        <w:sz w:val="20"/>
                        <w:szCs w:val="20"/>
                      </w:rPr>
                      <m:t xml:space="preserve">s</m:t>
                    </m:r>
                  </m:sup>
                </m:sSubSup>
              </m:e>
            </m:d>
            <m:r>
              <w:rPr>
                <w:rFonts w:ascii="Cambria Math" w:cs="Cambria Math" w:eastAsia="Cambria Math" w:hAnsi="Cambria Math"/>
                <w:color w:val="000000"/>
                <w:sz w:val="20"/>
                <w:szCs w:val="20"/>
              </w:rPr>
              <m:t xml:space="preserve">}</m:t>
            </m:r>
          </m:e>
          <m:sub>
            <m:r>
              <w:rPr>
                <w:rFonts w:ascii="Cambria Math" w:cs="Cambria Math" w:eastAsia="Cambria Math" w:hAnsi="Cambria Math"/>
                <w:color w:val="000000"/>
                <w:sz w:val="20"/>
                <w:szCs w:val="20"/>
              </w:rPr>
              <m:t xml:space="preserve">i=1</m:t>
            </m:r>
          </m:sub>
          <m:sup>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N</m:t>
                </m:r>
              </m:e>
              <m:sub>
                <m:r>
                  <w:rPr>
                    <w:rFonts w:ascii="Cambria Math" w:cs="Cambria Math" w:eastAsia="Cambria Math" w:hAnsi="Cambria Math"/>
                    <w:color w:val="000000"/>
                    <w:sz w:val="20"/>
                    <w:szCs w:val="20"/>
                  </w:rPr>
                  <m:t xml:space="preserve">s</m:t>
                </m:r>
              </m:sub>
            </m:sSub>
          </m:sup>
        </m:sSubSup>
      </m:oMath>
      <w:r w:rsidDel="00000000" w:rsidR="00000000" w:rsidRPr="00000000">
        <w:rPr>
          <w:color w:val="000000"/>
          <w:sz w:val="20"/>
          <w:szCs w:val="20"/>
          <w:rtl w:val="0"/>
        </w:rPr>
        <w:t xml:space="preserve"> , and the unlabeled target domain be: </w:t>
      </w:r>
      <m:oMath>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D</m:t>
            </m:r>
          </m:e>
          <m:sub>
            <m:r>
              <w:rPr>
                <w:rFonts w:ascii="Cambria Math" w:cs="Cambria Math" w:eastAsia="Cambria Math" w:hAnsi="Cambria Math"/>
                <w:color w:val="000000"/>
                <w:sz w:val="20"/>
                <w:szCs w:val="20"/>
              </w:rPr>
              <m:t xml:space="preserve">t</m:t>
            </m:r>
          </m:sub>
        </m:sSub>
        <m:r>
          <w:rPr>
            <w:rFonts w:ascii="Cambria Math" w:cs="Cambria Math" w:eastAsia="Cambria Math" w:hAnsi="Cambria Math"/>
            <w:color w:val="000000"/>
            <w:sz w:val="20"/>
            <w:szCs w:val="20"/>
          </w:rPr>
          <m:t xml:space="preserve">=</m:t>
        </m:r>
        <m:sSubSup>
          <m:sSubSupPr>
            <m:ctrlPr>
              <w:rPr>
                <w:rFonts w:ascii="Cambria Math" w:cs="Cambria Math" w:eastAsia="Cambria Math" w:hAnsi="Cambria Math"/>
                <w:color w:val="000000"/>
                <w:sz w:val="20"/>
                <w:szCs w:val="20"/>
              </w:rPr>
            </m:ctrlPr>
          </m:sSubSupPr>
          <m:e>
            <m:r>
              <w:rPr>
                <w:rFonts w:ascii="Cambria Math" w:cs="Cambria Math" w:eastAsia="Cambria Math" w:hAnsi="Cambria Math"/>
                <w:color w:val="000000"/>
                <w:sz w:val="20"/>
                <w:szCs w:val="20"/>
              </w:rPr>
              <m:t xml:space="preserve">{</m:t>
            </m:r>
            <m:d>
              <m:dPr>
                <m:begChr m:val="("/>
                <m:endChr m:val=")"/>
                <m:ctrlPr>
                  <w:rPr>
                    <w:rFonts w:ascii="Cambria Math" w:cs="Cambria Math" w:eastAsia="Cambria Math" w:hAnsi="Cambria Math"/>
                    <w:color w:val="000000"/>
                    <w:sz w:val="20"/>
                    <w:szCs w:val="20"/>
                  </w:rPr>
                </m:ctrlPr>
              </m:dPr>
              <m:e>
                <m:sSubSup>
                  <m:sSubSupPr>
                    <m:ctrlPr>
                      <w:rPr>
                        <w:rFonts w:ascii="Cambria Math" w:cs="Cambria Math" w:eastAsia="Cambria Math" w:hAnsi="Cambria Math"/>
                        <w:color w:val="000000"/>
                        <w:sz w:val="20"/>
                        <w:szCs w:val="20"/>
                      </w:rPr>
                    </m:ctrlPr>
                  </m:sSubSupPr>
                  <m:e>
                    <m:r>
                      <w:rPr>
                        <w:rFonts w:ascii="Cambria Math" w:cs="Cambria Math" w:eastAsia="Cambria Math" w:hAnsi="Cambria Math"/>
                        <w:color w:val="000000"/>
                        <w:sz w:val="20"/>
                        <w:szCs w:val="20"/>
                      </w:rPr>
                      <m:t xml:space="preserve">x</m:t>
                    </m:r>
                  </m:e>
                  <m:sub>
                    <m:r>
                      <w:rPr>
                        <w:rFonts w:ascii="Cambria Math" w:cs="Cambria Math" w:eastAsia="Cambria Math" w:hAnsi="Cambria Math"/>
                        <w:color w:val="000000"/>
                        <w:sz w:val="20"/>
                        <w:szCs w:val="20"/>
                      </w:rPr>
                      <m:t xml:space="preserve">j</m:t>
                    </m:r>
                  </m:sub>
                  <m:sup>
                    <m:r>
                      <w:rPr>
                        <w:rFonts w:ascii="Cambria Math" w:cs="Cambria Math" w:eastAsia="Cambria Math" w:hAnsi="Cambria Math"/>
                        <w:color w:val="000000"/>
                        <w:sz w:val="20"/>
                        <w:szCs w:val="20"/>
                      </w:rPr>
                      <m:t xml:space="preserve">t</m:t>
                    </m:r>
                  </m:sup>
                </m:sSubSup>
              </m:e>
            </m:d>
            <m:r>
              <w:rPr>
                <w:rFonts w:ascii="Cambria Math" w:cs="Cambria Math" w:eastAsia="Cambria Math" w:hAnsi="Cambria Math"/>
                <w:color w:val="000000"/>
                <w:sz w:val="20"/>
                <w:szCs w:val="20"/>
              </w:rPr>
              <m:t xml:space="preserve">}</m:t>
            </m:r>
          </m:e>
          <m:sub>
            <m:r>
              <w:rPr>
                <w:rFonts w:ascii="Cambria Math" w:cs="Cambria Math" w:eastAsia="Cambria Math" w:hAnsi="Cambria Math"/>
                <w:color w:val="000000"/>
                <w:sz w:val="20"/>
                <w:szCs w:val="20"/>
              </w:rPr>
              <m:t xml:space="preserve">j=1</m:t>
            </m:r>
          </m:sub>
          <m:sup>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N</m:t>
                </m:r>
              </m:e>
              <m:sub>
                <m:r>
                  <w:rPr>
                    <w:rFonts w:ascii="Cambria Math" w:cs="Cambria Math" w:eastAsia="Cambria Math" w:hAnsi="Cambria Math"/>
                    <w:color w:val="000000"/>
                    <w:sz w:val="20"/>
                    <w:szCs w:val="20"/>
                  </w:rPr>
                  <m:t xml:space="preserve">t</m:t>
                </m:r>
              </m:sub>
            </m:sSub>
          </m:sup>
        </m:sSubSup>
      </m:oMath>
      <w:r w:rsidDel="00000000" w:rsidR="00000000" w:rsidRPr="00000000">
        <w:rPr>
          <w:color w:val="000000"/>
          <w:sz w:val="20"/>
          <w:szCs w:val="20"/>
          <w:rtl w:val="0"/>
        </w:rPr>
        <w:t xml:space="preserve">. The task is to optimize a classifier using </w:t>
      </w:r>
      <m:oMath>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D</m:t>
            </m:r>
          </m:e>
          <m:sub>
            <m:r>
              <w:rPr>
                <w:rFonts w:ascii="Cambria Math" w:cs="Cambria Math" w:eastAsia="Cambria Math" w:hAnsi="Cambria Math"/>
                <w:color w:val="000000"/>
                <w:sz w:val="20"/>
                <w:szCs w:val="20"/>
              </w:rPr>
              <m:t xml:space="preserve">s</m:t>
            </m:r>
          </m:sub>
        </m:sSub>
        <m:r>
          <w:rPr>
            <w:rFonts w:ascii="Cambria Math" w:cs="Cambria Math" w:eastAsia="Cambria Math" w:hAnsi="Cambria Math"/>
            <w:color w:val="000000"/>
            <w:sz w:val="20"/>
            <w:szCs w:val="20"/>
          </w:rPr>
          <m:t xml:space="preserve"> </m:t>
        </m:r>
      </m:oMath>
      <w:r w:rsidDel="00000000" w:rsidR="00000000" w:rsidRPr="00000000">
        <w:rPr>
          <w:color w:val="000000"/>
          <w:sz w:val="20"/>
          <w:szCs w:val="20"/>
          <w:rtl w:val="0"/>
        </w:rPr>
        <w:t xml:space="preserve">that performs effectively on </w:t>
      </w:r>
      <m:oMath>
        <m:sSub>
          <m:sSubPr>
            <m:ctrlPr>
              <w:rPr>
                <w:rFonts w:ascii="Cambria Math" w:cs="Cambria Math" w:eastAsia="Cambria Math" w:hAnsi="Cambria Math"/>
                <w:color w:val="000000"/>
                <w:sz w:val="20"/>
                <w:szCs w:val="20"/>
              </w:rPr>
            </m:ctrlPr>
          </m:sSubPr>
          <m:e>
            <m:r>
              <w:rPr>
                <w:rFonts w:ascii="Cambria Math" w:cs="Cambria Math" w:eastAsia="Cambria Math" w:hAnsi="Cambria Math"/>
                <w:color w:val="000000"/>
                <w:sz w:val="20"/>
                <w:szCs w:val="20"/>
              </w:rPr>
              <m:t xml:space="preserve">D</m:t>
            </m:r>
          </m:e>
          <m:sub>
            <m:r>
              <w:rPr>
                <w:rFonts w:ascii="Cambria Math" w:cs="Cambria Math" w:eastAsia="Cambria Math" w:hAnsi="Cambria Math"/>
                <w:color w:val="000000"/>
                <w:sz w:val="20"/>
                <w:szCs w:val="20"/>
              </w:rPr>
              <m:t xml:space="preserve">t</m:t>
            </m:r>
          </m:sub>
        </m:sSub>
      </m:oMath>
      <w:r w:rsidDel="00000000" w:rsidR="00000000" w:rsidRPr="00000000">
        <w:rPr>
          <w:color w:val="000000"/>
          <w:sz w:val="20"/>
          <w:szCs w:val="20"/>
          <w:rtl w:val="0"/>
        </w:rPr>
        <w:t xml:space="preserve"> regardless of the domain shift.</w:t>
      </w:r>
    </w:p>
    <w:p w:rsidR="00000000" w:rsidDel="00000000" w:rsidP="00000000" w:rsidRDefault="00000000" w:rsidRPr="00000000" w14:paraId="0000007B">
      <w:pPr>
        <w:pStyle w:val="Heading2"/>
        <w:rPr/>
      </w:pPr>
      <w:r w:rsidDel="00000000" w:rsidR="00000000" w:rsidRPr="00000000">
        <w:rPr>
          <w:rtl w:val="0"/>
        </w:rPr>
        <w:t xml:space="preserve">B. Techniques Compared</w:t>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ind w:left="644" w:hanging="360"/>
        <w:jc w:val="both"/>
        <w:rPr/>
      </w:pPr>
      <w:r w:rsidDel="00000000" w:rsidR="00000000" w:rsidRPr="00000000">
        <w:rPr>
          <w:b w:val="1"/>
          <w:color w:val="000000"/>
          <w:sz w:val="20"/>
          <w:szCs w:val="20"/>
          <w:rtl w:val="0"/>
        </w:rPr>
        <w:t xml:space="preserve">Deep CORAL:</w:t>
      </w:r>
      <w:r w:rsidDel="00000000" w:rsidR="00000000" w:rsidRPr="00000000">
        <w:rPr>
          <w:color w:val="000000"/>
          <w:sz w:val="20"/>
          <w:szCs w:val="20"/>
          <w:rtl w:val="0"/>
        </w:rPr>
        <w:t xml:space="preserve"> As shown in Figure 2(a) it aligns second-order statistics (covariance) of deep features between source and target domains; it is computationally lightweight and easy to integrate [13].</w:t>
      </w:r>
      <w:r w:rsidDel="00000000" w:rsidR="00000000" w:rsidRPr="00000000">
        <w:rPr>
          <w:rtl w:val="0"/>
        </w:rPr>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ind w:left="644" w:hanging="360"/>
        <w:jc w:val="both"/>
        <w:rPr/>
      </w:pPr>
      <w:r w:rsidDel="00000000" w:rsidR="00000000" w:rsidRPr="00000000">
        <w:rPr>
          <w:b w:val="1"/>
          <w:color w:val="000000"/>
          <w:sz w:val="20"/>
          <w:szCs w:val="20"/>
          <w:rtl w:val="0"/>
        </w:rPr>
        <w:t xml:space="preserve">DAN</w:t>
      </w:r>
      <w:r w:rsidDel="00000000" w:rsidR="00000000" w:rsidRPr="00000000">
        <w:rPr>
          <w:color w:val="000000"/>
          <w:sz w:val="20"/>
          <w:szCs w:val="20"/>
          <w:rtl w:val="0"/>
        </w:rPr>
        <w:t xml:space="preserve">: As shown in Figure 2(b) it employs multi-kernel MMD across several network layers to achieve more flexible, nonparametric distribution alignment between source and target representations [12].</w:t>
      </w:r>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ind w:left="644" w:hanging="360"/>
        <w:jc w:val="both"/>
        <w:rPr>
          <w:b w:val="1"/>
          <w:color w:val="000000"/>
          <w:sz w:val="20"/>
          <w:szCs w:val="20"/>
        </w:rPr>
      </w:pPr>
      <w:r w:rsidDel="00000000" w:rsidR="00000000" w:rsidRPr="00000000">
        <w:rPr>
          <w:b w:val="1"/>
          <w:color w:val="000000"/>
          <w:sz w:val="20"/>
          <w:szCs w:val="20"/>
          <w:rtl w:val="0"/>
        </w:rPr>
        <w:t xml:space="preserve">DANN:</w:t>
      </w:r>
      <w:r w:rsidDel="00000000" w:rsidR="00000000" w:rsidRPr="00000000">
        <w:rPr>
          <w:color w:val="000000"/>
          <w:sz w:val="20"/>
          <w:szCs w:val="20"/>
          <w:rtl w:val="0"/>
        </w:rPr>
        <w:t xml:space="preserve"> As shown in Figure 2(c) it incorporates a domain discriminator connected via a Gradient Reversal Layer, enforcing feature extractor outputs that are both discriminative for the classification task and indistinguishable between domains, through adversarial training [12].</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644" w:hanging="360"/>
        <w:jc w:val="both"/>
        <w:rPr>
          <w:b w:val="1"/>
          <w:color w:val="000000"/>
          <w:sz w:val="20"/>
          <w:szCs w:val="20"/>
        </w:rPr>
      </w:pPr>
      <w:r w:rsidDel="00000000" w:rsidR="00000000" w:rsidRPr="00000000">
        <w:rPr>
          <w:rtl w:val="0"/>
        </w:rPr>
      </w:r>
    </w:p>
    <w:tbl>
      <w:tblPr>
        <w:tblStyle w:val="Table4"/>
        <w:tblW w:w="695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958"/>
        <w:tblGridChange w:id="0">
          <w:tblGrid>
            <w:gridCol w:w="6958"/>
          </w:tblGrid>
        </w:tblGridChange>
      </w:tblGrid>
      <w:tr>
        <w:trPr>
          <w:cantSplit w:val="0"/>
          <w:trHeight w:val="2240" w:hRule="atLeast"/>
          <w:tblHeader w:val="0"/>
        </w:trPr>
        <w:tc>
          <w:tcPr/>
          <w:p w:rsidR="00000000" w:rsidDel="00000000" w:rsidP="00000000" w:rsidRDefault="00000000" w:rsidRPr="00000000" w14:paraId="00000080">
            <w:pPr>
              <w:keepNext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Pr>
              <w:drawing>
                <wp:inline distB="0" distT="0" distL="0" distR="0">
                  <wp:extent cx="2885934" cy="1138047"/>
                  <wp:effectExtent b="0" l="0" r="0" t="0"/>
                  <wp:docPr id="188473060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885934" cy="113804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1"/>
              <w:numPr>
                <w:ilvl w:val="0"/>
                <w:numId w:val="5"/>
              </w:numPr>
              <w:pBdr>
                <w:top w:space="0" w:sz="0" w:val="nil"/>
                <w:left w:space="0" w:sz="0" w:val="nil"/>
                <w:bottom w:space="0" w:sz="0" w:val="nil"/>
                <w:right w:space="0" w:sz="0" w:val="nil"/>
                <w:between w:space="0" w:sz="0" w:val="nil"/>
              </w:pBdr>
              <w:ind w:left="720" w:hanging="360"/>
              <w:jc w:val="center"/>
              <w:rPr/>
            </w:pPr>
            <w:r w:rsidDel="00000000" w:rsidR="00000000" w:rsidRPr="00000000">
              <w:rPr>
                <w:color w:val="000000"/>
                <w:sz w:val="20"/>
                <w:szCs w:val="20"/>
                <w:rtl w:val="0"/>
              </w:rPr>
              <w:t xml:space="preserve">Deep CORAL</w:t>
            </w:r>
            <w:r w:rsidDel="00000000" w:rsidR="00000000" w:rsidRPr="00000000">
              <w:rPr>
                <w:rtl w:val="0"/>
              </w:rPr>
            </w:r>
          </w:p>
        </w:tc>
      </w:tr>
      <w:tr>
        <w:trPr>
          <w:cantSplit w:val="0"/>
          <w:trHeight w:val="2060" w:hRule="atLeast"/>
          <w:tblHeader w:val="0"/>
        </w:trPr>
        <w:tc>
          <w:tcPr/>
          <w:p w:rsidR="00000000" w:rsidDel="00000000" w:rsidP="00000000" w:rsidRDefault="00000000" w:rsidRPr="00000000" w14:paraId="00000082">
            <w:pPr>
              <w:keepNext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color w:val="000000"/>
                <w:sz w:val="20"/>
                <w:szCs w:val="20"/>
              </w:rPr>
              <w:drawing>
                <wp:inline distB="0" distT="0" distL="0" distR="0">
                  <wp:extent cx="3197294" cy="1019650"/>
                  <wp:effectExtent b="0" l="0" r="0" t="0"/>
                  <wp:docPr id="188473060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97294" cy="10196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1"/>
              <w:numPr>
                <w:ilvl w:val="0"/>
                <w:numId w:val="5"/>
              </w:numPr>
              <w:pBdr>
                <w:top w:space="0" w:sz="0" w:val="nil"/>
                <w:left w:space="0" w:sz="0" w:val="nil"/>
                <w:bottom w:space="0" w:sz="0" w:val="nil"/>
                <w:right w:space="0" w:sz="0" w:val="nil"/>
                <w:between w:space="0" w:sz="0" w:val="nil"/>
              </w:pBdr>
              <w:ind w:left="720" w:hanging="360"/>
              <w:jc w:val="center"/>
              <w:rPr>
                <w:color w:val="000000"/>
                <w:sz w:val="20"/>
                <w:szCs w:val="20"/>
              </w:rPr>
            </w:pPr>
            <w:r w:rsidDel="00000000" w:rsidR="00000000" w:rsidRPr="00000000">
              <w:rPr>
                <w:color w:val="000000"/>
                <w:sz w:val="20"/>
                <w:szCs w:val="20"/>
                <w:rtl w:val="0"/>
              </w:rPr>
              <w:t xml:space="preserve">DAN</w:t>
            </w:r>
          </w:p>
        </w:tc>
      </w:tr>
      <w:tr>
        <w:trPr>
          <w:cantSplit w:val="0"/>
          <w:trHeight w:val="213" w:hRule="atLeast"/>
          <w:tblHeader w:val="0"/>
        </w:trPr>
        <w:tc>
          <w:tcPr/>
          <w:p w:rsidR="00000000" w:rsidDel="00000000" w:rsidP="00000000" w:rsidRDefault="00000000" w:rsidRPr="00000000" w14:paraId="00000084">
            <w:pPr>
              <w:keepNext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Pr>
              <w:pict>
                <v:shape id="_x0000_i1025" style="width:276.75pt;height:75.75pt" o:ole="" type="#_x0000_t75">
                  <v:imagedata r:id="rId1" o:title=""/>
                </v:shape>
                <o:OLEObject DrawAspect="Content" r:id="rId2" ObjectID="_1819438164" ProgID="PBrush" ShapeID="_x0000_i1025" Type="Embed"/>
              </w:pict>
            </w:r>
            <w:r w:rsidDel="00000000" w:rsidR="00000000" w:rsidRPr="00000000">
              <w:rPr>
                <w:rtl w:val="0"/>
              </w:rPr>
            </w:r>
          </w:p>
          <w:p w:rsidR="00000000" w:rsidDel="00000000" w:rsidP="00000000" w:rsidRDefault="00000000" w:rsidRPr="00000000" w14:paraId="00000085">
            <w:pPr>
              <w:keepNext w:val="1"/>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(c) DANN</w:t>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120" w:lineRule="auto"/>
        <w:jc w:val="center"/>
        <w:rPr>
          <w:b w:val="1"/>
          <w:i w:val="1"/>
          <w:color w:val="000000"/>
          <w:sz w:val="18"/>
          <w:szCs w:val="18"/>
        </w:rPr>
      </w:pPr>
      <w:r w:rsidDel="00000000" w:rsidR="00000000" w:rsidRPr="00000000">
        <w:rPr>
          <w:i w:val="1"/>
          <w:color w:val="000000"/>
          <w:sz w:val="18"/>
          <w:szCs w:val="18"/>
          <w:rtl w:val="0"/>
        </w:rPr>
        <w:t xml:space="preserve">Fig </w:t>
      </w:r>
      <w:r w:rsidDel="00000000" w:rsidR="00000000" w:rsidRPr="00000000">
        <w:rPr>
          <w:b w:val="1"/>
          <w:i w:val="1"/>
          <w:color w:val="000000"/>
          <w:sz w:val="18"/>
          <w:szCs w:val="18"/>
          <w:rtl w:val="0"/>
        </w:rPr>
        <w:t xml:space="preserve">2.</w:t>
      </w:r>
      <w:r w:rsidDel="00000000" w:rsidR="00000000" w:rsidRPr="00000000">
        <w:rPr>
          <w:i w:val="1"/>
          <w:color w:val="000000"/>
          <w:sz w:val="18"/>
          <w:szCs w:val="18"/>
          <w:rtl w:val="0"/>
        </w:rPr>
        <w:t xml:space="preserve"> Block diagram of Domain Adaptation Techniques namely (a) Deep CORAL, (b) DAN and (C) DANN.</w:t>
      </w:r>
      <w:r w:rsidDel="00000000" w:rsidR="00000000" w:rsidRPr="00000000">
        <w:rPr>
          <w:rtl w:val="0"/>
        </w:rPr>
      </w:r>
    </w:p>
    <w:p w:rsidR="00000000" w:rsidDel="00000000" w:rsidP="00000000" w:rsidRDefault="00000000" w:rsidRPr="00000000" w14:paraId="00000087">
      <w:pPr>
        <w:pStyle w:val="Heading2"/>
        <w:rPr/>
      </w:pPr>
      <w:r w:rsidDel="00000000" w:rsidR="00000000" w:rsidRPr="00000000">
        <w:rPr>
          <w:rtl w:val="0"/>
        </w:rPr>
        <w:t xml:space="preserve">C. Architecture</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All models employ Resnet50 as the backbone feature extractor, balancing computational efficiency with proven effectiveness in remote sensing applications. The classification head uses softmax activation, and for adversarial methods (e.g., DANN), a domain classification branch is introduced. All images are resized and standardized to 128 × 128 pixels.</w:t>
      </w:r>
    </w:p>
    <w:p w:rsidR="00000000" w:rsidDel="00000000" w:rsidP="00000000" w:rsidRDefault="00000000" w:rsidRPr="00000000" w14:paraId="00000089">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firstLine="284"/>
        <w:jc w:val="both"/>
        <w:rPr>
          <w:color w:val="000000"/>
          <w:sz w:val="20"/>
          <w:szCs w:val="20"/>
        </w:rPr>
      </w:pPr>
      <w:r w:rsidDel="00000000" w:rsidR="00000000" w:rsidRPr="00000000">
        <w:rPr>
          <w:rtl w:val="0"/>
        </w:rPr>
      </w:r>
    </w:p>
    <w:p w:rsidR="00000000" w:rsidDel="00000000" w:rsidP="00000000" w:rsidRDefault="00000000" w:rsidRPr="00000000" w14:paraId="0000008B">
      <w:pPr>
        <w:pStyle w:val="Heading1"/>
        <w:rPr/>
      </w:pPr>
      <w:bookmarkStart w:colFirst="0" w:colLast="0" w:name="_heading=h.fjd53hynv6lg" w:id="2"/>
      <w:bookmarkEnd w:id="2"/>
      <w:r w:rsidDel="00000000" w:rsidR="00000000" w:rsidRPr="00000000">
        <w:rPr>
          <w:rtl w:val="0"/>
        </w:rPr>
        <w:t xml:space="preserve">EXPERIMENTAL SETUP</w:t>
      </w:r>
    </w:p>
    <w:p w:rsidR="00000000" w:rsidDel="00000000" w:rsidP="00000000" w:rsidRDefault="00000000" w:rsidRPr="00000000" w14:paraId="0000008C">
      <w:pPr>
        <w:pStyle w:val="Heading2"/>
        <w:rPr/>
      </w:pPr>
      <w:r w:rsidDel="00000000" w:rsidR="00000000" w:rsidRPr="00000000">
        <w:rPr>
          <w:rtl w:val="0"/>
        </w:rPr>
        <w:t xml:space="preserve">A. Training Protocol</w:t>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We used the Adam optimizer with a learning rate of 1 x 10^-4 to improve the model. This is a conventional number that balances speed of convergence and stability. The training used a batch size of 32 over 10 epochs, which allowed for enough iterations for the model to converge and kept the compute efficient. The loss structure was designed as a composite loss function, encompassing cross-entropy loss for classification tasks and integrating supplementary domain adaption components based on the specific approach utilized. These encompassed Maximum Mean Discrepancy (MMD) for the Deep Adaptation Network (DAN), CORAL loss for DeepCORAL, and domain adversarial loss for Domain-Adversarial Neural Networks (DANN). For DANN, a progressive domain loss weight was utilized to stabilize the adversarial training process by incrementally enhancing the impact of the domain classifier throughout training.[18][19]</w:t>
      </w:r>
    </w:p>
    <w:p w:rsidR="00000000" w:rsidDel="00000000" w:rsidP="00000000" w:rsidRDefault="00000000" w:rsidRPr="00000000" w14:paraId="0000008E">
      <w:pPr>
        <w:pStyle w:val="Heading2"/>
        <w:rPr/>
      </w:pPr>
      <w:r w:rsidDel="00000000" w:rsidR="00000000" w:rsidRPr="00000000">
        <w:rPr>
          <w:rtl w:val="0"/>
        </w:rPr>
        <w:t xml:space="preserve">B. Evaluation Metrics</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We primarily employed classification accuracy and confusion matrices to evaluate the model's performance on domain adaptation tasks. The primary indicator of the model's efficacy in transferring knowledge across domains was its performance in classifying data within the unlabeled target domain.   Confusion matrices offer a comprehensive analysis of the transferability of each class, beyond only assessing overall correctness. This enabled the assessment of the model's ability to generalize specific class-level attributes from the source domain to the target domain. This facilitated our understanding of the model's advantages and disadvantages in adapting to new domains.[20]</w:t>
      </w:r>
    </w:p>
    <w:p w:rsidR="00000000" w:rsidDel="00000000" w:rsidP="00000000" w:rsidRDefault="00000000" w:rsidRPr="00000000" w14:paraId="00000090">
      <w:pPr>
        <w:pStyle w:val="Heading1"/>
        <w:rPr/>
      </w:pPr>
      <w:r w:rsidDel="00000000" w:rsidR="00000000" w:rsidRPr="00000000">
        <w:rPr>
          <w:rtl w:val="0"/>
        </w:rPr>
        <w:t xml:space="preserve">RESULTS AND ANALYSIS</w:t>
      </w:r>
    </w:p>
    <w:p w:rsidR="00000000" w:rsidDel="00000000" w:rsidP="00000000" w:rsidRDefault="00000000" w:rsidRPr="00000000" w14:paraId="00000091">
      <w:pPr>
        <w:pStyle w:val="Heading2"/>
        <w:rPr/>
      </w:pPr>
      <w:r w:rsidDel="00000000" w:rsidR="00000000" w:rsidRPr="00000000">
        <w:rPr>
          <w:rtl w:val="0"/>
        </w:rPr>
        <w:t xml:space="preserve">A. Accuracy Comparison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20" w:lineRule="auto"/>
        <w:jc w:val="center"/>
        <w:rPr>
          <w:i w:val="1"/>
          <w:color w:val="000000"/>
          <w:sz w:val="18"/>
          <w:szCs w:val="18"/>
        </w:rPr>
      </w:pPr>
      <w:r w:rsidDel="00000000" w:rsidR="00000000" w:rsidRPr="00000000">
        <w:rPr>
          <w:i w:val="1"/>
          <w:color w:val="000000"/>
          <w:sz w:val="18"/>
          <w:szCs w:val="18"/>
          <w:rtl w:val="0"/>
        </w:rPr>
        <w:t xml:space="preserve">TABLE 4. Accuracy comparison for Source to Target transfer</w:t>
      </w:r>
    </w:p>
    <w:tbl>
      <w:tblPr>
        <w:tblStyle w:val="Table5"/>
        <w:tblW w:w="8555.0" w:type="dxa"/>
        <w:jc w:val="center"/>
        <w:tblLayout w:type="fixed"/>
        <w:tblLook w:val="0400"/>
      </w:tblPr>
      <w:tblGrid>
        <w:gridCol w:w="2517"/>
        <w:gridCol w:w="2012"/>
        <w:gridCol w:w="2013"/>
        <w:gridCol w:w="2013"/>
        <w:tblGridChange w:id="0">
          <w:tblGrid>
            <w:gridCol w:w="2517"/>
            <w:gridCol w:w="2012"/>
            <w:gridCol w:w="2013"/>
            <w:gridCol w:w="2013"/>
          </w:tblGrid>
        </w:tblGridChange>
      </w:tblGrid>
      <w:tr>
        <w:trPr>
          <w:cantSplit w:val="0"/>
          <w:trHeight w:val="210" w:hRule="atLeast"/>
          <w:tblHeader w:val="1"/>
        </w:trPr>
        <w:tc>
          <w:tcPr>
            <w:tcBorders>
              <w:top w:color="000000" w:space="0" w:sz="4" w:val="single"/>
              <w:bottom w:color="000000" w:space="0" w:sz="4" w:val="single"/>
            </w:tcBorders>
            <w:vAlign w:val="center"/>
          </w:tcPr>
          <w:p w:rsidR="00000000" w:rsidDel="00000000" w:rsidP="00000000" w:rsidRDefault="00000000" w:rsidRPr="00000000" w14:paraId="00000093">
            <w:pPr>
              <w:rPr>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94">
            <w:pPr>
              <w:jc w:val="center"/>
              <w:rPr>
                <w:b w:val="1"/>
                <w:sz w:val="20"/>
                <w:szCs w:val="20"/>
              </w:rPr>
            </w:pPr>
            <w:r w:rsidDel="00000000" w:rsidR="00000000" w:rsidRPr="00000000">
              <w:rPr>
                <w:b w:val="1"/>
                <w:sz w:val="20"/>
                <w:szCs w:val="20"/>
                <w:rtl w:val="0"/>
              </w:rPr>
              <w:t xml:space="preserve">DeepCORAL</w:t>
            </w:r>
          </w:p>
        </w:tc>
        <w:tc>
          <w:tcPr>
            <w:tcBorders>
              <w:top w:color="000000" w:space="0" w:sz="4" w:val="single"/>
            </w:tcBorders>
            <w:vAlign w:val="center"/>
          </w:tcPr>
          <w:p w:rsidR="00000000" w:rsidDel="00000000" w:rsidP="00000000" w:rsidRDefault="00000000" w:rsidRPr="00000000" w14:paraId="00000095">
            <w:pPr>
              <w:jc w:val="center"/>
              <w:rPr>
                <w:b w:val="1"/>
                <w:sz w:val="20"/>
                <w:szCs w:val="20"/>
              </w:rPr>
            </w:pPr>
            <w:r w:rsidDel="00000000" w:rsidR="00000000" w:rsidRPr="00000000">
              <w:rPr>
                <w:b w:val="1"/>
                <w:sz w:val="20"/>
                <w:szCs w:val="20"/>
                <w:rtl w:val="0"/>
              </w:rPr>
              <w:t xml:space="preserve">DAN</w:t>
            </w:r>
          </w:p>
        </w:tc>
        <w:tc>
          <w:tcPr>
            <w:tcBorders>
              <w:top w:color="000000" w:space="0" w:sz="4" w:val="single"/>
            </w:tcBorders>
            <w:vAlign w:val="center"/>
          </w:tcPr>
          <w:p w:rsidR="00000000" w:rsidDel="00000000" w:rsidP="00000000" w:rsidRDefault="00000000" w:rsidRPr="00000000" w14:paraId="00000096">
            <w:pPr>
              <w:jc w:val="center"/>
              <w:rPr>
                <w:b w:val="1"/>
                <w:sz w:val="20"/>
                <w:szCs w:val="20"/>
              </w:rPr>
            </w:pPr>
            <w:r w:rsidDel="00000000" w:rsidR="00000000" w:rsidRPr="00000000">
              <w:rPr>
                <w:b w:val="1"/>
                <w:sz w:val="20"/>
                <w:szCs w:val="20"/>
                <w:rtl w:val="0"/>
              </w:rPr>
              <w:t xml:space="preserve">DANN</w:t>
            </w:r>
          </w:p>
        </w:tc>
      </w:tr>
      <w:tr>
        <w:trPr>
          <w:cantSplit w:val="0"/>
          <w:trHeight w:val="210" w:hRule="atLeast"/>
          <w:tblHeader w:val="0"/>
        </w:trPr>
        <w:tc>
          <w:tcPr>
            <w:tcBorders>
              <w:top w:color="000000" w:space="0" w:sz="4" w:val="single"/>
            </w:tcBorders>
          </w:tcPr>
          <w:p w:rsidR="00000000" w:rsidDel="00000000" w:rsidP="00000000" w:rsidRDefault="00000000" w:rsidRPr="00000000" w14:paraId="00000097">
            <w:pPr>
              <w:rPr>
                <w:b w:val="1"/>
                <w:i w:val="1"/>
                <w:sz w:val="20"/>
                <w:szCs w:val="20"/>
              </w:rPr>
            </w:pPr>
            <w:sdt>
              <w:sdtPr>
                <w:id w:val="1144861967"/>
                <w:tag w:val="goog_rdk_8"/>
              </w:sdtPr>
              <w:sdtContent>
                <w:r w:rsidDel="00000000" w:rsidR="00000000" w:rsidRPr="00000000">
                  <w:rPr>
                    <w:rFonts w:ascii="Cardo" w:cs="Cardo" w:eastAsia="Cardo" w:hAnsi="Cardo"/>
                    <w:b w:val="1"/>
                    <w:i w:val="1"/>
                    <w:sz w:val="20"/>
                    <w:szCs w:val="20"/>
                    <w:rtl w:val="0"/>
                  </w:rPr>
                  <w:t xml:space="preserve">AID → UCMerced</w:t>
                </w:r>
              </w:sdtContent>
            </w:sdt>
          </w:p>
        </w:tc>
        <w:tc>
          <w:tcPr>
            <w:tcBorders>
              <w:top w:color="000000" w:space="0" w:sz="4" w:val="single"/>
            </w:tcBorders>
          </w:tcPr>
          <w:p w:rsidR="00000000" w:rsidDel="00000000" w:rsidP="00000000" w:rsidRDefault="00000000" w:rsidRPr="00000000" w14:paraId="00000098">
            <w:pPr>
              <w:jc w:val="center"/>
              <w:rPr>
                <w:sz w:val="20"/>
                <w:szCs w:val="20"/>
              </w:rPr>
            </w:pPr>
            <w:r w:rsidDel="00000000" w:rsidR="00000000" w:rsidRPr="00000000">
              <w:rPr>
                <w:sz w:val="20"/>
                <w:szCs w:val="20"/>
                <w:rtl w:val="0"/>
              </w:rPr>
              <w:t xml:space="preserve">68.50%</w:t>
            </w:r>
          </w:p>
        </w:tc>
        <w:tc>
          <w:tcPr>
            <w:tcBorders>
              <w:top w:color="000000" w:space="0" w:sz="4" w:val="single"/>
            </w:tcBorders>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69.17%</w:t>
            </w:r>
          </w:p>
        </w:tc>
        <w:tc>
          <w:tcPr>
            <w:tcBorders>
              <w:top w:color="000000" w:space="0" w:sz="4" w:val="single"/>
            </w:tcBorders>
          </w:tcPr>
          <w:p w:rsidR="00000000" w:rsidDel="00000000" w:rsidP="00000000" w:rsidRDefault="00000000" w:rsidRPr="00000000" w14:paraId="0000009A">
            <w:pPr>
              <w:jc w:val="center"/>
              <w:rPr>
                <w:b w:val="1"/>
                <w:sz w:val="20"/>
                <w:szCs w:val="20"/>
              </w:rPr>
            </w:pPr>
            <w:r w:rsidDel="00000000" w:rsidR="00000000" w:rsidRPr="00000000">
              <w:rPr>
                <w:b w:val="1"/>
                <w:sz w:val="20"/>
                <w:szCs w:val="20"/>
                <w:rtl w:val="0"/>
              </w:rPr>
              <w:t xml:space="preserve">75.83</w:t>
            </w:r>
          </w:p>
        </w:tc>
      </w:tr>
      <w:tr>
        <w:trPr>
          <w:cantSplit w:val="0"/>
          <w:trHeight w:val="210" w:hRule="atLeast"/>
          <w:tblHeader w:val="0"/>
        </w:trPr>
        <w:tc>
          <w:tcPr/>
          <w:p w:rsidR="00000000" w:rsidDel="00000000" w:rsidP="00000000" w:rsidRDefault="00000000" w:rsidRPr="00000000" w14:paraId="0000009B">
            <w:pPr>
              <w:rPr>
                <w:b w:val="1"/>
                <w:i w:val="1"/>
                <w:sz w:val="20"/>
                <w:szCs w:val="20"/>
              </w:rPr>
            </w:pPr>
            <w:sdt>
              <w:sdtPr>
                <w:id w:val="2075080363"/>
                <w:tag w:val="goog_rdk_9"/>
              </w:sdtPr>
              <w:sdtContent>
                <w:r w:rsidDel="00000000" w:rsidR="00000000" w:rsidRPr="00000000">
                  <w:rPr>
                    <w:rFonts w:ascii="Cardo" w:cs="Cardo" w:eastAsia="Cardo" w:hAnsi="Cardo"/>
                    <w:b w:val="1"/>
                    <w:i w:val="1"/>
                    <w:sz w:val="20"/>
                    <w:szCs w:val="20"/>
                    <w:rtl w:val="0"/>
                  </w:rPr>
                  <w:t xml:space="preserve">UCMerced → NWPU</w:t>
                </w:r>
              </w:sdtContent>
            </w:sdt>
          </w:p>
        </w:tc>
        <w:tc>
          <w:tcPr/>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77.76%</w:t>
            </w:r>
          </w:p>
        </w:tc>
        <w:tc>
          <w:tcPr/>
          <w:p w:rsidR="00000000" w:rsidDel="00000000" w:rsidP="00000000" w:rsidRDefault="00000000" w:rsidRPr="00000000" w14:paraId="0000009D">
            <w:pPr>
              <w:jc w:val="center"/>
              <w:rPr>
                <w:sz w:val="20"/>
                <w:szCs w:val="20"/>
              </w:rPr>
            </w:pPr>
            <w:r w:rsidDel="00000000" w:rsidR="00000000" w:rsidRPr="00000000">
              <w:rPr>
                <w:sz w:val="20"/>
                <w:szCs w:val="20"/>
                <w:rtl w:val="0"/>
              </w:rPr>
              <w:t xml:space="preserve">82.02%</w:t>
            </w:r>
          </w:p>
        </w:tc>
        <w:tc>
          <w:tcPr/>
          <w:p w:rsidR="00000000" w:rsidDel="00000000" w:rsidP="00000000" w:rsidRDefault="00000000" w:rsidRPr="00000000" w14:paraId="0000009E">
            <w:pPr>
              <w:jc w:val="center"/>
              <w:rPr>
                <w:sz w:val="20"/>
                <w:szCs w:val="20"/>
              </w:rPr>
            </w:pPr>
            <w:r w:rsidDel="00000000" w:rsidR="00000000" w:rsidRPr="00000000">
              <w:rPr>
                <w:sz w:val="20"/>
                <w:szCs w:val="20"/>
                <w:rtl w:val="0"/>
              </w:rPr>
              <w:t xml:space="preserve">78.69</w:t>
            </w:r>
          </w:p>
        </w:tc>
      </w:tr>
      <w:tr>
        <w:trPr>
          <w:cantSplit w:val="0"/>
          <w:trHeight w:val="210" w:hRule="atLeast"/>
          <w:tblHeader w:val="0"/>
        </w:trPr>
        <w:tc>
          <w:tcPr/>
          <w:p w:rsidR="00000000" w:rsidDel="00000000" w:rsidP="00000000" w:rsidRDefault="00000000" w:rsidRPr="00000000" w14:paraId="0000009F">
            <w:pPr>
              <w:rPr>
                <w:b w:val="1"/>
                <w:i w:val="1"/>
                <w:sz w:val="20"/>
                <w:szCs w:val="20"/>
              </w:rPr>
            </w:pPr>
            <w:sdt>
              <w:sdtPr>
                <w:id w:val="2038257136"/>
                <w:tag w:val="goog_rdk_10"/>
              </w:sdtPr>
              <w:sdtContent>
                <w:r w:rsidDel="00000000" w:rsidR="00000000" w:rsidRPr="00000000">
                  <w:rPr>
                    <w:rFonts w:ascii="Cardo" w:cs="Cardo" w:eastAsia="Cardo" w:hAnsi="Cardo"/>
                    <w:b w:val="1"/>
                    <w:i w:val="1"/>
                    <w:sz w:val="20"/>
                    <w:szCs w:val="20"/>
                    <w:rtl w:val="0"/>
                  </w:rPr>
                  <w:t xml:space="preserve">PatternNet → AID</w:t>
                </w:r>
              </w:sdtContent>
            </w:sdt>
          </w:p>
        </w:tc>
        <w:tc>
          <w:tcPr/>
          <w:p w:rsidR="00000000" w:rsidDel="00000000" w:rsidP="00000000" w:rsidRDefault="00000000" w:rsidRPr="00000000" w14:paraId="000000A0">
            <w:pPr>
              <w:jc w:val="center"/>
              <w:rPr>
                <w:sz w:val="20"/>
                <w:szCs w:val="20"/>
              </w:rPr>
            </w:pPr>
            <w:r w:rsidDel="00000000" w:rsidR="00000000" w:rsidRPr="00000000">
              <w:rPr>
                <w:sz w:val="20"/>
                <w:szCs w:val="20"/>
                <w:rtl w:val="0"/>
              </w:rPr>
              <w:t xml:space="preserve">72.26%</w:t>
            </w:r>
          </w:p>
        </w:tc>
        <w:tc>
          <w:tcPr/>
          <w:p w:rsidR="00000000" w:rsidDel="00000000" w:rsidP="00000000" w:rsidRDefault="00000000" w:rsidRPr="00000000" w14:paraId="000000A1">
            <w:pPr>
              <w:jc w:val="center"/>
              <w:rPr>
                <w:sz w:val="20"/>
                <w:szCs w:val="20"/>
              </w:rPr>
            </w:pPr>
            <w:r w:rsidDel="00000000" w:rsidR="00000000" w:rsidRPr="00000000">
              <w:rPr>
                <w:sz w:val="20"/>
                <w:szCs w:val="20"/>
                <w:rtl w:val="0"/>
              </w:rPr>
              <w:t xml:space="preserve">73.56%</w:t>
            </w:r>
          </w:p>
        </w:tc>
        <w:tc>
          <w:tcPr/>
          <w:p w:rsidR="00000000" w:rsidDel="00000000" w:rsidP="00000000" w:rsidRDefault="00000000" w:rsidRPr="00000000" w14:paraId="000000A2">
            <w:pPr>
              <w:jc w:val="center"/>
              <w:rPr>
                <w:sz w:val="20"/>
                <w:szCs w:val="20"/>
              </w:rPr>
            </w:pPr>
            <w:r w:rsidDel="00000000" w:rsidR="00000000" w:rsidRPr="00000000">
              <w:rPr>
                <w:sz w:val="20"/>
                <w:szCs w:val="20"/>
                <w:rtl w:val="0"/>
              </w:rPr>
              <w:t xml:space="preserve">72.83</w:t>
            </w:r>
          </w:p>
        </w:tc>
      </w:tr>
      <w:tr>
        <w:trPr>
          <w:cantSplit w:val="0"/>
          <w:trHeight w:val="210" w:hRule="atLeast"/>
          <w:tblHeader w:val="0"/>
        </w:trPr>
        <w:tc>
          <w:tcPr/>
          <w:p w:rsidR="00000000" w:rsidDel="00000000" w:rsidP="00000000" w:rsidRDefault="00000000" w:rsidRPr="00000000" w14:paraId="000000A3">
            <w:pPr>
              <w:rPr>
                <w:b w:val="1"/>
                <w:i w:val="1"/>
                <w:sz w:val="20"/>
                <w:szCs w:val="20"/>
              </w:rPr>
            </w:pPr>
            <w:sdt>
              <w:sdtPr>
                <w:id w:val="-382928274"/>
                <w:tag w:val="goog_rdk_11"/>
              </w:sdtPr>
              <w:sdtContent>
                <w:r w:rsidDel="00000000" w:rsidR="00000000" w:rsidRPr="00000000">
                  <w:rPr>
                    <w:rFonts w:ascii="Cardo" w:cs="Cardo" w:eastAsia="Cardo" w:hAnsi="Cardo"/>
                    <w:b w:val="1"/>
                    <w:i w:val="1"/>
                    <w:sz w:val="20"/>
                    <w:szCs w:val="20"/>
                    <w:rtl w:val="0"/>
                  </w:rPr>
                  <w:t xml:space="preserve">PatternNet → UCMerced</w:t>
                </w:r>
              </w:sdtContent>
            </w:sdt>
          </w:p>
        </w:tc>
        <w:tc>
          <w:tcPr/>
          <w:p w:rsidR="00000000" w:rsidDel="00000000" w:rsidP="00000000" w:rsidRDefault="00000000" w:rsidRPr="00000000" w14:paraId="000000A4">
            <w:pPr>
              <w:jc w:val="center"/>
              <w:rPr>
                <w:sz w:val="20"/>
                <w:szCs w:val="20"/>
              </w:rPr>
            </w:pPr>
            <w:r w:rsidDel="00000000" w:rsidR="00000000" w:rsidRPr="00000000">
              <w:rPr>
                <w:sz w:val="20"/>
                <w:szCs w:val="20"/>
                <w:rtl w:val="0"/>
              </w:rPr>
              <w:t xml:space="preserve">91.83%</w:t>
            </w:r>
          </w:p>
        </w:tc>
        <w:tc>
          <w:tcPr/>
          <w:p w:rsidR="00000000" w:rsidDel="00000000" w:rsidP="00000000" w:rsidRDefault="00000000" w:rsidRPr="00000000" w14:paraId="000000A5">
            <w:pPr>
              <w:jc w:val="center"/>
              <w:rPr>
                <w:sz w:val="20"/>
                <w:szCs w:val="20"/>
              </w:rPr>
            </w:pPr>
            <w:r w:rsidDel="00000000" w:rsidR="00000000" w:rsidRPr="00000000">
              <w:rPr>
                <w:sz w:val="20"/>
                <w:szCs w:val="20"/>
                <w:rtl w:val="0"/>
              </w:rPr>
              <w:t xml:space="preserve">95.83%</w:t>
            </w:r>
          </w:p>
        </w:tc>
        <w:tc>
          <w:tcPr/>
          <w:p w:rsidR="00000000" w:rsidDel="00000000" w:rsidP="00000000" w:rsidRDefault="00000000" w:rsidRPr="00000000" w14:paraId="000000A6">
            <w:pPr>
              <w:jc w:val="center"/>
              <w:rPr>
                <w:sz w:val="20"/>
                <w:szCs w:val="20"/>
              </w:rPr>
            </w:pPr>
            <w:r w:rsidDel="00000000" w:rsidR="00000000" w:rsidRPr="00000000">
              <w:rPr>
                <w:sz w:val="20"/>
                <w:szCs w:val="20"/>
                <w:rtl w:val="0"/>
              </w:rPr>
              <w:t xml:space="preserve">92.5</w:t>
            </w:r>
          </w:p>
        </w:tc>
      </w:tr>
      <w:tr>
        <w:trPr>
          <w:cantSplit w:val="0"/>
          <w:trHeight w:val="210" w:hRule="atLeast"/>
          <w:tblHeader w:val="0"/>
        </w:trPr>
        <w:tc>
          <w:tcPr/>
          <w:p w:rsidR="00000000" w:rsidDel="00000000" w:rsidP="00000000" w:rsidRDefault="00000000" w:rsidRPr="00000000" w14:paraId="000000A7">
            <w:pPr>
              <w:rPr>
                <w:b w:val="1"/>
                <w:i w:val="1"/>
                <w:sz w:val="20"/>
                <w:szCs w:val="20"/>
              </w:rPr>
            </w:pPr>
            <w:sdt>
              <w:sdtPr>
                <w:id w:val="-934710704"/>
                <w:tag w:val="goog_rdk_12"/>
              </w:sdtPr>
              <w:sdtContent>
                <w:r w:rsidDel="00000000" w:rsidR="00000000" w:rsidRPr="00000000">
                  <w:rPr>
                    <w:rFonts w:ascii="Cardo" w:cs="Cardo" w:eastAsia="Cardo" w:hAnsi="Cardo"/>
                    <w:b w:val="1"/>
                    <w:i w:val="1"/>
                    <w:sz w:val="20"/>
                    <w:szCs w:val="20"/>
                    <w:rtl w:val="0"/>
                  </w:rPr>
                  <w:t xml:space="preserve">NWPU → PatternNet</w:t>
                </w:r>
              </w:sdtContent>
            </w:sdt>
          </w:p>
        </w:tc>
        <w:tc>
          <w:tcPr/>
          <w:p w:rsidR="00000000" w:rsidDel="00000000" w:rsidP="00000000" w:rsidRDefault="00000000" w:rsidRPr="00000000" w14:paraId="000000A8">
            <w:pPr>
              <w:jc w:val="center"/>
              <w:rPr>
                <w:sz w:val="20"/>
                <w:szCs w:val="20"/>
              </w:rPr>
            </w:pPr>
            <w:r w:rsidDel="00000000" w:rsidR="00000000" w:rsidRPr="00000000">
              <w:rPr>
                <w:sz w:val="20"/>
                <w:szCs w:val="20"/>
                <w:rtl w:val="0"/>
              </w:rPr>
              <w:t xml:space="preserve">94.90%</w:t>
            </w:r>
          </w:p>
        </w:tc>
        <w:tc>
          <w:tcPr/>
          <w:p w:rsidR="00000000" w:rsidDel="00000000" w:rsidP="00000000" w:rsidRDefault="00000000" w:rsidRPr="00000000" w14:paraId="000000A9">
            <w:pPr>
              <w:jc w:val="center"/>
              <w:rPr>
                <w:sz w:val="20"/>
                <w:szCs w:val="20"/>
              </w:rPr>
            </w:pPr>
            <w:r w:rsidDel="00000000" w:rsidR="00000000" w:rsidRPr="00000000">
              <w:rPr>
                <w:sz w:val="20"/>
                <w:szCs w:val="20"/>
                <w:rtl w:val="0"/>
              </w:rPr>
              <w:t xml:space="preserve">95.73%</w:t>
            </w:r>
          </w:p>
        </w:tc>
        <w:tc>
          <w:tcPr/>
          <w:p w:rsidR="00000000" w:rsidDel="00000000" w:rsidP="00000000" w:rsidRDefault="00000000" w:rsidRPr="00000000" w14:paraId="000000AA">
            <w:pPr>
              <w:jc w:val="center"/>
              <w:rPr>
                <w:sz w:val="20"/>
                <w:szCs w:val="20"/>
              </w:rPr>
            </w:pPr>
            <w:r w:rsidDel="00000000" w:rsidR="00000000" w:rsidRPr="00000000">
              <w:rPr>
                <w:sz w:val="20"/>
                <w:szCs w:val="20"/>
                <w:rtl w:val="0"/>
              </w:rPr>
              <w:t xml:space="preserve">95.52</w:t>
            </w:r>
          </w:p>
        </w:tc>
      </w:tr>
      <w:tr>
        <w:trPr>
          <w:cantSplit w:val="0"/>
          <w:trHeight w:val="210" w:hRule="atLeast"/>
          <w:tblHeader w:val="0"/>
        </w:trPr>
        <w:tc>
          <w:tcPr>
            <w:tcBorders>
              <w:bottom w:color="000000" w:space="0" w:sz="4" w:val="single"/>
            </w:tcBorders>
          </w:tcPr>
          <w:p w:rsidR="00000000" w:rsidDel="00000000" w:rsidP="00000000" w:rsidRDefault="00000000" w:rsidRPr="00000000" w14:paraId="000000AB">
            <w:pPr>
              <w:rPr>
                <w:b w:val="1"/>
                <w:i w:val="1"/>
                <w:sz w:val="20"/>
                <w:szCs w:val="20"/>
              </w:rPr>
            </w:pPr>
            <w:sdt>
              <w:sdtPr>
                <w:id w:val="1331924647"/>
                <w:tag w:val="goog_rdk_13"/>
              </w:sdtPr>
              <w:sdtContent>
                <w:r w:rsidDel="00000000" w:rsidR="00000000" w:rsidRPr="00000000">
                  <w:rPr>
                    <w:rFonts w:ascii="Cardo" w:cs="Cardo" w:eastAsia="Cardo" w:hAnsi="Cardo"/>
                    <w:b w:val="1"/>
                    <w:i w:val="1"/>
                    <w:sz w:val="20"/>
                    <w:szCs w:val="20"/>
                    <w:rtl w:val="0"/>
                  </w:rPr>
                  <w:t xml:space="preserve">NWPU → AID</w:t>
                </w:r>
              </w:sdtContent>
            </w:sdt>
          </w:p>
        </w:tc>
        <w:tc>
          <w:tcPr>
            <w:tcBorders>
              <w:bottom w:color="000000" w:space="0" w:sz="4" w:val="single"/>
            </w:tcBorders>
          </w:tcPr>
          <w:p w:rsidR="00000000" w:rsidDel="00000000" w:rsidP="00000000" w:rsidRDefault="00000000" w:rsidRPr="00000000" w14:paraId="000000AC">
            <w:pPr>
              <w:jc w:val="center"/>
              <w:rPr>
                <w:sz w:val="20"/>
                <w:szCs w:val="20"/>
              </w:rPr>
            </w:pPr>
            <w:r w:rsidDel="00000000" w:rsidR="00000000" w:rsidRPr="00000000">
              <w:rPr>
                <w:sz w:val="20"/>
                <w:szCs w:val="20"/>
                <w:rtl w:val="0"/>
              </w:rPr>
              <w:t xml:space="preserve">88.26%</w:t>
            </w:r>
          </w:p>
        </w:tc>
        <w:tc>
          <w:tcPr>
            <w:tcBorders>
              <w:bottom w:color="000000" w:space="0" w:sz="4" w:val="single"/>
            </w:tcBorders>
          </w:tcPr>
          <w:p w:rsidR="00000000" w:rsidDel="00000000" w:rsidP="00000000" w:rsidRDefault="00000000" w:rsidRPr="00000000" w14:paraId="000000AD">
            <w:pPr>
              <w:jc w:val="center"/>
              <w:rPr>
                <w:sz w:val="20"/>
                <w:szCs w:val="20"/>
              </w:rPr>
            </w:pPr>
            <w:r w:rsidDel="00000000" w:rsidR="00000000" w:rsidRPr="00000000">
              <w:rPr>
                <w:sz w:val="20"/>
                <w:szCs w:val="20"/>
                <w:rtl w:val="0"/>
              </w:rPr>
              <w:t xml:space="preserve">90.14%</w:t>
            </w:r>
          </w:p>
        </w:tc>
        <w:tc>
          <w:tcPr>
            <w:tcBorders>
              <w:bottom w:color="000000" w:space="0" w:sz="4" w:val="single"/>
            </w:tcBorders>
          </w:tcPr>
          <w:p w:rsidR="00000000" w:rsidDel="00000000" w:rsidP="00000000" w:rsidRDefault="00000000" w:rsidRPr="00000000" w14:paraId="000000AE">
            <w:pPr>
              <w:jc w:val="center"/>
              <w:rPr>
                <w:b w:val="1"/>
                <w:sz w:val="20"/>
                <w:szCs w:val="20"/>
              </w:rPr>
            </w:pPr>
            <w:r w:rsidDel="00000000" w:rsidR="00000000" w:rsidRPr="00000000">
              <w:rPr>
                <w:b w:val="1"/>
                <w:sz w:val="20"/>
                <w:szCs w:val="20"/>
                <w:rtl w:val="0"/>
              </w:rPr>
              <w:t xml:space="preserve">90.15</w:t>
            </w:r>
          </w:p>
        </w:tc>
      </w:tr>
    </w:tbl>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b w:val="1"/>
          <w:color w:val="000000"/>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20" w:lineRule="auto"/>
        <w:jc w:val="center"/>
        <w:rPr>
          <w:i w:val="1"/>
          <w:color w:val="000000"/>
          <w:sz w:val="18"/>
          <w:szCs w:val="18"/>
        </w:rPr>
      </w:pPr>
      <w:r w:rsidDel="00000000" w:rsidR="00000000" w:rsidRPr="00000000">
        <w:rPr>
          <w:i w:val="1"/>
          <w:color w:val="000000"/>
          <w:sz w:val="18"/>
          <w:szCs w:val="18"/>
          <w:rtl w:val="0"/>
        </w:rPr>
        <w:t xml:space="preserve">TABLE 5. Confusion matrix Source to Target transfer ( </w:t>
      </w:r>
      <w:r w:rsidDel="00000000" w:rsidR="00000000" w:rsidRPr="00000000">
        <w:rPr>
          <w:i w:val="1"/>
          <w:sz w:val="18"/>
          <w:szCs w:val="18"/>
          <w:rtl w:val="0"/>
        </w:rPr>
        <w:t xml:space="preserve">A-AID, U-UCMerced, N-</w:t>
      </w:r>
      <w:r w:rsidDel="00000000" w:rsidR="00000000" w:rsidRPr="00000000">
        <w:rPr>
          <w:i w:val="1"/>
          <w:color w:val="000000"/>
          <w:sz w:val="18"/>
          <w:szCs w:val="18"/>
          <w:rtl w:val="0"/>
        </w:rPr>
        <w:t xml:space="preserve">NWPU</w:t>
      </w:r>
      <w:r w:rsidDel="00000000" w:rsidR="00000000" w:rsidRPr="00000000">
        <w:rPr>
          <w:i w:val="1"/>
          <w:sz w:val="18"/>
          <w:szCs w:val="18"/>
          <w:rtl w:val="0"/>
        </w:rPr>
        <w:t xml:space="preserve">, P-</w:t>
      </w:r>
      <w:r w:rsidDel="00000000" w:rsidR="00000000" w:rsidRPr="00000000">
        <w:rPr>
          <w:i w:val="1"/>
          <w:color w:val="000000"/>
          <w:sz w:val="18"/>
          <w:szCs w:val="18"/>
          <w:rtl w:val="0"/>
        </w:rPr>
        <w:t xml:space="preserve">PatternNet</w:t>
      </w:r>
      <w:r w:rsidDel="00000000" w:rsidR="00000000" w:rsidRPr="00000000">
        <w:rPr>
          <w:i w:val="1"/>
          <w:sz w:val="18"/>
          <w:szCs w:val="18"/>
          <w:rtl w:val="0"/>
        </w:rPr>
        <w:t xml:space="preserve">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b w:val="1"/>
          <w:color w:val="000000"/>
          <w:sz w:val="20"/>
          <w:szCs w:val="20"/>
        </w:rPr>
      </w:pPr>
      <w:r w:rsidDel="00000000" w:rsidR="00000000" w:rsidRPr="00000000">
        <w:rPr>
          <w:rtl w:val="0"/>
        </w:rPr>
      </w:r>
    </w:p>
    <w:tbl>
      <w:tblPr>
        <w:tblStyle w:val="Table6"/>
        <w:tblW w:w="10059.0" w:type="dxa"/>
        <w:jc w:val="left"/>
        <w:tblLayout w:type="fixed"/>
        <w:tblLook w:val="0400"/>
      </w:tblPr>
      <w:tblGrid>
        <w:gridCol w:w="895"/>
        <w:gridCol w:w="3054"/>
        <w:gridCol w:w="3055"/>
        <w:gridCol w:w="3055"/>
        <w:tblGridChange w:id="0">
          <w:tblGrid>
            <w:gridCol w:w="895"/>
            <w:gridCol w:w="3054"/>
            <w:gridCol w:w="3055"/>
            <w:gridCol w:w="3055"/>
          </w:tblGrid>
        </w:tblGridChange>
      </w:tblGrid>
      <w:tr>
        <w:trPr>
          <w:cantSplit w:val="0"/>
          <w:trHeight w:val="352"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B3">
            <w:pPr>
              <w:jc w:val="center"/>
              <w:rPr>
                <w:color w:val="000000"/>
                <w:sz w:val="28"/>
                <w:szCs w:val="28"/>
              </w:rPr>
            </w:pPr>
            <w:r w:rsidDel="00000000" w:rsidR="00000000" w:rsidRPr="00000000">
              <w:rPr>
                <w:color w:val="000000"/>
                <w:sz w:val="28"/>
                <w:szCs w:val="28"/>
                <w:rtl w:val="0"/>
              </w:rPr>
              <w:t xml:space="preserve"> </w:t>
            </w:r>
          </w:p>
        </w:tc>
        <w:tc>
          <w:tcPr>
            <w:tcBorders>
              <w:top w:color="000000" w:space="0" w:sz="4" w:val="single"/>
              <w:bottom w:color="000000" w:space="0" w:sz="4" w:val="single"/>
            </w:tcBorders>
            <w:vAlign w:val="center"/>
          </w:tcPr>
          <w:p w:rsidR="00000000" w:rsidDel="00000000" w:rsidP="00000000" w:rsidRDefault="00000000" w:rsidRPr="00000000" w14:paraId="000000B4">
            <w:pPr>
              <w:jc w:val="center"/>
              <w:rPr>
                <w:b w:val="1"/>
                <w:color w:val="000000"/>
                <w:sz w:val="20"/>
                <w:szCs w:val="20"/>
              </w:rPr>
            </w:pPr>
            <w:r w:rsidDel="00000000" w:rsidR="00000000" w:rsidRPr="00000000">
              <w:rPr>
                <w:b w:val="1"/>
                <w:color w:val="000000"/>
                <w:sz w:val="20"/>
                <w:szCs w:val="20"/>
                <w:rtl w:val="0"/>
              </w:rPr>
              <w:t xml:space="preserve">DeepCORAL</w:t>
            </w:r>
          </w:p>
        </w:tc>
        <w:tc>
          <w:tcPr>
            <w:tcBorders>
              <w:top w:color="000000" w:space="0" w:sz="4" w:val="single"/>
              <w:bottom w:color="000000" w:space="0" w:sz="4" w:val="single"/>
            </w:tcBorders>
            <w:vAlign w:val="center"/>
          </w:tcPr>
          <w:p w:rsidR="00000000" w:rsidDel="00000000" w:rsidP="00000000" w:rsidRDefault="00000000" w:rsidRPr="00000000" w14:paraId="000000B5">
            <w:pPr>
              <w:jc w:val="center"/>
              <w:rPr>
                <w:b w:val="1"/>
                <w:color w:val="000000"/>
                <w:sz w:val="20"/>
                <w:szCs w:val="20"/>
              </w:rPr>
            </w:pPr>
            <w:r w:rsidDel="00000000" w:rsidR="00000000" w:rsidRPr="00000000">
              <w:rPr>
                <w:b w:val="1"/>
                <w:color w:val="000000"/>
                <w:sz w:val="20"/>
                <w:szCs w:val="20"/>
                <w:rtl w:val="0"/>
              </w:rPr>
              <w:t xml:space="preserve">DAN</w:t>
            </w:r>
          </w:p>
        </w:tc>
        <w:tc>
          <w:tcPr>
            <w:tcBorders>
              <w:top w:color="000000" w:space="0" w:sz="4" w:val="single"/>
              <w:bottom w:color="000000" w:space="0" w:sz="4" w:val="single"/>
            </w:tcBorders>
            <w:vAlign w:val="center"/>
          </w:tcPr>
          <w:p w:rsidR="00000000" w:rsidDel="00000000" w:rsidP="00000000" w:rsidRDefault="00000000" w:rsidRPr="00000000" w14:paraId="000000B6">
            <w:pPr>
              <w:jc w:val="center"/>
              <w:rPr>
                <w:b w:val="1"/>
                <w:color w:val="000000"/>
                <w:sz w:val="20"/>
                <w:szCs w:val="20"/>
              </w:rPr>
            </w:pPr>
            <w:r w:rsidDel="00000000" w:rsidR="00000000" w:rsidRPr="00000000">
              <w:rPr>
                <w:b w:val="1"/>
                <w:color w:val="000000"/>
                <w:sz w:val="20"/>
                <w:szCs w:val="20"/>
                <w:rtl w:val="0"/>
              </w:rPr>
              <w:t xml:space="preserve">DANN</w:t>
            </w:r>
          </w:p>
        </w:tc>
      </w:tr>
      <w:tr>
        <w:trPr>
          <w:cantSplit w:val="0"/>
          <w:trHeight w:val="352" w:hRule="atLeast"/>
          <w:tblHeader w:val="0"/>
        </w:trPr>
        <w:tc>
          <w:tcPr>
            <w:tcBorders>
              <w:top w:color="000000" w:space="0" w:sz="4" w:val="single"/>
            </w:tcBorders>
            <w:vAlign w:val="center"/>
          </w:tcPr>
          <w:p w:rsidR="00000000" w:rsidDel="00000000" w:rsidP="00000000" w:rsidRDefault="00000000" w:rsidRPr="00000000" w14:paraId="000000B7">
            <w:pPr>
              <w:jc w:val="center"/>
              <w:rPr>
                <w:color w:val="000000"/>
                <w:sz w:val="20"/>
                <w:szCs w:val="20"/>
              </w:rPr>
            </w:pPr>
            <w:sdt>
              <w:sdtPr>
                <w:id w:val="-1618557955"/>
                <w:tag w:val="goog_rdk_14"/>
              </w:sdtPr>
              <w:sdtContent>
                <w:r w:rsidDel="00000000" w:rsidR="00000000" w:rsidRPr="00000000">
                  <w:rPr>
                    <w:rFonts w:ascii="Cardo" w:cs="Cardo" w:eastAsia="Cardo" w:hAnsi="Cardo"/>
                    <w:b w:val="1"/>
                    <w:sz w:val="20"/>
                    <w:szCs w:val="20"/>
                    <w:rtl w:val="0"/>
                  </w:rPr>
                  <w:t xml:space="preserve">A → U</w:t>
                </w:r>
              </w:sdtContent>
            </w:sdt>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B8">
            <w:pPr>
              <w:jc w:val="center"/>
              <w:rPr>
                <w:color w:val="000000"/>
                <w:sz w:val="28"/>
                <w:szCs w:val="28"/>
              </w:rPr>
            </w:pPr>
            <w:r w:rsidDel="00000000" w:rsidR="00000000" w:rsidRPr="00000000">
              <w:rPr/>
              <w:drawing>
                <wp:inline distB="0" distT="0" distL="0" distR="0">
                  <wp:extent cx="1802130" cy="1612265"/>
                  <wp:effectExtent b="0" l="0" r="0" t="0"/>
                  <wp:docPr id="1884730606"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802130" cy="1612265"/>
                          </a:xfrm>
                          <a:prstGeom prst="rect"/>
                          <a:ln/>
                        </pic:spPr>
                      </pic:pic>
                    </a:graphicData>
                  </a:graphic>
                </wp:inline>
              </w:drawing>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B9">
            <w:pPr>
              <w:jc w:val="center"/>
              <w:rPr>
                <w:color w:val="000000"/>
                <w:sz w:val="28"/>
                <w:szCs w:val="28"/>
              </w:rPr>
            </w:pPr>
            <w:r w:rsidDel="00000000" w:rsidR="00000000" w:rsidRPr="00000000">
              <w:rPr/>
              <w:drawing>
                <wp:inline distB="0" distT="0" distL="0" distR="0">
                  <wp:extent cx="1802765" cy="1609725"/>
                  <wp:effectExtent b="0" l="0" r="0" t="0"/>
                  <wp:docPr id="188473060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802765" cy="1609725"/>
                          </a:xfrm>
                          <a:prstGeom prst="rect"/>
                          <a:ln/>
                        </pic:spPr>
                      </pic:pic>
                    </a:graphicData>
                  </a:graphic>
                </wp:inline>
              </w:drawing>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BA">
            <w:pPr>
              <w:jc w:val="center"/>
              <w:rPr>
                <w:color w:val="000000"/>
                <w:sz w:val="28"/>
                <w:szCs w:val="28"/>
              </w:rPr>
            </w:pPr>
            <w:r w:rsidDel="00000000" w:rsidR="00000000" w:rsidRPr="00000000">
              <w:rPr>
                <w:color w:val="000000"/>
                <w:sz w:val="28"/>
                <w:szCs w:val="28"/>
                <w:rtl w:val="0"/>
              </w:rPr>
              <w:t xml:space="preserve"> </w:t>
            </w:r>
            <w:r w:rsidDel="00000000" w:rsidR="00000000" w:rsidRPr="00000000">
              <w:rPr/>
              <w:drawing>
                <wp:inline distB="0" distT="0" distL="0" distR="0">
                  <wp:extent cx="1802765" cy="1593215"/>
                  <wp:effectExtent b="0" l="0" r="0" t="0"/>
                  <wp:docPr id="188473060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802765" cy="1593215"/>
                          </a:xfrm>
                          <a:prstGeom prst="rect"/>
                          <a:ln/>
                        </pic:spPr>
                      </pic:pic>
                    </a:graphicData>
                  </a:graphic>
                </wp:inline>
              </w:drawing>
            </w:r>
            <w:r w:rsidDel="00000000" w:rsidR="00000000" w:rsidRPr="00000000">
              <w:rPr>
                <w:rtl w:val="0"/>
              </w:rPr>
            </w:r>
          </w:p>
        </w:tc>
      </w:tr>
      <w:tr>
        <w:trPr>
          <w:cantSplit w:val="0"/>
          <w:trHeight w:val="352" w:hRule="atLeast"/>
          <w:tblHeader w:val="0"/>
        </w:trPr>
        <w:tc>
          <w:tcPr>
            <w:vAlign w:val="center"/>
          </w:tcPr>
          <w:p w:rsidR="00000000" w:rsidDel="00000000" w:rsidP="00000000" w:rsidRDefault="00000000" w:rsidRPr="00000000" w14:paraId="000000BB">
            <w:pPr>
              <w:jc w:val="center"/>
              <w:rPr>
                <w:color w:val="000000"/>
                <w:sz w:val="20"/>
                <w:szCs w:val="20"/>
              </w:rPr>
            </w:pPr>
            <w:sdt>
              <w:sdtPr>
                <w:id w:val="1275500919"/>
                <w:tag w:val="goog_rdk_15"/>
              </w:sdtPr>
              <w:sdtContent>
                <w:r w:rsidDel="00000000" w:rsidR="00000000" w:rsidRPr="00000000">
                  <w:rPr>
                    <w:rFonts w:ascii="Cardo" w:cs="Cardo" w:eastAsia="Cardo" w:hAnsi="Cardo"/>
                    <w:b w:val="1"/>
                    <w:sz w:val="20"/>
                    <w:szCs w:val="20"/>
                    <w:rtl w:val="0"/>
                  </w:rPr>
                  <w:t xml:space="preserve">U → N</w:t>
                </w:r>
              </w:sdtContent>
            </w:sdt>
            <w:r w:rsidDel="00000000" w:rsidR="00000000" w:rsidRPr="00000000">
              <w:rPr>
                <w:rtl w:val="0"/>
              </w:rPr>
            </w:r>
          </w:p>
        </w:tc>
        <w:tc>
          <w:tcPr>
            <w:vAlign w:val="center"/>
          </w:tcPr>
          <w:p w:rsidR="00000000" w:rsidDel="00000000" w:rsidP="00000000" w:rsidRDefault="00000000" w:rsidRPr="00000000" w14:paraId="000000BC">
            <w:pPr>
              <w:jc w:val="center"/>
              <w:rPr>
                <w:color w:val="000000"/>
                <w:sz w:val="28"/>
                <w:szCs w:val="28"/>
              </w:rPr>
            </w:pPr>
            <w:r w:rsidDel="00000000" w:rsidR="00000000" w:rsidRPr="00000000">
              <w:rPr/>
              <w:drawing>
                <wp:inline distB="0" distT="0" distL="0" distR="0">
                  <wp:extent cx="1802130" cy="1584960"/>
                  <wp:effectExtent b="0" l="0" r="0" t="0"/>
                  <wp:docPr id="188473061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802130" cy="15849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D">
            <w:pPr>
              <w:jc w:val="center"/>
              <w:rPr>
                <w:color w:val="000000"/>
                <w:sz w:val="28"/>
                <w:szCs w:val="28"/>
              </w:rPr>
            </w:pPr>
            <w:r w:rsidDel="00000000" w:rsidR="00000000" w:rsidRPr="00000000">
              <w:rPr>
                <w:color w:val="000000"/>
                <w:sz w:val="28"/>
                <w:szCs w:val="28"/>
                <w:rtl w:val="0"/>
              </w:rPr>
              <w:t xml:space="preserve"> </w:t>
            </w:r>
            <w:r w:rsidDel="00000000" w:rsidR="00000000" w:rsidRPr="00000000">
              <w:rPr/>
              <w:drawing>
                <wp:inline distB="0" distT="0" distL="0" distR="0">
                  <wp:extent cx="1802765" cy="1642110"/>
                  <wp:effectExtent b="0" l="0" r="0" t="0"/>
                  <wp:docPr id="188473060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802765" cy="164211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E">
            <w:pPr>
              <w:jc w:val="center"/>
              <w:rPr>
                <w:color w:val="000000"/>
                <w:sz w:val="28"/>
                <w:szCs w:val="28"/>
              </w:rPr>
            </w:pPr>
            <w:r w:rsidDel="00000000" w:rsidR="00000000" w:rsidRPr="00000000">
              <w:rPr>
                <w:sz w:val="28"/>
                <w:szCs w:val="28"/>
              </w:rPr>
              <w:drawing>
                <wp:inline distB="114300" distT="114300" distL="114300" distR="114300">
                  <wp:extent cx="1790700" cy="1600200"/>
                  <wp:effectExtent b="0" l="0" r="0" t="0"/>
                  <wp:docPr id="1884730613"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1790700" cy="1600200"/>
                          </a:xfrm>
                          <a:prstGeom prst="rect"/>
                          <a:ln/>
                        </pic:spPr>
                      </pic:pic>
                    </a:graphicData>
                  </a:graphic>
                </wp:inline>
              </w:drawing>
            </w:r>
            <w:r w:rsidDel="00000000" w:rsidR="00000000" w:rsidRPr="00000000">
              <w:rPr>
                <w:color w:val="000000"/>
                <w:sz w:val="28"/>
                <w:szCs w:val="28"/>
                <w:rtl w:val="0"/>
              </w:rPr>
              <w:t xml:space="preserve"> </w:t>
            </w:r>
          </w:p>
        </w:tc>
      </w:tr>
      <w:tr>
        <w:trPr>
          <w:cantSplit w:val="0"/>
          <w:trHeight w:val="352" w:hRule="atLeast"/>
          <w:tblHeader w:val="0"/>
        </w:trPr>
        <w:tc>
          <w:tcPr>
            <w:vAlign w:val="center"/>
          </w:tcPr>
          <w:p w:rsidR="00000000" w:rsidDel="00000000" w:rsidP="00000000" w:rsidRDefault="00000000" w:rsidRPr="00000000" w14:paraId="000000BF">
            <w:pPr>
              <w:jc w:val="center"/>
              <w:rPr>
                <w:color w:val="000000"/>
                <w:sz w:val="20"/>
                <w:szCs w:val="20"/>
              </w:rPr>
            </w:pPr>
            <w:sdt>
              <w:sdtPr>
                <w:id w:val="56368599"/>
                <w:tag w:val="goog_rdk_16"/>
              </w:sdtPr>
              <w:sdtContent>
                <w:r w:rsidDel="00000000" w:rsidR="00000000" w:rsidRPr="00000000">
                  <w:rPr>
                    <w:rFonts w:ascii="Cardo" w:cs="Cardo" w:eastAsia="Cardo" w:hAnsi="Cardo"/>
                    <w:b w:val="1"/>
                    <w:sz w:val="20"/>
                    <w:szCs w:val="20"/>
                    <w:rtl w:val="0"/>
                  </w:rPr>
                  <w:t xml:space="preserve">P → A</w:t>
                </w:r>
              </w:sdtContent>
            </w:sdt>
            <w:r w:rsidDel="00000000" w:rsidR="00000000" w:rsidRPr="00000000">
              <w:rPr>
                <w:rtl w:val="0"/>
              </w:rPr>
            </w:r>
          </w:p>
        </w:tc>
        <w:tc>
          <w:tcPr>
            <w:vAlign w:val="center"/>
          </w:tcPr>
          <w:p w:rsidR="00000000" w:rsidDel="00000000" w:rsidP="00000000" w:rsidRDefault="00000000" w:rsidRPr="00000000" w14:paraId="000000C0">
            <w:pPr>
              <w:jc w:val="center"/>
              <w:rPr>
                <w:color w:val="000000"/>
                <w:sz w:val="28"/>
                <w:szCs w:val="28"/>
              </w:rPr>
            </w:pPr>
            <w:r w:rsidDel="00000000" w:rsidR="00000000" w:rsidRPr="00000000">
              <w:rPr/>
              <w:drawing>
                <wp:inline distB="0" distT="0" distL="0" distR="0">
                  <wp:extent cx="1802130" cy="1595755"/>
                  <wp:effectExtent b="0" l="0" r="0" t="0"/>
                  <wp:docPr id="188473061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1802130" cy="15957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1">
            <w:pPr>
              <w:jc w:val="center"/>
              <w:rPr>
                <w:color w:val="000000"/>
                <w:sz w:val="28"/>
                <w:szCs w:val="28"/>
              </w:rPr>
            </w:pPr>
            <w:r w:rsidDel="00000000" w:rsidR="00000000" w:rsidRPr="00000000">
              <w:rPr/>
              <w:drawing>
                <wp:inline distB="0" distT="0" distL="0" distR="0">
                  <wp:extent cx="1802765" cy="1577340"/>
                  <wp:effectExtent b="0" l="0" r="0" t="0"/>
                  <wp:docPr id="1884730612"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802765" cy="1577340"/>
                          </a:xfrm>
                          <a:prstGeom prst="rect"/>
                          <a:ln/>
                        </pic:spPr>
                      </pic:pic>
                    </a:graphicData>
                  </a:graphic>
                </wp:inline>
              </w:drawing>
            </w:r>
            <w:r w:rsidDel="00000000" w:rsidR="00000000" w:rsidRPr="00000000">
              <w:rPr>
                <w:color w:val="000000"/>
                <w:sz w:val="28"/>
                <w:szCs w:val="28"/>
                <w:rtl w:val="0"/>
              </w:rPr>
              <w:t xml:space="preserve"> </w:t>
            </w:r>
          </w:p>
        </w:tc>
        <w:tc>
          <w:tcPr>
            <w:vAlign w:val="center"/>
          </w:tcPr>
          <w:p w:rsidR="00000000" w:rsidDel="00000000" w:rsidP="00000000" w:rsidRDefault="00000000" w:rsidRPr="00000000" w14:paraId="000000C2">
            <w:pPr>
              <w:rPr>
                <w:color w:val="000000"/>
                <w:sz w:val="28"/>
                <w:szCs w:val="28"/>
              </w:rPr>
            </w:pPr>
            <w:r w:rsidDel="00000000" w:rsidR="00000000" w:rsidRPr="00000000">
              <w:rPr>
                <w:sz w:val="28"/>
                <w:szCs w:val="28"/>
              </w:rPr>
              <w:drawing>
                <wp:inline distB="114300" distT="114300" distL="114300" distR="114300">
                  <wp:extent cx="1790700" cy="1574800"/>
                  <wp:effectExtent b="0" l="0" r="0" t="0"/>
                  <wp:docPr id="188473061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790700" cy="1574800"/>
                          </a:xfrm>
                          <a:prstGeom prst="rect"/>
                          <a:ln/>
                        </pic:spPr>
                      </pic:pic>
                    </a:graphicData>
                  </a:graphic>
                </wp:inline>
              </w:drawing>
            </w:r>
            <w:r w:rsidDel="00000000" w:rsidR="00000000" w:rsidRPr="00000000">
              <w:rPr>
                <w:rtl w:val="0"/>
              </w:rPr>
            </w:r>
          </w:p>
        </w:tc>
      </w:tr>
      <w:tr>
        <w:trPr>
          <w:cantSplit w:val="0"/>
          <w:trHeight w:val="352" w:hRule="atLeast"/>
          <w:tblHeader w:val="0"/>
        </w:trPr>
        <w:tc>
          <w:tcPr>
            <w:vAlign w:val="center"/>
          </w:tcPr>
          <w:p w:rsidR="00000000" w:rsidDel="00000000" w:rsidP="00000000" w:rsidRDefault="00000000" w:rsidRPr="00000000" w14:paraId="000000C3">
            <w:pPr>
              <w:jc w:val="center"/>
              <w:rPr>
                <w:color w:val="000000"/>
                <w:sz w:val="20"/>
                <w:szCs w:val="20"/>
              </w:rPr>
            </w:pPr>
            <w:sdt>
              <w:sdtPr>
                <w:id w:val="1958229356"/>
                <w:tag w:val="goog_rdk_17"/>
              </w:sdtPr>
              <w:sdtContent>
                <w:r w:rsidDel="00000000" w:rsidR="00000000" w:rsidRPr="00000000">
                  <w:rPr>
                    <w:rFonts w:ascii="Cardo" w:cs="Cardo" w:eastAsia="Cardo" w:hAnsi="Cardo"/>
                    <w:b w:val="1"/>
                    <w:sz w:val="20"/>
                    <w:szCs w:val="20"/>
                    <w:rtl w:val="0"/>
                  </w:rPr>
                  <w:t xml:space="preserve">P → U</w:t>
                </w:r>
              </w:sdtContent>
            </w:sdt>
            <w:r w:rsidDel="00000000" w:rsidR="00000000" w:rsidRPr="00000000">
              <w:rPr>
                <w:rtl w:val="0"/>
              </w:rPr>
            </w:r>
          </w:p>
        </w:tc>
        <w:tc>
          <w:tcPr>
            <w:vAlign w:val="center"/>
          </w:tcPr>
          <w:p w:rsidR="00000000" w:rsidDel="00000000" w:rsidP="00000000" w:rsidRDefault="00000000" w:rsidRPr="00000000" w14:paraId="000000C4">
            <w:pPr>
              <w:rPr>
                <w:rFonts w:ascii="Calibri" w:cs="Calibri" w:eastAsia="Calibri" w:hAnsi="Calibri"/>
                <w:color w:val="000000"/>
                <w:sz w:val="22"/>
                <w:szCs w:val="22"/>
              </w:rPr>
            </w:pPr>
            <w:r w:rsidDel="00000000" w:rsidR="00000000" w:rsidRPr="00000000">
              <w:rPr/>
              <w:drawing>
                <wp:inline distB="0" distT="0" distL="0" distR="0">
                  <wp:extent cx="1802130" cy="1577340"/>
                  <wp:effectExtent b="0" l="0" r="0" t="0"/>
                  <wp:docPr id="1884730615"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802130" cy="15773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drawing>
                <wp:inline distB="0" distT="0" distL="0" distR="0">
                  <wp:extent cx="1802765" cy="1641475"/>
                  <wp:effectExtent b="0" l="0" r="0" t="0"/>
                  <wp:docPr id="1884730616"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1802765" cy="16414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sz w:val="28"/>
                <w:szCs w:val="28"/>
              </w:rPr>
              <w:drawing>
                <wp:inline distB="114300" distT="114300" distL="114300" distR="114300">
                  <wp:extent cx="1790700" cy="1587500"/>
                  <wp:effectExtent b="0" l="0" r="0" t="0"/>
                  <wp:docPr id="188473061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790700" cy="1587500"/>
                          </a:xfrm>
                          <a:prstGeom prst="rect"/>
                          <a:ln/>
                        </pic:spPr>
                      </pic:pic>
                    </a:graphicData>
                  </a:graphic>
                </wp:inline>
              </w:drawing>
            </w:r>
            <w:r w:rsidDel="00000000" w:rsidR="00000000" w:rsidRPr="00000000">
              <w:rPr>
                <w:rtl w:val="0"/>
              </w:rPr>
            </w:r>
          </w:p>
        </w:tc>
      </w:tr>
      <w:tr>
        <w:trPr>
          <w:cantSplit w:val="0"/>
          <w:trHeight w:val="352" w:hRule="atLeast"/>
          <w:tblHeader w:val="0"/>
        </w:trPr>
        <w:tc>
          <w:tcPr>
            <w:vAlign w:val="center"/>
          </w:tcPr>
          <w:p w:rsidR="00000000" w:rsidDel="00000000" w:rsidP="00000000" w:rsidRDefault="00000000" w:rsidRPr="00000000" w14:paraId="000000C7">
            <w:pPr>
              <w:jc w:val="center"/>
              <w:rPr>
                <w:color w:val="000000"/>
                <w:sz w:val="20"/>
                <w:szCs w:val="20"/>
              </w:rPr>
            </w:pPr>
            <w:sdt>
              <w:sdtPr>
                <w:id w:val="1444321719"/>
                <w:tag w:val="goog_rdk_18"/>
              </w:sdtPr>
              <w:sdtContent>
                <w:r w:rsidDel="00000000" w:rsidR="00000000" w:rsidRPr="00000000">
                  <w:rPr>
                    <w:rFonts w:ascii="Cardo" w:cs="Cardo" w:eastAsia="Cardo" w:hAnsi="Cardo"/>
                    <w:b w:val="1"/>
                    <w:sz w:val="20"/>
                    <w:szCs w:val="20"/>
                    <w:rtl w:val="0"/>
                  </w:rPr>
                  <w:t xml:space="preserve">N → P</w:t>
                </w:r>
              </w:sdtContent>
            </w:sdt>
            <w:r w:rsidDel="00000000" w:rsidR="00000000" w:rsidRPr="00000000">
              <w:rPr>
                <w:rtl w:val="0"/>
              </w:rPr>
            </w:r>
          </w:p>
        </w:tc>
        <w:tc>
          <w:tcPr>
            <w:vAlign w:val="center"/>
          </w:tcPr>
          <w:p w:rsidR="00000000" w:rsidDel="00000000" w:rsidP="00000000" w:rsidRDefault="00000000" w:rsidRPr="00000000" w14:paraId="000000C8">
            <w:pPr>
              <w:rPr>
                <w:rFonts w:ascii="Calibri" w:cs="Calibri" w:eastAsia="Calibri" w:hAnsi="Calibri"/>
                <w:color w:val="000000"/>
                <w:sz w:val="22"/>
                <w:szCs w:val="22"/>
              </w:rPr>
            </w:pPr>
            <w:r w:rsidDel="00000000" w:rsidR="00000000" w:rsidRPr="00000000">
              <w:rPr/>
              <w:drawing>
                <wp:inline distB="0" distT="0" distL="0" distR="0">
                  <wp:extent cx="1802130" cy="1576070"/>
                  <wp:effectExtent b="0" l="0" r="0" t="0"/>
                  <wp:docPr id="188473061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802130" cy="15760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drawing>
                <wp:inline distB="0" distT="0" distL="0" distR="0">
                  <wp:extent cx="1802765" cy="1563370"/>
                  <wp:effectExtent b="0" l="0" r="0" t="0"/>
                  <wp:docPr id="1884730619"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802765" cy="15633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114300" distT="114300" distL="114300" distR="114300">
                  <wp:extent cx="1790700" cy="1625600"/>
                  <wp:effectExtent b="0" l="0" r="0" t="0"/>
                  <wp:docPr id="1884730620"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1790700" cy="1625600"/>
                          </a:xfrm>
                          <a:prstGeom prst="rect"/>
                          <a:ln/>
                        </pic:spPr>
                      </pic:pic>
                    </a:graphicData>
                  </a:graphic>
                </wp:inline>
              </w:drawing>
            </w:r>
            <w:r w:rsidDel="00000000" w:rsidR="00000000" w:rsidRPr="00000000">
              <w:rPr>
                <w:rtl w:val="0"/>
              </w:rPr>
            </w:r>
          </w:p>
        </w:tc>
      </w:tr>
      <w:tr>
        <w:trPr>
          <w:cantSplit w:val="0"/>
          <w:trHeight w:val="352" w:hRule="atLeast"/>
          <w:tblHeader w:val="0"/>
        </w:trPr>
        <w:tc>
          <w:tcPr>
            <w:tcBorders>
              <w:bottom w:color="000000" w:space="0" w:sz="4" w:val="single"/>
            </w:tcBorders>
            <w:vAlign w:val="center"/>
          </w:tcPr>
          <w:p w:rsidR="00000000" w:rsidDel="00000000" w:rsidP="00000000" w:rsidRDefault="00000000" w:rsidRPr="00000000" w14:paraId="000000CB">
            <w:pPr>
              <w:jc w:val="center"/>
              <w:rPr>
                <w:color w:val="000000"/>
                <w:sz w:val="20"/>
                <w:szCs w:val="20"/>
              </w:rPr>
            </w:pPr>
            <w:sdt>
              <w:sdtPr>
                <w:id w:val="-1292061749"/>
                <w:tag w:val="goog_rdk_19"/>
              </w:sdtPr>
              <w:sdtContent>
                <w:r w:rsidDel="00000000" w:rsidR="00000000" w:rsidRPr="00000000">
                  <w:rPr>
                    <w:rFonts w:ascii="Cardo" w:cs="Cardo" w:eastAsia="Cardo" w:hAnsi="Cardo"/>
                    <w:b w:val="1"/>
                    <w:sz w:val="20"/>
                    <w:szCs w:val="20"/>
                    <w:rtl w:val="0"/>
                  </w:rPr>
                  <w:t xml:space="preserve">N → A</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C">
            <w:pPr>
              <w:rPr>
                <w:rFonts w:ascii="Calibri" w:cs="Calibri" w:eastAsia="Calibri" w:hAnsi="Calibri"/>
                <w:color w:val="000000"/>
                <w:sz w:val="22"/>
                <w:szCs w:val="22"/>
              </w:rPr>
            </w:pPr>
            <w:r w:rsidDel="00000000" w:rsidR="00000000" w:rsidRPr="00000000">
              <w:rPr/>
              <w:drawing>
                <wp:inline distB="0" distT="0" distL="0" distR="0">
                  <wp:extent cx="1802765" cy="1547495"/>
                  <wp:effectExtent b="0" l="0" r="0" t="0"/>
                  <wp:docPr id="1884730621"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1802765" cy="1547495"/>
                          </a:xfrm>
                          <a:prstGeom prst="rect"/>
                          <a:ln/>
                        </pic:spPr>
                      </pic:pic>
                    </a:graphicData>
                  </a:graphic>
                </wp:inline>
              </w:drawing>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drawing>
                <wp:inline distB="0" distT="0" distL="0" distR="0">
                  <wp:extent cx="1802765" cy="1614805"/>
                  <wp:effectExtent b="0" l="0" r="0" t="0"/>
                  <wp:docPr id="188473060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802765" cy="1614805"/>
                          </a:xfrm>
                          <a:prstGeom prst="rect"/>
                          <a:ln/>
                        </pic:spPr>
                      </pic:pic>
                    </a:graphicData>
                  </a:graphic>
                </wp:inline>
              </w:drawing>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1790700" cy="1562100"/>
                  <wp:effectExtent b="0" l="0" r="0" t="0"/>
                  <wp:docPr id="188473060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1790700" cy="1562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b w:val="1"/>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b w:val="1"/>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From Table 3 and 4 we can observe that as the FID score (as per table 3) decreases domain gap between datasets reduces and hence we are finding higher accuracy in domain adaptation (as per table 4). Table 5 shows confusion matrix for all domain adaptation cases which supports the accuracy scores of table 4.</w:t>
      </w:r>
    </w:p>
    <w:p w:rsidR="00000000" w:rsidDel="00000000" w:rsidP="00000000" w:rsidRDefault="00000000" w:rsidRPr="00000000" w14:paraId="000000D2">
      <w:pPr>
        <w:pStyle w:val="Heading2"/>
        <w:rPr/>
      </w:pPr>
      <w:r w:rsidDel="00000000" w:rsidR="00000000" w:rsidRPr="00000000">
        <w:rPr>
          <w:rtl w:val="0"/>
        </w:rPr>
        <w:t xml:space="preserve">B. Qualitative Insights</w:t>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color w:val="000000"/>
          <w:sz w:val="20"/>
          <w:szCs w:val="20"/>
          <w:rtl w:val="0"/>
        </w:rPr>
        <w:t xml:space="preserve">Our results highlight the importance of domain adaptation in remote sensing tasks that encounter significant cross-sensor or cross-platform transitions. Among the methods that were looked at:</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DANN gets the best results when the domain shift is very strong since it has strong adversarial feature alignment.</w:t>
      </w:r>
      <w:r w:rsidDel="00000000" w:rsidR="00000000" w:rsidRPr="00000000">
        <w:rPr>
          <w:rtl w:val="0"/>
        </w:rPr>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DAN is more stable and consistent when there are only a few domain gaps.</w:t>
      </w:r>
      <w:r w:rsidDel="00000000" w:rsidR="00000000" w:rsidRPr="00000000">
        <w:rPr>
          <w:rtl w:val="0"/>
        </w:rPr>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ind w:left="1004" w:hanging="360"/>
        <w:jc w:val="both"/>
        <w:rPr/>
      </w:pPr>
      <w:r w:rsidDel="00000000" w:rsidR="00000000" w:rsidRPr="00000000">
        <w:rPr>
          <w:color w:val="000000"/>
          <w:sz w:val="20"/>
          <w:szCs w:val="20"/>
          <w:rtl w:val="0"/>
        </w:rPr>
        <w:t xml:space="preserve">Deep CORAL is still appealing since it is simple and doesn't need a lot of computing power, which makes it good for applications that don't have a lot of resources.</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b w:val="1"/>
          <w:smallCaps w:val="1"/>
          <w:color w:val="000000"/>
          <w:sz w:val="20"/>
          <w:szCs w:val="20"/>
        </w:rPr>
      </w:pPr>
      <w:r w:rsidDel="00000000" w:rsidR="00000000" w:rsidRPr="00000000">
        <w:rPr>
          <w:color w:val="000000"/>
          <w:sz w:val="20"/>
          <w:szCs w:val="20"/>
          <w:rtl w:val="0"/>
        </w:rPr>
        <w:t xml:space="preserve">So, the level of projected domain discrepancy and resource availability should help you choose the right DA technique.</w:t>
      </w:r>
      <w:r w:rsidDel="00000000" w:rsidR="00000000" w:rsidRPr="00000000">
        <w:rPr>
          <w:rtl w:val="0"/>
        </w:rPr>
      </w:r>
    </w:p>
    <w:p w:rsidR="00000000" w:rsidDel="00000000" w:rsidP="00000000" w:rsidRDefault="00000000" w:rsidRPr="00000000" w14:paraId="000000D8">
      <w:pPr>
        <w:pStyle w:val="Heading1"/>
        <w:rPr>
          <w:b w:val="0"/>
          <w:smallCaps w:val="0"/>
          <w:sz w:val="20"/>
          <w:szCs w:val="20"/>
        </w:rPr>
      </w:pP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b w:val="1"/>
          <w:smallCaps w:val="1"/>
          <w:color w:val="000000"/>
          <w:sz w:val="20"/>
          <w:szCs w:val="20"/>
        </w:rPr>
      </w:pPr>
      <w:r w:rsidDel="00000000" w:rsidR="00000000" w:rsidRPr="00000000">
        <w:rPr>
          <w:color w:val="000000"/>
          <w:sz w:val="20"/>
          <w:szCs w:val="20"/>
          <w:rtl w:val="0"/>
        </w:rPr>
        <w:t xml:space="preserve">This thorough study shows how important domain adaptation (DA) is for remote sensing applications, where there are often big domain gaps caused by sensors and platforms.  Domain-Adversarial Neural Networks (DANN) exhibited the most reliable performance enhancements in the presence of significant domain shift among the assessed methodologies.  On the other hand, the Deep Adaptation Network (DAN) showed more steady benefits in situations where the domains were only slightly different.  DeepCORAL also became a good choice because it worked well and was easy to use with little extra processing power.  These results indicate that the choice of a DA approach ought to be guided by the extent of the domain gap and the computational resources at hand.  Looking ahead, there are a number of paths that need more research.  These include using transformer-based architectures to better capture spectral-spatial dependencies, using contrastive learning and self-supervised methods to reduce the need for labeled source data, and extending to multi-source domain adaptation to make the system more robust in different sensor environments.  Also, adding sensor metadata, like geographic coordinates, to the model adaption process can make it more useful in the real world and better fit with how remote sensing is used in the field.</w:t>
      </w:r>
      <w:r w:rsidDel="00000000" w:rsidR="00000000" w:rsidRPr="00000000">
        <w:rPr>
          <w:rtl w:val="0"/>
        </w:rPr>
      </w:r>
    </w:p>
    <w:p w:rsidR="00000000" w:rsidDel="00000000" w:rsidP="00000000" w:rsidRDefault="00000000" w:rsidRPr="00000000" w14:paraId="000000DA">
      <w:pPr>
        <w:pStyle w:val="Heading1"/>
        <w:rPr>
          <w:b w:val="0"/>
          <w:smallCaps w:val="0"/>
          <w:sz w:val="20"/>
          <w:szCs w:val="20"/>
        </w:rPr>
      </w:pPr>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ind w:left="720" w:hanging="360"/>
        <w:jc w:val="both"/>
        <w:rPr/>
      </w:pPr>
      <w:r w:rsidDel="00000000" w:rsidR="00000000" w:rsidRPr="00000000">
        <w:rPr>
          <w:sz w:val="20"/>
          <w:szCs w:val="20"/>
          <w:rtl w:val="0"/>
        </w:rPr>
        <w:t xml:space="preserve">Tuia, Devis &amp; Persello, Claudio &amp; Bruzzone, Lorenzo. (2016). Domain Adaptation for the Classification of Remote Sensing Data: An Overview of Recent Advances. IEEE Geoscience and Remote Sensing Magazine. 4. 41-57. 10.1109/MGRS.2016.2548504.</w:t>
      </w:r>
      <w:r w:rsidDel="00000000" w:rsidR="00000000" w:rsidRPr="00000000">
        <w:rPr>
          <w:rtl w:val="0"/>
        </w:rPr>
      </w:r>
    </w:p>
    <w:p w:rsidR="00000000" w:rsidDel="00000000" w:rsidP="00000000" w:rsidRDefault="00000000" w:rsidRPr="00000000" w14:paraId="000000DC">
      <w:pPr>
        <w:numPr>
          <w:ilvl w:val="0"/>
          <w:numId w:val="1"/>
        </w:numPr>
        <w:ind w:left="720" w:hanging="360"/>
        <w:jc w:val="both"/>
        <w:rPr/>
      </w:pPr>
      <w:r w:rsidDel="00000000" w:rsidR="00000000" w:rsidRPr="00000000">
        <w:rPr>
          <w:sz w:val="20"/>
          <w:szCs w:val="20"/>
          <w:rtl w:val="0"/>
        </w:rPr>
        <w:t xml:space="preserve">Ma, Lei &amp; Liu, Yu &amp; Zhang, Xueliang &amp; Ye, Yuanxin &amp; Yin, Gaofei &amp; Johnson, Brian. (2019). Deep learning in remote sensing applications: A meta-analysis and review. ISPRS Journal of Photogrammetry and Remote Sensing. 152. 166-177. 10.1016/j.isprsjprs.2019.04.015.</w:t>
      </w:r>
      <w:r w:rsidDel="00000000" w:rsidR="00000000" w:rsidRPr="00000000">
        <w:rPr>
          <w:rtl w:val="0"/>
        </w:rPr>
      </w:r>
    </w:p>
    <w:p w:rsidR="00000000" w:rsidDel="00000000" w:rsidP="00000000" w:rsidRDefault="00000000" w:rsidRPr="00000000" w14:paraId="000000DD">
      <w:pPr>
        <w:numPr>
          <w:ilvl w:val="0"/>
          <w:numId w:val="1"/>
        </w:numPr>
        <w:ind w:left="720" w:hanging="360"/>
        <w:jc w:val="both"/>
        <w:rPr/>
      </w:pPr>
      <w:r w:rsidDel="00000000" w:rsidR="00000000" w:rsidRPr="00000000">
        <w:rPr>
          <w:sz w:val="20"/>
          <w:szCs w:val="20"/>
          <w:rtl w:val="0"/>
        </w:rPr>
        <w:t xml:space="preserve">Tuia, D., Persello, C., &amp; Bruzzone, L. (2021). Recent Advances in Domain Adaptation for the Classification of Remote Sensing Data. arXiv: Computer Vision and Pattern Recognition. https://doi.org/10.1109/MGRS.2016.2548504</w:t>
      </w:r>
      <w:r w:rsidDel="00000000" w:rsidR="00000000" w:rsidRPr="00000000">
        <w:rPr>
          <w:rtl w:val="0"/>
        </w:rPr>
      </w:r>
    </w:p>
    <w:p w:rsidR="00000000" w:rsidDel="00000000" w:rsidP="00000000" w:rsidRDefault="00000000" w:rsidRPr="00000000" w14:paraId="000000DE">
      <w:pPr>
        <w:numPr>
          <w:ilvl w:val="0"/>
          <w:numId w:val="1"/>
        </w:numPr>
        <w:ind w:left="720" w:hanging="360"/>
        <w:jc w:val="both"/>
        <w:rPr/>
      </w:pPr>
      <w:r w:rsidDel="00000000" w:rsidR="00000000" w:rsidRPr="00000000">
        <w:rPr>
          <w:sz w:val="20"/>
          <w:szCs w:val="20"/>
          <w:rtl w:val="0"/>
        </w:rPr>
        <w:t xml:space="preserve">Valerio Marsocci, Nicolas Gonthier, Anatol Garioud, Simone Scardapane, Clément Mallet.(2023) GeoMultiTaskNet: remote sensing unsupervised domain adaptation using geographical coordinates. IEEE/CVF Conference on Computer Vision and Pattern Recognition Workshops, Jun 2023, Vancouver, Canada.</w:t>
      </w:r>
      <w:r w:rsidDel="00000000" w:rsidR="00000000" w:rsidRPr="00000000">
        <w:rPr>
          <w:rtl w:val="0"/>
        </w:rPr>
      </w:r>
    </w:p>
    <w:p w:rsidR="00000000" w:rsidDel="00000000" w:rsidP="00000000" w:rsidRDefault="00000000" w:rsidRPr="00000000" w14:paraId="000000DF">
      <w:pPr>
        <w:numPr>
          <w:ilvl w:val="0"/>
          <w:numId w:val="1"/>
        </w:numPr>
        <w:ind w:left="720" w:hanging="360"/>
        <w:jc w:val="both"/>
        <w:rPr/>
      </w:pPr>
      <w:r w:rsidDel="00000000" w:rsidR="00000000" w:rsidRPr="00000000">
        <w:rPr>
          <w:sz w:val="20"/>
          <w:szCs w:val="20"/>
          <w:rtl w:val="0"/>
        </w:rPr>
        <w:t xml:space="preserve">Sun, Baochen &amp; Saenko, Kate. (2016). Deep CORAL: Correlation Alignment for Deep Domain Adaptation. 10.1007/978-3-319-49409-8_35. </w:t>
      </w:r>
      <w:r w:rsidDel="00000000" w:rsidR="00000000" w:rsidRPr="00000000">
        <w:rPr>
          <w:rtl w:val="0"/>
        </w:rPr>
      </w:r>
    </w:p>
    <w:p w:rsidR="00000000" w:rsidDel="00000000" w:rsidP="00000000" w:rsidRDefault="00000000" w:rsidRPr="00000000" w14:paraId="000000E0">
      <w:pPr>
        <w:numPr>
          <w:ilvl w:val="0"/>
          <w:numId w:val="1"/>
        </w:numPr>
        <w:ind w:left="720" w:hanging="360"/>
        <w:jc w:val="both"/>
        <w:rPr/>
      </w:pPr>
      <w:r w:rsidDel="00000000" w:rsidR="00000000" w:rsidRPr="00000000">
        <w:rPr>
          <w:sz w:val="20"/>
          <w:szCs w:val="20"/>
          <w:rtl w:val="0"/>
        </w:rPr>
        <w:t xml:space="preserve">M. Long et al., “Learning Transferable Features with Deep Adaptation Networks,” ICML, 2015.</w:t>
      </w:r>
      <w:r w:rsidDel="00000000" w:rsidR="00000000" w:rsidRPr="00000000">
        <w:rPr>
          <w:rtl w:val="0"/>
        </w:rPr>
      </w:r>
    </w:p>
    <w:p w:rsidR="00000000" w:rsidDel="00000000" w:rsidP="00000000" w:rsidRDefault="00000000" w:rsidRPr="00000000" w14:paraId="000000E1">
      <w:pPr>
        <w:numPr>
          <w:ilvl w:val="0"/>
          <w:numId w:val="1"/>
        </w:numPr>
        <w:ind w:left="720" w:hanging="360"/>
        <w:jc w:val="both"/>
        <w:rPr/>
      </w:pPr>
      <w:r w:rsidDel="00000000" w:rsidR="00000000" w:rsidRPr="00000000">
        <w:rPr>
          <w:sz w:val="20"/>
          <w:szCs w:val="20"/>
          <w:rtl w:val="0"/>
        </w:rPr>
        <w:t xml:space="preserve">Y. Ganin et al., “Domain-Adversarial Training of Neural Networks,” JMLR, 2016.</w:t>
      </w:r>
      <w:r w:rsidDel="00000000" w:rsidR="00000000" w:rsidRPr="00000000">
        <w:rPr>
          <w:rtl w:val="0"/>
        </w:rPr>
      </w:r>
    </w:p>
    <w:p w:rsidR="00000000" w:rsidDel="00000000" w:rsidP="00000000" w:rsidRDefault="00000000" w:rsidRPr="00000000" w14:paraId="000000E2">
      <w:pPr>
        <w:numPr>
          <w:ilvl w:val="0"/>
          <w:numId w:val="1"/>
        </w:numPr>
        <w:ind w:left="720" w:hanging="360"/>
        <w:jc w:val="both"/>
        <w:rPr/>
      </w:pPr>
      <w:r w:rsidDel="00000000" w:rsidR="00000000" w:rsidRPr="00000000">
        <w:rPr>
          <w:sz w:val="20"/>
          <w:szCs w:val="20"/>
          <w:rtl w:val="0"/>
        </w:rPr>
        <w:t xml:space="preserve">Z. Zhong et al., “Deep Adversarial Learning for Cross-Domain Scene Classification,” Remote Sensing, 2020.</w:t>
      </w:r>
      <w:r w:rsidDel="00000000" w:rsidR="00000000" w:rsidRPr="00000000">
        <w:rPr>
          <w:rtl w:val="0"/>
        </w:rPr>
      </w:r>
    </w:p>
    <w:p w:rsidR="00000000" w:rsidDel="00000000" w:rsidP="00000000" w:rsidRDefault="00000000" w:rsidRPr="00000000" w14:paraId="000000E3">
      <w:pPr>
        <w:numPr>
          <w:ilvl w:val="0"/>
          <w:numId w:val="1"/>
        </w:numPr>
        <w:ind w:left="720" w:hanging="360"/>
        <w:jc w:val="both"/>
        <w:rPr/>
      </w:pPr>
      <w:r w:rsidDel="00000000" w:rsidR="00000000" w:rsidRPr="00000000">
        <w:rPr>
          <w:sz w:val="20"/>
          <w:szCs w:val="20"/>
          <w:rtl w:val="0"/>
        </w:rPr>
        <w:t xml:space="preserve">Zeng, J., Gu, Y., Qin, C. et al. Unsupervised domain adaptation for remote sensing semantic segmentation with the 2D discrete wavelet transform. Sci Rep 14, 23552 (2024). https://doi.org/10.1038/s41598-024-74781-y</w:t>
      </w:r>
      <w:r w:rsidDel="00000000" w:rsidR="00000000" w:rsidRPr="00000000">
        <w:rPr>
          <w:rtl w:val="0"/>
        </w:rPr>
      </w:r>
    </w:p>
    <w:p w:rsidR="00000000" w:rsidDel="00000000" w:rsidP="00000000" w:rsidRDefault="00000000" w:rsidRPr="00000000" w14:paraId="000000E4">
      <w:pPr>
        <w:numPr>
          <w:ilvl w:val="0"/>
          <w:numId w:val="1"/>
        </w:numPr>
        <w:ind w:left="720" w:hanging="360"/>
        <w:jc w:val="both"/>
        <w:rPr/>
      </w:pPr>
      <w:r w:rsidDel="00000000" w:rsidR="00000000" w:rsidRPr="00000000">
        <w:rPr>
          <w:sz w:val="20"/>
          <w:szCs w:val="20"/>
          <w:rtl w:val="0"/>
        </w:rPr>
        <w:t xml:space="preserve">G. Xia et al., “AID: A Benchmark Dataset for Performance Evaluation of Aerial Scene Classification,” IEEE TGRS, 2017.</w:t>
      </w:r>
      <w:r w:rsidDel="00000000" w:rsidR="00000000" w:rsidRPr="00000000">
        <w:rPr>
          <w:rtl w:val="0"/>
        </w:rPr>
      </w:r>
    </w:p>
    <w:p w:rsidR="00000000" w:rsidDel="00000000" w:rsidP="00000000" w:rsidRDefault="00000000" w:rsidRPr="00000000" w14:paraId="000000E5">
      <w:pPr>
        <w:numPr>
          <w:ilvl w:val="0"/>
          <w:numId w:val="1"/>
        </w:numPr>
        <w:ind w:left="720" w:hanging="360"/>
        <w:jc w:val="both"/>
        <w:rPr/>
      </w:pPr>
      <w:r w:rsidDel="00000000" w:rsidR="00000000" w:rsidRPr="00000000">
        <w:rPr>
          <w:sz w:val="20"/>
          <w:szCs w:val="20"/>
          <w:rtl w:val="0"/>
        </w:rPr>
        <w:t xml:space="preserve">G. Cheng et al., “Remote Sensing Image Scene Classification: Benchmark and State of the Art,” Proc. IEEE, 2017.</w:t>
      </w:r>
      <w:r w:rsidDel="00000000" w:rsidR="00000000" w:rsidRPr="00000000">
        <w:rPr>
          <w:rtl w:val="0"/>
        </w:rPr>
      </w:r>
    </w:p>
    <w:p w:rsidR="00000000" w:rsidDel="00000000" w:rsidP="00000000" w:rsidRDefault="00000000" w:rsidRPr="00000000" w14:paraId="000000E6">
      <w:pPr>
        <w:numPr>
          <w:ilvl w:val="0"/>
          <w:numId w:val="1"/>
        </w:numPr>
        <w:ind w:left="720" w:hanging="360"/>
        <w:jc w:val="both"/>
        <w:rPr/>
      </w:pPr>
      <w:r w:rsidDel="00000000" w:rsidR="00000000" w:rsidRPr="00000000">
        <w:rPr>
          <w:sz w:val="20"/>
          <w:szCs w:val="20"/>
          <w:rtl w:val="0"/>
        </w:rPr>
        <w:t xml:space="preserve">W. Zhou et al., “PatternNet: A Benchmark Dataset for Remote Sensing Image Retrieval,” ISPRS, 2018.</w:t>
      </w:r>
      <w:r w:rsidDel="00000000" w:rsidR="00000000" w:rsidRPr="00000000">
        <w:rPr>
          <w:rtl w:val="0"/>
        </w:rPr>
      </w:r>
    </w:p>
    <w:p w:rsidR="00000000" w:rsidDel="00000000" w:rsidP="00000000" w:rsidRDefault="00000000" w:rsidRPr="00000000" w14:paraId="000000E7">
      <w:pPr>
        <w:numPr>
          <w:ilvl w:val="0"/>
          <w:numId w:val="1"/>
        </w:numPr>
        <w:ind w:left="720" w:hanging="360"/>
        <w:jc w:val="both"/>
        <w:rPr/>
      </w:pPr>
      <w:r w:rsidDel="00000000" w:rsidR="00000000" w:rsidRPr="00000000">
        <w:rPr>
          <w:sz w:val="20"/>
          <w:szCs w:val="20"/>
          <w:rtl w:val="0"/>
        </w:rPr>
        <w:t xml:space="preserve">Y. Yang and S. Newsam, “Bag-of-Visual-Words and Spatial Extensions for Land-Use Classification,” ACM GIS, 2010.</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Heusel, M., Ramsauer, H., Unterthiner, T., Nessler, B., &amp; Hochreiter, S. (2017). GANs trained by a two time-scale update rule converge to a local Nash equilibrium. Advances in neural information processing systems.</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Alegavi, S</w:t>
      </w:r>
      <w:r w:rsidDel="00000000" w:rsidR="00000000" w:rsidRPr="00000000">
        <w:rPr>
          <w:sz w:val="20"/>
          <w:szCs w:val="20"/>
          <w:rtl w:val="0"/>
        </w:rPr>
        <w:t xml:space="preserve">., &amp; Sedamkar, R. (2025), “Optimizing Remote Sensing Image Retrieval Through a Hybrid Methodology”,  </w:t>
      </w:r>
      <w:r w:rsidDel="00000000" w:rsidR="00000000" w:rsidRPr="00000000">
        <w:rPr>
          <w:sz w:val="20"/>
          <w:szCs w:val="20"/>
          <w:rtl w:val="0"/>
        </w:rPr>
        <w:t xml:space="preserve">Journal of Imaging, MDPI</w:t>
      </w:r>
      <w:r w:rsidDel="00000000" w:rsidR="00000000" w:rsidRPr="00000000">
        <w:rPr>
          <w:sz w:val="20"/>
          <w:szCs w:val="20"/>
          <w:rtl w:val="0"/>
        </w:rPr>
        <w:t xml:space="preserve">, 11(6), 179. </w:t>
      </w:r>
      <w:r w:rsidDel="00000000" w:rsidR="00000000" w:rsidRPr="00000000">
        <w:rPr>
          <w:sz w:val="20"/>
          <w:szCs w:val="20"/>
          <w:rtl w:val="0"/>
        </w:rPr>
        <w:t xml:space="preserve">https://doi.org/10.3390/jimaging11060179</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Akshay Utane, Sharad Mohod, Ashay Rokade, Yogesh Thakare, Hemant Kasturiwale, “An Ensemble Learning with Deep Feature Extraction Approach for Recognition of Traffic Signs in Advanced Driving Assistance Systems” International Journal of Intelligent Systems and Applications in Engineering, 12(3), 1222–1229. https://ijisae.org/index.php/IJISAE/article/view/5402 </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S. Alegavi, R.R. Sedamkar, “Implementation of Deep Convolutional Neural Network for Classification of Multiscaled &amp; Multiangled Remote Sensing Scene”, International Journal on Soft Computing approaches for image analysis in practical scenario: Challenges, Solutions and Applications, Intelligent Decision Technologies, 14 (2020) 21–34, DOI: 10.3233/IDT-190076 IOS Press February 2020. (Scopus, Web of Science)</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Swati Bhisikar, Shreya Sawant, Tanvi Sawant , Sayali Narale , Hemant Kasturiwale, HAND GESTURE CONTROLLED POWERPOINT PRESENTATION USING OPENCV” European Chemical Bulletin , Volume -12 , Special Issue-3 : Page: 5137 – 5145, June 2023;  DOI:10.31838/ecb/2023.12.s3.572</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S. Alegavi, P. Janrao, C. Mahajan, R. Thakkar, V. Pandya, H. Kasturiwale, “Weather forecasting using IoT and neural network for sustainable agriculture”, American Institute of Physics, AIP Conf. Proc. 2842, 040003 (2023), Volume 2842, Issue 1, 12 October 2023, </w:t>
      </w:r>
      <w:hyperlink r:id="rId32">
        <w:r w:rsidDel="00000000" w:rsidR="00000000" w:rsidRPr="00000000">
          <w:rPr>
            <w:sz w:val="20"/>
            <w:szCs w:val="20"/>
            <w:rtl w:val="0"/>
          </w:rPr>
          <w:t xml:space="preserve"> </w:t>
        </w:r>
      </w:hyperlink>
      <w:hyperlink r:id="rId33">
        <w:r w:rsidDel="00000000" w:rsidR="00000000" w:rsidRPr="00000000">
          <w:rPr>
            <w:sz w:val="20"/>
            <w:szCs w:val="20"/>
            <w:rtl w:val="0"/>
          </w:rPr>
          <w:t xml:space="preserve">https://doi.org/10.1063/5.0176348</w:t>
        </w:r>
      </w:hyperlink>
      <w:r w:rsidDel="00000000" w:rsidR="00000000" w:rsidRPr="00000000">
        <w:rPr>
          <w:sz w:val="20"/>
          <w:szCs w:val="20"/>
          <w:rtl w:val="0"/>
        </w:rPr>
        <w:t xml:space="preserve"> </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pPr>
      <w:r w:rsidDel="00000000" w:rsidR="00000000" w:rsidRPr="00000000">
        <w:rPr>
          <w:sz w:val="20"/>
          <w:szCs w:val="20"/>
          <w:rtl w:val="0"/>
        </w:rPr>
        <w:t xml:space="preserve">Preeti R. Lawhale, Sujata N Kale, Hemant Kasturiwale, Yogesh N. Thakare, “FPGA Implementation of Compact Architecture for Lightweight Hash Algorithm for Resource Constrained Devices” Communications on Applied Nonlinear Analysis, ISSN: 1074-133XVol 32 No. 2(2025)DOI: https://doi.org/10.52783/cana.v32.1861. </w:t>
      </w:r>
    </w:p>
    <w:p w:rsidR="00000000" w:rsidDel="00000000" w:rsidP="00000000" w:rsidRDefault="00000000" w:rsidRPr="00000000" w14:paraId="000000EF">
      <w:pPr>
        <w:ind w:left="0" w:firstLine="0"/>
        <w:jc w:val="both"/>
        <w:rPr>
          <w:sz w:val="20"/>
          <w:szCs w:val="20"/>
        </w:rPr>
      </w:pPr>
      <w:bookmarkStart w:colFirst="0" w:colLast="0" w:name="_heading=h.b5nvoesvvic7" w:id="3"/>
      <w:bookmarkEnd w:id="3"/>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Cardo">
    <w:embedRegular w:fontKey="{00000000-0000-0000-0000-000000000000}" r:id="rId3" w:subsetted="0"/>
    <w:embedBold w:fontKey="{00000000-0000-0000-0000-000000000000}" r:id="rId4" w:subsetted="0"/>
    <w:embedItalic w:fontKey="{00000000-0000-0000-0000-000000000000}" r:id="rId5" w:subsetted="0"/>
  </w:font>
  <w:font w:name="Noto Sans Symbols">
    <w:embedRegular w:fontKey="{00000000-0000-0000-0000-000000000000}" r:id="rId6" w:subsetted="0"/>
    <w:embedBold w:fontKey="{00000000-0000-0000-0000-000000000000}" r:id="rId7" w:subsetted="0"/>
  </w:font>
  <w:font w:name="Cambria Math">
    <w:embedRegular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decimal"/>
      <w:lvlText w:val="%1."/>
      <w:lvlJc w:val="left"/>
      <w:pPr>
        <w:ind w:left="644" w:hanging="358.99999999999994"/>
      </w:pPr>
      <w:rPr>
        <w:b w:val="0"/>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240" w:before="240" w:lineRule="auto"/>
      <w:jc w:val="center"/>
    </w:pPr>
    <w:rPr>
      <w:b w:val="1"/>
      <w:smallCaps w:val="1"/>
    </w:rPr>
  </w:style>
  <w:style w:type="paragraph" w:styleId="Heading2">
    <w:name w:val="heading 2"/>
    <w:basedOn w:val="Normal"/>
    <w:next w:val="Normal"/>
    <w:pPr>
      <w:keepNext w:val="1"/>
      <w:spacing w:after="240" w:before="240" w:lineRule="auto"/>
      <w:jc w:val="center"/>
    </w:pPr>
    <w:rPr>
      <w:b w:val="1"/>
    </w:rPr>
  </w:style>
  <w:style w:type="paragraph" w:styleId="Heading3">
    <w:name w:val="heading 3"/>
    <w:basedOn w:val="Normal"/>
    <w:next w:val="Normal"/>
    <w:pPr>
      <w:keepNext w:val="1"/>
      <w:spacing w:after="240" w:before="240" w:lineRule="auto"/>
      <w:jc w:val="center"/>
    </w:pPr>
    <w:rPr>
      <w:i w:val="1"/>
      <w:sz w:val="20"/>
      <w:szCs w:val="20"/>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paragraph" w:styleId="FootnoteText">
    <w:name w:val="footnote text"/>
    <w:basedOn w:val="Normal"/>
    <w:semiHidden w:val="1"/>
    <w:rPr>
      <w:sz w:val="16"/>
    </w:rPr>
  </w:style>
  <w:style w:type="paragraph" w:styleId="PaperTitle" w:customStyle="1">
    <w:name w:val="Paper Title"/>
    <w:basedOn w:val="Normal"/>
    <w:next w:val="AuthorName"/>
    <w:pPr>
      <w:spacing w:before="1200"/>
      <w:jc w:val="center"/>
    </w:pPr>
    <w:rPr>
      <w:b w:val="1"/>
      <w:sz w:val="36"/>
    </w:rPr>
  </w:style>
  <w:style w:type="paragraph" w:styleId="AuthorName" w:customStyle="1">
    <w:name w:val="Author Name"/>
    <w:basedOn w:val="Normal"/>
    <w:next w:val="AuthorAffiliation"/>
    <w:pPr>
      <w:spacing w:after="360" w:before="360"/>
      <w:jc w:val="center"/>
    </w:pPr>
    <w:rPr>
      <w:sz w:val="28"/>
    </w:rPr>
  </w:style>
  <w:style w:type="paragraph" w:styleId="AuthorAffiliation" w:customStyle="1">
    <w:name w:val="Author Affiliation"/>
    <w:basedOn w:val="Normal"/>
    <w:pPr>
      <w:jc w:val="center"/>
    </w:pPr>
    <w:rPr>
      <w:i w:val="1"/>
      <w:sz w:val="20"/>
    </w:rPr>
  </w:style>
  <w:style w:type="paragraph" w:styleId="Abstract" w:customStyle="1">
    <w:name w:val="Abstract"/>
    <w:basedOn w:val="Normal"/>
    <w:next w:val="Heading1"/>
    <w:rsid w:val="00F20BFC"/>
    <w:pPr>
      <w:spacing w:after="360" w:before="360"/>
      <w:ind w:left="289" w:right="289"/>
      <w:jc w:val="both"/>
    </w:pPr>
    <w:rPr>
      <w:sz w:val="18"/>
    </w:rPr>
  </w:style>
  <w:style w:type="paragraph" w:styleId="Paragraph" w:customStyle="1">
    <w:name w:val="Paragraph"/>
    <w:basedOn w:val="Normal"/>
    <w:rsid w:val="005E415C"/>
    <w:pPr>
      <w:ind w:firstLine="284"/>
      <w:jc w:val="both"/>
    </w:pPr>
    <w:rPr>
      <w:sz w:val="20"/>
    </w:rPr>
  </w:style>
  <w:style w:type="character" w:styleId="FootnoteReference">
    <w:name w:val="footnote reference"/>
    <w:semiHidden w:val="1"/>
    <w:rPr>
      <w:vertAlign w:val="superscript"/>
    </w:rPr>
  </w:style>
  <w:style w:type="paragraph" w:styleId="Reference" w:customStyle="1">
    <w:name w:val="Reference"/>
    <w:basedOn w:val="Paragraph"/>
    <w:rsid w:val="00AE7500"/>
    <w:pPr>
      <w:numPr>
        <w:numId w:val="5"/>
      </w:numPr>
      <w:ind w:left="426" w:hanging="426"/>
    </w:pPr>
  </w:style>
  <w:style w:type="paragraph" w:styleId="FigureCaption" w:customStyle="1">
    <w:name w:val="Figure Caption"/>
    <w:next w:val="Paragraph"/>
    <w:rsid w:val="00161A5B"/>
    <w:pPr>
      <w:spacing w:before="120"/>
      <w:jc w:val="center"/>
    </w:pPr>
    <w:rPr>
      <w:sz w:val="18"/>
      <w:lang w:val="en-US"/>
    </w:rPr>
  </w:style>
  <w:style w:type="paragraph" w:styleId="Figure" w:customStyle="1">
    <w:name w:val="Figure"/>
    <w:basedOn w:val="Paragraph"/>
    <w:pPr>
      <w:keepNext w:val="1"/>
      <w:ind w:firstLine="0"/>
      <w:jc w:val="center"/>
    </w:pPr>
  </w:style>
  <w:style w:type="paragraph" w:styleId="Equation" w:customStyle="1">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cs="Tahoma" w:hAnsi="Tahoma"/>
      <w:sz w:val="16"/>
      <w:szCs w:val="16"/>
    </w:rPr>
  </w:style>
  <w:style w:type="character" w:styleId="BalloonTextChar" w:customStyle="1">
    <w:name w:val="Balloon Text Char"/>
    <w:basedOn w:val="DefaultParagraphFont"/>
    <w:link w:val="BalloonText"/>
    <w:rsid w:val="00114AB1"/>
    <w:rPr>
      <w:rFonts w:ascii="Tahoma" w:cs="Tahoma" w:hAnsi="Tahoma"/>
      <w:sz w:val="16"/>
      <w:szCs w:val="16"/>
      <w:lang w:eastAsia="en-US" w:val="en-US"/>
    </w:rPr>
  </w:style>
  <w:style w:type="character" w:styleId="Hyperlink">
    <w:name w:val="Hyperlink"/>
    <w:rPr>
      <w:color w:val="0000ff"/>
      <w:u w:val="single"/>
    </w:rPr>
  </w:style>
  <w:style w:type="table" w:styleId="TableGrid">
    <w:name w:val="Table Grid"/>
    <w:basedOn w:val="TableNormal"/>
    <w:rsid w:val="006422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bulleted" w:customStyle="1">
    <w:name w:val="Paragraph (bulleted)"/>
    <w:basedOn w:val="Paragraph"/>
    <w:rsid w:val="0040225B"/>
    <w:pPr>
      <w:tabs>
        <w:tab w:val="num" w:pos="720"/>
      </w:tabs>
      <w:ind w:left="641" w:hanging="357"/>
    </w:pPr>
  </w:style>
  <w:style w:type="paragraph" w:styleId="AuthorEmail" w:customStyle="1">
    <w:name w:val="Author Email"/>
    <w:basedOn w:val="Normal"/>
    <w:qFormat w:val="1"/>
    <w:rsid w:val="001D469C"/>
    <w:pPr>
      <w:jc w:val="center"/>
    </w:pPr>
    <w:rPr>
      <w:sz w:val="20"/>
    </w:rPr>
  </w:style>
  <w:style w:type="paragraph" w:styleId="NormalWeb">
    <w:name w:val="Normal (Web)"/>
    <w:basedOn w:val="Normal"/>
    <w:uiPriority w:val="99"/>
    <w:unhideWhenUsed w:val="1"/>
    <w:rsid w:val="005F7475"/>
    <w:pPr>
      <w:spacing w:after="100" w:afterAutospacing="1" w:before="100" w:beforeAutospacing="1"/>
    </w:pPr>
    <w:rPr>
      <w:lang w:eastAsia="en-GB" w:val="en-GB"/>
    </w:rPr>
  </w:style>
  <w:style w:type="character" w:styleId="Strong">
    <w:name w:val="Strong"/>
    <w:basedOn w:val="DefaultParagraphFont"/>
    <w:uiPriority w:val="22"/>
    <w:qFormat w:val="1"/>
    <w:rsid w:val="005F7475"/>
    <w:rPr>
      <w:b w:val="1"/>
      <w:bCs w:val="1"/>
    </w:rPr>
  </w:style>
  <w:style w:type="character" w:styleId="Emphasis">
    <w:name w:val="Emphasis"/>
    <w:basedOn w:val="DefaultParagraphFont"/>
    <w:uiPriority w:val="20"/>
    <w:qFormat w:val="1"/>
    <w:rsid w:val="005F7475"/>
    <w:rPr>
      <w:i w:val="1"/>
      <w:iCs w:val="1"/>
    </w:rPr>
  </w:style>
  <w:style w:type="paragraph" w:styleId="TableCaption" w:customStyle="1">
    <w:name w:val="Table Caption"/>
    <w:basedOn w:val="FigureCaption"/>
    <w:qFormat w:val="1"/>
    <w:rsid w:val="005A0E21"/>
    <w:rPr>
      <w:szCs w:val="18"/>
    </w:rPr>
  </w:style>
  <w:style w:type="paragraph" w:styleId="Paragraphnumbered" w:customStyle="1">
    <w:name w:val="Paragraph (numbered)"/>
    <w:rsid w:val="000B49C0"/>
    <w:pPr>
      <w:tabs>
        <w:tab w:val="num" w:pos="720"/>
      </w:tabs>
      <w:ind w:left="720" w:hanging="720"/>
      <w:jc w:val="both"/>
    </w:pPr>
    <w:rPr>
      <w:lang w:val="en-US"/>
    </w:rPr>
  </w:style>
  <w:style w:type="character" w:styleId="UnresolvedMention" w:customStyle="1">
    <w:name w:val="Unresolved Mention"/>
    <w:basedOn w:val="DefaultParagraphFont"/>
    <w:uiPriority w:val="99"/>
    <w:semiHidden w:val="1"/>
    <w:unhideWhenUsed w:val="1"/>
    <w:rsid w:val="00613B4D"/>
    <w:rPr>
      <w:color w:val="808080"/>
      <w:shd w:color="auto" w:fill="e6e6e6" w:val="clear"/>
    </w:rPr>
  </w:style>
  <w:style w:type="paragraph" w:styleId="ListParagraph">
    <w:name w:val="List Paragraph"/>
    <w:basedOn w:val="Normal"/>
    <w:uiPriority w:val="34"/>
    <w:rsid w:val="006E4474"/>
    <w:pPr>
      <w:ind w:left="720"/>
      <w:contextualSpacing w:val="1"/>
    </w:pPr>
  </w:style>
  <w:style w:type="character" w:styleId="CommentReference">
    <w:name w:val="annotation reference"/>
    <w:basedOn w:val="DefaultParagraphFont"/>
    <w:semiHidden w:val="1"/>
    <w:unhideWhenUsed w:val="1"/>
    <w:rsid w:val="005E71ED"/>
    <w:rPr>
      <w:sz w:val="16"/>
      <w:szCs w:val="16"/>
    </w:rPr>
  </w:style>
  <w:style w:type="paragraph" w:styleId="CommentText">
    <w:name w:val="annotation text"/>
    <w:basedOn w:val="Normal"/>
    <w:link w:val="CommentTextChar"/>
    <w:semiHidden w:val="1"/>
    <w:unhideWhenUsed w:val="1"/>
    <w:rsid w:val="005E71ED"/>
    <w:rPr>
      <w:sz w:val="20"/>
    </w:rPr>
  </w:style>
  <w:style w:type="character" w:styleId="CommentTextChar" w:customStyle="1">
    <w:name w:val="Comment Text Char"/>
    <w:basedOn w:val="DefaultParagraphFont"/>
    <w:link w:val="CommentText"/>
    <w:semiHidden w:val="1"/>
    <w:rsid w:val="005E71ED"/>
    <w:rPr>
      <w:lang w:eastAsia="en-US" w:val="en-US"/>
    </w:rPr>
  </w:style>
  <w:style w:type="paragraph" w:styleId="CommentSubject">
    <w:name w:val="annotation subject"/>
    <w:basedOn w:val="CommentText"/>
    <w:next w:val="CommentText"/>
    <w:link w:val="CommentSubjectChar"/>
    <w:semiHidden w:val="1"/>
    <w:unhideWhenUsed w:val="1"/>
    <w:rsid w:val="005E71ED"/>
    <w:rPr>
      <w:b w:val="1"/>
      <w:bCs w:val="1"/>
    </w:rPr>
  </w:style>
  <w:style w:type="character" w:styleId="CommentSubjectChar" w:customStyle="1">
    <w:name w:val="Comment Subject Char"/>
    <w:basedOn w:val="CommentTextChar"/>
    <w:link w:val="CommentSubject"/>
    <w:semiHidden w:val="1"/>
    <w:rsid w:val="005E71ED"/>
    <w:rPr>
      <w:b w:val="1"/>
      <w:bCs w:val="1"/>
      <w:lang w:eastAsia="en-US" w:val="en-US"/>
    </w:rPr>
  </w:style>
  <w:style w:type="character" w:styleId="PlaceholderText">
    <w:name w:val="Placeholder Text"/>
    <w:basedOn w:val="DefaultParagraphFont"/>
    <w:uiPriority w:val="99"/>
    <w:semiHidden w:val="1"/>
    <w:rsid w:val="000B44CD"/>
    <w:rPr>
      <w:color w:val="666666"/>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0.png"/><Relationship Id="rId21"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s.sumitkumar@gmail.com" TargetMode="External"/><Relationship Id="rId26" Type="http://schemas.openxmlformats.org/officeDocument/2006/relationships/image" Target="media/image7.png"/><Relationship Id="rId25" Type="http://schemas.openxmlformats.org/officeDocument/2006/relationships/image" Target="media/image8.png"/><Relationship Id="rId28" Type="http://schemas.openxmlformats.org/officeDocument/2006/relationships/image" Target="media/image14.png"/><Relationship Id="rId27"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9.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5.png"/><Relationship Id="rId30" Type="http://schemas.openxmlformats.org/officeDocument/2006/relationships/image" Target="media/image9.png"/><Relationship Id="rId11" Type="http://schemas.openxmlformats.org/officeDocument/2006/relationships/image" Target="media/image22.png"/><Relationship Id="rId33" Type="http://schemas.openxmlformats.org/officeDocument/2006/relationships/hyperlink" Target="https://doi.org/10.1063/5.0176348" TargetMode="External"/><Relationship Id="rId10" Type="http://schemas.openxmlformats.org/officeDocument/2006/relationships/hyperlink" Target="mailto:kalpesh.jadav@paruluniversity.ac.in" TargetMode="External"/><Relationship Id="rId32" Type="http://schemas.openxmlformats.org/officeDocument/2006/relationships/hyperlink" Target="https://doi.org/10.1063/5.0176348" TargetMode="External"/><Relationship Id="rId13" Type="http://schemas.openxmlformats.org/officeDocument/2006/relationships/image" Target="media/image2.png"/><Relationship Id="rId12"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20.png"/><Relationship Id="rId17" Type="http://schemas.openxmlformats.org/officeDocument/2006/relationships/image" Target="media/image12.png"/><Relationship Id="rId16" Type="http://schemas.openxmlformats.org/officeDocument/2006/relationships/image" Target="media/image13.png"/><Relationship Id="rId19" Type="http://schemas.openxmlformats.org/officeDocument/2006/relationships/image" Target="media/image15.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Rp37Ds5+DVHAndRj/LDdsrPAA==">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zIOaC45Y25hMW1seTZvY3IyDmgua285cnI5bnNxa2NpMg5oLmZqZDUzaHludjZsZzIOaC5iNW52b2VzdnZpYzc4AHIhMVBEbkFsU2hpeERMZmNER2s0NGY4VmhVVEdHbjBQNF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2025-07-29T09:51:00Z</dcterms:created>
  <dc:creator>Ruth Levins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