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2F69968E" w:rsidR="0016385D" w:rsidRPr="00C330E8" w:rsidRDefault="00C330E8" w:rsidP="00C330E8">
      <w:pPr>
        <w:pStyle w:val="PaperTitle"/>
        <w:rPr>
          <w:bCs/>
        </w:rPr>
      </w:pPr>
      <w:r w:rsidRPr="00C330E8">
        <w:t xml:space="preserve">Optimizing Scaffold Degradation for Bone Tissue Regeneration: A Review of the Literature </w:t>
      </w:r>
    </w:p>
    <w:p w14:paraId="0E452A0D" w14:textId="6FA4EA7E" w:rsidR="00C330E8" w:rsidRPr="00C330E8" w:rsidRDefault="00C330E8" w:rsidP="00C330E8">
      <w:pPr>
        <w:pStyle w:val="AuthorName"/>
        <w:rPr>
          <w:vertAlign w:val="superscript"/>
          <w:lang w:val="en-GB"/>
        </w:rPr>
      </w:pPr>
      <w:r w:rsidRPr="00C330E8">
        <w:t>Erlina Sih Mahanani</w:t>
      </w:r>
      <w:r w:rsidRPr="00C330E8">
        <w:rPr>
          <w:vertAlign w:val="superscript"/>
        </w:rPr>
        <w:t>1, a)</w:t>
      </w:r>
      <w:r w:rsidRPr="00C330E8">
        <w:t>,</w:t>
      </w:r>
      <w:r w:rsidRPr="00C330E8">
        <w:rPr>
          <w:vertAlign w:val="superscript"/>
        </w:rPr>
        <w:t xml:space="preserve"> </w:t>
      </w:r>
      <w:r w:rsidRPr="00C330E8">
        <w:t>Dian Yosi Arinawati</w:t>
      </w:r>
      <w:r w:rsidRPr="00C330E8">
        <w:rPr>
          <w:vertAlign w:val="superscript"/>
        </w:rPr>
        <w:t>2, b)</w:t>
      </w:r>
      <w:r w:rsidRPr="00C330E8">
        <w:t xml:space="preserve">, </w:t>
      </w:r>
      <w:proofErr w:type="spellStart"/>
      <w:r w:rsidRPr="00C330E8">
        <w:t>Sholahuddin</w:t>
      </w:r>
      <w:proofErr w:type="spellEnd"/>
      <w:r w:rsidRPr="00C330E8">
        <w:t xml:space="preserve"> Sholahuddin</w:t>
      </w:r>
      <w:r w:rsidRPr="00C330E8">
        <w:rPr>
          <w:vertAlign w:val="superscript"/>
        </w:rPr>
        <w:t>3, c)</w:t>
      </w:r>
      <w:r w:rsidRPr="00C330E8">
        <w:t xml:space="preserve">, Ajeng </w:t>
      </w:r>
      <w:proofErr w:type="spellStart"/>
      <w:r w:rsidRPr="00C330E8">
        <w:t>Dyah</w:t>
      </w:r>
      <w:proofErr w:type="spellEnd"/>
      <w:r w:rsidRPr="00C330E8">
        <w:t xml:space="preserve"> Chantika</w:t>
      </w:r>
      <w:r w:rsidRPr="00C330E8">
        <w:rPr>
          <w:vertAlign w:val="superscript"/>
        </w:rPr>
        <w:t>4, d)</w:t>
      </w:r>
      <w:r w:rsidRPr="00C330E8">
        <w:t xml:space="preserve">, </w:t>
      </w:r>
      <w:proofErr w:type="spellStart"/>
      <w:r w:rsidRPr="00C330E8">
        <w:t>Etny</w:t>
      </w:r>
      <w:proofErr w:type="spellEnd"/>
      <w:r w:rsidRPr="00C330E8">
        <w:t xml:space="preserve"> </w:t>
      </w:r>
      <w:proofErr w:type="spellStart"/>
      <w:r w:rsidRPr="00C330E8">
        <w:t>Dyah</w:t>
      </w:r>
      <w:proofErr w:type="spellEnd"/>
      <w:r w:rsidRPr="00C330E8">
        <w:t xml:space="preserve"> Harniati</w:t>
      </w:r>
      <w:r w:rsidRPr="00C330E8">
        <w:rPr>
          <w:vertAlign w:val="superscript"/>
        </w:rPr>
        <w:t>5, e)</w:t>
      </w:r>
      <w:r w:rsidRPr="00C330E8">
        <w:t>, Erni Sulistiyani</w:t>
      </w:r>
      <w:r w:rsidRPr="00C330E8">
        <w:rPr>
          <w:vertAlign w:val="superscript"/>
        </w:rPr>
        <w:t>2,</w:t>
      </w:r>
      <w:r w:rsidR="00E111D9">
        <w:rPr>
          <w:vertAlign w:val="superscript"/>
        </w:rPr>
        <w:t xml:space="preserve"> </w:t>
      </w:r>
      <w:r w:rsidRPr="00C330E8">
        <w:rPr>
          <w:vertAlign w:val="superscript"/>
        </w:rPr>
        <w:t>f</w:t>
      </w:r>
      <w:proofErr w:type="gramStart"/>
      <w:r w:rsidRPr="00C330E8">
        <w:rPr>
          <w:vertAlign w:val="superscript"/>
        </w:rPr>
        <w:t>)</w:t>
      </w:r>
      <w:r w:rsidRPr="00C330E8">
        <w:t xml:space="preserve"> ,</w:t>
      </w:r>
      <w:proofErr w:type="spellStart"/>
      <w:r w:rsidRPr="00C330E8">
        <w:t>Risyandi</w:t>
      </w:r>
      <w:proofErr w:type="spellEnd"/>
      <w:proofErr w:type="gramEnd"/>
      <w:r w:rsidRPr="00C330E8">
        <w:t xml:space="preserve"> Anwar</w:t>
      </w:r>
      <w:r w:rsidRPr="00C330E8">
        <w:rPr>
          <w:vertAlign w:val="superscript"/>
        </w:rPr>
        <w:t>5, g)</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D468D39" w14:textId="77777777" w:rsidR="00C330E8" w:rsidRPr="00C330E8" w:rsidRDefault="00027428" w:rsidP="00C330E8">
      <w:pPr>
        <w:pStyle w:val="AuthorAffiliation"/>
      </w:pPr>
      <w:r w:rsidRPr="2F830975">
        <w:rPr>
          <w:i w:val="0"/>
          <w:vertAlign w:val="superscript"/>
        </w:rPr>
        <w:t xml:space="preserve"> </w:t>
      </w:r>
      <w:r w:rsidRPr="00075EA6">
        <w:rPr>
          <w:i w:val="0"/>
          <w:iCs/>
          <w:vertAlign w:val="superscript"/>
        </w:rPr>
        <w:t>1</w:t>
      </w:r>
      <w:r w:rsidR="00C330E8" w:rsidRPr="00C330E8">
        <w:t xml:space="preserve">Department of Dental Biomedical, Faculty of Dentistry, Universitas Muhammadiyah Yogyakarta, Jl. </w:t>
      </w:r>
      <w:proofErr w:type="spellStart"/>
      <w:r w:rsidR="00C330E8" w:rsidRPr="00C330E8">
        <w:t>Brawijaya</w:t>
      </w:r>
      <w:proofErr w:type="spellEnd"/>
      <w:r w:rsidR="00C330E8" w:rsidRPr="00C330E8">
        <w:t xml:space="preserve">, </w:t>
      </w:r>
      <w:proofErr w:type="spellStart"/>
      <w:r w:rsidR="00C330E8" w:rsidRPr="00C330E8">
        <w:t>Tamantirto</w:t>
      </w:r>
      <w:proofErr w:type="spellEnd"/>
      <w:r w:rsidR="00C330E8" w:rsidRPr="00C330E8">
        <w:t xml:space="preserve">, </w:t>
      </w:r>
      <w:proofErr w:type="spellStart"/>
      <w:r w:rsidR="00C330E8" w:rsidRPr="00C330E8">
        <w:t>Kasihan</w:t>
      </w:r>
      <w:proofErr w:type="spellEnd"/>
      <w:r w:rsidR="00C330E8" w:rsidRPr="00C330E8">
        <w:t>, Bantul, 55183, Indonesia</w:t>
      </w:r>
    </w:p>
    <w:p w14:paraId="76A4A9E8" w14:textId="77777777" w:rsidR="00C330E8" w:rsidRPr="00C330E8" w:rsidRDefault="00C330E8" w:rsidP="00C330E8">
      <w:pPr>
        <w:pStyle w:val="AuthorAffiliation"/>
      </w:pPr>
      <w:r w:rsidRPr="00C330E8">
        <w:rPr>
          <w:vertAlign w:val="superscript"/>
        </w:rPr>
        <w:t>2</w:t>
      </w:r>
      <w:r w:rsidRPr="00C330E8">
        <w:t xml:space="preserve">Department of Oral Biology, Faculty of Dentistry, Universitas Muhammadiyah Yogyakarta, Jl. </w:t>
      </w:r>
      <w:proofErr w:type="spellStart"/>
      <w:r w:rsidRPr="00C330E8">
        <w:t>Brawijaya</w:t>
      </w:r>
      <w:proofErr w:type="spellEnd"/>
      <w:r w:rsidRPr="00C330E8">
        <w:t xml:space="preserve">, </w:t>
      </w:r>
      <w:proofErr w:type="spellStart"/>
      <w:r w:rsidRPr="00C330E8">
        <w:t>Tamantirto</w:t>
      </w:r>
      <w:proofErr w:type="spellEnd"/>
      <w:r w:rsidRPr="00C330E8">
        <w:t xml:space="preserve">, </w:t>
      </w:r>
      <w:proofErr w:type="spellStart"/>
      <w:r w:rsidRPr="00C330E8">
        <w:t>Kasihan</w:t>
      </w:r>
      <w:proofErr w:type="spellEnd"/>
      <w:r w:rsidRPr="00C330E8">
        <w:t>, Bantul, 55183, Indonesia</w:t>
      </w:r>
    </w:p>
    <w:p w14:paraId="26172032" w14:textId="77777777" w:rsidR="00C330E8" w:rsidRPr="00C330E8" w:rsidRDefault="00C330E8" w:rsidP="00C330E8">
      <w:pPr>
        <w:pStyle w:val="AuthorAffiliation"/>
      </w:pPr>
      <w:r w:rsidRPr="00C330E8">
        <w:rPr>
          <w:vertAlign w:val="superscript"/>
        </w:rPr>
        <w:t>3</w:t>
      </w:r>
      <w:r w:rsidRPr="00C330E8">
        <w:t>Department of Agrotechnology, Faculty of Agriculture, Universitas Muhammadiyah Yogyakarta, Yogyakarta</w:t>
      </w:r>
      <w:proofErr w:type="gramStart"/>
      <w:r w:rsidRPr="00C330E8">
        <w:t>, ,</w:t>
      </w:r>
      <w:proofErr w:type="gramEnd"/>
      <w:r w:rsidRPr="00C330E8">
        <w:t xml:space="preserve"> Jl. </w:t>
      </w:r>
      <w:proofErr w:type="spellStart"/>
      <w:r w:rsidRPr="00C330E8">
        <w:t>Brawijaya</w:t>
      </w:r>
      <w:proofErr w:type="spellEnd"/>
      <w:r w:rsidRPr="00C330E8">
        <w:t>, Bantul, Yogyakarta 55183, Indonesia</w:t>
      </w:r>
    </w:p>
    <w:p w14:paraId="603ADBD4" w14:textId="77777777" w:rsidR="00C330E8" w:rsidRPr="00C330E8" w:rsidRDefault="00C330E8" w:rsidP="00C330E8">
      <w:pPr>
        <w:pStyle w:val="AuthorAffiliation"/>
      </w:pPr>
      <w:r w:rsidRPr="00C330E8">
        <w:rPr>
          <w:vertAlign w:val="superscript"/>
        </w:rPr>
        <w:t>4</w:t>
      </w:r>
      <w:r w:rsidRPr="00C330E8">
        <w:t xml:space="preserve">School of Dentistry, Faculty of Dentistry, Universitas Muhammadiyah Yogyakarta, Jl. </w:t>
      </w:r>
      <w:proofErr w:type="spellStart"/>
      <w:r w:rsidRPr="00C330E8">
        <w:t>Brawijaya</w:t>
      </w:r>
      <w:proofErr w:type="spellEnd"/>
      <w:r w:rsidRPr="00C330E8">
        <w:t>, Bantul, Yogyakarta 55183, Indonesia</w:t>
      </w:r>
    </w:p>
    <w:p w14:paraId="771D6B6C" w14:textId="0C451455" w:rsidR="00C14B14" w:rsidRPr="00075EA6" w:rsidRDefault="00C330E8" w:rsidP="00C330E8">
      <w:pPr>
        <w:pStyle w:val="AuthorAffiliation"/>
      </w:pPr>
      <w:r w:rsidRPr="00C330E8">
        <w:rPr>
          <w:vertAlign w:val="superscript"/>
        </w:rPr>
        <w:t>5</w:t>
      </w:r>
      <w:r w:rsidRPr="00C330E8">
        <w:t>Faculty of Dentistry, Universitas Muhammadiyah Semarang, Indonesia</w:t>
      </w:r>
    </w:p>
    <w:p w14:paraId="3EAF16AE" w14:textId="77777777" w:rsidR="00C14B14" w:rsidRDefault="00C14B14" w:rsidP="00C14B14">
      <w:pPr>
        <w:pStyle w:val="AuthorAffiliation"/>
      </w:pPr>
      <w:r w:rsidRPr="00075EA6">
        <w:br/>
      </w:r>
      <w:r>
        <w:t>Author Emails</w:t>
      </w:r>
    </w:p>
    <w:p w14:paraId="6E81191B" w14:textId="7C6B5D26" w:rsidR="00C330E8" w:rsidRPr="00E111D9" w:rsidRDefault="00003D7C" w:rsidP="00C330E8">
      <w:pPr>
        <w:pStyle w:val="AuthorEmail"/>
        <w:rPr>
          <w:i/>
          <w:iCs/>
        </w:rPr>
      </w:pPr>
      <w:r w:rsidRPr="00075EA6">
        <w:rPr>
          <w:szCs w:val="28"/>
          <w:vertAlign w:val="superscript"/>
        </w:rPr>
        <w:t>a)</w:t>
      </w:r>
      <w:r w:rsidRPr="00075EA6">
        <w:t xml:space="preserve"> </w:t>
      </w:r>
      <w:r w:rsidRPr="00E111D9">
        <w:rPr>
          <w:i/>
          <w:iCs/>
        </w:rPr>
        <w:t>Corresponding</w:t>
      </w:r>
      <w:r w:rsidR="004E3CB2" w:rsidRPr="00E111D9">
        <w:rPr>
          <w:i/>
          <w:iCs/>
        </w:rPr>
        <w:t xml:space="preserve"> author: </w:t>
      </w:r>
      <w:r w:rsidR="007F4228" w:rsidRPr="007F4228">
        <w:rPr>
          <w:i/>
          <w:iCs/>
        </w:rPr>
        <w:t>erlinasihmahanani@yahoo.co.id</w:t>
      </w:r>
    </w:p>
    <w:p w14:paraId="69AD1ADD" w14:textId="1579693D" w:rsidR="00C330E8" w:rsidRPr="00E111D9" w:rsidRDefault="00C330E8" w:rsidP="00C330E8">
      <w:pPr>
        <w:pStyle w:val="AuthorEmail"/>
        <w:rPr>
          <w:i/>
          <w:iCs/>
        </w:rPr>
      </w:pPr>
      <w:proofErr w:type="gramStart"/>
      <w:r w:rsidRPr="00E111D9">
        <w:rPr>
          <w:i/>
          <w:iCs/>
          <w:vertAlign w:val="superscript"/>
        </w:rPr>
        <w:t>b)</w:t>
      </w:r>
      <w:r w:rsidRPr="00E111D9">
        <w:rPr>
          <w:i/>
          <w:iCs/>
        </w:rPr>
        <w:t>dianyosi@umy.ac.id</w:t>
      </w:r>
      <w:proofErr w:type="gramEnd"/>
    </w:p>
    <w:p w14:paraId="30EC8C71" w14:textId="5CE4A764" w:rsidR="00C330E8" w:rsidRPr="00E111D9" w:rsidRDefault="00C330E8" w:rsidP="00C330E8">
      <w:pPr>
        <w:pStyle w:val="AuthorEmail"/>
        <w:rPr>
          <w:i/>
          <w:iCs/>
        </w:rPr>
      </w:pPr>
      <w:r w:rsidRPr="00E111D9">
        <w:rPr>
          <w:i/>
          <w:iCs/>
          <w:vertAlign w:val="superscript"/>
        </w:rPr>
        <w:t>c)</w:t>
      </w:r>
      <w:r w:rsidRPr="00E111D9">
        <w:rPr>
          <w:i/>
          <w:iCs/>
        </w:rPr>
        <w:t xml:space="preserve">sholahuddin@umy.ac.id </w:t>
      </w:r>
    </w:p>
    <w:p w14:paraId="7DD4A410" w14:textId="0EE34084" w:rsidR="00C330E8" w:rsidRPr="00E111D9" w:rsidRDefault="00C330E8" w:rsidP="00C330E8">
      <w:pPr>
        <w:pStyle w:val="AuthorEmail"/>
        <w:rPr>
          <w:i/>
          <w:iCs/>
        </w:rPr>
      </w:pPr>
      <w:r w:rsidRPr="00E111D9">
        <w:rPr>
          <w:i/>
          <w:iCs/>
          <w:vertAlign w:val="superscript"/>
        </w:rPr>
        <w:t>d)</w:t>
      </w:r>
      <w:r w:rsidRPr="00E111D9">
        <w:rPr>
          <w:i/>
          <w:iCs/>
        </w:rPr>
        <w:t>ajeng.dyah.fkik20@mail.umy.ac.id</w:t>
      </w:r>
    </w:p>
    <w:p w14:paraId="61A6F1EC" w14:textId="502C3DD3" w:rsidR="00C330E8" w:rsidRPr="00E111D9" w:rsidRDefault="00C330E8" w:rsidP="00C330E8">
      <w:pPr>
        <w:pStyle w:val="AuthorEmail"/>
        <w:rPr>
          <w:i/>
          <w:iCs/>
        </w:rPr>
      </w:pPr>
      <w:proofErr w:type="gramStart"/>
      <w:r w:rsidRPr="00E111D9">
        <w:rPr>
          <w:i/>
          <w:iCs/>
          <w:vertAlign w:val="superscript"/>
        </w:rPr>
        <w:t>e)</w:t>
      </w:r>
      <w:r w:rsidRPr="00E111D9">
        <w:rPr>
          <w:i/>
          <w:iCs/>
        </w:rPr>
        <w:t>etny.harniati@unimus.ac.id</w:t>
      </w:r>
      <w:proofErr w:type="gramEnd"/>
      <w:r w:rsidRPr="00E111D9">
        <w:rPr>
          <w:i/>
          <w:iCs/>
        </w:rPr>
        <w:t xml:space="preserve"> </w:t>
      </w:r>
    </w:p>
    <w:p w14:paraId="5C9BCB2A" w14:textId="3647D9C5" w:rsidR="00C330E8" w:rsidRPr="00E111D9" w:rsidRDefault="00C330E8" w:rsidP="00C330E8">
      <w:pPr>
        <w:pStyle w:val="AuthorEmail"/>
        <w:rPr>
          <w:i/>
          <w:iCs/>
        </w:rPr>
      </w:pPr>
      <w:proofErr w:type="gramStart"/>
      <w:r w:rsidRPr="00E111D9">
        <w:rPr>
          <w:i/>
          <w:iCs/>
          <w:vertAlign w:val="superscript"/>
        </w:rPr>
        <w:t>f)</w:t>
      </w:r>
      <w:r w:rsidRPr="00E111D9">
        <w:rPr>
          <w:i/>
          <w:iCs/>
        </w:rPr>
        <w:t>erni.sulistiyani@umy.ac.id</w:t>
      </w:r>
      <w:proofErr w:type="gramEnd"/>
    </w:p>
    <w:p w14:paraId="5FCE01B1" w14:textId="6BA49499" w:rsidR="00C330E8" w:rsidRPr="00E111D9" w:rsidRDefault="00C330E8" w:rsidP="00C330E8">
      <w:pPr>
        <w:pStyle w:val="AuthorEmail"/>
        <w:rPr>
          <w:i/>
          <w:iCs/>
        </w:rPr>
      </w:pPr>
      <w:proofErr w:type="gramStart"/>
      <w:r w:rsidRPr="00E111D9">
        <w:rPr>
          <w:i/>
          <w:iCs/>
          <w:vertAlign w:val="superscript"/>
        </w:rPr>
        <w:t>g)</w:t>
      </w:r>
      <w:r w:rsidRPr="00E111D9">
        <w:rPr>
          <w:i/>
          <w:iCs/>
        </w:rPr>
        <w:t>fkg@unimus.ac.id</w:t>
      </w:r>
      <w:proofErr w:type="gramEnd"/>
    </w:p>
    <w:p w14:paraId="2CD768F7" w14:textId="2CA792E9" w:rsidR="00994A8C" w:rsidRDefault="0016385D" w:rsidP="00C14B14">
      <w:pPr>
        <w:pStyle w:val="Abstract"/>
      </w:pPr>
      <w:r w:rsidRPr="00075EA6">
        <w:rPr>
          <w:b/>
          <w:bCs/>
        </w:rPr>
        <w:t>Abstract.</w:t>
      </w:r>
      <w:r w:rsidRPr="00075EA6">
        <w:t xml:space="preserve"> </w:t>
      </w:r>
      <w:r w:rsidR="00994A8C" w:rsidRPr="00994A8C">
        <w:t>Bone damage in the oral cavity is commonly caused by trauma, such as accidents, tooth extractions, or tumors. While bone tissue possesses a limited capacity for self-repair, extensive damage often necessitates the use of substitute materials. Bone grafts or scaffolds serve as alternatives to support bone regeneration by promoting the formation of new bone tissue. An ideal scaffold should possess key characteristics, including biocompatibility and biodegradability, enabling it to provide a suitable microenvironment for cellular differentiation and bone formation. The scaffold's degradation rate and profile must align with the tissue regeneration timeline, which is largely influenced by its structural integrity. This can be modulated through cross-linking techniques that enhance mechanical strength and control degradation behavior. Therefore, the development of a scaffold requires careful consideration of degradation dynamics, appropriate cross-linking strategies, and optimal porosity to facilitate cellular activity and bone growth. In conclusion, scaffold design must be tailored specifically to the objectives of tissue engineering, particularly in the context of bone regeneration, to effectively replace and restore damaged bone structures.</w:t>
      </w:r>
    </w:p>
    <w:p w14:paraId="22C3F2A8" w14:textId="7ACC66B5" w:rsidR="0016385D" w:rsidRPr="00075EA6" w:rsidRDefault="00994A8C" w:rsidP="00C14B14">
      <w:pPr>
        <w:pStyle w:val="Abstract"/>
      </w:pPr>
      <w:r>
        <w:t>Keywords: degradation, scaffold, bone regeneration, cross-linking</w:t>
      </w:r>
    </w:p>
    <w:p w14:paraId="5240E3FB" w14:textId="3FF6A263" w:rsidR="003A287B" w:rsidRPr="00075EA6" w:rsidRDefault="00994A8C" w:rsidP="00003D7C">
      <w:pPr>
        <w:pStyle w:val="Heading1"/>
        <w:rPr>
          <w:b w:val="0"/>
          <w:caps w:val="0"/>
          <w:sz w:val="20"/>
        </w:rPr>
      </w:pPr>
      <w:r>
        <w:t>introduction</w:t>
      </w:r>
    </w:p>
    <w:p w14:paraId="0BC7D122" w14:textId="77777777" w:rsidR="00EE1D4A" w:rsidRPr="00EE1D4A" w:rsidRDefault="00EE1D4A" w:rsidP="00EE1D4A">
      <w:pPr>
        <w:pStyle w:val="Paragraph"/>
        <w:rPr>
          <w:lang w:val="en-ID"/>
        </w:rPr>
      </w:pPr>
      <w:r w:rsidRPr="00EE1D4A">
        <w:rPr>
          <w:lang w:val="en-ID"/>
        </w:rPr>
        <w:t xml:space="preserve">Loss of bone tissue in dentistry is usually caused by the removal of relatively large amounts of tissue, which can be due to </w:t>
      </w:r>
      <w:proofErr w:type="spellStart"/>
      <w:r w:rsidRPr="00EE1D4A">
        <w:rPr>
          <w:lang w:val="en-ID"/>
        </w:rPr>
        <w:t>tumors</w:t>
      </w:r>
      <w:proofErr w:type="spellEnd"/>
      <w:r w:rsidRPr="00EE1D4A">
        <w:rPr>
          <w:lang w:val="en-ID"/>
        </w:rPr>
        <w:t xml:space="preserve">, trauma, accidents, fractures, or tooth extraction. The human body, in this case, bones, has the ability </w:t>
      </w:r>
      <w:r w:rsidRPr="00EE1D4A">
        <w:rPr>
          <w:lang w:val="en-ID"/>
        </w:rPr>
        <w:lastRenderedPageBreak/>
        <w:t xml:space="preserve">to repair bones again. However, if the damage is extensive enough, intervention is needed for the bone repair and regeneration process. Bone graft is a method that is widely used and developed in the field of dentistry. Graft functions as a replacement material that is implanted into the body for tissue regeneration, formation of blood clots, and tissue </w:t>
      </w:r>
      <w:proofErr w:type="spellStart"/>
      <w:r w:rsidRPr="00EE1D4A">
        <w:rPr>
          <w:lang w:val="en-ID"/>
        </w:rPr>
        <w:t>remodeling</w:t>
      </w:r>
      <w:proofErr w:type="spellEnd"/>
      <w:r w:rsidRPr="00EE1D4A">
        <w:rPr>
          <w:lang w:val="en-ID"/>
        </w:rPr>
        <w:t xml:space="preserve"> [1].</w:t>
      </w:r>
    </w:p>
    <w:p w14:paraId="0BAEBD2D" w14:textId="77777777" w:rsidR="00EE1D4A" w:rsidRPr="00EE1D4A" w:rsidRDefault="00EE1D4A" w:rsidP="00EE1D4A">
      <w:pPr>
        <w:pStyle w:val="Paragraph"/>
        <w:rPr>
          <w:lang w:val="en-ID"/>
        </w:rPr>
      </w:pPr>
      <w:r w:rsidRPr="00EE1D4A">
        <w:rPr>
          <w:lang w:val="en-ID"/>
        </w:rPr>
        <w:t>There are various types of graft materials; autogenous is the gold standard, but it has several disadvantages. Taking a graft from another part of the body itself will cause wounds, and infection can occur if the sterilization treatment does not comply with standards. The use of other materials, for example using bones from the bodies of other individuals or other species, also causes several problems. Another alternative is allograft, which uses synthetic material [2].</w:t>
      </w:r>
    </w:p>
    <w:p w14:paraId="1DCC8354" w14:textId="703B7150" w:rsidR="002941DA" w:rsidRPr="00EE1D4A" w:rsidRDefault="00EE1D4A" w:rsidP="00EE1D4A">
      <w:pPr>
        <w:pStyle w:val="Paragraph"/>
        <w:rPr>
          <w:lang w:val="en-ID"/>
        </w:rPr>
      </w:pPr>
      <w:r w:rsidRPr="00EE1D4A">
        <w:rPr>
          <w:lang w:val="en-ID"/>
        </w:rPr>
        <w:t>In developing allograft materials, proper design is required to achieve the goal of bone tissue regeneration.  The form of material that is easy to apply, which is flexible with the shape of bone damage, biocompatible, and biodegradable, facilitates a microenvironment suitable for bone cells and others [3].</w:t>
      </w:r>
      <w:r w:rsidRPr="00EE1D4A">
        <w:rPr>
          <w:vertAlign w:val="superscript"/>
          <w:lang w:val="en-ID"/>
        </w:rPr>
        <w:t xml:space="preserve"> </w:t>
      </w:r>
      <w:r w:rsidRPr="00EE1D4A">
        <w:rPr>
          <w:lang w:val="en-ID"/>
        </w:rPr>
        <w:t>Bone graft can also be called a scaffold in general. Scaffold development must consider the essential materials for biocompatible design and structural strength. Apart from that, the structural strength design must also be adjusted to the degradation profile of the scaffold, which must be designed according to the time spent by bone cells to form bone. This will be closely related to the cross-linking process of materials in accordance with the aim of bone regeneration. Proper research is needed to find the appropriate crosslink method and timing. The degradation of a scaffold must be completely used up and nothing left, so that it does not cause other problems such as being considered a foreign object by the body [4,5].</w:t>
      </w:r>
      <w:r w:rsidRPr="00EE1D4A">
        <w:rPr>
          <w:vertAlign w:val="superscript"/>
          <w:lang w:val="en-ID"/>
        </w:rPr>
        <w:t xml:space="preserve"> </w:t>
      </w:r>
      <w:r w:rsidRPr="00EE1D4A">
        <w:rPr>
          <w:lang w:val="en-ID"/>
        </w:rPr>
        <w:t>Hopefully, this review will provide information on the development of bone grafts, especially for bone regeneration.</w:t>
      </w:r>
      <w:r w:rsidR="00946C27">
        <w:t xml:space="preserve"> </w:t>
      </w:r>
    </w:p>
    <w:p w14:paraId="49D6FBD1" w14:textId="7C598162" w:rsidR="00725861" w:rsidRDefault="00EE1D4A" w:rsidP="00725861">
      <w:pPr>
        <w:pStyle w:val="Heading2"/>
      </w:pPr>
      <w:r>
        <w:t>LITERATURE REVIEW</w:t>
      </w:r>
    </w:p>
    <w:p w14:paraId="4024EC21" w14:textId="14856390" w:rsidR="00155B67" w:rsidRPr="00075EA6" w:rsidRDefault="00EE1D4A" w:rsidP="00274622">
      <w:pPr>
        <w:pStyle w:val="Heading2"/>
      </w:pPr>
      <w:r>
        <w:t>Type of Scaffold</w:t>
      </w:r>
    </w:p>
    <w:p w14:paraId="3B0DB970" w14:textId="77777777" w:rsidR="00EE1D4A" w:rsidRPr="00EE1D4A" w:rsidRDefault="00EE1D4A" w:rsidP="00EE1D4A">
      <w:pPr>
        <w:pStyle w:val="Paragraph"/>
        <w:rPr>
          <w:lang w:val="en-ID"/>
        </w:rPr>
      </w:pPr>
      <w:r w:rsidRPr="00EE1D4A">
        <w:rPr>
          <w:lang w:val="en-ID"/>
        </w:rPr>
        <w:t>Bone graft, also called scaffold, is a bone substitute material for bone regeneration. Tissue engineering technology is a multidisciplinary field involving three-dimensional networks combining scaffolds, cells, and bioactive molecules that apply biological principles [6].</w:t>
      </w:r>
    </w:p>
    <w:p w14:paraId="188FCE77" w14:textId="26D6CA01" w:rsidR="00EE1D4A" w:rsidRPr="00EE1D4A" w:rsidRDefault="00EE1D4A" w:rsidP="00EE1D4A">
      <w:pPr>
        <w:pStyle w:val="Paragraph"/>
        <w:rPr>
          <w:lang w:val="en-ID"/>
        </w:rPr>
      </w:pPr>
      <w:r w:rsidRPr="00EE1D4A">
        <w:rPr>
          <w:lang w:val="en-ID"/>
        </w:rPr>
        <w:t>Based on its class, bone graft is divided into autograft, allograft, xenograft, and alloplastic graft (from synthetic materials) [7]:</w:t>
      </w:r>
    </w:p>
    <w:p w14:paraId="5FF0575D" w14:textId="05F13AFB" w:rsidR="00EE1D4A" w:rsidRPr="00EE1D4A" w:rsidRDefault="00EE1D4A" w:rsidP="00C743EA">
      <w:pPr>
        <w:pStyle w:val="Paragraph"/>
        <w:spacing w:before="240" w:after="240"/>
        <w:ind w:firstLine="288"/>
        <w:jc w:val="center"/>
        <w:rPr>
          <w:lang w:val="en-ID"/>
        </w:rPr>
      </w:pPr>
      <w:r w:rsidRPr="00EE1D4A">
        <w:rPr>
          <w:lang w:val="en-ID"/>
        </w:rPr>
        <w:t>Autograft</w:t>
      </w:r>
    </w:p>
    <w:p w14:paraId="2254641A" w14:textId="77777777" w:rsidR="00EE1D4A" w:rsidRPr="00EE1D4A" w:rsidRDefault="00EE1D4A" w:rsidP="00EE1D4A">
      <w:pPr>
        <w:pStyle w:val="Paragraph"/>
        <w:rPr>
          <w:lang w:val="en-ID"/>
        </w:rPr>
      </w:pPr>
      <w:r w:rsidRPr="00EE1D4A">
        <w:rPr>
          <w:lang w:val="en-ID"/>
        </w:rPr>
        <w:t>Autogenous is bone taken from another part of the body but from the same individual, but this method can cause injury to other parts, hypersensitivity, and can be at risk of infection. This complication can occur in 10-30% of patients [8].</w:t>
      </w:r>
      <w:r w:rsidRPr="00EE1D4A">
        <w:rPr>
          <w:vertAlign w:val="superscript"/>
          <w:lang w:val="en-ID"/>
        </w:rPr>
        <w:t xml:space="preserve"> </w:t>
      </w:r>
      <w:r w:rsidRPr="00EE1D4A">
        <w:rPr>
          <w:lang w:val="en-ID"/>
        </w:rPr>
        <w:t xml:space="preserve">Autograft is a bone graft involving the utilization obtained by the same individual. Autograft can also be done without a solid bone structure, for example, using the spine. Autograft has </w:t>
      </w:r>
      <w:proofErr w:type="spellStart"/>
      <w:r w:rsidRPr="00EE1D4A">
        <w:rPr>
          <w:lang w:val="en-ID"/>
        </w:rPr>
        <w:t>osteoinductive</w:t>
      </w:r>
      <w:proofErr w:type="spellEnd"/>
      <w:r w:rsidRPr="00EE1D4A">
        <w:rPr>
          <w:lang w:val="en-ID"/>
        </w:rPr>
        <w:t xml:space="preserve">, osteogenic and osteoconductive properties [9]. </w:t>
      </w:r>
      <w:proofErr w:type="spellStart"/>
      <w:r w:rsidRPr="00EE1D4A">
        <w:rPr>
          <w:lang w:val="en-ID"/>
        </w:rPr>
        <w:t>Osteoinductive</w:t>
      </w:r>
      <w:proofErr w:type="spellEnd"/>
      <w:r w:rsidRPr="00EE1D4A">
        <w:rPr>
          <w:lang w:val="en-ID"/>
        </w:rPr>
        <w:t>, cytokine-containing autografts. In osteogenesis, autografts contain osteoblast cells that can produce bone matrix. Osteoconductive, the matrix in autografts functions as a scaffold for new bone deposition [10].</w:t>
      </w:r>
      <w:r w:rsidRPr="00EE1D4A">
        <w:rPr>
          <w:vertAlign w:val="superscript"/>
          <w:lang w:val="en-ID"/>
        </w:rPr>
        <w:t xml:space="preserve"> </w:t>
      </w:r>
      <w:r w:rsidRPr="00EE1D4A">
        <w:rPr>
          <w:lang w:val="en-ID"/>
        </w:rPr>
        <w:t>Of the various types of bone grafts, Autograft is the "gold standard" as a bone graft.</w:t>
      </w:r>
    </w:p>
    <w:p w14:paraId="1A9100B4" w14:textId="0C85B4F2" w:rsidR="00EE1D4A" w:rsidRPr="00EE1D4A" w:rsidRDefault="00EE1D4A" w:rsidP="00C743EA">
      <w:pPr>
        <w:pStyle w:val="Paragraph"/>
        <w:spacing w:before="240" w:after="240"/>
        <w:ind w:firstLine="288"/>
        <w:jc w:val="center"/>
        <w:rPr>
          <w:lang w:val="en-ID"/>
        </w:rPr>
      </w:pPr>
      <w:r w:rsidRPr="00EE1D4A">
        <w:rPr>
          <w:lang w:val="en-ID"/>
        </w:rPr>
        <w:t>Allograft</w:t>
      </w:r>
    </w:p>
    <w:p w14:paraId="292A0780" w14:textId="789AFD7E" w:rsidR="00C743EA" w:rsidRPr="00EE1D4A" w:rsidRDefault="00EE1D4A" w:rsidP="007F4228">
      <w:pPr>
        <w:pStyle w:val="Paragraph"/>
        <w:rPr>
          <w:lang w:val="en-ID"/>
        </w:rPr>
      </w:pPr>
      <w:r w:rsidRPr="00EE1D4A">
        <w:rPr>
          <w:lang w:val="en-ID"/>
        </w:rPr>
        <w:t>Another alternative is allografts (bone taken from the same species) or synthetic material transplantation; the disadvantages are poor re-vascularization, causing significant resorption, immunogenic reactions, and the risk of spreading the virus to the patient [8].</w:t>
      </w:r>
      <w:r w:rsidRPr="00EE1D4A">
        <w:rPr>
          <w:vertAlign w:val="superscript"/>
          <w:lang w:val="en-ID"/>
        </w:rPr>
        <w:t xml:space="preserve"> </w:t>
      </w:r>
      <w:r w:rsidRPr="00EE1D4A">
        <w:rPr>
          <w:lang w:val="en-ID"/>
        </w:rPr>
        <w:t>Allograft that comes from another individual. Allografts are taken from the bones of corpses who have donated their bones so that they can be used on people who need them. They also risk rejection from the immune system and the possibility of contracting infectious diseases because they come from outside the body, namely from other individuals. The advantage that can be taken from allografts is the availability of sources from corpses that are ready in various shapes and sizes [9,10].</w:t>
      </w:r>
    </w:p>
    <w:p w14:paraId="493A014E" w14:textId="09493136" w:rsidR="00EE1D4A" w:rsidRDefault="00EE1D4A" w:rsidP="00C743EA">
      <w:pPr>
        <w:pStyle w:val="Paragraph"/>
        <w:spacing w:before="240" w:after="240"/>
        <w:ind w:firstLine="288"/>
        <w:jc w:val="center"/>
        <w:rPr>
          <w:lang w:val="en-ID"/>
        </w:rPr>
      </w:pPr>
      <w:r w:rsidRPr="00EE1D4A">
        <w:rPr>
          <w:lang w:val="en-ID"/>
        </w:rPr>
        <w:t>Xenograft</w:t>
      </w:r>
    </w:p>
    <w:p w14:paraId="52482ECE" w14:textId="77777777" w:rsidR="00EE1D4A" w:rsidRPr="00EE1D4A" w:rsidRDefault="00EE1D4A" w:rsidP="00EE1D4A">
      <w:pPr>
        <w:pStyle w:val="Paragraph"/>
        <w:rPr>
          <w:lang w:val="en-ID"/>
        </w:rPr>
      </w:pPr>
      <w:r w:rsidRPr="00EE1D4A">
        <w:rPr>
          <w:lang w:val="en-ID"/>
        </w:rPr>
        <w:t xml:space="preserve">Xenografts are replacement bones originating from species other than humans, such as cattle, usually distributed as a calcified matrix. xenografts have good osteoconductive and </w:t>
      </w:r>
      <w:proofErr w:type="spellStart"/>
      <w:r w:rsidRPr="00EE1D4A">
        <w:rPr>
          <w:lang w:val="en-ID"/>
        </w:rPr>
        <w:t>osteoinductive</w:t>
      </w:r>
      <w:proofErr w:type="spellEnd"/>
      <w:r w:rsidRPr="00EE1D4A">
        <w:rPr>
          <w:lang w:val="en-ID"/>
        </w:rPr>
        <w:t xml:space="preserve"> abilities but do not have good </w:t>
      </w:r>
      <w:r w:rsidRPr="00EE1D4A">
        <w:rPr>
          <w:lang w:val="en-ID"/>
        </w:rPr>
        <w:lastRenderedPageBreak/>
        <w:t xml:space="preserve">osteogenic abilities. It also carries the risk of rejection from the immune system and the possibility of contracting infectious diseases because they originate from animals [7,9]. </w:t>
      </w:r>
    </w:p>
    <w:p w14:paraId="363870B3" w14:textId="70B3EE68" w:rsidR="00EE1D4A" w:rsidRPr="00EE1D4A" w:rsidRDefault="00EE1D4A" w:rsidP="00C743EA">
      <w:pPr>
        <w:pStyle w:val="Paragraph"/>
        <w:spacing w:before="240" w:after="240"/>
        <w:ind w:firstLine="288"/>
        <w:jc w:val="center"/>
        <w:rPr>
          <w:lang w:val="en-ID"/>
        </w:rPr>
      </w:pPr>
      <w:r w:rsidRPr="00EE1D4A">
        <w:rPr>
          <w:lang w:val="en-ID"/>
        </w:rPr>
        <w:t>Alloplastic graft</w:t>
      </w:r>
    </w:p>
    <w:p w14:paraId="024AEDED" w14:textId="7D607E64" w:rsidR="00EE1D4A" w:rsidRPr="00C743EA" w:rsidRDefault="00EE1D4A" w:rsidP="00C743EA">
      <w:pPr>
        <w:pStyle w:val="Paragraph"/>
        <w:rPr>
          <w:lang w:val="en-ID"/>
        </w:rPr>
      </w:pPr>
      <w:proofErr w:type="spellStart"/>
      <w:r w:rsidRPr="00EE1D4A">
        <w:rPr>
          <w:lang w:val="en-ID"/>
        </w:rPr>
        <w:t>Alloplast</w:t>
      </w:r>
      <w:proofErr w:type="spellEnd"/>
      <w:r w:rsidRPr="00EE1D4A">
        <w:rPr>
          <w:lang w:val="en-ID"/>
        </w:rPr>
        <w:t xml:space="preserve"> is a synthetic material developed to overcome problems related to the use of autografts. The main advantages of </w:t>
      </w:r>
      <w:proofErr w:type="spellStart"/>
      <w:r w:rsidRPr="00EE1D4A">
        <w:rPr>
          <w:lang w:val="en-ID"/>
        </w:rPr>
        <w:t>alloplast</w:t>
      </w:r>
      <w:proofErr w:type="spellEnd"/>
      <w:r w:rsidRPr="00EE1D4A">
        <w:rPr>
          <w:lang w:val="en-ID"/>
        </w:rPr>
        <w:t xml:space="preserve"> are that it is suitable for natural materials, there is no risk of disease transmission, &amp; very low antigenicity. The most common </w:t>
      </w:r>
      <w:proofErr w:type="spellStart"/>
      <w:r w:rsidRPr="00EE1D4A">
        <w:rPr>
          <w:lang w:val="en-ID"/>
        </w:rPr>
        <w:t>alloplast</w:t>
      </w:r>
      <w:proofErr w:type="spellEnd"/>
      <w:r w:rsidRPr="00EE1D4A">
        <w:rPr>
          <w:lang w:val="en-ID"/>
        </w:rPr>
        <w:t xml:space="preserve"> materials are hydroxyapatite, bioactive glass, tricalcium phosphate, &amp; dicalcium phosphate. </w:t>
      </w:r>
      <w:proofErr w:type="spellStart"/>
      <w:r w:rsidRPr="00EE1D4A">
        <w:rPr>
          <w:lang w:val="en-ID"/>
        </w:rPr>
        <w:t>Alloplast</w:t>
      </w:r>
      <w:proofErr w:type="spellEnd"/>
      <w:r w:rsidRPr="00EE1D4A">
        <w:rPr>
          <w:lang w:val="en-ID"/>
        </w:rPr>
        <w:t xml:space="preserve"> can be produced in various shapes and with various physiochemical properties, success in using </w:t>
      </w:r>
      <w:proofErr w:type="spellStart"/>
      <w:r w:rsidRPr="00EE1D4A">
        <w:rPr>
          <w:lang w:val="en-ID"/>
        </w:rPr>
        <w:t>alloplast</w:t>
      </w:r>
      <w:proofErr w:type="spellEnd"/>
      <w:r w:rsidRPr="00EE1D4A">
        <w:rPr>
          <w:lang w:val="en-ID"/>
        </w:rPr>
        <w:t xml:space="preserve"> is a relatively rough structure [11].</w:t>
      </w:r>
    </w:p>
    <w:p w14:paraId="6D2B39A1" w14:textId="77777777" w:rsidR="00C743EA" w:rsidRDefault="00C743EA" w:rsidP="003A287B">
      <w:pPr>
        <w:pStyle w:val="Heading2"/>
      </w:pPr>
      <w:r>
        <w:t>Scaffold Materials</w:t>
      </w:r>
    </w:p>
    <w:p w14:paraId="0C0B0621" w14:textId="77777777" w:rsidR="00C743EA" w:rsidRPr="00C743EA" w:rsidRDefault="00C743EA" w:rsidP="00C743EA">
      <w:pPr>
        <w:pStyle w:val="Paragraph"/>
        <w:rPr>
          <w:lang w:val="en-ID"/>
        </w:rPr>
      </w:pPr>
      <w:r w:rsidRPr="00C743EA">
        <w:rPr>
          <w:lang w:val="en-ID"/>
        </w:rPr>
        <w:t>Biomaterials used in tissue engineering include metals, ceramics, and polymers. Metal and ceramic are no longer used because they are not biodegradable, and the availability of materials is limited. Biomaterials that are currently widely used in the field of tissue engineering are polymers [12].</w:t>
      </w:r>
      <w:r w:rsidRPr="00C743EA">
        <w:rPr>
          <w:vertAlign w:val="superscript"/>
          <w:lang w:val="en-ID"/>
        </w:rPr>
        <w:t xml:space="preserve"> </w:t>
      </w:r>
      <w:r w:rsidRPr="00C743EA">
        <w:rPr>
          <w:lang w:val="en-ID"/>
        </w:rPr>
        <w:t xml:space="preserve">Scaffolds can be made from biomaterials such as synthetic polymers, natural polymers, and ceramics. Natural polymers commonly used in tissue engineering are </w:t>
      </w:r>
      <w:proofErr w:type="spellStart"/>
      <w:r w:rsidRPr="00C743EA">
        <w:rPr>
          <w:lang w:val="en-ID"/>
        </w:rPr>
        <w:t>gelatin</w:t>
      </w:r>
      <w:proofErr w:type="spellEnd"/>
      <w:r w:rsidRPr="00C743EA">
        <w:rPr>
          <w:lang w:val="en-ID"/>
        </w:rPr>
        <w:t>, chitosan, fibrin, collagen, hyaluronic acid, and alginate [13]. Based on cell carrier capability, polymer-based scaffolds can be divided into 2 types: poly (</w:t>
      </w:r>
      <w:r w:rsidRPr="00C743EA">
        <w:rPr>
          <w:lang w:val="sv-SE"/>
        </w:rPr>
        <w:t>α</w:t>
      </w:r>
      <w:r w:rsidRPr="00C743EA">
        <w:rPr>
          <w:lang w:val="en-ID"/>
        </w:rPr>
        <w:t xml:space="preserve">-hydroxy ester) and hydrogel. Hydrogel has a hydrophilic polymer network system, so it has several advantages, including; a) the material is flexible and similar to the extracellular matrix; b) the pores between the tissue provide space for cells to proliferate to form new bone tissue and provide a supply of nutrients and oxygen for these cells; and can control the volume of water absorbed in empty and porous space [14]. </w:t>
      </w:r>
    </w:p>
    <w:p w14:paraId="1DF6E9F2" w14:textId="77777777" w:rsidR="00C743EA" w:rsidRPr="00C743EA" w:rsidRDefault="00C743EA" w:rsidP="00C743EA">
      <w:pPr>
        <w:pStyle w:val="Paragraph"/>
        <w:rPr>
          <w:lang w:val="en-ID"/>
        </w:rPr>
      </w:pPr>
      <w:r w:rsidRPr="00C743EA">
        <w:rPr>
          <w:lang w:val="en-ID"/>
        </w:rPr>
        <w:t xml:space="preserve">The polymer itself consists of 2, namely natural and synthetic polymers. Natural polymers are more often used in tissue engineering because their components are similar to extracellular matrix. These natural polymers include </w:t>
      </w:r>
      <w:proofErr w:type="spellStart"/>
      <w:r w:rsidRPr="00C743EA">
        <w:rPr>
          <w:lang w:val="en-ID"/>
        </w:rPr>
        <w:t>gelatin</w:t>
      </w:r>
      <w:proofErr w:type="spellEnd"/>
      <w:r w:rsidRPr="00C743EA">
        <w:rPr>
          <w:lang w:val="en-ID"/>
        </w:rPr>
        <w:t xml:space="preserve">, collagen, alginate, fibrin, and hyaluronic acid [13]. </w:t>
      </w:r>
      <w:proofErr w:type="spellStart"/>
      <w:r w:rsidRPr="00C743EA">
        <w:rPr>
          <w:lang w:val="en-ID"/>
        </w:rPr>
        <w:t>Gelatin</w:t>
      </w:r>
      <w:proofErr w:type="spellEnd"/>
      <w:r w:rsidRPr="00C743EA">
        <w:rPr>
          <w:lang w:val="en-ID"/>
        </w:rPr>
        <w:t xml:space="preserve"> is a hydrogel-shaped polymer derived from collagen through hydrolysis; collagen is the main organic component in bones [14].</w:t>
      </w:r>
      <w:r w:rsidRPr="00C743EA">
        <w:rPr>
          <w:vertAlign w:val="superscript"/>
          <w:lang w:val="en-ID"/>
        </w:rPr>
        <w:t xml:space="preserve"> </w:t>
      </w:r>
      <w:r w:rsidRPr="00C743EA">
        <w:rPr>
          <w:lang w:val="en-ID"/>
        </w:rPr>
        <w:t xml:space="preserve">The </w:t>
      </w:r>
      <w:proofErr w:type="spellStart"/>
      <w:r w:rsidRPr="00C743EA">
        <w:rPr>
          <w:lang w:val="en-ID"/>
        </w:rPr>
        <w:t>gelatin</w:t>
      </w:r>
      <w:proofErr w:type="spellEnd"/>
      <w:r w:rsidRPr="00C743EA">
        <w:rPr>
          <w:lang w:val="en-ID"/>
        </w:rPr>
        <w:t xml:space="preserve"> used as the base material is made in such a way through a gelation and lyophilization process to produce a porous scaffold [15].</w:t>
      </w:r>
      <w:r w:rsidRPr="00C743EA">
        <w:rPr>
          <w:vertAlign w:val="superscript"/>
          <w:lang w:val="en-ID"/>
        </w:rPr>
        <w:t xml:space="preserve"> </w:t>
      </w:r>
      <w:r w:rsidRPr="00C743EA">
        <w:rPr>
          <w:lang w:val="en-ID"/>
        </w:rPr>
        <w:t xml:space="preserve">Natural polymers used as tissue engineering materials are fibrin, collagen, </w:t>
      </w:r>
      <w:proofErr w:type="spellStart"/>
      <w:r w:rsidRPr="00C743EA">
        <w:rPr>
          <w:lang w:val="en-ID"/>
        </w:rPr>
        <w:t>gelatin</w:t>
      </w:r>
      <w:proofErr w:type="spellEnd"/>
      <w:r w:rsidRPr="00C743EA">
        <w:rPr>
          <w:lang w:val="en-ID"/>
        </w:rPr>
        <w:t>, chitosan, alginate, agarose, and hyaluronic acid [16]. Natural polymer materials can biologically increase cell activity for adhesion and good growth. In addition, natural polymers are also biodegradable, allowing cells to produce an extracellular matrix that will replace the degraded scaffold [17]. Hydrogel is a three-dimensional network structure obtained from synthetic or natural polymers that can absorb and retain a certain amount of fluid [18].</w:t>
      </w:r>
      <w:r w:rsidRPr="00C743EA">
        <w:rPr>
          <w:vertAlign w:val="superscript"/>
          <w:lang w:val="en-ID"/>
        </w:rPr>
        <w:t xml:space="preserve"> </w:t>
      </w:r>
      <w:r w:rsidRPr="00C743EA">
        <w:rPr>
          <w:lang w:val="en-ID"/>
        </w:rPr>
        <w:t>Collagen is the extracellular matrix's main protein component and supports connective tissue such as tendons, skin, bones, cartilage, blood vessels and ligaments. Collagen can come from isolated animal tissue and can be produced by recombinant technology. It is defined by high mechanical strength, good biocompatibility, low antigenicity and cross-linking ability, and being adapted for mechanical processing, degradation, and water absorption properties. Basically, the properties of the scaffold can be varied by using different concentrations of collagen [19]. Collagen-based biomaterials are among the most important for tissue engineering techniques and regenerative processes due to their superior biocompatibility and low immunogenicity [20].</w:t>
      </w:r>
    </w:p>
    <w:p w14:paraId="2479A71B" w14:textId="77777777" w:rsidR="00C743EA" w:rsidRPr="00C743EA" w:rsidRDefault="00C743EA" w:rsidP="00C743EA">
      <w:pPr>
        <w:pStyle w:val="Paragraph"/>
        <w:rPr>
          <w:lang w:val="en-ID"/>
        </w:rPr>
      </w:pPr>
      <w:proofErr w:type="spellStart"/>
      <w:r w:rsidRPr="00C743EA">
        <w:rPr>
          <w:lang w:val="en-ID"/>
        </w:rPr>
        <w:t>Gelatin</w:t>
      </w:r>
      <w:proofErr w:type="spellEnd"/>
      <w:r w:rsidRPr="00C743EA">
        <w:rPr>
          <w:lang w:val="en-ID"/>
        </w:rPr>
        <w:t xml:space="preserve"> is a natural polymer derived from collagen. It is included in the natural polymer hydrogel material, which is extracted from the bones and skin of various types of animals. Hydrogel is almost the same as gel, but the difference lies in how the polymer reacts with water. The hydrogel will experience swelling when absorbing water, while the gel will simply dissolve in water [21].</w:t>
      </w:r>
    </w:p>
    <w:p w14:paraId="6A0C8781" w14:textId="77777777" w:rsidR="00C743EA" w:rsidRPr="00C743EA" w:rsidRDefault="00C743EA" w:rsidP="00C743EA">
      <w:pPr>
        <w:pStyle w:val="Paragraph"/>
        <w:rPr>
          <w:lang w:val="en-ID"/>
        </w:rPr>
      </w:pPr>
      <w:r w:rsidRPr="00C743EA">
        <w:rPr>
          <w:lang w:val="en-ID"/>
        </w:rPr>
        <w:t xml:space="preserve">Hydrogels have the ability to retain water in the spaces available between polymer chains. Hydrogels have been widely used in various biomedical applications for wound management and tissue engineering. </w:t>
      </w:r>
      <w:proofErr w:type="spellStart"/>
      <w:r w:rsidRPr="00C743EA">
        <w:rPr>
          <w:lang w:val="en-ID"/>
        </w:rPr>
        <w:t>Gelatin</w:t>
      </w:r>
      <w:proofErr w:type="spellEnd"/>
      <w:r w:rsidRPr="00C743EA">
        <w:rPr>
          <w:lang w:val="en-ID"/>
        </w:rPr>
        <w:t xml:space="preserve"> hydrogel is an ideal scaffold because it has good material properties and a good degradation process. Hydrogels can be classified into two groups, namely permanent hydrogels and temporary hydrogels, depending on their cross-reaction properties. Cross-reaction involves the formation of covalent bonds, so hydrogels are referred to as permanent hydrogels [22], while temporary hydrogels are when a network of molecules is involved, and a collection of secondary molecules can also be involved. Secondary molecules include ionic, hydrogen bonds or hydrophobic interactions [18].</w:t>
      </w:r>
    </w:p>
    <w:p w14:paraId="7DB751C0" w14:textId="77777777" w:rsidR="00C743EA" w:rsidRPr="00C743EA" w:rsidRDefault="00C743EA" w:rsidP="00C743EA">
      <w:pPr>
        <w:pStyle w:val="Paragraph"/>
        <w:rPr>
          <w:lang w:val="en-ID"/>
        </w:rPr>
      </w:pPr>
      <w:r w:rsidRPr="00C743EA">
        <w:rPr>
          <w:lang w:val="en-ID"/>
        </w:rPr>
        <w:t>Coral is used as a bone substitute material because it is easily shaped to the required shape and size. Coral has biocompatible, osteoconductive properties and can function as a system for bone growth factors. This is interconnected because coral has a three-dimensional porous structure, which provides a large internal surface for cells to migrate and allows the growth of new bone [23].</w:t>
      </w:r>
    </w:p>
    <w:p w14:paraId="7A5E9364" w14:textId="7A50C99F" w:rsidR="00616F3B" w:rsidRPr="00075EA6" w:rsidRDefault="00C743EA" w:rsidP="00C743EA">
      <w:pPr>
        <w:pStyle w:val="Paragraph"/>
      </w:pPr>
      <w:r w:rsidRPr="00C743EA">
        <w:rPr>
          <w:lang w:val="en-ID"/>
        </w:rPr>
        <w:lastRenderedPageBreak/>
        <w:t>Calcium carbonate (CaCO3) has begun to be used in various fields, such as health, food, and industry. When potassium carbonate is synthesized using water, three types of crystals will form: calcite, vaterite, and aragonite. The formation of various crystal forms is influenced by temperature, solution pH, degree of saturation, CO2 flow speed when using the carbonation method, and the presence of additives. Each phase requires different environmental conditions and structuring energy [24].</w:t>
      </w:r>
      <w:r w:rsidR="00616F3B" w:rsidRPr="00075EA6">
        <w:t xml:space="preserve"> </w:t>
      </w:r>
    </w:p>
    <w:p w14:paraId="530E6BD2" w14:textId="73D691FC" w:rsidR="00BA3B3D" w:rsidRPr="00075EA6" w:rsidRDefault="00C743EA" w:rsidP="00A646B3">
      <w:pPr>
        <w:pStyle w:val="Heading2"/>
      </w:pPr>
      <w:r>
        <w:t>Application of Scaffold</w:t>
      </w:r>
    </w:p>
    <w:p w14:paraId="1AAD98E2" w14:textId="77777777" w:rsidR="00C743EA" w:rsidRPr="00C743EA" w:rsidRDefault="00C743EA" w:rsidP="00C743EA">
      <w:pPr>
        <w:pStyle w:val="Paragraph"/>
        <w:rPr>
          <w:lang w:val="en-ID"/>
        </w:rPr>
      </w:pPr>
      <w:r w:rsidRPr="00C743EA">
        <w:rPr>
          <w:lang w:val="en-ID"/>
        </w:rPr>
        <w:t xml:space="preserve">The structure of Hydrogel scaffold mimics bone extracellular matrix. Acting as a nutrient site, structural support of cells with surrounding tissues, and low inflammatory response after transplantation.  Hydrogels scaffold </w:t>
      </w:r>
      <w:proofErr w:type="gramStart"/>
      <w:r w:rsidRPr="00C743EA">
        <w:rPr>
          <w:lang w:val="en-ID"/>
        </w:rPr>
        <w:t>have</w:t>
      </w:r>
      <w:proofErr w:type="gramEnd"/>
      <w:r w:rsidRPr="00C743EA">
        <w:rPr>
          <w:lang w:val="en-ID"/>
        </w:rPr>
        <w:t xml:space="preserve"> been shown potential in bone repair, especially when combined with stem cells [25,26]. TCP </w:t>
      </w:r>
      <w:r w:rsidRPr="00C743EA">
        <w:rPr>
          <w:lang w:val="sv-SE"/>
        </w:rPr>
        <w:t>β</w:t>
      </w:r>
      <w:r w:rsidRPr="00C743EA">
        <w:rPr>
          <w:lang w:val="en-ID"/>
        </w:rPr>
        <w:t>-based scaffolds combined with stem cells show faster bone maturation and neurovascular formation [27]. Bio glass scaffolds containing boron that regulate micronutrients, are 3-dimensional in shape with uniform pores, presenting faster bone formation [28].</w:t>
      </w:r>
    </w:p>
    <w:p w14:paraId="5B55714B" w14:textId="102D19BE" w:rsidR="00BA3B3D" w:rsidRPr="00C743EA" w:rsidRDefault="00C743EA" w:rsidP="00C743EA">
      <w:pPr>
        <w:pStyle w:val="Paragraph"/>
        <w:rPr>
          <w:lang w:val="en-ID"/>
        </w:rPr>
      </w:pPr>
      <w:proofErr w:type="spellStart"/>
      <w:r w:rsidRPr="00C743EA">
        <w:rPr>
          <w:lang w:val="en-ID"/>
        </w:rPr>
        <w:t>Electrospining</w:t>
      </w:r>
      <w:proofErr w:type="spellEnd"/>
      <w:r w:rsidRPr="00C743EA">
        <w:rPr>
          <w:lang w:val="en-ID"/>
        </w:rPr>
        <w:t xml:space="preserve"> emulsion </w:t>
      </w:r>
      <w:proofErr w:type="spellStart"/>
      <w:r w:rsidRPr="00C743EA">
        <w:rPr>
          <w:lang w:val="en-ID"/>
        </w:rPr>
        <w:t>gelatin</w:t>
      </w:r>
      <w:proofErr w:type="spellEnd"/>
      <w:r w:rsidRPr="00C743EA">
        <w:rPr>
          <w:lang w:val="en-ID"/>
        </w:rPr>
        <w:t xml:space="preserve"> nanofibrous scaffold combined with Platelet Rich Plasma can improve scaffold structure, help control released growth factor and show the ability to regenerate cranial bone [29].  </w:t>
      </w:r>
      <w:proofErr w:type="spellStart"/>
      <w:r w:rsidRPr="00C743EA">
        <w:rPr>
          <w:lang w:val="en-ID"/>
        </w:rPr>
        <w:t>Xenogenic</w:t>
      </w:r>
      <w:proofErr w:type="spellEnd"/>
      <w:r w:rsidRPr="00C743EA">
        <w:rPr>
          <w:lang w:val="en-ID"/>
        </w:rPr>
        <w:t xml:space="preserve"> scaffolds supplemented with platelet rich fibrin are also used for bone tissue regeneration. The results showed an increase in angiogenesis and bone regeneration [30].</w:t>
      </w:r>
    </w:p>
    <w:p w14:paraId="77E82821" w14:textId="521BEB6E" w:rsidR="00BA3B3D" w:rsidRDefault="00C743EA" w:rsidP="009B696B">
      <w:pPr>
        <w:pStyle w:val="Heading2"/>
      </w:pPr>
      <w:r>
        <w:t>Degradation Process</w:t>
      </w:r>
    </w:p>
    <w:p w14:paraId="1A57262E" w14:textId="77777777" w:rsidR="00C743EA" w:rsidRPr="00C743EA" w:rsidRDefault="00C743EA" w:rsidP="00C743EA">
      <w:pPr>
        <w:pStyle w:val="Paragraph"/>
        <w:rPr>
          <w:lang w:val="en-ID"/>
        </w:rPr>
      </w:pPr>
      <w:r w:rsidRPr="00C743EA">
        <w:rPr>
          <w:lang w:val="en-ID"/>
        </w:rPr>
        <w:t xml:space="preserve">Degradation is a process where the scaffold begins to experience various declines in function and mechanical properties, which the body must then absorb. Scaffold degradation is influenced by several factors such as polymer structure, molecular weight, copolymer composition, temperature, and environmental </w:t>
      </w:r>
      <w:proofErr w:type="spellStart"/>
      <w:r w:rsidRPr="00C743EA">
        <w:rPr>
          <w:lang w:val="en-ID"/>
        </w:rPr>
        <w:t>pH.</w:t>
      </w:r>
      <w:proofErr w:type="spellEnd"/>
      <w:r w:rsidRPr="00C743EA">
        <w:rPr>
          <w:lang w:val="en-ID"/>
        </w:rPr>
        <w:t xml:space="preserve"> During the degradation process, changes in the properties of the scaffold occur, namely changes in mechanical properties, changes in molecular weight, changes in dimensions, and changes in porous morphology. Scaffold degradation is an important parameter in forming new tissue because good scaffold degradation occurs simultaneously with forming new tissue [31].</w:t>
      </w:r>
    </w:p>
    <w:p w14:paraId="20586AAF" w14:textId="3A64DEAF" w:rsidR="00BA3B3D" w:rsidRPr="00C743EA" w:rsidRDefault="00C743EA" w:rsidP="00C743EA">
      <w:pPr>
        <w:pStyle w:val="Paragraph"/>
        <w:rPr>
          <w:lang w:val="en-ID"/>
        </w:rPr>
      </w:pPr>
      <w:r w:rsidRPr="00C743EA">
        <w:rPr>
          <w:lang w:val="en-ID"/>
        </w:rPr>
        <w:t>Based on these various changes in properties, the degradation process is divided into three stages. The first stage is quasi-stable. This first stage is then divided into two sub-stages: stage I-1 and stage I-2. Stage I-1 The mechanical properties of the scaffold increase, and the porous dimensions decrease while the molecular weight remains constant. Changes in scaffold dimensions can affect the increase in the mechanical properties of the scaffold. Shrinking of scaffold dimensions causes changes in porosity and damage to the scaffold structure. Stage I-2 saw changes in all scaffold properties except molecular weight; there were no significant changes. In the second stage, the mechanical properties experienced a drastic decrease, and the molecular weight dimension (MWD) area expanded, but the weight and dimensions remained constant. In the third stage, weight loss occurs, dimensions decrease, and finally disruption of the scaffold occurs. Weight loss coincides with the release of acid products into the PBS solution. Therefore, weight loss will occur quickly when the pH decreases due to the release of acid products. Apart from weight loss, the scaffold will also become brittle, its mechanical strength is very small and even difficult to measure, and there will be a large change in porous morphology until finally, the scaffold starts to disappear [32].</w:t>
      </w:r>
    </w:p>
    <w:p w14:paraId="7B01763D" w14:textId="069EC680" w:rsidR="00BA3B3D" w:rsidRPr="00075EA6" w:rsidRDefault="00764502">
      <w:pPr>
        <w:pStyle w:val="Heading2"/>
      </w:pPr>
      <w:r>
        <w:t>Scaffold Crosslinked</w:t>
      </w:r>
    </w:p>
    <w:p w14:paraId="3AAC91D3" w14:textId="77777777" w:rsidR="00764502" w:rsidRPr="00764502" w:rsidRDefault="00764502" w:rsidP="00764502">
      <w:pPr>
        <w:pStyle w:val="Paragraph"/>
        <w:rPr>
          <w:lang w:val="en-ID"/>
        </w:rPr>
      </w:pPr>
      <w:r w:rsidRPr="00764502">
        <w:rPr>
          <w:lang w:val="en-ID"/>
        </w:rPr>
        <w:t>The degradation process will proceed quickly if the scaffolds are still original and have not been crosslinked. To regulate the duration of degradation, a crosslinking process is needed. Crosslinking is a process to stabilize the bonds between polymers so that they are not easily degraded [33].</w:t>
      </w:r>
      <w:r w:rsidRPr="00764502">
        <w:rPr>
          <w:vertAlign w:val="superscript"/>
          <w:lang w:val="en-ID"/>
        </w:rPr>
        <w:t xml:space="preserve"> </w:t>
      </w:r>
      <w:r w:rsidRPr="00764502">
        <w:rPr>
          <w:lang w:val="en-ID"/>
        </w:rPr>
        <w:t>There are 2 types of crosslinking, namely physical and chemical. Physical crosslinking is usually stabilized by ionic bonds, hydrogen bonds and hydrophobic interactions. The main advantage of physical cross-linking methods is biomedical safety due to the absence of chemical cross-linking agents, thereby avoiding potential cytotoxicity. Physically cross-linked hydrogels are usually stabilized by ionic/electrostatic interactions, hydrogen bonds, or hydrophobic interactions [34].</w:t>
      </w:r>
    </w:p>
    <w:p w14:paraId="30DD149D" w14:textId="185A0B2C" w:rsidR="0039376F" w:rsidRPr="00764502" w:rsidRDefault="00764502" w:rsidP="00764502">
      <w:pPr>
        <w:pStyle w:val="Paragraph"/>
        <w:rPr>
          <w:lang w:val="en-ID"/>
        </w:rPr>
      </w:pPr>
      <w:r w:rsidRPr="00764502">
        <w:rPr>
          <w:lang w:val="en-ID"/>
        </w:rPr>
        <w:t xml:space="preserve">Chemical crosslinking techniques include photopolymerization, enzyme-induced cross-linking, and Schiff base formation. Compared with physically cross-linked hydrogels, chemically cross-linked hydrogels generally exhibit better stability under physiological conditions, excellent mechanical properties, and </w:t>
      </w:r>
      <w:proofErr w:type="spellStart"/>
      <w:r w:rsidRPr="00764502">
        <w:rPr>
          <w:lang w:val="en-ID"/>
        </w:rPr>
        <w:t>tunable</w:t>
      </w:r>
      <w:proofErr w:type="spellEnd"/>
      <w:r w:rsidRPr="00764502">
        <w:rPr>
          <w:lang w:val="en-ID"/>
        </w:rPr>
        <w:t xml:space="preserve"> degradation </w:t>
      </w:r>
      <w:proofErr w:type="spellStart"/>
      <w:r w:rsidRPr="00764502">
        <w:rPr>
          <w:lang w:val="en-ID"/>
        </w:rPr>
        <w:t>behavior</w:t>
      </w:r>
      <w:proofErr w:type="spellEnd"/>
      <w:r w:rsidRPr="00764502">
        <w:rPr>
          <w:lang w:val="en-ID"/>
        </w:rPr>
        <w:t xml:space="preserve"> due to forming permanent covalent bonds. Apart from that, the bonds created are larger and more permanent, for example, permanent covalent bonds [35].</w:t>
      </w:r>
      <w:r w:rsidRPr="00764502">
        <w:rPr>
          <w:vertAlign w:val="superscript"/>
          <w:lang w:val="en-ID"/>
        </w:rPr>
        <w:t xml:space="preserve"> </w:t>
      </w:r>
      <w:r w:rsidRPr="00764502">
        <w:rPr>
          <w:lang w:val="en-ID"/>
        </w:rPr>
        <w:t xml:space="preserve">Chemical crosslinking agents can be synthetic and natural cross-linking agents. </w:t>
      </w:r>
      <w:r w:rsidRPr="00764502">
        <w:rPr>
          <w:lang w:val="en-ID"/>
        </w:rPr>
        <w:lastRenderedPageBreak/>
        <w:t xml:space="preserve">Synthetic can be Glutaraldehyde or 1-Ethyl-3-(3-dimethyl aminopropyl)-carbodiimide. Natural Cross-Linking Agents are </w:t>
      </w:r>
      <w:proofErr w:type="spellStart"/>
      <w:r w:rsidRPr="00764502">
        <w:rPr>
          <w:lang w:val="en-ID"/>
        </w:rPr>
        <w:t>genipin</w:t>
      </w:r>
      <w:proofErr w:type="spellEnd"/>
      <w:r w:rsidRPr="00764502">
        <w:rPr>
          <w:lang w:val="en-ID"/>
        </w:rPr>
        <w:t xml:space="preserve"> and citric acid [36]. Meanwhile, physical crosslinking agents are temperature-triggered hydrogels and ionic crosslinking agents [37].</w:t>
      </w:r>
    </w:p>
    <w:p w14:paraId="2C6C87A7" w14:textId="48FF2BC9" w:rsidR="009E5BA1" w:rsidRPr="00075EA6" w:rsidRDefault="00764502" w:rsidP="009E5BA1">
      <w:pPr>
        <w:pStyle w:val="Heading2"/>
      </w:pPr>
      <w:r>
        <w:t>Scaffold as a Microenvironment</w:t>
      </w:r>
      <w:r w:rsidR="004E3C57" w:rsidRPr="00075EA6">
        <w:rPr>
          <w:lang w:val="en-GB" w:eastAsia="en-GB"/>
        </w:rPr>
        <w:t xml:space="preserve"> </w:t>
      </w:r>
    </w:p>
    <w:p w14:paraId="2D642E64" w14:textId="77777777" w:rsidR="00764502" w:rsidRPr="00764502" w:rsidRDefault="00764502" w:rsidP="00764502">
      <w:pPr>
        <w:pStyle w:val="Paragraph"/>
      </w:pPr>
      <w:r w:rsidRPr="00764502">
        <w:t>Scaffolds function to support cell growth and growth factors in the process of tissue or organ reconstruction. To successfully carry out this function, a scaffold must meet the requirements to function properly, such as having good porosity to support the vascularization process, having sufficient mechanical strength, biodegradability, and biocompatibility. The scaffold must also be able to provide a suitable environment for the processes of cell adhesion, proliferation, and differentiation [11].</w:t>
      </w:r>
    </w:p>
    <w:p w14:paraId="2EB275D4" w14:textId="62061204" w:rsidR="0039376F" w:rsidRPr="00764502" w:rsidRDefault="00764502" w:rsidP="00764502">
      <w:pPr>
        <w:pStyle w:val="Paragraph"/>
      </w:pPr>
      <w:r w:rsidRPr="00764502">
        <w:t>Scaffolds can facilitate cell microenvironments, homes for cells to settle and live. The scaffold must have biocompatible characteristics, where cells can attach and grow. Scaffold porosity has an important role, where the size of the pores can facilitate large cells' attachment, growth, proliferation, and differentiation. Apart from that, there must be interconnectivity between pores so that they can facilitate the entry of nutrients to cells and the removal of waste metabolites [3].</w:t>
      </w:r>
    </w:p>
    <w:p w14:paraId="0F5F191E" w14:textId="08EB66A4" w:rsidR="004E3C57" w:rsidRPr="00075EA6" w:rsidRDefault="00012D44" w:rsidP="004E3C57">
      <w:pPr>
        <w:pStyle w:val="Heading2"/>
      </w:pPr>
      <w:r>
        <w:t>DISCUSSION</w:t>
      </w:r>
    </w:p>
    <w:p w14:paraId="59975E90" w14:textId="77777777" w:rsidR="00012D44" w:rsidRPr="00012D44" w:rsidRDefault="00012D44" w:rsidP="00012D44">
      <w:pPr>
        <w:pStyle w:val="Paragraph"/>
        <w:rPr>
          <w:lang w:val="en-ID"/>
        </w:rPr>
      </w:pPr>
      <w:r w:rsidRPr="00012D44">
        <w:rPr>
          <w:lang w:val="en-ID"/>
        </w:rPr>
        <w:t xml:space="preserve">Bone regeneration is a process in which bones can repair themselves, bone damage caused by trauma, such as fractures. Bone regeneration occurs when bones experience trauma and can be repaired if the damage is minimal. If a critical defect has been reached, a substitute material is needed to repair the bone damage. After a bone fracture, there is bleeding from the torn blood vessels, and blood clots occur. Fibroblasts enter the blood clot area and form granulation tissue called </w:t>
      </w:r>
      <w:proofErr w:type="spellStart"/>
      <w:r w:rsidRPr="00012D44">
        <w:rPr>
          <w:lang w:val="en-ID"/>
        </w:rPr>
        <w:t>prokatus</w:t>
      </w:r>
      <w:proofErr w:type="spellEnd"/>
      <w:r w:rsidRPr="00012D44">
        <w:rPr>
          <w:lang w:val="en-ID"/>
        </w:rPr>
        <w:t>. The granulation tissue that forms then becomes dense fibrous tissue, which then turns into a mass of cartilage called a temporary callus, which unites the broken bones [10,13].</w:t>
      </w:r>
    </w:p>
    <w:p w14:paraId="1F139594" w14:textId="77777777" w:rsidR="00012D44" w:rsidRPr="00012D44" w:rsidRDefault="00012D44" w:rsidP="00012D44">
      <w:pPr>
        <w:pStyle w:val="Paragraph"/>
        <w:rPr>
          <w:lang w:val="en-ID"/>
        </w:rPr>
      </w:pPr>
      <w:r w:rsidRPr="00012D44">
        <w:rPr>
          <w:lang w:val="en-ID"/>
        </w:rPr>
        <w:t>Degradation is a process where the scaffold begins to experience various declines in function and mechanical properties which the body must then absorb. Several factors, such as polymer structure, molecular weight, copolymer composition, temperature, and environmental pH influence scaffold degradation. During the degradation process, changes in the properties of the scaffold occur, namely changes in mechanical properties, changes in molecular weight, changes in dimensions, and changes in porous morphology [32]. Biodegradation means that the scaffold must be able to degrade when the regeneration process of damaged parts is complete. The scaffold's degradation speed must be adjusted so that it corresponds to the speed of new tissue growth so that by the time the regeneration process is complete, the scaffold has been completely degraded. The mechanism for degradation involves physical and chemical processes mediated by biological agents such as enzymes [31].</w:t>
      </w:r>
    </w:p>
    <w:p w14:paraId="4D5E0B62" w14:textId="77777777" w:rsidR="00012D44" w:rsidRPr="00012D44" w:rsidRDefault="00012D44" w:rsidP="00012D44">
      <w:pPr>
        <w:pStyle w:val="Paragraph"/>
        <w:rPr>
          <w:lang w:val="en-ID"/>
        </w:rPr>
      </w:pPr>
      <w:r w:rsidRPr="00012D44">
        <w:rPr>
          <w:lang w:val="en-ID"/>
        </w:rPr>
        <w:t>Degradation, porosity, and swelling are characteristics of scaffolds [38]. Degradation of porous scaffolds plays an important role in engineering new tissues. The degree of degradation of porous scaffolds can affect cell vitality and growth. Once the scaffold is implanted in the body, the porous scaffold must maintain its mechanical properties and structural integrity until the cells are loaded, can adapt to the environment, and secrete sufficient amounts of extracellular matrix. Therefore, the body must completely degrade and absorb the scaffold [39].</w:t>
      </w:r>
    </w:p>
    <w:p w14:paraId="2BE7866B" w14:textId="77777777" w:rsidR="00012D44" w:rsidRPr="00012D44" w:rsidRDefault="00012D44" w:rsidP="00012D44">
      <w:pPr>
        <w:pStyle w:val="Paragraph"/>
        <w:rPr>
          <w:lang w:val="en-ID"/>
        </w:rPr>
      </w:pPr>
      <w:r w:rsidRPr="00012D44">
        <w:rPr>
          <w:lang w:val="en-ID"/>
        </w:rPr>
        <w:t xml:space="preserve">The average degradation of polymer scaffolds with a porous structure tends to be slower than polymer scaffolds with a solid structure because in solid polymer scaffolds, acid degradation products will be trapped; this causes an autocatalytic effect. In contrast to scaffolds with high porosity where the degradation process is slower, acid degradation products will quickly be released and come out of the scaffold [32]. The release of body factors from new </w:t>
      </w:r>
      <w:proofErr w:type="spellStart"/>
      <w:r w:rsidRPr="00012D44">
        <w:rPr>
          <w:lang w:val="en-ID"/>
        </w:rPr>
        <w:t>gelatin</w:t>
      </w:r>
      <w:proofErr w:type="spellEnd"/>
      <w:r w:rsidRPr="00012D44">
        <w:rPr>
          <w:lang w:val="en-ID"/>
        </w:rPr>
        <w:t xml:space="preserve"> can occur when the hydrogel is degraded, so the rate of degradation of the scaffold must be balanced with the rate of new tissue formation [40].</w:t>
      </w:r>
    </w:p>
    <w:p w14:paraId="6C1C8C36" w14:textId="77777777" w:rsidR="00012D44" w:rsidRPr="00012D44" w:rsidRDefault="00012D44" w:rsidP="00012D44">
      <w:pPr>
        <w:pStyle w:val="Paragraph"/>
        <w:rPr>
          <w:lang w:val="en-ID"/>
        </w:rPr>
      </w:pPr>
      <w:r w:rsidRPr="00012D44">
        <w:rPr>
          <w:lang w:val="en-ID"/>
        </w:rPr>
        <w:t xml:space="preserve">The degradation process can be manipulated by controlling the crystallinity, molecular weight, and copolymer ratio [12]. This process will decrease rapidly if degradation occurs simultaneously on the surface and inside of the scaffold. therefore, the rate of degradation of porous scaffolds will be slower, and degradation will occur after the scaffold undergoes a maximum swelling process [39]. Apart from that, the process and duration of degradation can also be manipulated by cross-linking. Research is needed to design crosslinking that suits the purpose of tissue regeneration. Physical crosslinking is the formation of bonds between polymer chains through weak interactions. Often, these interactions tend to take the form of ionic bonds. For example. Sodium alginate gel forms ionic bonds when exposed to calcium ions. This cross-linking involves the formation of bridges between alginate chains. Another typical example includes the addition of borax to polyvinyl alcohol, which forms hydrogen bonds (weak interaction </w:t>
      </w:r>
      <w:r w:rsidRPr="00012D44">
        <w:rPr>
          <w:lang w:val="en-ID"/>
        </w:rPr>
        <w:lastRenderedPageBreak/>
        <w:t xml:space="preserve">forces) between the boric acid and the alcohol groups on the polymer. Some substances that can undergo physical cross-linking include </w:t>
      </w:r>
      <w:proofErr w:type="spellStart"/>
      <w:r w:rsidRPr="00012D44">
        <w:rPr>
          <w:lang w:val="en-ID"/>
        </w:rPr>
        <w:t>gelatin</w:t>
      </w:r>
      <w:proofErr w:type="spellEnd"/>
      <w:r w:rsidRPr="00012D44">
        <w:rPr>
          <w:lang w:val="en-ID"/>
        </w:rPr>
        <w:t>, collagen, agarose, and agar-agar [34, 37].</w:t>
      </w:r>
    </w:p>
    <w:p w14:paraId="1E3BEF8D" w14:textId="77777777" w:rsidR="00012D44" w:rsidRPr="00012D44" w:rsidRDefault="00012D44" w:rsidP="00012D44">
      <w:pPr>
        <w:pStyle w:val="Paragraph"/>
        <w:rPr>
          <w:lang w:val="en-ID"/>
        </w:rPr>
      </w:pPr>
      <w:r w:rsidRPr="00012D44">
        <w:rPr>
          <w:lang w:val="en-ID"/>
        </w:rPr>
        <w:t>Generally, physical cross-links are mechanically and thermally unstable. A class of polymers known as thermoplastic elastomers tend to rely on physical cross-linking in their microstructure. These cross-links provide material stability, making them useful in non-tire applications like tires. snowmobile tracks, and catheters for medical purposes. This is because physical cross-links are often reversible, and we can repair them by applying heat. Physically cross-linked hydrogels are formed due to physical cross-link interactions, ionic interactions, and temperature. There is increasing interest in designing physically cross-linked hydrogels for bone tissue engineering because gelation often occurs under mild conditions and without chemical cross-linking agents [33,34,36].</w:t>
      </w:r>
    </w:p>
    <w:p w14:paraId="7C61B87B" w14:textId="77777777" w:rsidR="00012D44" w:rsidRPr="00012D44" w:rsidRDefault="00012D44" w:rsidP="00012D44">
      <w:pPr>
        <w:pStyle w:val="Paragraph"/>
        <w:rPr>
          <w:lang w:val="en-ID"/>
        </w:rPr>
      </w:pPr>
      <w:r w:rsidRPr="00012D44">
        <w:rPr>
          <w:lang w:val="en-ID"/>
        </w:rPr>
        <w:t>Chemical crosslinking occurs when unpolymerized or partially polymerized resin is mixed with certain chemicals called crosslinking reagents. This results in a chemical reaction that forms cross-links. In addition, we can cause this cross-linking in materials that are usually thermoplastic. Namely through exposure to radiation sources such as electron beams, gamma radiation, or Ultraviolet radiation. For example. we can use electron beam processing to cross-link C-type cross-linked polyethylene [35,37].</w:t>
      </w:r>
    </w:p>
    <w:p w14:paraId="5A73B264" w14:textId="36813956" w:rsidR="003E7C74" w:rsidRPr="00012D44" w:rsidRDefault="00012D44" w:rsidP="00012D44">
      <w:pPr>
        <w:pStyle w:val="Paragraph"/>
        <w:rPr>
          <w:lang w:val="en-ID"/>
        </w:rPr>
      </w:pPr>
      <w:r w:rsidRPr="00012D44">
        <w:rPr>
          <w:lang w:val="en-ID"/>
        </w:rPr>
        <w:t>The duration and profile of degradation must be appropriate and in line with the release process of signal molecules loaded into the scaffold. The degradation time must also correspond to the time required for cells to proliferate and differentiate until they can produce a bone matrix to regenerate the damaged bone. Several crosslinking methods and materials are adapted to the scaffold material used. Can use physical or chemical crosslinking and appropriate types of crosslinking materials. Chemical crosslinking forms bonds between polymer chains through covalent chemical bonds. These cross-links are formed through chemical reactions initiated through heat, pressure, pH changes, or irradiation [41]. The degradation process must not leave residual scaffold material that could cause it to be recognized as a foreign object. Degradation must be cleaned, and the scaffold space must be replaced by new bone produced from cells that live in the scaffold as a microenvironment [42].</w:t>
      </w:r>
    </w:p>
    <w:p w14:paraId="238F91B4" w14:textId="7CC09B4B" w:rsidR="00D87E2A" w:rsidRDefault="00D87E2A" w:rsidP="00D87E2A">
      <w:pPr>
        <w:pStyle w:val="Heading1"/>
        <w:rPr>
          <w:b w:val="0"/>
          <w:caps w:val="0"/>
          <w:sz w:val="20"/>
        </w:rPr>
      </w:pPr>
      <w:r>
        <w:rPr>
          <w:rFonts w:asciiTheme="majorBidi" w:hAnsiTheme="majorBidi" w:cstheme="majorBidi"/>
        </w:rPr>
        <w:t>CONCLUSION</w:t>
      </w:r>
    </w:p>
    <w:p w14:paraId="266DC755" w14:textId="216C2029" w:rsidR="00012D44" w:rsidRDefault="00012D44" w:rsidP="003B0050">
      <w:pPr>
        <w:pStyle w:val="Paragraph"/>
        <w:rPr>
          <w:rFonts w:asciiTheme="majorBidi" w:hAnsiTheme="majorBidi" w:cstheme="majorBidi"/>
        </w:rPr>
      </w:pPr>
      <w:r w:rsidRPr="00012D44">
        <w:rPr>
          <w:rFonts w:asciiTheme="majorBidi" w:hAnsiTheme="majorBidi" w:cstheme="majorBidi"/>
        </w:rPr>
        <w:t>The proper design of the degradation profile and degradation time was required; it was combined with a crosslinking method appropriate to the scaffold material and scaffold porosity that suits the cell microenvironment to form new bone for replacing the damaged part.</w:t>
      </w:r>
      <w:r w:rsidR="00D87E2A">
        <w:rPr>
          <w:rFonts w:asciiTheme="majorBidi" w:hAnsiTheme="majorBidi" w:cstheme="majorBidi"/>
        </w:rPr>
        <w:t xml:space="preserve"> </w:t>
      </w:r>
    </w:p>
    <w:p w14:paraId="7691B80C" w14:textId="531A8184" w:rsidR="00613B4D" w:rsidRDefault="0016385D" w:rsidP="00613B4D">
      <w:pPr>
        <w:pStyle w:val="Heading1"/>
        <w:rPr>
          <w:rFonts w:asciiTheme="majorBidi" w:hAnsiTheme="majorBidi" w:cstheme="majorBidi"/>
        </w:rPr>
      </w:pPr>
      <w:r w:rsidRPr="00AF7AF2">
        <w:rPr>
          <w:rFonts w:asciiTheme="majorBidi" w:hAnsiTheme="majorBidi" w:cstheme="majorBidi"/>
        </w:rPr>
        <w:t>Acknowledgments</w:t>
      </w:r>
    </w:p>
    <w:p w14:paraId="5615495A" w14:textId="1045D2EA" w:rsidR="00AF7AF2" w:rsidRPr="00AF7AF2" w:rsidRDefault="00AF7AF2" w:rsidP="00AF7AF2">
      <w:pPr>
        <w:pStyle w:val="Paragraph"/>
      </w:pPr>
      <w:r>
        <w:t xml:space="preserve">The author would like to thank Universitas Muhammadiyah Yogyakarta through the Research and Innovation Institute for the financial support provided for research and writing of the article review. </w:t>
      </w:r>
    </w:p>
    <w:p w14:paraId="74D4F45E" w14:textId="66CB7361" w:rsidR="00613B4D" w:rsidRPr="00012D44" w:rsidRDefault="0016385D" w:rsidP="00012D44">
      <w:pPr>
        <w:pStyle w:val="Heading1"/>
        <w:rPr>
          <w:b w:val="0"/>
          <w:caps w:val="0"/>
          <w:sz w:val="20"/>
        </w:rPr>
      </w:pPr>
      <w:r w:rsidRPr="00075EA6">
        <w:rPr>
          <w:rFonts w:asciiTheme="majorBidi" w:hAnsiTheme="majorBidi" w:cstheme="majorBidi"/>
        </w:rPr>
        <w:t>References</w:t>
      </w:r>
    </w:p>
    <w:p w14:paraId="042D8C33" w14:textId="77777777" w:rsidR="00012D44" w:rsidRDefault="00012D44" w:rsidP="00012D44">
      <w:pPr>
        <w:pStyle w:val="Reference"/>
      </w:pPr>
      <w:r>
        <w:t xml:space="preserve">S. Bhushan, S. Singh, T.K. Maiti, C. Sharma, D. Dutt, S. Sharma, C. Li, and E.M. Tag Eldin, “Scaffold Fabrication Techniques of Biomaterials for Bone Tissue Engineering: A Critical Review,” Bioengineering </w:t>
      </w:r>
      <w:r>
        <w:rPr>
          <w:b/>
          <w:bCs/>
        </w:rPr>
        <w:t>9</w:t>
      </w:r>
      <w:r>
        <w:t>(12), 728 (2022).</w:t>
      </w:r>
    </w:p>
    <w:p w14:paraId="62684216" w14:textId="77777777" w:rsidR="00012D44" w:rsidRDefault="00012D44" w:rsidP="00012D44">
      <w:pPr>
        <w:pStyle w:val="Reference"/>
      </w:pPr>
      <w:r>
        <w:t xml:space="preserve">E.S. Mahanani, I.D. Ana, I. Bachtiar, and Y. Xiao, “Resembling mesenchymal stem cell microenvironment with growth factors loaded synthetic coral matrix for bone tissue engineering,” Results in Engineering </w:t>
      </w:r>
      <w:r>
        <w:rPr>
          <w:b/>
          <w:bCs/>
        </w:rPr>
        <w:t>21</w:t>
      </w:r>
      <w:r>
        <w:t>, 101862 (2024).</w:t>
      </w:r>
    </w:p>
    <w:p w14:paraId="54BC43B9" w14:textId="77777777" w:rsidR="00012D44" w:rsidRDefault="00012D44" w:rsidP="00012D44">
      <w:pPr>
        <w:pStyle w:val="Reference"/>
      </w:pPr>
      <w:r>
        <w:t xml:space="preserve">E.S. Mahanani, I.D. Ana, I. Bachtiar, and Y. Xiao, “Enhanced Osteogenic Differentiation of Human Mesenchymal Stem Cells with Synthetic Coral Matrix in the Presence or Absence of Growth Factors from the Platelet Rich-rich Plasma,” Trends in Sciences </w:t>
      </w:r>
      <w:r>
        <w:rPr>
          <w:b/>
          <w:bCs/>
        </w:rPr>
        <w:t>21</w:t>
      </w:r>
      <w:r>
        <w:t>(2), 7168 (2023).</w:t>
      </w:r>
    </w:p>
    <w:p w14:paraId="557EE21A" w14:textId="77777777" w:rsidR="00012D44" w:rsidRDefault="00012D44" w:rsidP="00012D44">
      <w:pPr>
        <w:pStyle w:val="Reference"/>
      </w:pPr>
      <w:r>
        <w:t xml:space="preserve">M. Sari, P. Hening, </w:t>
      </w:r>
      <w:proofErr w:type="spellStart"/>
      <w:r>
        <w:t>Chotimah</w:t>
      </w:r>
      <w:proofErr w:type="spellEnd"/>
      <w:r>
        <w:t xml:space="preserve">, I.D. Ana, and Y. Yusuf, “Porous structure of </w:t>
      </w:r>
      <w:proofErr w:type="spellStart"/>
      <w:r>
        <w:t>bioceramics</w:t>
      </w:r>
      <w:proofErr w:type="spellEnd"/>
      <w:r>
        <w:t xml:space="preserve"> carbonated hydroxyapatite-based honeycomb scaffold for bone tissue engineering,” Mater Today Commun </w:t>
      </w:r>
      <w:r>
        <w:rPr>
          <w:b/>
          <w:bCs/>
        </w:rPr>
        <w:t>26</w:t>
      </w:r>
      <w:r>
        <w:t>, 102135 (2021).</w:t>
      </w:r>
    </w:p>
    <w:p w14:paraId="7FB4EDBC" w14:textId="77777777" w:rsidR="00012D44" w:rsidRDefault="00012D44" w:rsidP="00012D44">
      <w:pPr>
        <w:pStyle w:val="Reference"/>
      </w:pPr>
      <w:r>
        <w:t xml:space="preserve">C.R. Rowland, D.P. Lennon, A.I. Caplan, and F. Guilak, “The effects of crosslinking of scaffolds engineered from cartilage ECM on the chondrogenic differentiation of MSCs,” Biomaterials </w:t>
      </w:r>
      <w:r>
        <w:rPr>
          <w:b/>
          <w:bCs/>
        </w:rPr>
        <w:t>34</w:t>
      </w:r>
      <w:r>
        <w:t>(23), 5802–5812 (2013).</w:t>
      </w:r>
    </w:p>
    <w:p w14:paraId="5B1153E2" w14:textId="77777777" w:rsidR="00012D44" w:rsidRDefault="00012D44" w:rsidP="00012D44">
      <w:pPr>
        <w:pStyle w:val="Reference"/>
      </w:pPr>
      <w:r>
        <w:t xml:space="preserve">L.G. Griffith, and M.A. Swartz, “Capturing complex 3D tissue physiology in vitro,” Nat Rev Mol Cell Biol </w:t>
      </w:r>
      <w:r>
        <w:rPr>
          <w:b/>
          <w:bCs/>
        </w:rPr>
        <w:t>7</w:t>
      </w:r>
      <w:r>
        <w:t>(3), 211–224 (2006).</w:t>
      </w:r>
    </w:p>
    <w:p w14:paraId="42CBF86B" w14:textId="77777777" w:rsidR="00012D44" w:rsidRDefault="00012D44" w:rsidP="00012D44">
      <w:pPr>
        <w:pStyle w:val="Reference"/>
      </w:pPr>
      <w:r>
        <w:lastRenderedPageBreak/>
        <w:t xml:space="preserve">M.A. Reynolds, R.T. Kao, P.M. Camargo, J.G. Caton, D.S. Clem, J.P. Fiorellini, M.L. Geisinger, M.P. Mills, S. Nares, and M.L. Nevins, “Periodontal Regeneration – </w:t>
      </w:r>
      <w:proofErr w:type="spellStart"/>
      <w:r>
        <w:t>Intrabony</w:t>
      </w:r>
      <w:proofErr w:type="spellEnd"/>
      <w:r>
        <w:t xml:space="preserve"> Defects: A Consensus Report </w:t>
      </w:r>
      <w:proofErr w:type="gramStart"/>
      <w:r>
        <w:t>From</w:t>
      </w:r>
      <w:proofErr w:type="gramEnd"/>
      <w:r>
        <w:t xml:space="preserve"> the AAP Regeneration Workshop,” J </w:t>
      </w:r>
      <w:proofErr w:type="spellStart"/>
      <w:r>
        <w:t>Periodontol</w:t>
      </w:r>
      <w:proofErr w:type="spellEnd"/>
      <w:r>
        <w:t xml:space="preserve"> </w:t>
      </w:r>
      <w:r>
        <w:rPr>
          <w:b/>
          <w:bCs/>
        </w:rPr>
        <w:t>86</w:t>
      </w:r>
      <w:r>
        <w:t>(2S), (2015).</w:t>
      </w:r>
    </w:p>
    <w:p w14:paraId="2605E941" w14:textId="77777777" w:rsidR="00012D44" w:rsidRDefault="00012D44" w:rsidP="00012D44">
      <w:pPr>
        <w:pStyle w:val="Reference"/>
      </w:pPr>
      <w:r>
        <w:t xml:space="preserve">E. Jimi, S. Hirata, K. Osawa, M. Terashita, C. Kitamura, and H. Fukushima, “The Current and Future Therapies of Bone Regeneration to Repair Bone Defects,” Int J Dent </w:t>
      </w:r>
      <w:r>
        <w:rPr>
          <w:b/>
          <w:bCs/>
        </w:rPr>
        <w:t>2012</w:t>
      </w:r>
      <w:r>
        <w:t>, 1–7 (2012).</w:t>
      </w:r>
    </w:p>
    <w:p w14:paraId="4BD227EC" w14:textId="77777777" w:rsidR="00012D44" w:rsidRDefault="00012D44" w:rsidP="00012D44">
      <w:pPr>
        <w:pStyle w:val="Reference"/>
      </w:pPr>
      <w:r>
        <w:t xml:space="preserve">N. Ngoc, “Basic Knowledge of Bone Grafting,” in </w:t>
      </w:r>
      <w:r>
        <w:rPr>
          <w:i/>
          <w:iCs/>
        </w:rPr>
        <w:t>Bone Grafting</w:t>
      </w:r>
      <w:r>
        <w:t>, (</w:t>
      </w:r>
      <w:proofErr w:type="spellStart"/>
      <w:r>
        <w:t>InTech</w:t>
      </w:r>
      <w:proofErr w:type="spellEnd"/>
      <w:r>
        <w:t>, 2012).</w:t>
      </w:r>
    </w:p>
    <w:p w14:paraId="5852633F" w14:textId="77777777" w:rsidR="00012D44" w:rsidRDefault="00012D44" w:rsidP="00012D44">
      <w:pPr>
        <w:pStyle w:val="Reference"/>
      </w:pPr>
      <w:r>
        <w:t xml:space="preserve">R. Zhao, R. Yang, P.R. Cooper, Z. Khurshid, A. </w:t>
      </w:r>
      <w:proofErr w:type="spellStart"/>
      <w:r>
        <w:t>Shavandi</w:t>
      </w:r>
      <w:proofErr w:type="spellEnd"/>
      <w:r>
        <w:t xml:space="preserve">, and J. Ratnayake, “Bone Grafts and Substitutes in Dentistry: A Review of Current Trends and Developments,” Molecules </w:t>
      </w:r>
      <w:r>
        <w:rPr>
          <w:b/>
          <w:bCs/>
        </w:rPr>
        <w:t>26</w:t>
      </w:r>
      <w:r>
        <w:t>(10), 3007 (2021).</w:t>
      </w:r>
    </w:p>
    <w:p w14:paraId="6BB651E8" w14:textId="77777777" w:rsidR="00012D44" w:rsidRDefault="00012D44" w:rsidP="00012D44">
      <w:pPr>
        <w:pStyle w:val="Reference"/>
      </w:pPr>
      <w:r>
        <w:t xml:space="preserve">P. Baldwin, D.J. Li, D.A. Auston, H.S. Mir, R.S. Yoon, and K.J. Koval, “Autograft, Allograft, and Bone Graft Substitutes: Clinical Evidence and Indications for Use in the Setting of </w:t>
      </w:r>
      <w:proofErr w:type="spellStart"/>
      <w:r>
        <w:t>Orthopaedic</w:t>
      </w:r>
      <w:proofErr w:type="spellEnd"/>
      <w:r>
        <w:t xml:space="preserve"> Trauma Surgery,” J </w:t>
      </w:r>
      <w:proofErr w:type="spellStart"/>
      <w:r>
        <w:t>Orthop</w:t>
      </w:r>
      <w:proofErr w:type="spellEnd"/>
      <w:r>
        <w:t xml:space="preserve"> Trauma </w:t>
      </w:r>
      <w:r>
        <w:rPr>
          <w:b/>
          <w:bCs/>
        </w:rPr>
        <w:t>33</w:t>
      </w:r>
      <w:r>
        <w:t>(4), 203–213 (2019).</w:t>
      </w:r>
    </w:p>
    <w:p w14:paraId="4C71324F" w14:textId="77777777" w:rsidR="00012D44" w:rsidRDefault="00012D44" w:rsidP="00012D44">
      <w:pPr>
        <w:pStyle w:val="Reference"/>
      </w:pPr>
      <w:r>
        <w:t xml:space="preserve">G. Chen, T. </w:t>
      </w:r>
      <w:proofErr w:type="spellStart"/>
      <w:r>
        <w:t>Ushida</w:t>
      </w:r>
      <w:proofErr w:type="spellEnd"/>
      <w:r>
        <w:t xml:space="preserve">, and T. Tateishi, “Scaffold Design for Tissue Engineering,” </w:t>
      </w:r>
      <w:proofErr w:type="spellStart"/>
      <w:r>
        <w:t>Macromol</w:t>
      </w:r>
      <w:proofErr w:type="spellEnd"/>
      <w:r>
        <w:t xml:space="preserve"> </w:t>
      </w:r>
      <w:proofErr w:type="spellStart"/>
      <w:r>
        <w:t>Biosci</w:t>
      </w:r>
      <w:proofErr w:type="spellEnd"/>
      <w:r>
        <w:t xml:space="preserve"> </w:t>
      </w:r>
      <w:r>
        <w:rPr>
          <w:b/>
          <w:bCs/>
        </w:rPr>
        <w:t>2</w:t>
      </w:r>
      <w:r>
        <w:t>(2), 67–77 (2002).</w:t>
      </w:r>
    </w:p>
    <w:p w14:paraId="2DA3D273" w14:textId="77777777" w:rsidR="00012D44" w:rsidRDefault="00012D44" w:rsidP="00012D44">
      <w:pPr>
        <w:pStyle w:val="Reference"/>
      </w:pPr>
      <w:r>
        <w:t xml:space="preserve">F.J. O’Brien, “Biomaterials &amp;amp; scaffolds for tissue engineering,” Materials Today </w:t>
      </w:r>
      <w:r>
        <w:rPr>
          <w:b/>
          <w:bCs/>
        </w:rPr>
        <w:t>14</w:t>
      </w:r>
      <w:r>
        <w:t>(3), 88–95 (2011).</w:t>
      </w:r>
    </w:p>
    <w:p w14:paraId="00CD3FC7" w14:textId="77777777" w:rsidR="00012D44" w:rsidRDefault="00012D44" w:rsidP="00012D44">
      <w:pPr>
        <w:pStyle w:val="Reference"/>
      </w:pPr>
      <w:r>
        <w:t xml:space="preserve">U. Meyer, T. Meyer, J. </w:t>
      </w:r>
      <w:proofErr w:type="spellStart"/>
      <w:r>
        <w:t>Handschel</w:t>
      </w:r>
      <w:proofErr w:type="spellEnd"/>
      <w:r>
        <w:t xml:space="preserve">, and H.-P. Wiesmann, </w:t>
      </w:r>
      <w:r>
        <w:rPr>
          <w:i/>
          <w:iCs/>
        </w:rPr>
        <w:t>Fundamentals of Tissue Engineering and Regenerative Medicine</w:t>
      </w:r>
      <w:r>
        <w:t xml:space="preserve"> (Springer Berlin Heidelberg, Berlin, Heidelberg, 2009).</w:t>
      </w:r>
    </w:p>
    <w:p w14:paraId="5D145908" w14:textId="77777777" w:rsidR="00012D44" w:rsidRDefault="00012D44" w:rsidP="00012D44">
      <w:pPr>
        <w:pStyle w:val="Reference"/>
      </w:pPr>
      <w:r>
        <w:t xml:space="preserve">I.A. Rodriguez, E.A. Growney Kalaf, G.L. Bowlin, and S.A. Sell, “Platelet-Rich Plasma in Bone Regeneration: Engineering the Delivery for Improved Clinical Efficacy,” Biomed Res Int </w:t>
      </w:r>
      <w:r>
        <w:rPr>
          <w:b/>
          <w:bCs/>
        </w:rPr>
        <w:t>2014</w:t>
      </w:r>
      <w:r>
        <w:t>, 1–15 (2014).</w:t>
      </w:r>
    </w:p>
    <w:p w14:paraId="70A87A65" w14:textId="77777777" w:rsidR="00012D44" w:rsidRDefault="00012D44" w:rsidP="00012D44">
      <w:pPr>
        <w:pStyle w:val="Reference"/>
      </w:pPr>
      <w:r>
        <w:t xml:space="preserve">S. Mantha, S. Pillai, P. </w:t>
      </w:r>
      <w:proofErr w:type="spellStart"/>
      <w:r>
        <w:t>Khayambashi</w:t>
      </w:r>
      <w:proofErr w:type="spellEnd"/>
      <w:r>
        <w:t xml:space="preserve">, A. Upadhyay, Y. Zhang, O. Tao, H.M. Pham, and S.D. Tran, “Smart Hydrogels in Tissue Engineering and Regenerative Medicine,” Materials </w:t>
      </w:r>
      <w:r>
        <w:rPr>
          <w:b/>
          <w:bCs/>
        </w:rPr>
        <w:t>12</w:t>
      </w:r>
      <w:r>
        <w:t>(20), 3323 (2019).</w:t>
      </w:r>
    </w:p>
    <w:p w14:paraId="0A6C6EFA" w14:textId="77777777" w:rsidR="00012D44" w:rsidRDefault="00012D44" w:rsidP="00012D44">
      <w:pPr>
        <w:pStyle w:val="Reference"/>
      </w:pPr>
      <w:r>
        <w:t xml:space="preserve">N.C. Hunt, and L.M. Grover, “Cell encapsulation using biopolymer gels for regenerative medicine,” </w:t>
      </w:r>
      <w:proofErr w:type="spellStart"/>
      <w:r>
        <w:t>Biotechnol</w:t>
      </w:r>
      <w:proofErr w:type="spellEnd"/>
      <w:r>
        <w:t xml:space="preserve"> Lett </w:t>
      </w:r>
      <w:r w:rsidRPr="00C925BF">
        <w:rPr>
          <w:b/>
          <w:bCs/>
        </w:rPr>
        <w:t>32</w:t>
      </w:r>
      <w:r>
        <w:t>(6), 733–742 (2010).</w:t>
      </w:r>
    </w:p>
    <w:p w14:paraId="7CEA3114" w14:textId="77777777" w:rsidR="00012D44" w:rsidRDefault="00012D44" w:rsidP="00012D44">
      <w:pPr>
        <w:pStyle w:val="Reference"/>
      </w:pPr>
      <w:r>
        <w:t xml:space="preserve">S.K. H. Gulrez, S. Al-Assaf, and G. O, “Hydrogels: Methods of Preparation, </w:t>
      </w:r>
      <w:proofErr w:type="spellStart"/>
      <w:r>
        <w:t>Characterisation</w:t>
      </w:r>
      <w:proofErr w:type="spellEnd"/>
      <w:r>
        <w:t xml:space="preserve"> and Applications,” in </w:t>
      </w:r>
      <w:r>
        <w:rPr>
          <w:i/>
          <w:iCs/>
        </w:rPr>
        <w:t>Progress in Molecular and Environmental Bioengineering - From Analysis and Modeling to Technology Applications</w:t>
      </w:r>
      <w:r>
        <w:t>, (</w:t>
      </w:r>
      <w:proofErr w:type="spellStart"/>
      <w:r>
        <w:t>InTech</w:t>
      </w:r>
      <w:proofErr w:type="spellEnd"/>
      <w:r>
        <w:t>, 2011).</w:t>
      </w:r>
    </w:p>
    <w:p w14:paraId="3F69B850" w14:textId="77777777" w:rsidR="00012D44" w:rsidRDefault="00012D44" w:rsidP="00012D44">
      <w:pPr>
        <w:pStyle w:val="Reference"/>
      </w:pPr>
      <w:r>
        <w:t xml:space="preserve">G. Srinivasan, H. Patel, and M. Bonde, </w:t>
      </w:r>
      <w:r w:rsidRPr="00C925BF">
        <w:t>Biodegradable Polymer Scaffold for Tissue Engineering</w:t>
      </w:r>
      <w:r>
        <w:t xml:space="preserve"> (2011).</w:t>
      </w:r>
    </w:p>
    <w:p w14:paraId="55D0AC34" w14:textId="77777777" w:rsidR="00012D44" w:rsidRDefault="00012D44" w:rsidP="00012D44">
      <w:pPr>
        <w:pStyle w:val="Reference"/>
      </w:pPr>
      <w:r>
        <w:t>R. Parenteau-</w:t>
      </w:r>
      <w:proofErr w:type="spellStart"/>
      <w:r>
        <w:t>Bareil</w:t>
      </w:r>
      <w:proofErr w:type="spellEnd"/>
      <w:r>
        <w:t xml:space="preserve">, R. Gauvin, and F. Berthod, “Collagen-Based Biomaterials for Tissue Engineering Applications,” Materials </w:t>
      </w:r>
      <w:r w:rsidRPr="00C925BF">
        <w:rPr>
          <w:b/>
          <w:bCs/>
        </w:rPr>
        <w:t>3</w:t>
      </w:r>
      <w:r>
        <w:t>(3), 1863–1887 (2010).</w:t>
      </w:r>
    </w:p>
    <w:p w14:paraId="416B2A3F" w14:textId="77777777" w:rsidR="00012D44" w:rsidRDefault="00012D44" w:rsidP="00012D44">
      <w:pPr>
        <w:pStyle w:val="Reference"/>
      </w:pPr>
      <w:r>
        <w:t xml:space="preserve">I. Lukin, I. </w:t>
      </w:r>
      <w:proofErr w:type="spellStart"/>
      <w:r>
        <w:t>Erezuma</w:t>
      </w:r>
      <w:proofErr w:type="spellEnd"/>
      <w:r>
        <w:t xml:space="preserve">, L. </w:t>
      </w:r>
      <w:proofErr w:type="spellStart"/>
      <w:r>
        <w:t>Maeso</w:t>
      </w:r>
      <w:proofErr w:type="spellEnd"/>
      <w:r>
        <w:t xml:space="preserve">, J. Zarate, M.F. Desimone, T.H. Al-Tel, A. Dolatshahi-Pirouz, and G. Orive, “Progress in Gelatin as Biomaterial for Tissue Engineering,” Pharmaceutics </w:t>
      </w:r>
      <w:r>
        <w:rPr>
          <w:b/>
          <w:bCs/>
        </w:rPr>
        <w:t>14</w:t>
      </w:r>
      <w:r>
        <w:t>(6), 1177 (2022).</w:t>
      </w:r>
    </w:p>
    <w:p w14:paraId="4740872E" w14:textId="77777777" w:rsidR="00012D44" w:rsidRDefault="00012D44" w:rsidP="00012D44">
      <w:pPr>
        <w:pStyle w:val="Reference"/>
      </w:pPr>
      <w:r>
        <w:t xml:space="preserve">Y. Pan, S. Dong, Y. Hao, T. Chu, C. Li, Z. Zhang, and Y. Zhou, “Demineralized bone matrix gelatin as scaffold for tissue engineering,” </w:t>
      </w:r>
      <w:proofErr w:type="spellStart"/>
      <w:r>
        <w:t>Afr</w:t>
      </w:r>
      <w:proofErr w:type="spellEnd"/>
      <w:r>
        <w:t xml:space="preserve"> J </w:t>
      </w:r>
      <w:proofErr w:type="spellStart"/>
      <w:r>
        <w:t>Microbiol</w:t>
      </w:r>
      <w:proofErr w:type="spellEnd"/>
      <w:r>
        <w:t xml:space="preserve"> Res </w:t>
      </w:r>
      <w:r w:rsidRPr="00C925BF">
        <w:rPr>
          <w:b/>
          <w:bCs/>
        </w:rPr>
        <w:t>4</w:t>
      </w:r>
      <w:r>
        <w:t>(9), 865–870 (2010).</w:t>
      </w:r>
    </w:p>
    <w:p w14:paraId="118ED6D1" w14:textId="77777777" w:rsidR="00012D44" w:rsidRDefault="00012D44" w:rsidP="00012D44">
      <w:pPr>
        <w:pStyle w:val="Reference"/>
      </w:pPr>
      <w:r>
        <w:t xml:space="preserve">R. Hou, F. Chen, Y. Yang, X. Cheng, Z. Gao, H.O. Yang, W. Wu, and T. Mao, “Comparative study between coral‐mesenchymal stem cells‐rhBMP‐2 composite and auto‐bone‐graft in rabbit critical‐sized cranial defect model,” J Biomed Mater Res </w:t>
      </w:r>
      <w:proofErr w:type="gramStart"/>
      <w:r>
        <w:t>A</w:t>
      </w:r>
      <w:proofErr w:type="gramEnd"/>
      <w:r>
        <w:t xml:space="preserve"> </w:t>
      </w:r>
      <w:r w:rsidRPr="00C925BF">
        <w:rPr>
          <w:b/>
          <w:bCs/>
        </w:rPr>
        <w:t>80</w:t>
      </w:r>
      <w:proofErr w:type="gramStart"/>
      <w:r w:rsidRPr="00C925BF">
        <w:rPr>
          <w:b/>
          <w:bCs/>
        </w:rPr>
        <w:t>A</w:t>
      </w:r>
      <w:r>
        <w:t>(</w:t>
      </w:r>
      <w:proofErr w:type="gramEnd"/>
      <w:r>
        <w:t>1), 85–93 (2007).</w:t>
      </w:r>
    </w:p>
    <w:p w14:paraId="2FD3C101" w14:textId="77777777" w:rsidR="00012D44" w:rsidRDefault="00012D44" w:rsidP="00012D44">
      <w:pPr>
        <w:pStyle w:val="Reference"/>
      </w:pPr>
      <w:r>
        <w:t xml:space="preserve">E. </w:t>
      </w:r>
      <w:proofErr w:type="spellStart"/>
      <w:r>
        <w:t>Stengelin</w:t>
      </w:r>
      <w:proofErr w:type="spellEnd"/>
      <w:r>
        <w:t xml:space="preserve">, A. Kuzmina, G.L. Beltramo, M.F. Koziol, L. Besch, R. Schröder, R.E. Unger, W. Tremel, and S. Seiffert, “Bone Scaffolds Based on Degradable Vaterite/PEG‐Composite Microgels,” Adv </w:t>
      </w:r>
      <w:proofErr w:type="spellStart"/>
      <w:r>
        <w:t>Healthc</w:t>
      </w:r>
      <w:proofErr w:type="spellEnd"/>
      <w:r>
        <w:t xml:space="preserve"> Mater </w:t>
      </w:r>
      <w:r w:rsidRPr="00C925BF">
        <w:rPr>
          <w:b/>
          <w:bCs/>
        </w:rPr>
        <w:t>9</w:t>
      </w:r>
      <w:r>
        <w:t>(11), (2020).</w:t>
      </w:r>
    </w:p>
    <w:p w14:paraId="69A01C3A" w14:textId="77777777" w:rsidR="00012D44" w:rsidRPr="006C468F" w:rsidRDefault="00012D44" w:rsidP="00012D44">
      <w:pPr>
        <w:pStyle w:val="Reference"/>
      </w:pPr>
      <w:r w:rsidRPr="006C468F">
        <w:t xml:space="preserve">Chen, D.; Zhang, X.; He, Y.; Lu, J.; Shen, H.; Jiang, Y.; Zhang, C.; Zeng, B.J. Co-culturing mesenchymal stem cells from bone marrow and periosteum enhances osteogenesis and neovascularization of tissue-engineered bone. J. Tissue Eng. Regen. Med. 2012, 6, 822–832. </w:t>
      </w:r>
    </w:p>
    <w:p w14:paraId="3E67C73E" w14:textId="77777777" w:rsidR="00012D44" w:rsidRPr="006C468F" w:rsidRDefault="00012D44" w:rsidP="00012D44">
      <w:pPr>
        <w:pStyle w:val="Reference"/>
      </w:pPr>
      <w:r w:rsidRPr="006C468F">
        <w:t xml:space="preserve">Shi, D.; Shen, J.; Zhang, Z.; Shi, C.; Chen, M.; Gu, Y.; Liu, Y. Preparation and properties of dopamine-modified alginate/chitosan–hydroxyapatite scaffolds with gradient structure for bone tissue engineering. J. Biomed. Mater. Res. Part A 2019, 107, 1615–1627. </w:t>
      </w:r>
    </w:p>
    <w:p w14:paraId="2E537E20" w14:textId="77777777" w:rsidR="00012D44" w:rsidRPr="006C468F" w:rsidRDefault="00012D44" w:rsidP="00012D44">
      <w:pPr>
        <w:pStyle w:val="Reference"/>
      </w:pPr>
      <w:r w:rsidRPr="006C468F">
        <w:t xml:space="preserve">Zhang, P.; Yang, K.; Zhou, Z.; Zhu, X.; Li, W.; Cao, C.; Zhou, K.; Liao, L.; Ai, F. Customized Borosilicate </w:t>
      </w:r>
      <w:proofErr w:type="spellStart"/>
      <w:r w:rsidRPr="006C468F">
        <w:t>Bioglass</w:t>
      </w:r>
      <w:proofErr w:type="spellEnd"/>
      <w:r w:rsidRPr="006C468F">
        <w:t xml:space="preserve"> Scaffolds </w:t>
      </w:r>
      <w:proofErr w:type="gramStart"/>
      <w:r w:rsidRPr="006C468F">
        <w:t>With</w:t>
      </w:r>
      <w:proofErr w:type="gramEnd"/>
      <w:r w:rsidRPr="006C468F">
        <w:t xml:space="preserve"> Excellent Biodegradation and Osteogenesis for Mandible Reconstruction. Front. </w:t>
      </w:r>
      <w:proofErr w:type="spellStart"/>
      <w:r w:rsidRPr="006C468F">
        <w:t>Bioeng</w:t>
      </w:r>
      <w:proofErr w:type="spellEnd"/>
      <w:r w:rsidRPr="006C468F">
        <w:t xml:space="preserve">. </w:t>
      </w:r>
      <w:proofErr w:type="spellStart"/>
      <w:r w:rsidRPr="006C468F">
        <w:t>Biotechnol</w:t>
      </w:r>
      <w:proofErr w:type="spellEnd"/>
      <w:r w:rsidRPr="006C468F">
        <w:t xml:space="preserve">. 2020, 8, 610284. </w:t>
      </w:r>
    </w:p>
    <w:p w14:paraId="541A5AFB" w14:textId="77777777" w:rsidR="00012D44" w:rsidRPr="006C468F" w:rsidRDefault="00012D44" w:rsidP="00012D44">
      <w:pPr>
        <w:pStyle w:val="Reference"/>
      </w:pPr>
      <w:r w:rsidRPr="006C468F">
        <w:t>Ahmed, E.M. Hydrogel: Preparation, characterization, and applications: A review. J. Adv. Res. 2015, 6, 105–121.</w:t>
      </w:r>
    </w:p>
    <w:p w14:paraId="1221225B" w14:textId="77777777" w:rsidR="00012D44" w:rsidRPr="006C468F" w:rsidRDefault="00012D44" w:rsidP="00012D44">
      <w:pPr>
        <w:pStyle w:val="Reference"/>
      </w:pPr>
      <w:r w:rsidRPr="006C468F">
        <w:t xml:space="preserve">Li Q, Reed DA, Min L, Gopinathan G, Li S, </w:t>
      </w:r>
      <w:proofErr w:type="spellStart"/>
      <w:r w:rsidRPr="006C468F">
        <w:t>Dangaria</w:t>
      </w:r>
      <w:proofErr w:type="spellEnd"/>
      <w:r w:rsidRPr="006C468F">
        <w:t xml:space="preserve"> SJ, Li L, Geng Y, Galang MT, </w:t>
      </w:r>
      <w:proofErr w:type="spellStart"/>
      <w:r w:rsidRPr="006C468F">
        <w:t>Gajendrareddy</w:t>
      </w:r>
      <w:proofErr w:type="spellEnd"/>
      <w:r w:rsidRPr="006C468F">
        <w:t xml:space="preserve"> P, Zhou Y, Luan X, </w:t>
      </w:r>
      <w:proofErr w:type="spellStart"/>
      <w:r w:rsidRPr="006C468F">
        <w:t>Diekwisch</w:t>
      </w:r>
      <w:proofErr w:type="spellEnd"/>
      <w:r w:rsidRPr="006C468F">
        <w:t xml:space="preserve"> TG. </w:t>
      </w:r>
      <w:r w:rsidRPr="006C468F">
        <w:rPr>
          <w:lang w:val="en-ID"/>
        </w:rPr>
        <w:t>Lyophilized platelet-rich fibrin (PRF) promotes craniofacial bone regeneration through Runx2. Int J Mol Sci. 2014 May 14;15(5):8509-25.</w:t>
      </w:r>
    </w:p>
    <w:p w14:paraId="1C2FC85D" w14:textId="230AC55A" w:rsidR="00012D44" w:rsidRPr="006C468F" w:rsidRDefault="00012D44" w:rsidP="00012D44">
      <w:pPr>
        <w:pStyle w:val="Reference"/>
      </w:pPr>
      <w:r w:rsidRPr="006C468F">
        <w:t xml:space="preserve">Yoon, J.-S., Lee, S.-H., </w:t>
      </w:r>
      <w:r w:rsidR="00E111D9">
        <w:t>and</w:t>
      </w:r>
      <w:r w:rsidRPr="006C468F">
        <w:t xml:space="preserve"> Yoon, H.-J</w:t>
      </w:r>
      <w:r w:rsidR="00E111D9">
        <w:t>., “</w:t>
      </w:r>
      <w:r w:rsidRPr="006C468F">
        <w:t xml:space="preserve">The influence of platelet-rich fibrin on angiogenesis in guided bone regeneration using </w:t>
      </w:r>
      <w:proofErr w:type="spellStart"/>
      <w:r w:rsidRPr="006C468F">
        <w:t>xenogenic</w:t>
      </w:r>
      <w:proofErr w:type="spellEnd"/>
      <w:r w:rsidRPr="006C468F">
        <w:t xml:space="preserve"> bone substitutes: A study of rabbit cranial defects</w:t>
      </w:r>
      <w:r w:rsidR="00E111D9">
        <w:t>,”</w:t>
      </w:r>
      <w:r w:rsidRPr="006C468F">
        <w:t xml:space="preserve"> Journal of Cranio-Maxillofacial Surgery 42(7), 1071–1077</w:t>
      </w:r>
      <w:r w:rsidR="00E111D9">
        <w:t xml:space="preserve"> (2014)</w:t>
      </w:r>
    </w:p>
    <w:p w14:paraId="70266050" w14:textId="77777777" w:rsidR="00012D44" w:rsidRDefault="00012D44" w:rsidP="00012D44">
      <w:pPr>
        <w:pStyle w:val="Reference"/>
      </w:pPr>
      <w:proofErr w:type="spellStart"/>
      <w:r w:rsidRPr="006C468F">
        <w:lastRenderedPageBreak/>
        <w:t>Shimojo</w:t>
      </w:r>
      <w:proofErr w:type="spellEnd"/>
      <w:r w:rsidRPr="006C468F">
        <w:t>, I.C.P. Rodrigues, A.G.M. Perez, E.M.B. Souto, L.P. Gabriel, and T. Webster, “Scaffolds for Tissue Engineering: A State-of-the-Art Review</w:t>
      </w:r>
      <w:r>
        <w:t xml:space="preserve"> Concerning Types, Properties, Materials, Processing, and Characterization,” in </w:t>
      </w:r>
      <w:r>
        <w:rPr>
          <w:i/>
          <w:iCs/>
        </w:rPr>
        <w:t>Racing for the Surface: Antimicrobial and Interface Tissue Engineering</w:t>
      </w:r>
      <w:r>
        <w:t>, edited by B. Li, T.F. Moriarty, T. Webster, and M. Xing, (Springer International Publishing, Cham, 2020), pp. 647–676.</w:t>
      </w:r>
    </w:p>
    <w:p w14:paraId="0B49D6AD" w14:textId="77777777" w:rsidR="00012D44" w:rsidRDefault="00012D44" w:rsidP="00012D44">
      <w:pPr>
        <w:pStyle w:val="Reference"/>
      </w:pPr>
      <w:r>
        <w:t>L. Wu, and J. Ding, “In vitro degradation of three-dimensional porous poly(</w:t>
      </w:r>
      <w:proofErr w:type="spellStart"/>
      <w:proofErr w:type="gramStart"/>
      <w:r>
        <w:t>d,l</w:t>
      </w:r>
      <w:proofErr w:type="spellEnd"/>
      <w:proofErr w:type="gramEnd"/>
      <w:r>
        <w:t>-lactide-co-</w:t>
      </w:r>
      <w:proofErr w:type="spellStart"/>
      <w:r>
        <w:t>glycolide</w:t>
      </w:r>
      <w:proofErr w:type="spellEnd"/>
      <w:r>
        <w:t xml:space="preserve">) scaffolds for tissue engineering,” Biomaterials </w:t>
      </w:r>
      <w:r>
        <w:rPr>
          <w:b/>
          <w:bCs/>
        </w:rPr>
        <w:t>25</w:t>
      </w:r>
      <w:r>
        <w:t>(27), 5821–5830 (2004).</w:t>
      </w:r>
    </w:p>
    <w:p w14:paraId="2ABD56D5" w14:textId="77777777" w:rsidR="00012D44" w:rsidRDefault="00012D44" w:rsidP="00012D44">
      <w:pPr>
        <w:pStyle w:val="Reference"/>
      </w:pPr>
      <w:r>
        <w:t xml:space="preserve">W. Hu, Z. Wang, Y. Xiao, S. Zhang, and J. Wang, “Advances in crosslinking strategies of biomedical hydrogels,” </w:t>
      </w:r>
      <w:proofErr w:type="spellStart"/>
      <w:r>
        <w:t>Biomater</w:t>
      </w:r>
      <w:proofErr w:type="spellEnd"/>
      <w:r>
        <w:t xml:space="preserve"> Sci </w:t>
      </w:r>
      <w:r w:rsidRPr="00C925BF">
        <w:rPr>
          <w:b/>
          <w:bCs/>
        </w:rPr>
        <w:t>7</w:t>
      </w:r>
      <w:r>
        <w:t>(3), 843–855 (2019).</w:t>
      </w:r>
    </w:p>
    <w:p w14:paraId="3CB8F4C2" w14:textId="77777777" w:rsidR="00012D44" w:rsidRDefault="00012D44" w:rsidP="00012D44">
      <w:pPr>
        <w:pStyle w:val="Reference"/>
      </w:pPr>
      <w:r>
        <w:t xml:space="preserve">X. Bi, and A. Liang, “In Situ‐Forming Cross‐linking Hydrogel Systems: Chemistry and Biomedical Applications,” in </w:t>
      </w:r>
      <w:r>
        <w:rPr>
          <w:i/>
          <w:iCs/>
        </w:rPr>
        <w:t>Emerging Concepts in Analysis and Applications of Hydrogels</w:t>
      </w:r>
      <w:r>
        <w:t>, (</w:t>
      </w:r>
      <w:proofErr w:type="spellStart"/>
      <w:r>
        <w:t>InTech</w:t>
      </w:r>
      <w:proofErr w:type="spellEnd"/>
      <w:r>
        <w:t>, 2016).</w:t>
      </w:r>
    </w:p>
    <w:p w14:paraId="1E9285FA" w14:textId="77777777" w:rsidR="00012D44" w:rsidRDefault="00012D44" w:rsidP="00012D44">
      <w:pPr>
        <w:pStyle w:val="Reference"/>
      </w:pPr>
      <w:r>
        <w:t xml:space="preserve">P. Nezhad-Mokhtari, M. Ghorbani, L. </w:t>
      </w:r>
      <w:proofErr w:type="spellStart"/>
      <w:r>
        <w:t>Roshangar</w:t>
      </w:r>
      <w:proofErr w:type="spellEnd"/>
      <w:r>
        <w:t xml:space="preserve">, and J. Soleimani Rad, “Chemical gelling of hydrogels-based biological macromolecules for tissue engineering: Photo- and enzymatic-crosslinking methods,” Int J Biol Macromol </w:t>
      </w:r>
      <w:r w:rsidRPr="00C925BF">
        <w:rPr>
          <w:b/>
          <w:bCs/>
        </w:rPr>
        <w:t>139</w:t>
      </w:r>
      <w:r>
        <w:t>, 760–772 (2019).</w:t>
      </w:r>
    </w:p>
    <w:p w14:paraId="762A96F1" w14:textId="77777777" w:rsidR="00012D44" w:rsidRDefault="00012D44" w:rsidP="00012D44">
      <w:pPr>
        <w:pStyle w:val="Reference"/>
      </w:pPr>
      <w:r>
        <w:t xml:space="preserve">D.-J. Lim, “Cross-Linking Agents for Electrospinning-Based Bone Tissue Engineering,” Int J Mol Sci </w:t>
      </w:r>
      <w:r>
        <w:rPr>
          <w:b/>
          <w:bCs/>
        </w:rPr>
        <w:t>23</w:t>
      </w:r>
      <w:r>
        <w:t>(10), 5444 (2022).</w:t>
      </w:r>
    </w:p>
    <w:p w14:paraId="5AED948F" w14:textId="77777777" w:rsidR="00012D44" w:rsidRDefault="00012D44" w:rsidP="00012D44">
      <w:pPr>
        <w:pStyle w:val="Reference"/>
      </w:pPr>
      <w:r>
        <w:t xml:space="preserve">X. Xue, Y. Hu, S. Wang, X. Chen, Y. Jiang, and J. Su, “Fabrication of physical and chemical crosslinked hydrogels for bone tissue engineering,” </w:t>
      </w:r>
      <w:proofErr w:type="spellStart"/>
      <w:r>
        <w:t>Bioact</w:t>
      </w:r>
      <w:proofErr w:type="spellEnd"/>
      <w:r>
        <w:t xml:space="preserve"> Mater </w:t>
      </w:r>
      <w:r>
        <w:rPr>
          <w:b/>
          <w:bCs/>
        </w:rPr>
        <w:t>12</w:t>
      </w:r>
      <w:r>
        <w:t>, 327–339 (2022).</w:t>
      </w:r>
    </w:p>
    <w:p w14:paraId="67691946" w14:textId="77777777" w:rsidR="00012D44" w:rsidRDefault="00012D44" w:rsidP="00012D44">
      <w:pPr>
        <w:pStyle w:val="Reference"/>
      </w:pPr>
      <w:r>
        <w:t xml:space="preserve">W. </w:t>
      </w:r>
      <w:proofErr w:type="spellStart"/>
      <w:r>
        <w:t>Wattanutchariya</w:t>
      </w:r>
      <w:proofErr w:type="spellEnd"/>
      <w:r>
        <w:t xml:space="preserve">, and W. </w:t>
      </w:r>
      <w:proofErr w:type="spellStart"/>
      <w:r>
        <w:t>Changkowchai</w:t>
      </w:r>
      <w:proofErr w:type="spellEnd"/>
      <w:r>
        <w:t xml:space="preserve">, “International </w:t>
      </w:r>
      <w:proofErr w:type="spellStart"/>
      <w:r>
        <w:t>MultiConference</w:t>
      </w:r>
      <w:proofErr w:type="spellEnd"/>
      <w:r>
        <w:t xml:space="preserve"> of Engineers and Computer </w:t>
      </w:r>
      <w:proofErr w:type="gramStart"/>
      <w:r>
        <w:t>Scientists :</w:t>
      </w:r>
      <w:proofErr w:type="gramEnd"/>
      <w:r>
        <w:t xml:space="preserve"> IMECS </w:t>
      </w:r>
      <w:proofErr w:type="gramStart"/>
      <w:r>
        <w:t>2014 :</w:t>
      </w:r>
      <w:proofErr w:type="gramEnd"/>
      <w:r>
        <w:t xml:space="preserve"> 12-14 March, 2014, the Royal Garden Hotel, Kowloon, Hong Kong,” in </w:t>
      </w:r>
      <w:r w:rsidRPr="009F04C8">
        <w:rPr>
          <w:i/>
          <w:iCs/>
        </w:rPr>
        <w:t xml:space="preserve">International </w:t>
      </w:r>
      <w:proofErr w:type="spellStart"/>
      <w:r w:rsidRPr="009F04C8">
        <w:rPr>
          <w:i/>
          <w:iCs/>
        </w:rPr>
        <w:t>MultiConference</w:t>
      </w:r>
      <w:proofErr w:type="spellEnd"/>
      <w:r w:rsidRPr="009F04C8">
        <w:rPr>
          <w:i/>
          <w:iCs/>
        </w:rPr>
        <w:t xml:space="preserve"> of Engineers and Computer </w:t>
      </w:r>
      <w:proofErr w:type="gramStart"/>
      <w:r w:rsidRPr="009F04C8">
        <w:rPr>
          <w:i/>
          <w:iCs/>
        </w:rPr>
        <w:t>Scientists :</w:t>
      </w:r>
      <w:proofErr w:type="gramEnd"/>
      <w:r w:rsidRPr="009F04C8">
        <w:rPr>
          <w:i/>
          <w:iCs/>
        </w:rPr>
        <w:t xml:space="preserve"> IMECS 2014</w:t>
      </w:r>
      <w:r>
        <w:t>, (2014).</w:t>
      </w:r>
    </w:p>
    <w:p w14:paraId="45FB7EC7" w14:textId="77777777" w:rsidR="00012D44" w:rsidRDefault="00012D44" w:rsidP="00012D44">
      <w:pPr>
        <w:pStyle w:val="Reference"/>
      </w:pPr>
      <w:r>
        <w:t xml:space="preserve">L. Wu, and J. Ding, “Effects of porosity and pore size on </w:t>
      </w:r>
      <w:r w:rsidRPr="009F04C8">
        <w:rPr>
          <w:i/>
          <w:iCs/>
        </w:rPr>
        <w:t>in vitro</w:t>
      </w:r>
      <w:r>
        <w:t xml:space="preserve"> degradation of three‐dimensional porous </w:t>
      </w:r>
      <w:proofErr w:type="gramStart"/>
      <w:r>
        <w:t>poly( &lt;</w:t>
      </w:r>
      <w:proofErr w:type="spellStart"/>
      <w:proofErr w:type="gramEnd"/>
      <w:r>
        <w:t>scp</w:t>
      </w:r>
      <w:proofErr w:type="spellEnd"/>
      <w:r>
        <w:t>&gt;D&lt;/</w:t>
      </w:r>
      <w:proofErr w:type="spellStart"/>
      <w:r>
        <w:t>scp</w:t>
      </w:r>
      <w:proofErr w:type="spellEnd"/>
      <w:proofErr w:type="gramStart"/>
      <w:r>
        <w:t>&gt; ,</w:t>
      </w:r>
      <w:proofErr w:type="gramEnd"/>
      <w:r>
        <w:t xml:space="preserve"> &lt;</w:t>
      </w:r>
      <w:proofErr w:type="spellStart"/>
      <w:r>
        <w:t>scp</w:t>
      </w:r>
      <w:proofErr w:type="spellEnd"/>
      <w:r>
        <w:t>&gt;L&lt;/</w:t>
      </w:r>
      <w:proofErr w:type="spellStart"/>
      <w:r>
        <w:t>scp</w:t>
      </w:r>
      <w:proofErr w:type="spellEnd"/>
      <w:r>
        <w:t xml:space="preserve">&gt; ‐lactide‐ </w:t>
      </w:r>
      <w:r w:rsidRPr="009F04C8">
        <w:rPr>
          <w:i/>
          <w:iCs/>
        </w:rPr>
        <w:t>co</w:t>
      </w:r>
      <w:r>
        <w:t xml:space="preserve"> ‐</w:t>
      </w:r>
      <w:proofErr w:type="spellStart"/>
      <w:r>
        <w:t>glycolide</w:t>
      </w:r>
      <w:proofErr w:type="spellEnd"/>
      <w:r>
        <w:t xml:space="preserve">) scaffolds for tissue engineering,” J Biomed Mater Res A </w:t>
      </w:r>
      <w:r w:rsidRPr="009F04C8">
        <w:rPr>
          <w:b/>
          <w:bCs/>
        </w:rPr>
        <w:t>75</w:t>
      </w:r>
      <w:proofErr w:type="gramStart"/>
      <w:r w:rsidRPr="009F04C8">
        <w:rPr>
          <w:b/>
          <w:bCs/>
        </w:rPr>
        <w:t>A</w:t>
      </w:r>
      <w:r>
        <w:t>(</w:t>
      </w:r>
      <w:proofErr w:type="gramEnd"/>
      <w:r>
        <w:t>4), 767–777 (2005).</w:t>
      </w:r>
    </w:p>
    <w:p w14:paraId="5C3B64CB" w14:textId="77777777" w:rsidR="00012D44" w:rsidRDefault="00012D44" w:rsidP="00012D44">
      <w:pPr>
        <w:pStyle w:val="Reference"/>
      </w:pPr>
      <w:r>
        <w:t xml:space="preserve">D.-M. Radulescu, I.A. Neacsu, A.-M. </w:t>
      </w:r>
      <w:proofErr w:type="spellStart"/>
      <w:r>
        <w:t>Grumezescu</w:t>
      </w:r>
      <w:proofErr w:type="spellEnd"/>
      <w:r>
        <w:t xml:space="preserve">, and E. Andronescu, “New Insights of Scaffolds Based on Hydrogels in Tissue Engineering,” Polymers (Basel) </w:t>
      </w:r>
      <w:r>
        <w:rPr>
          <w:b/>
          <w:bCs/>
        </w:rPr>
        <w:t>14</w:t>
      </w:r>
      <w:r>
        <w:t>(4), 799 (2022).</w:t>
      </w:r>
    </w:p>
    <w:p w14:paraId="6D96AB0A" w14:textId="77777777" w:rsidR="00012D44" w:rsidRDefault="00012D44" w:rsidP="00012D44">
      <w:pPr>
        <w:pStyle w:val="Reference"/>
      </w:pPr>
      <w:r>
        <w:t xml:space="preserve">M. Bustamante-Torres, D. Romero-Fierro, B. Arcentales-Vera, K. Palomino, H. Magaña, and E. Bucio, “Hydrogels Classification According to the Physical or Chemical Interactions and as Stimuli-Sensitive Materials,” Gels </w:t>
      </w:r>
      <w:r>
        <w:rPr>
          <w:b/>
          <w:bCs/>
        </w:rPr>
        <w:t>7</w:t>
      </w:r>
      <w:r>
        <w:t>(4), 182 (2021).</w:t>
      </w:r>
    </w:p>
    <w:p w14:paraId="3C9C2095" w14:textId="482CA308" w:rsidR="00012D44" w:rsidRDefault="00012D44" w:rsidP="00012D44">
      <w:pPr>
        <w:pStyle w:val="Reference"/>
      </w:pPr>
      <w:r>
        <w:t xml:space="preserve">S. Joshi, G. Pendyala, P. Shah, V. </w:t>
      </w:r>
      <w:proofErr w:type="spellStart"/>
      <w:r>
        <w:t>Mopagar</w:t>
      </w:r>
      <w:proofErr w:type="spellEnd"/>
      <w:r>
        <w:t xml:space="preserve">, N. </w:t>
      </w:r>
      <w:proofErr w:type="spellStart"/>
      <w:r>
        <w:t>Padmawar</w:t>
      </w:r>
      <w:proofErr w:type="spellEnd"/>
      <w:r>
        <w:t xml:space="preserve">, and M. </w:t>
      </w:r>
      <w:proofErr w:type="spellStart"/>
      <w:r>
        <w:t>Padubidri</w:t>
      </w:r>
      <w:proofErr w:type="spellEnd"/>
      <w:r>
        <w:t xml:space="preserve">, “Scaffolds— The Ground for Regeneration: A Narrative Review,” J Int Soc Prev Community Dent </w:t>
      </w:r>
      <w:r w:rsidRPr="009F04C8">
        <w:rPr>
          <w:b/>
          <w:bCs/>
        </w:rPr>
        <w:t>10</w:t>
      </w:r>
      <w:r>
        <w:t>(6), 692 (2020).</w:t>
      </w:r>
    </w:p>
    <w:p w14:paraId="4DE91CCB" w14:textId="77777777" w:rsidR="00326AE0" w:rsidRPr="00114AB1" w:rsidRDefault="00326AE0" w:rsidP="003B0050">
      <w:pPr>
        <w:pStyle w:val="Paragraphbulleted"/>
        <w:numPr>
          <w:ilvl w:val="0"/>
          <w:numId w:val="0"/>
        </w:numPr>
        <w:ind w:left="426" w:hanging="426"/>
      </w:pPr>
    </w:p>
    <w:sectPr w:rsidR="00326AE0" w:rsidRPr="00114AB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937C08"/>
    <w:multiLevelType w:val="hybridMultilevel"/>
    <w:tmpl w:val="30DE2E0A"/>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2064984901">
    <w:abstractNumId w:val="16"/>
  </w:num>
  <w:num w:numId="2" w16cid:durableId="1784763998">
    <w:abstractNumId w:val="3"/>
  </w:num>
  <w:num w:numId="3" w16cid:durableId="1688824973">
    <w:abstractNumId w:val="13"/>
  </w:num>
  <w:num w:numId="4" w16cid:durableId="979114509">
    <w:abstractNumId w:val="7"/>
  </w:num>
  <w:num w:numId="5" w16cid:durableId="309485555">
    <w:abstractNumId w:val="12"/>
  </w:num>
  <w:num w:numId="6" w16cid:durableId="193422526">
    <w:abstractNumId w:val="4"/>
  </w:num>
  <w:num w:numId="7" w16cid:durableId="569073702">
    <w:abstractNumId w:val="6"/>
  </w:num>
  <w:num w:numId="8" w16cid:durableId="1316295844">
    <w:abstractNumId w:val="1"/>
  </w:num>
  <w:num w:numId="9" w16cid:durableId="1822308537">
    <w:abstractNumId w:val="15"/>
  </w:num>
  <w:num w:numId="10" w16cid:durableId="585963013">
    <w:abstractNumId w:val="9"/>
  </w:num>
  <w:num w:numId="11" w16cid:durableId="943145541">
    <w:abstractNumId w:val="14"/>
  </w:num>
  <w:num w:numId="12" w16cid:durableId="1929078698">
    <w:abstractNumId w:val="10"/>
  </w:num>
  <w:num w:numId="13" w16cid:durableId="292173441">
    <w:abstractNumId w:val="5"/>
  </w:num>
  <w:num w:numId="14" w16cid:durableId="1622494893">
    <w:abstractNumId w:val="15"/>
  </w:num>
  <w:num w:numId="15" w16cid:durableId="478617752">
    <w:abstractNumId w:val="8"/>
  </w:num>
  <w:num w:numId="16" w16cid:durableId="1972443267">
    <w:abstractNumId w:val="5"/>
  </w:num>
  <w:num w:numId="17" w16cid:durableId="907227546">
    <w:abstractNumId w:val="5"/>
  </w:num>
  <w:num w:numId="18" w16cid:durableId="1686249031">
    <w:abstractNumId w:val="5"/>
  </w:num>
  <w:num w:numId="19" w16cid:durableId="1438914763">
    <w:abstractNumId w:val="5"/>
  </w:num>
  <w:num w:numId="20" w16cid:durableId="524640929">
    <w:abstractNumId w:val="5"/>
  </w:num>
  <w:num w:numId="21" w16cid:durableId="941837351">
    <w:abstractNumId w:val="5"/>
  </w:num>
  <w:num w:numId="22" w16cid:durableId="761799333">
    <w:abstractNumId w:val="5"/>
  </w:num>
  <w:num w:numId="23" w16cid:durableId="381831860">
    <w:abstractNumId w:val="5"/>
  </w:num>
  <w:num w:numId="24" w16cid:durableId="2008240781">
    <w:abstractNumId w:val="5"/>
  </w:num>
  <w:num w:numId="25" w16cid:durableId="184248588">
    <w:abstractNumId w:val="5"/>
  </w:num>
  <w:num w:numId="26" w16cid:durableId="1713074600">
    <w:abstractNumId w:val="5"/>
  </w:num>
  <w:num w:numId="27" w16cid:durableId="605037452">
    <w:abstractNumId w:val="5"/>
  </w:num>
  <w:num w:numId="28" w16cid:durableId="942684083">
    <w:abstractNumId w:val="5"/>
  </w:num>
  <w:num w:numId="29" w16cid:durableId="93401935">
    <w:abstractNumId w:val="12"/>
  </w:num>
  <w:num w:numId="30" w16cid:durableId="596406080">
    <w:abstractNumId w:val="12"/>
  </w:num>
  <w:num w:numId="31" w16cid:durableId="1758332244">
    <w:abstractNumId w:val="12"/>
    <w:lvlOverride w:ilvl="0">
      <w:startOverride w:val="1"/>
    </w:lvlOverride>
  </w:num>
  <w:num w:numId="32" w16cid:durableId="27147561">
    <w:abstractNumId w:val="12"/>
  </w:num>
  <w:num w:numId="33" w16cid:durableId="233900419">
    <w:abstractNumId w:val="12"/>
    <w:lvlOverride w:ilvl="0">
      <w:startOverride w:val="1"/>
    </w:lvlOverride>
  </w:num>
  <w:num w:numId="34" w16cid:durableId="461964481">
    <w:abstractNumId w:val="12"/>
    <w:lvlOverride w:ilvl="0">
      <w:startOverride w:val="1"/>
    </w:lvlOverride>
  </w:num>
  <w:num w:numId="35" w16cid:durableId="495728890">
    <w:abstractNumId w:val="13"/>
    <w:lvlOverride w:ilvl="0">
      <w:startOverride w:val="1"/>
    </w:lvlOverride>
  </w:num>
  <w:num w:numId="36" w16cid:durableId="273051703">
    <w:abstractNumId w:val="13"/>
  </w:num>
  <w:num w:numId="37" w16cid:durableId="1347488118">
    <w:abstractNumId w:val="13"/>
    <w:lvlOverride w:ilvl="0">
      <w:startOverride w:val="1"/>
    </w:lvlOverride>
  </w:num>
  <w:num w:numId="38" w16cid:durableId="2070416625">
    <w:abstractNumId w:val="13"/>
  </w:num>
  <w:num w:numId="39" w16cid:durableId="855073206">
    <w:abstractNumId w:val="13"/>
    <w:lvlOverride w:ilvl="0">
      <w:startOverride w:val="1"/>
    </w:lvlOverride>
  </w:num>
  <w:num w:numId="40" w16cid:durableId="1902330096">
    <w:abstractNumId w:val="13"/>
    <w:lvlOverride w:ilvl="0">
      <w:startOverride w:val="1"/>
    </w:lvlOverride>
  </w:num>
  <w:num w:numId="41" w16cid:durableId="1987971054">
    <w:abstractNumId w:val="13"/>
    <w:lvlOverride w:ilvl="0">
      <w:startOverride w:val="1"/>
    </w:lvlOverride>
  </w:num>
  <w:num w:numId="42" w16cid:durableId="1490708493">
    <w:abstractNumId w:val="13"/>
  </w:num>
  <w:num w:numId="43" w16cid:durableId="2126382827">
    <w:abstractNumId w:val="13"/>
  </w:num>
  <w:num w:numId="44" w16cid:durableId="1751073497">
    <w:abstractNumId w:val="2"/>
  </w:num>
  <w:num w:numId="45" w16cid:durableId="1695302180">
    <w:abstractNumId w:val="0"/>
  </w:num>
  <w:num w:numId="46" w16cid:durableId="19484687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2D44"/>
    <w:rsid w:val="00014140"/>
    <w:rsid w:val="00027428"/>
    <w:rsid w:val="00031EC9"/>
    <w:rsid w:val="00066FED"/>
    <w:rsid w:val="00075EA6"/>
    <w:rsid w:val="0007709F"/>
    <w:rsid w:val="00086F62"/>
    <w:rsid w:val="00090674"/>
    <w:rsid w:val="0009320B"/>
    <w:rsid w:val="00096AE0"/>
    <w:rsid w:val="000B1B74"/>
    <w:rsid w:val="000B3A2D"/>
    <w:rsid w:val="000B49C0"/>
    <w:rsid w:val="000D68B7"/>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257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041A9"/>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4502"/>
    <w:rsid w:val="00767B8A"/>
    <w:rsid w:val="00775481"/>
    <w:rsid w:val="007A233B"/>
    <w:rsid w:val="007B4863"/>
    <w:rsid w:val="007C65E6"/>
    <w:rsid w:val="007D406B"/>
    <w:rsid w:val="007D4407"/>
    <w:rsid w:val="007E1CA3"/>
    <w:rsid w:val="007F4228"/>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94A8C"/>
    <w:rsid w:val="009A4F3D"/>
    <w:rsid w:val="009B696B"/>
    <w:rsid w:val="009B7671"/>
    <w:rsid w:val="009E5BA1"/>
    <w:rsid w:val="009F056E"/>
    <w:rsid w:val="00A156D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AF7AF2"/>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330E8"/>
    <w:rsid w:val="00C56C77"/>
    <w:rsid w:val="00C743EA"/>
    <w:rsid w:val="00C84923"/>
    <w:rsid w:val="00CB7B3E"/>
    <w:rsid w:val="00CC739D"/>
    <w:rsid w:val="00D04468"/>
    <w:rsid w:val="00D36257"/>
    <w:rsid w:val="00D4687E"/>
    <w:rsid w:val="00D53A12"/>
    <w:rsid w:val="00D87E2A"/>
    <w:rsid w:val="00D95F5F"/>
    <w:rsid w:val="00DB0C43"/>
    <w:rsid w:val="00DE3354"/>
    <w:rsid w:val="00DF7DCD"/>
    <w:rsid w:val="00E111D9"/>
    <w:rsid w:val="00E50B7D"/>
    <w:rsid w:val="00E904A1"/>
    <w:rsid w:val="00EB7D28"/>
    <w:rsid w:val="00EC0D0C"/>
    <w:rsid w:val="00ED4A2C"/>
    <w:rsid w:val="00EE1D4A"/>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TotalTime>
  <Pages>8</Pages>
  <Words>5036</Words>
  <Characters>28709</Characters>
  <Application>Microsoft Office Word</Application>
  <DocSecurity>0</DocSecurity>
  <Lines>239</Lines>
  <Paragraphs>67</Paragraphs>
  <ScaleCrop>false</ScaleCrop>
  <Company>PPI</Company>
  <LinksUpToDate>false</LinksUpToDate>
  <CharactersWithSpaces>33678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Muhammad Farikh</cp:lastModifiedBy>
  <cp:revision>2</cp:revision>
  <cp:lastPrinted>2011-03-03T08:29:00Z</cp:lastPrinted>
  <dcterms:created xsi:type="dcterms:W3CDTF">2025-12-13T15:13:00Z</dcterms:created>
  <dcterms:modified xsi:type="dcterms:W3CDTF">2025-12-13T15:13:00Z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8a4baba7-4681-450d-9fa3-00fb434803ec</vt:lpwstr>
  </property>
</Properties>
</file>