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40C4DF55" w:rsidR="0016385D" w:rsidRPr="00B11A67" w:rsidRDefault="00B11A67" w:rsidP="00B11A67">
      <w:pPr>
        <w:pStyle w:val="PaperTitle"/>
        <w:rPr>
          <w:bCs/>
        </w:rPr>
      </w:pPr>
      <w:r w:rsidRPr="00B11A67">
        <w:t xml:space="preserve">Effects Of Acrylic Base Immersion </w:t>
      </w:r>
      <w:proofErr w:type="gramStart"/>
      <w:r w:rsidRPr="00B11A67">
        <w:t>With</w:t>
      </w:r>
      <w:proofErr w:type="gramEnd"/>
      <w:r w:rsidRPr="00B11A67">
        <w:t xml:space="preserve"> </w:t>
      </w:r>
      <w:proofErr w:type="spellStart"/>
      <w:r w:rsidRPr="00B11A67">
        <w:t>Betle</w:t>
      </w:r>
      <w:proofErr w:type="spellEnd"/>
      <w:r w:rsidRPr="00B11A67">
        <w:t xml:space="preserve"> Leaf Extract Solution 15% And Denture Cleanser </w:t>
      </w:r>
      <w:proofErr w:type="gramStart"/>
      <w:r w:rsidRPr="00B11A67">
        <w:t>On</w:t>
      </w:r>
      <w:proofErr w:type="gramEnd"/>
      <w:r w:rsidRPr="00B11A67">
        <w:t xml:space="preserve"> </w:t>
      </w:r>
      <w:proofErr w:type="gramStart"/>
      <w:r w:rsidRPr="00B11A67">
        <w:t>The</w:t>
      </w:r>
      <w:proofErr w:type="gramEnd"/>
      <w:r w:rsidRPr="00B11A67">
        <w:t xml:space="preserve"> Fracture Toughness </w:t>
      </w:r>
      <w:proofErr w:type="gramStart"/>
      <w:r w:rsidRPr="00B11A67">
        <w:t>Of</w:t>
      </w:r>
      <w:proofErr w:type="gramEnd"/>
      <w:r w:rsidRPr="00B11A67">
        <w:t xml:space="preserve"> Heat </w:t>
      </w:r>
      <w:proofErr w:type="spellStart"/>
      <w:r w:rsidRPr="00B11A67">
        <w:t>Polimerized</w:t>
      </w:r>
      <w:proofErr w:type="spellEnd"/>
      <w:r w:rsidRPr="00B11A67">
        <w:t xml:space="preserve"> Acrylic Resin </w:t>
      </w:r>
    </w:p>
    <w:p w14:paraId="548D96A3" w14:textId="7D758C33" w:rsidR="00C14B14" w:rsidRPr="00B11A67" w:rsidRDefault="00B11A67" w:rsidP="00B11A67">
      <w:pPr>
        <w:pStyle w:val="AuthorName"/>
        <w:rPr>
          <w:lang w:val="en-GB"/>
        </w:rPr>
      </w:pPr>
      <w:proofErr w:type="spellStart"/>
      <w:r w:rsidRPr="00B11A67">
        <w:rPr>
          <w:bCs/>
        </w:rPr>
        <w:t>Widyapramana</w:t>
      </w:r>
      <w:proofErr w:type="spellEnd"/>
      <w:r w:rsidRPr="00B11A67">
        <w:rPr>
          <w:bCs/>
        </w:rPr>
        <w:t xml:space="preserve"> Dwi Atmaja</w:t>
      </w:r>
      <w:r w:rsidRPr="00B11A67">
        <w:rPr>
          <w:vertAlign w:val="superscript"/>
        </w:rPr>
        <w:t>1, a)</w:t>
      </w:r>
      <w:r w:rsidRPr="00B11A67">
        <w:t>, Arief Waskitho</w:t>
      </w:r>
      <w:r w:rsidRPr="00B11A67">
        <w:rPr>
          <w:vertAlign w:val="superscript"/>
        </w:rPr>
        <w:t xml:space="preserve">2, b) </w:t>
      </w:r>
      <w:r w:rsidRPr="00B11A67">
        <w:t xml:space="preserve">And </w:t>
      </w:r>
      <w:r w:rsidRPr="00B11A67">
        <w:rPr>
          <w:bCs/>
        </w:rPr>
        <w:t>Arya Daniswara Lukita</w:t>
      </w:r>
      <w:r w:rsidRPr="00B11A67">
        <w:rPr>
          <w:bCs/>
          <w:vertAlign w:val="superscript"/>
        </w:rPr>
        <w:t>3, c)</w:t>
      </w:r>
      <w:r>
        <w:t xml:space="preserve"> </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40DC5941" w14:textId="031881EB" w:rsidR="00B11A67" w:rsidRPr="00B11A67" w:rsidRDefault="00027428" w:rsidP="00B11A67">
      <w:pPr>
        <w:pStyle w:val="AuthorAffiliation"/>
        <w:rPr>
          <w:iCs/>
        </w:rPr>
      </w:pPr>
      <w:r w:rsidRPr="00B11A67">
        <w:rPr>
          <w:i w:val="0"/>
        </w:rPr>
        <w:t xml:space="preserve"> </w:t>
      </w:r>
      <w:r w:rsidR="00B11A67" w:rsidRPr="00B11A67">
        <w:rPr>
          <w:iCs/>
          <w:vertAlign w:val="superscript"/>
        </w:rPr>
        <w:t>1</w:t>
      </w:r>
      <w:r w:rsidR="00B11A67" w:rsidRPr="00B11A67">
        <w:rPr>
          <w:iCs/>
        </w:rPr>
        <w:t xml:space="preserve">Department of Dental Materials, Faculty of Dentistry, </w:t>
      </w:r>
      <w:r w:rsidR="006762B2" w:rsidRPr="006762B2">
        <w:rPr>
          <w:iCs/>
        </w:rPr>
        <w:t>Universitas Muhammadiyah Yogyakarta, Bantul, Special Region of Yogyakarta, Indonesia</w:t>
      </w:r>
      <w:r w:rsidR="00B11A67" w:rsidRPr="00B11A67">
        <w:rPr>
          <w:iCs/>
        </w:rPr>
        <w:t xml:space="preserve">  </w:t>
      </w:r>
    </w:p>
    <w:p w14:paraId="3EAF16AE" w14:textId="33080782" w:rsidR="00C14B14" w:rsidRDefault="00B11A67" w:rsidP="006762B2">
      <w:pPr>
        <w:pStyle w:val="AuthorAffiliation"/>
      </w:pPr>
      <w:r w:rsidRPr="001D58D0">
        <w:t xml:space="preserve"> </w:t>
      </w:r>
      <w:r w:rsidRPr="001D58D0">
        <w:rPr>
          <w:vertAlign w:val="superscript"/>
        </w:rPr>
        <w:t>2</w:t>
      </w:r>
      <w:r w:rsidRPr="001D58D0">
        <w:t>Department of Prosthodontic, Faculty of</w:t>
      </w:r>
      <w:r w:rsidR="006762B2" w:rsidRPr="001D58D0">
        <w:t xml:space="preserve"> </w:t>
      </w:r>
      <w:r w:rsidRPr="001D58D0">
        <w:t xml:space="preserve">Dentistry, </w:t>
      </w:r>
      <w:r w:rsidR="006762B2" w:rsidRPr="001D58D0">
        <w:t>Universitas Muhammadiyah Yogyakarta, Bantul, Special Region of Yogyakarta, Indonesia</w:t>
      </w:r>
      <w:r w:rsidRPr="001D58D0">
        <w:br/>
      </w:r>
      <w:r w:rsidRPr="001D58D0">
        <w:rPr>
          <w:vertAlign w:val="superscript"/>
        </w:rPr>
        <w:t>3</w:t>
      </w:r>
      <w:r w:rsidRPr="001D58D0">
        <w:t xml:space="preserve">Faculty of Dentistry, Muhammadiyah University of Yogyakarta, </w:t>
      </w:r>
      <w:r w:rsidR="006762B2" w:rsidRPr="001D58D0">
        <w:t>Universitas Muhammadiyah Yogyakarta, Bantul, Special Region of Yogyakarta, Indonesia</w:t>
      </w:r>
      <w:r w:rsidR="0016782F" w:rsidRPr="001D58D0">
        <w:br/>
      </w:r>
      <w:r w:rsidR="00C14B14" w:rsidRPr="00075EA6">
        <w:br/>
      </w:r>
      <w:r w:rsidR="00C14B14">
        <w:t>Author Emails</w:t>
      </w:r>
    </w:p>
    <w:p w14:paraId="7A666CE7" w14:textId="77777777" w:rsidR="006762B2" w:rsidRPr="00C70553" w:rsidRDefault="00003D7C">
      <w:pPr>
        <w:pStyle w:val="AuthorEmail"/>
        <w:rPr>
          <w:i/>
          <w:iCs/>
        </w:rPr>
      </w:pPr>
      <w:r w:rsidRPr="00075EA6">
        <w:rPr>
          <w:szCs w:val="28"/>
          <w:vertAlign w:val="superscript"/>
        </w:rPr>
        <w:t>a</w:t>
      </w:r>
      <w:r w:rsidRPr="001D58D0">
        <w:rPr>
          <w:i/>
          <w:iCs/>
          <w:szCs w:val="28"/>
          <w:vertAlign w:val="superscript"/>
        </w:rPr>
        <w:t>)</w:t>
      </w:r>
      <w:r w:rsidRPr="001D58D0">
        <w:rPr>
          <w:i/>
          <w:iCs/>
        </w:rPr>
        <w:t xml:space="preserve"> Corresponding</w:t>
      </w:r>
      <w:r w:rsidR="004E3CB2" w:rsidRPr="001D58D0">
        <w:rPr>
          <w:i/>
          <w:iCs/>
        </w:rPr>
        <w:t xml:space="preserve"> author: </w:t>
      </w:r>
      <w:r w:rsidR="006762B2" w:rsidRPr="001D58D0">
        <w:rPr>
          <w:i/>
          <w:iCs/>
        </w:rPr>
        <w:t>widyapramana.dwi@umy.ac.id</w:t>
      </w:r>
      <w:r w:rsidR="001D469C" w:rsidRPr="00075EA6">
        <w:rPr>
          <w:i/>
        </w:rPr>
        <w:br/>
      </w:r>
      <w:proofErr w:type="gramStart"/>
      <w:r w:rsidR="003A5C85" w:rsidRPr="00C70553">
        <w:rPr>
          <w:i/>
          <w:iCs/>
          <w:szCs w:val="28"/>
          <w:vertAlign w:val="superscript"/>
        </w:rPr>
        <w:t>b)</w:t>
      </w:r>
      <w:r w:rsidR="006762B2" w:rsidRPr="00C70553">
        <w:rPr>
          <w:i/>
          <w:iCs/>
        </w:rPr>
        <w:t>arief.waskitho@umy.ac.id</w:t>
      </w:r>
      <w:proofErr w:type="gramEnd"/>
    </w:p>
    <w:p w14:paraId="5E05E235" w14:textId="0EBD66A6" w:rsidR="003A5C85" w:rsidRPr="00C70553" w:rsidRDefault="006762B2">
      <w:pPr>
        <w:pStyle w:val="AuthorEmail"/>
        <w:rPr>
          <w:i/>
          <w:iCs/>
        </w:rPr>
      </w:pPr>
      <w:r w:rsidRPr="00C70553">
        <w:rPr>
          <w:i/>
          <w:iCs/>
          <w:vertAlign w:val="superscript"/>
        </w:rPr>
        <w:t>c)</w:t>
      </w:r>
      <w:r w:rsidRPr="00C70553">
        <w:rPr>
          <w:i/>
          <w:iCs/>
          <w:szCs w:val="28"/>
        </w:rPr>
        <w:t>Aryalukita2002@gmail.com</w:t>
      </w:r>
    </w:p>
    <w:p w14:paraId="20E805BA" w14:textId="5D387DFC" w:rsidR="006762B2" w:rsidRDefault="0016385D" w:rsidP="00C14B14">
      <w:pPr>
        <w:pStyle w:val="Abstract"/>
      </w:pPr>
      <w:r w:rsidRPr="00075EA6">
        <w:rPr>
          <w:b/>
          <w:bCs/>
        </w:rPr>
        <w:t>Abstract.</w:t>
      </w:r>
      <w:r w:rsidRPr="00075EA6">
        <w:t xml:space="preserve"> </w:t>
      </w:r>
      <w:r w:rsidR="006762B2" w:rsidRPr="006762B2">
        <w:t>Heat-cured acrylic resin (RAPP) is widely used as a denture material in the treatment of edentulous cases because of its advantages as a denture base material. However, RAPP can fracture due to the force in the mastication process. Fractures in the RAPP base are related to the fracture toughness of the denture base material. Dentures need to be cleaned regularly to prevent fungal colonization. Denture cleaning may be done chemically by soaking in a disinfectant solution. A 15% betel leaf extract solution (</w:t>
      </w:r>
      <w:r w:rsidR="006762B2" w:rsidRPr="006762B2">
        <w:rPr>
          <w:i/>
        </w:rPr>
        <w:t xml:space="preserve">piper </w:t>
      </w:r>
      <w:proofErr w:type="spellStart"/>
      <w:r w:rsidR="006762B2" w:rsidRPr="006762B2">
        <w:rPr>
          <w:i/>
        </w:rPr>
        <w:t>betle</w:t>
      </w:r>
      <w:proofErr w:type="spellEnd"/>
      <w:r w:rsidR="006762B2" w:rsidRPr="006762B2">
        <w:rPr>
          <w:i/>
        </w:rPr>
        <w:t xml:space="preserve"> linn</w:t>
      </w:r>
      <w:r w:rsidR="006762B2" w:rsidRPr="006762B2">
        <w:t xml:space="preserve">.) is one of the alternative denture </w:t>
      </w:r>
      <w:proofErr w:type="gramStart"/>
      <w:r w:rsidR="006762B2" w:rsidRPr="006762B2">
        <w:t>cleanser</w:t>
      </w:r>
      <w:proofErr w:type="gramEnd"/>
      <w:r w:rsidR="006762B2" w:rsidRPr="006762B2">
        <w:t xml:space="preserve"> that reduce Candida colonies beside </w:t>
      </w:r>
      <w:proofErr w:type="spellStart"/>
      <w:r w:rsidR="006762B2" w:rsidRPr="006762B2">
        <w:t>Polident</w:t>
      </w:r>
      <w:proofErr w:type="spellEnd"/>
      <w:r w:rsidR="006762B2" w:rsidRPr="006762B2">
        <w:t xml:space="preserve">, effervescent solution. Immersing dentures in denture cleanser may reduce the mechanical and physical properties of denture materials which lead to fracture. This study aims to determine the difference in fracture toughness between RAPP that had been soaked in a 15% </w:t>
      </w:r>
      <w:proofErr w:type="spellStart"/>
      <w:r w:rsidR="006762B2" w:rsidRPr="006762B2">
        <w:t>betle</w:t>
      </w:r>
      <w:proofErr w:type="spellEnd"/>
      <w:r w:rsidR="006762B2" w:rsidRPr="006762B2">
        <w:t xml:space="preserve"> leaf extract solution (</w:t>
      </w:r>
      <w:r w:rsidR="006762B2" w:rsidRPr="006762B2">
        <w:rPr>
          <w:i/>
        </w:rPr>
        <w:t xml:space="preserve">piper </w:t>
      </w:r>
      <w:proofErr w:type="spellStart"/>
      <w:r w:rsidR="006762B2" w:rsidRPr="006762B2">
        <w:rPr>
          <w:i/>
        </w:rPr>
        <w:t>betle</w:t>
      </w:r>
      <w:proofErr w:type="spellEnd"/>
      <w:r w:rsidR="006762B2" w:rsidRPr="006762B2">
        <w:rPr>
          <w:i/>
        </w:rPr>
        <w:t xml:space="preserve"> linn.</w:t>
      </w:r>
      <w:r w:rsidR="006762B2" w:rsidRPr="006762B2">
        <w:t xml:space="preserve">) and </w:t>
      </w:r>
      <w:proofErr w:type="spellStart"/>
      <w:r w:rsidR="006762B2" w:rsidRPr="006762B2">
        <w:t>Polident</w:t>
      </w:r>
      <w:proofErr w:type="spellEnd"/>
      <w:r w:rsidR="006762B2" w:rsidRPr="006762B2">
        <w:t xml:space="preserve">. 27 RAPP plates (65x10x2.5mm, with conditioned a fracture in the middle) soaked in artificial saliva for 24 hours, then divided into 3 treatment groups and soaked for 2,190 hours; Group A (15% </w:t>
      </w:r>
      <w:proofErr w:type="spellStart"/>
      <w:r w:rsidR="006762B2" w:rsidRPr="006762B2">
        <w:t>betle</w:t>
      </w:r>
      <w:proofErr w:type="spellEnd"/>
      <w:r w:rsidR="006762B2" w:rsidRPr="006762B2">
        <w:t xml:space="preserve"> leaf extract), group B (</w:t>
      </w:r>
      <w:proofErr w:type="spellStart"/>
      <w:r w:rsidR="006762B2" w:rsidRPr="006762B2">
        <w:t>Polident</w:t>
      </w:r>
      <w:proofErr w:type="spellEnd"/>
      <w:r w:rsidR="006762B2" w:rsidRPr="006762B2">
        <w:t>), and group C (</w:t>
      </w:r>
      <w:proofErr w:type="spellStart"/>
      <w:r w:rsidR="006762B2" w:rsidRPr="006762B2">
        <w:t>aquadest</w:t>
      </w:r>
      <w:proofErr w:type="spellEnd"/>
      <w:r w:rsidR="006762B2" w:rsidRPr="006762B2">
        <w:t xml:space="preserve">). Each sample were tested for their fracture toughness using three point bending system test. The results then analyzed using One way ANOVA. Descriptive analysis data shows different average fracture toughness. However, the analysis showed an </w:t>
      </w:r>
      <w:proofErr w:type="spellStart"/>
      <w:r w:rsidR="006762B2" w:rsidRPr="006762B2">
        <w:t>insignificanct</w:t>
      </w:r>
      <w:proofErr w:type="spellEnd"/>
      <w:r w:rsidR="006762B2" w:rsidRPr="006762B2">
        <w:t xml:space="preserve"> result of 0.282 or P&gt; 0.05. The fracture toughness values after soaking in 15% </w:t>
      </w:r>
      <w:proofErr w:type="spellStart"/>
      <w:r w:rsidR="006762B2" w:rsidRPr="006762B2">
        <w:t>betle</w:t>
      </w:r>
      <w:proofErr w:type="spellEnd"/>
      <w:r w:rsidR="006762B2" w:rsidRPr="006762B2">
        <w:t xml:space="preserve"> leaf extract solution, </w:t>
      </w:r>
      <w:proofErr w:type="spellStart"/>
      <w:r w:rsidR="006762B2" w:rsidRPr="006762B2">
        <w:t>Polident</w:t>
      </w:r>
      <w:proofErr w:type="spellEnd"/>
      <w:r w:rsidR="006762B2" w:rsidRPr="006762B2">
        <w:t>, and distilled water showed insignificant differences.</w:t>
      </w:r>
    </w:p>
    <w:p w14:paraId="22C3F2A8" w14:textId="694B4E10" w:rsidR="0016385D" w:rsidRPr="00075EA6" w:rsidRDefault="00D105B8" w:rsidP="00D105B8">
      <w:pPr>
        <w:pStyle w:val="Abstract"/>
      </w:pPr>
      <w:r>
        <w:t xml:space="preserve">Keywords: </w:t>
      </w:r>
      <w:r w:rsidR="007D4407" w:rsidRPr="00075EA6">
        <w:t xml:space="preserve"> </w:t>
      </w:r>
      <w:r w:rsidRPr="00D105B8">
        <w:t xml:space="preserve">Heat polymerization acrylic resin; </w:t>
      </w:r>
      <w:proofErr w:type="spellStart"/>
      <w:r w:rsidRPr="00D105B8">
        <w:t>betle</w:t>
      </w:r>
      <w:proofErr w:type="spellEnd"/>
      <w:r w:rsidRPr="00D105B8">
        <w:t xml:space="preserve"> leaf extract; denture cleanser; fracture toughness.</w:t>
      </w:r>
    </w:p>
    <w:p w14:paraId="5240E3FB" w14:textId="5538602E" w:rsidR="003A287B" w:rsidRPr="00075EA6" w:rsidRDefault="00D105B8" w:rsidP="00003D7C">
      <w:pPr>
        <w:pStyle w:val="Heading1"/>
        <w:rPr>
          <w:b w:val="0"/>
          <w:caps w:val="0"/>
          <w:sz w:val="20"/>
        </w:rPr>
      </w:pPr>
      <w:r>
        <w:t>introduction</w:t>
      </w:r>
    </w:p>
    <w:p w14:paraId="556A3C5E" w14:textId="77777777" w:rsidR="00D105B8" w:rsidRPr="00D105B8" w:rsidRDefault="00D105B8" w:rsidP="00D105B8">
      <w:pPr>
        <w:pStyle w:val="Paragraph"/>
      </w:pPr>
      <w:r w:rsidRPr="00D105B8">
        <w:t>Partial or complete tooth loss (edentulous) occurs globally and is projected to remain consistently high in many countries</w:t>
      </w:r>
      <w:r w:rsidRPr="00D105B8">
        <w:rPr>
          <w:vertAlign w:val="superscript"/>
        </w:rPr>
        <w:t>1</w:t>
      </w:r>
      <w:r w:rsidRPr="00D105B8">
        <w:t>. Data from the 2023 Indonesian Health Survey (SKI) stated that 1.3% of the Indonesian population aged ≥15 years experienced edentulous conditions. According to SKI 2023 data, it was recorded that in the Indonesian population aged ≥15 years, 5.2% had used partial dentures and 1.6% used full dentures</w:t>
      </w:r>
      <w:r w:rsidRPr="00D105B8">
        <w:rPr>
          <w:vertAlign w:val="superscript"/>
        </w:rPr>
        <w:t>2</w:t>
      </w:r>
      <w:r w:rsidRPr="00D105B8">
        <w:t>. Denture installation is one of the treatments for tooth loss cases</w:t>
      </w:r>
      <w:r w:rsidRPr="00D105B8">
        <w:rPr>
          <w:vertAlign w:val="superscript"/>
        </w:rPr>
        <w:t>3</w:t>
      </w:r>
      <w:r w:rsidRPr="00D105B8">
        <w:t xml:space="preserve">. </w:t>
      </w:r>
    </w:p>
    <w:p w14:paraId="679ACDE5" w14:textId="77777777" w:rsidR="00D105B8" w:rsidRPr="00D105B8" w:rsidRDefault="00D105B8" w:rsidP="00D105B8">
      <w:pPr>
        <w:pStyle w:val="Paragraph"/>
      </w:pPr>
      <w:r w:rsidRPr="00D105B8">
        <w:t xml:space="preserve">PMMA dentures can fracture due to mechanical pressure in the mouth. Factors that can cause fractures are low impact resistance, transverse strength, poor denture base manufacturing techniques, and high fracture resistance </w:t>
      </w:r>
      <w:r w:rsidRPr="00D105B8">
        <w:rPr>
          <w:vertAlign w:val="superscript"/>
        </w:rPr>
        <w:t>4,5,6</w:t>
      </w:r>
      <w:r w:rsidRPr="00D105B8">
        <w:t>.</w:t>
      </w:r>
    </w:p>
    <w:p w14:paraId="38D9ABAD" w14:textId="77777777" w:rsidR="00D105B8" w:rsidRPr="00D105B8" w:rsidRDefault="00D105B8" w:rsidP="00D105B8">
      <w:pPr>
        <w:pStyle w:val="Paragraph"/>
      </w:pPr>
      <w:r w:rsidRPr="00D105B8">
        <w:lastRenderedPageBreak/>
        <w:t>Heat polymerized acrylic resin (RAPP) has been widely used as a denture base material because it has advantages, such as biocompatible, aesthetic, easy to process, easy to repair, and relatively inexpensive. However, RAPP has disadvantages, namely it is easily broken</w:t>
      </w:r>
      <w:r w:rsidRPr="00D105B8">
        <w:rPr>
          <w:vertAlign w:val="superscript"/>
        </w:rPr>
        <w:t>7</w:t>
      </w:r>
      <w:r w:rsidRPr="00D105B8">
        <w:t>. One of the mechanical properties of denture materials is transverse strength which plays a role in receiving the load that occurs continuously in the oral cavity during chewing until a fracture occurs on the denture base</w:t>
      </w:r>
      <w:r w:rsidRPr="00D105B8">
        <w:rPr>
          <w:vertAlign w:val="superscript"/>
        </w:rPr>
        <w:t>8</w:t>
      </w:r>
      <w:r w:rsidRPr="00D105B8">
        <w:t>. The mechanical properties of PMMA itself include transverse strength, impact strength, fracture resistance, and surface hardness. Good mechanical properties are needed to support the function of the denture base material (</w:t>
      </w:r>
      <w:proofErr w:type="spellStart"/>
      <w:r w:rsidRPr="00D105B8">
        <w:t>biofunctionality</w:t>
      </w:r>
      <w:proofErr w:type="spellEnd"/>
      <w:r w:rsidRPr="00D105B8">
        <w:t>)</w:t>
      </w:r>
      <w:r w:rsidRPr="00D105B8">
        <w:rPr>
          <w:vertAlign w:val="superscript"/>
        </w:rPr>
        <w:t>9</w:t>
      </w:r>
      <w:r w:rsidRPr="00D105B8">
        <w:t>.</w:t>
      </w:r>
    </w:p>
    <w:p w14:paraId="119BCB64" w14:textId="77777777" w:rsidR="00D105B8" w:rsidRPr="00D105B8" w:rsidRDefault="00D105B8" w:rsidP="00D105B8">
      <w:pPr>
        <w:pStyle w:val="Paragraph"/>
      </w:pPr>
      <w:r w:rsidRPr="00D105B8">
        <w:t>In addition, PMMA also has water absorption properties when immersed. This physical property allows water to enter the polymer chain</w:t>
      </w:r>
      <w:r w:rsidRPr="00D105B8">
        <w:rPr>
          <w:vertAlign w:val="superscript"/>
        </w:rPr>
        <w:t>9</w:t>
      </w:r>
      <w:r w:rsidRPr="00D105B8">
        <w:t>. The solution will be absorbed into the micro porosity of the acrylic resin affecting the bonds between its molecules. The longer the soaking time, the more solution particles are absorbed into the micro porosity of the acrylic resin which reduces the mechanical strength of the acrylic resin</w:t>
      </w:r>
      <w:r w:rsidRPr="00D105B8">
        <w:rPr>
          <w:vertAlign w:val="superscript"/>
        </w:rPr>
        <w:t>10</w:t>
      </w:r>
      <w:r w:rsidRPr="00D105B8">
        <w:t>.</w:t>
      </w:r>
    </w:p>
    <w:p w14:paraId="20D67001" w14:textId="77777777" w:rsidR="00D105B8" w:rsidRPr="00D105B8" w:rsidRDefault="00D105B8" w:rsidP="00D105B8">
      <w:pPr>
        <w:pStyle w:val="Paragraph"/>
      </w:pPr>
      <w:r w:rsidRPr="00D105B8">
        <w:t>The use of uncleaned dentures can cause plaque buildup which results in denture stomatitis</w:t>
      </w:r>
      <w:r w:rsidRPr="00D105B8">
        <w:rPr>
          <w:vertAlign w:val="superscript"/>
        </w:rPr>
        <w:t>11</w:t>
      </w:r>
      <w:r w:rsidRPr="00D105B8">
        <w:t>. There are three methods used to clean dentures, namely; mechanical method, chemical method, and combination. Mechanical cleaning includes brushing using powder or paste, and ultrasonic cleaning. The chemical method is done by soaking in a disinfectant solution</w:t>
      </w:r>
      <w:r w:rsidRPr="00D105B8">
        <w:rPr>
          <w:vertAlign w:val="superscript"/>
        </w:rPr>
        <w:t>12</w:t>
      </w:r>
      <w:r w:rsidRPr="00D105B8">
        <w:t>.</w:t>
      </w:r>
    </w:p>
    <w:p w14:paraId="5D93A470" w14:textId="77777777" w:rsidR="00D105B8" w:rsidRPr="00D105B8" w:rsidRDefault="00D105B8" w:rsidP="00D105B8">
      <w:pPr>
        <w:pStyle w:val="Paragraph"/>
      </w:pPr>
      <w:r w:rsidRPr="00D105B8">
        <w:t>The use of active compounds from natural materials has seen increasing interest in its application. Although natural materials often show lower activity, natural materials have non-toxic properties and do not leave residual substances</w:t>
      </w:r>
      <w:r w:rsidRPr="00D105B8">
        <w:rPr>
          <w:vertAlign w:val="superscript"/>
        </w:rPr>
        <w:t>13</w:t>
      </w:r>
      <w:r w:rsidRPr="00D105B8">
        <w:t>. Various plants that have been used for their extracts, such as extracts from betel, taro, hibiscus, brown seaweed, cashew, mangrove, soursop, neem, pineapple, lemongrass, black cumin, and red betel</w:t>
      </w:r>
      <w:proofErr w:type="gramStart"/>
      <w:r w:rsidRPr="00D105B8">
        <w:rPr>
          <w:vertAlign w:val="superscript"/>
        </w:rPr>
        <w:t xml:space="preserve">14 </w:t>
      </w:r>
      <w:r w:rsidRPr="00D105B8">
        <w:t>.</w:t>
      </w:r>
      <w:proofErr w:type="gramEnd"/>
    </w:p>
    <w:p w14:paraId="041840DF" w14:textId="77777777" w:rsidR="00D105B8" w:rsidRPr="00D105B8" w:rsidRDefault="00D105B8" w:rsidP="00D105B8">
      <w:pPr>
        <w:pStyle w:val="Paragraph"/>
      </w:pPr>
      <w:r w:rsidRPr="00D105B8">
        <w:t xml:space="preserve"> Green </w:t>
      </w:r>
      <w:proofErr w:type="spellStart"/>
      <w:r w:rsidRPr="00D105B8">
        <w:t>betle</w:t>
      </w:r>
      <w:proofErr w:type="spellEnd"/>
      <w:r w:rsidRPr="00D105B8">
        <w:t xml:space="preserve"> leaves are one of the traditional medicines that contain essential oils with the main components consisting of phenol and its derivatives</w:t>
      </w:r>
      <w:r w:rsidRPr="00D105B8">
        <w:rPr>
          <w:vertAlign w:val="superscript"/>
        </w:rPr>
        <w:t>15</w:t>
      </w:r>
      <w:r w:rsidRPr="00D105B8">
        <w:t>. The content of phenol and essential oils has antibacterial, antifungal, and antioxidant properties that can be used as a removable denture cleaning agent. At certain concentrations, phenol can interact with Candida albicans cells through the absorption process. Phenolic compounds can form phenol protein complexes into C. albicans cells, causing coagulation of C. albicans membrane proteins, causing cell membranes to lyse, resulting in cell death. The concentration of the extract solution can affect the decrease in the number of C. albicans colonies. The higher the concentration, the greater the antimicrobial power</w:t>
      </w:r>
      <w:r w:rsidRPr="00D105B8">
        <w:rPr>
          <w:vertAlign w:val="superscript"/>
        </w:rPr>
        <w:t>16</w:t>
      </w:r>
      <w:r w:rsidRPr="00D105B8">
        <w:t>.</w:t>
      </w:r>
    </w:p>
    <w:p w14:paraId="317D58DE" w14:textId="77777777" w:rsidR="00D105B8" w:rsidRPr="00D105B8" w:rsidRDefault="00D105B8" w:rsidP="00D105B8">
      <w:pPr>
        <w:pStyle w:val="Paragraph"/>
      </w:pPr>
      <w:r w:rsidRPr="00D105B8">
        <w:t xml:space="preserve">In the study by </w:t>
      </w:r>
      <w:proofErr w:type="spellStart"/>
      <w:r w:rsidRPr="00D105B8">
        <w:t>Gunabudi</w:t>
      </w:r>
      <w:proofErr w:type="spellEnd"/>
      <w:r w:rsidRPr="00D105B8">
        <w:t xml:space="preserve"> et al. (2019), soaking in 15% </w:t>
      </w:r>
      <w:proofErr w:type="spellStart"/>
      <w:r w:rsidRPr="00D105B8">
        <w:t>betle</w:t>
      </w:r>
      <w:proofErr w:type="spellEnd"/>
      <w:r w:rsidRPr="00D105B8">
        <w:t xml:space="preserve"> leaf extract (Piper </w:t>
      </w:r>
      <w:proofErr w:type="spellStart"/>
      <w:r w:rsidRPr="00D105B8">
        <w:t>betle</w:t>
      </w:r>
      <w:proofErr w:type="spellEnd"/>
      <w:r w:rsidRPr="00D105B8">
        <w:t xml:space="preserve"> linn) for 6 hours as a cleaning agent for RAPP removable dentures had significant antifungal power. On the other hand, soaking RAPP removable dentures using </w:t>
      </w:r>
      <w:proofErr w:type="spellStart"/>
      <w:r w:rsidRPr="00D105B8">
        <w:t>Polident</w:t>
      </w:r>
      <w:proofErr w:type="spellEnd"/>
      <w:r w:rsidRPr="00D105B8">
        <w:t xml:space="preserve"> for 1 hour and 6 hours also had significant antifungal power</w:t>
      </w:r>
      <w:r w:rsidRPr="00D105B8">
        <w:rPr>
          <w:vertAlign w:val="superscript"/>
        </w:rPr>
        <w:t>17</w:t>
      </w:r>
      <w:r w:rsidRPr="00D105B8">
        <w:t>.</w:t>
      </w:r>
    </w:p>
    <w:p w14:paraId="30C71CC8" w14:textId="77777777" w:rsidR="00D105B8" w:rsidRPr="00D105B8" w:rsidRDefault="00D105B8" w:rsidP="00D105B8">
      <w:pPr>
        <w:pStyle w:val="Paragraph"/>
      </w:pPr>
      <w:r w:rsidRPr="00D105B8">
        <w:t xml:space="preserve">Soaking RAPP plates for 1 hour in 15% </w:t>
      </w:r>
      <w:proofErr w:type="spellStart"/>
      <w:r w:rsidRPr="00D105B8">
        <w:t>betle</w:t>
      </w:r>
      <w:proofErr w:type="spellEnd"/>
      <w:r w:rsidRPr="00D105B8">
        <w:t xml:space="preserve"> leaf extract solution can cause a significant decrease in transverse strength when compared to the group soaked in distilled water, so the use of 15% betel leaf extract is not recommended</w:t>
      </w:r>
      <w:r w:rsidRPr="00D105B8">
        <w:rPr>
          <w:vertAlign w:val="superscript"/>
        </w:rPr>
        <w:t>18</w:t>
      </w:r>
      <w:r w:rsidRPr="00D105B8">
        <w:t xml:space="preserve">. On the other hand, soaking RAPP compression molding in </w:t>
      </w:r>
      <w:proofErr w:type="spellStart"/>
      <w:r w:rsidRPr="00D105B8">
        <w:t>Polident</w:t>
      </w:r>
      <w:proofErr w:type="spellEnd"/>
      <w:r w:rsidRPr="00D105B8">
        <w:t xml:space="preserve"> solution for 3 minutes every day for 6 months showed a significant difference (76.69±0.11) in transverse strength when compared to soaking in distilled water (95.80±0.03)</w:t>
      </w:r>
      <w:r w:rsidRPr="00D105B8">
        <w:rPr>
          <w:vertAlign w:val="superscript"/>
        </w:rPr>
        <w:t>19</w:t>
      </w:r>
      <w:r w:rsidRPr="00D105B8">
        <w:t>.</w:t>
      </w:r>
    </w:p>
    <w:p w14:paraId="1DCC8354" w14:textId="5A3F6A2C" w:rsidR="002941DA" w:rsidRDefault="00D105B8" w:rsidP="00D105B8">
      <w:pPr>
        <w:pStyle w:val="Paragraph"/>
      </w:pPr>
      <w:r w:rsidRPr="00D105B8">
        <w:t xml:space="preserve">Cleaning of dentures can be done by chemical methods, such as by soaking using 15% </w:t>
      </w:r>
      <w:proofErr w:type="spellStart"/>
      <w:r w:rsidRPr="00D105B8">
        <w:t>betle</w:t>
      </w:r>
      <w:proofErr w:type="spellEnd"/>
      <w:r w:rsidRPr="00D105B8">
        <w:t xml:space="preserve"> leaf extract and </w:t>
      </w:r>
      <w:proofErr w:type="spellStart"/>
      <w:r w:rsidRPr="00D105B8">
        <w:t>Polident</w:t>
      </w:r>
      <w:proofErr w:type="spellEnd"/>
      <w:r w:rsidRPr="00D105B8">
        <w:t xml:space="preserve">. However, the results of the study stated that soaking with these materials can reduce the transverse strength of the acrylic base of the denture which causes a decrease in the mechanical strength of the acrylic resin, so that it can affect the fracture resistance of the denture base. Therefore, the researcher wanted to examine the differences in fracture resistance between the heat polymerized acrylic resin denture base that had been soaked with 15% </w:t>
      </w:r>
      <w:proofErr w:type="spellStart"/>
      <w:r w:rsidRPr="00D105B8">
        <w:t>betle</w:t>
      </w:r>
      <w:proofErr w:type="spellEnd"/>
      <w:r w:rsidRPr="00D105B8">
        <w:t xml:space="preserve"> leaf extract solution and </w:t>
      </w:r>
      <w:proofErr w:type="spellStart"/>
      <w:r w:rsidRPr="00D105B8">
        <w:t>Polident</w:t>
      </w:r>
      <w:proofErr w:type="spellEnd"/>
      <w:r w:rsidRPr="00D105B8">
        <w:t>.</w:t>
      </w:r>
      <w:r w:rsidR="003E7C74" w:rsidRPr="00075EA6">
        <w:t xml:space="preserve"> </w:t>
      </w:r>
      <w:r w:rsidR="00946C27">
        <w:t xml:space="preserve"> </w:t>
      </w:r>
    </w:p>
    <w:p w14:paraId="49D6FBD1" w14:textId="108D25BB" w:rsidR="00725861" w:rsidRDefault="00D105B8" w:rsidP="00725861">
      <w:pPr>
        <w:pStyle w:val="Heading2"/>
      </w:pPr>
      <w:r>
        <w:t>MATERIALS AND METHODS</w:t>
      </w:r>
    </w:p>
    <w:p w14:paraId="3775BB6B" w14:textId="77777777" w:rsidR="004C3B20" w:rsidRPr="004C3B20" w:rsidRDefault="004C3B20" w:rsidP="004C3B20">
      <w:pPr>
        <w:pStyle w:val="Paragraph"/>
      </w:pPr>
      <w:r w:rsidRPr="004C3B20">
        <w:t xml:space="preserve">This research is </w:t>
      </w:r>
      <w:proofErr w:type="gramStart"/>
      <w:r w:rsidRPr="004C3B20">
        <w:t>an experimental laboratory research</w:t>
      </w:r>
      <w:proofErr w:type="gramEnd"/>
      <w:r w:rsidRPr="004C3B20">
        <w:t xml:space="preserve"> that has been approved by the Health Research Ethics Committee. The RAPP plate measures 65x10x2.5 mm and is printed with a longitudinal groove in the middle of the plate length. Plates were made at the Skills Lab of Dentistry, Muhammadiyah University of Yogyakarta (UMY) as many as 27 units. The plates were randomly divided into 3 groups and labeled; A (15% </w:t>
      </w:r>
      <w:proofErr w:type="spellStart"/>
      <w:r w:rsidRPr="004C3B20">
        <w:t>betle</w:t>
      </w:r>
      <w:proofErr w:type="spellEnd"/>
      <w:r w:rsidRPr="004C3B20">
        <w:t xml:space="preserve"> leaf extract), B (</w:t>
      </w:r>
      <w:proofErr w:type="spellStart"/>
      <w:r w:rsidRPr="004C3B20">
        <w:t>Polident</w:t>
      </w:r>
      <w:proofErr w:type="spellEnd"/>
      <w:r w:rsidRPr="004C3B20">
        <w:t>), and C (</w:t>
      </w:r>
      <w:proofErr w:type="spellStart"/>
      <w:r w:rsidRPr="004C3B20">
        <w:t>aquades</w:t>
      </w:r>
      <w:proofErr w:type="spellEnd"/>
      <w:r w:rsidRPr="004C3B20">
        <w:t xml:space="preserve">). Before being treated, the three groups were soaked in artificial saliva solution for 24 hours and stored in an incubator at 37°C in the Biochemistry Laboratory of the Faculty of Medicine and Health Sciences, UMY. </w:t>
      </w:r>
    </w:p>
    <w:p w14:paraId="3AA3CBF1" w14:textId="77777777" w:rsidR="004C3B20" w:rsidRPr="004C3B20" w:rsidRDefault="004C3B20" w:rsidP="004C3B20">
      <w:pPr>
        <w:pStyle w:val="Paragraph"/>
      </w:pPr>
      <w:proofErr w:type="spellStart"/>
      <w:r w:rsidRPr="004C3B20">
        <w:t>Betle</w:t>
      </w:r>
      <w:proofErr w:type="spellEnd"/>
      <w:r w:rsidRPr="004C3B20">
        <w:t xml:space="preserve"> leaf extract solution (piper </w:t>
      </w:r>
      <w:proofErr w:type="spellStart"/>
      <w:r w:rsidRPr="004C3B20">
        <w:t>betle</w:t>
      </w:r>
      <w:proofErr w:type="spellEnd"/>
      <w:r w:rsidRPr="004C3B20">
        <w:t xml:space="preserve"> linn.) 15 % was obtained by diluting 7.5 ml of pure </w:t>
      </w:r>
      <w:proofErr w:type="spellStart"/>
      <w:r w:rsidRPr="004C3B20">
        <w:t>betle</w:t>
      </w:r>
      <w:proofErr w:type="spellEnd"/>
      <w:r w:rsidRPr="004C3B20">
        <w:t xml:space="preserve"> leaf extract with distilled water until the total volume was 50 ml and the extract concentration was 15%. The </w:t>
      </w:r>
      <w:proofErr w:type="spellStart"/>
      <w:r w:rsidRPr="004C3B20">
        <w:t>Polident</w:t>
      </w:r>
      <w:proofErr w:type="spellEnd"/>
      <w:r w:rsidRPr="004C3B20">
        <w:t xml:space="preserve"> solution was made by dissolving 1 tablet of </w:t>
      </w:r>
      <w:proofErr w:type="spellStart"/>
      <w:r w:rsidRPr="004C3B20">
        <w:t>Polident</w:t>
      </w:r>
      <w:proofErr w:type="spellEnd"/>
      <w:r w:rsidRPr="004C3B20">
        <w:t xml:space="preserve"> effervescent denture cleanser in 200 ml of distilled water and left to mix homogeneously. The three treatment groups were soaked for 6 hours per day assuming a soaking period of 1 year (365 </w:t>
      </w:r>
      <w:r w:rsidRPr="004C3B20">
        <w:lastRenderedPageBreak/>
        <w:t>days), so that each group was soaked for 6 hours x 365 days = 2,190 hours. After the soaking treatment, all plates were rinsed with water and dried.</w:t>
      </w:r>
    </w:p>
    <w:p w14:paraId="38D3AEBF" w14:textId="49D46263" w:rsidR="004C3B20" w:rsidRPr="004C3B20" w:rsidRDefault="004C3B20" w:rsidP="004C3B20">
      <w:pPr>
        <w:pStyle w:val="Paragraph"/>
      </w:pPr>
      <w:r w:rsidRPr="004C3B20">
        <w:t>Fracture resistance testing was conducted on the three groups using a Universal Testing Machine (TENSILO RTI-1225, Integrated Research Laboratory, Faculty of Dentistry, Gadjah Mada University) with a three-point bending system. Both ends of the plate were positioned on the holder with the fracture groove position in the middle dividing both ends of the plate with an equal length of 25 mm and facing the UTM holder. The UTM crosshead was placed right on the opposite side of the plate fracture groove and given a load at a speed of 1 mm/minute. The load on the crosshead was given gradually until the RAPP plate broke. In the test, the largest load (</w:t>
      </w:r>
      <w:proofErr w:type="spellStart"/>
      <w:r w:rsidRPr="004C3B20">
        <w:t>kN</w:t>
      </w:r>
      <w:proofErr w:type="spellEnd"/>
      <w:r w:rsidRPr="004C3B20">
        <w:t>) was recorded to calculate the fracture resistance using the K</w:t>
      </w:r>
      <w:r w:rsidRPr="004C3B20">
        <w:rPr>
          <w:vertAlign w:val="subscript"/>
        </w:rPr>
        <w:t>IC</w:t>
      </w:r>
      <w:r w:rsidRPr="004C3B20">
        <w:t xml:space="preserve"> formula:</w:t>
      </w:r>
    </w:p>
    <w:p w14:paraId="2BE3B931" w14:textId="0AE89432" w:rsidR="004C3B20" w:rsidRPr="004C3B20" w:rsidRDefault="00882D7F" w:rsidP="004C3B20">
      <w:pPr>
        <w:pStyle w:val="Paragraph"/>
        <w:jc w:val="center"/>
        <w:rPr>
          <w:vertAlign w:val="subscript"/>
        </w:rPr>
      </w:pPr>
      <w:r w:rsidRPr="00882D7F">
        <w:rPr>
          <w:noProof/>
          <w:lang w:val="sv-SE"/>
        </w:rPr>
        <mc:AlternateContent>
          <mc:Choice Requires="wps">
            <w:drawing>
              <wp:anchor distT="45720" distB="45720" distL="114300" distR="114300" simplePos="0" relativeHeight="251658752" behindDoc="0" locked="0" layoutInCell="1" allowOverlap="1" wp14:anchorId="3609A4E5" wp14:editId="216647AD">
                <wp:simplePos x="0" y="0"/>
                <wp:positionH relativeFrom="column">
                  <wp:posOffset>5200650</wp:posOffset>
                </wp:positionH>
                <wp:positionV relativeFrom="paragraph">
                  <wp:posOffset>6350</wp:posOffset>
                </wp:positionV>
                <wp:extent cx="546100" cy="24765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47650"/>
                        </a:xfrm>
                        <a:prstGeom prst="rect">
                          <a:avLst/>
                        </a:prstGeom>
                        <a:solidFill>
                          <a:srgbClr val="FFFFFF"/>
                        </a:solidFill>
                        <a:ln w="9525">
                          <a:noFill/>
                          <a:miter lim="800000"/>
                          <a:headEnd/>
                          <a:tailEnd/>
                        </a:ln>
                      </wps:spPr>
                      <wps:txbx>
                        <w:txbxContent>
                          <w:p w14:paraId="6B821199" w14:textId="22622919" w:rsidR="00882D7F" w:rsidRPr="00882D7F" w:rsidRDefault="00882D7F">
                            <w:pPr>
                              <w:rPr>
                                <w:sz w:val="20"/>
                                <w:szCs w:val="16"/>
                              </w:rPr>
                            </w:pPr>
                            <w:r w:rsidRPr="00882D7F">
                              <w:rPr>
                                <w:sz w:val="20"/>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9A4E5" id="_x0000_t202" coordsize="21600,21600" o:spt="202" path="m,l,21600r21600,l21600,xe">
                <v:stroke joinstyle="miter"/>
                <v:path gradientshapeok="t" o:connecttype="rect"/>
              </v:shapetype>
              <v:shape id="Text Box 2" o:spid="_x0000_s1026" type="#_x0000_t202" style="position:absolute;left:0;text-align:left;margin-left:409.5pt;margin-top:.5pt;width:43pt;height:19.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" stroked="f">
                <v:textbox>
                  <w:txbxContent>
                    <w:p w14:paraId="6B821199" w14:textId="22622919" w:rsidR="00882D7F" w:rsidRPr="00882D7F" w:rsidRDefault="00882D7F">
                      <w:pPr>
                        <w:rPr>
                          <w:sz w:val="20"/>
                          <w:szCs w:val="16"/>
                        </w:rPr>
                      </w:pPr>
                      <w:r w:rsidRPr="00882D7F">
                        <w:rPr>
                          <w:sz w:val="20"/>
                          <w:szCs w:val="16"/>
                        </w:rPr>
                        <w:t>(4)</w:t>
                      </w:r>
                    </w:p>
                  </w:txbxContent>
                </v:textbox>
              </v:shape>
            </w:pict>
          </mc:Fallback>
        </mc:AlternateContent>
      </w:r>
      <w:r w:rsidR="004C3B20" w:rsidRPr="00882D7F">
        <w:rPr>
          <w:lang w:val="sv-SE"/>
        </w:rPr>
        <w:t>K</w:t>
      </w:r>
      <w:r w:rsidR="004C3B20" w:rsidRPr="00882D7F">
        <w:rPr>
          <w:vertAlign w:val="subscript"/>
          <w:lang w:val="sv-SE"/>
        </w:rPr>
        <w:t>IC</w:t>
      </w:r>
      <m:oMath>
        <m:r>
          <w:rPr>
            <w:rFonts w:ascii="Cambria Math" w:hAnsi="Cambria Math"/>
            <w:vertAlign w:val="subscript"/>
            <w:lang w:val="sv-SE"/>
          </w:rPr>
          <m:t>=</m:t>
        </m:r>
        <m:d>
          <m:dPr>
            <m:ctrlPr>
              <w:rPr>
                <w:rFonts w:ascii="Cambria Math" w:hAnsi="Cambria Math"/>
                <w:i/>
                <w:vertAlign w:val="subscript"/>
              </w:rPr>
            </m:ctrlPr>
          </m:dPr>
          <m:e>
            <m:f>
              <m:fPr>
                <m:ctrlPr>
                  <w:rPr>
                    <w:rFonts w:ascii="Cambria Math" w:hAnsi="Cambria Math"/>
                    <w:i/>
                    <w:vertAlign w:val="subscript"/>
                  </w:rPr>
                </m:ctrlPr>
              </m:fPr>
              <m:num>
                <m:r>
                  <w:rPr>
                    <w:rFonts w:ascii="Cambria Math" w:hAnsi="Cambria Math"/>
                    <w:vertAlign w:val="subscript"/>
                  </w:rPr>
                  <m:t>P</m:t>
                </m:r>
                <m:r>
                  <w:rPr>
                    <w:rFonts w:ascii="Cambria Math" w:hAnsi="Cambria Math"/>
                    <w:vertAlign w:val="subscript"/>
                    <w:lang w:val="sv-SE"/>
                  </w:rPr>
                  <m:t>∙</m:t>
                </m:r>
                <m:r>
                  <w:rPr>
                    <w:rFonts w:ascii="Cambria Math" w:hAnsi="Cambria Math"/>
                    <w:vertAlign w:val="subscript"/>
                  </w:rPr>
                  <m:t>L</m:t>
                </m:r>
              </m:num>
              <m:den>
                <m:r>
                  <w:rPr>
                    <w:rFonts w:ascii="Cambria Math" w:hAnsi="Cambria Math"/>
                    <w:vertAlign w:val="subscript"/>
                  </w:rPr>
                  <m:t>b</m:t>
                </m:r>
                <m:r>
                  <w:rPr>
                    <w:rFonts w:ascii="Cambria Math" w:hAnsi="Cambria Math"/>
                    <w:vertAlign w:val="subscript"/>
                    <w:lang w:val="sv-SE"/>
                  </w:rPr>
                  <m:t>∙</m:t>
                </m:r>
                <m:sSup>
                  <m:sSupPr>
                    <m:ctrlPr>
                      <w:rPr>
                        <w:rFonts w:ascii="Cambria Math" w:hAnsi="Cambria Math"/>
                        <w:i/>
                        <w:vertAlign w:val="subscript"/>
                      </w:rPr>
                    </m:ctrlPr>
                  </m:sSupPr>
                  <m:e>
                    <m:r>
                      <w:rPr>
                        <w:rFonts w:ascii="Cambria Math" w:hAnsi="Cambria Math"/>
                      </w:rPr>
                      <m:t>w</m:t>
                    </m:r>
                  </m:e>
                  <m:sup>
                    <m:r>
                      <w:rPr>
                        <w:rFonts w:ascii="Cambria Math" w:hAnsi="Cambria Math"/>
                        <w:vertAlign w:val="subscript"/>
                        <w:lang w:val="sv-SE"/>
                      </w:rPr>
                      <m:t>1.5</m:t>
                    </m:r>
                  </m:sup>
                </m:sSup>
              </m:den>
            </m:f>
          </m:e>
        </m:d>
        <m:r>
          <w:rPr>
            <w:rFonts w:ascii="Cambria Math" w:hAnsi="Cambria Math"/>
            <w:vertAlign w:val="subscript"/>
            <w:lang w:val="sv-SE"/>
          </w:rPr>
          <m:t>∙</m:t>
        </m:r>
        <m:r>
          <w:rPr>
            <w:rFonts w:ascii="Cambria Math" w:hAnsi="Cambria Math"/>
            <w:vertAlign w:val="subscript"/>
          </w:rPr>
          <m:t>f</m:t>
        </m:r>
        <m:d>
          <m:dPr>
            <m:ctrlPr>
              <w:rPr>
                <w:rFonts w:ascii="Cambria Math" w:hAnsi="Cambria Math"/>
                <w:i/>
                <w:vertAlign w:val="subscript"/>
              </w:rPr>
            </m:ctrlPr>
          </m:dPr>
          <m:e>
            <m:f>
              <m:fPr>
                <m:ctrlPr>
                  <w:rPr>
                    <w:rFonts w:ascii="Cambria Math" w:hAnsi="Cambria Math"/>
                    <w:i/>
                    <w:vertAlign w:val="subscript"/>
                  </w:rPr>
                </m:ctrlPr>
              </m:fPr>
              <m:num>
                <m:r>
                  <w:rPr>
                    <w:rFonts w:ascii="Cambria Math" w:hAnsi="Cambria Math"/>
                  </w:rPr>
                  <m:t>a</m:t>
                </m:r>
              </m:num>
              <m:den>
                <m:r>
                  <w:rPr>
                    <w:rFonts w:ascii="Cambria Math" w:hAnsi="Cambria Math"/>
                  </w:rPr>
                  <m:t>w</m:t>
                </m:r>
              </m:den>
            </m:f>
          </m:e>
        </m:d>
      </m:oMath>
    </w:p>
    <w:p w14:paraId="5A44648A" w14:textId="4E1AF35E" w:rsidR="004C3B20" w:rsidRPr="004C3B20" w:rsidRDefault="004C3B20" w:rsidP="004C3B20">
      <w:pPr>
        <w:pStyle w:val="Paragraph"/>
        <w:rPr>
          <w:lang w:val="sv-SE"/>
        </w:rPr>
      </w:pPr>
      <w:r w:rsidRPr="004C3B20">
        <w:t>Description</w:t>
      </w:r>
      <w:r w:rsidRPr="004C3B20">
        <w:rPr>
          <w:lang w:val="sv-SE"/>
        </w:rPr>
        <w:t>:</w:t>
      </w:r>
    </w:p>
    <w:p w14:paraId="0CD1F6E0" w14:textId="77777777" w:rsidR="004C3B20" w:rsidRPr="004C3B20" w:rsidRDefault="004C3B20" w:rsidP="004C3B20">
      <w:pPr>
        <w:pStyle w:val="Paragraph"/>
        <w:rPr>
          <w:lang w:val="sv-SE"/>
        </w:rPr>
      </w:pPr>
      <w:r w:rsidRPr="004C3B20">
        <w:rPr>
          <w:lang w:val="sv-SE"/>
        </w:rPr>
        <w:t>K</w:t>
      </w:r>
      <w:r w:rsidRPr="004C3B20">
        <w:rPr>
          <w:vertAlign w:val="subscript"/>
          <w:lang w:val="sv-SE"/>
        </w:rPr>
        <w:t>Ic</w:t>
      </w:r>
      <w:r w:rsidRPr="004C3B20">
        <w:rPr>
          <w:vertAlign w:val="subscript"/>
          <w:lang w:val="sv-SE"/>
        </w:rPr>
        <w:tab/>
      </w:r>
      <w:r w:rsidRPr="004C3B20">
        <w:rPr>
          <w:lang w:val="sv-SE"/>
        </w:rPr>
        <w:t xml:space="preserve">: </w:t>
      </w:r>
      <w:r w:rsidRPr="004C3B20">
        <w:t>pressure intensity factor</w:t>
      </w:r>
      <w:r w:rsidRPr="004C3B20">
        <w:rPr>
          <w:lang w:val="sv-SE"/>
        </w:rPr>
        <w:t xml:space="preserve"> (</w:t>
      </w:r>
      <w:r w:rsidRPr="004C3B20">
        <w:t>MN/m</w:t>
      </w:r>
      <w:r w:rsidRPr="004C3B20">
        <w:rPr>
          <w:vertAlign w:val="superscript"/>
        </w:rPr>
        <w:t>3/2</w:t>
      </w:r>
      <w:r w:rsidRPr="004C3B20">
        <w:t>)</w:t>
      </w:r>
    </w:p>
    <w:p w14:paraId="6DF8A2B3" w14:textId="467A659E" w:rsidR="004C3B20" w:rsidRPr="004C3B20" w:rsidRDefault="004C3B20" w:rsidP="004C3B20">
      <w:pPr>
        <w:pStyle w:val="Paragraph"/>
        <w:rPr>
          <w:lang w:val="sv-SE"/>
        </w:rPr>
      </w:pPr>
      <w:r w:rsidRPr="004C3B20">
        <w:rPr>
          <w:lang w:val="sv-SE"/>
        </w:rPr>
        <w:t>P</w:t>
      </w:r>
      <w:r w:rsidRPr="004C3B20">
        <w:rPr>
          <w:lang w:val="sv-SE"/>
        </w:rPr>
        <w:tab/>
        <w:t xml:space="preserve">: </w:t>
      </w:r>
      <w:r w:rsidRPr="004C3B20">
        <w:t>maximum load before cracking</w:t>
      </w:r>
      <w:r w:rsidRPr="004C3B20">
        <w:rPr>
          <w:lang w:val="sv-SE"/>
        </w:rPr>
        <w:t xml:space="preserve"> (kN)</w:t>
      </w:r>
    </w:p>
    <w:p w14:paraId="7686971F" w14:textId="4F3FEA63" w:rsidR="004C3B20" w:rsidRPr="004C3B20" w:rsidRDefault="004C3B20" w:rsidP="004C3B20">
      <w:pPr>
        <w:pStyle w:val="Paragraph"/>
        <w:rPr>
          <w:lang w:val="sv-SE"/>
        </w:rPr>
      </w:pPr>
      <w:r w:rsidRPr="004C3B20">
        <w:rPr>
          <w:lang w:val="sv-SE"/>
        </w:rPr>
        <w:t>L</w:t>
      </w:r>
      <w:r w:rsidRPr="004C3B20">
        <w:rPr>
          <w:lang w:val="sv-SE"/>
        </w:rPr>
        <w:tab/>
        <w:t xml:space="preserve">: </w:t>
      </w:r>
      <w:r w:rsidRPr="004C3B20">
        <w:t>distance between supports</w:t>
      </w:r>
      <w:r w:rsidRPr="004C3B20">
        <w:rPr>
          <w:lang w:val="sv-SE"/>
        </w:rPr>
        <w:t xml:space="preserve"> (cm)</w:t>
      </w:r>
    </w:p>
    <w:p w14:paraId="24608842" w14:textId="77777777" w:rsidR="004C3B20" w:rsidRPr="004C3B20" w:rsidRDefault="004C3B20" w:rsidP="004C3B20">
      <w:pPr>
        <w:pStyle w:val="Paragraph"/>
        <w:rPr>
          <w:lang w:val="sv-SE"/>
        </w:rPr>
      </w:pPr>
      <w:r w:rsidRPr="004C3B20">
        <w:rPr>
          <w:lang w:val="sv-SE"/>
        </w:rPr>
        <w:t xml:space="preserve">b </w:t>
      </w:r>
      <w:r w:rsidRPr="004C3B20">
        <w:rPr>
          <w:lang w:val="sv-SE"/>
        </w:rPr>
        <w:tab/>
        <w:t xml:space="preserve">: </w:t>
      </w:r>
      <w:r w:rsidRPr="004C3B20">
        <w:t xml:space="preserve">average specimen thickness </w:t>
      </w:r>
      <w:r w:rsidRPr="004C3B20">
        <w:rPr>
          <w:lang w:val="sv-SE"/>
        </w:rPr>
        <w:t>(cm)</w:t>
      </w:r>
    </w:p>
    <w:p w14:paraId="26581987" w14:textId="77777777" w:rsidR="004C3B20" w:rsidRPr="004C3B20" w:rsidRDefault="004C3B20" w:rsidP="004C3B20">
      <w:pPr>
        <w:pStyle w:val="Paragraph"/>
        <w:rPr>
          <w:lang w:val="sv-SE"/>
        </w:rPr>
      </w:pPr>
      <w:r w:rsidRPr="004C3B20">
        <w:rPr>
          <w:lang w:val="sv-SE"/>
        </w:rPr>
        <w:t>w</w:t>
      </w:r>
      <w:r w:rsidRPr="004C3B20">
        <w:rPr>
          <w:lang w:val="sv-SE"/>
        </w:rPr>
        <w:tab/>
        <w:t xml:space="preserve">: </w:t>
      </w:r>
      <w:r w:rsidRPr="004C3B20">
        <w:t>specimen width</w:t>
      </w:r>
      <w:r w:rsidRPr="004C3B20">
        <w:rPr>
          <w:lang w:val="sv-SE"/>
        </w:rPr>
        <w:t xml:space="preserve"> (cm)</w:t>
      </w:r>
    </w:p>
    <w:p w14:paraId="1CD829CF" w14:textId="6BEB3098" w:rsidR="004C3B20" w:rsidRPr="004C3B20" w:rsidRDefault="004C3B20" w:rsidP="004C3B20">
      <w:pPr>
        <w:pStyle w:val="Paragraph"/>
        <w:rPr>
          <w:lang w:val="sv-SE"/>
        </w:rPr>
      </w:pPr>
      <m:oMath>
        <m:r>
          <w:rPr>
            <w:rFonts w:ascii="Cambria Math" w:hAnsi="Cambria Math"/>
          </w:rPr>
          <m:t>a</m:t>
        </m:r>
      </m:oMath>
      <w:r w:rsidRPr="004C3B20">
        <w:rPr>
          <w:lang w:val="sv-SE"/>
        </w:rPr>
        <w:tab/>
        <w:t xml:space="preserve">: </w:t>
      </w:r>
      <w:r w:rsidRPr="004C3B20">
        <w:t>cracking length</w:t>
      </w:r>
      <w:r w:rsidRPr="004C3B20">
        <w:rPr>
          <w:lang w:val="sv-SE"/>
        </w:rPr>
        <w:t xml:space="preserve"> (cm)</w:t>
      </w:r>
    </w:p>
    <w:p w14:paraId="2BC8B4E7" w14:textId="15B95754" w:rsidR="004C3B20" w:rsidRPr="004C3B20" w:rsidRDefault="004C3B20" w:rsidP="004C3B20">
      <w:pPr>
        <w:pStyle w:val="Paragraph"/>
        <w:rPr>
          <w:vertAlign w:val="superscript"/>
          <w:lang w:val="sv-SE"/>
        </w:rPr>
      </w:pPr>
      <w:r w:rsidRPr="004C3B20">
        <w:rPr>
          <w:lang w:val="sv-SE"/>
        </w:rPr>
        <w:t>α</w:t>
      </w:r>
      <w:r w:rsidRPr="004C3B20">
        <w:rPr>
          <w:lang w:val="sv-SE"/>
        </w:rPr>
        <w:tab/>
        <w:t>: 2(1+2</w:t>
      </w:r>
      <w:r w:rsidRPr="004C3B20">
        <w:rPr>
          <w:i/>
          <w:lang w:val="sv-SE"/>
        </w:rPr>
        <w:t xml:space="preserve"> </w:t>
      </w:r>
      <m:oMath>
        <m:r>
          <w:rPr>
            <w:rFonts w:ascii="Cambria Math" w:hAnsi="Cambria Math"/>
          </w:rPr>
          <m:t>a</m:t>
        </m:r>
        <m:r>
          <w:rPr>
            <w:rFonts w:ascii="Cambria Math" w:hAnsi="Cambria Math"/>
            <w:lang w:val="sv-SE"/>
          </w:rPr>
          <m:t>/</m:t>
        </m:r>
        <m:r>
          <w:rPr>
            <w:rFonts w:ascii="Cambria Math" w:hAnsi="Cambria Math"/>
          </w:rPr>
          <m:t>w</m:t>
        </m:r>
      </m:oMath>
      <w:r w:rsidRPr="004C3B20">
        <w:rPr>
          <w:lang w:val="sv-SE"/>
        </w:rPr>
        <w:t>)(1</w:t>
      </w:r>
      <m:oMath>
        <m:r>
          <w:rPr>
            <w:rFonts w:ascii="Cambria Math" w:hAnsi="Cambria Math"/>
            <w:lang w:val="sv-SE"/>
          </w:rPr>
          <m:t xml:space="preserve">- </m:t>
        </m:r>
        <m:r>
          <w:rPr>
            <w:rFonts w:ascii="Cambria Math" w:hAnsi="Cambria Math"/>
          </w:rPr>
          <m:t>a</m:t>
        </m:r>
        <m:r>
          <w:rPr>
            <w:rFonts w:ascii="Cambria Math" w:hAnsi="Cambria Math"/>
            <w:lang w:val="sv-SE"/>
          </w:rPr>
          <m:t>/</m:t>
        </m:r>
        <m:r>
          <w:rPr>
            <w:rFonts w:ascii="Cambria Math" w:hAnsi="Cambria Math"/>
          </w:rPr>
          <m:t>w</m:t>
        </m:r>
        <m:r>
          <w:rPr>
            <w:rFonts w:ascii="Cambria Math" w:hAnsi="Cambria Math"/>
            <w:lang w:val="sv-SE"/>
          </w:rPr>
          <m:t>)</m:t>
        </m:r>
      </m:oMath>
      <w:r w:rsidRPr="004C3B20">
        <w:rPr>
          <w:vertAlign w:val="superscript"/>
          <w:lang w:val="sv-SE"/>
        </w:rPr>
        <w:t>3/2</w:t>
      </w:r>
    </w:p>
    <w:p w14:paraId="4DD0DF6E" w14:textId="74D91BF6" w:rsidR="004C3B20" w:rsidRPr="004C3B20" w:rsidRDefault="004C3B20" w:rsidP="004C3B20">
      <w:pPr>
        <w:pStyle w:val="Paragraph"/>
      </w:pPr>
    </w:p>
    <w:p w14:paraId="61184CCF" w14:textId="620FB3D3" w:rsidR="004C3B20" w:rsidRPr="004C3B20" w:rsidRDefault="00882D7F" w:rsidP="004C3B20">
      <w:pPr>
        <w:pStyle w:val="Paragraph"/>
      </w:pPr>
      <w:r w:rsidRPr="00882D7F">
        <w:rPr>
          <w:noProof/>
          <w:lang w:val="sv-SE"/>
        </w:rPr>
        <mc:AlternateContent>
          <mc:Choice Requires="wps">
            <w:drawing>
              <wp:anchor distT="45720" distB="45720" distL="114300" distR="114300" simplePos="0" relativeHeight="251660800" behindDoc="0" locked="0" layoutInCell="1" allowOverlap="1" wp14:anchorId="442DB6CB" wp14:editId="3C0268A1">
                <wp:simplePos x="0" y="0"/>
                <wp:positionH relativeFrom="column">
                  <wp:posOffset>5245100</wp:posOffset>
                </wp:positionH>
                <wp:positionV relativeFrom="paragraph">
                  <wp:posOffset>153670</wp:posOffset>
                </wp:positionV>
                <wp:extent cx="546100" cy="247650"/>
                <wp:effectExtent l="0" t="0" r="6350" b="0"/>
                <wp:wrapNone/>
                <wp:docPr id="563516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47650"/>
                        </a:xfrm>
                        <a:prstGeom prst="rect">
                          <a:avLst/>
                        </a:prstGeom>
                        <a:solidFill>
                          <a:srgbClr val="FFFFFF"/>
                        </a:solidFill>
                        <a:ln w="9525">
                          <a:noFill/>
                          <a:miter lim="800000"/>
                          <a:headEnd/>
                          <a:tailEnd/>
                        </a:ln>
                      </wps:spPr>
                      <wps:txbx>
                        <w:txbxContent>
                          <w:p w14:paraId="396D20AC" w14:textId="113B1A1A" w:rsidR="00882D7F" w:rsidRPr="00882D7F" w:rsidRDefault="00882D7F" w:rsidP="00882D7F">
                            <w:pPr>
                              <w:rPr>
                                <w:sz w:val="20"/>
                                <w:szCs w:val="16"/>
                              </w:rPr>
                            </w:pPr>
                            <w:r w:rsidRPr="00882D7F">
                              <w:rPr>
                                <w:sz w:val="20"/>
                                <w:szCs w:val="16"/>
                              </w:rPr>
                              <w:t>(</w:t>
                            </w:r>
                            <w:r>
                              <w:rPr>
                                <w:sz w:val="20"/>
                                <w:szCs w:val="16"/>
                              </w:rPr>
                              <w:t>23</w:t>
                            </w:r>
                            <w:r w:rsidRPr="00882D7F">
                              <w:rPr>
                                <w:sz w:val="20"/>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DB6CB" id="_x0000_s1027" type="#_x0000_t202" style="position:absolute;left:0;text-align:left;margin-left:413pt;margin-top:12.1pt;width:43pt;height:19.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" stroked="f">
                <v:textbox>
                  <w:txbxContent>
                    <w:p w14:paraId="396D20AC" w14:textId="113B1A1A" w:rsidR="00882D7F" w:rsidRPr="00882D7F" w:rsidRDefault="00882D7F" w:rsidP="00882D7F">
                      <w:pPr>
                        <w:rPr>
                          <w:sz w:val="20"/>
                          <w:szCs w:val="16"/>
                        </w:rPr>
                      </w:pPr>
                      <w:r w:rsidRPr="00882D7F">
                        <w:rPr>
                          <w:sz w:val="20"/>
                          <w:szCs w:val="16"/>
                        </w:rPr>
                        <w:t>(</w:t>
                      </w:r>
                      <w:r>
                        <w:rPr>
                          <w:sz w:val="20"/>
                          <w:szCs w:val="16"/>
                        </w:rPr>
                        <w:t>23</w:t>
                      </w:r>
                      <w:r w:rsidRPr="00882D7F">
                        <w:rPr>
                          <w:sz w:val="20"/>
                          <w:szCs w:val="16"/>
                        </w:rPr>
                        <w:t>)</w:t>
                      </w:r>
                    </w:p>
                  </w:txbxContent>
                </v:textbox>
              </v:shape>
            </w:pict>
          </mc:Fallback>
        </mc:AlternateContent>
      </w:r>
      <w:r w:rsidR="004C3B20" w:rsidRPr="004C3B20">
        <w:t xml:space="preserve">With, </w:t>
      </w:r>
    </w:p>
    <w:p w14:paraId="7C4796D5" w14:textId="4E85F985" w:rsidR="004C3B20" w:rsidRPr="004C3B20" w:rsidRDefault="004C3B20" w:rsidP="004C3B20">
      <w:pPr>
        <w:pStyle w:val="Paragraph"/>
      </w:pPr>
      <m:oMathPara>
        <m:oMath>
          <m:r>
            <w:rPr>
              <w:rFonts w:ascii="Cambria Math" w:hAnsi="Cambria Math"/>
            </w:rPr>
            <m:t>F</m:t>
          </m:r>
          <m:d>
            <m:dPr>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w</m:t>
                  </m:r>
                </m:den>
              </m:f>
            </m:e>
          </m:d>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α</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w</m:t>
                      </m:r>
                    </m:den>
                  </m:f>
                </m:e>
              </m:d>
            </m:e>
            <m:sup>
              <m:r>
                <w:rPr>
                  <w:rFonts w:ascii="Cambria Math" w:hAnsi="Cambria Math"/>
                </w:rPr>
                <m:t>0.5</m:t>
              </m:r>
            </m:sup>
          </m:sSup>
          <m:d>
            <m:dPr>
              <m:begChr m:val="{"/>
              <m:endChr m:val="}"/>
              <m:ctrlPr>
                <w:rPr>
                  <w:rFonts w:ascii="Cambria Math" w:hAnsi="Cambria Math"/>
                  <w:i/>
                </w:rPr>
              </m:ctrlPr>
            </m:dPr>
            <m:e>
              <m:r>
                <w:rPr>
                  <w:rFonts w:ascii="Cambria Math" w:hAnsi="Cambria Math"/>
                </w:rPr>
                <m:t>1.99-</m:t>
              </m:r>
              <m:d>
                <m:dPr>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w</m:t>
                      </m:r>
                    </m:den>
                  </m:f>
                </m:e>
              </m:d>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a</m:t>
                      </m:r>
                    </m:num>
                    <m:den>
                      <m:r>
                        <w:rPr>
                          <w:rFonts w:ascii="Cambria Math" w:hAnsi="Cambria Math"/>
                        </w:rPr>
                        <m:t>w</m:t>
                      </m:r>
                    </m:den>
                  </m:f>
                </m:e>
              </m:d>
              <m:r>
                <w:rPr>
                  <w:rFonts w:ascii="Cambria Math" w:hAnsi="Cambria Math"/>
                </w:rPr>
                <m:t>×</m:t>
              </m:r>
              <m:d>
                <m:dPr>
                  <m:begChr m:val="["/>
                  <m:endChr m:val="]"/>
                  <m:ctrlPr>
                    <w:rPr>
                      <w:rFonts w:ascii="Cambria Math" w:hAnsi="Cambria Math"/>
                      <w:i/>
                    </w:rPr>
                  </m:ctrlPr>
                </m:dPr>
                <m:e>
                  <m:r>
                    <w:rPr>
                      <w:rFonts w:ascii="Cambria Math" w:hAnsi="Cambria Math"/>
                    </w:rPr>
                    <m:t>2.15-3.93</m:t>
                  </m:r>
                  <m:f>
                    <m:fPr>
                      <m:ctrlPr>
                        <w:rPr>
                          <w:rFonts w:ascii="Cambria Math" w:hAnsi="Cambria Math"/>
                          <w:i/>
                        </w:rPr>
                      </m:ctrlPr>
                    </m:fPr>
                    <m:num>
                      <m:r>
                        <w:rPr>
                          <w:rFonts w:ascii="Cambria Math" w:hAnsi="Cambria Math"/>
                        </w:rPr>
                        <m:t>a</m:t>
                      </m:r>
                    </m:num>
                    <m:den>
                      <m:r>
                        <w:rPr>
                          <w:rFonts w:ascii="Cambria Math" w:hAnsi="Cambria Math"/>
                        </w:rPr>
                        <m:t>w</m:t>
                      </m:r>
                    </m:den>
                  </m:f>
                  <m:r>
                    <w:rPr>
                      <w:rFonts w:ascii="Cambria Math" w:hAnsi="Cambria Math"/>
                    </w:rPr>
                    <m:t>+2.7</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a</m:t>
                              </m:r>
                            </m:num>
                            <m:den>
                              <m:r>
                                <w:rPr>
                                  <w:rFonts w:ascii="Cambria Math" w:hAnsi="Cambria Math"/>
                                </w:rPr>
                                <m:t>w</m:t>
                              </m:r>
                            </m:den>
                          </m:f>
                        </m:e>
                      </m:d>
                    </m:e>
                    <m:sup>
                      <m:r>
                        <w:rPr>
                          <w:rFonts w:ascii="Cambria Math" w:hAnsi="Cambria Math"/>
                        </w:rPr>
                        <m:t>2</m:t>
                      </m:r>
                    </m:sup>
                  </m:sSup>
                </m:e>
              </m:d>
            </m:e>
          </m:d>
        </m:oMath>
      </m:oMathPara>
    </w:p>
    <w:p w14:paraId="61727053" w14:textId="77777777" w:rsidR="004C3B20" w:rsidRPr="004C3B20" w:rsidRDefault="004C3B20" w:rsidP="004C3B20">
      <w:pPr>
        <w:pStyle w:val="Paragraph"/>
      </w:pPr>
    </w:p>
    <w:p w14:paraId="7E4BFF3C" w14:textId="77777777" w:rsidR="004C3B20" w:rsidRPr="004C3B20" w:rsidRDefault="004C3B20" w:rsidP="004C3B20">
      <w:pPr>
        <w:pStyle w:val="Paragraph"/>
        <w:jc w:val="center"/>
        <w:rPr>
          <w:vertAlign w:val="subscript"/>
        </w:rPr>
      </w:pPr>
      <w:r w:rsidRPr="004C3B20">
        <w:rPr>
          <w:noProof/>
          <w:lang w:val="sv-SE"/>
        </w:rPr>
        <mc:AlternateContent>
          <mc:Choice Requires="wpg">
            <w:drawing>
              <wp:inline distT="0" distB="0" distL="0" distR="0" wp14:anchorId="2CAB7CE5" wp14:editId="49E3389B">
                <wp:extent cx="3237230" cy="1588770"/>
                <wp:effectExtent l="0" t="0" r="1270" b="0"/>
                <wp:docPr id="22" name="Group 118"/>
                <wp:cNvGraphicFramePr/>
                <a:graphic xmlns:a="http://schemas.openxmlformats.org/drawingml/2006/main">
                  <a:graphicData uri="http://schemas.microsoft.com/office/word/2010/wordprocessingGroup">
                    <wpg:wgp>
                      <wpg:cNvGrpSpPr/>
                      <wpg:grpSpPr>
                        <a:xfrm>
                          <a:off x="0" y="0"/>
                          <a:ext cx="3237230" cy="1588770"/>
                          <a:chOff x="0" y="-601013"/>
                          <a:chExt cx="3523441" cy="1761685"/>
                        </a:xfrm>
                      </wpg:grpSpPr>
                      <wpg:grpSp>
                        <wpg:cNvPr id="23" name="Group 116"/>
                        <wpg:cNvGrpSpPr/>
                        <wpg:grpSpPr>
                          <a:xfrm>
                            <a:off x="183586" y="-377941"/>
                            <a:ext cx="3303611" cy="1340687"/>
                            <a:chOff x="0" y="-377941"/>
                            <a:chExt cx="3303611" cy="1340687"/>
                          </a:xfrm>
                        </wpg:grpSpPr>
                        <wpg:grpSp>
                          <wpg:cNvPr id="25" name="Group 111"/>
                          <wpg:cNvGrpSpPr/>
                          <wpg:grpSpPr>
                            <a:xfrm>
                              <a:off x="93190" y="-377941"/>
                              <a:ext cx="3210421" cy="1221852"/>
                              <a:chOff x="0" y="-377941"/>
                              <a:chExt cx="3210421" cy="1221852"/>
                            </a:xfrm>
                          </wpg:grpSpPr>
                          <wpg:grpSp>
                            <wpg:cNvPr id="27" name="Group 109"/>
                            <wpg:cNvGrpSpPr/>
                            <wpg:grpSpPr>
                              <a:xfrm>
                                <a:off x="0" y="-218891"/>
                                <a:ext cx="3210421" cy="1062802"/>
                                <a:chOff x="0" y="-310684"/>
                                <a:chExt cx="3210421" cy="1062802"/>
                              </a:xfrm>
                            </wpg:grpSpPr>
                            <wps:wsp>
                              <wps:cNvPr id="1501090046" name="Straight Connector 108"/>
                              <wps:cNvCnPr/>
                              <wps:spPr>
                                <a:xfrm flipH="1">
                                  <a:off x="2671070" y="210192"/>
                                  <a:ext cx="539351" cy="54081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1523200" name="Straight Connector 108"/>
                              <wps:cNvCnPr/>
                              <wps:spPr>
                                <a:xfrm flipH="1">
                                  <a:off x="402499" y="213437"/>
                                  <a:ext cx="541158" cy="53868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8" name="Group 107"/>
                              <wpg:cNvGrpSpPr/>
                              <wpg:grpSpPr>
                                <a:xfrm>
                                  <a:off x="0" y="-310684"/>
                                  <a:ext cx="3196210" cy="1061782"/>
                                  <a:chOff x="0" y="-310684"/>
                                  <a:chExt cx="3196210" cy="1061782"/>
                                </a:xfrm>
                              </wpg:grpSpPr>
                              <wps:wsp>
                                <wps:cNvPr id="353522752" name="Isosceles Triangle 104"/>
                                <wps:cNvSpPr/>
                                <wps:spPr>
                                  <a:xfrm flipV="1">
                                    <a:off x="1674549" y="-145498"/>
                                    <a:ext cx="209550" cy="175260"/>
                                  </a:xfrm>
                                  <a:prstGeom prst="triangl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9" name="Group 103"/>
                                <wpg:cNvGrpSpPr/>
                                <wpg:grpSpPr>
                                  <a:xfrm>
                                    <a:off x="0" y="-310684"/>
                                    <a:ext cx="3196210" cy="920511"/>
                                    <a:chOff x="0" y="-310684"/>
                                    <a:chExt cx="3196210" cy="920511"/>
                                  </a:xfrm>
                                </wpg:grpSpPr>
                                <wpg:grpSp>
                                  <wpg:cNvPr id="30" name="Group 101"/>
                                  <wpg:cNvGrpSpPr/>
                                  <wpg:grpSpPr>
                                    <a:xfrm>
                                      <a:off x="0" y="-310684"/>
                                      <a:ext cx="3196210" cy="920511"/>
                                      <a:chOff x="5909" y="-296242"/>
                                      <a:chExt cx="3196210" cy="920511"/>
                                    </a:xfrm>
                                  </wpg:grpSpPr>
                                  <wps:wsp>
                                    <wps:cNvPr id="921518954" name="Flowchart: Process 99"/>
                                    <wps:cNvSpPr/>
                                    <wps:spPr>
                                      <a:xfrm>
                                        <a:off x="5909" y="418256"/>
                                        <a:ext cx="2848395" cy="160861"/>
                                      </a:xfrm>
                                      <a:prstGeom prst="flowChartProcess">
                                        <a:avLst/>
                                      </a:prstGeom>
                                      <a:solidFill>
                                        <a:schemeClr val="bg1"/>
                                      </a:solidFill>
                                      <a:ln w="1270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22100904" name="Parallelogram 100"/>
                                    <wps:cNvSpPr/>
                                    <wps:spPr>
                                      <a:xfrm>
                                        <a:off x="9974" y="56675"/>
                                        <a:ext cx="3192145" cy="357505"/>
                                      </a:xfrm>
                                      <a:prstGeom prst="parallelogram">
                                        <a:avLst>
                                          <a:gd name="adj" fmla="val 97536"/>
                                        </a:avLst>
                                      </a:prstGeom>
                                      <a:solidFill>
                                        <a:schemeClr val="bg1"/>
                                      </a:solidFill>
                                      <a:ln w="1270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50152047" name="Parallelogram 100"/>
                                    <wps:cNvSpPr/>
                                    <wps:spPr>
                                      <a:xfrm rot="18870907">
                                        <a:off x="2728794" y="265343"/>
                                        <a:ext cx="609827" cy="108025"/>
                                      </a:xfrm>
                                      <a:prstGeom prst="parallelogram">
                                        <a:avLst>
                                          <a:gd name="adj" fmla="val 100709"/>
                                        </a:avLst>
                                      </a:prstGeom>
                                      <a:solidFill>
                                        <a:schemeClr val="bg1"/>
                                      </a:solidFill>
                                      <a:ln w="1270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75585529" name="Parallelogram 100"/>
                                    <wps:cNvSpPr/>
                                    <wps:spPr>
                                      <a:xfrm rot="18870907" flipV="1">
                                        <a:off x="1281091" y="-41389"/>
                                        <a:ext cx="666627" cy="156922"/>
                                      </a:xfrm>
                                      <a:prstGeom prst="parallelogram">
                                        <a:avLst>
                                          <a:gd name="adj" fmla="val 100709"/>
                                        </a:avLst>
                                      </a:prstGeom>
                                      <a:solidFill>
                                        <a:schemeClr val="bg1"/>
                                      </a:solidFill>
                                      <a:ln w="12700">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110777917" name="Isosceles Triangle 102"/>
                                  <wps:cNvSpPr/>
                                  <wps:spPr>
                                    <a:xfrm>
                                      <a:off x="1386238" y="512790"/>
                                      <a:ext cx="79415" cy="50945"/>
                                    </a:xfrm>
                                    <a:prstGeom prst="triangl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70504407" name="Isosceles Triangle 102"/>
                                  <wps:cNvSpPr/>
                                  <wps:spPr>
                                    <a:xfrm>
                                      <a:off x="1386238" y="535480"/>
                                      <a:ext cx="79415" cy="50945"/>
                                    </a:xfrm>
                                    <a:prstGeom prst="triangl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406455847" name="Isosceles Triangle 104"/>
                                <wps:cNvSpPr/>
                                <wps:spPr>
                                  <a:xfrm>
                                    <a:off x="2453489" y="575838"/>
                                    <a:ext cx="209550" cy="17526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6598237" name="Isosceles Triangle 104"/>
                                <wps:cNvSpPr/>
                                <wps:spPr>
                                  <a:xfrm>
                                    <a:off x="185596" y="575838"/>
                                    <a:ext cx="209550" cy="17526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07479935" name="Isosceles Triangle 104"/>
                                <wps:cNvSpPr/>
                                <wps:spPr>
                                  <a:xfrm flipV="1">
                                    <a:off x="1319898" y="213427"/>
                                    <a:ext cx="209550" cy="175260"/>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974136244" name="Straight Connector 108"/>
                              <wps:cNvCnPr/>
                              <wps:spPr>
                                <a:xfrm flipH="1">
                                  <a:off x="1431707" y="42117"/>
                                  <a:ext cx="351059" cy="3574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55774415" name="Arrow: Down 110"/>
                            <wps:cNvSpPr/>
                            <wps:spPr>
                              <a:xfrm>
                                <a:off x="1460205" y="-377941"/>
                                <a:ext cx="300093" cy="482980"/>
                              </a:xfrm>
                              <a:prstGeom prst="down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1042809" name="Right Brace 115"/>
                          <wps:cNvSpPr/>
                          <wps:spPr>
                            <a:xfrm>
                              <a:off x="1553421" y="589594"/>
                              <a:ext cx="45719" cy="66874"/>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97389412" name="Right Brace 115"/>
                          <wps:cNvSpPr/>
                          <wps:spPr>
                            <a:xfrm rot="5400000">
                              <a:off x="1459825" y="-203042"/>
                              <a:ext cx="87062" cy="2244514"/>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41740885" name="Right Brace 115"/>
                          <wps:cNvSpPr/>
                          <wps:spPr>
                            <a:xfrm rot="2691319">
                              <a:off x="3130010" y="289502"/>
                              <a:ext cx="73151" cy="493631"/>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65854511" name="Right Brace 115"/>
                          <wps:cNvSpPr/>
                          <wps:spPr>
                            <a:xfrm flipH="1">
                              <a:off x="0" y="501332"/>
                              <a:ext cx="63549" cy="154937"/>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252549112" name="Text Box 117"/>
                        <wps:cNvSpPr txBox="1"/>
                        <wps:spPr>
                          <a:xfrm>
                            <a:off x="1691110" y="504862"/>
                            <a:ext cx="243604" cy="187116"/>
                          </a:xfrm>
                          <a:prstGeom prst="rect">
                            <a:avLst/>
                          </a:prstGeom>
                          <a:noFill/>
                          <a:ln w="6350">
                            <a:noFill/>
                          </a:ln>
                        </wps:spPr>
                        <wps:txbx>
                          <w:txbxContent>
                            <w:p w14:paraId="6C6E3CBF" w14:textId="77777777" w:rsidR="004C3B20" w:rsidRDefault="004C3B20" w:rsidP="004C3B20">
                              <w:pPr>
                                <w:spacing w:line="120" w:lineRule="auto"/>
                                <w:rPr>
                                  <w:rFonts w:ascii="Cambria Math" w:hAnsi="Cambria Math"/>
                                </w:rPr>
                              </w:pPr>
                              <m:oMathPara>
                                <m:oMath>
                                  <m:r>
                                    <w:rPr>
                                      <w:rFonts w:ascii="Cambria Math" w:hAnsi="Cambria Math"/>
                                      <w:szCs w:val="24"/>
                                    </w:rPr>
                                    <m:t>a</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57489269" name="Text Box 117"/>
                        <wps:cNvSpPr txBox="1"/>
                        <wps:spPr>
                          <a:xfrm>
                            <a:off x="0" y="466027"/>
                            <a:ext cx="236544" cy="242741"/>
                          </a:xfrm>
                          <a:prstGeom prst="rect">
                            <a:avLst/>
                          </a:prstGeom>
                          <a:noFill/>
                          <a:ln w="6350">
                            <a:noFill/>
                          </a:ln>
                        </wps:spPr>
                        <wps:txbx>
                          <w:txbxContent>
                            <w:p w14:paraId="6DAA2923" w14:textId="77777777" w:rsidR="004C3B20" w:rsidRDefault="004C3B20" w:rsidP="004C3B20">
                              <w:pPr>
                                <w:spacing w:line="192" w:lineRule="auto"/>
                                <w:rPr>
                                  <w:rFonts w:ascii="Cambria Math" w:hAnsi="Cambria Math"/>
                                </w:rPr>
                              </w:pPr>
                              <m:oMathPara>
                                <m:oMath>
                                  <m:r>
                                    <w:rPr>
                                      <w:rFonts w:ascii="Cambria Math" w:hAnsi="Cambria Math"/>
                                    </w:rPr>
                                    <m:t>b</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83736698" name="Text Box 117"/>
                        <wps:cNvSpPr txBox="1"/>
                        <wps:spPr>
                          <a:xfrm>
                            <a:off x="3286897" y="476618"/>
                            <a:ext cx="236544" cy="242741"/>
                          </a:xfrm>
                          <a:prstGeom prst="rect">
                            <a:avLst/>
                          </a:prstGeom>
                          <a:noFill/>
                          <a:ln w="6350">
                            <a:noFill/>
                          </a:ln>
                        </wps:spPr>
                        <wps:txbx>
                          <w:txbxContent>
                            <w:p w14:paraId="7648B289" w14:textId="77777777" w:rsidR="004C3B20" w:rsidRDefault="004C3B20" w:rsidP="004C3B20">
                              <w:pPr>
                                <w:spacing w:line="192" w:lineRule="auto"/>
                                <w:rPr>
                                  <w:rFonts w:ascii="Cambria Math" w:hAnsi="Cambria Math"/>
                                </w:rPr>
                              </w:pPr>
                              <m:oMathPara>
                                <m:oMath>
                                  <m:r>
                                    <w:rPr>
                                      <w:rFonts w:ascii="Cambria Math" w:hAnsi="Cambria Math"/>
                                    </w:rPr>
                                    <m:t>w</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42578780" name="Text Box 117"/>
                        <wps:cNvSpPr txBox="1"/>
                        <wps:spPr>
                          <a:xfrm>
                            <a:off x="1539298" y="917931"/>
                            <a:ext cx="236544" cy="242741"/>
                          </a:xfrm>
                          <a:prstGeom prst="rect">
                            <a:avLst/>
                          </a:prstGeom>
                          <a:noFill/>
                          <a:ln w="6350">
                            <a:noFill/>
                          </a:ln>
                        </wps:spPr>
                        <wps:txbx>
                          <w:txbxContent>
                            <w:p w14:paraId="452ABA58" w14:textId="77777777" w:rsidR="004C3B20" w:rsidRDefault="004C3B20" w:rsidP="004C3B20">
                              <w:pPr>
                                <w:spacing w:line="192" w:lineRule="auto"/>
                                <w:rPr>
                                  <w:rFonts w:ascii="Cambria Math" w:hAnsi="Cambria Math"/>
                                </w:rPr>
                              </w:pPr>
                              <m:oMathPara>
                                <m:oMath>
                                  <m:r>
                                    <w:rPr>
                                      <w:rFonts w:ascii="Cambria Math" w:hAnsi="Cambria Math"/>
                                    </w:rPr>
                                    <m:t>L</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09010709" name="Text Box 117"/>
                        <wps:cNvSpPr txBox="1"/>
                        <wps:spPr>
                          <a:xfrm>
                            <a:off x="1775842" y="-601013"/>
                            <a:ext cx="236544" cy="242741"/>
                          </a:xfrm>
                          <a:prstGeom prst="rect">
                            <a:avLst/>
                          </a:prstGeom>
                          <a:noFill/>
                          <a:ln w="6350">
                            <a:noFill/>
                          </a:ln>
                        </wps:spPr>
                        <wps:txbx>
                          <w:txbxContent>
                            <w:p w14:paraId="718A3DB9" w14:textId="77777777" w:rsidR="004C3B20" w:rsidRDefault="004C3B20" w:rsidP="004C3B20">
                              <w:pPr>
                                <w:spacing w:line="192" w:lineRule="auto"/>
                                <w:rPr>
                                  <w:rFonts w:ascii="Cambria Math" w:hAnsi="Cambria Math"/>
                                </w:rPr>
                              </w:pPr>
                              <m:oMathPara>
                                <m:oMath>
                                  <m:r>
                                    <w:rPr>
                                      <w:rFonts w:ascii="Cambria Math" w:hAnsi="Cambria Math"/>
                                    </w:rPr>
                                    <m:t>P</m:t>
                                  </m:r>
                                </m:oMath>
                              </m:oMathPara>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w14:anchorId="2CAB7CE5" id="Group 118" o:spid="_x0000_s1028" style="width:254.9pt;height:125.1pt;mso-position-horizontal-relative:char;mso-position-vertical-relative:line" coordorigin=",-6010" coordsize="35234,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">
                <v:group id="Group 116" o:spid="_x0000_s1029" style="position:absolute;left:1835;top:-3779;width:33036;height:13406" coordorigin=",-3779" coordsize="33036,1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111" o:spid="_x0000_s1030" style="position:absolute;left:931;top:-3779;width:32105;height:12218" coordorigin=",-3779" coordsize="32104,1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109" o:spid="_x0000_s1031" style="position:absolute;top:-2188;width:32104;height:10627" coordorigin=",-3106" coordsize="32104,10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108" o:spid="_x0000_s1032" style="position:absolute;flip:x;visibility:visible;mso-wrap-style:square" from="26710,2101" to="32104,7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" strokecolor="black [3213]" strokeweight="1pt"/>
                      <v:line id="Straight Connector 108" o:spid="_x0000_s1033" style="position:absolute;flip:x;visibility:visible;mso-wrap-style:square" from="4024,2134" to="9436,7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" strokecolor="black [3213]" strokeweight="1pt"/>
                      <v:group id="Group 107" o:spid="_x0000_s1034" style="position:absolute;top:-3106;width:31962;height:10616" coordorigin=",-3106" coordsize="31962,1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4" o:spid="_x0000_s1035" type="#_x0000_t5" style="position:absolute;left:16745;top:-1454;width:2095;height:175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" fillcolor="white [3212]" strokecolor="black [3213]" strokeweight="2pt"/>
                        <v:group id="Group 103" o:spid="_x0000_s1036" style="position:absolute;top:-3106;width:31962;height:9204" coordorigin=",-3106" coordsize="31962,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101" o:spid="_x0000_s1037" style="position:absolute;top:-3106;width:31962;height:9204" coordorigin="59,-2962" coordsize="31962,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109" coordsize="21600,21600" o:spt="109" path="m,l,21600r21600,l21600,xe">
                              <v:stroke joinstyle="miter"/>
                              <v:path gradientshapeok="t" o:connecttype="rect"/>
                            </v:shapetype>
                            <v:shape id="Flowchart: Process 99" o:spid="_x0000_s1038" type="#_x0000_t109" style="position:absolute;left:59;top:4182;width:28484;height:1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" fillcolor="white [3212]" strokecolor="#0d0d0d [3069]" strokeweight="1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00" o:spid="_x0000_s1039" type="#_x0000_t7" style="position:absolute;left:99;top:566;width:31922;height:3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" adj="2359" fillcolor="white [3212]" strokecolor="#0d0d0d [3069]" strokeweight="1pt"/>
                            <v:shape id="Parallelogram 100" o:spid="_x0000_s1040" type="#_x0000_t7" style="position:absolute;left:27288;top:2652;width:6098;height:1081;rotation:-2980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" adj="3853" fillcolor="white [3212]" strokecolor="#0d0d0d [3069]" strokeweight="1pt"/>
                            <v:shape id="Parallelogram 100" o:spid="_x0000_s1041" type="#_x0000_t7" style="position:absolute;left:12811;top:-414;width:6665;height:1569;rotation:2980897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" adj="5121" fillcolor="white [3212]" strokecolor="#0d0d0d [3069]" strokeweight="1pt"/>
                          </v:group>
                          <v:shape id="Isosceles Triangle 102" o:spid="_x0000_s1042" type="#_x0000_t5" style="position:absolute;left:13862;top:5127;width:794;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" fillcolor="white [3212]" strokecolor="#0a121c [484]" strokeweight="2pt"/>
                          <v:shape id="Isosceles Triangle 102" o:spid="_x0000_s1043" type="#_x0000_t5" style="position:absolute;left:13862;top:5354;width:794;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" fillcolor="white [3212]" strokecolor="white [3212]" strokeweight="2pt"/>
                        </v:group>
                        <v:shape id="Isosceles Triangle 104" o:spid="_x0000_s1044" type="#_x0000_t5" style="position:absolute;left:24534;top:5758;width:2096;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" fillcolor="black [3213]" strokecolor="black [3213]" strokeweight="2pt"/>
                        <v:shape id="Isosceles Triangle 104" o:spid="_x0000_s1045" type="#_x0000_t5" style="position:absolute;left:1855;top:5758;width:2096;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" fillcolor="black [3213]" strokecolor="black [3213]" strokeweight="2pt"/>
                        <v:shape id="Isosceles Triangle 104" o:spid="_x0000_s1046" type="#_x0000_t5" style="position:absolute;left:13198;top:2134;width:2096;height:175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" fillcolor="black [3213]" strokecolor="black [3213]" strokeweight="2pt"/>
                      </v:group>
                      <v:line id="Straight Connector 108" o:spid="_x0000_s1047" style="position:absolute;flip:x;visibility:visible;mso-wrap-style:square" from="14317,421" to="17827,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" strokecolor="black [3213]" strokeweight="1pt"/>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0" o:spid="_x0000_s1048" type="#_x0000_t67" style="position:absolute;left:14602;top:-3779;width:3000;height:4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" adj="14890" fillcolor="white [3212]" strokecolor="black [3213]" strokeweight="2pt"/>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5" o:spid="_x0000_s1049" type="#_x0000_t88" style="position:absolute;left:15534;top:5895;width:457;height: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" adj="1231" strokecolor="black [3213]"/>
                  <v:shape id="Right Brace 115" o:spid="_x0000_s1050" type="#_x0000_t88" style="position:absolute;left:14597;top:-2031;width:871;height:2244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" adj="70" strokecolor="black [3213]"/>
                  <v:shape id="Right Brace 115" o:spid="_x0000_s1051" type="#_x0000_t88" style="position:absolute;left:31300;top:2895;width:731;height:4936;rotation:29396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" adj="267" strokecolor="black [3213]"/>
                  <v:shape id="Right Brace 115" o:spid="_x0000_s1052" type="#_x0000_t88" style="position:absolute;top:5013;width:635;height:154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" adj="738" strokecolor="black [3213]"/>
                </v:group>
                <v:shape id="Text Box 117" o:spid="_x0000_s1053" type="#_x0000_t202" style="position:absolute;left:16911;top:5048;width:2436;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" filled="f" stroked="f" strokeweight=".5pt">
                  <v:textbox>
                    <w:txbxContent>
                      <w:p w14:paraId="6C6E3CBF" w14:textId="77777777" w:rsidR="004C3B20" w:rsidRDefault="004C3B20" w:rsidP="004C3B20">
                        <w:pPr>
                          <w:spacing w:line="120" w:lineRule="auto"/>
                          <w:rPr>
                            <w:rFonts w:ascii="Cambria Math" w:hAnsi="Cambria Math"/>
                          </w:rPr>
                        </w:pPr>
                        <m:oMathPara>
                          <m:oMath>
                            <m:r>
                              <w:rPr>
                                <w:rFonts w:ascii="Cambria Math" w:hAnsi="Cambria Math"/>
                                <w:szCs w:val="24"/>
                              </w:rPr>
                              <m:t>a</m:t>
                            </m:r>
                          </m:oMath>
                        </m:oMathPara>
                      </w:p>
                    </w:txbxContent>
                  </v:textbox>
                </v:shape>
                <v:shape id="Text Box 117" o:spid="_x0000_s1054" type="#_x0000_t202" style="position:absolute;top:4660;width:2365;height: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" filled="f" stroked="f" strokeweight=".5pt">
                  <v:textbox>
                    <w:txbxContent>
                      <w:p w14:paraId="6DAA2923" w14:textId="77777777" w:rsidR="004C3B20" w:rsidRDefault="004C3B20" w:rsidP="004C3B20">
                        <w:pPr>
                          <w:spacing w:line="192" w:lineRule="auto"/>
                          <w:rPr>
                            <w:rFonts w:ascii="Cambria Math" w:hAnsi="Cambria Math"/>
                          </w:rPr>
                        </w:pPr>
                        <m:oMathPara>
                          <m:oMath>
                            <m:r>
                              <w:rPr>
                                <w:rFonts w:ascii="Cambria Math" w:hAnsi="Cambria Math"/>
                              </w:rPr>
                              <m:t>b</m:t>
                            </m:r>
                          </m:oMath>
                        </m:oMathPara>
                      </w:p>
                    </w:txbxContent>
                  </v:textbox>
                </v:shape>
                <v:shape id="Text Box 117" o:spid="_x0000_s1055" type="#_x0000_t202" style="position:absolute;left:32868;top:4766;width:2366;height: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" filled="f" stroked="f" strokeweight=".5pt">
                  <v:textbox>
                    <w:txbxContent>
                      <w:p w14:paraId="7648B289" w14:textId="77777777" w:rsidR="004C3B20" w:rsidRDefault="004C3B20" w:rsidP="004C3B20">
                        <w:pPr>
                          <w:spacing w:line="192" w:lineRule="auto"/>
                          <w:rPr>
                            <w:rFonts w:ascii="Cambria Math" w:hAnsi="Cambria Math"/>
                          </w:rPr>
                        </w:pPr>
                        <m:oMathPara>
                          <m:oMath>
                            <m:r>
                              <w:rPr>
                                <w:rFonts w:ascii="Cambria Math" w:hAnsi="Cambria Math"/>
                              </w:rPr>
                              <m:t>w</m:t>
                            </m:r>
                          </m:oMath>
                        </m:oMathPara>
                      </w:p>
                    </w:txbxContent>
                  </v:textbox>
                </v:shape>
                <v:shape id="Text Box 117" o:spid="_x0000_s1056" type="#_x0000_t202" style="position:absolute;left:15392;top:9179;width:2366;height: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" filled="f" stroked="f" strokeweight=".5pt">
                  <v:textbox>
                    <w:txbxContent>
                      <w:p w14:paraId="452ABA58" w14:textId="77777777" w:rsidR="004C3B20" w:rsidRDefault="004C3B20" w:rsidP="004C3B20">
                        <w:pPr>
                          <w:spacing w:line="192" w:lineRule="auto"/>
                          <w:rPr>
                            <w:rFonts w:ascii="Cambria Math" w:hAnsi="Cambria Math"/>
                          </w:rPr>
                        </w:pPr>
                        <m:oMathPara>
                          <m:oMath>
                            <m:r>
                              <w:rPr>
                                <w:rFonts w:ascii="Cambria Math" w:hAnsi="Cambria Math"/>
                              </w:rPr>
                              <m:t>L</m:t>
                            </m:r>
                          </m:oMath>
                        </m:oMathPara>
                      </w:p>
                    </w:txbxContent>
                  </v:textbox>
                </v:shape>
                <v:shape id="Text Box 117" o:spid="_x0000_s1057" type="#_x0000_t202" style="position:absolute;left:17758;top:-6010;width:2365;height:2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" filled="f" stroked="f" strokeweight=".5pt">
                  <v:textbox>
                    <w:txbxContent>
                      <w:p w14:paraId="718A3DB9" w14:textId="77777777" w:rsidR="004C3B20" w:rsidRDefault="004C3B20" w:rsidP="004C3B20">
                        <w:pPr>
                          <w:spacing w:line="192" w:lineRule="auto"/>
                          <w:rPr>
                            <w:rFonts w:ascii="Cambria Math" w:hAnsi="Cambria Math"/>
                          </w:rPr>
                        </w:pPr>
                        <m:oMathPara>
                          <m:oMath>
                            <m:r>
                              <w:rPr>
                                <w:rFonts w:ascii="Cambria Math" w:hAnsi="Cambria Math"/>
                              </w:rPr>
                              <m:t>P</m:t>
                            </m:r>
                          </m:oMath>
                        </m:oMathPara>
                      </w:p>
                    </w:txbxContent>
                  </v:textbox>
                </v:shape>
                <w10:anchorlock/>
              </v:group>
            </w:pict>
          </mc:Fallback>
        </mc:AlternateContent>
      </w:r>
    </w:p>
    <w:p w14:paraId="448B8DE4" w14:textId="2CBD1440" w:rsidR="004C3B20" w:rsidRPr="004C3B20" w:rsidRDefault="00882D7F" w:rsidP="004C3B20">
      <w:pPr>
        <w:pStyle w:val="Paragraph"/>
        <w:jc w:val="center"/>
        <w:rPr>
          <w:sz w:val="18"/>
          <w:szCs w:val="18"/>
        </w:rPr>
      </w:pPr>
      <w:r w:rsidRPr="004C3B20">
        <w:rPr>
          <w:b/>
          <w:bCs/>
          <w:sz w:val="18"/>
          <w:szCs w:val="18"/>
        </w:rPr>
        <w:t xml:space="preserve">FIGURE </w:t>
      </w:r>
      <w:r w:rsidR="004C3B20" w:rsidRPr="004C3B20">
        <w:rPr>
          <w:b/>
          <w:bCs/>
          <w:sz w:val="18"/>
          <w:szCs w:val="18"/>
        </w:rPr>
        <w:t>1.</w:t>
      </w:r>
      <w:r w:rsidR="004C3B20" w:rsidRPr="004C3B20">
        <w:rPr>
          <w:sz w:val="18"/>
          <w:szCs w:val="18"/>
        </w:rPr>
        <w:t xml:space="preserve"> Fracture Resistance Test Sample Illustration</w:t>
      </w:r>
    </w:p>
    <w:p w14:paraId="38CF4FA7" w14:textId="77777777" w:rsidR="004C3B20" w:rsidRPr="004C3B20" w:rsidRDefault="004C3B20" w:rsidP="004C3B20">
      <w:pPr>
        <w:pStyle w:val="Paragraph"/>
      </w:pPr>
    </w:p>
    <w:p w14:paraId="7DA0CF28" w14:textId="4573443E" w:rsidR="00725861" w:rsidRPr="004C3B20" w:rsidRDefault="004C3B20" w:rsidP="004C3B20">
      <w:pPr>
        <w:pStyle w:val="Paragraph"/>
      </w:pPr>
      <w:r w:rsidRPr="004C3B20">
        <w:t>The data from the K</w:t>
      </w:r>
      <w:r w:rsidRPr="004C3B20">
        <w:rPr>
          <w:vertAlign w:val="subscript"/>
        </w:rPr>
        <w:t>IC</w:t>
      </w:r>
      <w:r w:rsidRPr="004C3B20">
        <w:t xml:space="preserve"> calculation results will then be analyzed using IBM Statistic 22 software to determine the results of descriptive data analysis, data normality using the Shapiro-Wilk test, data homogeneity using the Levene Statistic test, and data significance using One Way ANOVA analysis.</w:t>
      </w:r>
      <w:r w:rsidR="00725861" w:rsidRPr="00640136">
        <w:t>is how to</w:t>
      </w:r>
      <w:r w:rsidR="00725861">
        <w:rPr>
          <w:b/>
          <w:bCs/>
        </w:rPr>
        <w:t xml:space="preserve"> </w:t>
      </w:r>
      <w:r w:rsidR="00725861" w:rsidRPr="00640136">
        <w:t>display</w:t>
      </w:r>
      <w:r w:rsidR="00725861">
        <w:t xml:space="preserve"> a pop-up window from which to select and apply the </w:t>
      </w:r>
      <w:r w:rsidR="00003D7C">
        <w:t>AIP Conference Proceedings</w:t>
      </w:r>
      <w:r w:rsidR="00725861">
        <w:t xml:space="preserve"> template paragraph styles: </w:t>
      </w:r>
    </w:p>
    <w:p w14:paraId="4024EC21" w14:textId="62EB7A7D" w:rsidR="00155B67" w:rsidRPr="00075EA6" w:rsidRDefault="004C3B20" w:rsidP="00274622">
      <w:pPr>
        <w:pStyle w:val="Heading2"/>
      </w:pPr>
      <w:r>
        <w:t>RESULTS</w:t>
      </w:r>
    </w:p>
    <w:p w14:paraId="4E717688" w14:textId="05AA84A3" w:rsidR="004C3B20" w:rsidRDefault="004C3B20" w:rsidP="00155B67">
      <w:pPr>
        <w:pStyle w:val="Paragraph"/>
      </w:pPr>
      <w:r w:rsidRPr="004C3B20">
        <w:t>The results of the descriptive analysis of the large fracture resistance (K</w:t>
      </w:r>
      <w:r w:rsidRPr="004C3B20">
        <w:rPr>
          <w:vertAlign w:val="subscript"/>
        </w:rPr>
        <w:t>IC</w:t>
      </w:r>
      <w:r w:rsidRPr="004C3B20">
        <w:t xml:space="preserve">) of the three treatments can be seen in table 1. </w:t>
      </w:r>
      <w:r w:rsidR="00155B67" w:rsidRPr="00075EA6">
        <w:t xml:space="preserve"> </w:t>
      </w:r>
    </w:p>
    <w:p w14:paraId="2CFA0EC4" w14:textId="66287F39" w:rsidR="004C3B20" w:rsidRPr="004C3B20" w:rsidRDefault="00882D7F" w:rsidP="004C3B20">
      <w:pPr>
        <w:pStyle w:val="Paragraph"/>
        <w:spacing w:before="120" w:after="200"/>
        <w:ind w:firstLine="288"/>
        <w:jc w:val="center"/>
        <w:rPr>
          <w:sz w:val="18"/>
          <w:szCs w:val="18"/>
        </w:rPr>
      </w:pPr>
      <w:r>
        <w:rPr>
          <w:b/>
          <w:bCs/>
          <w:sz w:val="18"/>
          <w:szCs w:val="18"/>
        </w:rPr>
        <w:t xml:space="preserve">TABLE </w:t>
      </w:r>
      <w:r w:rsidR="004C3B20">
        <w:rPr>
          <w:b/>
          <w:bCs/>
          <w:sz w:val="18"/>
          <w:szCs w:val="18"/>
        </w:rPr>
        <w:t xml:space="preserve">1. </w:t>
      </w:r>
      <w:r w:rsidR="004C3B20">
        <w:rPr>
          <w:sz w:val="18"/>
          <w:szCs w:val="18"/>
        </w:rPr>
        <w:t xml:space="preserve">Descriptive Analysis of Fracture Resistance </w:t>
      </w:r>
      <w:r w:rsidR="004C3B20" w:rsidRPr="004C3B20">
        <w:rPr>
          <w:sz w:val="18"/>
          <w:szCs w:val="18"/>
        </w:rPr>
        <w:t>(K</w:t>
      </w:r>
      <w:r w:rsidR="004C3B20" w:rsidRPr="004C3B20">
        <w:rPr>
          <w:sz w:val="18"/>
          <w:szCs w:val="18"/>
          <w:vertAlign w:val="subscript"/>
        </w:rPr>
        <w:t>IC</w:t>
      </w:r>
      <w:r w:rsidR="004C3B20" w:rsidRPr="004C3B20">
        <w:rPr>
          <w:sz w:val="18"/>
          <w:szCs w:val="18"/>
        </w:rPr>
        <w:t>)</w:t>
      </w:r>
    </w:p>
    <w:tbl>
      <w:tblPr>
        <w:tblW w:w="0" w:type="auto"/>
        <w:jc w:val="center"/>
        <w:tblLayout w:type="fixed"/>
        <w:tblCellMar>
          <w:left w:w="0" w:type="dxa"/>
          <w:right w:w="0" w:type="dxa"/>
        </w:tblCellMar>
        <w:tblLook w:val="04A0" w:firstRow="1" w:lastRow="0" w:firstColumn="1" w:lastColumn="0" w:noHBand="0" w:noVBand="1"/>
      </w:tblPr>
      <w:tblGrid>
        <w:gridCol w:w="1499"/>
        <w:gridCol w:w="861"/>
        <w:gridCol w:w="2984"/>
      </w:tblGrid>
      <w:tr w:rsidR="004C3B20" w14:paraId="14AF2537" w14:textId="77777777" w:rsidTr="0008657C">
        <w:trPr>
          <w:trHeight w:val="296"/>
          <w:jc w:val="center"/>
        </w:trPr>
        <w:tc>
          <w:tcPr>
            <w:tcW w:w="1499" w:type="dxa"/>
            <w:tcBorders>
              <w:top w:val="single" w:sz="4" w:space="0" w:color="000000"/>
              <w:bottom w:val="single" w:sz="4" w:space="0" w:color="000000"/>
            </w:tcBorders>
          </w:tcPr>
          <w:p w14:paraId="3FE9C8AC" w14:textId="77777777" w:rsidR="004C3B20" w:rsidRPr="0008657C" w:rsidRDefault="004C3B20" w:rsidP="0047610D">
            <w:pPr>
              <w:pStyle w:val="TableParagraph"/>
              <w:spacing w:line="239" w:lineRule="exact"/>
              <w:ind w:left="3" w:right="93"/>
              <w:rPr>
                <w:b/>
                <w:bCs/>
                <w:sz w:val="18"/>
                <w:szCs w:val="18"/>
              </w:rPr>
            </w:pPr>
            <w:r w:rsidRPr="0008657C">
              <w:rPr>
                <w:b/>
                <w:bCs/>
                <w:sz w:val="18"/>
                <w:szCs w:val="18"/>
              </w:rPr>
              <w:t>Group</w:t>
            </w:r>
          </w:p>
        </w:tc>
        <w:tc>
          <w:tcPr>
            <w:tcW w:w="861" w:type="dxa"/>
            <w:tcBorders>
              <w:top w:val="single" w:sz="4" w:space="0" w:color="000000"/>
              <w:bottom w:val="single" w:sz="4" w:space="0" w:color="000000"/>
            </w:tcBorders>
          </w:tcPr>
          <w:p w14:paraId="06C4415C" w14:textId="77777777" w:rsidR="004C3B20" w:rsidRPr="0008657C" w:rsidRDefault="004C3B20" w:rsidP="0047610D">
            <w:pPr>
              <w:pStyle w:val="TableParagraph"/>
              <w:spacing w:line="239" w:lineRule="exact"/>
              <w:ind w:left="1" w:right="41"/>
              <w:rPr>
                <w:b/>
                <w:bCs/>
                <w:sz w:val="18"/>
                <w:szCs w:val="18"/>
              </w:rPr>
            </w:pPr>
            <w:r w:rsidRPr="0008657C">
              <w:rPr>
                <w:b/>
                <w:bCs/>
                <w:spacing w:val="-10"/>
                <w:sz w:val="18"/>
                <w:szCs w:val="18"/>
              </w:rPr>
              <w:t>N</w:t>
            </w:r>
          </w:p>
        </w:tc>
        <w:tc>
          <w:tcPr>
            <w:tcW w:w="2984" w:type="dxa"/>
            <w:tcBorders>
              <w:top w:val="single" w:sz="4" w:space="0" w:color="000000"/>
              <w:bottom w:val="single" w:sz="4" w:space="0" w:color="000000"/>
            </w:tcBorders>
          </w:tcPr>
          <w:p w14:paraId="320C15DA" w14:textId="77777777" w:rsidR="004C3B20" w:rsidRPr="0008657C" w:rsidRDefault="004C3B20" w:rsidP="0047610D">
            <w:pPr>
              <w:pStyle w:val="TableParagraph"/>
              <w:spacing w:before="5" w:line="196" w:lineRule="auto"/>
              <w:ind w:left="330" w:right="270" w:firstLine="165"/>
              <w:jc w:val="left"/>
              <w:rPr>
                <w:b/>
                <w:bCs/>
                <w:sz w:val="18"/>
                <w:szCs w:val="18"/>
              </w:rPr>
            </w:pPr>
            <w:r w:rsidRPr="0008657C">
              <w:rPr>
                <w:b/>
                <w:bCs/>
                <w:position w:val="2"/>
                <w:sz w:val="18"/>
                <w:szCs w:val="18"/>
              </w:rPr>
              <w:t>Mean K</w:t>
            </w:r>
            <w:r w:rsidRPr="0008657C">
              <w:rPr>
                <w:b/>
                <w:bCs/>
                <w:sz w:val="18"/>
                <w:szCs w:val="18"/>
              </w:rPr>
              <w:t>IC</w:t>
            </w:r>
            <w:r w:rsidRPr="0008657C">
              <w:rPr>
                <w:b/>
                <w:bCs/>
                <w:spacing w:val="40"/>
                <w:sz w:val="18"/>
                <w:szCs w:val="18"/>
              </w:rPr>
              <w:t xml:space="preserve"> </w:t>
            </w:r>
            <w:r w:rsidRPr="0008657C">
              <w:rPr>
                <w:b/>
                <w:bCs/>
                <w:sz w:val="18"/>
                <w:szCs w:val="18"/>
              </w:rPr>
              <w:t>(MN/m</w:t>
            </w:r>
            <w:r w:rsidRPr="0008657C">
              <w:rPr>
                <w:b/>
                <w:bCs/>
                <w:sz w:val="18"/>
                <w:szCs w:val="18"/>
                <w:vertAlign w:val="superscript"/>
              </w:rPr>
              <w:t>3/2</w:t>
            </w:r>
            <w:r w:rsidRPr="0008657C">
              <w:rPr>
                <w:b/>
                <w:bCs/>
                <w:sz w:val="18"/>
                <w:szCs w:val="18"/>
              </w:rPr>
              <w:t>)</w:t>
            </w:r>
            <w:r w:rsidRPr="0008657C">
              <w:rPr>
                <w:b/>
                <w:bCs/>
                <w:spacing w:val="-15"/>
                <w:sz w:val="18"/>
                <w:szCs w:val="18"/>
              </w:rPr>
              <w:t xml:space="preserve"> </w:t>
            </w:r>
            <w:r w:rsidRPr="0008657C">
              <w:rPr>
                <w:b/>
                <w:bCs/>
                <w:sz w:val="18"/>
                <w:szCs w:val="18"/>
              </w:rPr>
              <w:t>(</w:t>
            </w:r>
            <w:proofErr w:type="spellStart"/>
            <w:r w:rsidRPr="0008657C">
              <w:rPr>
                <w:b/>
                <w:bCs/>
                <w:sz w:val="18"/>
                <w:szCs w:val="18"/>
              </w:rPr>
              <w:t>SD</w:t>
            </w:r>
            <w:r w:rsidRPr="0008657C">
              <w:rPr>
                <w:b/>
                <w:bCs/>
                <w:sz w:val="18"/>
                <w:szCs w:val="18"/>
                <w:vertAlign w:val="superscript"/>
              </w:rPr>
              <w:t>a</w:t>
            </w:r>
            <w:proofErr w:type="spellEnd"/>
            <w:r w:rsidRPr="0008657C">
              <w:rPr>
                <w:b/>
                <w:bCs/>
                <w:sz w:val="18"/>
                <w:szCs w:val="18"/>
              </w:rPr>
              <w:t>)</w:t>
            </w:r>
          </w:p>
        </w:tc>
      </w:tr>
      <w:tr w:rsidR="004C3B20" w14:paraId="5056B9FC" w14:textId="77777777" w:rsidTr="0008657C">
        <w:trPr>
          <w:trHeight w:val="282"/>
          <w:jc w:val="center"/>
        </w:trPr>
        <w:tc>
          <w:tcPr>
            <w:tcW w:w="1499" w:type="dxa"/>
            <w:tcBorders>
              <w:top w:val="single" w:sz="4" w:space="0" w:color="000000"/>
            </w:tcBorders>
          </w:tcPr>
          <w:p w14:paraId="1E335A5E" w14:textId="77777777" w:rsidR="004C3B20" w:rsidRDefault="004C3B20" w:rsidP="0047610D">
            <w:pPr>
              <w:pStyle w:val="TableParagraph"/>
              <w:spacing w:line="239" w:lineRule="exact"/>
              <w:ind w:left="3" w:right="93"/>
              <w:rPr>
                <w:sz w:val="20"/>
              </w:rPr>
            </w:pPr>
            <w:r>
              <w:rPr>
                <w:spacing w:val="-10"/>
                <w:sz w:val="20"/>
              </w:rPr>
              <w:t>A</w:t>
            </w:r>
          </w:p>
        </w:tc>
        <w:tc>
          <w:tcPr>
            <w:tcW w:w="861" w:type="dxa"/>
            <w:tcBorders>
              <w:top w:val="single" w:sz="4" w:space="0" w:color="000000"/>
            </w:tcBorders>
          </w:tcPr>
          <w:p w14:paraId="331E8225" w14:textId="77777777" w:rsidR="004C3B20" w:rsidRDefault="004C3B20" w:rsidP="0047610D">
            <w:pPr>
              <w:pStyle w:val="TableParagraph"/>
              <w:spacing w:line="239" w:lineRule="exact"/>
              <w:ind w:right="41"/>
              <w:rPr>
                <w:sz w:val="20"/>
              </w:rPr>
            </w:pPr>
            <w:r>
              <w:rPr>
                <w:spacing w:val="-10"/>
                <w:sz w:val="20"/>
              </w:rPr>
              <w:t>9</w:t>
            </w:r>
          </w:p>
        </w:tc>
        <w:tc>
          <w:tcPr>
            <w:tcW w:w="2984" w:type="dxa"/>
            <w:tcBorders>
              <w:top w:val="single" w:sz="4" w:space="0" w:color="000000"/>
            </w:tcBorders>
          </w:tcPr>
          <w:p w14:paraId="34738F8C" w14:textId="77777777" w:rsidR="004C3B20" w:rsidRDefault="004C3B20" w:rsidP="0047610D">
            <w:pPr>
              <w:pStyle w:val="TableParagraph"/>
              <w:spacing w:line="239" w:lineRule="exact"/>
              <w:ind w:left="52"/>
              <w:rPr>
                <w:sz w:val="20"/>
              </w:rPr>
            </w:pPr>
            <w:proofErr w:type="gramStart"/>
            <w:r>
              <w:rPr>
                <w:sz w:val="20"/>
              </w:rPr>
              <w:t xml:space="preserve">1,915  </w:t>
            </w:r>
            <w:r>
              <w:rPr>
                <w:spacing w:val="-2"/>
                <w:sz w:val="20"/>
              </w:rPr>
              <w:t>(</w:t>
            </w:r>
            <w:proofErr w:type="gramEnd"/>
            <w:r>
              <w:rPr>
                <w:spacing w:val="-2"/>
                <w:sz w:val="20"/>
              </w:rPr>
              <w:t>±0,262)</w:t>
            </w:r>
          </w:p>
        </w:tc>
      </w:tr>
      <w:tr w:rsidR="004C3B20" w14:paraId="7C6C684E" w14:textId="77777777" w:rsidTr="0008657C">
        <w:trPr>
          <w:trHeight w:val="310"/>
          <w:jc w:val="center"/>
        </w:trPr>
        <w:tc>
          <w:tcPr>
            <w:tcW w:w="1499" w:type="dxa"/>
          </w:tcPr>
          <w:p w14:paraId="2A29E75E" w14:textId="77777777" w:rsidR="004C3B20" w:rsidRDefault="004C3B20" w:rsidP="0047610D">
            <w:pPr>
              <w:pStyle w:val="TableParagraph"/>
              <w:spacing w:before="11"/>
              <w:ind w:right="93"/>
              <w:rPr>
                <w:sz w:val="20"/>
              </w:rPr>
            </w:pPr>
            <w:r>
              <w:rPr>
                <w:spacing w:val="-10"/>
                <w:sz w:val="20"/>
              </w:rPr>
              <w:t>B</w:t>
            </w:r>
          </w:p>
        </w:tc>
        <w:tc>
          <w:tcPr>
            <w:tcW w:w="861" w:type="dxa"/>
          </w:tcPr>
          <w:p w14:paraId="249DCD6D" w14:textId="77777777" w:rsidR="004C3B20" w:rsidRDefault="004C3B20" w:rsidP="0047610D">
            <w:pPr>
              <w:pStyle w:val="TableParagraph"/>
              <w:spacing w:before="11"/>
              <w:ind w:right="41"/>
              <w:rPr>
                <w:sz w:val="20"/>
              </w:rPr>
            </w:pPr>
            <w:r>
              <w:rPr>
                <w:spacing w:val="-10"/>
                <w:sz w:val="20"/>
              </w:rPr>
              <w:t>9</w:t>
            </w:r>
          </w:p>
        </w:tc>
        <w:tc>
          <w:tcPr>
            <w:tcW w:w="2984" w:type="dxa"/>
          </w:tcPr>
          <w:p w14:paraId="54DEA4FD" w14:textId="77777777" w:rsidR="004C3B20" w:rsidRDefault="004C3B20" w:rsidP="0047610D">
            <w:pPr>
              <w:pStyle w:val="TableParagraph"/>
              <w:spacing w:before="11"/>
              <w:ind w:left="52"/>
              <w:rPr>
                <w:sz w:val="20"/>
              </w:rPr>
            </w:pPr>
            <w:proofErr w:type="gramStart"/>
            <w:r>
              <w:rPr>
                <w:sz w:val="20"/>
              </w:rPr>
              <w:t xml:space="preserve">2,087  </w:t>
            </w:r>
            <w:r>
              <w:rPr>
                <w:spacing w:val="-2"/>
                <w:sz w:val="20"/>
              </w:rPr>
              <w:t>(</w:t>
            </w:r>
            <w:proofErr w:type="gramEnd"/>
            <w:r>
              <w:rPr>
                <w:spacing w:val="-2"/>
                <w:sz w:val="20"/>
              </w:rPr>
              <w:t>±0,247)</w:t>
            </w:r>
          </w:p>
        </w:tc>
      </w:tr>
      <w:tr w:rsidR="004C3B20" w14:paraId="4B368909" w14:textId="77777777" w:rsidTr="0008657C">
        <w:trPr>
          <w:trHeight w:val="310"/>
          <w:jc w:val="center"/>
        </w:trPr>
        <w:tc>
          <w:tcPr>
            <w:tcW w:w="1499" w:type="dxa"/>
          </w:tcPr>
          <w:p w14:paraId="65EA75D7" w14:textId="77777777" w:rsidR="004C3B20" w:rsidRDefault="004C3B20" w:rsidP="0047610D">
            <w:pPr>
              <w:pStyle w:val="TableParagraph"/>
              <w:spacing w:before="13"/>
              <w:ind w:right="93"/>
              <w:rPr>
                <w:sz w:val="20"/>
              </w:rPr>
            </w:pPr>
            <w:r>
              <w:rPr>
                <w:spacing w:val="-10"/>
                <w:sz w:val="20"/>
              </w:rPr>
              <w:t>C</w:t>
            </w:r>
          </w:p>
        </w:tc>
        <w:tc>
          <w:tcPr>
            <w:tcW w:w="861" w:type="dxa"/>
          </w:tcPr>
          <w:p w14:paraId="6EB79C88" w14:textId="77777777" w:rsidR="004C3B20" w:rsidRDefault="004C3B20" w:rsidP="0047610D">
            <w:pPr>
              <w:pStyle w:val="TableParagraph"/>
              <w:spacing w:before="13"/>
              <w:ind w:right="41"/>
              <w:rPr>
                <w:sz w:val="20"/>
              </w:rPr>
            </w:pPr>
            <w:r>
              <w:rPr>
                <w:spacing w:val="-10"/>
                <w:sz w:val="20"/>
              </w:rPr>
              <w:t>9</w:t>
            </w:r>
          </w:p>
        </w:tc>
        <w:tc>
          <w:tcPr>
            <w:tcW w:w="2984" w:type="dxa"/>
          </w:tcPr>
          <w:p w14:paraId="14FD0F09" w14:textId="77777777" w:rsidR="004C3B20" w:rsidRDefault="004C3B20" w:rsidP="0047610D">
            <w:pPr>
              <w:pStyle w:val="TableParagraph"/>
              <w:spacing w:before="13"/>
              <w:ind w:left="52"/>
              <w:rPr>
                <w:sz w:val="20"/>
              </w:rPr>
            </w:pPr>
            <w:proofErr w:type="gramStart"/>
            <w:r>
              <w:rPr>
                <w:sz w:val="20"/>
              </w:rPr>
              <w:t xml:space="preserve">1,976  </w:t>
            </w:r>
            <w:r>
              <w:rPr>
                <w:spacing w:val="-2"/>
                <w:sz w:val="20"/>
              </w:rPr>
              <w:t>(</w:t>
            </w:r>
            <w:proofErr w:type="gramEnd"/>
            <w:r>
              <w:rPr>
                <w:spacing w:val="-2"/>
                <w:sz w:val="20"/>
              </w:rPr>
              <w:t>±0,157)</w:t>
            </w:r>
          </w:p>
        </w:tc>
      </w:tr>
      <w:tr w:rsidR="004C3B20" w14:paraId="6A80C462" w14:textId="77777777" w:rsidTr="0008657C">
        <w:trPr>
          <w:trHeight w:val="358"/>
          <w:jc w:val="center"/>
        </w:trPr>
        <w:tc>
          <w:tcPr>
            <w:tcW w:w="1499" w:type="dxa"/>
            <w:tcBorders>
              <w:bottom w:val="single" w:sz="4" w:space="0" w:color="000000"/>
            </w:tcBorders>
          </w:tcPr>
          <w:p w14:paraId="06340407" w14:textId="77777777" w:rsidR="004C3B20" w:rsidRDefault="004C3B20" w:rsidP="0047610D">
            <w:pPr>
              <w:pStyle w:val="TableParagraph"/>
              <w:spacing w:before="11"/>
              <w:ind w:right="93"/>
              <w:rPr>
                <w:sz w:val="20"/>
              </w:rPr>
            </w:pPr>
            <w:r>
              <w:rPr>
                <w:spacing w:val="-2"/>
                <w:sz w:val="20"/>
              </w:rPr>
              <w:t>Total</w:t>
            </w:r>
          </w:p>
        </w:tc>
        <w:tc>
          <w:tcPr>
            <w:tcW w:w="861" w:type="dxa"/>
            <w:tcBorders>
              <w:bottom w:val="single" w:sz="4" w:space="0" w:color="000000"/>
            </w:tcBorders>
          </w:tcPr>
          <w:p w14:paraId="148B2749" w14:textId="77777777" w:rsidR="004C3B20" w:rsidRDefault="004C3B20" w:rsidP="0047610D">
            <w:pPr>
              <w:pStyle w:val="TableParagraph"/>
              <w:spacing w:before="11"/>
              <w:ind w:right="41"/>
              <w:rPr>
                <w:sz w:val="20"/>
              </w:rPr>
            </w:pPr>
            <w:r>
              <w:rPr>
                <w:spacing w:val="-5"/>
                <w:sz w:val="20"/>
              </w:rPr>
              <w:t>27</w:t>
            </w:r>
          </w:p>
        </w:tc>
        <w:tc>
          <w:tcPr>
            <w:tcW w:w="2984" w:type="dxa"/>
            <w:tcBorders>
              <w:bottom w:val="single" w:sz="4" w:space="0" w:color="000000"/>
            </w:tcBorders>
          </w:tcPr>
          <w:p w14:paraId="396ECB79" w14:textId="77777777" w:rsidR="004C3B20" w:rsidRDefault="004C3B20" w:rsidP="0047610D">
            <w:pPr>
              <w:pStyle w:val="TableParagraph"/>
              <w:spacing w:before="11"/>
              <w:ind w:left="52"/>
              <w:rPr>
                <w:sz w:val="20"/>
              </w:rPr>
            </w:pPr>
            <w:proofErr w:type="gramStart"/>
            <w:r>
              <w:rPr>
                <w:sz w:val="20"/>
              </w:rPr>
              <w:t xml:space="preserve">1,993  </w:t>
            </w:r>
            <w:r>
              <w:rPr>
                <w:spacing w:val="-2"/>
                <w:sz w:val="20"/>
              </w:rPr>
              <w:t>(</w:t>
            </w:r>
            <w:proofErr w:type="gramEnd"/>
            <w:r>
              <w:rPr>
                <w:spacing w:val="-2"/>
                <w:sz w:val="20"/>
              </w:rPr>
              <w:t>±0,230)</w:t>
            </w:r>
          </w:p>
        </w:tc>
      </w:tr>
    </w:tbl>
    <w:p w14:paraId="2C8BD1D3" w14:textId="77777777" w:rsidR="004C3B20" w:rsidRDefault="004C3B20" w:rsidP="00155B67">
      <w:pPr>
        <w:pStyle w:val="Paragraph"/>
      </w:pPr>
    </w:p>
    <w:p w14:paraId="79B50978" w14:textId="0FDF11C3" w:rsidR="0008657C" w:rsidRDefault="0008657C" w:rsidP="00155B67">
      <w:pPr>
        <w:pStyle w:val="Paragraph"/>
      </w:pPr>
      <w:r w:rsidRPr="0008657C">
        <w:t>Table 1 shows the average of fracture toughness (K</w:t>
      </w:r>
      <w:r w:rsidRPr="0008657C">
        <w:rPr>
          <w:vertAlign w:val="subscript"/>
        </w:rPr>
        <w:t>IC</w:t>
      </w:r>
      <w:r w:rsidRPr="0008657C">
        <w:t xml:space="preserve">) in the three treatments has a difference. The data shows that immersion in group A (15% </w:t>
      </w:r>
      <w:proofErr w:type="spellStart"/>
      <w:r w:rsidRPr="0008657C">
        <w:t>betle</w:t>
      </w:r>
      <w:proofErr w:type="spellEnd"/>
      <w:r w:rsidRPr="0008657C">
        <w:t xml:space="preserve"> leaf extract) has the smallest average K</w:t>
      </w:r>
      <w:r w:rsidRPr="0008657C">
        <w:rPr>
          <w:vertAlign w:val="subscript"/>
        </w:rPr>
        <w:t>IC</w:t>
      </w:r>
      <w:r w:rsidRPr="0008657C">
        <w:t xml:space="preserve"> followed by immersion in </w:t>
      </w:r>
      <w:proofErr w:type="spellStart"/>
      <w:r w:rsidRPr="0008657C">
        <w:t>aquadest</w:t>
      </w:r>
      <w:proofErr w:type="spellEnd"/>
      <w:r w:rsidRPr="0008657C">
        <w:t xml:space="preserve"> and </w:t>
      </w:r>
      <w:proofErr w:type="spellStart"/>
      <w:r w:rsidRPr="0008657C">
        <w:t>Polident</w:t>
      </w:r>
      <w:proofErr w:type="spellEnd"/>
      <w:r w:rsidRPr="0008657C">
        <w:t xml:space="preserve"> solution. The three groups were then tested for data normality using the Shapiro-Wilk normality test (table 2).</w:t>
      </w:r>
      <w:r w:rsidR="00D36257">
        <w:t xml:space="preserve"> </w:t>
      </w:r>
    </w:p>
    <w:p w14:paraId="04628BFE" w14:textId="7D30C1CD" w:rsidR="0008657C" w:rsidRPr="0008657C" w:rsidRDefault="00882D7F" w:rsidP="0008657C">
      <w:pPr>
        <w:pStyle w:val="Paragraph"/>
        <w:spacing w:before="120" w:after="200"/>
        <w:ind w:firstLine="288"/>
        <w:jc w:val="center"/>
        <w:rPr>
          <w:sz w:val="18"/>
          <w:szCs w:val="18"/>
        </w:rPr>
      </w:pPr>
      <w:r>
        <w:rPr>
          <w:b/>
          <w:bCs/>
          <w:sz w:val="18"/>
          <w:szCs w:val="18"/>
        </w:rPr>
        <w:t xml:space="preserve">TABLE </w:t>
      </w:r>
      <w:r w:rsidR="0008657C">
        <w:rPr>
          <w:b/>
          <w:bCs/>
          <w:sz w:val="18"/>
          <w:szCs w:val="18"/>
        </w:rPr>
        <w:t xml:space="preserve">2. </w:t>
      </w:r>
      <w:r w:rsidR="0008657C">
        <w:rPr>
          <w:sz w:val="18"/>
          <w:szCs w:val="18"/>
        </w:rPr>
        <w:t>Shapiro-Wilk normality test</w:t>
      </w:r>
    </w:p>
    <w:tbl>
      <w:tblPr>
        <w:tblW w:w="0" w:type="auto"/>
        <w:jc w:val="center"/>
        <w:tblLayout w:type="fixed"/>
        <w:tblCellMar>
          <w:left w:w="0" w:type="dxa"/>
          <w:right w:w="0" w:type="dxa"/>
        </w:tblCellMar>
        <w:tblLook w:val="04A0" w:firstRow="1" w:lastRow="0" w:firstColumn="1" w:lastColumn="0" w:noHBand="0" w:noVBand="1"/>
      </w:tblPr>
      <w:tblGrid>
        <w:gridCol w:w="1366"/>
        <w:gridCol w:w="1201"/>
        <w:gridCol w:w="851"/>
        <w:gridCol w:w="1152"/>
      </w:tblGrid>
      <w:tr w:rsidR="0008657C" w:rsidRPr="0008657C" w14:paraId="4719E1BC" w14:textId="77777777" w:rsidTr="0008657C">
        <w:trPr>
          <w:trHeight w:val="314"/>
          <w:jc w:val="center"/>
        </w:trPr>
        <w:tc>
          <w:tcPr>
            <w:tcW w:w="1366" w:type="dxa"/>
            <w:tcBorders>
              <w:top w:val="single" w:sz="4" w:space="0" w:color="auto"/>
              <w:bottom w:val="single" w:sz="4" w:space="0" w:color="000000"/>
            </w:tcBorders>
          </w:tcPr>
          <w:p w14:paraId="08A199A2" w14:textId="77777777" w:rsidR="0008657C" w:rsidRPr="0008657C" w:rsidRDefault="0008657C" w:rsidP="0047610D">
            <w:pPr>
              <w:pStyle w:val="TableParagraph"/>
              <w:spacing w:line="266" w:lineRule="exact"/>
              <w:ind w:left="41" w:right="1"/>
              <w:rPr>
                <w:b/>
                <w:bCs/>
                <w:sz w:val="18"/>
                <w:szCs w:val="18"/>
              </w:rPr>
            </w:pPr>
            <w:r w:rsidRPr="0008657C">
              <w:rPr>
                <w:b/>
                <w:bCs/>
                <w:sz w:val="18"/>
                <w:szCs w:val="18"/>
              </w:rPr>
              <w:t>Group</w:t>
            </w:r>
          </w:p>
        </w:tc>
        <w:tc>
          <w:tcPr>
            <w:tcW w:w="1201" w:type="dxa"/>
            <w:tcBorders>
              <w:top w:val="single" w:sz="4" w:space="0" w:color="auto"/>
              <w:bottom w:val="single" w:sz="4" w:space="0" w:color="000000"/>
            </w:tcBorders>
          </w:tcPr>
          <w:p w14:paraId="3A8F8703" w14:textId="77777777" w:rsidR="0008657C" w:rsidRPr="0008657C" w:rsidRDefault="0008657C" w:rsidP="0047610D">
            <w:pPr>
              <w:pStyle w:val="TableParagraph"/>
              <w:spacing w:line="266" w:lineRule="exact"/>
              <w:ind w:right="113"/>
              <w:rPr>
                <w:b/>
                <w:bCs/>
                <w:i/>
                <w:sz w:val="18"/>
                <w:szCs w:val="18"/>
              </w:rPr>
            </w:pPr>
            <w:r w:rsidRPr="0008657C">
              <w:rPr>
                <w:b/>
                <w:bCs/>
                <w:i/>
                <w:spacing w:val="-2"/>
                <w:sz w:val="18"/>
                <w:szCs w:val="18"/>
              </w:rPr>
              <w:t>Statistic</w:t>
            </w:r>
          </w:p>
        </w:tc>
        <w:tc>
          <w:tcPr>
            <w:tcW w:w="851" w:type="dxa"/>
            <w:tcBorders>
              <w:top w:val="single" w:sz="4" w:space="0" w:color="auto"/>
              <w:bottom w:val="single" w:sz="4" w:space="0" w:color="000000"/>
            </w:tcBorders>
          </w:tcPr>
          <w:p w14:paraId="2F3B498B" w14:textId="77777777" w:rsidR="0008657C" w:rsidRPr="0008657C" w:rsidRDefault="0008657C" w:rsidP="0047610D">
            <w:pPr>
              <w:pStyle w:val="TableParagraph"/>
              <w:spacing w:line="266" w:lineRule="exact"/>
              <w:ind w:right="73"/>
              <w:rPr>
                <w:b/>
                <w:bCs/>
                <w:i/>
                <w:sz w:val="18"/>
                <w:szCs w:val="18"/>
              </w:rPr>
            </w:pPr>
            <w:proofErr w:type="spellStart"/>
            <w:r w:rsidRPr="0008657C">
              <w:rPr>
                <w:b/>
                <w:bCs/>
                <w:i/>
                <w:spacing w:val="-5"/>
                <w:sz w:val="18"/>
                <w:szCs w:val="18"/>
              </w:rPr>
              <w:t>Df</w:t>
            </w:r>
            <w:proofErr w:type="spellEnd"/>
          </w:p>
        </w:tc>
        <w:tc>
          <w:tcPr>
            <w:tcW w:w="1152" w:type="dxa"/>
            <w:tcBorders>
              <w:top w:val="single" w:sz="4" w:space="0" w:color="auto"/>
              <w:bottom w:val="single" w:sz="4" w:space="0" w:color="000000"/>
            </w:tcBorders>
          </w:tcPr>
          <w:p w14:paraId="10812FF7" w14:textId="77777777" w:rsidR="0008657C" w:rsidRPr="0008657C" w:rsidRDefault="0008657C" w:rsidP="0047610D">
            <w:pPr>
              <w:pStyle w:val="TableParagraph"/>
              <w:spacing w:line="266" w:lineRule="exact"/>
              <w:ind w:left="70"/>
              <w:rPr>
                <w:b/>
                <w:bCs/>
                <w:i/>
                <w:sz w:val="18"/>
                <w:szCs w:val="18"/>
              </w:rPr>
            </w:pPr>
            <w:r w:rsidRPr="0008657C">
              <w:rPr>
                <w:b/>
                <w:bCs/>
                <w:i/>
                <w:spacing w:val="-4"/>
                <w:sz w:val="18"/>
                <w:szCs w:val="18"/>
              </w:rPr>
              <w:t>Sig.</w:t>
            </w:r>
          </w:p>
        </w:tc>
      </w:tr>
      <w:tr w:rsidR="0008657C" w14:paraId="532F24B1" w14:textId="77777777" w:rsidTr="0008657C">
        <w:trPr>
          <w:trHeight w:val="283"/>
          <w:jc w:val="center"/>
        </w:trPr>
        <w:tc>
          <w:tcPr>
            <w:tcW w:w="1366" w:type="dxa"/>
            <w:tcBorders>
              <w:top w:val="single" w:sz="4" w:space="0" w:color="000000"/>
            </w:tcBorders>
          </w:tcPr>
          <w:p w14:paraId="46F5BC51" w14:textId="77777777" w:rsidR="0008657C" w:rsidRDefault="0008657C" w:rsidP="0047610D">
            <w:pPr>
              <w:pStyle w:val="TableParagraph"/>
              <w:spacing w:line="239" w:lineRule="exact"/>
              <w:ind w:left="41"/>
              <w:rPr>
                <w:sz w:val="20"/>
              </w:rPr>
            </w:pPr>
            <w:r>
              <w:rPr>
                <w:spacing w:val="-10"/>
                <w:sz w:val="20"/>
              </w:rPr>
              <w:t>A</w:t>
            </w:r>
          </w:p>
        </w:tc>
        <w:tc>
          <w:tcPr>
            <w:tcW w:w="1201" w:type="dxa"/>
            <w:tcBorders>
              <w:top w:val="single" w:sz="4" w:space="0" w:color="000000"/>
            </w:tcBorders>
          </w:tcPr>
          <w:p w14:paraId="5C465327" w14:textId="77777777" w:rsidR="0008657C" w:rsidRDefault="0008657C" w:rsidP="0047610D">
            <w:pPr>
              <w:pStyle w:val="TableParagraph"/>
              <w:spacing w:line="239" w:lineRule="exact"/>
              <w:ind w:left="2" w:right="113"/>
              <w:rPr>
                <w:sz w:val="20"/>
              </w:rPr>
            </w:pPr>
            <w:r>
              <w:rPr>
                <w:spacing w:val="-2"/>
                <w:sz w:val="20"/>
              </w:rPr>
              <w:t>0,969</w:t>
            </w:r>
          </w:p>
        </w:tc>
        <w:tc>
          <w:tcPr>
            <w:tcW w:w="851" w:type="dxa"/>
            <w:tcBorders>
              <w:top w:val="single" w:sz="4" w:space="0" w:color="000000"/>
            </w:tcBorders>
          </w:tcPr>
          <w:p w14:paraId="10F0F64F" w14:textId="77777777" w:rsidR="0008657C" w:rsidRDefault="0008657C" w:rsidP="0047610D">
            <w:pPr>
              <w:pStyle w:val="TableParagraph"/>
              <w:spacing w:line="239" w:lineRule="exact"/>
              <w:ind w:left="1" w:right="73"/>
              <w:rPr>
                <w:sz w:val="20"/>
              </w:rPr>
            </w:pPr>
            <w:r>
              <w:rPr>
                <w:spacing w:val="-10"/>
                <w:sz w:val="20"/>
              </w:rPr>
              <w:t>9</w:t>
            </w:r>
          </w:p>
        </w:tc>
        <w:tc>
          <w:tcPr>
            <w:tcW w:w="1152" w:type="dxa"/>
            <w:tcBorders>
              <w:top w:val="single" w:sz="4" w:space="0" w:color="000000"/>
            </w:tcBorders>
          </w:tcPr>
          <w:p w14:paraId="0725E0D6" w14:textId="77777777" w:rsidR="0008657C" w:rsidRDefault="0008657C" w:rsidP="0047610D">
            <w:pPr>
              <w:pStyle w:val="TableParagraph"/>
              <w:spacing w:line="239" w:lineRule="exact"/>
              <w:ind w:left="70"/>
              <w:rPr>
                <w:sz w:val="20"/>
              </w:rPr>
            </w:pPr>
            <w:r>
              <w:rPr>
                <w:spacing w:val="-2"/>
                <w:sz w:val="20"/>
              </w:rPr>
              <w:t>0,884</w:t>
            </w:r>
          </w:p>
        </w:tc>
      </w:tr>
      <w:tr w:rsidR="0008657C" w14:paraId="089AB582" w14:textId="77777777" w:rsidTr="0008657C">
        <w:trPr>
          <w:trHeight w:val="310"/>
          <w:jc w:val="center"/>
        </w:trPr>
        <w:tc>
          <w:tcPr>
            <w:tcW w:w="1366" w:type="dxa"/>
          </w:tcPr>
          <w:p w14:paraId="529F87EC" w14:textId="77777777" w:rsidR="0008657C" w:rsidRDefault="0008657C" w:rsidP="0047610D">
            <w:pPr>
              <w:pStyle w:val="TableParagraph"/>
              <w:spacing w:before="13"/>
              <w:ind w:left="41" w:right="3"/>
              <w:rPr>
                <w:sz w:val="20"/>
              </w:rPr>
            </w:pPr>
            <w:r>
              <w:rPr>
                <w:spacing w:val="-10"/>
                <w:sz w:val="20"/>
              </w:rPr>
              <w:t>B</w:t>
            </w:r>
          </w:p>
        </w:tc>
        <w:tc>
          <w:tcPr>
            <w:tcW w:w="1201" w:type="dxa"/>
          </w:tcPr>
          <w:p w14:paraId="4D2E389C" w14:textId="77777777" w:rsidR="0008657C" w:rsidRDefault="0008657C" w:rsidP="0047610D">
            <w:pPr>
              <w:pStyle w:val="TableParagraph"/>
              <w:spacing w:before="13"/>
              <w:ind w:left="2" w:right="113"/>
              <w:rPr>
                <w:sz w:val="20"/>
              </w:rPr>
            </w:pPr>
            <w:r>
              <w:rPr>
                <w:spacing w:val="-2"/>
                <w:sz w:val="20"/>
              </w:rPr>
              <w:t>0,956</w:t>
            </w:r>
          </w:p>
        </w:tc>
        <w:tc>
          <w:tcPr>
            <w:tcW w:w="851" w:type="dxa"/>
          </w:tcPr>
          <w:p w14:paraId="013E8447" w14:textId="77777777" w:rsidR="0008657C" w:rsidRDefault="0008657C" w:rsidP="0047610D">
            <w:pPr>
              <w:pStyle w:val="TableParagraph"/>
              <w:spacing w:before="13"/>
              <w:ind w:left="1" w:right="73"/>
              <w:rPr>
                <w:sz w:val="20"/>
              </w:rPr>
            </w:pPr>
            <w:r>
              <w:rPr>
                <w:spacing w:val="-10"/>
                <w:sz w:val="20"/>
              </w:rPr>
              <w:t>9</w:t>
            </w:r>
          </w:p>
        </w:tc>
        <w:tc>
          <w:tcPr>
            <w:tcW w:w="1152" w:type="dxa"/>
          </w:tcPr>
          <w:p w14:paraId="566555D5" w14:textId="77777777" w:rsidR="0008657C" w:rsidRDefault="0008657C" w:rsidP="0047610D">
            <w:pPr>
              <w:pStyle w:val="TableParagraph"/>
              <w:spacing w:before="13"/>
              <w:ind w:left="70"/>
              <w:rPr>
                <w:sz w:val="20"/>
              </w:rPr>
            </w:pPr>
            <w:r>
              <w:rPr>
                <w:spacing w:val="-2"/>
                <w:sz w:val="20"/>
              </w:rPr>
              <w:t>0,759</w:t>
            </w:r>
          </w:p>
        </w:tc>
      </w:tr>
      <w:tr w:rsidR="0008657C" w14:paraId="4046FF38" w14:textId="77777777" w:rsidTr="0008657C">
        <w:trPr>
          <w:trHeight w:val="357"/>
          <w:jc w:val="center"/>
        </w:trPr>
        <w:tc>
          <w:tcPr>
            <w:tcW w:w="1366" w:type="dxa"/>
            <w:tcBorders>
              <w:bottom w:val="single" w:sz="4" w:space="0" w:color="000000"/>
            </w:tcBorders>
          </w:tcPr>
          <w:p w14:paraId="3231F519" w14:textId="77777777" w:rsidR="0008657C" w:rsidRDefault="0008657C" w:rsidP="0047610D">
            <w:pPr>
              <w:pStyle w:val="TableParagraph"/>
              <w:spacing w:before="11"/>
              <w:ind w:left="41" w:right="3"/>
              <w:rPr>
                <w:sz w:val="20"/>
              </w:rPr>
            </w:pPr>
            <w:r>
              <w:rPr>
                <w:spacing w:val="-10"/>
                <w:sz w:val="20"/>
              </w:rPr>
              <w:t>C</w:t>
            </w:r>
          </w:p>
        </w:tc>
        <w:tc>
          <w:tcPr>
            <w:tcW w:w="1201" w:type="dxa"/>
            <w:tcBorders>
              <w:bottom w:val="single" w:sz="4" w:space="0" w:color="000000"/>
            </w:tcBorders>
          </w:tcPr>
          <w:p w14:paraId="419494C0" w14:textId="77777777" w:rsidR="0008657C" w:rsidRDefault="0008657C" w:rsidP="0047610D">
            <w:pPr>
              <w:pStyle w:val="TableParagraph"/>
              <w:spacing w:before="11"/>
              <w:ind w:left="2" w:right="113"/>
              <w:rPr>
                <w:sz w:val="20"/>
              </w:rPr>
            </w:pPr>
            <w:r>
              <w:rPr>
                <w:spacing w:val="-2"/>
                <w:sz w:val="20"/>
              </w:rPr>
              <w:t>0,929</w:t>
            </w:r>
          </w:p>
        </w:tc>
        <w:tc>
          <w:tcPr>
            <w:tcW w:w="851" w:type="dxa"/>
            <w:tcBorders>
              <w:bottom w:val="single" w:sz="4" w:space="0" w:color="000000"/>
            </w:tcBorders>
          </w:tcPr>
          <w:p w14:paraId="7C1B6D54" w14:textId="77777777" w:rsidR="0008657C" w:rsidRDefault="0008657C" w:rsidP="0047610D">
            <w:pPr>
              <w:pStyle w:val="TableParagraph"/>
              <w:spacing w:before="11"/>
              <w:ind w:left="1" w:right="73"/>
              <w:rPr>
                <w:sz w:val="20"/>
              </w:rPr>
            </w:pPr>
            <w:r>
              <w:rPr>
                <w:spacing w:val="-10"/>
                <w:sz w:val="20"/>
              </w:rPr>
              <w:t>9</w:t>
            </w:r>
          </w:p>
        </w:tc>
        <w:tc>
          <w:tcPr>
            <w:tcW w:w="1152" w:type="dxa"/>
            <w:tcBorders>
              <w:bottom w:val="single" w:sz="4" w:space="0" w:color="000000"/>
            </w:tcBorders>
          </w:tcPr>
          <w:p w14:paraId="433E18B7" w14:textId="77777777" w:rsidR="0008657C" w:rsidRDefault="0008657C" w:rsidP="0047610D">
            <w:pPr>
              <w:pStyle w:val="TableParagraph"/>
              <w:spacing w:before="11"/>
              <w:ind w:left="70"/>
              <w:rPr>
                <w:sz w:val="20"/>
              </w:rPr>
            </w:pPr>
            <w:r>
              <w:rPr>
                <w:spacing w:val="-2"/>
                <w:sz w:val="20"/>
              </w:rPr>
              <w:t>0,475</w:t>
            </w:r>
          </w:p>
        </w:tc>
      </w:tr>
    </w:tbl>
    <w:p w14:paraId="310E98B5" w14:textId="11230C75" w:rsidR="0008657C" w:rsidRDefault="0008657C" w:rsidP="0008657C">
      <w:pPr>
        <w:pStyle w:val="Paragraph"/>
        <w:jc w:val="center"/>
      </w:pPr>
    </w:p>
    <w:p w14:paraId="33394A8D" w14:textId="77777777" w:rsidR="0008657C" w:rsidRDefault="0008657C" w:rsidP="00155B67">
      <w:pPr>
        <w:pStyle w:val="Paragraph"/>
      </w:pPr>
      <w:r w:rsidRPr="0008657C">
        <w:t xml:space="preserve">Table 2 shows that all three groups have a significance of p&gt;0.05, indicating that all three groups have a normal data distribution. Table 4 shows the significance value of the data group of 0.190 (P&gt;0.05), so the data comes from a population that has the same variance. In the Levene Statistic variance homogeneity </w:t>
      </w:r>
      <w:r w:rsidRPr="001D58D0">
        <w:t>test (table 3), the</w:t>
      </w:r>
      <w:r w:rsidRPr="0008657C">
        <w:t xml:space="preserve"> significance value of the data group is 0.190 (P&gt;0.05) meaning that the average data comes from a population that has the same variance.</w:t>
      </w:r>
    </w:p>
    <w:p w14:paraId="2A168E84" w14:textId="3942D257" w:rsidR="0008657C" w:rsidRDefault="0008657C" w:rsidP="00155B67">
      <w:pPr>
        <w:pStyle w:val="Paragraph"/>
      </w:pPr>
      <w:r w:rsidRPr="0008657C">
        <w:t xml:space="preserve">Table </w:t>
      </w:r>
      <w:r w:rsidR="00882D7F">
        <w:t>3</w:t>
      </w:r>
      <w:r w:rsidRPr="0008657C">
        <w:t xml:space="preserve"> One Way ANOVA analysis shows a significance result of 0.282, indicating a large difference in the average fracture toughness (K</w:t>
      </w:r>
      <w:r w:rsidRPr="0008657C">
        <w:rPr>
          <w:vertAlign w:val="subscript"/>
        </w:rPr>
        <w:t>IC</w:t>
      </w:r>
      <w:r w:rsidRPr="0008657C">
        <w:t>) which is not significant (P &gt; 0.05).</w:t>
      </w:r>
      <w:r>
        <w:t xml:space="preserve"> </w:t>
      </w:r>
      <w:r w:rsidR="00155B67" w:rsidRPr="00075EA6">
        <w:t xml:space="preserve"> </w:t>
      </w:r>
    </w:p>
    <w:p w14:paraId="1D9A8870" w14:textId="77777777" w:rsidR="001D58D0" w:rsidRDefault="001D58D0" w:rsidP="00155B67">
      <w:pPr>
        <w:pStyle w:val="Paragraph"/>
      </w:pPr>
    </w:p>
    <w:p w14:paraId="268E3BA6" w14:textId="77777777" w:rsidR="001D58D0" w:rsidRDefault="001D58D0" w:rsidP="00155B67">
      <w:pPr>
        <w:pStyle w:val="Paragraph"/>
      </w:pPr>
    </w:p>
    <w:p w14:paraId="29661704" w14:textId="6BB61A7D" w:rsidR="001D58D0" w:rsidRDefault="001D58D0" w:rsidP="001D58D0">
      <w:pPr>
        <w:pStyle w:val="Paragraph"/>
        <w:jc w:val="center"/>
        <w:rPr>
          <w:sz w:val="18"/>
          <w:szCs w:val="18"/>
        </w:rPr>
      </w:pPr>
      <w:bookmarkStart w:id="0" w:name="_Toc183907875"/>
      <w:r>
        <w:rPr>
          <w:b/>
          <w:bCs/>
          <w:sz w:val="18"/>
          <w:szCs w:val="18"/>
        </w:rPr>
        <w:t xml:space="preserve">TABLE </w:t>
      </w:r>
      <w:r>
        <w:rPr>
          <w:b/>
          <w:bCs/>
          <w:sz w:val="18"/>
          <w:szCs w:val="18"/>
        </w:rPr>
        <w:fldChar w:fldCharType="begin"/>
      </w:r>
      <w:r>
        <w:rPr>
          <w:b/>
          <w:bCs/>
          <w:sz w:val="18"/>
          <w:szCs w:val="18"/>
        </w:rPr>
        <w:instrText xml:space="preserve"> SEQ Tabel_4. \* ARABIC </w:instrText>
      </w:r>
      <w:r>
        <w:rPr>
          <w:b/>
          <w:bCs/>
          <w:sz w:val="18"/>
          <w:szCs w:val="18"/>
        </w:rPr>
        <w:fldChar w:fldCharType="separate"/>
      </w:r>
      <w:r>
        <w:rPr>
          <w:b/>
          <w:bCs/>
          <w:sz w:val="18"/>
          <w:szCs w:val="18"/>
        </w:rPr>
        <w:t>3</w:t>
      </w:r>
      <w:r>
        <w:rPr>
          <w:b/>
          <w:bCs/>
          <w:sz w:val="18"/>
          <w:szCs w:val="18"/>
        </w:rPr>
        <w:fldChar w:fldCharType="end"/>
      </w:r>
      <w:r>
        <w:rPr>
          <w:b/>
          <w:bCs/>
          <w:sz w:val="18"/>
          <w:szCs w:val="18"/>
        </w:rPr>
        <w:t>.</w:t>
      </w:r>
      <w:r>
        <w:rPr>
          <w:sz w:val="18"/>
          <w:szCs w:val="18"/>
        </w:rPr>
        <w:t xml:space="preserve"> </w:t>
      </w:r>
      <w:bookmarkEnd w:id="0"/>
      <w:r>
        <w:rPr>
          <w:sz w:val="18"/>
          <w:szCs w:val="18"/>
        </w:rPr>
        <w:t>Levene Statistic Homogeneity of Variance Test</w:t>
      </w:r>
    </w:p>
    <w:p w14:paraId="4C8DB557" w14:textId="77777777" w:rsidR="001D58D0" w:rsidRDefault="001D58D0" w:rsidP="001D58D0">
      <w:pPr>
        <w:pStyle w:val="Paragraph"/>
        <w:jc w:val="center"/>
        <w:rPr>
          <w:sz w:val="18"/>
          <w:szCs w:val="18"/>
        </w:rPr>
      </w:pP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3"/>
        <w:gridCol w:w="2127"/>
        <w:gridCol w:w="1842"/>
        <w:gridCol w:w="993"/>
        <w:gridCol w:w="992"/>
        <w:gridCol w:w="845"/>
      </w:tblGrid>
      <w:tr w:rsidR="001D58D0" w14:paraId="34422A23" w14:textId="77777777" w:rsidTr="006F1E26">
        <w:trPr>
          <w:jc w:val="center"/>
        </w:trPr>
        <w:tc>
          <w:tcPr>
            <w:tcW w:w="2830" w:type="dxa"/>
            <w:gridSpan w:val="2"/>
          </w:tcPr>
          <w:p w14:paraId="7372AFFB" w14:textId="77777777" w:rsidR="001D58D0" w:rsidRDefault="001D58D0" w:rsidP="006F1E26">
            <w:pPr>
              <w:pStyle w:val="ListParagraph"/>
              <w:ind w:left="426"/>
              <w:jc w:val="center"/>
              <w:rPr>
                <w:sz w:val="18"/>
                <w:szCs w:val="18"/>
              </w:rPr>
            </w:pPr>
          </w:p>
        </w:tc>
        <w:tc>
          <w:tcPr>
            <w:tcW w:w="1842" w:type="dxa"/>
          </w:tcPr>
          <w:p w14:paraId="11D6272C" w14:textId="77777777" w:rsidR="001D58D0" w:rsidRDefault="001D58D0" w:rsidP="006F1E26">
            <w:pPr>
              <w:pStyle w:val="ListParagraph"/>
              <w:ind w:left="-107"/>
              <w:jc w:val="center"/>
              <w:rPr>
                <w:sz w:val="18"/>
                <w:szCs w:val="18"/>
              </w:rPr>
            </w:pPr>
            <w:r>
              <w:rPr>
                <w:sz w:val="18"/>
                <w:szCs w:val="18"/>
              </w:rPr>
              <w:t>Levene Statistic</w:t>
            </w:r>
          </w:p>
        </w:tc>
        <w:tc>
          <w:tcPr>
            <w:tcW w:w="993" w:type="dxa"/>
          </w:tcPr>
          <w:p w14:paraId="5FA9878B" w14:textId="77777777" w:rsidR="001D58D0" w:rsidRDefault="001D58D0" w:rsidP="006F1E26">
            <w:pPr>
              <w:pStyle w:val="ListParagraph"/>
              <w:ind w:left="34"/>
              <w:jc w:val="center"/>
              <w:rPr>
                <w:sz w:val="18"/>
                <w:szCs w:val="18"/>
              </w:rPr>
            </w:pPr>
            <w:r>
              <w:rPr>
                <w:sz w:val="18"/>
                <w:szCs w:val="18"/>
              </w:rPr>
              <w:t>df1</w:t>
            </w:r>
          </w:p>
        </w:tc>
        <w:tc>
          <w:tcPr>
            <w:tcW w:w="992" w:type="dxa"/>
          </w:tcPr>
          <w:p w14:paraId="05C1C10E" w14:textId="77777777" w:rsidR="001D58D0" w:rsidRDefault="001D58D0" w:rsidP="006F1E26">
            <w:pPr>
              <w:pStyle w:val="ListParagraph"/>
              <w:ind w:left="34"/>
              <w:jc w:val="center"/>
              <w:rPr>
                <w:sz w:val="18"/>
                <w:szCs w:val="18"/>
              </w:rPr>
            </w:pPr>
            <w:r>
              <w:rPr>
                <w:sz w:val="18"/>
                <w:szCs w:val="18"/>
              </w:rPr>
              <w:t>df2</w:t>
            </w:r>
          </w:p>
        </w:tc>
        <w:tc>
          <w:tcPr>
            <w:tcW w:w="845" w:type="dxa"/>
          </w:tcPr>
          <w:p w14:paraId="7517FC97" w14:textId="77777777" w:rsidR="001D58D0" w:rsidRDefault="001D58D0" w:rsidP="006F1E26">
            <w:pPr>
              <w:pStyle w:val="ListParagraph"/>
              <w:ind w:left="0"/>
              <w:jc w:val="center"/>
              <w:rPr>
                <w:sz w:val="18"/>
                <w:szCs w:val="18"/>
              </w:rPr>
            </w:pPr>
            <w:r>
              <w:rPr>
                <w:sz w:val="18"/>
                <w:szCs w:val="18"/>
              </w:rPr>
              <w:t>Sig.</w:t>
            </w:r>
          </w:p>
        </w:tc>
      </w:tr>
      <w:tr w:rsidR="001D58D0" w14:paraId="0E650882" w14:textId="77777777" w:rsidTr="006F1E26">
        <w:trPr>
          <w:jc w:val="center"/>
        </w:trPr>
        <w:tc>
          <w:tcPr>
            <w:tcW w:w="703" w:type="dxa"/>
            <w:tcBorders>
              <w:bottom w:val="nil"/>
            </w:tcBorders>
          </w:tcPr>
          <w:p w14:paraId="69574F2A" w14:textId="77777777" w:rsidR="001D58D0" w:rsidRDefault="001D58D0" w:rsidP="006F1E26">
            <w:pPr>
              <w:pStyle w:val="ListParagraph"/>
              <w:ind w:left="170"/>
              <w:jc w:val="both"/>
              <w:rPr>
                <w:sz w:val="18"/>
                <w:szCs w:val="18"/>
                <w:vertAlign w:val="subscript"/>
              </w:rPr>
            </w:pPr>
            <w:proofErr w:type="spellStart"/>
            <w:r>
              <w:rPr>
                <w:sz w:val="18"/>
                <w:szCs w:val="18"/>
              </w:rPr>
              <w:t>K</w:t>
            </w:r>
            <w:r>
              <w:rPr>
                <w:sz w:val="18"/>
                <w:szCs w:val="18"/>
                <w:vertAlign w:val="subscript"/>
              </w:rPr>
              <w:t>ic</w:t>
            </w:r>
            <w:proofErr w:type="spellEnd"/>
          </w:p>
        </w:tc>
        <w:tc>
          <w:tcPr>
            <w:tcW w:w="2127" w:type="dxa"/>
          </w:tcPr>
          <w:p w14:paraId="5584DEEA" w14:textId="77777777" w:rsidR="001D58D0" w:rsidRDefault="001D58D0" w:rsidP="006F1E26">
            <w:pPr>
              <w:pStyle w:val="ListParagraph"/>
              <w:ind w:left="0"/>
              <w:jc w:val="both"/>
              <w:rPr>
                <w:sz w:val="18"/>
                <w:szCs w:val="18"/>
              </w:rPr>
            </w:pPr>
            <w:r>
              <w:rPr>
                <w:sz w:val="18"/>
                <w:szCs w:val="18"/>
              </w:rPr>
              <w:t>Based on Mean</w:t>
            </w:r>
          </w:p>
        </w:tc>
        <w:tc>
          <w:tcPr>
            <w:tcW w:w="1842" w:type="dxa"/>
          </w:tcPr>
          <w:p w14:paraId="65689CFC" w14:textId="77777777" w:rsidR="001D58D0" w:rsidRDefault="001D58D0" w:rsidP="006F1E26">
            <w:pPr>
              <w:pStyle w:val="ListParagraph"/>
              <w:ind w:left="-107"/>
              <w:jc w:val="right"/>
              <w:rPr>
                <w:sz w:val="18"/>
                <w:szCs w:val="18"/>
              </w:rPr>
            </w:pPr>
            <w:r>
              <w:rPr>
                <w:sz w:val="18"/>
                <w:szCs w:val="18"/>
              </w:rPr>
              <w:t>1,779</w:t>
            </w:r>
          </w:p>
        </w:tc>
        <w:tc>
          <w:tcPr>
            <w:tcW w:w="993" w:type="dxa"/>
          </w:tcPr>
          <w:p w14:paraId="795B518D" w14:textId="77777777" w:rsidR="001D58D0" w:rsidRDefault="001D58D0" w:rsidP="006F1E26">
            <w:pPr>
              <w:pStyle w:val="ListParagraph"/>
              <w:ind w:left="34"/>
              <w:jc w:val="right"/>
              <w:rPr>
                <w:sz w:val="18"/>
                <w:szCs w:val="18"/>
              </w:rPr>
            </w:pPr>
            <w:r>
              <w:rPr>
                <w:sz w:val="18"/>
                <w:szCs w:val="18"/>
              </w:rPr>
              <w:t>2</w:t>
            </w:r>
          </w:p>
        </w:tc>
        <w:tc>
          <w:tcPr>
            <w:tcW w:w="992" w:type="dxa"/>
          </w:tcPr>
          <w:p w14:paraId="3F547E8A" w14:textId="77777777" w:rsidR="001D58D0" w:rsidRDefault="001D58D0" w:rsidP="006F1E26">
            <w:pPr>
              <w:pStyle w:val="ListParagraph"/>
              <w:ind w:left="34"/>
              <w:jc w:val="right"/>
              <w:rPr>
                <w:sz w:val="18"/>
                <w:szCs w:val="18"/>
              </w:rPr>
            </w:pPr>
            <w:r>
              <w:rPr>
                <w:sz w:val="18"/>
                <w:szCs w:val="18"/>
              </w:rPr>
              <w:t>24</w:t>
            </w:r>
          </w:p>
        </w:tc>
        <w:tc>
          <w:tcPr>
            <w:tcW w:w="845" w:type="dxa"/>
          </w:tcPr>
          <w:p w14:paraId="278758C3" w14:textId="77777777" w:rsidR="001D58D0" w:rsidRDefault="001D58D0" w:rsidP="006F1E26">
            <w:pPr>
              <w:pStyle w:val="ListParagraph"/>
              <w:keepNext/>
              <w:ind w:left="0"/>
              <w:jc w:val="right"/>
              <w:rPr>
                <w:sz w:val="18"/>
                <w:szCs w:val="18"/>
              </w:rPr>
            </w:pPr>
            <w:r>
              <w:rPr>
                <w:sz w:val="18"/>
                <w:szCs w:val="18"/>
              </w:rPr>
              <w:t>0,190</w:t>
            </w:r>
          </w:p>
        </w:tc>
      </w:tr>
      <w:tr w:rsidR="001D58D0" w14:paraId="6ABF28E8" w14:textId="77777777" w:rsidTr="006F1E26">
        <w:trPr>
          <w:jc w:val="center"/>
        </w:trPr>
        <w:tc>
          <w:tcPr>
            <w:tcW w:w="703" w:type="dxa"/>
            <w:tcBorders>
              <w:top w:val="nil"/>
              <w:bottom w:val="nil"/>
            </w:tcBorders>
          </w:tcPr>
          <w:p w14:paraId="55042AA2" w14:textId="77777777" w:rsidR="001D58D0" w:rsidRDefault="001D58D0" w:rsidP="006F1E26">
            <w:pPr>
              <w:pStyle w:val="ListParagraph"/>
              <w:ind w:left="426"/>
              <w:jc w:val="both"/>
              <w:rPr>
                <w:sz w:val="18"/>
                <w:szCs w:val="18"/>
              </w:rPr>
            </w:pPr>
          </w:p>
        </w:tc>
        <w:tc>
          <w:tcPr>
            <w:tcW w:w="2127" w:type="dxa"/>
          </w:tcPr>
          <w:p w14:paraId="1BE466AA" w14:textId="77777777" w:rsidR="001D58D0" w:rsidRDefault="001D58D0" w:rsidP="006F1E26">
            <w:pPr>
              <w:pStyle w:val="ListParagraph"/>
              <w:ind w:left="0"/>
              <w:jc w:val="both"/>
              <w:rPr>
                <w:sz w:val="18"/>
                <w:szCs w:val="18"/>
              </w:rPr>
            </w:pPr>
            <w:r>
              <w:rPr>
                <w:sz w:val="18"/>
                <w:szCs w:val="18"/>
              </w:rPr>
              <w:t>Based on Median</w:t>
            </w:r>
          </w:p>
        </w:tc>
        <w:tc>
          <w:tcPr>
            <w:tcW w:w="1842" w:type="dxa"/>
          </w:tcPr>
          <w:p w14:paraId="24434B1F" w14:textId="77777777" w:rsidR="001D58D0" w:rsidRDefault="001D58D0" w:rsidP="006F1E26">
            <w:pPr>
              <w:pStyle w:val="ListParagraph"/>
              <w:ind w:left="-107"/>
              <w:jc w:val="right"/>
              <w:rPr>
                <w:sz w:val="18"/>
                <w:szCs w:val="18"/>
              </w:rPr>
            </w:pPr>
            <w:r>
              <w:rPr>
                <w:sz w:val="18"/>
                <w:szCs w:val="18"/>
              </w:rPr>
              <w:t>1,555</w:t>
            </w:r>
          </w:p>
        </w:tc>
        <w:tc>
          <w:tcPr>
            <w:tcW w:w="993" w:type="dxa"/>
          </w:tcPr>
          <w:p w14:paraId="44A5A30D" w14:textId="77777777" w:rsidR="001D58D0" w:rsidRDefault="001D58D0" w:rsidP="006F1E26">
            <w:pPr>
              <w:pStyle w:val="ListParagraph"/>
              <w:ind w:left="34"/>
              <w:jc w:val="right"/>
              <w:rPr>
                <w:sz w:val="18"/>
                <w:szCs w:val="18"/>
              </w:rPr>
            </w:pPr>
            <w:r>
              <w:rPr>
                <w:sz w:val="18"/>
                <w:szCs w:val="18"/>
              </w:rPr>
              <w:t>2</w:t>
            </w:r>
          </w:p>
        </w:tc>
        <w:tc>
          <w:tcPr>
            <w:tcW w:w="992" w:type="dxa"/>
          </w:tcPr>
          <w:p w14:paraId="216D0BCE" w14:textId="77777777" w:rsidR="001D58D0" w:rsidRDefault="001D58D0" w:rsidP="006F1E26">
            <w:pPr>
              <w:pStyle w:val="ListParagraph"/>
              <w:ind w:left="34"/>
              <w:jc w:val="right"/>
              <w:rPr>
                <w:sz w:val="18"/>
                <w:szCs w:val="18"/>
              </w:rPr>
            </w:pPr>
            <w:r>
              <w:rPr>
                <w:sz w:val="18"/>
                <w:szCs w:val="18"/>
              </w:rPr>
              <w:t>24</w:t>
            </w:r>
          </w:p>
        </w:tc>
        <w:tc>
          <w:tcPr>
            <w:tcW w:w="845" w:type="dxa"/>
          </w:tcPr>
          <w:p w14:paraId="6F6AAEC2" w14:textId="77777777" w:rsidR="001D58D0" w:rsidRDefault="001D58D0" w:rsidP="006F1E26">
            <w:pPr>
              <w:pStyle w:val="ListParagraph"/>
              <w:keepNext/>
              <w:ind w:left="0"/>
              <w:jc w:val="right"/>
              <w:rPr>
                <w:sz w:val="18"/>
                <w:szCs w:val="18"/>
              </w:rPr>
            </w:pPr>
            <w:r>
              <w:rPr>
                <w:sz w:val="18"/>
                <w:szCs w:val="18"/>
              </w:rPr>
              <w:t>0,232</w:t>
            </w:r>
          </w:p>
        </w:tc>
      </w:tr>
      <w:tr w:rsidR="001D58D0" w14:paraId="012D4572" w14:textId="77777777" w:rsidTr="006F1E26">
        <w:trPr>
          <w:jc w:val="center"/>
        </w:trPr>
        <w:tc>
          <w:tcPr>
            <w:tcW w:w="703" w:type="dxa"/>
            <w:tcBorders>
              <w:top w:val="nil"/>
              <w:bottom w:val="nil"/>
            </w:tcBorders>
          </w:tcPr>
          <w:p w14:paraId="429143CB" w14:textId="77777777" w:rsidR="001D58D0" w:rsidRDefault="001D58D0" w:rsidP="006F1E26">
            <w:pPr>
              <w:pStyle w:val="ListParagraph"/>
              <w:ind w:left="426"/>
              <w:jc w:val="both"/>
              <w:rPr>
                <w:sz w:val="18"/>
                <w:szCs w:val="18"/>
              </w:rPr>
            </w:pPr>
          </w:p>
        </w:tc>
        <w:tc>
          <w:tcPr>
            <w:tcW w:w="2127" w:type="dxa"/>
          </w:tcPr>
          <w:p w14:paraId="59E291B8" w14:textId="77777777" w:rsidR="001D58D0" w:rsidRDefault="001D58D0" w:rsidP="006F1E26">
            <w:pPr>
              <w:pStyle w:val="ListParagraph"/>
              <w:ind w:left="0"/>
              <w:jc w:val="both"/>
              <w:rPr>
                <w:sz w:val="18"/>
                <w:szCs w:val="18"/>
              </w:rPr>
            </w:pPr>
            <w:r>
              <w:rPr>
                <w:sz w:val="18"/>
                <w:szCs w:val="18"/>
              </w:rPr>
              <w:t xml:space="preserve">Based on Median and with adjusted </w:t>
            </w:r>
            <w:proofErr w:type="spellStart"/>
            <w:r>
              <w:rPr>
                <w:sz w:val="18"/>
                <w:szCs w:val="18"/>
              </w:rPr>
              <w:t>df</w:t>
            </w:r>
            <w:proofErr w:type="spellEnd"/>
          </w:p>
        </w:tc>
        <w:tc>
          <w:tcPr>
            <w:tcW w:w="1842" w:type="dxa"/>
          </w:tcPr>
          <w:p w14:paraId="63FD2AEA" w14:textId="77777777" w:rsidR="001D58D0" w:rsidRDefault="001D58D0" w:rsidP="006F1E26">
            <w:pPr>
              <w:pStyle w:val="ListParagraph"/>
              <w:ind w:left="-107"/>
              <w:jc w:val="right"/>
              <w:rPr>
                <w:sz w:val="18"/>
                <w:szCs w:val="18"/>
              </w:rPr>
            </w:pPr>
            <w:r>
              <w:rPr>
                <w:sz w:val="18"/>
                <w:szCs w:val="18"/>
              </w:rPr>
              <w:t>1,555</w:t>
            </w:r>
          </w:p>
        </w:tc>
        <w:tc>
          <w:tcPr>
            <w:tcW w:w="993" w:type="dxa"/>
          </w:tcPr>
          <w:p w14:paraId="02644281" w14:textId="77777777" w:rsidR="001D58D0" w:rsidRDefault="001D58D0" w:rsidP="006F1E26">
            <w:pPr>
              <w:pStyle w:val="ListParagraph"/>
              <w:ind w:left="34"/>
              <w:jc w:val="right"/>
              <w:rPr>
                <w:sz w:val="18"/>
                <w:szCs w:val="18"/>
              </w:rPr>
            </w:pPr>
            <w:r>
              <w:rPr>
                <w:sz w:val="18"/>
                <w:szCs w:val="18"/>
              </w:rPr>
              <w:t>2</w:t>
            </w:r>
          </w:p>
        </w:tc>
        <w:tc>
          <w:tcPr>
            <w:tcW w:w="992" w:type="dxa"/>
          </w:tcPr>
          <w:p w14:paraId="5B580D21" w14:textId="77777777" w:rsidR="001D58D0" w:rsidRDefault="001D58D0" w:rsidP="006F1E26">
            <w:pPr>
              <w:pStyle w:val="ListParagraph"/>
              <w:ind w:left="34"/>
              <w:jc w:val="right"/>
              <w:rPr>
                <w:sz w:val="18"/>
                <w:szCs w:val="18"/>
              </w:rPr>
            </w:pPr>
            <w:r>
              <w:rPr>
                <w:sz w:val="18"/>
                <w:szCs w:val="18"/>
              </w:rPr>
              <w:t>22,444</w:t>
            </w:r>
          </w:p>
        </w:tc>
        <w:tc>
          <w:tcPr>
            <w:tcW w:w="845" w:type="dxa"/>
          </w:tcPr>
          <w:p w14:paraId="5BFC82A8" w14:textId="77777777" w:rsidR="001D58D0" w:rsidRDefault="001D58D0" w:rsidP="006F1E26">
            <w:pPr>
              <w:pStyle w:val="ListParagraph"/>
              <w:keepNext/>
              <w:ind w:left="0"/>
              <w:jc w:val="right"/>
              <w:rPr>
                <w:sz w:val="18"/>
                <w:szCs w:val="18"/>
              </w:rPr>
            </w:pPr>
            <w:r>
              <w:rPr>
                <w:sz w:val="18"/>
                <w:szCs w:val="18"/>
              </w:rPr>
              <w:t>0,233</w:t>
            </w:r>
          </w:p>
        </w:tc>
      </w:tr>
      <w:tr w:rsidR="001D58D0" w14:paraId="574EA65B" w14:textId="77777777" w:rsidTr="006F1E26">
        <w:trPr>
          <w:jc w:val="center"/>
        </w:trPr>
        <w:tc>
          <w:tcPr>
            <w:tcW w:w="703" w:type="dxa"/>
            <w:tcBorders>
              <w:top w:val="nil"/>
            </w:tcBorders>
          </w:tcPr>
          <w:p w14:paraId="40CDD4CC" w14:textId="77777777" w:rsidR="001D58D0" w:rsidRDefault="001D58D0" w:rsidP="006F1E26">
            <w:pPr>
              <w:pStyle w:val="ListParagraph"/>
              <w:ind w:left="426"/>
              <w:jc w:val="both"/>
              <w:rPr>
                <w:sz w:val="18"/>
                <w:szCs w:val="18"/>
              </w:rPr>
            </w:pPr>
          </w:p>
        </w:tc>
        <w:tc>
          <w:tcPr>
            <w:tcW w:w="2127" w:type="dxa"/>
          </w:tcPr>
          <w:p w14:paraId="33695A4C" w14:textId="77777777" w:rsidR="001D58D0" w:rsidRDefault="001D58D0" w:rsidP="006F1E26">
            <w:pPr>
              <w:pStyle w:val="ListParagraph"/>
              <w:ind w:left="0"/>
              <w:jc w:val="both"/>
              <w:rPr>
                <w:sz w:val="18"/>
                <w:szCs w:val="18"/>
              </w:rPr>
            </w:pPr>
            <w:r>
              <w:rPr>
                <w:sz w:val="18"/>
                <w:szCs w:val="18"/>
              </w:rPr>
              <w:t>Based on trimmed mean</w:t>
            </w:r>
          </w:p>
        </w:tc>
        <w:tc>
          <w:tcPr>
            <w:tcW w:w="1842" w:type="dxa"/>
          </w:tcPr>
          <w:p w14:paraId="6BB9DFC9" w14:textId="77777777" w:rsidR="001D58D0" w:rsidRDefault="001D58D0" w:rsidP="006F1E26">
            <w:pPr>
              <w:pStyle w:val="ListParagraph"/>
              <w:ind w:left="-107"/>
              <w:jc w:val="right"/>
              <w:rPr>
                <w:sz w:val="18"/>
                <w:szCs w:val="18"/>
              </w:rPr>
            </w:pPr>
            <w:r>
              <w:rPr>
                <w:sz w:val="18"/>
                <w:szCs w:val="18"/>
              </w:rPr>
              <w:t>1,795</w:t>
            </w:r>
          </w:p>
        </w:tc>
        <w:tc>
          <w:tcPr>
            <w:tcW w:w="993" w:type="dxa"/>
          </w:tcPr>
          <w:p w14:paraId="54CB1B7A" w14:textId="77777777" w:rsidR="001D58D0" w:rsidRDefault="001D58D0" w:rsidP="006F1E26">
            <w:pPr>
              <w:pStyle w:val="ListParagraph"/>
              <w:ind w:left="34"/>
              <w:jc w:val="right"/>
              <w:rPr>
                <w:sz w:val="18"/>
                <w:szCs w:val="18"/>
              </w:rPr>
            </w:pPr>
            <w:r>
              <w:rPr>
                <w:sz w:val="18"/>
                <w:szCs w:val="18"/>
              </w:rPr>
              <w:t>2</w:t>
            </w:r>
          </w:p>
        </w:tc>
        <w:tc>
          <w:tcPr>
            <w:tcW w:w="992" w:type="dxa"/>
          </w:tcPr>
          <w:p w14:paraId="0EEA0219" w14:textId="77777777" w:rsidR="001D58D0" w:rsidRDefault="001D58D0" w:rsidP="006F1E26">
            <w:pPr>
              <w:pStyle w:val="ListParagraph"/>
              <w:ind w:left="34"/>
              <w:jc w:val="right"/>
              <w:rPr>
                <w:sz w:val="18"/>
                <w:szCs w:val="18"/>
              </w:rPr>
            </w:pPr>
            <w:r>
              <w:rPr>
                <w:sz w:val="18"/>
                <w:szCs w:val="18"/>
              </w:rPr>
              <w:t>24</w:t>
            </w:r>
          </w:p>
        </w:tc>
        <w:tc>
          <w:tcPr>
            <w:tcW w:w="845" w:type="dxa"/>
          </w:tcPr>
          <w:p w14:paraId="425F2657" w14:textId="77777777" w:rsidR="001D58D0" w:rsidRDefault="001D58D0" w:rsidP="006F1E26">
            <w:pPr>
              <w:pStyle w:val="ListParagraph"/>
              <w:keepNext/>
              <w:ind w:left="0"/>
              <w:jc w:val="right"/>
              <w:rPr>
                <w:sz w:val="18"/>
                <w:szCs w:val="18"/>
              </w:rPr>
            </w:pPr>
            <w:r>
              <w:rPr>
                <w:sz w:val="18"/>
                <w:szCs w:val="18"/>
              </w:rPr>
              <w:t>0,188</w:t>
            </w:r>
          </w:p>
        </w:tc>
      </w:tr>
    </w:tbl>
    <w:p w14:paraId="7F50C739" w14:textId="77777777" w:rsidR="001D58D0" w:rsidRDefault="001D58D0" w:rsidP="001D58D0">
      <w:pPr>
        <w:pStyle w:val="Paragraph"/>
      </w:pPr>
    </w:p>
    <w:p w14:paraId="29E5667F" w14:textId="50F276EC" w:rsidR="001D58D0" w:rsidRDefault="001D58D0" w:rsidP="001D58D0">
      <w:pPr>
        <w:pStyle w:val="Paragraph"/>
      </w:pPr>
      <w:r>
        <w:t>Table 4 One Way ANOVA analysis shows a significance result of 0.282, indicating a large difference in the average fracture toughness (K</w:t>
      </w:r>
      <w:r>
        <w:rPr>
          <w:vertAlign w:val="subscript"/>
        </w:rPr>
        <w:t>IC</w:t>
      </w:r>
      <w:r>
        <w:t xml:space="preserve">) which is not significant (P &gt; 0.05).  </w:t>
      </w:r>
    </w:p>
    <w:p w14:paraId="3FAEDEA8" w14:textId="77777777" w:rsidR="001D58D0" w:rsidRDefault="001D58D0" w:rsidP="001D58D0">
      <w:pPr>
        <w:pStyle w:val="Paragraph"/>
      </w:pPr>
    </w:p>
    <w:p w14:paraId="69595087" w14:textId="3FC6E379" w:rsidR="0008657C" w:rsidRPr="0008657C" w:rsidRDefault="00882D7F" w:rsidP="0008657C">
      <w:pPr>
        <w:pStyle w:val="Paragraph"/>
        <w:spacing w:before="120" w:after="200"/>
        <w:ind w:firstLine="288"/>
        <w:jc w:val="center"/>
        <w:rPr>
          <w:sz w:val="18"/>
          <w:szCs w:val="18"/>
        </w:rPr>
      </w:pPr>
      <w:r w:rsidRPr="00882D7F">
        <w:rPr>
          <w:b/>
          <w:bCs/>
          <w:sz w:val="18"/>
          <w:szCs w:val="18"/>
        </w:rPr>
        <w:t xml:space="preserve">TABLE </w:t>
      </w:r>
      <w:r w:rsidR="0008657C">
        <w:rPr>
          <w:b/>
          <w:bCs/>
          <w:sz w:val="18"/>
          <w:szCs w:val="18"/>
        </w:rPr>
        <w:t xml:space="preserve">4. </w:t>
      </w:r>
      <w:r w:rsidR="0008657C">
        <w:rPr>
          <w:sz w:val="18"/>
          <w:szCs w:val="18"/>
        </w:rPr>
        <w:t>One Way ANOVA analysis</w:t>
      </w:r>
    </w:p>
    <w:tbl>
      <w:tblPr>
        <w:tblW w:w="0" w:type="auto"/>
        <w:tblInd w:w="43" w:type="dxa"/>
        <w:tblLayout w:type="fixed"/>
        <w:tblCellMar>
          <w:left w:w="0" w:type="dxa"/>
          <w:right w:w="0" w:type="dxa"/>
        </w:tblCellMar>
        <w:tblLook w:val="04A0" w:firstRow="1" w:lastRow="0" w:firstColumn="1" w:lastColumn="0" w:noHBand="0" w:noVBand="1"/>
      </w:tblPr>
      <w:tblGrid>
        <w:gridCol w:w="2390"/>
        <w:gridCol w:w="1921"/>
        <w:gridCol w:w="730"/>
        <w:gridCol w:w="1758"/>
        <w:gridCol w:w="1019"/>
        <w:gridCol w:w="1099"/>
      </w:tblGrid>
      <w:tr w:rsidR="0008657C" w14:paraId="23DFE06C" w14:textId="77777777" w:rsidTr="0047610D">
        <w:trPr>
          <w:trHeight w:val="287"/>
        </w:trPr>
        <w:tc>
          <w:tcPr>
            <w:tcW w:w="2390" w:type="dxa"/>
            <w:tcBorders>
              <w:top w:val="single" w:sz="4" w:space="0" w:color="000000"/>
              <w:bottom w:val="single" w:sz="4" w:space="0" w:color="000000"/>
            </w:tcBorders>
          </w:tcPr>
          <w:p w14:paraId="23F613FE" w14:textId="77777777" w:rsidR="0008657C" w:rsidRDefault="0008657C" w:rsidP="0047610D">
            <w:pPr>
              <w:pStyle w:val="TableParagraph"/>
              <w:jc w:val="left"/>
              <w:rPr>
                <w:sz w:val="20"/>
              </w:rPr>
            </w:pPr>
          </w:p>
        </w:tc>
        <w:tc>
          <w:tcPr>
            <w:tcW w:w="1921" w:type="dxa"/>
            <w:tcBorders>
              <w:top w:val="single" w:sz="4" w:space="0" w:color="000000"/>
              <w:bottom w:val="single" w:sz="4" w:space="0" w:color="000000"/>
            </w:tcBorders>
          </w:tcPr>
          <w:p w14:paraId="3269CD85" w14:textId="77777777" w:rsidR="0008657C" w:rsidRPr="0008657C" w:rsidRDefault="0008657C" w:rsidP="0047610D">
            <w:pPr>
              <w:pStyle w:val="TableParagraph"/>
              <w:spacing w:line="240" w:lineRule="exact"/>
              <w:ind w:right="62"/>
              <w:rPr>
                <w:b/>
                <w:bCs/>
                <w:sz w:val="18"/>
                <w:szCs w:val="18"/>
              </w:rPr>
            </w:pPr>
            <w:r w:rsidRPr="0008657C">
              <w:rPr>
                <w:b/>
                <w:bCs/>
                <w:sz w:val="18"/>
                <w:szCs w:val="18"/>
              </w:rPr>
              <w:t xml:space="preserve">Sum of </w:t>
            </w:r>
            <w:r w:rsidRPr="0008657C">
              <w:rPr>
                <w:b/>
                <w:bCs/>
                <w:spacing w:val="-2"/>
                <w:sz w:val="18"/>
                <w:szCs w:val="18"/>
              </w:rPr>
              <w:t>Squares</w:t>
            </w:r>
          </w:p>
        </w:tc>
        <w:tc>
          <w:tcPr>
            <w:tcW w:w="730" w:type="dxa"/>
            <w:tcBorders>
              <w:top w:val="single" w:sz="4" w:space="0" w:color="000000"/>
              <w:bottom w:val="single" w:sz="4" w:space="0" w:color="000000"/>
            </w:tcBorders>
          </w:tcPr>
          <w:p w14:paraId="1FFE28EB" w14:textId="77777777" w:rsidR="0008657C" w:rsidRPr="0008657C" w:rsidRDefault="0008657C" w:rsidP="0047610D">
            <w:pPr>
              <w:pStyle w:val="TableParagraph"/>
              <w:spacing w:line="240" w:lineRule="exact"/>
              <w:ind w:left="3" w:right="17"/>
              <w:rPr>
                <w:b/>
                <w:bCs/>
                <w:sz w:val="18"/>
                <w:szCs w:val="18"/>
              </w:rPr>
            </w:pPr>
            <w:proofErr w:type="spellStart"/>
            <w:r w:rsidRPr="0008657C">
              <w:rPr>
                <w:b/>
                <w:bCs/>
                <w:spacing w:val="-5"/>
                <w:sz w:val="18"/>
                <w:szCs w:val="18"/>
              </w:rPr>
              <w:t>df</w:t>
            </w:r>
            <w:proofErr w:type="spellEnd"/>
          </w:p>
        </w:tc>
        <w:tc>
          <w:tcPr>
            <w:tcW w:w="1758" w:type="dxa"/>
            <w:tcBorders>
              <w:top w:val="single" w:sz="4" w:space="0" w:color="000000"/>
              <w:bottom w:val="single" w:sz="4" w:space="0" w:color="000000"/>
            </w:tcBorders>
          </w:tcPr>
          <w:p w14:paraId="7474870A" w14:textId="77777777" w:rsidR="0008657C" w:rsidRPr="0008657C" w:rsidRDefault="0008657C" w:rsidP="0047610D">
            <w:pPr>
              <w:pStyle w:val="TableParagraph"/>
              <w:spacing w:line="240" w:lineRule="exact"/>
              <w:ind w:left="44" w:right="4"/>
              <w:rPr>
                <w:b/>
                <w:bCs/>
                <w:i/>
                <w:sz w:val="18"/>
                <w:szCs w:val="18"/>
              </w:rPr>
            </w:pPr>
            <w:r w:rsidRPr="0008657C">
              <w:rPr>
                <w:b/>
                <w:bCs/>
                <w:i/>
                <w:sz w:val="18"/>
                <w:szCs w:val="18"/>
              </w:rPr>
              <w:t>Mean</w:t>
            </w:r>
            <w:r w:rsidRPr="0008657C">
              <w:rPr>
                <w:b/>
                <w:bCs/>
                <w:i/>
                <w:spacing w:val="-2"/>
                <w:sz w:val="18"/>
                <w:szCs w:val="18"/>
              </w:rPr>
              <w:t xml:space="preserve"> Square</w:t>
            </w:r>
          </w:p>
        </w:tc>
        <w:tc>
          <w:tcPr>
            <w:tcW w:w="1019" w:type="dxa"/>
            <w:tcBorders>
              <w:top w:val="single" w:sz="4" w:space="0" w:color="000000"/>
              <w:bottom w:val="single" w:sz="4" w:space="0" w:color="000000"/>
            </w:tcBorders>
          </w:tcPr>
          <w:p w14:paraId="356D6DA7" w14:textId="77777777" w:rsidR="0008657C" w:rsidRPr="0008657C" w:rsidRDefault="0008657C" w:rsidP="0047610D">
            <w:pPr>
              <w:pStyle w:val="TableParagraph"/>
              <w:spacing w:line="240" w:lineRule="exact"/>
              <w:ind w:right="37"/>
              <w:rPr>
                <w:b/>
                <w:bCs/>
                <w:i/>
                <w:sz w:val="18"/>
                <w:szCs w:val="18"/>
              </w:rPr>
            </w:pPr>
            <w:r w:rsidRPr="0008657C">
              <w:rPr>
                <w:b/>
                <w:bCs/>
                <w:i/>
                <w:spacing w:val="-10"/>
                <w:sz w:val="18"/>
                <w:szCs w:val="18"/>
              </w:rPr>
              <w:t>F</w:t>
            </w:r>
          </w:p>
        </w:tc>
        <w:tc>
          <w:tcPr>
            <w:tcW w:w="1099" w:type="dxa"/>
            <w:tcBorders>
              <w:top w:val="single" w:sz="4" w:space="0" w:color="000000"/>
              <w:bottom w:val="single" w:sz="4" w:space="0" w:color="000000"/>
            </w:tcBorders>
          </w:tcPr>
          <w:p w14:paraId="421467D3" w14:textId="77777777" w:rsidR="0008657C" w:rsidRPr="0008657C" w:rsidRDefault="0008657C" w:rsidP="0047610D">
            <w:pPr>
              <w:pStyle w:val="TableParagraph"/>
              <w:spacing w:line="240" w:lineRule="exact"/>
              <w:ind w:left="51" w:right="79"/>
              <w:rPr>
                <w:b/>
                <w:bCs/>
                <w:i/>
                <w:sz w:val="18"/>
                <w:szCs w:val="18"/>
              </w:rPr>
            </w:pPr>
            <w:r w:rsidRPr="0008657C">
              <w:rPr>
                <w:b/>
                <w:bCs/>
                <w:i/>
                <w:spacing w:val="-4"/>
                <w:sz w:val="18"/>
                <w:szCs w:val="18"/>
              </w:rPr>
              <w:t>Sig.</w:t>
            </w:r>
          </w:p>
        </w:tc>
      </w:tr>
      <w:tr w:rsidR="0008657C" w14:paraId="4A01E6C4" w14:textId="77777777" w:rsidTr="0047610D">
        <w:trPr>
          <w:trHeight w:val="282"/>
        </w:trPr>
        <w:tc>
          <w:tcPr>
            <w:tcW w:w="2390" w:type="dxa"/>
            <w:tcBorders>
              <w:top w:val="single" w:sz="4" w:space="0" w:color="000000"/>
            </w:tcBorders>
          </w:tcPr>
          <w:p w14:paraId="5EB14FBF" w14:textId="77777777" w:rsidR="0008657C" w:rsidRDefault="0008657C" w:rsidP="0047610D">
            <w:pPr>
              <w:pStyle w:val="TableParagraph"/>
              <w:spacing w:line="239" w:lineRule="exact"/>
              <w:ind w:left="129"/>
              <w:jc w:val="left"/>
              <w:rPr>
                <w:sz w:val="20"/>
              </w:rPr>
            </w:pPr>
            <w:r>
              <w:rPr>
                <w:sz w:val="20"/>
              </w:rPr>
              <w:t>Between</w:t>
            </w:r>
            <w:r>
              <w:rPr>
                <w:spacing w:val="-3"/>
                <w:sz w:val="20"/>
              </w:rPr>
              <w:t xml:space="preserve"> </w:t>
            </w:r>
            <w:r>
              <w:rPr>
                <w:spacing w:val="-2"/>
                <w:sz w:val="20"/>
              </w:rPr>
              <w:t>Groups</w:t>
            </w:r>
          </w:p>
        </w:tc>
        <w:tc>
          <w:tcPr>
            <w:tcW w:w="1921" w:type="dxa"/>
            <w:tcBorders>
              <w:top w:val="single" w:sz="4" w:space="0" w:color="000000"/>
            </w:tcBorders>
          </w:tcPr>
          <w:p w14:paraId="534D3B49" w14:textId="77777777" w:rsidR="0008657C" w:rsidRDefault="0008657C" w:rsidP="0047610D">
            <w:pPr>
              <w:pStyle w:val="TableParagraph"/>
              <w:spacing w:line="239" w:lineRule="exact"/>
              <w:ind w:left="1" w:right="62"/>
              <w:rPr>
                <w:sz w:val="20"/>
              </w:rPr>
            </w:pPr>
            <w:r>
              <w:rPr>
                <w:spacing w:val="-2"/>
                <w:sz w:val="20"/>
              </w:rPr>
              <w:t>0,137</w:t>
            </w:r>
          </w:p>
        </w:tc>
        <w:tc>
          <w:tcPr>
            <w:tcW w:w="730" w:type="dxa"/>
            <w:tcBorders>
              <w:top w:val="single" w:sz="4" w:space="0" w:color="000000"/>
            </w:tcBorders>
          </w:tcPr>
          <w:p w14:paraId="54E844BF" w14:textId="77777777" w:rsidR="0008657C" w:rsidRDefault="0008657C" w:rsidP="0047610D">
            <w:pPr>
              <w:pStyle w:val="TableParagraph"/>
              <w:spacing w:line="239" w:lineRule="exact"/>
              <w:ind w:right="17"/>
              <w:rPr>
                <w:sz w:val="20"/>
              </w:rPr>
            </w:pPr>
            <w:r>
              <w:rPr>
                <w:spacing w:val="-10"/>
                <w:sz w:val="20"/>
              </w:rPr>
              <w:t>2</w:t>
            </w:r>
          </w:p>
        </w:tc>
        <w:tc>
          <w:tcPr>
            <w:tcW w:w="1758" w:type="dxa"/>
            <w:tcBorders>
              <w:top w:val="single" w:sz="4" w:space="0" w:color="000000"/>
            </w:tcBorders>
          </w:tcPr>
          <w:p w14:paraId="6DA23C6F" w14:textId="77777777" w:rsidR="0008657C" w:rsidRDefault="0008657C" w:rsidP="0047610D">
            <w:pPr>
              <w:pStyle w:val="TableParagraph"/>
              <w:spacing w:line="239" w:lineRule="exact"/>
              <w:ind w:left="44"/>
              <w:rPr>
                <w:sz w:val="20"/>
              </w:rPr>
            </w:pPr>
            <w:r>
              <w:rPr>
                <w:spacing w:val="-2"/>
                <w:sz w:val="20"/>
              </w:rPr>
              <w:t>0,069</w:t>
            </w:r>
          </w:p>
        </w:tc>
        <w:tc>
          <w:tcPr>
            <w:tcW w:w="1019" w:type="dxa"/>
            <w:tcBorders>
              <w:top w:val="single" w:sz="4" w:space="0" w:color="000000"/>
            </w:tcBorders>
          </w:tcPr>
          <w:p w14:paraId="03F5617E" w14:textId="77777777" w:rsidR="0008657C" w:rsidRDefault="0008657C" w:rsidP="0047610D">
            <w:pPr>
              <w:pStyle w:val="TableParagraph"/>
              <w:spacing w:line="239" w:lineRule="exact"/>
              <w:ind w:right="37"/>
              <w:rPr>
                <w:sz w:val="20"/>
              </w:rPr>
            </w:pPr>
            <w:r>
              <w:rPr>
                <w:spacing w:val="-2"/>
                <w:sz w:val="20"/>
              </w:rPr>
              <w:t>1,336</w:t>
            </w:r>
          </w:p>
        </w:tc>
        <w:tc>
          <w:tcPr>
            <w:tcW w:w="1099" w:type="dxa"/>
            <w:tcBorders>
              <w:top w:val="single" w:sz="4" w:space="0" w:color="000000"/>
            </w:tcBorders>
          </w:tcPr>
          <w:p w14:paraId="77A9D94A" w14:textId="77777777" w:rsidR="0008657C" w:rsidRDefault="0008657C" w:rsidP="0047610D">
            <w:pPr>
              <w:pStyle w:val="TableParagraph"/>
              <w:spacing w:line="239" w:lineRule="exact"/>
              <w:ind w:left="51" w:right="79"/>
              <w:rPr>
                <w:sz w:val="20"/>
              </w:rPr>
            </w:pPr>
            <w:r>
              <w:rPr>
                <w:spacing w:val="-2"/>
                <w:sz w:val="20"/>
              </w:rPr>
              <w:t>0,282</w:t>
            </w:r>
          </w:p>
        </w:tc>
      </w:tr>
      <w:tr w:rsidR="0008657C" w14:paraId="439A5FAC" w14:textId="77777777" w:rsidTr="0047610D">
        <w:trPr>
          <w:trHeight w:val="309"/>
        </w:trPr>
        <w:tc>
          <w:tcPr>
            <w:tcW w:w="2390" w:type="dxa"/>
          </w:tcPr>
          <w:p w14:paraId="45FEC2D9" w14:textId="77777777" w:rsidR="0008657C" w:rsidRDefault="0008657C" w:rsidP="0047610D">
            <w:pPr>
              <w:pStyle w:val="TableParagraph"/>
              <w:spacing w:before="11"/>
              <w:ind w:left="129"/>
              <w:jc w:val="left"/>
              <w:rPr>
                <w:sz w:val="20"/>
              </w:rPr>
            </w:pPr>
            <w:r>
              <w:rPr>
                <w:sz w:val="20"/>
              </w:rPr>
              <w:t>Within</w:t>
            </w:r>
            <w:r>
              <w:rPr>
                <w:spacing w:val="-1"/>
                <w:sz w:val="20"/>
              </w:rPr>
              <w:t xml:space="preserve"> </w:t>
            </w:r>
            <w:r>
              <w:rPr>
                <w:spacing w:val="-2"/>
                <w:sz w:val="20"/>
              </w:rPr>
              <w:t>Groups</w:t>
            </w:r>
          </w:p>
        </w:tc>
        <w:tc>
          <w:tcPr>
            <w:tcW w:w="1921" w:type="dxa"/>
          </w:tcPr>
          <w:p w14:paraId="5985C9E9" w14:textId="77777777" w:rsidR="0008657C" w:rsidRDefault="0008657C" w:rsidP="0047610D">
            <w:pPr>
              <w:pStyle w:val="TableParagraph"/>
              <w:spacing w:before="11"/>
              <w:ind w:left="1" w:right="62"/>
              <w:rPr>
                <w:sz w:val="20"/>
              </w:rPr>
            </w:pPr>
            <w:r>
              <w:rPr>
                <w:spacing w:val="-2"/>
                <w:sz w:val="20"/>
              </w:rPr>
              <w:t>1,234</w:t>
            </w:r>
          </w:p>
        </w:tc>
        <w:tc>
          <w:tcPr>
            <w:tcW w:w="730" w:type="dxa"/>
          </w:tcPr>
          <w:p w14:paraId="7C9FC9A1" w14:textId="77777777" w:rsidR="0008657C" w:rsidRDefault="0008657C" w:rsidP="0047610D">
            <w:pPr>
              <w:pStyle w:val="TableParagraph"/>
              <w:spacing w:before="11"/>
              <w:ind w:right="17"/>
              <w:rPr>
                <w:sz w:val="20"/>
              </w:rPr>
            </w:pPr>
            <w:r>
              <w:rPr>
                <w:spacing w:val="-5"/>
                <w:sz w:val="20"/>
              </w:rPr>
              <w:t>24</w:t>
            </w:r>
          </w:p>
        </w:tc>
        <w:tc>
          <w:tcPr>
            <w:tcW w:w="1758" w:type="dxa"/>
          </w:tcPr>
          <w:p w14:paraId="19072B76" w14:textId="77777777" w:rsidR="0008657C" w:rsidRDefault="0008657C" w:rsidP="0047610D">
            <w:pPr>
              <w:pStyle w:val="TableParagraph"/>
              <w:spacing w:before="11"/>
              <w:ind w:left="44"/>
              <w:rPr>
                <w:sz w:val="20"/>
              </w:rPr>
            </w:pPr>
            <w:r>
              <w:rPr>
                <w:spacing w:val="-2"/>
                <w:sz w:val="20"/>
              </w:rPr>
              <w:t>0,051</w:t>
            </w:r>
          </w:p>
        </w:tc>
        <w:tc>
          <w:tcPr>
            <w:tcW w:w="1019" w:type="dxa"/>
          </w:tcPr>
          <w:p w14:paraId="431B1F04" w14:textId="77777777" w:rsidR="0008657C" w:rsidRDefault="0008657C" w:rsidP="0047610D">
            <w:pPr>
              <w:pStyle w:val="TableParagraph"/>
              <w:jc w:val="left"/>
              <w:rPr>
                <w:sz w:val="20"/>
              </w:rPr>
            </w:pPr>
          </w:p>
        </w:tc>
        <w:tc>
          <w:tcPr>
            <w:tcW w:w="1099" w:type="dxa"/>
          </w:tcPr>
          <w:p w14:paraId="0281AB6E" w14:textId="77777777" w:rsidR="0008657C" w:rsidRDefault="0008657C" w:rsidP="0047610D">
            <w:pPr>
              <w:pStyle w:val="TableParagraph"/>
              <w:jc w:val="left"/>
              <w:rPr>
                <w:sz w:val="20"/>
              </w:rPr>
            </w:pPr>
          </w:p>
        </w:tc>
      </w:tr>
      <w:tr w:rsidR="0008657C" w14:paraId="6E84C52F" w14:textId="77777777" w:rsidTr="0047610D">
        <w:trPr>
          <w:trHeight w:val="360"/>
        </w:trPr>
        <w:tc>
          <w:tcPr>
            <w:tcW w:w="2390" w:type="dxa"/>
            <w:tcBorders>
              <w:bottom w:val="single" w:sz="4" w:space="0" w:color="000000"/>
            </w:tcBorders>
          </w:tcPr>
          <w:p w14:paraId="1455129F" w14:textId="77777777" w:rsidR="0008657C" w:rsidRDefault="0008657C" w:rsidP="0047610D">
            <w:pPr>
              <w:pStyle w:val="TableParagraph"/>
              <w:spacing w:before="11"/>
              <w:ind w:left="129"/>
              <w:jc w:val="left"/>
              <w:rPr>
                <w:sz w:val="20"/>
              </w:rPr>
            </w:pPr>
            <w:r>
              <w:rPr>
                <w:spacing w:val="-2"/>
                <w:sz w:val="20"/>
              </w:rPr>
              <w:t>Total</w:t>
            </w:r>
          </w:p>
        </w:tc>
        <w:tc>
          <w:tcPr>
            <w:tcW w:w="1921" w:type="dxa"/>
            <w:tcBorders>
              <w:bottom w:val="single" w:sz="4" w:space="0" w:color="000000"/>
            </w:tcBorders>
          </w:tcPr>
          <w:p w14:paraId="1EB80CAB" w14:textId="77777777" w:rsidR="0008657C" w:rsidRDefault="0008657C" w:rsidP="0047610D">
            <w:pPr>
              <w:pStyle w:val="TableParagraph"/>
              <w:spacing w:before="11"/>
              <w:ind w:left="1" w:right="62"/>
              <w:rPr>
                <w:sz w:val="20"/>
              </w:rPr>
            </w:pPr>
            <w:r>
              <w:rPr>
                <w:spacing w:val="-2"/>
                <w:sz w:val="20"/>
              </w:rPr>
              <w:t>1,371</w:t>
            </w:r>
          </w:p>
        </w:tc>
        <w:tc>
          <w:tcPr>
            <w:tcW w:w="730" w:type="dxa"/>
            <w:tcBorders>
              <w:bottom w:val="single" w:sz="4" w:space="0" w:color="000000"/>
            </w:tcBorders>
          </w:tcPr>
          <w:p w14:paraId="15CACAB9" w14:textId="77777777" w:rsidR="0008657C" w:rsidRDefault="0008657C" w:rsidP="0047610D">
            <w:pPr>
              <w:pStyle w:val="TableParagraph"/>
              <w:spacing w:before="11"/>
              <w:ind w:right="17"/>
              <w:rPr>
                <w:sz w:val="20"/>
              </w:rPr>
            </w:pPr>
            <w:r>
              <w:rPr>
                <w:spacing w:val="-5"/>
                <w:sz w:val="20"/>
              </w:rPr>
              <w:t>26</w:t>
            </w:r>
          </w:p>
        </w:tc>
        <w:tc>
          <w:tcPr>
            <w:tcW w:w="1758" w:type="dxa"/>
            <w:tcBorders>
              <w:bottom w:val="single" w:sz="4" w:space="0" w:color="000000"/>
            </w:tcBorders>
          </w:tcPr>
          <w:p w14:paraId="1FCFE371" w14:textId="77777777" w:rsidR="0008657C" w:rsidRDefault="0008657C" w:rsidP="0047610D">
            <w:pPr>
              <w:pStyle w:val="TableParagraph"/>
              <w:jc w:val="left"/>
              <w:rPr>
                <w:sz w:val="20"/>
              </w:rPr>
            </w:pPr>
          </w:p>
        </w:tc>
        <w:tc>
          <w:tcPr>
            <w:tcW w:w="1019" w:type="dxa"/>
            <w:tcBorders>
              <w:bottom w:val="single" w:sz="4" w:space="0" w:color="000000"/>
            </w:tcBorders>
          </w:tcPr>
          <w:p w14:paraId="05551D6D" w14:textId="77777777" w:rsidR="0008657C" w:rsidRDefault="0008657C" w:rsidP="0047610D">
            <w:pPr>
              <w:pStyle w:val="TableParagraph"/>
              <w:jc w:val="left"/>
              <w:rPr>
                <w:sz w:val="20"/>
              </w:rPr>
            </w:pPr>
          </w:p>
        </w:tc>
        <w:tc>
          <w:tcPr>
            <w:tcW w:w="1099" w:type="dxa"/>
            <w:tcBorders>
              <w:bottom w:val="single" w:sz="4" w:space="0" w:color="000000"/>
            </w:tcBorders>
          </w:tcPr>
          <w:p w14:paraId="2D569AFE" w14:textId="77777777" w:rsidR="0008657C" w:rsidRDefault="0008657C" w:rsidP="0047610D">
            <w:pPr>
              <w:pStyle w:val="TableParagraph"/>
              <w:jc w:val="left"/>
              <w:rPr>
                <w:sz w:val="20"/>
              </w:rPr>
            </w:pPr>
          </w:p>
        </w:tc>
      </w:tr>
    </w:tbl>
    <w:p w14:paraId="457D9E87" w14:textId="35859FD0" w:rsidR="00616F3B" w:rsidRPr="00075EA6" w:rsidRDefault="0008657C" w:rsidP="003A287B">
      <w:pPr>
        <w:pStyle w:val="Heading2"/>
      </w:pPr>
      <w:r>
        <w:t>DISCUSSION</w:t>
      </w:r>
    </w:p>
    <w:p w14:paraId="1CFB3329" w14:textId="77777777" w:rsidR="0008657C" w:rsidRPr="0008657C" w:rsidRDefault="0008657C" w:rsidP="0008657C">
      <w:pPr>
        <w:pStyle w:val="Paragraph"/>
      </w:pPr>
      <w:r w:rsidRPr="0008657C">
        <w:t>Based on the research results, the average K</w:t>
      </w:r>
      <w:r w:rsidRPr="0008657C">
        <w:rPr>
          <w:vertAlign w:val="subscript"/>
        </w:rPr>
        <w:t>IC</w:t>
      </w:r>
      <w:r w:rsidRPr="0008657C">
        <w:t xml:space="preserve"> value from soaking in 15% </w:t>
      </w:r>
      <w:proofErr w:type="spellStart"/>
      <w:r w:rsidRPr="0008657C">
        <w:t>betle</w:t>
      </w:r>
      <w:proofErr w:type="spellEnd"/>
      <w:r w:rsidRPr="0008657C">
        <w:t xml:space="preserve"> leaf extract, </w:t>
      </w:r>
      <w:proofErr w:type="spellStart"/>
      <w:r w:rsidRPr="0008657C">
        <w:t>Polident</w:t>
      </w:r>
      <w:proofErr w:type="spellEnd"/>
      <w:r w:rsidRPr="0008657C">
        <w:t xml:space="preserve">, and </w:t>
      </w:r>
      <w:proofErr w:type="spellStart"/>
      <w:r w:rsidRPr="0008657C">
        <w:t>aquadest</w:t>
      </w:r>
      <w:proofErr w:type="spellEnd"/>
      <w:r w:rsidRPr="0008657C">
        <w:t xml:space="preserve"> differed from each other, but the difference was not significant. Soaking using 15% </w:t>
      </w:r>
      <w:proofErr w:type="spellStart"/>
      <w:r w:rsidRPr="0008657C">
        <w:t>betle</w:t>
      </w:r>
      <w:proofErr w:type="spellEnd"/>
      <w:r w:rsidRPr="0008657C">
        <w:t xml:space="preserve"> leaf extract had the smallest average K</w:t>
      </w:r>
      <w:r w:rsidRPr="0008657C">
        <w:rPr>
          <w:vertAlign w:val="subscript"/>
        </w:rPr>
        <w:t>IC</w:t>
      </w:r>
      <w:r w:rsidRPr="0008657C">
        <w:t xml:space="preserve"> value compared to soaking using </w:t>
      </w:r>
      <w:proofErr w:type="spellStart"/>
      <w:r w:rsidRPr="0008657C">
        <w:t>aquadest</w:t>
      </w:r>
      <w:proofErr w:type="spellEnd"/>
      <w:r w:rsidRPr="0008657C">
        <w:t xml:space="preserve"> and </w:t>
      </w:r>
      <w:proofErr w:type="spellStart"/>
      <w:r w:rsidRPr="0008657C">
        <w:t>Polident</w:t>
      </w:r>
      <w:proofErr w:type="spellEnd"/>
      <w:r w:rsidRPr="0008657C">
        <w:t xml:space="preserve"> solution. While the largest average K</w:t>
      </w:r>
      <w:r w:rsidRPr="0008657C">
        <w:rPr>
          <w:vertAlign w:val="subscript"/>
        </w:rPr>
        <w:t>IC</w:t>
      </w:r>
      <w:r w:rsidRPr="0008657C">
        <w:t xml:space="preserve"> value was recorded in soaking with </w:t>
      </w:r>
      <w:proofErr w:type="spellStart"/>
      <w:r w:rsidRPr="0008657C">
        <w:t>Polident</w:t>
      </w:r>
      <w:proofErr w:type="spellEnd"/>
      <w:r w:rsidRPr="0008657C">
        <w:t xml:space="preserve"> solution.</w:t>
      </w:r>
    </w:p>
    <w:p w14:paraId="6BE6643D" w14:textId="77777777" w:rsidR="0008657C" w:rsidRPr="0008657C" w:rsidRDefault="0008657C" w:rsidP="0008657C">
      <w:pPr>
        <w:pStyle w:val="Paragraph"/>
      </w:pPr>
      <w:r w:rsidRPr="0008657C">
        <w:t>The large difference in fracture toughness (K</w:t>
      </w:r>
      <w:r w:rsidRPr="0008657C">
        <w:rPr>
          <w:vertAlign w:val="subscript"/>
        </w:rPr>
        <w:t>IC</w:t>
      </w:r>
      <w:r w:rsidRPr="0008657C">
        <w:t>) values in heat polymerized acrylic resin may occur because fracture toughness is related to clinical fractures</w:t>
      </w:r>
      <w:r w:rsidRPr="0008657C">
        <w:rPr>
          <w:vertAlign w:val="superscript"/>
        </w:rPr>
        <w:t>5,6</w:t>
      </w:r>
      <w:r w:rsidRPr="0008657C">
        <w:t xml:space="preserve">. According to Dahar and </w:t>
      </w:r>
      <w:proofErr w:type="spellStart"/>
      <w:r w:rsidRPr="0008657C">
        <w:t>Handayani</w:t>
      </w:r>
      <w:proofErr w:type="spellEnd"/>
      <w:r w:rsidRPr="0008657C">
        <w:t xml:space="preserve"> (2020), heat polymerized acrylic resin plates are easily fractured because they have low transverse strength and impact strength</w:t>
      </w:r>
      <w:r w:rsidRPr="0008657C">
        <w:rPr>
          <w:vertAlign w:val="superscript"/>
        </w:rPr>
        <w:t>7</w:t>
      </w:r>
      <w:r w:rsidRPr="0008657C">
        <w:t>.</w:t>
      </w:r>
    </w:p>
    <w:p w14:paraId="00A068C8" w14:textId="77777777" w:rsidR="0008657C" w:rsidRPr="0008657C" w:rsidRDefault="0008657C" w:rsidP="0008657C">
      <w:pPr>
        <w:pStyle w:val="Paragraph"/>
      </w:pPr>
      <w:r w:rsidRPr="0008657C">
        <w:t xml:space="preserve">The difference in the magnitude of the fracture toughness value can occur due to the difference in the magnitude of the transverse strength of the heat polymerized acrylic resin plate that has been soaked in 15% </w:t>
      </w:r>
      <w:proofErr w:type="spellStart"/>
      <w:r w:rsidRPr="0008657C">
        <w:t>betle</w:t>
      </w:r>
      <w:proofErr w:type="spellEnd"/>
      <w:r w:rsidRPr="0008657C">
        <w:t xml:space="preserve"> leaf extract </w:t>
      </w:r>
      <w:r w:rsidRPr="0008657C">
        <w:lastRenderedPageBreak/>
        <w:t xml:space="preserve">solution and </w:t>
      </w:r>
      <w:proofErr w:type="spellStart"/>
      <w:r w:rsidRPr="0008657C">
        <w:t>Polident</w:t>
      </w:r>
      <w:proofErr w:type="spellEnd"/>
      <w:r w:rsidRPr="0008657C">
        <w:t xml:space="preserve">. This is in line with research conducted by </w:t>
      </w:r>
      <w:proofErr w:type="spellStart"/>
      <w:r w:rsidRPr="0008657C">
        <w:t>Nugrahini</w:t>
      </w:r>
      <w:proofErr w:type="spellEnd"/>
      <w:r w:rsidRPr="0008657C">
        <w:t xml:space="preserve"> et al. (2022), soaking the RAPP plate for 1 hour in 15% </w:t>
      </w:r>
      <w:proofErr w:type="spellStart"/>
      <w:r w:rsidRPr="0008657C">
        <w:t>betle</w:t>
      </w:r>
      <w:proofErr w:type="spellEnd"/>
      <w:r w:rsidRPr="0008657C">
        <w:t xml:space="preserve"> leaf extract solution experienced a significant decrease in transverse strength when compared to the group soaked in aquadest</w:t>
      </w:r>
      <w:r w:rsidRPr="0008657C">
        <w:rPr>
          <w:vertAlign w:val="superscript"/>
        </w:rPr>
        <w:t>18</w:t>
      </w:r>
      <w:r w:rsidRPr="0008657C">
        <w:t xml:space="preserve">. Research by Shah et al. (2015) stated that there was a significant difference in soaking the RAPP plate for 6 months using </w:t>
      </w:r>
      <w:proofErr w:type="spellStart"/>
      <w:r w:rsidRPr="0008657C">
        <w:t>Polident</w:t>
      </w:r>
      <w:proofErr w:type="spellEnd"/>
      <w:r w:rsidRPr="0008657C">
        <w:t xml:space="preserve"> solution for 3 minutes per day when compared to using </w:t>
      </w:r>
      <w:proofErr w:type="spellStart"/>
      <w:r w:rsidRPr="0008657C">
        <w:t>aquadest</w:t>
      </w:r>
      <w:proofErr w:type="spellEnd"/>
      <w:r w:rsidRPr="0008657C">
        <w:t xml:space="preserve"> </w:t>
      </w:r>
      <w:r w:rsidRPr="0008657C">
        <w:rPr>
          <w:vertAlign w:val="superscript"/>
        </w:rPr>
        <w:t>19</w:t>
      </w:r>
      <w:r w:rsidRPr="0008657C">
        <w:t>.</w:t>
      </w:r>
    </w:p>
    <w:p w14:paraId="24E0746F" w14:textId="77777777" w:rsidR="0008657C" w:rsidRPr="0008657C" w:rsidRDefault="0008657C" w:rsidP="0008657C">
      <w:pPr>
        <w:pStyle w:val="Paragraph"/>
      </w:pPr>
      <w:r w:rsidRPr="0008657C">
        <w:t xml:space="preserve">The decrease in the transverse strength of RAPP when immersed in a 15% </w:t>
      </w:r>
      <w:proofErr w:type="spellStart"/>
      <w:r w:rsidRPr="0008657C">
        <w:t>betle</w:t>
      </w:r>
      <w:proofErr w:type="spellEnd"/>
      <w:r w:rsidRPr="0008657C">
        <w:t xml:space="preserve"> leaf extract solution occurs due to the presence of phenol content that can enter the PMMA chain structure and damage its chain bonds. In addition, phenol has higher acidic and polar properties than PMMA. In acidic conditions, acrylic resin polymers will hydrolyze into carboxylic acids and alcohols. The breakdown of the polymer causes degradation of the chemical bonds of acrylic resin</w:t>
      </w:r>
      <w:r w:rsidRPr="0008657C">
        <w:rPr>
          <w:vertAlign w:val="superscript"/>
        </w:rPr>
        <w:t>18</w:t>
      </w:r>
      <w:r w:rsidRPr="0008657C">
        <w:t>. The hydrolytic degradation process in PMMA can cause PMMA to be susceptible to fracture</w:t>
      </w:r>
      <w:r w:rsidRPr="0008657C">
        <w:rPr>
          <w:vertAlign w:val="superscript"/>
        </w:rPr>
        <w:t>20</w:t>
      </w:r>
      <w:r w:rsidRPr="0008657C">
        <w:t>.</w:t>
      </w:r>
    </w:p>
    <w:p w14:paraId="51DF8D82" w14:textId="77777777" w:rsidR="0008657C" w:rsidRPr="0008657C" w:rsidRDefault="0008657C" w:rsidP="0008657C">
      <w:pPr>
        <w:pStyle w:val="Paragraph"/>
      </w:pPr>
      <w:r w:rsidRPr="0008657C">
        <w:t>In this study, the average value of K</w:t>
      </w:r>
      <w:r w:rsidRPr="0008657C">
        <w:rPr>
          <w:vertAlign w:val="subscript"/>
        </w:rPr>
        <w:t>IC</w:t>
      </w:r>
      <w:r w:rsidRPr="0008657C">
        <w:t xml:space="preserve"> RAPP after immersion in </w:t>
      </w:r>
      <w:proofErr w:type="spellStart"/>
      <w:r w:rsidRPr="0008657C">
        <w:t>Polident</w:t>
      </w:r>
      <w:proofErr w:type="spellEnd"/>
      <w:r w:rsidRPr="0008657C">
        <w:t xml:space="preserve"> solution was higher than the average K</w:t>
      </w:r>
      <w:r w:rsidRPr="0008657C">
        <w:rPr>
          <w:vertAlign w:val="subscript"/>
        </w:rPr>
        <w:t>IC</w:t>
      </w:r>
      <w:r w:rsidRPr="0008657C">
        <w:t xml:space="preserve"> RAPP</w:t>
      </w:r>
      <w:r w:rsidRPr="0008657C">
        <w:rPr>
          <w:vertAlign w:val="superscript"/>
        </w:rPr>
        <w:t>20</w:t>
      </w:r>
      <w:r w:rsidRPr="0008657C">
        <w:t>. This indicates an increase in the K</w:t>
      </w:r>
      <w:r w:rsidRPr="0008657C">
        <w:rPr>
          <w:vertAlign w:val="subscript"/>
        </w:rPr>
        <w:t>IC</w:t>
      </w:r>
      <w:r w:rsidRPr="0008657C">
        <w:t xml:space="preserve"> RAPP value after immersion in </w:t>
      </w:r>
      <w:proofErr w:type="spellStart"/>
      <w:r w:rsidRPr="0008657C">
        <w:t>Polident</w:t>
      </w:r>
      <w:proofErr w:type="spellEnd"/>
      <w:r w:rsidRPr="0008657C">
        <w:t xml:space="preserve"> solution. This can occur due to the influence of the soaking time of the RAPP plate which can increase the K</w:t>
      </w:r>
      <w:r w:rsidRPr="0008657C">
        <w:rPr>
          <w:vertAlign w:val="subscript"/>
        </w:rPr>
        <w:t>IC</w:t>
      </w:r>
      <w:r w:rsidRPr="0008657C">
        <w:t xml:space="preserve"> value. This increase can occur due to the release of residual RAPP monomers during immersion</w:t>
      </w:r>
      <w:r w:rsidRPr="0008657C">
        <w:rPr>
          <w:vertAlign w:val="superscript"/>
        </w:rPr>
        <w:t>21</w:t>
      </w:r>
      <w:r w:rsidRPr="0008657C">
        <w:t xml:space="preserve">. According to </w:t>
      </w:r>
      <w:proofErr w:type="spellStart"/>
      <w:r w:rsidRPr="0008657C">
        <w:t>Nugrahini</w:t>
      </w:r>
      <w:proofErr w:type="spellEnd"/>
      <w:r w:rsidRPr="0008657C">
        <w:t xml:space="preserve"> et al. (2022), the dissolution of </w:t>
      </w:r>
      <w:proofErr w:type="spellStart"/>
      <w:r w:rsidRPr="0008657C">
        <w:t>Polident</w:t>
      </w:r>
      <w:proofErr w:type="spellEnd"/>
      <w:r w:rsidRPr="0008657C">
        <w:t xml:space="preserve"> causes the formation of oxygen bubbles for the mechanical cleaning process of RAPP. This oxygen release causes the tertiary amine accelerator to not react in the resin matrix</w:t>
      </w:r>
      <w:r w:rsidRPr="0008657C">
        <w:rPr>
          <w:vertAlign w:val="superscript"/>
        </w:rPr>
        <w:t>18</w:t>
      </w:r>
      <w:r w:rsidRPr="0008657C">
        <w:t>. The average value of K</w:t>
      </w:r>
      <w:r w:rsidRPr="0008657C">
        <w:rPr>
          <w:vertAlign w:val="subscript"/>
        </w:rPr>
        <w:t>IC</w:t>
      </w:r>
      <w:r w:rsidRPr="0008657C">
        <w:t xml:space="preserve"> RAPP soaked in distilled water is higher than the fracture toughness of RAPP soaked in 15% </w:t>
      </w:r>
      <w:proofErr w:type="spellStart"/>
      <w:r w:rsidRPr="0008657C">
        <w:t>betle</w:t>
      </w:r>
      <w:proofErr w:type="spellEnd"/>
      <w:r w:rsidRPr="0008657C">
        <w:t xml:space="preserve"> leaf extract solution, but lower than K</w:t>
      </w:r>
      <w:r w:rsidRPr="0008657C">
        <w:rPr>
          <w:vertAlign w:val="subscript"/>
        </w:rPr>
        <w:t>IC</w:t>
      </w:r>
      <w:r w:rsidRPr="0008657C">
        <w:t xml:space="preserve"> RAPP soaked in </w:t>
      </w:r>
      <w:proofErr w:type="spellStart"/>
      <w:r w:rsidRPr="0008657C">
        <w:t>Polident</w:t>
      </w:r>
      <w:proofErr w:type="spellEnd"/>
      <w:r w:rsidRPr="0008657C">
        <w:t xml:space="preserve"> solution. </w:t>
      </w:r>
      <w:proofErr w:type="spellStart"/>
      <w:r w:rsidRPr="0008657C">
        <w:t>Aquades</w:t>
      </w:r>
      <w:proofErr w:type="spellEnd"/>
      <w:r w:rsidRPr="0008657C">
        <w:t xml:space="preserve"> is pure H2O from water distillation, so it has less effect in dissolving polymer bond particles because it does not contain minerals. This is different from mineral water which is a universal solvent that can dissolve particles easily</w:t>
      </w:r>
      <w:r w:rsidRPr="0008657C">
        <w:rPr>
          <w:vertAlign w:val="superscript"/>
        </w:rPr>
        <w:t>18</w:t>
      </w:r>
      <w:r w:rsidRPr="0008657C">
        <w:t>. In addition, RAPP has water absorption properties when submerged. This physical property allows water to enter the polymer chain</w:t>
      </w:r>
      <w:r w:rsidRPr="0008657C">
        <w:rPr>
          <w:vertAlign w:val="superscript"/>
        </w:rPr>
        <w:t>9</w:t>
      </w:r>
      <w:r w:rsidRPr="0008657C">
        <w:t>. The solution will be absorbed into the micro porosity of acrylic resin and will affect the bonds between molecules. The longer the soaking time, the more solution particles will be absorbed into the micro porosity of acrylic resin, which will reduce the mechanical strength</w:t>
      </w:r>
      <w:r w:rsidRPr="0008657C">
        <w:rPr>
          <w:vertAlign w:val="superscript"/>
        </w:rPr>
        <w:t>10</w:t>
      </w:r>
      <w:r w:rsidRPr="0008657C">
        <w:t>.</w:t>
      </w:r>
    </w:p>
    <w:p w14:paraId="5A73B264" w14:textId="3657EBCB" w:rsidR="003E7C74" w:rsidRPr="00075EA6" w:rsidRDefault="0008657C" w:rsidP="0008657C">
      <w:pPr>
        <w:pStyle w:val="Paragraph"/>
      </w:pPr>
      <w:r w:rsidRPr="0008657C">
        <w:t xml:space="preserve">Soaking of heat polymerized acrylic resin in 15% </w:t>
      </w:r>
      <w:proofErr w:type="spellStart"/>
      <w:r w:rsidRPr="0008657C">
        <w:t>betle</w:t>
      </w:r>
      <w:proofErr w:type="spellEnd"/>
      <w:r w:rsidRPr="0008657C">
        <w:t xml:space="preserve"> leaf extract solution, </w:t>
      </w:r>
      <w:proofErr w:type="spellStart"/>
      <w:r w:rsidRPr="0008657C">
        <w:t>Polident</w:t>
      </w:r>
      <w:proofErr w:type="spellEnd"/>
      <w:r w:rsidRPr="0008657C">
        <w:t xml:space="preserve">, and </w:t>
      </w:r>
      <w:proofErr w:type="spellStart"/>
      <w:r w:rsidRPr="0008657C">
        <w:t>aquades</w:t>
      </w:r>
      <w:proofErr w:type="spellEnd"/>
      <w:r w:rsidRPr="0008657C">
        <w:t xml:space="preserve"> showed no significant difference due to the duration of soaking of the three same treatments. This can occur due to the occurrence of water absorption and release of residual monomers during RAPP plate immersion. Water absorption occurs when water can penetrate into the polymer structure and replace the polymer chain causing the intermolecular forces between the chains to decrease and weaken the material. On the other hand, the fracture resistance of the denture base material will increase after long-term immersion due to the release of residual acrylic resin monomers which are factors that can reduce the mechanical properties of acrylic resin </w:t>
      </w:r>
      <w:r w:rsidRPr="0008657C">
        <w:rPr>
          <w:vertAlign w:val="superscript"/>
        </w:rPr>
        <w:t>20,21,22</w:t>
      </w:r>
      <w:r w:rsidRPr="0008657C">
        <w:t>.</w:t>
      </w:r>
    </w:p>
    <w:p w14:paraId="238F91B4" w14:textId="4CC59581" w:rsidR="00D87E2A" w:rsidRDefault="00D87E2A" w:rsidP="00D87E2A">
      <w:pPr>
        <w:pStyle w:val="Heading1"/>
        <w:rPr>
          <w:b w:val="0"/>
          <w:caps w:val="0"/>
          <w:sz w:val="20"/>
        </w:rPr>
      </w:pPr>
      <w:r>
        <w:rPr>
          <w:rFonts w:asciiTheme="majorBidi" w:hAnsiTheme="majorBidi" w:cstheme="majorBidi"/>
        </w:rPr>
        <w:t>CONCLUSION</w:t>
      </w:r>
    </w:p>
    <w:p w14:paraId="55D56508" w14:textId="581C96C4" w:rsidR="00D87E2A" w:rsidRPr="00A24F3D" w:rsidRDefault="0008657C" w:rsidP="003B0050">
      <w:pPr>
        <w:pStyle w:val="Paragraph"/>
      </w:pPr>
      <w:r w:rsidRPr="0008657C">
        <w:rPr>
          <w:rFonts w:asciiTheme="majorBidi" w:hAnsiTheme="majorBidi" w:cstheme="majorBidi"/>
        </w:rPr>
        <w:t xml:space="preserve">The fracture toughness values after immersion in 15% </w:t>
      </w:r>
      <w:proofErr w:type="spellStart"/>
      <w:r w:rsidRPr="0008657C">
        <w:rPr>
          <w:rFonts w:asciiTheme="majorBidi" w:hAnsiTheme="majorBidi" w:cstheme="majorBidi"/>
        </w:rPr>
        <w:t>betle</w:t>
      </w:r>
      <w:proofErr w:type="spellEnd"/>
      <w:r w:rsidRPr="0008657C">
        <w:rPr>
          <w:rFonts w:asciiTheme="majorBidi" w:hAnsiTheme="majorBidi" w:cstheme="majorBidi"/>
        </w:rPr>
        <w:t xml:space="preserve"> leaf extract solution, </w:t>
      </w:r>
      <w:proofErr w:type="spellStart"/>
      <w:r w:rsidRPr="0008657C">
        <w:rPr>
          <w:rFonts w:asciiTheme="majorBidi" w:hAnsiTheme="majorBidi" w:cstheme="majorBidi"/>
        </w:rPr>
        <w:t>Polident</w:t>
      </w:r>
      <w:proofErr w:type="spellEnd"/>
      <w:r w:rsidRPr="0008657C">
        <w:rPr>
          <w:rFonts w:asciiTheme="majorBidi" w:hAnsiTheme="majorBidi" w:cstheme="majorBidi"/>
        </w:rPr>
        <w:t xml:space="preserve">, and distilled water showed no significant differences. Knowledge of the magnitude of RAPP fracture resistance after being soaked in denture cleaner can be useful for determining denture cleaners that have an effect on fracture events in RAPP denture bases. This study still has shortcomings in the limited mechanical and physical properties studied, as well as the </w:t>
      </w:r>
      <w:proofErr w:type="spellStart"/>
      <w:r w:rsidRPr="0008657C">
        <w:rPr>
          <w:rFonts w:asciiTheme="majorBidi" w:hAnsiTheme="majorBidi" w:cstheme="majorBidi"/>
        </w:rPr>
        <w:t>turian</w:t>
      </w:r>
      <w:proofErr w:type="spellEnd"/>
      <w:r w:rsidRPr="0008657C">
        <w:rPr>
          <w:rFonts w:asciiTheme="majorBidi" w:hAnsiTheme="majorBidi" w:cstheme="majorBidi"/>
        </w:rPr>
        <w:t xml:space="preserve"> denture cleaners used. Further research on alternative denture cleaners, such as betel leaf on the effect of extract concentration, soaking time, and extract processing methods on RAPP properties, antifungal, and antibacterial power needs to be further studied.</w:t>
      </w:r>
    </w:p>
    <w:p w14:paraId="7691B80C" w14:textId="72D11E3B" w:rsidR="00613B4D" w:rsidRPr="00075EA6" w:rsidRDefault="0016385D" w:rsidP="00613B4D">
      <w:pPr>
        <w:pStyle w:val="Heading1"/>
      </w:pPr>
      <w:r w:rsidRPr="00075EA6">
        <w:rPr>
          <w:rFonts w:asciiTheme="majorBidi" w:hAnsiTheme="majorBidi" w:cstheme="majorBidi"/>
        </w:rPr>
        <w:t>Acknowledgments</w:t>
      </w:r>
    </w:p>
    <w:p w14:paraId="4F4EA3E3" w14:textId="5D2FFE77" w:rsidR="000B3A2D" w:rsidRPr="00075EA6" w:rsidRDefault="0008657C" w:rsidP="0008657C">
      <w:pPr>
        <w:pStyle w:val="Paragraph"/>
        <w:rPr>
          <w:rFonts w:asciiTheme="majorBidi" w:hAnsiTheme="majorBidi" w:cstheme="majorBidi"/>
        </w:rPr>
      </w:pPr>
      <w:r w:rsidRPr="0008657C">
        <w:rPr>
          <w:rFonts w:asciiTheme="majorBidi" w:hAnsiTheme="majorBidi" w:cstheme="majorBidi"/>
        </w:rPr>
        <w:t>The researcher would like to thank the Skills Lab of the Faculty of Dentistry, Muhammadiyah University of Yogyakarta, the Biochemistry/PK Laboratory of the Faculty of Medicine and Health Sciences, Muhammadiyah University of Yogyakarta, the Integrated Research Laboratory of the Faculty of Dentistry, Gajah Mada University, and all parties who have contributed.</w:t>
      </w:r>
    </w:p>
    <w:p w14:paraId="74D4F45E" w14:textId="380B7485" w:rsidR="00613B4D" w:rsidRPr="0008657C" w:rsidRDefault="0016385D" w:rsidP="0008657C">
      <w:pPr>
        <w:pStyle w:val="Heading1"/>
        <w:rPr>
          <w:b w:val="0"/>
          <w:caps w:val="0"/>
          <w:sz w:val="20"/>
        </w:rPr>
      </w:pPr>
      <w:r w:rsidRPr="00075EA6">
        <w:rPr>
          <w:rFonts w:asciiTheme="majorBidi" w:hAnsiTheme="majorBidi" w:cstheme="majorBidi"/>
        </w:rPr>
        <w:t>References</w:t>
      </w:r>
    </w:p>
    <w:p w14:paraId="7819735D" w14:textId="12CF76A2" w:rsidR="00C70553" w:rsidRPr="0008657C" w:rsidRDefault="00C70553" w:rsidP="0008657C">
      <w:pPr>
        <w:pStyle w:val="Reference"/>
      </w:pPr>
      <w:r w:rsidRPr="00C70553">
        <w:t>D.J. Lee, and P.C. Saponaro, “Management of Edentulous Patients,” Dent. Clin. North Am. 63(2), 249–261 (2019).</w:t>
      </w:r>
    </w:p>
    <w:p w14:paraId="4FD1280F" w14:textId="5435D847" w:rsidR="0008657C" w:rsidRDefault="0008657C" w:rsidP="0008657C">
      <w:pPr>
        <w:pStyle w:val="Reference"/>
      </w:pPr>
      <w:r w:rsidRPr="000D476D">
        <w:rPr>
          <w:lang w:val="fi-FI"/>
        </w:rPr>
        <w:t>Kemenkes</w:t>
      </w:r>
      <w:r w:rsidR="000D476D" w:rsidRPr="000D476D">
        <w:rPr>
          <w:lang w:val="fi-FI"/>
        </w:rPr>
        <w:t>, ”</w:t>
      </w:r>
      <w:r w:rsidRPr="000D476D">
        <w:rPr>
          <w:lang w:val="fi-FI"/>
        </w:rPr>
        <w:t>Survei Kesehatan Indonesia</w:t>
      </w:r>
      <w:r w:rsidR="000D476D" w:rsidRPr="000D476D">
        <w:rPr>
          <w:lang w:val="fi-FI"/>
        </w:rPr>
        <w:t>,”,</w:t>
      </w:r>
      <w:r w:rsidRPr="000D476D">
        <w:rPr>
          <w:lang w:val="fi-FI"/>
        </w:rPr>
        <w:t xml:space="preserve"> (SKI) [Internet]. </w:t>
      </w:r>
      <w:proofErr w:type="spellStart"/>
      <w:r w:rsidRPr="000D476D">
        <w:t>Kemenkes</w:t>
      </w:r>
      <w:proofErr w:type="spellEnd"/>
      <w:r w:rsidRPr="000D476D">
        <w:t xml:space="preserve">. 2023. 235 p. Available </w:t>
      </w:r>
      <w:proofErr w:type="gramStart"/>
      <w:r w:rsidRPr="000D476D">
        <w:t>from :</w:t>
      </w:r>
      <w:proofErr w:type="gramEnd"/>
      <w:r w:rsidRPr="000D476D">
        <w:t xml:space="preserve"> https:/</w:t>
      </w:r>
      <w:hyperlink r:id="rId9">
        <w:r w:rsidRPr="000D476D">
          <w:rPr>
            <w:rStyle w:val="Hyperlink"/>
            <w:color w:val="auto"/>
            <w:u w:val="none"/>
          </w:rPr>
          <w:t>/www.badankebijakan.k</w:t>
        </w:r>
      </w:hyperlink>
      <w:r w:rsidRPr="000D476D">
        <w:t>emkes.go.id/ski-2023-dalam-angka</w:t>
      </w:r>
    </w:p>
    <w:p w14:paraId="75F179E9" w14:textId="500322E7" w:rsidR="000D476D" w:rsidRDefault="000D476D" w:rsidP="0008657C">
      <w:pPr>
        <w:pStyle w:val="Reference"/>
      </w:pPr>
      <w:r w:rsidRPr="000D476D">
        <w:lastRenderedPageBreak/>
        <w:t>S.J. Stefanac, and S.P. Nesbit, Diagnosis and Treatment Planning in Dentistry - E-Book, 4th ed (Mosby, Philadelphia, 2023).</w:t>
      </w:r>
    </w:p>
    <w:p w14:paraId="0FCB427E" w14:textId="19F34076" w:rsidR="000D476D" w:rsidRDefault="000D476D" w:rsidP="0008657C">
      <w:pPr>
        <w:pStyle w:val="Reference"/>
      </w:pPr>
      <w:r w:rsidRPr="000D476D">
        <w:t xml:space="preserve">T. Hamza, A.G. Wee, S. Alapati, and S.R. Schricker, “The Fracture Toughness of Denture Base Material Reinforced with Different Concentrations of POSS,” J. </w:t>
      </w:r>
      <w:proofErr w:type="spellStart"/>
      <w:r w:rsidRPr="000D476D">
        <w:t>Macromol</w:t>
      </w:r>
      <w:proofErr w:type="spellEnd"/>
      <w:r w:rsidRPr="000D476D">
        <w:t>. Sci. Part A 41(8), 897–906 (2004)</w:t>
      </w:r>
    </w:p>
    <w:p w14:paraId="18671D9A" w14:textId="444FBC9C" w:rsidR="000D476D" w:rsidRDefault="000D476D" w:rsidP="0008657C">
      <w:pPr>
        <w:pStyle w:val="Reference"/>
      </w:pPr>
      <w:r w:rsidRPr="000D476D">
        <w:t xml:space="preserve">I.J.R. Lucsanszky, and N.D. Ruse, “Fracture Toughness, Flexural Strength, and Flexural Modulus of New CAD/CAM Resin Composite Blocks,” J. </w:t>
      </w:r>
      <w:proofErr w:type="spellStart"/>
      <w:r w:rsidRPr="000D476D">
        <w:t>Prosthodont</w:t>
      </w:r>
      <w:proofErr w:type="spellEnd"/>
      <w:r w:rsidRPr="000D476D">
        <w:t>. 29(1), 34–41 (2020).</w:t>
      </w:r>
    </w:p>
    <w:p w14:paraId="50CACDDC" w14:textId="1E7017BD" w:rsidR="000A3D67" w:rsidRPr="000D476D" w:rsidRDefault="000A3D67" w:rsidP="0008657C">
      <w:pPr>
        <w:pStyle w:val="Reference"/>
      </w:pPr>
      <w:r w:rsidRPr="000A3D67">
        <w:t>S.D. Heintze, N. Ilie, R. Hickel, A. Reis, A. Loguercio, and V. Rousson, “Laboratory mechanical parameters of composite resins and their relation to fractures and wear in clinical trials—A systematic review,” Dent. Mater. 33(3), e101–e114 (2017).</w:t>
      </w:r>
    </w:p>
    <w:p w14:paraId="753F23D2" w14:textId="4559E43F" w:rsidR="0008657C" w:rsidRDefault="000A3D67" w:rsidP="0008657C">
      <w:pPr>
        <w:pStyle w:val="Reference"/>
      </w:pPr>
      <w:r>
        <w:t xml:space="preserve">E. </w:t>
      </w:r>
      <w:r w:rsidR="0008657C" w:rsidRPr="0008657C">
        <w:t xml:space="preserve">Dahar </w:t>
      </w:r>
      <w:r>
        <w:t xml:space="preserve">and S. </w:t>
      </w:r>
      <w:proofErr w:type="spellStart"/>
      <w:r w:rsidR="0008657C" w:rsidRPr="0008657C">
        <w:t>Handayani</w:t>
      </w:r>
      <w:proofErr w:type="spellEnd"/>
      <w:r>
        <w:t>, “</w:t>
      </w:r>
      <w:proofErr w:type="spellStart"/>
      <w:r w:rsidR="0008657C" w:rsidRPr="0008657C">
        <w:t>Pengaruh</w:t>
      </w:r>
      <w:proofErr w:type="spellEnd"/>
      <w:r w:rsidR="0008657C" w:rsidRPr="0008657C">
        <w:t xml:space="preserve"> </w:t>
      </w:r>
      <w:proofErr w:type="spellStart"/>
      <w:r w:rsidR="0008657C" w:rsidRPr="0008657C">
        <w:t>Penambahan</w:t>
      </w:r>
      <w:proofErr w:type="spellEnd"/>
      <w:r w:rsidR="0008657C" w:rsidRPr="0008657C">
        <w:t xml:space="preserve"> </w:t>
      </w:r>
      <w:proofErr w:type="spellStart"/>
      <w:r w:rsidR="0008657C" w:rsidRPr="0008657C">
        <w:t>Zirkonium</w:t>
      </w:r>
      <w:proofErr w:type="spellEnd"/>
      <w:r w:rsidR="0008657C" w:rsidRPr="0008657C">
        <w:t xml:space="preserve"> </w:t>
      </w:r>
      <w:proofErr w:type="spellStart"/>
      <w:r w:rsidR="0008657C" w:rsidRPr="0008657C">
        <w:t>Oksida</w:t>
      </w:r>
      <w:proofErr w:type="spellEnd"/>
      <w:r w:rsidR="0008657C" w:rsidRPr="0008657C">
        <w:t xml:space="preserve"> Pada Bahan Basis Gigi </w:t>
      </w:r>
      <w:proofErr w:type="spellStart"/>
      <w:r w:rsidR="0008657C" w:rsidRPr="0008657C">
        <w:t>Tiruan</w:t>
      </w:r>
      <w:proofErr w:type="spellEnd"/>
      <w:r w:rsidR="0008657C" w:rsidRPr="0008657C">
        <w:t xml:space="preserve"> Resin </w:t>
      </w:r>
      <w:proofErr w:type="spellStart"/>
      <w:r w:rsidR="0008657C" w:rsidRPr="0008657C">
        <w:t>Akrilik</w:t>
      </w:r>
      <w:proofErr w:type="spellEnd"/>
      <w:r w:rsidR="0008657C" w:rsidRPr="0008657C">
        <w:t xml:space="preserve"> </w:t>
      </w:r>
      <w:proofErr w:type="spellStart"/>
      <w:r w:rsidR="0008657C" w:rsidRPr="0008657C">
        <w:t>Polimerisasi</w:t>
      </w:r>
      <w:proofErr w:type="spellEnd"/>
      <w:r w:rsidR="0008657C" w:rsidRPr="0008657C">
        <w:t xml:space="preserve"> Panas </w:t>
      </w:r>
      <w:proofErr w:type="spellStart"/>
      <w:r w:rsidR="0008657C" w:rsidRPr="0008657C">
        <w:t>Terhadap</w:t>
      </w:r>
      <w:proofErr w:type="spellEnd"/>
      <w:r w:rsidR="0008657C" w:rsidRPr="0008657C">
        <w:t xml:space="preserve"> </w:t>
      </w:r>
      <w:proofErr w:type="spellStart"/>
      <w:r w:rsidR="0008657C" w:rsidRPr="0008657C">
        <w:t>Kekuatan</w:t>
      </w:r>
      <w:proofErr w:type="spellEnd"/>
      <w:r w:rsidR="0008657C" w:rsidRPr="0008657C">
        <w:t xml:space="preserve"> </w:t>
      </w:r>
      <w:proofErr w:type="spellStart"/>
      <w:r w:rsidR="0008657C" w:rsidRPr="0008657C">
        <w:t>Impak</w:t>
      </w:r>
      <w:proofErr w:type="spellEnd"/>
      <w:r w:rsidR="0008657C" w:rsidRPr="0008657C">
        <w:t xml:space="preserve"> dan Transversal</w:t>
      </w:r>
      <w:r>
        <w:t>,”</w:t>
      </w:r>
      <w:r w:rsidR="0008657C" w:rsidRPr="0008657C">
        <w:t>. J Ilm PANNMED</w:t>
      </w:r>
      <w:r>
        <w:t xml:space="preserve"> </w:t>
      </w:r>
      <w:r w:rsidR="0008657C" w:rsidRPr="0008657C">
        <w:t>12(2)</w:t>
      </w:r>
      <w:r>
        <w:t xml:space="preserve">, </w:t>
      </w:r>
      <w:r w:rsidR="0008657C" w:rsidRPr="0008657C">
        <w:t>194 – 9</w:t>
      </w:r>
      <w:r>
        <w:t xml:space="preserve"> (2020).</w:t>
      </w:r>
    </w:p>
    <w:p w14:paraId="417AA9AC" w14:textId="52D790D1" w:rsidR="000A3D67" w:rsidRDefault="000A3D67" w:rsidP="0008657C">
      <w:pPr>
        <w:pStyle w:val="Reference"/>
      </w:pPr>
      <w:r w:rsidRPr="000A3D67">
        <w:t xml:space="preserve">M. Gad, R. Abualsaud, A. </w:t>
      </w:r>
      <w:proofErr w:type="spellStart"/>
      <w:r w:rsidRPr="000A3D67">
        <w:t>Rahoma</w:t>
      </w:r>
      <w:proofErr w:type="spellEnd"/>
      <w:r w:rsidRPr="000A3D67">
        <w:t>, A.M. Al-</w:t>
      </w:r>
      <w:proofErr w:type="spellStart"/>
      <w:r w:rsidRPr="000A3D67">
        <w:t>Thobity</w:t>
      </w:r>
      <w:proofErr w:type="spellEnd"/>
      <w:r w:rsidRPr="000A3D67">
        <w:t xml:space="preserve">, K. </w:t>
      </w:r>
      <w:proofErr w:type="spellStart"/>
      <w:r w:rsidRPr="000A3D67">
        <w:t>Alabidi</w:t>
      </w:r>
      <w:proofErr w:type="spellEnd"/>
      <w:r w:rsidRPr="000A3D67">
        <w:t>, and S. Akhtar, “Effect of zirconium oxide nanoparticles addition on the optical and tensile properties of polymethyl methacrylate denture base material,” Int. J. Nanomedicine Volume 13, 283–292 (2018).</w:t>
      </w:r>
    </w:p>
    <w:p w14:paraId="6375A82E" w14:textId="6CCC09F8" w:rsidR="000A3D67" w:rsidRPr="0008657C" w:rsidRDefault="000A3D67" w:rsidP="0008657C">
      <w:pPr>
        <w:pStyle w:val="Reference"/>
      </w:pPr>
      <w:r w:rsidRPr="000A3D67">
        <w:t>M.S. Zafar, “Prosthodontic Applications of Polymethyl Methacrylate (PMMA): An Update,” Polymers 12(10), 2299 (2020).</w:t>
      </w:r>
    </w:p>
    <w:p w14:paraId="3F728E0A" w14:textId="77777777" w:rsidR="0008657C" w:rsidRPr="0008657C" w:rsidRDefault="0008657C" w:rsidP="0008657C">
      <w:pPr>
        <w:pStyle w:val="Reference"/>
      </w:pPr>
      <w:r w:rsidRPr="0008657C">
        <w:t>Shen C, Rawls HR, Esquivel- Upshaw JF. Phillips’ Science of Dental Materials E-Book. Elsevier Health Sciences; 2021. eBook ISBN: 9780323697569</w:t>
      </w:r>
    </w:p>
    <w:p w14:paraId="28BFFD09" w14:textId="4961AECB" w:rsidR="0008657C" w:rsidRPr="0008657C" w:rsidRDefault="0008657C" w:rsidP="0008657C">
      <w:pPr>
        <w:pStyle w:val="Reference"/>
      </w:pPr>
      <w:proofErr w:type="spellStart"/>
      <w:r w:rsidRPr="0008657C">
        <w:t>Krisma</w:t>
      </w:r>
      <w:proofErr w:type="spellEnd"/>
      <w:r w:rsidRPr="0008657C">
        <w:t xml:space="preserve"> W, </w:t>
      </w:r>
      <w:proofErr w:type="spellStart"/>
      <w:r w:rsidRPr="0008657C">
        <w:t>Mozartha</w:t>
      </w:r>
      <w:proofErr w:type="spellEnd"/>
      <w:r w:rsidRPr="0008657C">
        <w:t xml:space="preserve"> </w:t>
      </w:r>
      <w:r w:rsidR="000A3D67">
        <w:t xml:space="preserve">and </w:t>
      </w:r>
      <w:r w:rsidRPr="0008657C">
        <w:t xml:space="preserve">M, </w:t>
      </w:r>
      <w:proofErr w:type="spellStart"/>
      <w:r w:rsidRPr="0008657C">
        <w:t>Purba</w:t>
      </w:r>
      <w:proofErr w:type="spellEnd"/>
      <w:r w:rsidRPr="0008657C">
        <w:t xml:space="preserve"> R.</w:t>
      </w:r>
      <w:r w:rsidR="000A3D67">
        <w:t>, “</w:t>
      </w:r>
      <w:r w:rsidRPr="0008657C">
        <w:t>Level of denture cleanliness influences the presence of denture stomatitis on maxillary denture bearing-mucosa</w:t>
      </w:r>
      <w:r w:rsidR="000A3D67">
        <w:t>,”</w:t>
      </w:r>
      <w:r w:rsidRPr="0008657C">
        <w:t xml:space="preserve"> J Dent </w:t>
      </w:r>
      <w:proofErr w:type="spellStart"/>
      <w:r w:rsidRPr="0008657C">
        <w:t>Indones</w:t>
      </w:r>
      <w:proofErr w:type="spellEnd"/>
      <w:r w:rsidRPr="0008657C">
        <w:t xml:space="preserve"> (2)</w:t>
      </w:r>
      <w:r w:rsidR="000A3D67">
        <w:t xml:space="preserve">, </w:t>
      </w:r>
      <w:r w:rsidRPr="0008657C">
        <w:t>44–8</w:t>
      </w:r>
      <w:r w:rsidR="000A3D67">
        <w:t xml:space="preserve"> (2014)</w:t>
      </w:r>
    </w:p>
    <w:p w14:paraId="685B0F38" w14:textId="7360BEA7" w:rsidR="0008657C" w:rsidRPr="0008657C" w:rsidRDefault="0008657C" w:rsidP="0008657C">
      <w:pPr>
        <w:pStyle w:val="Reference"/>
      </w:pPr>
      <w:r w:rsidRPr="0008657C">
        <w:t xml:space="preserve">Adnan A, </w:t>
      </w:r>
      <w:r w:rsidR="000A3D67">
        <w:t xml:space="preserve">and </w:t>
      </w:r>
      <w:proofErr w:type="spellStart"/>
      <w:r w:rsidRPr="0008657C">
        <w:t>Habar</w:t>
      </w:r>
      <w:proofErr w:type="spellEnd"/>
      <w:r w:rsidRPr="0008657C">
        <w:t xml:space="preserve"> ID.</w:t>
      </w:r>
      <w:r w:rsidR="000A3D67">
        <w:t>, “</w:t>
      </w:r>
      <w:r w:rsidRPr="0008657C">
        <w:t xml:space="preserve">Tingkat </w:t>
      </w:r>
      <w:proofErr w:type="spellStart"/>
      <w:r w:rsidRPr="0008657C">
        <w:t>kebersihan</w:t>
      </w:r>
      <w:proofErr w:type="spellEnd"/>
      <w:r w:rsidRPr="0008657C">
        <w:t xml:space="preserve"> </w:t>
      </w:r>
      <w:proofErr w:type="spellStart"/>
      <w:r w:rsidRPr="0008657C">
        <w:t>gigi</w:t>
      </w:r>
      <w:proofErr w:type="spellEnd"/>
      <w:r w:rsidRPr="0008657C">
        <w:t xml:space="preserve"> </w:t>
      </w:r>
      <w:proofErr w:type="spellStart"/>
      <w:r w:rsidRPr="0008657C">
        <w:t>tiruan</w:t>
      </w:r>
      <w:proofErr w:type="spellEnd"/>
      <w:r w:rsidRPr="0008657C">
        <w:t xml:space="preserve"> pada </w:t>
      </w:r>
      <w:proofErr w:type="spellStart"/>
      <w:r w:rsidRPr="0008657C">
        <w:t>pasien</w:t>
      </w:r>
      <w:proofErr w:type="spellEnd"/>
      <w:r w:rsidRPr="0008657C">
        <w:t xml:space="preserve"> </w:t>
      </w:r>
      <w:proofErr w:type="spellStart"/>
      <w:r w:rsidRPr="0008657C">
        <w:t>pengguna</w:t>
      </w:r>
      <w:proofErr w:type="spellEnd"/>
      <w:r w:rsidRPr="0008657C">
        <w:t xml:space="preserve"> </w:t>
      </w:r>
      <w:proofErr w:type="spellStart"/>
      <w:r w:rsidRPr="0008657C">
        <w:t>gigi</w:t>
      </w:r>
      <w:proofErr w:type="spellEnd"/>
      <w:r w:rsidRPr="0008657C">
        <w:t xml:space="preserve"> </w:t>
      </w:r>
      <w:proofErr w:type="spellStart"/>
      <w:r w:rsidRPr="0008657C">
        <w:t>tiruan</w:t>
      </w:r>
      <w:proofErr w:type="spellEnd"/>
      <w:r w:rsidRPr="0008657C">
        <w:t xml:space="preserve"> </w:t>
      </w:r>
      <w:proofErr w:type="spellStart"/>
      <w:r w:rsidRPr="0008657C">
        <w:t>lengkap</w:t>
      </w:r>
      <w:proofErr w:type="spellEnd"/>
      <w:r w:rsidRPr="0008657C">
        <w:t xml:space="preserve"> </w:t>
      </w:r>
      <w:proofErr w:type="spellStart"/>
      <w:r w:rsidRPr="0008657C">
        <w:t>akrilik</w:t>
      </w:r>
      <w:proofErr w:type="spellEnd"/>
      <w:r w:rsidRPr="0008657C">
        <w:t xml:space="preserve"> di </w:t>
      </w:r>
      <w:proofErr w:type="spellStart"/>
      <w:r w:rsidRPr="0008657C">
        <w:t>puskesmas</w:t>
      </w:r>
      <w:proofErr w:type="spellEnd"/>
      <w:r w:rsidRPr="0008657C">
        <w:t xml:space="preserve"> </w:t>
      </w:r>
      <w:proofErr w:type="spellStart"/>
      <w:r w:rsidRPr="0008657C">
        <w:t>kecamatan</w:t>
      </w:r>
      <w:proofErr w:type="spellEnd"/>
      <w:r w:rsidRPr="0008657C">
        <w:t xml:space="preserve"> </w:t>
      </w:r>
      <w:proofErr w:type="spellStart"/>
      <w:r w:rsidRPr="0008657C">
        <w:t>malili</w:t>
      </w:r>
      <w:proofErr w:type="spellEnd"/>
      <w:r w:rsidRPr="0008657C">
        <w:t xml:space="preserve"> </w:t>
      </w:r>
      <w:proofErr w:type="spellStart"/>
      <w:r w:rsidRPr="0008657C">
        <w:t>kabupaten</w:t>
      </w:r>
      <w:proofErr w:type="spellEnd"/>
      <w:r w:rsidRPr="0008657C">
        <w:t xml:space="preserve"> </w:t>
      </w:r>
      <w:proofErr w:type="spellStart"/>
      <w:r w:rsidRPr="0008657C">
        <w:t>luwu</w:t>
      </w:r>
      <w:proofErr w:type="spellEnd"/>
      <w:r w:rsidRPr="0008657C">
        <w:t xml:space="preserve"> </w:t>
      </w:r>
      <w:proofErr w:type="spellStart"/>
      <w:r w:rsidRPr="0008657C">
        <w:t>timur</w:t>
      </w:r>
      <w:proofErr w:type="spellEnd"/>
      <w:r w:rsidRPr="0008657C">
        <w:t xml:space="preserve"> </w:t>
      </w:r>
      <w:proofErr w:type="spellStart"/>
      <w:r w:rsidRPr="0008657C">
        <w:t>provinsi</w:t>
      </w:r>
      <w:proofErr w:type="spellEnd"/>
      <w:r w:rsidRPr="0008657C">
        <w:t xml:space="preserve"> </w:t>
      </w:r>
      <w:proofErr w:type="spellStart"/>
      <w:r w:rsidRPr="0008657C">
        <w:t>sulawesi</w:t>
      </w:r>
      <w:proofErr w:type="spellEnd"/>
      <w:r w:rsidRPr="0008657C">
        <w:t xml:space="preserve"> </w:t>
      </w:r>
      <w:proofErr w:type="spellStart"/>
      <w:r w:rsidR="000A3D67">
        <w:t>selatan</w:t>
      </w:r>
      <w:proofErr w:type="spellEnd"/>
      <w:r w:rsidR="000A3D67">
        <w:t>,”</w:t>
      </w:r>
      <w:r w:rsidRPr="0008657C">
        <w:t xml:space="preserve"> Makassar Dent J.</w:t>
      </w:r>
      <w:r w:rsidR="00ED0FD6">
        <w:t xml:space="preserve"> </w:t>
      </w:r>
      <w:r w:rsidRPr="0008657C">
        <w:t>7(2)</w:t>
      </w:r>
      <w:r w:rsidR="00ED0FD6">
        <w:t>, (2018)</w:t>
      </w:r>
    </w:p>
    <w:p w14:paraId="0863C617" w14:textId="6B40AC71" w:rsidR="0008657C" w:rsidRPr="0008657C" w:rsidRDefault="0008657C" w:rsidP="0008657C">
      <w:pPr>
        <w:pStyle w:val="Reference"/>
      </w:pPr>
      <w:r w:rsidRPr="00882D7F">
        <w:rPr>
          <w:lang w:val="fi-FI"/>
        </w:rPr>
        <w:t>Salim Z,</w:t>
      </w:r>
      <w:r w:rsidR="00ED0FD6">
        <w:rPr>
          <w:lang w:val="fi-FI"/>
        </w:rPr>
        <w:t xml:space="preserve"> and</w:t>
      </w:r>
      <w:r w:rsidRPr="00882D7F">
        <w:rPr>
          <w:lang w:val="fi-FI"/>
        </w:rPr>
        <w:t xml:space="preserve"> Munadi E. Info Komoditi Tanaman Obat. </w:t>
      </w:r>
      <w:r w:rsidRPr="0008657C">
        <w:t xml:space="preserve">Badan </w:t>
      </w:r>
      <w:proofErr w:type="spellStart"/>
      <w:r w:rsidRPr="0008657C">
        <w:t>Pengkajian</w:t>
      </w:r>
      <w:proofErr w:type="spellEnd"/>
      <w:r w:rsidRPr="0008657C">
        <w:t xml:space="preserve"> dan </w:t>
      </w:r>
      <w:proofErr w:type="spellStart"/>
      <w:r w:rsidRPr="0008657C">
        <w:t>Pengembangan</w:t>
      </w:r>
      <w:proofErr w:type="spellEnd"/>
      <w:r w:rsidRPr="0008657C">
        <w:t xml:space="preserve"> </w:t>
      </w:r>
      <w:proofErr w:type="spellStart"/>
      <w:r w:rsidRPr="0008657C">
        <w:t>Perdagangan</w:t>
      </w:r>
      <w:proofErr w:type="spellEnd"/>
      <w:r w:rsidRPr="0008657C">
        <w:t xml:space="preserve"> Kementerian </w:t>
      </w:r>
      <w:proofErr w:type="spellStart"/>
      <w:r w:rsidRPr="0008657C">
        <w:t>Perdagangan</w:t>
      </w:r>
      <w:proofErr w:type="spellEnd"/>
      <w:r w:rsidRPr="0008657C">
        <w:t xml:space="preserve"> Republik Indonesia. 2017.</w:t>
      </w:r>
    </w:p>
    <w:p w14:paraId="76B325A9" w14:textId="7F4F945E" w:rsidR="0008657C" w:rsidRDefault="0008657C" w:rsidP="0008657C">
      <w:pPr>
        <w:pStyle w:val="Reference"/>
      </w:pPr>
      <w:r w:rsidRPr="0008657C">
        <w:t xml:space="preserve">Lestari RN, </w:t>
      </w:r>
      <w:proofErr w:type="spellStart"/>
      <w:r w:rsidRPr="0008657C">
        <w:t>Rahmawatie</w:t>
      </w:r>
      <w:proofErr w:type="spellEnd"/>
      <w:r w:rsidRPr="0008657C">
        <w:t xml:space="preserve"> MD, Bakhtiar DA.</w:t>
      </w:r>
      <w:r w:rsidR="00ED0FD6">
        <w:t>, “</w:t>
      </w:r>
      <w:proofErr w:type="spellStart"/>
      <w:r w:rsidRPr="0008657C">
        <w:t>Pemanfaatan</w:t>
      </w:r>
      <w:proofErr w:type="spellEnd"/>
      <w:r w:rsidRPr="0008657C">
        <w:t xml:space="preserve"> </w:t>
      </w:r>
      <w:proofErr w:type="spellStart"/>
      <w:r w:rsidRPr="0008657C">
        <w:t>Ekstrak</w:t>
      </w:r>
      <w:proofErr w:type="spellEnd"/>
      <w:r w:rsidRPr="0008657C">
        <w:t xml:space="preserve"> </w:t>
      </w:r>
      <w:proofErr w:type="spellStart"/>
      <w:r w:rsidRPr="0008657C">
        <w:t>Tumbuhan</w:t>
      </w:r>
      <w:proofErr w:type="spellEnd"/>
      <w:r w:rsidRPr="0008657C">
        <w:t xml:space="preserve"> </w:t>
      </w:r>
      <w:proofErr w:type="spellStart"/>
      <w:r w:rsidRPr="0008657C">
        <w:t>untuk</w:t>
      </w:r>
      <w:proofErr w:type="spellEnd"/>
      <w:r w:rsidRPr="0008657C">
        <w:t xml:space="preserve"> </w:t>
      </w:r>
      <w:proofErr w:type="spellStart"/>
      <w:r w:rsidRPr="0008657C">
        <w:t>antijamur</w:t>
      </w:r>
      <w:proofErr w:type="spellEnd"/>
      <w:r w:rsidRPr="0008657C">
        <w:t xml:space="preserve"> Candida Albicans pada Resin </w:t>
      </w:r>
      <w:proofErr w:type="spellStart"/>
      <w:r w:rsidRPr="0008657C">
        <w:t>Akrilik</w:t>
      </w:r>
      <w:proofErr w:type="spellEnd"/>
      <w:r w:rsidRPr="0008657C">
        <w:t xml:space="preserve"> Heat Cured: Narrative Review. In: </w:t>
      </w:r>
      <w:proofErr w:type="spellStart"/>
      <w:r w:rsidRPr="0008657C">
        <w:t>Prosiding</w:t>
      </w:r>
      <w:proofErr w:type="spellEnd"/>
      <w:r w:rsidRPr="0008657C">
        <w:t xml:space="preserve"> Seminar Nasional </w:t>
      </w:r>
      <w:proofErr w:type="spellStart"/>
      <w:r w:rsidRPr="0008657C">
        <w:t>Unimus</w:t>
      </w:r>
      <w:proofErr w:type="spellEnd"/>
      <w:r w:rsidRPr="0008657C">
        <w:t xml:space="preserve"> [Internet]. 2022. p. 1108–18. Available</w:t>
      </w:r>
      <w:r w:rsidRPr="0008657C">
        <w:tab/>
        <w:t xml:space="preserve">from: </w:t>
      </w:r>
    </w:p>
    <w:p w14:paraId="6B64907F" w14:textId="120230E1" w:rsidR="00ED0FD6" w:rsidRPr="0008657C" w:rsidRDefault="00ED0FD6" w:rsidP="0008657C">
      <w:pPr>
        <w:pStyle w:val="Reference"/>
      </w:pPr>
      <w:r w:rsidRPr="00ED0FD6">
        <w:t xml:space="preserve">H.H. Sadiah, A.I. Cahyadi, and S. </w:t>
      </w:r>
      <w:proofErr w:type="spellStart"/>
      <w:r w:rsidRPr="00ED0FD6">
        <w:t>Windria</w:t>
      </w:r>
      <w:proofErr w:type="spellEnd"/>
      <w:r w:rsidRPr="00ED0FD6">
        <w:t xml:space="preserve">, “Kajian Daun Sirih Hijau (Piper </w:t>
      </w:r>
      <w:proofErr w:type="spellStart"/>
      <w:r w:rsidRPr="00ED0FD6">
        <w:t>betle</w:t>
      </w:r>
      <w:proofErr w:type="spellEnd"/>
      <w:r w:rsidRPr="00ED0FD6">
        <w:t xml:space="preserve"> L) </w:t>
      </w:r>
      <w:proofErr w:type="spellStart"/>
      <w:r w:rsidRPr="00ED0FD6">
        <w:t>Sebagai</w:t>
      </w:r>
      <w:proofErr w:type="spellEnd"/>
      <w:r w:rsidRPr="00ED0FD6">
        <w:t xml:space="preserve"> </w:t>
      </w:r>
      <w:proofErr w:type="spellStart"/>
      <w:r w:rsidRPr="00ED0FD6">
        <w:t>Antibakteri</w:t>
      </w:r>
      <w:proofErr w:type="spellEnd"/>
      <w:r w:rsidRPr="00ED0FD6">
        <w:t>,” J. Sain Vet. 40(2), 128 (2022).</w:t>
      </w:r>
    </w:p>
    <w:p w14:paraId="3874D217" w14:textId="77777777" w:rsidR="0008657C" w:rsidRPr="0008657C" w:rsidRDefault="0008657C" w:rsidP="0008657C">
      <w:pPr>
        <w:pStyle w:val="Reference"/>
      </w:pPr>
      <w:proofErr w:type="spellStart"/>
      <w:r w:rsidRPr="0008657C">
        <w:t>Gunabudi</w:t>
      </w:r>
      <w:proofErr w:type="spellEnd"/>
      <w:r w:rsidRPr="0008657C">
        <w:t xml:space="preserve"> NBJ, Sintha N, </w:t>
      </w:r>
      <w:proofErr w:type="spellStart"/>
      <w:r w:rsidRPr="0008657C">
        <w:t>Suhendra</w:t>
      </w:r>
      <w:proofErr w:type="spellEnd"/>
      <w:r w:rsidRPr="0008657C">
        <w:t xml:space="preserve">. Proceeding </w:t>
      </w:r>
      <w:proofErr w:type="gramStart"/>
      <w:r w:rsidRPr="0008657C">
        <w:t>Book</w:t>
      </w:r>
      <w:proofErr w:type="gramEnd"/>
      <w:r w:rsidRPr="0008657C">
        <w:t xml:space="preserve"> The 4th Bali Dental Science &amp; Exhibition </w:t>
      </w:r>
      <w:proofErr w:type="spellStart"/>
      <w:r w:rsidRPr="0008657C">
        <w:t>Balidence</w:t>
      </w:r>
      <w:proofErr w:type="spellEnd"/>
      <w:r w:rsidRPr="0008657C">
        <w:t xml:space="preserve"> 2019 "Preparing Dentist Approach of The Industrial Revolution 4.0”. In: Taha M, </w:t>
      </w:r>
      <w:proofErr w:type="spellStart"/>
      <w:r w:rsidRPr="0008657C">
        <w:t>Wiwekowati</w:t>
      </w:r>
      <w:proofErr w:type="spellEnd"/>
      <w:r w:rsidRPr="0008657C">
        <w:t xml:space="preserve">, editors. </w:t>
      </w:r>
      <w:proofErr w:type="spellStart"/>
      <w:r w:rsidRPr="0008657C">
        <w:t>Ekstrak</w:t>
      </w:r>
      <w:proofErr w:type="spellEnd"/>
      <w:r w:rsidRPr="0008657C">
        <w:t xml:space="preserve"> Daun Sirih </w:t>
      </w:r>
      <w:proofErr w:type="spellStart"/>
      <w:r w:rsidRPr="0008657C">
        <w:t>Sebagai</w:t>
      </w:r>
      <w:proofErr w:type="spellEnd"/>
      <w:r w:rsidRPr="0008657C">
        <w:t xml:space="preserve"> Pembersih Gigi </w:t>
      </w:r>
      <w:proofErr w:type="spellStart"/>
      <w:r w:rsidRPr="0008657C">
        <w:t>Tiruan</w:t>
      </w:r>
      <w:proofErr w:type="spellEnd"/>
      <w:r w:rsidRPr="0008657C">
        <w:t xml:space="preserve"> </w:t>
      </w:r>
      <w:proofErr w:type="spellStart"/>
      <w:r w:rsidRPr="0008657C">
        <w:t>Terhadap</w:t>
      </w:r>
      <w:proofErr w:type="spellEnd"/>
      <w:r w:rsidRPr="0008657C">
        <w:t xml:space="preserve"> Jamur Candida Albicans Pada Plat Resin </w:t>
      </w:r>
      <w:proofErr w:type="spellStart"/>
      <w:r w:rsidRPr="0008657C">
        <w:t>Akrilik</w:t>
      </w:r>
      <w:proofErr w:type="spellEnd"/>
      <w:r w:rsidRPr="0008657C">
        <w:t xml:space="preserve"> Heat Cured. Denpasar: Universitas </w:t>
      </w:r>
      <w:proofErr w:type="spellStart"/>
      <w:r w:rsidRPr="0008657C">
        <w:t>Mahasaraswati</w:t>
      </w:r>
      <w:proofErr w:type="spellEnd"/>
      <w:r w:rsidRPr="0008657C">
        <w:t xml:space="preserve"> Press; 2018. p. 487–91.</w:t>
      </w:r>
    </w:p>
    <w:p w14:paraId="53A44CF7" w14:textId="77777777" w:rsidR="00ED0FD6" w:rsidRDefault="00ED0FD6" w:rsidP="0008657C">
      <w:pPr>
        <w:pStyle w:val="Reference"/>
      </w:pPr>
      <w:r w:rsidRPr="00ED0FD6">
        <w:t xml:space="preserve">I. Rahayu, O. </w:t>
      </w:r>
      <w:proofErr w:type="spellStart"/>
      <w:r w:rsidRPr="00ED0FD6">
        <w:t>Fadriyanti</w:t>
      </w:r>
      <w:proofErr w:type="spellEnd"/>
      <w:r w:rsidRPr="00ED0FD6">
        <w:t xml:space="preserve">, and E. Edrizal, “EFEKTIVITAS PEMBERSIH GIGI TIRUAN DENGAN REBUSAN DAUN SIRIH 25% DAN 50% TERHADAP PERTUMBUHAN Candida albicans PADA LEMPENG RESIN AKRILIK POLIMERISASI PANAS,” B-Dent J. </w:t>
      </w:r>
      <w:proofErr w:type="spellStart"/>
      <w:r w:rsidRPr="00ED0FD6">
        <w:t>Kedokt</w:t>
      </w:r>
      <w:proofErr w:type="spellEnd"/>
      <w:r w:rsidRPr="00ED0FD6">
        <w:t xml:space="preserve">. Gigi Univ. </w:t>
      </w:r>
      <w:proofErr w:type="spellStart"/>
      <w:r w:rsidRPr="00ED0FD6">
        <w:t>Baiturrahmah</w:t>
      </w:r>
      <w:proofErr w:type="spellEnd"/>
      <w:r w:rsidRPr="00ED0FD6">
        <w:t xml:space="preserve"> 1(2), 142–149 (2018).</w:t>
      </w:r>
    </w:p>
    <w:p w14:paraId="1C2A6C6A" w14:textId="3C815DD6" w:rsidR="0008657C" w:rsidRDefault="0008657C" w:rsidP="0008657C">
      <w:pPr>
        <w:pStyle w:val="Reference"/>
      </w:pPr>
      <w:proofErr w:type="spellStart"/>
      <w:r w:rsidRPr="0008657C">
        <w:t>Nugrahini</w:t>
      </w:r>
      <w:proofErr w:type="spellEnd"/>
      <w:r w:rsidRPr="0008657C">
        <w:t xml:space="preserve"> S, </w:t>
      </w:r>
      <w:proofErr w:type="spellStart"/>
      <w:r w:rsidRPr="0008657C">
        <w:t>Jelita</w:t>
      </w:r>
      <w:proofErr w:type="spellEnd"/>
      <w:r w:rsidRPr="0008657C">
        <w:t xml:space="preserve"> H,</w:t>
      </w:r>
      <w:r w:rsidR="00ED0FD6">
        <w:t xml:space="preserve"> and</w:t>
      </w:r>
      <w:r w:rsidRPr="0008657C">
        <w:t xml:space="preserve"> </w:t>
      </w:r>
      <w:proofErr w:type="spellStart"/>
      <w:r w:rsidRPr="0008657C">
        <w:t>Ardianingsih</w:t>
      </w:r>
      <w:proofErr w:type="spellEnd"/>
      <w:r w:rsidRPr="0008657C">
        <w:t xml:space="preserve"> PH. Decrease in transverse strength of heat polymerized acrylic resin plate after immersion in 15% betel leaf extract (Piper </w:t>
      </w:r>
      <w:proofErr w:type="spellStart"/>
      <w:r w:rsidRPr="0008657C">
        <w:t>betle</w:t>
      </w:r>
      <w:proofErr w:type="spellEnd"/>
      <w:r w:rsidRPr="0008657C">
        <w:t xml:space="preserve"> Linn.). Makassar Dent J. 11(1)</w:t>
      </w:r>
      <w:r w:rsidR="00ED0FD6">
        <w:t xml:space="preserve"> </w:t>
      </w:r>
      <w:r w:rsidRPr="0008657C">
        <w:t>69–74</w:t>
      </w:r>
      <w:r w:rsidR="00ED0FD6">
        <w:t xml:space="preserve"> (2022)</w:t>
      </w:r>
    </w:p>
    <w:p w14:paraId="61CEE114" w14:textId="74702792" w:rsidR="00ED0FD6" w:rsidRDefault="00ED0FD6" w:rsidP="0008657C">
      <w:pPr>
        <w:pStyle w:val="Reference"/>
      </w:pPr>
      <w:r w:rsidRPr="00ED0FD6">
        <w:t xml:space="preserve">V. Shah, D. Shah, C. Chauhan, P. Doshi, and A. Kumar, “Evaluation of flexural strength and color stability of different denture base materials including flexible material after using different denture cleansers,” J. Indian </w:t>
      </w:r>
      <w:proofErr w:type="spellStart"/>
      <w:r w:rsidRPr="00ED0FD6">
        <w:t>Prosthodont</w:t>
      </w:r>
      <w:proofErr w:type="spellEnd"/>
      <w:r w:rsidRPr="00ED0FD6">
        <w:t>. Soc. 15(4), 367 (2015).</w:t>
      </w:r>
    </w:p>
    <w:p w14:paraId="69C55F75" w14:textId="3631FB2D" w:rsidR="00ED0FD6" w:rsidRDefault="00ED0FD6" w:rsidP="0008657C">
      <w:pPr>
        <w:pStyle w:val="Reference"/>
      </w:pPr>
      <w:r w:rsidRPr="00ED0FD6">
        <w:t>M. Hassan, M. Asghar, S.U. Din, and M.S. Zafar, “Thermoset polymethacrylate-based materials for dental applications,” in Mater. Biomed. Eng., (Elsevier, 2019), pp. 273–308.</w:t>
      </w:r>
    </w:p>
    <w:p w14:paraId="022EE370" w14:textId="78AD30C9" w:rsidR="008C2FDE" w:rsidRDefault="008C2FDE" w:rsidP="0008657C">
      <w:pPr>
        <w:pStyle w:val="Reference"/>
      </w:pPr>
      <w:r w:rsidRPr="008C2FDE">
        <w:t xml:space="preserve">L.S. </w:t>
      </w:r>
      <w:proofErr w:type="spellStart"/>
      <w:r w:rsidRPr="008C2FDE">
        <w:t>Finoti</w:t>
      </w:r>
      <w:proofErr w:type="spellEnd"/>
      <w:r w:rsidRPr="008C2FDE">
        <w:t xml:space="preserve">, A.L. Machado, C.D.A.L. Chaves, A.C. </w:t>
      </w:r>
      <w:proofErr w:type="spellStart"/>
      <w:r w:rsidRPr="008C2FDE">
        <w:t>Pavarina</w:t>
      </w:r>
      <w:proofErr w:type="spellEnd"/>
      <w:r w:rsidRPr="008C2FDE">
        <w:t xml:space="preserve">, and C.E. Vergani, “Effect of long‐term water immersion on the fracture toughness of denture base and reline resins,” </w:t>
      </w:r>
      <w:proofErr w:type="spellStart"/>
      <w:r w:rsidRPr="008C2FDE">
        <w:t>Gerodontology</w:t>
      </w:r>
      <w:proofErr w:type="spellEnd"/>
      <w:r w:rsidRPr="008C2FDE">
        <w:t xml:space="preserve"> 29(2), (2012).</w:t>
      </w:r>
    </w:p>
    <w:p w14:paraId="7DAFD499" w14:textId="7BBEA211" w:rsidR="008C2FDE" w:rsidRPr="0008657C" w:rsidRDefault="008C2FDE" w:rsidP="0008657C">
      <w:pPr>
        <w:pStyle w:val="Reference"/>
      </w:pPr>
      <w:r w:rsidRPr="008C2FDE">
        <w:t xml:space="preserve">G.D. Stafford, R. Huggett, and B.E. </w:t>
      </w:r>
      <w:proofErr w:type="spellStart"/>
      <w:r w:rsidRPr="008C2FDE">
        <w:t>Causton</w:t>
      </w:r>
      <w:proofErr w:type="spellEnd"/>
      <w:r w:rsidRPr="008C2FDE">
        <w:t>, “Fracture toughness of denture base acrylics,” J. Biomed. Mater. Res. 14(4), 359–371 (1980).</w:t>
      </w: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C92BFC"/>
    <w:multiLevelType w:val="multilevel"/>
    <w:tmpl w:val="F8C92BFC"/>
    <w:lvl w:ilvl="0">
      <w:start w:val="9"/>
      <w:numFmt w:val="decimal"/>
      <w:lvlText w:val="%1."/>
      <w:lvlJc w:val="left"/>
      <w:pPr>
        <w:ind w:left="806" w:hanging="641"/>
        <w:jc w:val="left"/>
      </w:pPr>
      <w:rPr>
        <w:rFonts w:ascii="Times New Roman" w:eastAsia="Times New Roman" w:hAnsi="Times New Roman" w:cs="Times New Roman" w:hint="default"/>
        <w:b w:val="0"/>
        <w:bCs w:val="0"/>
        <w:i w:val="0"/>
        <w:iCs w:val="0"/>
        <w:color w:val="000000" w:themeColor="text1"/>
        <w:spacing w:val="0"/>
        <w:w w:val="100"/>
        <w:sz w:val="24"/>
        <w:szCs w:val="24"/>
        <w:lang w:val="en-US" w:eastAsia="en-US" w:bidi="ar-SA"/>
      </w:rPr>
    </w:lvl>
    <w:lvl w:ilvl="1">
      <w:numFmt w:val="bullet"/>
      <w:lvlText w:val="•"/>
      <w:lvlJc w:val="left"/>
      <w:pPr>
        <w:ind w:left="1156" w:hanging="641"/>
      </w:pPr>
      <w:rPr>
        <w:rFonts w:hint="default"/>
        <w:lang w:val="en-US" w:eastAsia="en-US" w:bidi="ar-SA"/>
      </w:rPr>
    </w:lvl>
    <w:lvl w:ilvl="2">
      <w:numFmt w:val="bullet"/>
      <w:lvlText w:val="•"/>
      <w:lvlJc w:val="left"/>
      <w:pPr>
        <w:ind w:left="1513" w:hanging="641"/>
      </w:pPr>
      <w:rPr>
        <w:rFonts w:hint="default"/>
        <w:lang w:val="en-US" w:eastAsia="en-US" w:bidi="ar-SA"/>
      </w:rPr>
    </w:lvl>
    <w:lvl w:ilvl="3">
      <w:numFmt w:val="bullet"/>
      <w:lvlText w:val="•"/>
      <w:lvlJc w:val="left"/>
      <w:pPr>
        <w:ind w:left="1869" w:hanging="641"/>
      </w:pPr>
      <w:rPr>
        <w:rFonts w:hint="default"/>
        <w:lang w:val="en-US" w:eastAsia="en-US" w:bidi="ar-SA"/>
      </w:rPr>
    </w:lvl>
    <w:lvl w:ilvl="4">
      <w:numFmt w:val="bullet"/>
      <w:lvlText w:val="•"/>
      <w:lvlJc w:val="left"/>
      <w:pPr>
        <w:ind w:left="2226" w:hanging="641"/>
      </w:pPr>
      <w:rPr>
        <w:rFonts w:hint="default"/>
        <w:lang w:val="en-US" w:eastAsia="en-US" w:bidi="ar-SA"/>
      </w:rPr>
    </w:lvl>
    <w:lvl w:ilvl="5">
      <w:numFmt w:val="bullet"/>
      <w:lvlText w:val="•"/>
      <w:lvlJc w:val="left"/>
      <w:pPr>
        <w:ind w:left="2582" w:hanging="641"/>
      </w:pPr>
      <w:rPr>
        <w:rFonts w:hint="default"/>
        <w:lang w:val="en-US" w:eastAsia="en-US" w:bidi="ar-SA"/>
      </w:rPr>
    </w:lvl>
    <w:lvl w:ilvl="6">
      <w:numFmt w:val="bullet"/>
      <w:lvlText w:val="•"/>
      <w:lvlJc w:val="left"/>
      <w:pPr>
        <w:ind w:left="2939" w:hanging="641"/>
      </w:pPr>
      <w:rPr>
        <w:rFonts w:hint="default"/>
        <w:lang w:val="en-US" w:eastAsia="en-US" w:bidi="ar-SA"/>
      </w:rPr>
    </w:lvl>
    <w:lvl w:ilvl="7">
      <w:numFmt w:val="bullet"/>
      <w:lvlText w:val="•"/>
      <w:lvlJc w:val="left"/>
      <w:pPr>
        <w:ind w:left="3296" w:hanging="641"/>
      </w:pPr>
      <w:rPr>
        <w:rFonts w:hint="default"/>
        <w:lang w:val="en-US" w:eastAsia="en-US" w:bidi="ar-SA"/>
      </w:rPr>
    </w:lvl>
    <w:lvl w:ilvl="8">
      <w:numFmt w:val="bullet"/>
      <w:lvlText w:val="•"/>
      <w:lvlJc w:val="left"/>
      <w:pPr>
        <w:ind w:left="3652" w:hanging="641"/>
      </w:pPr>
      <w:rPr>
        <w:rFonts w:hint="default"/>
        <w:lang w:val="en-US" w:eastAsia="en-US" w:bidi="ar-SA"/>
      </w:rPr>
    </w:lvl>
  </w:abstractNum>
  <w:abstractNum w:abstractNumId="1" w15:restartNumberingAfterBreak="0">
    <w:nsid w:val="FE76DA18"/>
    <w:multiLevelType w:val="multilevel"/>
    <w:tmpl w:val="FE76DA18"/>
    <w:lvl w:ilvl="0">
      <w:start w:val="1"/>
      <w:numFmt w:val="decimal"/>
      <w:lvlText w:val="%1."/>
      <w:lvlJc w:val="left"/>
      <w:pPr>
        <w:ind w:left="803" w:hanging="64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196" w:hanging="641"/>
      </w:pPr>
      <w:rPr>
        <w:rFonts w:hint="default"/>
        <w:lang w:val="en-US" w:eastAsia="en-US" w:bidi="ar-SA"/>
      </w:rPr>
    </w:lvl>
    <w:lvl w:ilvl="2">
      <w:numFmt w:val="bullet"/>
      <w:lvlText w:val="•"/>
      <w:lvlJc w:val="left"/>
      <w:pPr>
        <w:ind w:left="1593" w:hanging="641"/>
      </w:pPr>
      <w:rPr>
        <w:rFonts w:hint="default"/>
        <w:lang w:val="en-US" w:eastAsia="en-US" w:bidi="ar-SA"/>
      </w:rPr>
    </w:lvl>
    <w:lvl w:ilvl="3">
      <w:numFmt w:val="bullet"/>
      <w:lvlText w:val="•"/>
      <w:lvlJc w:val="left"/>
      <w:pPr>
        <w:ind w:left="1990" w:hanging="641"/>
      </w:pPr>
      <w:rPr>
        <w:rFonts w:hint="default"/>
        <w:lang w:val="en-US" w:eastAsia="en-US" w:bidi="ar-SA"/>
      </w:rPr>
    </w:lvl>
    <w:lvl w:ilvl="4">
      <w:numFmt w:val="bullet"/>
      <w:lvlText w:val="•"/>
      <w:lvlJc w:val="left"/>
      <w:pPr>
        <w:ind w:left="2387" w:hanging="641"/>
      </w:pPr>
      <w:rPr>
        <w:rFonts w:hint="default"/>
        <w:lang w:val="en-US" w:eastAsia="en-US" w:bidi="ar-SA"/>
      </w:rPr>
    </w:lvl>
    <w:lvl w:ilvl="5">
      <w:numFmt w:val="bullet"/>
      <w:lvlText w:val="•"/>
      <w:lvlJc w:val="left"/>
      <w:pPr>
        <w:ind w:left="2784" w:hanging="641"/>
      </w:pPr>
      <w:rPr>
        <w:rFonts w:hint="default"/>
        <w:lang w:val="en-US" w:eastAsia="en-US" w:bidi="ar-SA"/>
      </w:rPr>
    </w:lvl>
    <w:lvl w:ilvl="6">
      <w:numFmt w:val="bullet"/>
      <w:lvlText w:val="•"/>
      <w:lvlJc w:val="left"/>
      <w:pPr>
        <w:ind w:left="3181" w:hanging="641"/>
      </w:pPr>
      <w:rPr>
        <w:rFonts w:hint="default"/>
        <w:lang w:val="en-US" w:eastAsia="en-US" w:bidi="ar-SA"/>
      </w:rPr>
    </w:lvl>
    <w:lvl w:ilvl="7">
      <w:numFmt w:val="bullet"/>
      <w:lvlText w:val="•"/>
      <w:lvlJc w:val="left"/>
      <w:pPr>
        <w:ind w:left="3578" w:hanging="641"/>
      </w:pPr>
      <w:rPr>
        <w:rFonts w:hint="default"/>
        <w:lang w:val="en-US" w:eastAsia="en-US" w:bidi="ar-SA"/>
      </w:rPr>
    </w:lvl>
    <w:lvl w:ilvl="8">
      <w:numFmt w:val="bullet"/>
      <w:lvlText w:val="•"/>
      <w:lvlJc w:val="left"/>
      <w:pPr>
        <w:ind w:left="3975" w:hanging="641"/>
      </w:pPr>
      <w:rPr>
        <w:rFonts w:hint="default"/>
        <w:lang w:val="en-US" w:eastAsia="en-US" w:bidi="ar-SA"/>
      </w:rPr>
    </w:lvl>
  </w:abstractNum>
  <w:abstractNum w:abstractNumId="2"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398238411">
    <w:abstractNumId w:val="17"/>
  </w:num>
  <w:num w:numId="2" w16cid:durableId="140971996">
    <w:abstractNumId w:val="5"/>
  </w:num>
  <w:num w:numId="3" w16cid:durableId="982782412">
    <w:abstractNumId w:val="14"/>
  </w:num>
  <w:num w:numId="4" w16cid:durableId="1151367212">
    <w:abstractNumId w:val="9"/>
  </w:num>
  <w:num w:numId="5" w16cid:durableId="262302376">
    <w:abstractNumId w:val="13"/>
  </w:num>
  <w:num w:numId="6" w16cid:durableId="652875532">
    <w:abstractNumId w:val="6"/>
  </w:num>
  <w:num w:numId="7" w16cid:durableId="262301441">
    <w:abstractNumId w:val="8"/>
  </w:num>
  <w:num w:numId="8" w16cid:durableId="1341857378">
    <w:abstractNumId w:val="3"/>
  </w:num>
  <w:num w:numId="9" w16cid:durableId="115219836">
    <w:abstractNumId w:val="16"/>
  </w:num>
  <w:num w:numId="10" w16cid:durableId="1374232221">
    <w:abstractNumId w:val="11"/>
  </w:num>
  <w:num w:numId="11" w16cid:durableId="49883649">
    <w:abstractNumId w:val="15"/>
  </w:num>
  <w:num w:numId="12" w16cid:durableId="310449091">
    <w:abstractNumId w:val="12"/>
  </w:num>
  <w:num w:numId="13" w16cid:durableId="459228626">
    <w:abstractNumId w:val="7"/>
  </w:num>
  <w:num w:numId="14" w16cid:durableId="559632548">
    <w:abstractNumId w:val="16"/>
  </w:num>
  <w:num w:numId="15" w16cid:durableId="189800643">
    <w:abstractNumId w:val="10"/>
  </w:num>
  <w:num w:numId="16" w16cid:durableId="800660241">
    <w:abstractNumId w:val="7"/>
  </w:num>
  <w:num w:numId="17" w16cid:durableId="1206799204">
    <w:abstractNumId w:val="7"/>
  </w:num>
  <w:num w:numId="18" w16cid:durableId="1035931220">
    <w:abstractNumId w:val="7"/>
  </w:num>
  <w:num w:numId="19" w16cid:durableId="442650872">
    <w:abstractNumId w:val="7"/>
  </w:num>
  <w:num w:numId="20" w16cid:durableId="559903231">
    <w:abstractNumId w:val="7"/>
  </w:num>
  <w:num w:numId="21" w16cid:durableId="1966429366">
    <w:abstractNumId w:val="7"/>
  </w:num>
  <w:num w:numId="22" w16cid:durableId="1440679514">
    <w:abstractNumId w:val="7"/>
  </w:num>
  <w:num w:numId="23" w16cid:durableId="1569221843">
    <w:abstractNumId w:val="7"/>
  </w:num>
  <w:num w:numId="24" w16cid:durableId="1744326750">
    <w:abstractNumId w:val="7"/>
  </w:num>
  <w:num w:numId="25" w16cid:durableId="450056766">
    <w:abstractNumId w:val="7"/>
  </w:num>
  <w:num w:numId="26" w16cid:durableId="16934863">
    <w:abstractNumId w:val="7"/>
  </w:num>
  <w:num w:numId="27" w16cid:durableId="757216311">
    <w:abstractNumId w:val="7"/>
  </w:num>
  <w:num w:numId="28" w16cid:durableId="951786194">
    <w:abstractNumId w:val="7"/>
  </w:num>
  <w:num w:numId="29" w16cid:durableId="758450094">
    <w:abstractNumId w:val="13"/>
  </w:num>
  <w:num w:numId="30" w16cid:durableId="2126531810">
    <w:abstractNumId w:val="13"/>
  </w:num>
  <w:num w:numId="31" w16cid:durableId="1848906344">
    <w:abstractNumId w:val="13"/>
    <w:lvlOverride w:ilvl="0">
      <w:startOverride w:val="1"/>
    </w:lvlOverride>
  </w:num>
  <w:num w:numId="32" w16cid:durableId="812914882">
    <w:abstractNumId w:val="13"/>
  </w:num>
  <w:num w:numId="33" w16cid:durableId="30497270">
    <w:abstractNumId w:val="13"/>
    <w:lvlOverride w:ilvl="0">
      <w:startOverride w:val="1"/>
    </w:lvlOverride>
  </w:num>
  <w:num w:numId="34" w16cid:durableId="680014508">
    <w:abstractNumId w:val="13"/>
    <w:lvlOverride w:ilvl="0">
      <w:startOverride w:val="1"/>
    </w:lvlOverride>
  </w:num>
  <w:num w:numId="35" w16cid:durableId="1318846735">
    <w:abstractNumId w:val="14"/>
    <w:lvlOverride w:ilvl="0">
      <w:startOverride w:val="1"/>
    </w:lvlOverride>
  </w:num>
  <w:num w:numId="36" w16cid:durableId="325548592">
    <w:abstractNumId w:val="14"/>
  </w:num>
  <w:num w:numId="37" w16cid:durableId="2011254928">
    <w:abstractNumId w:val="14"/>
    <w:lvlOverride w:ilvl="0">
      <w:startOverride w:val="1"/>
    </w:lvlOverride>
  </w:num>
  <w:num w:numId="38" w16cid:durableId="783773944">
    <w:abstractNumId w:val="14"/>
  </w:num>
  <w:num w:numId="39" w16cid:durableId="459614332">
    <w:abstractNumId w:val="14"/>
    <w:lvlOverride w:ilvl="0">
      <w:startOverride w:val="1"/>
    </w:lvlOverride>
  </w:num>
  <w:num w:numId="40" w16cid:durableId="1562669463">
    <w:abstractNumId w:val="14"/>
    <w:lvlOverride w:ilvl="0">
      <w:startOverride w:val="1"/>
    </w:lvlOverride>
  </w:num>
  <w:num w:numId="41" w16cid:durableId="1414203471">
    <w:abstractNumId w:val="14"/>
    <w:lvlOverride w:ilvl="0">
      <w:startOverride w:val="1"/>
    </w:lvlOverride>
  </w:num>
  <w:num w:numId="42" w16cid:durableId="1031103547">
    <w:abstractNumId w:val="14"/>
  </w:num>
  <w:num w:numId="43" w16cid:durableId="290481940">
    <w:abstractNumId w:val="14"/>
  </w:num>
  <w:num w:numId="44" w16cid:durableId="383915557">
    <w:abstractNumId w:val="4"/>
  </w:num>
  <w:num w:numId="45" w16cid:durableId="2095854739">
    <w:abstractNumId w:val="2"/>
  </w:num>
  <w:num w:numId="46" w16cid:durableId="803354155">
    <w:abstractNumId w:val="1"/>
  </w:num>
  <w:num w:numId="47" w16cid:durableId="144665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57C"/>
    <w:rsid w:val="00086F62"/>
    <w:rsid w:val="00090674"/>
    <w:rsid w:val="0009320B"/>
    <w:rsid w:val="00096AE0"/>
    <w:rsid w:val="000A3D67"/>
    <w:rsid w:val="000B1B74"/>
    <w:rsid w:val="000B3A2D"/>
    <w:rsid w:val="000B49C0"/>
    <w:rsid w:val="000D476D"/>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1D58D0"/>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3B20"/>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2B2"/>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7F22B3"/>
    <w:rsid w:val="00812D62"/>
    <w:rsid w:val="00812F29"/>
    <w:rsid w:val="00821713"/>
    <w:rsid w:val="00827050"/>
    <w:rsid w:val="0083278B"/>
    <w:rsid w:val="00834538"/>
    <w:rsid w:val="00850E89"/>
    <w:rsid w:val="00882D7F"/>
    <w:rsid w:val="008930E4"/>
    <w:rsid w:val="00893821"/>
    <w:rsid w:val="008A7B9C"/>
    <w:rsid w:val="008B39FA"/>
    <w:rsid w:val="008B4754"/>
    <w:rsid w:val="008C2FDE"/>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1A67"/>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70553"/>
    <w:rsid w:val="00C84923"/>
    <w:rsid w:val="00CB7B3E"/>
    <w:rsid w:val="00CC739D"/>
    <w:rsid w:val="00D04468"/>
    <w:rsid w:val="00D105B8"/>
    <w:rsid w:val="00D36257"/>
    <w:rsid w:val="00D4687E"/>
    <w:rsid w:val="00D53A12"/>
    <w:rsid w:val="00D87E2A"/>
    <w:rsid w:val="00DB0C43"/>
    <w:rsid w:val="00DE3354"/>
    <w:rsid w:val="00DF7DCD"/>
    <w:rsid w:val="00E50B7D"/>
    <w:rsid w:val="00E904A1"/>
    <w:rsid w:val="00EB7D28"/>
    <w:rsid w:val="00EC0D0C"/>
    <w:rsid w:val="00ED0FD6"/>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qFormat/>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qFormat/>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qFormat/>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qFormat/>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customStyle="1" w:styleId="TableParagraph">
    <w:name w:val="Table Paragraph"/>
    <w:basedOn w:val="Normal"/>
    <w:uiPriority w:val="1"/>
    <w:qFormat/>
    <w:rsid w:val="004C3B20"/>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badankebijaka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6</Pages>
  <Words>3304</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2025-11-21T15:05:00Z</dcterms:created>
  <dcterms:modified xsi:type="dcterms:W3CDTF">2025-11-21T15:05:00Z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cd95f844-0269-4f83-a5f1-c7dd525c3f2a</vt:lpwstr>
  </property>
</Properties>
</file>