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CAEA" w14:textId="1B5D55F3" w:rsidR="00B23386" w:rsidRDefault="00B23386" w:rsidP="00B23386">
      <w:pPr>
        <w:pStyle w:val="AuthorName"/>
        <w:spacing w:before="1200" w:after="0"/>
        <w:rPr>
          <w:b/>
          <w:bCs/>
          <w:sz w:val="36"/>
        </w:rPr>
      </w:pPr>
      <w:r w:rsidRPr="00B23386">
        <w:rPr>
          <w:b/>
          <w:bCs/>
          <w:sz w:val="36"/>
        </w:rPr>
        <w:t>Biomaterials Advancements for Ultrasonic Dental Instrumentation: Assessing Tip Vibration</w:t>
      </w:r>
      <w:r>
        <w:rPr>
          <w:b/>
          <w:bCs/>
          <w:sz w:val="36"/>
        </w:rPr>
        <w:t xml:space="preserve"> </w:t>
      </w:r>
      <w:r w:rsidRPr="00B23386">
        <w:rPr>
          <w:b/>
          <w:bCs/>
          <w:sz w:val="36"/>
        </w:rPr>
        <w:t>Performance</w:t>
      </w:r>
    </w:p>
    <w:p w14:paraId="548D96A3" w14:textId="512E7DE9" w:rsidR="00C14B14" w:rsidRPr="00051D3F" w:rsidRDefault="00051D3F" w:rsidP="00051D3F">
      <w:pPr>
        <w:pStyle w:val="AuthorName"/>
        <w:rPr>
          <w:vertAlign w:val="superscript"/>
          <w:lang w:val="id"/>
        </w:rPr>
      </w:pPr>
      <w:r w:rsidRPr="00051D3F">
        <w:rPr>
          <w:lang w:val="id"/>
        </w:rPr>
        <w:t>Laelia Dwi Anggraini</w:t>
      </w:r>
      <w:r w:rsidR="003C2A5C">
        <w:rPr>
          <w:vertAlign w:val="superscript"/>
          <w:lang w:val="id"/>
        </w:rPr>
        <w:t xml:space="preserve">1, </w:t>
      </w:r>
      <w:r w:rsidR="003C2A5C" w:rsidRPr="00051D3F">
        <w:rPr>
          <w:szCs w:val="28"/>
          <w:vertAlign w:val="superscript"/>
        </w:rPr>
        <w:t>a</w:t>
      </w:r>
      <w:r w:rsidR="003C2A5C">
        <w:rPr>
          <w:vertAlign w:val="superscript"/>
          <w:lang w:val="id"/>
        </w:rPr>
        <w:t>)</w:t>
      </w:r>
      <w:r w:rsidRPr="00051D3F">
        <w:rPr>
          <w:lang w:val="id"/>
        </w:rPr>
        <w:t>, Fitri Yuniawati</w:t>
      </w:r>
      <w:r w:rsidRPr="00051D3F">
        <w:rPr>
          <w:vertAlign w:val="superscript"/>
          <w:lang w:val="id"/>
        </w:rPr>
        <w:t>2</w:t>
      </w:r>
      <w:r w:rsidRPr="00051D3F">
        <w:rPr>
          <w:lang w:val="id"/>
        </w:rPr>
        <w:t>, Lasmi Dewi Nurnaini</w:t>
      </w:r>
      <w:r w:rsidRPr="00051D3F">
        <w:rPr>
          <w:vertAlign w:val="superscript"/>
          <w:lang w:val="id"/>
        </w:rPr>
        <w:t>3</w:t>
      </w:r>
      <w:r w:rsidRPr="00051D3F">
        <w:rPr>
          <w:lang w:val="id"/>
        </w:rPr>
        <w:t>, Thomas Oka Pratama</w:t>
      </w:r>
      <w:r w:rsidRPr="00051D3F">
        <w:rPr>
          <w:vertAlign w:val="superscript"/>
          <w:lang w:val="id"/>
        </w:rPr>
        <w:t>4</w:t>
      </w:r>
      <w:r w:rsidR="003C398C">
        <w:rPr>
          <w:vertAlign w:val="superscript"/>
          <w:lang w:val="id"/>
        </w:rPr>
        <w:t>, b)</w:t>
      </w:r>
      <w:r w:rsidRPr="00051D3F">
        <w:rPr>
          <w:lang w:val="id"/>
        </w:rPr>
        <w:t>, Memory Motivanisman Waruwu</w:t>
      </w:r>
      <w:r w:rsidR="003C2A5C">
        <w:rPr>
          <w:vertAlign w:val="superscript"/>
          <w:lang w:val="id"/>
        </w:rPr>
        <w:t>4</w:t>
      </w:r>
      <w:r w:rsidR="003C398C">
        <w:rPr>
          <w:vertAlign w:val="superscript"/>
          <w:lang w:val="id"/>
        </w:rPr>
        <w:t>, c)</w:t>
      </w:r>
      <w:r w:rsidRPr="00051D3F">
        <w:rPr>
          <w:lang w:val="id"/>
        </w:rPr>
        <w:t>, Rony Wijaya</w:t>
      </w:r>
      <w:r w:rsidR="003C2A5C">
        <w:rPr>
          <w:vertAlign w:val="superscript"/>
          <w:lang w:val="id"/>
        </w:rPr>
        <w:t>4</w:t>
      </w:r>
      <w:r w:rsidR="003C398C">
        <w:rPr>
          <w:vertAlign w:val="superscript"/>
          <w:lang w:val="id"/>
        </w:rPr>
        <w:t>, d)</w:t>
      </w:r>
      <w:r w:rsidRPr="00051D3F">
        <w:rPr>
          <w:lang w:val="id"/>
        </w:rPr>
        <w:t>,  Bambang Pamungkas</w:t>
      </w:r>
      <w:r w:rsidR="003C2A5C">
        <w:rPr>
          <w:vertAlign w:val="superscript"/>
          <w:lang w:val="id"/>
        </w:rPr>
        <w:t>4</w:t>
      </w:r>
      <w:r w:rsidR="003C398C">
        <w:rPr>
          <w:vertAlign w:val="superscript"/>
          <w:lang w:val="id"/>
        </w:rPr>
        <w:t>, e)</w:t>
      </w:r>
      <w:r w:rsidRPr="00051D3F">
        <w:rPr>
          <w:lang w:val="id"/>
        </w:rPr>
        <w:t>, Hermin Kartika Sari</w:t>
      </w:r>
      <w:r w:rsidR="003C2A5C">
        <w:rPr>
          <w:vertAlign w:val="superscript"/>
          <w:lang w:val="id"/>
        </w:rPr>
        <w:t>4</w:t>
      </w:r>
      <w:r w:rsidR="003C398C">
        <w:rPr>
          <w:vertAlign w:val="superscript"/>
          <w:lang w:val="id"/>
        </w:rPr>
        <w:t>, f)</w:t>
      </w:r>
      <w:r w:rsidRPr="00051D3F">
        <w:rPr>
          <w:lang w:val="id"/>
        </w:rPr>
        <w:t>, Anggi Nurcahyo</w:t>
      </w:r>
      <w:r w:rsidR="003C2A5C">
        <w:rPr>
          <w:vertAlign w:val="superscript"/>
          <w:lang w:val="id"/>
        </w:rPr>
        <w:t>4</w:t>
      </w:r>
      <w:r w:rsidR="003C398C">
        <w:rPr>
          <w:vertAlign w:val="superscript"/>
          <w:lang w:val="id"/>
        </w:rPr>
        <w:t>, g)</w:t>
      </w:r>
    </w:p>
    <w:p w14:paraId="56D8C2E1" w14:textId="77777777" w:rsidR="00C14B14" w:rsidRPr="00051D3F" w:rsidRDefault="00C14B14" w:rsidP="003B0050">
      <w:pPr>
        <w:pStyle w:val="AuthorName"/>
        <w:spacing w:before="0" w:after="0"/>
        <w:rPr>
          <w:sz w:val="20"/>
          <w:lang w:val="en-GB" w:eastAsia="en-GB"/>
        </w:rPr>
      </w:pPr>
      <w:r w:rsidRPr="00051D3F">
        <w:rPr>
          <w:sz w:val="20"/>
          <w:lang w:val="en-GB" w:eastAsia="en-GB"/>
        </w:rPr>
        <w:t xml:space="preserve">Author Affiliations </w:t>
      </w:r>
    </w:p>
    <w:p w14:paraId="175CA932" w14:textId="00C63D25" w:rsidR="00051D3F" w:rsidRPr="00051D3F" w:rsidRDefault="00027428" w:rsidP="00051D3F">
      <w:pPr>
        <w:pStyle w:val="AuthorAffiliation"/>
        <w:rPr>
          <w:lang w:val="id"/>
        </w:rPr>
      </w:pPr>
      <w:r w:rsidRPr="00051D3F">
        <w:rPr>
          <w:i w:val="0"/>
          <w:iCs/>
          <w:vertAlign w:val="superscript"/>
        </w:rPr>
        <w:t>1</w:t>
      </w:r>
      <w:r w:rsidR="00051D3F" w:rsidRPr="00051D3F">
        <w:rPr>
          <w:lang w:val="id"/>
        </w:rPr>
        <w:t>Departme</w:t>
      </w:r>
      <w:r w:rsidR="00005DF3">
        <w:rPr>
          <w:lang w:val="id"/>
        </w:rPr>
        <w:t>nt</w:t>
      </w:r>
      <w:r w:rsidR="00051D3F" w:rsidRPr="00051D3F">
        <w:rPr>
          <w:lang w:val="id"/>
        </w:rPr>
        <w:t xml:space="preserve"> Pediatric Dentistry, Faculty of Dentistry, Universitas Muhammadiyah Yogyakarta, Jl Brawijaya Tamantirto, Bantul, 55183, Indonesia</w:t>
      </w:r>
    </w:p>
    <w:p w14:paraId="58D39165" w14:textId="745DCD5F" w:rsidR="00051D3F" w:rsidRPr="00051D3F" w:rsidRDefault="00051D3F" w:rsidP="00051D3F">
      <w:pPr>
        <w:pStyle w:val="AuthorAffiliation"/>
        <w:rPr>
          <w:lang w:val="id"/>
        </w:rPr>
      </w:pPr>
      <w:r w:rsidRPr="00051D3F">
        <w:rPr>
          <w:vertAlign w:val="superscript"/>
          <w:lang w:val="id"/>
        </w:rPr>
        <w:t>2</w:t>
      </w:r>
      <w:r w:rsidRPr="00051D3F">
        <w:rPr>
          <w:lang w:val="id"/>
        </w:rPr>
        <w:t>Depart</w:t>
      </w:r>
      <w:r w:rsidR="00005DF3">
        <w:rPr>
          <w:lang w:val="id"/>
        </w:rPr>
        <w:t>ment</w:t>
      </w:r>
      <w:r w:rsidRPr="00051D3F">
        <w:rPr>
          <w:lang w:val="id"/>
        </w:rPr>
        <w:t xml:space="preserve"> Periodontology, Faculty of Dentistry, Universitas Muhammadiyah Yogyakarta, Jl Brawijaya Tamantirto, Bantul, 55183, Indonesia </w:t>
      </w:r>
    </w:p>
    <w:p w14:paraId="477DAC4D" w14:textId="27E28CD9" w:rsidR="00051D3F" w:rsidRPr="00051D3F" w:rsidRDefault="00051D3F" w:rsidP="00051D3F">
      <w:pPr>
        <w:pStyle w:val="AuthorAffiliation"/>
        <w:rPr>
          <w:lang w:val="id"/>
        </w:rPr>
      </w:pPr>
      <w:r w:rsidRPr="00051D3F">
        <w:rPr>
          <w:vertAlign w:val="superscript"/>
          <w:lang w:val="id"/>
        </w:rPr>
        <w:t>3</w:t>
      </w:r>
      <w:r w:rsidRPr="00051D3F">
        <w:rPr>
          <w:lang w:val="id"/>
        </w:rPr>
        <w:t>Depart</w:t>
      </w:r>
      <w:r w:rsidR="00005DF3">
        <w:rPr>
          <w:lang w:val="id"/>
        </w:rPr>
        <w:t xml:space="preserve">ment </w:t>
      </w:r>
      <w:r w:rsidRPr="00051D3F">
        <w:rPr>
          <w:lang w:val="id"/>
        </w:rPr>
        <w:t xml:space="preserve"> Pediatric Dentistry, Faculty of Dentistry, Universitas Muhammadiyah Surakarta, Surakarta, Indonesia</w:t>
      </w:r>
    </w:p>
    <w:p w14:paraId="3B47F34B" w14:textId="2E0AB8F3" w:rsidR="00051D3F" w:rsidRPr="00051D3F" w:rsidRDefault="00051D3F" w:rsidP="00051D3F">
      <w:pPr>
        <w:pStyle w:val="AuthorAffiliation"/>
        <w:rPr>
          <w:lang w:val="id"/>
        </w:rPr>
      </w:pPr>
      <w:r w:rsidRPr="00051D3F">
        <w:rPr>
          <w:vertAlign w:val="superscript"/>
          <w:lang w:val="id"/>
        </w:rPr>
        <w:t>4</w:t>
      </w:r>
      <w:r w:rsidRPr="00051D3F">
        <w:rPr>
          <w:lang w:val="id"/>
        </w:rPr>
        <w:t>Laboratorium System Sensor and Telecontrol, Departement Technic Nuclear and Technic Physic, Faculty of Technic, Universitas Gadjah Mada, Yogyakarta, Indonesia.</w:t>
      </w:r>
    </w:p>
    <w:p w14:paraId="771D6B6C" w14:textId="0BF5581B" w:rsidR="00C14B14" w:rsidRPr="00B23386" w:rsidRDefault="00C14B14" w:rsidP="00C14B14">
      <w:pPr>
        <w:pStyle w:val="AuthorAffiliation"/>
        <w:rPr>
          <w:highlight w:val="yellow"/>
        </w:rPr>
      </w:pPr>
    </w:p>
    <w:p w14:paraId="5E05E235" w14:textId="28EFC431" w:rsidR="003A5C85" w:rsidRPr="003C398C" w:rsidRDefault="00C14B14" w:rsidP="00051D3F">
      <w:pPr>
        <w:pStyle w:val="AuthorAffiliation"/>
      </w:pPr>
      <w:r w:rsidRPr="00051D3F">
        <w:br/>
        <w:t>Author Emails</w:t>
      </w:r>
      <w:r w:rsidR="00ED4A2C" w:rsidRPr="00051D3F">
        <w:br/>
      </w:r>
      <w:r w:rsidR="00003D7C" w:rsidRPr="00051D3F">
        <w:rPr>
          <w:szCs w:val="28"/>
          <w:vertAlign w:val="superscript"/>
        </w:rPr>
        <w:t>a)</w:t>
      </w:r>
      <w:r w:rsidR="00003D7C" w:rsidRPr="00051D3F">
        <w:t xml:space="preserve"> Corresponding</w:t>
      </w:r>
      <w:r w:rsidR="004E3CB2" w:rsidRPr="00051D3F">
        <w:t xml:space="preserve"> author</w:t>
      </w:r>
      <w:r w:rsidR="004E3CB2" w:rsidRPr="003C398C">
        <w:t xml:space="preserve">: </w:t>
      </w:r>
      <w:hyperlink r:id="rId9" w:history="1">
        <w:r w:rsidR="003C398C" w:rsidRPr="003C398C">
          <w:rPr>
            <w:rStyle w:val="Hyperlink"/>
            <w:color w:val="auto"/>
            <w:u w:val="none"/>
          </w:rPr>
          <w:t>laelia.dwi@umy.ac.id</w:t>
        </w:r>
      </w:hyperlink>
    </w:p>
    <w:p w14:paraId="7535DB6B" w14:textId="5ED86C46" w:rsidR="003C398C" w:rsidRPr="003C398C" w:rsidRDefault="003C398C" w:rsidP="003C398C">
      <w:pPr>
        <w:pStyle w:val="AuthorAffiliation"/>
      </w:pPr>
      <w:r w:rsidRPr="003C398C">
        <w:rPr>
          <w:vertAlign w:val="superscript"/>
        </w:rPr>
        <w:t>b)</w:t>
      </w:r>
      <w:r w:rsidRPr="003C398C">
        <w:t xml:space="preserve"> </w:t>
      </w:r>
      <w:r w:rsidRPr="003C398C">
        <w:t>thomas.o.p@ugm.ac.id</w:t>
      </w:r>
    </w:p>
    <w:p w14:paraId="2E2F8305" w14:textId="1EE9148D" w:rsidR="003C398C" w:rsidRPr="003C398C" w:rsidRDefault="003C398C" w:rsidP="003C398C">
      <w:pPr>
        <w:pStyle w:val="AuthorAffiliation"/>
      </w:pPr>
      <w:r w:rsidRPr="003C398C">
        <w:rPr>
          <w:vertAlign w:val="superscript"/>
        </w:rPr>
        <w:t>c)</w:t>
      </w:r>
      <w:r w:rsidRPr="003C398C">
        <w:t xml:space="preserve"> </w:t>
      </w:r>
      <w:r w:rsidRPr="003C398C">
        <w:t>morymw@gmail.com</w:t>
      </w:r>
    </w:p>
    <w:p w14:paraId="404CC11E" w14:textId="21627E97" w:rsidR="003C398C" w:rsidRPr="003C398C" w:rsidRDefault="003C398C" w:rsidP="003C398C">
      <w:pPr>
        <w:pStyle w:val="AuthorAffiliation"/>
      </w:pPr>
      <w:r w:rsidRPr="003C398C">
        <w:rPr>
          <w:vertAlign w:val="superscript"/>
        </w:rPr>
        <w:t>d</w:t>
      </w:r>
      <w:r w:rsidRPr="003C398C">
        <w:rPr>
          <w:vertAlign w:val="superscript"/>
        </w:rPr>
        <w:t>)</w:t>
      </w:r>
      <w:r w:rsidRPr="003C398C">
        <w:t xml:space="preserve"> r.wijaya80@gmail.com</w:t>
      </w:r>
    </w:p>
    <w:p w14:paraId="5B99731D" w14:textId="19166D4C" w:rsidR="003C398C" w:rsidRPr="003C398C" w:rsidRDefault="003C398C" w:rsidP="003C398C">
      <w:pPr>
        <w:pStyle w:val="AuthorAffiliation"/>
      </w:pPr>
      <w:r w:rsidRPr="003C398C">
        <w:rPr>
          <w:vertAlign w:val="superscript"/>
        </w:rPr>
        <w:t>e</w:t>
      </w:r>
      <w:r w:rsidRPr="003C398C">
        <w:rPr>
          <w:vertAlign w:val="superscript"/>
        </w:rPr>
        <w:t>)</w:t>
      </w:r>
      <w:r w:rsidRPr="003C398C">
        <w:t xml:space="preserve"> bp.sleman@gmail.com</w:t>
      </w:r>
    </w:p>
    <w:p w14:paraId="181A9E40" w14:textId="61DDE8D4" w:rsidR="003C398C" w:rsidRPr="003C398C" w:rsidRDefault="003C398C" w:rsidP="00051D3F">
      <w:pPr>
        <w:pStyle w:val="AuthorAffiliation"/>
      </w:pPr>
      <w:r w:rsidRPr="003C398C">
        <w:rPr>
          <w:vertAlign w:val="superscript"/>
        </w:rPr>
        <w:t>f</w:t>
      </w:r>
      <w:r w:rsidRPr="003C398C">
        <w:rPr>
          <w:vertAlign w:val="superscript"/>
        </w:rPr>
        <w:t>)</w:t>
      </w:r>
      <w:r w:rsidRPr="003C398C">
        <w:t xml:space="preserve"> </w:t>
      </w:r>
      <w:hyperlink r:id="rId10" w:history="1">
        <w:r w:rsidRPr="003C398C">
          <w:rPr>
            <w:rStyle w:val="Hyperlink"/>
            <w:color w:val="auto"/>
            <w:u w:val="none"/>
          </w:rPr>
          <w:t>hrmnkrtksari@gmail.com</w:t>
        </w:r>
      </w:hyperlink>
    </w:p>
    <w:p w14:paraId="2CA6958C" w14:textId="60F49E55" w:rsidR="003C398C" w:rsidRPr="003C398C" w:rsidRDefault="003C398C" w:rsidP="003C398C">
      <w:pPr>
        <w:pStyle w:val="AuthorAffiliation"/>
      </w:pPr>
      <w:r w:rsidRPr="003C398C">
        <w:rPr>
          <w:vertAlign w:val="superscript"/>
        </w:rPr>
        <w:t>f)</w:t>
      </w:r>
      <w:r w:rsidRPr="003C398C">
        <w:t xml:space="preserve"> angginurcahyo@gmail.com</w:t>
      </w:r>
    </w:p>
    <w:p w14:paraId="28C231E2" w14:textId="77777777" w:rsidR="003C398C" w:rsidRPr="00051D3F" w:rsidRDefault="003C398C" w:rsidP="00051D3F">
      <w:pPr>
        <w:pStyle w:val="AuthorAffiliation"/>
      </w:pPr>
    </w:p>
    <w:p w14:paraId="265F0712" w14:textId="75B25042" w:rsidR="00B23386" w:rsidRDefault="0016385D" w:rsidP="00C14B14">
      <w:pPr>
        <w:pStyle w:val="Abstract"/>
      </w:pPr>
      <w:r w:rsidRPr="00051D3F">
        <w:rPr>
          <w:b/>
          <w:bCs/>
        </w:rPr>
        <w:t>Abstract.</w:t>
      </w:r>
      <w:r w:rsidRPr="00051D3F">
        <w:t xml:space="preserve"> </w:t>
      </w:r>
      <w:r w:rsidR="00B23386" w:rsidRPr="00051D3F">
        <w:t>Dental health prevention, regarding ultrasonic technology, it is known tha</w:t>
      </w:r>
      <w:r w:rsidR="00B23386" w:rsidRPr="00B23386">
        <w:t xml:space="preserve">t ultrasonic technology has been widely used in various medical applications, including in teeth cleaning. Ultrasonic dental cleaning devices use sound waves to remove tartar and plaque from the tooth surface. Accessibility and cost challenges: although the effectiveness of ultrasonic dental cleaning devices has been proven, many patients may face accessibility barriers or high costs when trying to obtain this treatment. The opportunity for innovation in this paper is that there is an opportunity to develop ultrasonic dental cleaning devices that are more affordable, faster, and more cleanser.  This paper compares the tip vibration test on ultrasonic dental cleaning tool prototype type 2.0 to the old ultrasonic model. This paper aims to make this technology accessible to patients and dental practitioners. This paper can provide significant benefits in increasing the accessibility of ultrasonic dental care, which can help prevent dental and oral problems early on. It can also reduce long-term dental care costs and improve patient's quality of life. Novelty. This study used Clear Smile </w:t>
      </w:r>
      <w:proofErr w:type="spellStart"/>
      <w:r w:rsidR="00B23386" w:rsidRPr="00B23386">
        <w:t>Ulltra</w:t>
      </w:r>
      <w:proofErr w:type="spellEnd"/>
      <w:r w:rsidR="00B23386" w:rsidRPr="00B23386">
        <w:t>, a new scaler tool that uses non-PLN electricity.  This study compared the tip vibration test on ultrasonic dental cleaning tool prototype type 2.0 to the old ultrasonic model.  The study results showed that the new scaler model is faster than the old type of scaler.  The study concluded that the new scaler model is recommended for dental care, especially in cases requiring immediate treatment.</w:t>
      </w:r>
    </w:p>
    <w:p w14:paraId="22C3F2A8" w14:textId="39EB2270" w:rsidR="0016385D" w:rsidRPr="00075EA6" w:rsidRDefault="00B23386" w:rsidP="00C14B14">
      <w:pPr>
        <w:pStyle w:val="Abstract"/>
      </w:pPr>
      <w:r>
        <w:t xml:space="preserve">Keywords: </w:t>
      </w:r>
      <w:r w:rsidRPr="00B23386">
        <w:t>ultrasonic scaler type 2,0; old ultrasonic model.</w:t>
      </w:r>
    </w:p>
    <w:p w14:paraId="5240E3FB" w14:textId="102487CC" w:rsidR="003A287B" w:rsidRPr="00075EA6" w:rsidRDefault="00B23386" w:rsidP="00003D7C">
      <w:pPr>
        <w:pStyle w:val="Heading1"/>
        <w:rPr>
          <w:b w:val="0"/>
          <w:caps w:val="0"/>
          <w:sz w:val="20"/>
        </w:rPr>
      </w:pPr>
      <w:r>
        <w:lastRenderedPageBreak/>
        <w:t>introduction</w:t>
      </w:r>
    </w:p>
    <w:p w14:paraId="0026C30D" w14:textId="77777777" w:rsidR="00B23386" w:rsidRPr="00B23386" w:rsidRDefault="00B23386" w:rsidP="00B23386">
      <w:pPr>
        <w:pStyle w:val="Paragraph"/>
      </w:pPr>
      <w:r w:rsidRPr="00B23386">
        <w:t xml:space="preserve">An inventive device that uses ultrasonic vibrations to remove tartar, the home stand-alone ultrasonic dental cleaning tool may be used independently and is ideal for emergencies and remote locations. Since dental patients of all ages can benefit from this breakthrough, all Indonesian dentists are prospective users of this product. Additionally, this innovation can be run independently, making it available to volunteers providing social services, media teams, small-to medium-sized dental clinics, and those living in rural places. The use of piezoelectric materials and high-frequency ultrasonic technologies, which provide safe and smooth mechanical vibrations, is an advantage of this product innovation. Additionally, this instrument features a cavitation effect that produces tiny bubbles to efficiently clear plaque and tartar, as well as a standalone power generator that enables its use in remote areas. This product will undergo multiple phases, including prototype design and development, laboratory and field testing, feedback gathering, validation and certification, and large-scale production preparation, in order to reach Technology Readiness Level 6. In order for the product to be marketed and utilized by the general public right away, this step makes sure the prototype has been tested in an appropriate setting and is prepared for additional manufacturing. Additionally, this product has been submitted for a simple patent, named Stand-alone Power Generator Circuit for Ultrasonic Dental Scaler, with registration number 500202405986. The piezoelectric reaction to vibration variations is the basis for the </w:t>
      </w:r>
      <w:proofErr w:type="spellStart"/>
      <w:r w:rsidRPr="00B23386">
        <w:t>Benetech</w:t>
      </w:r>
      <w:proofErr w:type="spellEnd"/>
      <w:r w:rsidRPr="00B23386">
        <w:t xml:space="preserve"> GM63A vibration meter's operation. Vibration sensors frequently use piezoelectric crystals, such quartz, or piezoelectric ceramic compounds. The surface or structure whose vibration is being measured will have this sensor installed on it. When the structure vibrates, the piezoelectric sensor will provide an electrical signal that is proportional to the vibration's frequency and amplitude. The electrical charge on the piezoelectric crystal will alter in response to pressure or vibration applied to the piezoelectric sensor. For additional examination, the ensuing electrical signal can be detected and recorded. Signal processing electronics can be used to process the signal. </w:t>
      </w:r>
    </w:p>
    <w:p w14:paraId="6A158A15" w14:textId="77777777" w:rsidR="00B23386" w:rsidRPr="00B23386" w:rsidRDefault="00B23386" w:rsidP="00B23386">
      <w:pPr>
        <w:pStyle w:val="Paragraph"/>
      </w:pPr>
      <w:r w:rsidRPr="00B23386">
        <w:t xml:space="preserve">Piezoelectric-based vibration meters are often quick to react to vibration changes, which makes them appropriate for detecting high-frequency or rapid vibrations. Numerous applications, such as predictive maintenance, machine condition monitoring, and structural testing, make extensive use of vibration meters. Approach. When the valve switch sensor changes to be monitored on site, the probe is operated by affixing it to the region or place where vibration occurs. Vibrations on the valve and the valve position sensor device are included in the measurements. comprises a set of valve actuators, a short and long probe, and a </w:t>
      </w:r>
      <w:proofErr w:type="spellStart"/>
      <w:r w:rsidRPr="00B23386">
        <w:t>Benetech</w:t>
      </w:r>
      <w:proofErr w:type="spellEnd"/>
      <w:r w:rsidRPr="00B23386">
        <w:t xml:space="preserve"> Vibration Meter GM63A Probe Multimeter. Both high frequency (HI) and low frequency (LO) vibrations can be measured with a Short Probe (S). A Long Probe (L) is only appropriate for measurements at low frequencies. When measuring acceleration or when the frequency rises above 1KHz, the short probe needs to be changed. High frequency (HI) will immediately transition to low frequency (LO) when the acceleration measurement mode (high frequency, or HI) is switched to speed or displacement mode. If the electricity is not used for 60 seconds, it will automatically cut off. In seven seconds, the backlight won't be able to function. The tool's components include an LCD screen, a probe, buttons for power and measurement, a frequency selection button (only used for acceleration measurement), and a measuring mode selection button (acceleration, speed, and displacement). To turn the device on, press once. Keep pressing throughout.</w:t>
      </w:r>
    </w:p>
    <w:p w14:paraId="04CD6C10" w14:textId="73CCF93E" w:rsidR="00B23386" w:rsidRDefault="00B23386" w:rsidP="003C2A5C">
      <w:pPr>
        <w:pStyle w:val="Paragraph"/>
      </w:pPr>
      <w:r w:rsidRPr="00B23386">
        <w:t>The tool's components include an LCD screen, a probe, buttons for power and measurement, a frequency selection button (only used for acceleration measurement), and a measuring mode selection button (acceleration, speed, and displacement). To turn the device on, press once. Throughout the measurement procedure, press consistently. release for data storage: Quick instruction label</w:t>
      </w:r>
      <w:r>
        <w:t>,</w:t>
      </w:r>
      <w:r w:rsidRPr="00B23386">
        <w:t xml:space="preserve"> Battery slot</w:t>
      </w:r>
      <w:r>
        <w:t>,</w:t>
      </w:r>
      <w:r w:rsidRPr="00B23386">
        <w:t xml:space="preserve"> AC signal output socket</w:t>
      </w:r>
    </w:p>
    <w:p w14:paraId="0F2AA137" w14:textId="77777777" w:rsidR="005D19C9" w:rsidRDefault="005D19C9" w:rsidP="00B23386">
      <w:pPr>
        <w:pStyle w:val="Paragraph"/>
      </w:pPr>
    </w:p>
    <w:p w14:paraId="62B26904" w14:textId="77777777" w:rsidR="005D19C9" w:rsidRDefault="005D19C9" w:rsidP="00B23386">
      <w:pPr>
        <w:pStyle w:val="Paragraph"/>
      </w:pPr>
    </w:p>
    <w:p w14:paraId="569F4AE3" w14:textId="77777777" w:rsidR="005D19C9" w:rsidRPr="00B23386" w:rsidRDefault="005D19C9" w:rsidP="00B23386">
      <w:pPr>
        <w:pStyle w:val="Paragraph"/>
      </w:pPr>
    </w:p>
    <w:p w14:paraId="7DC64AF1" w14:textId="044002A5" w:rsidR="005D19C9" w:rsidRDefault="005D19C9" w:rsidP="005D19C9">
      <w:pPr>
        <w:pStyle w:val="Paragraph"/>
        <w:ind w:firstLine="0"/>
      </w:pPr>
      <w:r w:rsidRPr="009E260C">
        <w:rPr>
          <w:noProof/>
          <w:sz w:val="22"/>
          <w:szCs w:val="22"/>
        </w:rPr>
        <w:lastRenderedPageBreak/>
        <w:drawing>
          <wp:anchor distT="0" distB="0" distL="114300" distR="114300" simplePos="0" relativeHeight="251659776" behindDoc="0" locked="0" layoutInCell="1" allowOverlap="1" wp14:anchorId="19B8E955" wp14:editId="043B50B1">
            <wp:simplePos x="0" y="0"/>
            <wp:positionH relativeFrom="column">
              <wp:posOffset>669837</wp:posOffset>
            </wp:positionH>
            <wp:positionV relativeFrom="paragraph">
              <wp:posOffset>2075</wp:posOffset>
            </wp:positionV>
            <wp:extent cx="4852670" cy="3060700"/>
            <wp:effectExtent l="0" t="0" r="5080" b="6350"/>
            <wp:wrapTopAndBottom/>
            <wp:docPr id="4762547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670" cy="3060700"/>
                    </a:xfrm>
                    <a:prstGeom prst="rect">
                      <a:avLst/>
                    </a:prstGeom>
                    <a:noFill/>
                  </pic:spPr>
                </pic:pic>
              </a:graphicData>
            </a:graphic>
          </wp:anchor>
        </w:drawing>
      </w:r>
    </w:p>
    <w:p w14:paraId="5DE6FA59" w14:textId="30FF76C0" w:rsidR="005D19C9" w:rsidRPr="005D19C9" w:rsidRDefault="003C2A5C" w:rsidP="00D51B90">
      <w:pPr>
        <w:pStyle w:val="Paragraph"/>
        <w:spacing w:before="120" w:after="200"/>
        <w:ind w:firstLine="288"/>
        <w:jc w:val="center"/>
      </w:pPr>
      <w:r>
        <w:rPr>
          <w:b/>
          <w:bCs/>
          <w:sz w:val="18"/>
          <w:szCs w:val="18"/>
        </w:rPr>
        <w:t xml:space="preserve">FIGURE </w:t>
      </w:r>
      <w:r w:rsidR="005D19C9">
        <w:rPr>
          <w:b/>
          <w:bCs/>
          <w:sz w:val="18"/>
          <w:szCs w:val="18"/>
        </w:rPr>
        <w:t xml:space="preserve">1. </w:t>
      </w:r>
      <w:r w:rsidR="005D19C9">
        <w:rPr>
          <w:sz w:val="18"/>
          <w:szCs w:val="18"/>
        </w:rPr>
        <w:t>Vibrator Meters</w:t>
      </w:r>
    </w:p>
    <w:p w14:paraId="79A1BD68" w14:textId="7470FC8C" w:rsidR="005D19C9" w:rsidRDefault="005D19C9" w:rsidP="005D19C9">
      <w:pPr>
        <w:pStyle w:val="Paragraph"/>
      </w:pPr>
      <w:r w:rsidRPr="005D19C9">
        <w:t>The vibration frequency, the proper measurement mode (acceleration, velocity, displacement), and the frequency (high frequency/low frequency) were chosen based on the structure to be measured. Hold the "MEAS/ON" button down with the right thumb. Apply 500g to 1kg of force to the measured object's vibration dial. On the LCD panel, the outcome is shown. The outcome will be recorded on the LCD panel after the button is released. A new measurement can be taken after pressing the "MEAS/ON" button once more, which will cancel the current value. as depicted in the figure below</w:t>
      </w:r>
    </w:p>
    <w:p w14:paraId="1B5A1248" w14:textId="2D9575FB" w:rsidR="005D19C9" w:rsidRDefault="005D19C9" w:rsidP="005D19C9">
      <w:pPr>
        <w:pStyle w:val="Paragraph"/>
      </w:pPr>
      <w:r w:rsidRPr="009E260C">
        <w:rPr>
          <w:noProof/>
          <w:sz w:val="22"/>
          <w:szCs w:val="22"/>
        </w:rPr>
        <w:drawing>
          <wp:anchor distT="0" distB="0" distL="0" distR="0" simplePos="0" relativeHeight="251661824" behindDoc="1" locked="0" layoutInCell="1" allowOverlap="1" wp14:anchorId="6E8A3719" wp14:editId="5FC75B07">
            <wp:simplePos x="0" y="0"/>
            <wp:positionH relativeFrom="page">
              <wp:posOffset>2353310</wp:posOffset>
            </wp:positionH>
            <wp:positionV relativeFrom="paragraph">
              <wp:posOffset>233045</wp:posOffset>
            </wp:positionV>
            <wp:extent cx="3164205" cy="2734945"/>
            <wp:effectExtent l="0" t="0" r="0" b="8255"/>
            <wp:wrapTopAndBottom/>
            <wp:docPr id="691628455" name="Image 11" descr="A screenshot of a digital displa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screenshot of a digital display  Description automatically generated"/>
                    <pic:cNvPicPr/>
                  </pic:nvPicPr>
                  <pic:blipFill>
                    <a:blip r:embed="rId12" cstate="print"/>
                    <a:stretch>
                      <a:fillRect/>
                    </a:stretch>
                  </pic:blipFill>
                  <pic:spPr>
                    <a:xfrm>
                      <a:off x="0" y="0"/>
                      <a:ext cx="3164205" cy="2734945"/>
                    </a:xfrm>
                    <a:prstGeom prst="rect">
                      <a:avLst/>
                    </a:prstGeom>
                  </pic:spPr>
                </pic:pic>
              </a:graphicData>
            </a:graphic>
            <wp14:sizeRelH relativeFrom="margin">
              <wp14:pctWidth>0</wp14:pctWidth>
            </wp14:sizeRelH>
            <wp14:sizeRelV relativeFrom="margin">
              <wp14:pctHeight>0</wp14:pctHeight>
            </wp14:sizeRelV>
          </wp:anchor>
        </w:drawing>
      </w:r>
    </w:p>
    <w:p w14:paraId="1DCC8354" w14:textId="43E6F785" w:rsidR="002941DA" w:rsidRDefault="003C2A5C" w:rsidP="00D51B90">
      <w:pPr>
        <w:pStyle w:val="Paragraph"/>
        <w:spacing w:before="120" w:after="200"/>
        <w:ind w:firstLine="288"/>
        <w:jc w:val="center"/>
      </w:pPr>
      <w:r>
        <w:rPr>
          <w:b/>
          <w:bCs/>
          <w:sz w:val="18"/>
          <w:szCs w:val="18"/>
        </w:rPr>
        <w:t xml:space="preserve">FIGURE </w:t>
      </w:r>
      <w:r w:rsidR="005D19C9">
        <w:rPr>
          <w:b/>
          <w:bCs/>
          <w:sz w:val="18"/>
          <w:szCs w:val="18"/>
        </w:rPr>
        <w:t xml:space="preserve">2. </w:t>
      </w:r>
      <w:r w:rsidR="005D19C9">
        <w:rPr>
          <w:sz w:val="18"/>
          <w:szCs w:val="18"/>
        </w:rPr>
        <w:t>Measurement Results</w:t>
      </w:r>
      <w:r w:rsidR="00946C27">
        <w:t xml:space="preserve"> </w:t>
      </w:r>
    </w:p>
    <w:p w14:paraId="49D6FBD1" w14:textId="68F01692" w:rsidR="00725861" w:rsidRDefault="005D19C9" w:rsidP="00725861">
      <w:pPr>
        <w:pStyle w:val="Heading2"/>
      </w:pPr>
      <w:r>
        <w:lastRenderedPageBreak/>
        <w:t>RESULTS</w:t>
      </w:r>
    </w:p>
    <w:p w14:paraId="39075883" w14:textId="77777777" w:rsidR="00CA7006" w:rsidRDefault="00CA7006" w:rsidP="00725861">
      <w:pPr>
        <w:pStyle w:val="Paragraph"/>
      </w:pPr>
      <w:r w:rsidRPr="00CA7006">
        <w:t xml:space="preserve">This prototype's scaler invention is Model M3+, SN: U3LD60134. Using a </w:t>
      </w:r>
      <w:proofErr w:type="spellStart"/>
      <w:r w:rsidRPr="00CA7006">
        <w:t>Benetech</w:t>
      </w:r>
      <w:proofErr w:type="spellEnd"/>
      <w:r w:rsidRPr="00CA7006">
        <w:t xml:space="preserve"> Vibration Meter GM63A, the prototype scaler's vibration test results were compared to those of other scaler brands, including the ART-Piezo Brand, which was utilized at RSGM UMY Yogyakarta. Table 1 displays the vibration comparison data results.</w:t>
      </w:r>
      <w:r>
        <w:t xml:space="preserve"> </w:t>
      </w:r>
    </w:p>
    <w:p w14:paraId="2194E3E5" w14:textId="77777777" w:rsidR="00CA7006" w:rsidRDefault="00CA7006" w:rsidP="00725861">
      <w:pPr>
        <w:pStyle w:val="Paragraph"/>
      </w:pPr>
    </w:p>
    <w:tbl>
      <w:tblPr>
        <w:tblStyle w:val="TableGrid"/>
        <w:tblpPr w:leftFromText="180" w:rightFromText="180" w:vertAnchor="page" w:horzAnchor="margin" w:tblpY="34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1191"/>
        <w:gridCol w:w="1183"/>
        <w:gridCol w:w="1187"/>
        <w:gridCol w:w="1177"/>
        <w:gridCol w:w="1183"/>
        <w:gridCol w:w="1183"/>
        <w:gridCol w:w="1187"/>
      </w:tblGrid>
      <w:tr w:rsidR="003C2A5C" w14:paraId="143243DE" w14:textId="77777777" w:rsidTr="003C2A5C">
        <w:tc>
          <w:tcPr>
            <w:tcW w:w="4680" w:type="dxa"/>
            <w:gridSpan w:val="4"/>
            <w:tcBorders>
              <w:top w:val="single" w:sz="4" w:space="0" w:color="auto"/>
              <w:bottom w:val="single" w:sz="4" w:space="0" w:color="auto"/>
            </w:tcBorders>
          </w:tcPr>
          <w:p w14:paraId="603B9944" w14:textId="77777777" w:rsidR="003C2A5C" w:rsidRPr="00CA7006" w:rsidRDefault="003C2A5C" w:rsidP="003C2A5C">
            <w:pPr>
              <w:pStyle w:val="Paragraph"/>
              <w:ind w:firstLine="0"/>
              <w:jc w:val="center"/>
              <w:rPr>
                <w:b/>
                <w:bCs/>
                <w:sz w:val="18"/>
                <w:szCs w:val="18"/>
              </w:rPr>
            </w:pPr>
            <w:r>
              <w:rPr>
                <w:b/>
                <w:bCs/>
                <w:sz w:val="18"/>
                <w:szCs w:val="18"/>
              </w:rPr>
              <w:t xml:space="preserve">Vibration Measurement on the Ultrasonic Scaler </w:t>
            </w:r>
            <w:proofErr w:type="spellStart"/>
            <w:r>
              <w:rPr>
                <w:b/>
                <w:bCs/>
                <w:sz w:val="18"/>
                <w:szCs w:val="18"/>
              </w:rPr>
              <w:t>Prrototype</w:t>
            </w:r>
            <w:proofErr w:type="spellEnd"/>
            <w:r>
              <w:rPr>
                <w:b/>
                <w:bCs/>
                <w:sz w:val="18"/>
                <w:szCs w:val="18"/>
              </w:rPr>
              <w:t xml:space="preserve"> (model M3+SN U3LD60134)</w:t>
            </w:r>
          </w:p>
        </w:tc>
        <w:tc>
          <w:tcPr>
            <w:tcW w:w="4788" w:type="dxa"/>
            <w:gridSpan w:val="4"/>
            <w:tcBorders>
              <w:top w:val="single" w:sz="4" w:space="0" w:color="auto"/>
              <w:bottom w:val="single" w:sz="4" w:space="0" w:color="auto"/>
            </w:tcBorders>
          </w:tcPr>
          <w:p w14:paraId="6973A29D" w14:textId="77777777" w:rsidR="003C2A5C" w:rsidRPr="000A48A9" w:rsidRDefault="003C2A5C" w:rsidP="003C2A5C">
            <w:pPr>
              <w:pStyle w:val="Paragraph"/>
              <w:ind w:firstLine="0"/>
              <w:jc w:val="center"/>
              <w:rPr>
                <w:b/>
                <w:bCs/>
                <w:sz w:val="18"/>
                <w:szCs w:val="18"/>
              </w:rPr>
            </w:pPr>
            <w:r>
              <w:rPr>
                <w:b/>
                <w:bCs/>
                <w:sz w:val="18"/>
                <w:szCs w:val="18"/>
              </w:rPr>
              <w:t>Vibration Measurement on the Ultrasonic Scaler Prototype (Model ART-Piezo)</w:t>
            </w:r>
          </w:p>
        </w:tc>
      </w:tr>
      <w:tr w:rsidR="003C2A5C" w14:paraId="3C41ED1A" w14:textId="77777777" w:rsidTr="003C2A5C">
        <w:tc>
          <w:tcPr>
            <w:tcW w:w="1089" w:type="dxa"/>
            <w:tcBorders>
              <w:top w:val="single" w:sz="4" w:space="0" w:color="auto"/>
            </w:tcBorders>
          </w:tcPr>
          <w:p w14:paraId="67626587" w14:textId="77777777" w:rsidR="003C2A5C" w:rsidRDefault="003C2A5C" w:rsidP="003C2A5C">
            <w:pPr>
              <w:pStyle w:val="Paragraph"/>
              <w:ind w:firstLine="0"/>
              <w:jc w:val="center"/>
            </w:pPr>
            <w:r>
              <w:t>No</w:t>
            </w:r>
          </w:p>
        </w:tc>
        <w:tc>
          <w:tcPr>
            <w:tcW w:w="1197" w:type="dxa"/>
            <w:tcBorders>
              <w:top w:val="single" w:sz="4" w:space="0" w:color="auto"/>
            </w:tcBorders>
          </w:tcPr>
          <w:p w14:paraId="44DDC9A1" w14:textId="77777777" w:rsidR="003C2A5C" w:rsidRDefault="003C2A5C" w:rsidP="003C2A5C">
            <w:pPr>
              <w:pStyle w:val="Paragraph"/>
              <w:ind w:firstLine="0"/>
              <w:jc w:val="center"/>
            </w:pPr>
          </w:p>
        </w:tc>
        <w:tc>
          <w:tcPr>
            <w:tcW w:w="1197" w:type="dxa"/>
            <w:tcBorders>
              <w:top w:val="single" w:sz="4" w:space="0" w:color="auto"/>
            </w:tcBorders>
          </w:tcPr>
          <w:p w14:paraId="0B8CFA50" w14:textId="77777777" w:rsidR="003C2A5C" w:rsidRDefault="003C2A5C" w:rsidP="003C2A5C">
            <w:pPr>
              <w:pStyle w:val="Paragraph"/>
              <w:ind w:firstLine="0"/>
              <w:jc w:val="center"/>
            </w:pPr>
            <w:r>
              <w:t>Unit</w:t>
            </w:r>
          </w:p>
        </w:tc>
        <w:tc>
          <w:tcPr>
            <w:tcW w:w="1197" w:type="dxa"/>
            <w:tcBorders>
              <w:top w:val="single" w:sz="4" w:space="0" w:color="auto"/>
            </w:tcBorders>
          </w:tcPr>
          <w:p w14:paraId="3A6B73DA" w14:textId="77777777" w:rsidR="003C2A5C" w:rsidRDefault="003C2A5C" w:rsidP="003C2A5C">
            <w:pPr>
              <w:pStyle w:val="Paragraph"/>
              <w:ind w:firstLine="0"/>
              <w:jc w:val="center"/>
            </w:pPr>
            <w:r>
              <w:t>Voltage</w:t>
            </w:r>
          </w:p>
        </w:tc>
        <w:tc>
          <w:tcPr>
            <w:tcW w:w="1197" w:type="dxa"/>
            <w:tcBorders>
              <w:top w:val="single" w:sz="4" w:space="0" w:color="auto"/>
            </w:tcBorders>
          </w:tcPr>
          <w:p w14:paraId="47485327" w14:textId="77777777" w:rsidR="003C2A5C" w:rsidRDefault="003C2A5C" w:rsidP="003C2A5C">
            <w:pPr>
              <w:pStyle w:val="Paragraph"/>
              <w:ind w:firstLine="0"/>
              <w:jc w:val="center"/>
            </w:pPr>
            <w:r>
              <w:t xml:space="preserve">No. </w:t>
            </w:r>
          </w:p>
        </w:tc>
        <w:tc>
          <w:tcPr>
            <w:tcW w:w="1197" w:type="dxa"/>
            <w:tcBorders>
              <w:top w:val="single" w:sz="4" w:space="0" w:color="auto"/>
            </w:tcBorders>
          </w:tcPr>
          <w:p w14:paraId="3CAADAA8" w14:textId="77777777" w:rsidR="003C2A5C" w:rsidRDefault="003C2A5C" w:rsidP="003C2A5C">
            <w:pPr>
              <w:pStyle w:val="Paragraph"/>
              <w:ind w:firstLine="0"/>
              <w:jc w:val="center"/>
            </w:pPr>
          </w:p>
        </w:tc>
        <w:tc>
          <w:tcPr>
            <w:tcW w:w="1197" w:type="dxa"/>
            <w:tcBorders>
              <w:top w:val="single" w:sz="4" w:space="0" w:color="auto"/>
            </w:tcBorders>
          </w:tcPr>
          <w:p w14:paraId="0193308F" w14:textId="77777777" w:rsidR="003C2A5C" w:rsidRDefault="003C2A5C" w:rsidP="003C2A5C">
            <w:pPr>
              <w:pStyle w:val="Paragraph"/>
              <w:ind w:firstLine="0"/>
              <w:jc w:val="center"/>
            </w:pPr>
            <w:r>
              <w:t>Unit</w:t>
            </w:r>
          </w:p>
        </w:tc>
        <w:tc>
          <w:tcPr>
            <w:tcW w:w="1197" w:type="dxa"/>
            <w:tcBorders>
              <w:top w:val="single" w:sz="4" w:space="0" w:color="auto"/>
            </w:tcBorders>
          </w:tcPr>
          <w:p w14:paraId="06BA830B" w14:textId="77777777" w:rsidR="003C2A5C" w:rsidRDefault="003C2A5C" w:rsidP="003C2A5C">
            <w:pPr>
              <w:pStyle w:val="Paragraph"/>
              <w:ind w:firstLine="0"/>
              <w:jc w:val="center"/>
            </w:pPr>
            <w:r>
              <w:t>Voltage</w:t>
            </w:r>
          </w:p>
        </w:tc>
      </w:tr>
      <w:tr w:rsidR="003C2A5C" w14:paraId="22E5F588" w14:textId="77777777" w:rsidTr="003C2A5C">
        <w:tc>
          <w:tcPr>
            <w:tcW w:w="1089" w:type="dxa"/>
            <w:vMerge w:val="restart"/>
          </w:tcPr>
          <w:p w14:paraId="4831D4F3" w14:textId="77777777" w:rsidR="003C2A5C" w:rsidRDefault="003C2A5C" w:rsidP="003C2A5C">
            <w:pPr>
              <w:pStyle w:val="Paragraph"/>
              <w:numPr>
                <w:ilvl w:val="0"/>
                <w:numId w:val="46"/>
              </w:numPr>
              <w:jc w:val="center"/>
            </w:pPr>
          </w:p>
        </w:tc>
        <w:tc>
          <w:tcPr>
            <w:tcW w:w="1197" w:type="dxa"/>
            <w:vMerge w:val="restart"/>
          </w:tcPr>
          <w:p w14:paraId="3AC34FFC" w14:textId="77777777" w:rsidR="003C2A5C" w:rsidRDefault="003C2A5C" w:rsidP="003C2A5C">
            <w:pPr>
              <w:pStyle w:val="Paragraph"/>
              <w:jc w:val="left"/>
            </w:pPr>
            <w:r>
              <w:t>LOW</w:t>
            </w:r>
          </w:p>
        </w:tc>
        <w:tc>
          <w:tcPr>
            <w:tcW w:w="1197" w:type="dxa"/>
          </w:tcPr>
          <w:p w14:paraId="71E04AFD" w14:textId="77777777" w:rsidR="003C2A5C" w:rsidRPr="000A48A9" w:rsidRDefault="003C2A5C" w:rsidP="003C2A5C">
            <w:pPr>
              <w:pStyle w:val="Paragraph"/>
              <w:ind w:firstLine="0"/>
              <w:jc w:val="center"/>
              <w:rPr>
                <w:vertAlign w:val="superscript"/>
              </w:rPr>
            </w:pPr>
            <w:r>
              <w:t>m/s</w:t>
            </w:r>
            <w:r>
              <w:rPr>
                <w:vertAlign w:val="superscript"/>
              </w:rPr>
              <w:t>2</w:t>
            </w:r>
          </w:p>
        </w:tc>
        <w:tc>
          <w:tcPr>
            <w:tcW w:w="1197" w:type="dxa"/>
          </w:tcPr>
          <w:p w14:paraId="44A9C0F3" w14:textId="77777777" w:rsidR="003C2A5C" w:rsidRDefault="003C2A5C" w:rsidP="003C2A5C">
            <w:pPr>
              <w:pStyle w:val="Paragraph"/>
              <w:ind w:firstLine="0"/>
              <w:jc w:val="center"/>
            </w:pPr>
            <w:r>
              <w:t>62.5</w:t>
            </w:r>
          </w:p>
        </w:tc>
        <w:tc>
          <w:tcPr>
            <w:tcW w:w="1197" w:type="dxa"/>
          </w:tcPr>
          <w:p w14:paraId="3F5BF9A0" w14:textId="77777777" w:rsidR="003C2A5C" w:rsidRDefault="003C2A5C" w:rsidP="003C2A5C">
            <w:pPr>
              <w:pStyle w:val="Paragraph"/>
              <w:ind w:firstLine="0"/>
              <w:jc w:val="center"/>
            </w:pPr>
          </w:p>
        </w:tc>
        <w:tc>
          <w:tcPr>
            <w:tcW w:w="1197" w:type="dxa"/>
          </w:tcPr>
          <w:p w14:paraId="468456AD" w14:textId="77777777" w:rsidR="003C2A5C" w:rsidRDefault="003C2A5C" w:rsidP="003C2A5C">
            <w:pPr>
              <w:pStyle w:val="Paragraph"/>
              <w:ind w:firstLine="0"/>
              <w:jc w:val="center"/>
            </w:pPr>
          </w:p>
        </w:tc>
        <w:tc>
          <w:tcPr>
            <w:tcW w:w="1197" w:type="dxa"/>
          </w:tcPr>
          <w:p w14:paraId="5DFE05BC" w14:textId="77777777" w:rsidR="003C2A5C" w:rsidRPr="000A48A9" w:rsidRDefault="003C2A5C" w:rsidP="003C2A5C">
            <w:pPr>
              <w:pStyle w:val="Paragraph"/>
              <w:ind w:firstLine="0"/>
              <w:jc w:val="center"/>
              <w:rPr>
                <w:vertAlign w:val="superscript"/>
              </w:rPr>
            </w:pPr>
            <w:r>
              <w:t>m/s</w:t>
            </w:r>
            <w:r>
              <w:rPr>
                <w:vertAlign w:val="superscript"/>
              </w:rPr>
              <w:t>2</w:t>
            </w:r>
          </w:p>
        </w:tc>
        <w:tc>
          <w:tcPr>
            <w:tcW w:w="1197" w:type="dxa"/>
          </w:tcPr>
          <w:p w14:paraId="752EE3CC" w14:textId="77777777" w:rsidR="003C2A5C" w:rsidRDefault="003C2A5C" w:rsidP="003C2A5C">
            <w:pPr>
              <w:pStyle w:val="Paragraph"/>
              <w:ind w:firstLine="0"/>
              <w:jc w:val="center"/>
            </w:pPr>
            <w:r>
              <w:t>13.8</w:t>
            </w:r>
          </w:p>
        </w:tc>
      </w:tr>
      <w:tr w:rsidR="003C2A5C" w14:paraId="1446C936" w14:textId="77777777" w:rsidTr="003C2A5C">
        <w:tc>
          <w:tcPr>
            <w:tcW w:w="1089" w:type="dxa"/>
            <w:vMerge/>
          </w:tcPr>
          <w:p w14:paraId="6B0935F3" w14:textId="77777777" w:rsidR="003C2A5C" w:rsidRDefault="003C2A5C" w:rsidP="003C2A5C">
            <w:pPr>
              <w:pStyle w:val="Paragraph"/>
              <w:ind w:firstLine="0"/>
              <w:jc w:val="center"/>
            </w:pPr>
          </w:p>
        </w:tc>
        <w:tc>
          <w:tcPr>
            <w:tcW w:w="1197" w:type="dxa"/>
            <w:vMerge/>
          </w:tcPr>
          <w:p w14:paraId="5B67996C" w14:textId="77777777" w:rsidR="003C2A5C" w:rsidRDefault="003C2A5C" w:rsidP="003C2A5C">
            <w:pPr>
              <w:pStyle w:val="Paragraph"/>
              <w:ind w:firstLine="0"/>
              <w:jc w:val="center"/>
            </w:pPr>
          </w:p>
        </w:tc>
        <w:tc>
          <w:tcPr>
            <w:tcW w:w="1197" w:type="dxa"/>
          </w:tcPr>
          <w:p w14:paraId="30759EAD" w14:textId="77777777" w:rsidR="003C2A5C" w:rsidRPr="000A48A9" w:rsidRDefault="003C2A5C" w:rsidP="003C2A5C">
            <w:pPr>
              <w:pStyle w:val="Paragraph"/>
              <w:ind w:firstLine="0"/>
              <w:jc w:val="center"/>
              <w:rPr>
                <w:vertAlign w:val="superscript"/>
              </w:rPr>
            </w:pPr>
            <w:r>
              <w:t>mm/s</w:t>
            </w:r>
            <w:r>
              <w:rPr>
                <w:vertAlign w:val="superscript"/>
              </w:rPr>
              <w:t>2</w:t>
            </w:r>
          </w:p>
        </w:tc>
        <w:tc>
          <w:tcPr>
            <w:tcW w:w="1197" w:type="dxa"/>
          </w:tcPr>
          <w:p w14:paraId="2B550F8B" w14:textId="77777777" w:rsidR="003C2A5C" w:rsidRDefault="003C2A5C" w:rsidP="003C2A5C">
            <w:pPr>
              <w:pStyle w:val="Paragraph"/>
              <w:ind w:firstLine="0"/>
              <w:jc w:val="center"/>
            </w:pPr>
            <w:r>
              <w:t>199.9</w:t>
            </w:r>
          </w:p>
        </w:tc>
        <w:tc>
          <w:tcPr>
            <w:tcW w:w="1197" w:type="dxa"/>
          </w:tcPr>
          <w:p w14:paraId="7941FFEA" w14:textId="77777777" w:rsidR="003C2A5C" w:rsidRDefault="003C2A5C" w:rsidP="003C2A5C">
            <w:pPr>
              <w:pStyle w:val="Paragraph"/>
              <w:ind w:firstLine="0"/>
              <w:jc w:val="center"/>
            </w:pPr>
          </w:p>
        </w:tc>
        <w:tc>
          <w:tcPr>
            <w:tcW w:w="1197" w:type="dxa"/>
          </w:tcPr>
          <w:p w14:paraId="7403AB97" w14:textId="77777777" w:rsidR="003C2A5C" w:rsidRDefault="003C2A5C" w:rsidP="003C2A5C">
            <w:pPr>
              <w:pStyle w:val="Paragraph"/>
              <w:ind w:firstLine="0"/>
              <w:jc w:val="center"/>
            </w:pPr>
            <w:r>
              <w:t>LOW</w:t>
            </w:r>
          </w:p>
        </w:tc>
        <w:tc>
          <w:tcPr>
            <w:tcW w:w="1197" w:type="dxa"/>
          </w:tcPr>
          <w:p w14:paraId="4BDABC29" w14:textId="77777777" w:rsidR="003C2A5C" w:rsidRPr="000A48A9" w:rsidRDefault="003C2A5C" w:rsidP="003C2A5C">
            <w:pPr>
              <w:pStyle w:val="Paragraph"/>
              <w:ind w:firstLine="0"/>
              <w:jc w:val="center"/>
              <w:rPr>
                <w:vertAlign w:val="superscript"/>
              </w:rPr>
            </w:pPr>
            <w:r>
              <w:t>mm/s</w:t>
            </w:r>
            <w:r>
              <w:rPr>
                <w:vertAlign w:val="superscript"/>
              </w:rPr>
              <w:t>2</w:t>
            </w:r>
          </w:p>
        </w:tc>
        <w:tc>
          <w:tcPr>
            <w:tcW w:w="1197" w:type="dxa"/>
          </w:tcPr>
          <w:p w14:paraId="217157EC" w14:textId="77777777" w:rsidR="003C2A5C" w:rsidRDefault="003C2A5C" w:rsidP="003C2A5C">
            <w:pPr>
              <w:pStyle w:val="Paragraph"/>
              <w:ind w:firstLine="0"/>
              <w:jc w:val="center"/>
            </w:pPr>
            <w:r>
              <w:t>151.5</w:t>
            </w:r>
          </w:p>
        </w:tc>
      </w:tr>
      <w:tr w:rsidR="003C2A5C" w14:paraId="54F89707" w14:textId="77777777" w:rsidTr="003C2A5C">
        <w:tc>
          <w:tcPr>
            <w:tcW w:w="1089" w:type="dxa"/>
            <w:vMerge/>
          </w:tcPr>
          <w:p w14:paraId="7AA1D33D" w14:textId="77777777" w:rsidR="003C2A5C" w:rsidRDefault="003C2A5C" w:rsidP="003C2A5C">
            <w:pPr>
              <w:pStyle w:val="Paragraph"/>
              <w:ind w:firstLine="0"/>
              <w:jc w:val="center"/>
            </w:pPr>
          </w:p>
        </w:tc>
        <w:tc>
          <w:tcPr>
            <w:tcW w:w="1197" w:type="dxa"/>
            <w:vMerge/>
          </w:tcPr>
          <w:p w14:paraId="2D31B4F6" w14:textId="77777777" w:rsidR="003C2A5C" w:rsidRDefault="003C2A5C" w:rsidP="003C2A5C">
            <w:pPr>
              <w:pStyle w:val="Paragraph"/>
              <w:ind w:firstLine="0"/>
              <w:jc w:val="center"/>
            </w:pPr>
          </w:p>
        </w:tc>
        <w:tc>
          <w:tcPr>
            <w:tcW w:w="1197" w:type="dxa"/>
          </w:tcPr>
          <w:p w14:paraId="66F80720" w14:textId="77777777" w:rsidR="003C2A5C" w:rsidRDefault="003C2A5C" w:rsidP="003C2A5C">
            <w:pPr>
              <w:pStyle w:val="Paragraph"/>
              <w:ind w:firstLine="0"/>
              <w:jc w:val="center"/>
            </w:pPr>
            <w:r>
              <w:t>Mm</w:t>
            </w:r>
          </w:p>
        </w:tc>
        <w:tc>
          <w:tcPr>
            <w:tcW w:w="1197" w:type="dxa"/>
          </w:tcPr>
          <w:p w14:paraId="54363496" w14:textId="77777777" w:rsidR="003C2A5C" w:rsidRDefault="003C2A5C" w:rsidP="003C2A5C">
            <w:pPr>
              <w:pStyle w:val="Paragraph"/>
              <w:ind w:firstLine="0"/>
              <w:jc w:val="center"/>
            </w:pPr>
            <w:r>
              <w:t>199.9</w:t>
            </w:r>
          </w:p>
        </w:tc>
        <w:tc>
          <w:tcPr>
            <w:tcW w:w="1197" w:type="dxa"/>
          </w:tcPr>
          <w:p w14:paraId="3E8C2FCA" w14:textId="77777777" w:rsidR="003C2A5C" w:rsidRDefault="003C2A5C" w:rsidP="003C2A5C">
            <w:pPr>
              <w:pStyle w:val="Paragraph"/>
              <w:ind w:firstLine="0"/>
              <w:jc w:val="center"/>
            </w:pPr>
          </w:p>
        </w:tc>
        <w:tc>
          <w:tcPr>
            <w:tcW w:w="1197" w:type="dxa"/>
          </w:tcPr>
          <w:p w14:paraId="2312354C" w14:textId="77777777" w:rsidR="003C2A5C" w:rsidRDefault="003C2A5C" w:rsidP="003C2A5C">
            <w:pPr>
              <w:pStyle w:val="Paragraph"/>
              <w:ind w:firstLine="0"/>
              <w:jc w:val="center"/>
            </w:pPr>
          </w:p>
        </w:tc>
        <w:tc>
          <w:tcPr>
            <w:tcW w:w="1197" w:type="dxa"/>
          </w:tcPr>
          <w:p w14:paraId="0C936114" w14:textId="77777777" w:rsidR="003C2A5C" w:rsidRDefault="003C2A5C" w:rsidP="003C2A5C">
            <w:pPr>
              <w:pStyle w:val="Paragraph"/>
              <w:ind w:firstLine="0"/>
              <w:jc w:val="center"/>
            </w:pPr>
            <w:r>
              <w:t>mm</w:t>
            </w:r>
          </w:p>
        </w:tc>
        <w:tc>
          <w:tcPr>
            <w:tcW w:w="1197" w:type="dxa"/>
          </w:tcPr>
          <w:p w14:paraId="0D000626" w14:textId="77777777" w:rsidR="003C2A5C" w:rsidRDefault="003C2A5C" w:rsidP="003C2A5C">
            <w:pPr>
              <w:pStyle w:val="Paragraph"/>
              <w:ind w:firstLine="0"/>
              <w:jc w:val="center"/>
            </w:pPr>
            <w:r>
              <w:t>1.230</w:t>
            </w:r>
          </w:p>
        </w:tc>
      </w:tr>
      <w:tr w:rsidR="003C2A5C" w14:paraId="15F6EE9B" w14:textId="77777777" w:rsidTr="003C2A5C">
        <w:tc>
          <w:tcPr>
            <w:tcW w:w="1089" w:type="dxa"/>
            <w:vMerge w:val="restart"/>
          </w:tcPr>
          <w:p w14:paraId="5FC6BC5C" w14:textId="77777777" w:rsidR="003C2A5C" w:rsidRDefault="003C2A5C" w:rsidP="003C2A5C">
            <w:pPr>
              <w:pStyle w:val="Paragraph"/>
              <w:numPr>
                <w:ilvl w:val="0"/>
                <w:numId w:val="46"/>
              </w:numPr>
              <w:jc w:val="center"/>
            </w:pPr>
          </w:p>
        </w:tc>
        <w:tc>
          <w:tcPr>
            <w:tcW w:w="1197" w:type="dxa"/>
            <w:vMerge w:val="restart"/>
          </w:tcPr>
          <w:p w14:paraId="663506F0" w14:textId="77777777" w:rsidR="003C2A5C" w:rsidRDefault="003C2A5C" w:rsidP="003C2A5C">
            <w:pPr>
              <w:pStyle w:val="Paragraph"/>
              <w:jc w:val="left"/>
            </w:pPr>
            <w:r>
              <w:t>HIGH</w:t>
            </w:r>
          </w:p>
        </w:tc>
        <w:tc>
          <w:tcPr>
            <w:tcW w:w="1197" w:type="dxa"/>
          </w:tcPr>
          <w:p w14:paraId="1B580626" w14:textId="77777777" w:rsidR="003C2A5C" w:rsidRPr="000A48A9" w:rsidRDefault="003C2A5C" w:rsidP="003C2A5C">
            <w:pPr>
              <w:pStyle w:val="Paragraph"/>
              <w:ind w:firstLine="0"/>
              <w:jc w:val="center"/>
              <w:rPr>
                <w:vertAlign w:val="superscript"/>
              </w:rPr>
            </w:pPr>
            <w:r>
              <w:t>m/s</w:t>
            </w:r>
            <w:r>
              <w:rPr>
                <w:vertAlign w:val="superscript"/>
              </w:rPr>
              <w:t>2</w:t>
            </w:r>
          </w:p>
        </w:tc>
        <w:tc>
          <w:tcPr>
            <w:tcW w:w="1197" w:type="dxa"/>
          </w:tcPr>
          <w:p w14:paraId="1AF094EE" w14:textId="77777777" w:rsidR="003C2A5C" w:rsidRDefault="003C2A5C" w:rsidP="003C2A5C">
            <w:pPr>
              <w:pStyle w:val="Paragraph"/>
              <w:ind w:firstLine="0"/>
              <w:jc w:val="center"/>
            </w:pPr>
            <w:r>
              <w:t>1447</w:t>
            </w:r>
          </w:p>
        </w:tc>
        <w:tc>
          <w:tcPr>
            <w:tcW w:w="1197" w:type="dxa"/>
          </w:tcPr>
          <w:p w14:paraId="1A8E3FFC" w14:textId="77777777" w:rsidR="003C2A5C" w:rsidRDefault="003C2A5C" w:rsidP="003C2A5C">
            <w:pPr>
              <w:pStyle w:val="Paragraph"/>
              <w:ind w:firstLine="0"/>
              <w:jc w:val="center"/>
            </w:pPr>
          </w:p>
        </w:tc>
        <w:tc>
          <w:tcPr>
            <w:tcW w:w="1197" w:type="dxa"/>
          </w:tcPr>
          <w:p w14:paraId="5E397200" w14:textId="77777777" w:rsidR="003C2A5C" w:rsidRDefault="003C2A5C" w:rsidP="003C2A5C">
            <w:pPr>
              <w:pStyle w:val="Paragraph"/>
              <w:ind w:firstLine="0"/>
              <w:jc w:val="center"/>
            </w:pPr>
          </w:p>
        </w:tc>
        <w:tc>
          <w:tcPr>
            <w:tcW w:w="1197" w:type="dxa"/>
          </w:tcPr>
          <w:p w14:paraId="5CD74077" w14:textId="77777777" w:rsidR="003C2A5C" w:rsidRDefault="003C2A5C" w:rsidP="003C2A5C">
            <w:pPr>
              <w:pStyle w:val="Paragraph"/>
              <w:ind w:firstLine="0"/>
              <w:jc w:val="center"/>
            </w:pPr>
            <w:r>
              <w:t>m/s</w:t>
            </w:r>
            <w:r>
              <w:rPr>
                <w:vertAlign w:val="superscript"/>
              </w:rPr>
              <w:t>2</w:t>
            </w:r>
          </w:p>
        </w:tc>
        <w:tc>
          <w:tcPr>
            <w:tcW w:w="1197" w:type="dxa"/>
          </w:tcPr>
          <w:p w14:paraId="48D10699" w14:textId="77777777" w:rsidR="003C2A5C" w:rsidRDefault="003C2A5C" w:rsidP="003C2A5C">
            <w:pPr>
              <w:pStyle w:val="Paragraph"/>
              <w:ind w:firstLine="0"/>
              <w:jc w:val="center"/>
            </w:pPr>
            <w:r>
              <w:t>63.4</w:t>
            </w:r>
          </w:p>
        </w:tc>
      </w:tr>
      <w:tr w:rsidR="003C2A5C" w14:paraId="3B54DE0E" w14:textId="77777777" w:rsidTr="003C2A5C">
        <w:tc>
          <w:tcPr>
            <w:tcW w:w="1089" w:type="dxa"/>
            <w:vMerge/>
          </w:tcPr>
          <w:p w14:paraId="3D2C6DAD" w14:textId="77777777" w:rsidR="003C2A5C" w:rsidRDefault="003C2A5C" w:rsidP="003C2A5C">
            <w:pPr>
              <w:pStyle w:val="Paragraph"/>
              <w:ind w:firstLine="0"/>
              <w:jc w:val="center"/>
            </w:pPr>
          </w:p>
        </w:tc>
        <w:tc>
          <w:tcPr>
            <w:tcW w:w="1197" w:type="dxa"/>
            <w:vMerge/>
          </w:tcPr>
          <w:p w14:paraId="6C78569E" w14:textId="77777777" w:rsidR="003C2A5C" w:rsidRDefault="003C2A5C" w:rsidP="003C2A5C">
            <w:pPr>
              <w:pStyle w:val="Paragraph"/>
              <w:ind w:firstLine="0"/>
              <w:jc w:val="center"/>
            </w:pPr>
          </w:p>
        </w:tc>
        <w:tc>
          <w:tcPr>
            <w:tcW w:w="1197" w:type="dxa"/>
          </w:tcPr>
          <w:p w14:paraId="5F9FE442" w14:textId="77777777" w:rsidR="003C2A5C" w:rsidRDefault="003C2A5C" w:rsidP="003C2A5C">
            <w:pPr>
              <w:pStyle w:val="Paragraph"/>
              <w:ind w:firstLine="0"/>
              <w:jc w:val="center"/>
            </w:pPr>
            <w:r>
              <w:t>m/s</w:t>
            </w:r>
            <w:r>
              <w:rPr>
                <w:vertAlign w:val="superscript"/>
              </w:rPr>
              <w:t>2</w:t>
            </w:r>
          </w:p>
        </w:tc>
        <w:tc>
          <w:tcPr>
            <w:tcW w:w="1197" w:type="dxa"/>
          </w:tcPr>
          <w:p w14:paraId="1404915E" w14:textId="77777777" w:rsidR="003C2A5C" w:rsidRDefault="003C2A5C" w:rsidP="003C2A5C">
            <w:pPr>
              <w:pStyle w:val="Paragraph"/>
              <w:ind w:firstLine="0"/>
              <w:jc w:val="center"/>
            </w:pPr>
            <w:r>
              <w:t>33.3</w:t>
            </w:r>
          </w:p>
        </w:tc>
        <w:tc>
          <w:tcPr>
            <w:tcW w:w="1197" w:type="dxa"/>
          </w:tcPr>
          <w:p w14:paraId="0E499160" w14:textId="77777777" w:rsidR="003C2A5C" w:rsidRDefault="003C2A5C" w:rsidP="003C2A5C">
            <w:pPr>
              <w:pStyle w:val="Paragraph"/>
              <w:ind w:firstLine="0"/>
              <w:jc w:val="center"/>
            </w:pPr>
          </w:p>
        </w:tc>
        <w:tc>
          <w:tcPr>
            <w:tcW w:w="1197" w:type="dxa"/>
          </w:tcPr>
          <w:p w14:paraId="375ADBA1" w14:textId="77777777" w:rsidR="003C2A5C" w:rsidRDefault="003C2A5C" w:rsidP="003C2A5C">
            <w:pPr>
              <w:pStyle w:val="Paragraph"/>
              <w:ind w:firstLine="0"/>
              <w:jc w:val="center"/>
            </w:pPr>
            <w:r>
              <w:t>HIGH</w:t>
            </w:r>
          </w:p>
        </w:tc>
        <w:tc>
          <w:tcPr>
            <w:tcW w:w="1197" w:type="dxa"/>
          </w:tcPr>
          <w:p w14:paraId="33A87B77" w14:textId="77777777" w:rsidR="003C2A5C" w:rsidRDefault="003C2A5C" w:rsidP="003C2A5C">
            <w:pPr>
              <w:pStyle w:val="Paragraph"/>
              <w:ind w:firstLine="0"/>
              <w:jc w:val="center"/>
            </w:pPr>
            <w:r>
              <w:t>m/s</w:t>
            </w:r>
            <w:r>
              <w:rPr>
                <w:vertAlign w:val="superscript"/>
              </w:rPr>
              <w:t>2</w:t>
            </w:r>
          </w:p>
        </w:tc>
        <w:tc>
          <w:tcPr>
            <w:tcW w:w="1197" w:type="dxa"/>
          </w:tcPr>
          <w:p w14:paraId="6195651C" w14:textId="77777777" w:rsidR="003C2A5C" w:rsidRDefault="003C2A5C" w:rsidP="003C2A5C">
            <w:pPr>
              <w:pStyle w:val="Paragraph"/>
              <w:ind w:firstLine="0"/>
              <w:jc w:val="center"/>
            </w:pPr>
            <w:r>
              <w:t>4.9</w:t>
            </w:r>
          </w:p>
        </w:tc>
      </w:tr>
      <w:tr w:rsidR="003C2A5C" w14:paraId="3A523EC3" w14:textId="77777777" w:rsidTr="003C2A5C">
        <w:tc>
          <w:tcPr>
            <w:tcW w:w="1089" w:type="dxa"/>
            <w:vMerge/>
            <w:tcBorders>
              <w:bottom w:val="single" w:sz="4" w:space="0" w:color="auto"/>
            </w:tcBorders>
          </w:tcPr>
          <w:p w14:paraId="41D794BB" w14:textId="77777777" w:rsidR="003C2A5C" w:rsidRDefault="003C2A5C" w:rsidP="003C2A5C">
            <w:pPr>
              <w:pStyle w:val="Paragraph"/>
              <w:ind w:firstLine="0"/>
              <w:jc w:val="center"/>
            </w:pPr>
          </w:p>
        </w:tc>
        <w:tc>
          <w:tcPr>
            <w:tcW w:w="1197" w:type="dxa"/>
            <w:vMerge/>
            <w:tcBorders>
              <w:bottom w:val="single" w:sz="4" w:space="0" w:color="auto"/>
            </w:tcBorders>
          </w:tcPr>
          <w:p w14:paraId="06719504" w14:textId="77777777" w:rsidR="003C2A5C" w:rsidRDefault="003C2A5C" w:rsidP="003C2A5C">
            <w:pPr>
              <w:pStyle w:val="Paragraph"/>
              <w:ind w:firstLine="0"/>
              <w:jc w:val="center"/>
            </w:pPr>
          </w:p>
        </w:tc>
        <w:tc>
          <w:tcPr>
            <w:tcW w:w="1197" w:type="dxa"/>
            <w:tcBorders>
              <w:bottom w:val="single" w:sz="4" w:space="0" w:color="auto"/>
            </w:tcBorders>
          </w:tcPr>
          <w:p w14:paraId="4E6E6E14" w14:textId="77777777" w:rsidR="003C2A5C" w:rsidRDefault="003C2A5C" w:rsidP="003C2A5C">
            <w:pPr>
              <w:pStyle w:val="Paragraph"/>
              <w:ind w:firstLine="0"/>
              <w:jc w:val="center"/>
            </w:pPr>
            <w:r>
              <w:t>m/s</w:t>
            </w:r>
            <w:r>
              <w:rPr>
                <w:vertAlign w:val="superscript"/>
              </w:rPr>
              <w:t>2</w:t>
            </w:r>
          </w:p>
        </w:tc>
        <w:tc>
          <w:tcPr>
            <w:tcW w:w="1197" w:type="dxa"/>
            <w:tcBorders>
              <w:bottom w:val="single" w:sz="4" w:space="0" w:color="auto"/>
            </w:tcBorders>
          </w:tcPr>
          <w:p w14:paraId="7D81D4DF" w14:textId="77777777" w:rsidR="003C2A5C" w:rsidRDefault="003C2A5C" w:rsidP="003C2A5C">
            <w:pPr>
              <w:pStyle w:val="Paragraph"/>
              <w:ind w:firstLine="0"/>
              <w:jc w:val="center"/>
            </w:pPr>
            <w:r>
              <w:t>133.7</w:t>
            </w:r>
          </w:p>
        </w:tc>
        <w:tc>
          <w:tcPr>
            <w:tcW w:w="1197" w:type="dxa"/>
            <w:tcBorders>
              <w:bottom w:val="single" w:sz="4" w:space="0" w:color="auto"/>
            </w:tcBorders>
          </w:tcPr>
          <w:p w14:paraId="78D06685" w14:textId="77777777" w:rsidR="003C2A5C" w:rsidRDefault="003C2A5C" w:rsidP="003C2A5C">
            <w:pPr>
              <w:pStyle w:val="Paragraph"/>
              <w:ind w:firstLine="0"/>
              <w:jc w:val="center"/>
            </w:pPr>
          </w:p>
        </w:tc>
        <w:tc>
          <w:tcPr>
            <w:tcW w:w="1197" w:type="dxa"/>
            <w:tcBorders>
              <w:bottom w:val="single" w:sz="4" w:space="0" w:color="auto"/>
            </w:tcBorders>
          </w:tcPr>
          <w:p w14:paraId="6DF9F1BA" w14:textId="77777777" w:rsidR="003C2A5C" w:rsidRDefault="003C2A5C" w:rsidP="003C2A5C">
            <w:pPr>
              <w:pStyle w:val="Paragraph"/>
              <w:ind w:firstLine="0"/>
              <w:jc w:val="center"/>
            </w:pPr>
          </w:p>
        </w:tc>
        <w:tc>
          <w:tcPr>
            <w:tcW w:w="1197" w:type="dxa"/>
            <w:tcBorders>
              <w:bottom w:val="single" w:sz="4" w:space="0" w:color="auto"/>
            </w:tcBorders>
          </w:tcPr>
          <w:p w14:paraId="28BB5EB0" w14:textId="77777777" w:rsidR="003C2A5C" w:rsidRDefault="003C2A5C" w:rsidP="003C2A5C">
            <w:pPr>
              <w:pStyle w:val="Paragraph"/>
              <w:ind w:firstLine="0"/>
              <w:jc w:val="center"/>
            </w:pPr>
            <w:r>
              <w:t>m/s</w:t>
            </w:r>
            <w:r>
              <w:rPr>
                <w:vertAlign w:val="superscript"/>
              </w:rPr>
              <w:t>2</w:t>
            </w:r>
          </w:p>
        </w:tc>
        <w:tc>
          <w:tcPr>
            <w:tcW w:w="1197" w:type="dxa"/>
            <w:tcBorders>
              <w:bottom w:val="single" w:sz="4" w:space="0" w:color="auto"/>
            </w:tcBorders>
          </w:tcPr>
          <w:p w14:paraId="372C51FE" w14:textId="77777777" w:rsidR="003C2A5C" w:rsidRDefault="003C2A5C" w:rsidP="003C2A5C">
            <w:pPr>
              <w:pStyle w:val="Paragraph"/>
              <w:ind w:firstLine="0"/>
              <w:jc w:val="center"/>
            </w:pPr>
            <w:r>
              <w:t>970</w:t>
            </w:r>
          </w:p>
        </w:tc>
      </w:tr>
    </w:tbl>
    <w:p w14:paraId="5B7EC654" w14:textId="0A643D05" w:rsidR="000C0942" w:rsidRDefault="003C2A5C" w:rsidP="000C0942">
      <w:pPr>
        <w:pStyle w:val="Paragraph"/>
        <w:spacing w:before="120" w:after="200"/>
        <w:ind w:firstLine="0"/>
        <w:jc w:val="center"/>
        <w:rPr>
          <w:sz w:val="18"/>
          <w:szCs w:val="18"/>
        </w:rPr>
      </w:pPr>
      <w:r w:rsidRPr="000C0942">
        <w:rPr>
          <w:b/>
          <w:bCs/>
          <w:sz w:val="18"/>
          <w:szCs w:val="18"/>
        </w:rPr>
        <w:t xml:space="preserve">TABLE </w:t>
      </w:r>
      <w:r w:rsidR="000C0942" w:rsidRPr="000C0942">
        <w:rPr>
          <w:b/>
          <w:bCs/>
          <w:sz w:val="18"/>
          <w:szCs w:val="18"/>
        </w:rPr>
        <w:t>1.</w:t>
      </w:r>
      <w:r w:rsidR="000C0942">
        <w:rPr>
          <w:b/>
          <w:bCs/>
          <w:sz w:val="18"/>
          <w:szCs w:val="18"/>
        </w:rPr>
        <w:t xml:space="preserve"> </w:t>
      </w:r>
      <w:r w:rsidR="000C0942">
        <w:rPr>
          <w:sz w:val="18"/>
          <w:szCs w:val="18"/>
        </w:rPr>
        <w:t>Comparative Data between Prototype Scaler and ART-Piezo Model Scaler</w:t>
      </w:r>
    </w:p>
    <w:p w14:paraId="58820AFF" w14:textId="531CF6A2" w:rsidR="003C2A5C" w:rsidRDefault="003C2A5C" w:rsidP="000C0942">
      <w:pPr>
        <w:pStyle w:val="Paragraph"/>
        <w:spacing w:before="120" w:after="200"/>
        <w:ind w:firstLine="0"/>
        <w:jc w:val="center"/>
        <w:rPr>
          <w:b/>
          <w:bCs/>
          <w:sz w:val="18"/>
          <w:szCs w:val="18"/>
        </w:rPr>
      </w:pPr>
      <w:r w:rsidRPr="009E260C">
        <w:rPr>
          <w:noProof/>
          <w:sz w:val="22"/>
          <w:szCs w:val="22"/>
        </w:rPr>
        <w:drawing>
          <wp:anchor distT="0" distB="0" distL="114300" distR="114300" simplePos="0" relativeHeight="251658752" behindDoc="0" locked="0" layoutInCell="1" allowOverlap="1" wp14:anchorId="3DDA273B" wp14:editId="7FA136C5">
            <wp:simplePos x="0" y="0"/>
            <wp:positionH relativeFrom="column">
              <wp:posOffset>1835785</wp:posOffset>
            </wp:positionH>
            <wp:positionV relativeFrom="paragraph">
              <wp:posOffset>1419323</wp:posOffset>
            </wp:positionV>
            <wp:extent cx="2497015" cy="1753739"/>
            <wp:effectExtent l="0" t="0" r="0" b="0"/>
            <wp:wrapNone/>
            <wp:docPr id="1848065379" name="Picture 184806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9678" t="34029" r="30473" b="16212"/>
                    <a:stretch/>
                  </pic:blipFill>
                  <pic:spPr bwMode="auto">
                    <a:xfrm>
                      <a:off x="0" y="0"/>
                      <a:ext cx="2497015" cy="17537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1A0661" w14:textId="14927EF3" w:rsidR="003C2A5C" w:rsidRDefault="003C2A5C" w:rsidP="000C0942">
      <w:pPr>
        <w:pStyle w:val="Paragraph"/>
        <w:spacing w:before="120" w:after="200"/>
        <w:ind w:firstLine="0"/>
        <w:jc w:val="center"/>
        <w:rPr>
          <w:b/>
          <w:bCs/>
          <w:sz w:val="18"/>
          <w:szCs w:val="18"/>
        </w:rPr>
      </w:pPr>
    </w:p>
    <w:p w14:paraId="570DC66A" w14:textId="77777777" w:rsidR="003C2A5C" w:rsidRDefault="003C2A5C" w:rsidP="000C0942">
      <w:pPr>
        <w:pStyle w:val="Paragraph"/>
        <w:spacing w:before="120" w:after="200"/>
        <w:ind w:firstLine="0"/>
        <w:jc w:val="center"/>
        <w:rPr>
          <w:b/>
          <w:bCs/>
          <w:sz w:val="18"/>
          <w:szCs w:val="18"/>
        </w:rPr>
      </w:pPr>
    </w:p>
    <w:p w14:paraId="7AF4A186" w14:textId="398EB896" w:rsidR="003C2A5C" w:rsidRDefault="003C2A5C" w:rsidP="000C0942">
      <w:pPr>
        <w:pStyle w:val="Paragraph"/>
        <w:spacing w:before="120" w:after="200"/>
        <w:ind w:firstLine="0"/>
        <w:jc w:val="center"/>
        <w:rPr>
          <w:b/>
          <w:bCs/>
          <w:sz w:val="18"/>
          <w:szCs w:val="18"/>
        </w:rPr>
      </w:pPr>
    </w:p>
    <w:p w14:paraId="1F7426F5" w14:textId="77777777" w:rsidR="003C2A5C" w:rsidRDefault="003C2A5C" w:rsidP="000C0942">
      <w:pPr>
        <w:pStyle w:val="Paragraph"/>
        <w:spacing w:before="120" w:after="200"/>
        <w:ind w:firstLine="0"/>
        <w:jc w:val="center"/>
        <w:rPr>
          <w:b/>
          <w:bCs/>
          <w:sz w:val="18"/>
          <w:szCs w:val="18"/>
        </w:rPr>
      </w:pPr>
    </w:p>
    <w:p w14:paraId="2AF818DC" w14:textId="77777777" w:rsidR="003C2A5C" w:rsidRDefault="003C2A5C" w:rsidP="000C0942">
      <w:pPr>
        <w:pStyle w:val="Paragraph"/>
        <w:spacing w:before="120" w:after="200"/>
        <w:ind w:firstLine="0"/>
        <w:jc w:val="center"/>
        <w:rPr>
          <w:b/>
          <w:bCs/>
          <w:sz w:val="18"/>
          <w:szCs w:val="18"/>
        </w:rPr>
      </w:pPr>
    </w:p>
    <w:p w14:paraId="1180E741" w14:textId="77777777" w:rsidR="003C2A5C" w:rsidRDefault="003C2A5C" w:rsidP="000C0942">
      <w:pPr>
        <w:pStyle w:val="Paragraph"/>
        <w:spacing w:before="120" w:after="200"/>
        <w:ind w:firstLine="0"/>
        <w:jc w:val="center"/>
        <w:rPr>
          <w:b/>
          <w:bCs/>
          <w:sz w:val="18"/>
          <w:szCs w:val="18"/>
        </w:rPr>
      </w:pPr>
    </w:p>
    <w:p w14:paraId="3F8EDF1F" w14:textId="076BB1BA" w:rsidR="000C0942" w:rsidRDefault="000C0942" w:rsidP="000C0942">
      <w:pPr>
        <w:pStyle w:val="Paragraph"/>
        <w:spacing w:before="120" w:after="200"/>
        <w:ind w:firstLine="0"/>
        <w:jc w:val="center"/>
        <w:rPr>
          <w:b/>
          <w:bCs/>
          <w:sz w:val="18"/>
          <w:szCs w:val="18"/>
        </w:rPr>
      </w:pPr>
    </w:p>
    <w:p w14:paraId="09EBC2E2" w14:textId="3488BA79" w:rsidR="00CA7006" w:rsidRPr="000C0942" w:rsidRDefault="003C2A5C" w:rsidP="000C0942">
      <w:pPr>
        <w:pStyle w:val="Paragraph"/>
        <w:spacing w:before="120" w:after="200"/>
        <w:ind w:firstLine="0"/>
        <w:jc w:val="center"/>
        <w:rPr>
          <w:sz w:val="18"/>
          <w:szCs w:val="18"/>
        </w:rPr>
      </w:pPr>
      <w:r>
        <w:rPr>
          <w:b/>
          <w:bCs/>
          <w:sz w:val="18"/>
          <w:szCs w:val="18"/>
        </w:rPr>
        <w:t xml:space="preserve">FIGURE </w:t>
      </w:r>
      <w:r w:rsidR="00005DF3">
        <w:rPr>
          <w:b/>
          <w:bCs/>
          <w:sz w:val="18"/>
          <w:szCs w:val="18"/>
        </w:rPr>
        <w:t>3</w:t>
      </w:r>
      <w:r w:rsidR="000C0942">
        <w:rPr>
          <w:b/>
          <w:bCs/>
          <w:sz w:val="18"/>
          <w:szCs w:val="18"/>
        </w:rPr>
        <w:t xml:space="preserve">. </w:t>
      </w:r>
      <w:r w:rsidR="000C0942">
        <w:rPr>
          <w:sz w:val="18"/>
          <w:szCs w:val="18"/>
        </w:rPr>
        <w:t>Scaler Model Used as a Reference for Comparison with its Vibration Value Reference</w:t>
      </w:r>
      <w:r w:rsidR="000C0942" w:rsidRPr="000C0942">
        <w:rPr>
          <w:b/>
          <w:bCs/>
          <w:sz w:val="18"/>
          <w:szCs w:val="18"/>
        </w:rPr>
        <w:t xml:space="preserve"> </w:t>
      </w:r>
    </w:p>
    <w:p w14:paraId="72BCBB8A" w14:textId="35F311C9" w:rsidR="000C0942" w:rsidRDefault="000C0942" w:rsidP="00725861">
      <w:pPr>
        <w:pStyle w:val="Paragraph"/>
      </w:pPr>
      <w:r w:rsidRPr="000C0942">
        <w:t>According to the data presented in Table 1, the vibration at the tip of the ultrasonic scaler prototype is greater than that of the ART-Piezo scaler. This higher vibration magnitude is crucial, as it implies a greater ability to remove dental calculus or tartar from tooth surfaces. In general, the more intense the vibration at the scaler’s tip, the more efficient it is in clinical use.</w:t>
      </w:r>
    </w:p>
    <w:p w14:paraId="6BBDAB03" w14:textId="0E18C76F" w:rsidR="005A17F9" w:rsidRPr="005A17F9" w:rsidRDefault="003C2A5C" w:rsidP="004626D1">
      <w:pPr>
        <w:pStyle w:val="Paragraph"/>
        <w:spacing w:before="120" w:after="200"/>
        <w:ind w:firstLine="288"/>
        <w:jc w:val="center"/>
        <w:rPr>
          <w:sz w:val="18"/>
          <w:szCs w:val="18"/>
        </w:rPr>
      </w:pPr>
      <w:r>
        <w:rPr>
          <w:b/>
          <w:bCs/>
          <w:sz w:val="18"/>
          <w:szCs w:val="18"/>
        </w:rPr>
        <w:t xml:space="preserve">TABLE </w:t>
      </w:r>
      <w:r w:rsidR="005A17F9">
        <w:rPr>
          <w:b/>
          <w:bCs/>
          <w:sz w:val="18"/>
          <w:szCs w:val="18"/>
        </w:rPr>
        <w:t xml:space="preserve">2. </w:t>
      </w:r>
      <w:r w:rsidR="005A17F9" w:rsidRPr="005A17F9">
        <w:rPr>
          <w:sz w:val="18"/>
          <w:szCs w:val="18"/>
        </w:rPr>
        <w:t>Vibration Measurement on Ultrasonic Scaler Prototype (Model M3+ SN: U3LD60134)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1794"/>
        <w:gridCol w:w="2221"/>
        <w:gridCol w:w="2493"/>
        <w:gridCol w:w="2186"/>
      </w:tblGrid>
      <w:tr w:rsidR="004626D1" w:rsidRPr="009E260C" w14:paraId="29347064" w14:textId="77777777" w:rsidTr="0047610D">
        <w:tc>
          <w:tcPr>
            <w:tcW w:w="675" w:type="dxa"/>
            <w:tcBorders>
              <w:top w:val="single" w:sz="4" w:space="0" w:color="auto"/>
              <w:bottom w:val="single" w:sz="4" w:space="0" w:color="auto"/>
              <w:right w:val="nil"/>
            </w:tcBorders>
          </w:tcPr>
          <w:p w14:paraId="2CEE45E1" w14:textId="77777777" w:rsidR="004626D1" w:rsidRPr="004626D1" w:rsidRDefault="004626D1" w:rsidP="0047610D">
            <w:pPr>
              <w:spacing w:before="100" w:beforeAutospacing="1" w:after="100" w:afterAutospacing="1" w:line="360" w:lineRule="auto"/>
              <w:jc w:val="both"/>
              <w:rPr>
                <w:b/>
                <w:bCs/>
                <w:sz w:val="18"/>
                <w:szCs w:val="18"/>
              </w:rPr>
            </w:pPr>
            <w:r w:rsidRPr="004626D1">
              <w:rPr>
                <w:b/>
                <w:bCs/>
                <w:sz w:val="18"/>
                <w:szCs w:val="18"/>
              </w:rPr>
              <w:t>No</w:t>
            </w:r>
          </w:p>
        </w:tc>
        <w:tc>
          <w:tcPr>
            <w:tcW w:w="1843" w:type="dxa"/>
            <w:tcBorders>
              <w:top w:val="single" w:sz="4" w:space="0" w:color="auto"/>
              <w:left w:val="nil"/>
              <w:bottom w:val="single" w:sz="4" w:space="0" w:color="auto"/>
              <w:right w:val="nil"/>
            </w:tcBorders>
          </w:tcPr>
          <w:p w14:paraId="4BFB97CA" w14:textId="77777777" w:rsidR="004626D1" w:rsidRPr="004626D1" w:rsidRDefault="004626D1" w:rsidP="0047610D">
            <w:pPr>
              <w:spacing w:before="100" w:beforeAutospacing="1" w:after="100" w:afterAutospacing="1" w:line="360" w:lineRule="auto"/>
              <w:jc w:val="both"/>
              <w:rPr>
                <w:b/>
                <w:bCs/>
                <w:sz w:val="18"/>
                <w:szCs w:val="18"/>
              </w:rPr>
            </w:pPr>
            <w:r w:rsidRPr="004626D1">
              <w:rPr>
                <w:b/>
                <w:bCs/>
                <w:sz w:val="18"/>
                <w:szCs w:val="18"/>
              </w:rPr>
              <w:t>Mode</w:t>
            </w:r>
          </w:p>
        </w:tc>
        <w:tc>
          <w:tcPr>
            <w:tcW w:w="2268" w:type="dxa"/>
            <w:tcBorders>
              <w:top w:val="single" w:sz="4" w:space="0" w:color="auto"/>
              <w:left w:val="nil"/>
              <w:bottom w:val="single" w:sz="4" w:space="0" w:color="auto"/>
              <w:right w:val="nil"/>
            </w:tcBorders>
          </w:tcPr>
          <w:p w14:paraId="0DFAEC10" w14:textId="77777777" w:rsidR="004626D1" w:rsidRPr="004626D1" w:rsidRDefault="004626D1" w:rsidP="0047610D">
            <w:pPr>
              <w:spacing w:before="100" w:beforeAutospacing="1" w:after="100" w:afterAutospacing="1" w:line="360" w:lineRule="auto"/>
              <w:jc w:val="both"/>
              <w:rPr>
                <w:b/>
                <w:bCs/>
                <w:sz w:val="18"/>
                <w:szCs w:val="18"/>
              </w:rPr>
            </w:pPr>
            <w:r w:rsidRPr="004626D1">
              <w:rPr>
                <w:b/>
                <w:bCs/>
                <w:sz w:val="18"/>
                <w:szCs w:val="18"/>
              </w:rPr>
              <w:t>Acceleration (m/s²)</w:t>
            </w:r>
          </w:p>
        </w:tc>
        <w:tc>
          <w:tcPr>
            <w:tcW w:w="2552" w:type="dxa"/>
            <w:tcBorders>
              <w:top w:val="single" w:sz="4" w:space="0" w:color="auto"/>
              <w:left w:val="nil"/>
              <w:bottom w:val="single" w:sz="4" w:space="0" w:color="auto"/>
              <w:right w:val="nil"/>
            </w:tcBorders>
          </w:tcPr>
          <w:p w14:paraId="6E3EE6D2" w14:textId="77777777" w:rsidR="004626D1" w:rsidRPr="004626D1" w:rsidRDefault="004626D1" w:rsidP="0047610D">
            <w:pPr>
              <w:spacing w:before="100" w:beforeAutospacing="1" w:after="100" w:afterAutospacing="1" w:line="360" w:lineRule="auto"/>
              <w:jc w:val="both"/>
              <w:rPr>
                <w:b/>
                <w:bCs/>
                <w:sz w:val="18"/>
                <w:szCs w:val="18"/>
              </w:rPr>
            </w:pPr>
            <w:r w:rsidRPr="004626D1">
              <w:rPr>
                <w:b/>
                <w:bCs/>
                <w:sz w:val="18"/>
                <w:szCs w:val="18"/>
              </w:rPr>
              <w:t>Acceleration (mm/s²)</w:t>
            </w:r>
          </w:p>
        </w:tc>
        <w:tc>
          <w:tcPr>
            <w:tcW w:w="2238" w:type="dxa"/>
            <w:tcBorders>
              <w:top w:val="single" w:sz="4" w:space="0" w:color="auto"/>
              <w:left w:val="nil"/>
              <w:bottom w:val="single" w:sz="4" w:space="0" w:color="auto"/>
            </w:tcBorders>
          </w:tcPr>
          <w:p w14:paraId="7E29EB4A" w14:textId="77777777" w:rsidR="004626D1" w:rsidRPr="004626D1" w:rsidRDefault="004626D1" w:rsidP="0047610D">
            <w:pPr>
              <w:spacing w:before="100" w:beforeAutospacing="1" w:after="100" w:afterAutospacing="1" w:line="360" w:lineRule="auto"/>
              <w:jc w:val="both"/>
              <w:rPr>
                <w:b/>
                <w:bCs/>
                <w:sz w:val="18"/>
                <w:szCs w:val="18"/>
              </w:rPr>
            </w:pPr>
            <w:r w:rsidRPr="004626D1">
              <w:rPr>
                <w:b/>
                <w:bCs/>
                <w:sz w:val="18"/>
                <w:szCs w:val="18"/>
              </w:rPr>
              <w:t>Amplitude (mm)</w:t>
            </w:r>
          </w:p>
        </w:tc>
      </w:tr>
      <w:tr w:rsidR="004626D1" w:rsidRPr="009E260C" w14:paraId="718FA78F" w14:textId="77777777" w:rsidTr="0047610D">
        <w:tc>
          <w:tcPr>
            <w:tcW w:w="675" w:type="dxa"/>
            <w:tcBorders>
              <w:top w:val="single" w:sz="4" w:space="0" w:color="auto"/>
            </w:tcBorders>
          </w:tcPr>
          <w:p w14:paraId="5BC88591" w14:textId="77777777" w:rsidR="004626D1" w:rsidRPr="004626D1" w:rsidRDefault="004626D1" w:rsidP="0047610D">
            <w:pPr>
              <w:spacing w:before="100" w:beforeAutospacing="1" w:after="100" w:afterAutospacing="1" w:line="360" w:lineRule="auto"/>
              <w:jc w:val="both"/>
              <w:rPr>
                <w:sz w:val="20"/>
              </w:rPr>
            </w:pPr>
            <w:r w:rsidRPr="004626D1">
              <w:rPr>
                <w:sz w:val="20"/>
              </w:rPr>
              <w:t>1</w:t>
            </w:r>
          </w:p>
        </w:tc>
        <w:tc>
          <w:tcPr>
            <w:tcW w:w="1843" w:type="dxa"/>
            <w:tcBorders>
              <w:top w:val="single" w:sz="4" w:space="0" w:color="auto"/>
            </w:tcBorders>
          </w:tcPr>
          <w:p w14:paraId="36B8F254" w14:textId="77777777" w:rsidR="004626D1" w:rsidRPr="004626D1" w:rsidRDefault="004626D1" w:rsidP="0047610D">
            <w:pPr>
              <w:spacing w:before="100" w:beforeAutospacing="1" w:after="100" w:afterAutospacing="1" w:line="360" w:lineRule="auto"/>
              <w:jc w:val="both"/>
              <w:rPr>
                <w:sz w:val="20"/>
              </w:rPr>
            </w:pPr>
            <w:r w:rsidRPr="004626D1">
              <w:rPr>
                <w:sz w:val="20"/>
              </w:rPr>
              <w:t>LOW</w:t>
            </w:r>
          </w:p>
        </w:tc>
        <w:tc>
          <w:tcPr>
            <w:tcW w:w="2268" w:type="dxa"/>
            <w:tcBorders>
              <w:top w:val="single" w:sz="4" w:space="0" w:color="auto"/>
            </w:tcBorders>
          </w:tcPr>
          <w:p w14:paraId="70355482" w14:textId="77777777" w:rsidR="004626D1" w:rsidRPr="004626D1" w:rsidRDefault="004626D1" w:rsidP="0047610D">
            <w:pPr>
              <w:spacing w:before="100" w:beforeAutospacing="1" w:after="100" w:afterAutospacing="1" w:line="360" w:lineRule="auto"/>
              <w:jc w:val="both"/>
              <w:rPr>
                <w:sz w:val="20"/>
              </w:rPr>
            </w:pPr>
            <w:r w:rsidRPr="004626D1">
              <w:rPr>
                <w:sz w:val="20"/>
              </w:rPr>
              <w:t>62.5</w:t>
            </w:r>
          </w:p>
        </w:tc>
        <w:tc>
          <w:tcPr>
            <w:tcW w:w="2552" w:type="dxa"/>
            <w:tcBorders>
              <w:top w:val="single" w:sz="4" w:space="0" w:color="auto"/>
            </w:tcBorders>
          </w:tcPr>
          <w:p w14:paraId="48F7F0D1" w14:textId="77777777" w:rsidR="004626D1" w:rsidRPr="004626D1" w:rsidRDefault="004626D1" w:rsidP="0047610D">
            <w:pPr>
              <w:spacing w:before="100" w:beforeAutospacing="1" w:after="100" w:afterAutospacing="1" w:line="360" w:lineRule="auto"/>
              <w:jc w:val="both"/>
              <w:rPr>
                <w:sz w:val="20"/>
              </w:rPr>
            </w:pPr>
            <w:r w:rsidRPr="004626D1">
              <w:rPr>
                <w:sz w:val="20"/>
              </w:rPr>
              <w:t>199.9</w:t>
            </w:r>
          </w:p>
        </w:tc>
        <w:tc>
          <w:tcPr>
            <w:tcW w:w="2238" w:type="dxa"/>
            <w:tcBorders>
              <w:top w:val="single" w:sz="4" w:space="0" w:color="auto"/>
            </w:tcBorders>
          </w:tcPr>
          <w:p w14:paraId="6ADE69D9" w14:textId="77777777" w:rsidR="004626D1" w:rsidRPr="004626D1" w:rsidRDefault="004626D1" w:rsidP="0047610D">
            <w:pPr>
              <w:spacing w:before="100" w:beforeAutospacing="1" w:after="100" w:afterAutospacing="1" w:line="360" w:lineRule="auto"/>
              <w:jc w:val="both"/>
              <w:rPr>
                <w:sz w:val="20"/>
              </w:rPr>
            </w:pPr>
            <w:r w:rsidRPr="004626D1">
              <w:rPr>
                <w:sz w:val="20"/>
              </w:rPr>
              <w:t>1.999</w:t>
            </w:r>
          </w:p>
        </w:tc>
      </w:tr>
      <w:tr w:rsidR="004626D1" w:rsidRPr="009E260C" w14:paraId="396F8B36" w14:textId="77777777" w:rsidTr="0047610D">
        <w:tc>
          <w:tcPr>
            <w:tcW w:w="675" w:type="dxa"/>
          </w:tcPr>
          <w:p w14:paraId="2F1C115C" w14:textId="77777777" w:rsidR="004626D1" w:rsidRPr="004626D1" w:rsidRDefault="004626D1" w:rsidP="0047610D">
            <w:pPr>
              <w:spacing w:before="100" w:beforeAutospacing="1" w:after="100" w:afterAutospacing="1" w:line="360" w:lineRule="auto"/>
              <w:jc w:val="both"/>
              <w:rPr>
                <w:sz w:val="20"/>
              </w:rPr>
            </w:pPr>
            <w:r w:rsidRPr="004626D1">
              <w:rPr>
                <w:sz w:val="20"/>
              </w:rPr>
              <w:t>2</w:t>
            </w:r>
          </w:p>
        </w:tc>
        <w:tc>
          <w:tcPr>
            <w:tcW w:w="1843" w:type="dxa"/>
          </w:tcPr>
          <w:p w14:paraId="62D2CC5D" w14:textId="77777777" w:rsidR="004626D1" w:rsidRPr="004626D1" w:rsidRDefault="004626D1" w:rsidP="0047610D">
            <w:pPr>
              <w:spacing w:before="100" w:beforeAutospacing="1" w:after="100" w:afterAutospacing="1" w:line="360" w:lineRule="auto"/>
              <w:jc w:val="both"/>
              <w:rPr>
                <w:sz w:val="20"/>
              </w:rPr>
            </w:pPr>
            <w:r w:rsidRPr="004626D1">
              <w:rPr>
                <w:sz w:val="20"/>
              </w:rPr>
              <w:t>HIGH</w:t>
            </w:r>
          </w:p>
        </w:tc>
        <w:tc>
          <w:tcPr>
            <w:tcW w:w="2268" w:type="dxa"/>
          </w:tcPr>
          <w:p w14:paraId="4BF6F2BC" w14:textId="77777777" w:rsidR="004626D1" w:rsidRPr="004626D1" w:rsidRDefault="004626D1" w:rsidP="0047610D">
            <w:pPr>
              <w:spacing w:before="100" w:beforeAutospacing="1" w:after="100" w:afterAutospacing="1" w:line="360" w:lineRule="auto"/>
              <w:jc w:val="both"/>
              <w:rPr>
                <w:sz w:val="20"/>
              </w:rPr>
            </w:pPr>
            <w:r w:rsidRPr="004626D1">
              <w:rPr>
                <w:sz w:val="20"/>
              </w:rPr>
              <w:t>1447</w:t>
            </w:r>
          </w:p>
        </w:tc>
        <w:tc>
          <w:tcPr>
            <w:tcW w:w="2552" w:type="dxa"/>
          </w:tcPr>
          <w:p w14:paraId="5BCB062A" w14:textId="77777777" w:rsidR="004626D1" w:rsidRPr="004626D1" w:rsidRDefault="004626D1" w:rsidP="0047610D">
            <w:pPr>
              <w:spacing w:before="100" w:beforeAutospacing="1" w:after="100" w:afterAutospacing="1" w:line="360" w:lineRule="auto"/>
              <w:jc w:val="both"/>
              <w:rPr>
                <w:sz w:val="20"/>
              </w:rPr>
            </w:pPr>
            <w:r w:rsidRPr="004626D1">
              <w:rPr>
                <w:sz w:val="20"/>
              </w:rPr>
              <w:t>33.3 and 133.7</w:t>
            </w:r>
          </w:p>
        </w:tc>
        <w:tc>
          <w:tcPr>
            <w:tcW w:w="2238" w:type="dxa"/>
          </w:tcPr>
          <w:p w14:paraId="16B85A5E" w14:textId="77777777" w:rsidR="004626D1" w:rsidRPr="004626D1" w:rsidRDefault="004626D1" w:rsidP="0047610D">
            <w:pPr>
              <w:spacing w:before="100" w:beforeAutospacing="1" w:after="100" w:afterAutospacing="1" w:line="360" w:lineRule="auto"/>
              <w:jc w:val="both"/>
              <w:rPr>
                <w:sz w:val="20"/>
              </w:rPr>
            </w:pPr>
            <w:r w:rsidRPr="004626D1">
              <w:rPr>
                <w:sz w:val="20"/>
              </w:rPr>
              <w:t>—</w:t>
            </w:r>
          </w:p>
        </w:tc>
      </w:tr>
    </w:tbl>
    <w:p w14:paraId="747E6BAF" w14:textId="66569357" w:rsidR="000C0942" w:rsidRPr="005A17F9" w:rsidRDefault="000C0942" w:rsidP="005A17F9">
      <w:pPr>
        <w:pStyle w:val="Paragraph"/>
        <w:jc w:val="center"/>
        <w:rPr>
          <w:sz w:val="18"/>
          <w:szCs w:val="18"/>
        </w:rPr>
      </w:pPr>
    </w:p>
    <w:p w14:paraId="2666AD23" w14:textId="77777777" w:rsidR="004626D1" w:rsidRPr="004626D1" w:rsidRDefault="004626D1" w:rsidP="004626D1">
      <w:pPr>
        <w:pStyle w:val="Paragraph"/>
      </w:pPr>
      <w:r w:rsidRPr="004626D1">
        <w:t>Two distinct vibration settings were evaluated on the ultrasonic scaler prototype to assess performance under varying operational intensities. The LOW mode likely represents a light or maintenance-level operation, whereas the HIGH mode suggests a setting designed for more intensive scaling procedures. The primary parameters measured include acceleration in m/s², indicating the vibration intensity; acceleration in mm/s², as the converted unit; and amplitude in mm, representing the vibration range.</w:t>
      </w:r>
    </w:p>
    <w:p w14:paraId="422C4F66" w14:textId="4C0CDBAD" w:rsidR="004626D1" w:rsidRDefault="004626D1" w:rsidP="004626D1">
      <w:pPr>
        <w:pStyle w:val="Paragraph"/>
      </w:pPr>
      <w:r w:rsidRPr="004626D1">
        <w:t>In LOW mode, the prototype exhibited an acceleration of 62.5 m/s², which corresponds to 199.9 mm/s² upon unit conversion, with a vibration amplitude of 1.999 mm. In contrast, HIGH mode showed a significantly higher acceleration value of 1447 m/s², with additional readings of 33.3 m/s² and 133.7 m/s², potentially recorded from different measurement axes or sensor positions. The amplitude for HIGH mode was not reported, which may require further clarification or measurement in future testing.</w:t>
      </w:r>
      <w:r w:rsidR="00725861" w:rsidRPr="00640136">
        <w:t xml:space="preserve"> </w:t>
      </w:r>
    </w:p>
    <w:p w14:paraId="347546BF" w14:textId="1BEC0DDC" w:rsidR="004626D1" w:rsidRDefault="003C2A5C" w:rsidP="00982AC4">
      <w:pPr>
        <w:pStyle w:val="Paragraph"/>
        <w:spacing w:before="120" w:after="200"/>
        <w:ind w:firstLine="288"/>
        <w:jc w:val="center"/>
        <w:rPr>
          <w:sz w:val="18"/>
          <w:szCs w:val="18"/>
        </w:rPr>
      </w:pPr>
      <w:r>
        <w:rPr>
          <w:b/>
          <w:bCs/>
          <w:sz w:val="18"/>
          <w:szCs w:val="18"/>
        </w:rPr>
        <w:lastRenderedPageBreak/>
        <w:t xml:space="preserve">TABLE </w:t>
      </w:r>
      <w:r w:rsidR="004626D1">
        <w:rPr>
          <w:b/>
          <w:bCs/>
          <w:sz w:val="18"/>
          <w:szCs w:val="18"/>
        </w:rPr>
        <w:t xml:space="preserve">3. </w:t>
      </w:r>
      <w:r w:rsidR="00982AC4" w:rsidRPr="00982AC4">
        <w:rPr>
          <w:sz w:val="18"/>
          <w:szCs w:val="18"/>
        </w:rPr>
        <w:t>Comparison with ART-Piezo Ultrasonic Scaler: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46"/>
        <w:gridCol w:w="2346"/>
        <w:gridCol w:w="2340"/>
      </w:tblGrid>
      <w:tr w:rsidR="00982AC4" w:rsidRPr="009E260C" w14:paraId="280FCA79" w14:textId="77777777" w:rsidTr="0047610D">
        <w:tc>
          <w:tcPr>
            <w:tcW w:w="2394" w:type="dxa"/>
            <w:tcBorders>
              <w:top w:val="single" w:sz="4" w:space="0" w:color="auto"/>
              <w:bottom w:val="single" w:sz="4" w:space="0" w:color="auto"/>
            </w:tcBorders>
            <w:vAlign w:val="center"/>
          </w:tcPr>
          <w:p w14:paraId="2EC6F6B2" w14:textId="77777777" w:rsidR="00982AC4" w:rsidRPr="00982AC4" w:rsidRDefault="00982AC4" w:rsidP="0047610D">
            <w:pPr>
              <w:spacing w:before="100" w:beforeAutospacing="1" w:after="100" w:afterAutospacing="1" w:line="360" w:lineRule="auto"/>
              <w:jc w:val="both"/>
              <w:rPr>
                <w:sz w:val="18"/>
                <w:szCs w:val="18"/>
              </w:rPr>
            </w:pPr>
            <w:r w:rsidRPr="00982AC4">
              <w:rPr>
                <w:b/>
                <w:bCs/>
                <w:sz w:val="18"/>
                <w:szCs w:val="18"/>
              </w:rPr>
              <w:t>Mode</w:t>
            </w:r>
          </w:p>
        </w:tc>
        <w:tc>
          <w:tcPr>
            <w:tcW w:w="2394" w:type="dxa"/>
            <w:tcBorders>
              <w:top w:val="single" w:sz="4" w:space="0" w:color="auto"/>
              <w:bottom w:val="single" w:sz="4" w:space="0" w:color="auto"/>
            </w:tcBorders>
            <w:vAlign w:val="center"/>
          </w:tcPr>
          <w:p w14:paraId="21F2E495" w14:textId="77777777" w:rsidR="00982AC4" w:rsidRPr="00982AC4" w:rsidRDefault="00982AC4" w:rsidP="0047610D">
            <w:pPr>
              <w:spacing w:before="100" w:beforeAutospacing="1" w:after="100" w:afterAutospacing="1" w:line="360" w:lineRule="auto"/>
              <w:jc w:val="both"/>
              <w:rPr>
                <w:sz w:val="18"/>
                <w:szCs w:val="18"/>
              </w:rPr>
            </w:pPr>
            <w:r w:rsidRPr="00982AC4">
              <w:rPr>
                <w:b/>
                <w:bCs/>
                <w:sz w:val="18"/>
                <w:szCs w:val="18"/>
              </w:rPr>
              <w:t>Acceleration (m/s²)</w:t>
            </w:r>
          </w:p>
        </w:tc>
        <w:tc>
          <w:tcPr>
            <w:tcW w:w="2394" w:type="dxa"/>
            <w:tcBorders>
              <w:top w:val="single" w:sz="4" w:space="0" w:color="auto"/>
              <w:bottom w:val="single" w:sz="4" w:space="0" w:color="auto"/>
            </w:tcBorders>
            <w:vAlign w:val="center"/>
          </w:tcPr>
          <w:p w14:paraId="7E37DA67" w14:textId="77777777" w:rsidR="00982AC4" w:rsidRPr="00982AC4" w:rsidRDefault="00982AC4" w:rsidP="0047610D">
            <w:pPr>
              <w:spacing w:before="100" w:beforeAutospacing="1" w:after="100" w:afterAutospacing="1" w:line="360" w:lineRule="auto"/>
              <w:jc w:val="both"/>
              <w:rPr>
                <w:sz w:val="18"/>
                <w:szCs w:val="18"/>
              </w:rPr>
            </w:pPr>
            <w:r w:rsidRPr="00982AC4">
              <w:rPr>
                <w:b/>
                <w:bCs/>
                <w:sz w:val="18"/>
                <w:szCs w:val="18"/>
              </w:rPr>
              <w:t>Acceleration (mm/s²)</w:t>
            </w:r>
          </w:p>
        </w:tc>
        <w:tc>
          <w:tcPr>
            <w:tcW w:w="2394" w:type="dxa"/>
            <w:tcBorders>
              <w:top w:val="single" w:sz="4" w:space="0" w:color="auto"/>
              <w:bottom w:val="single" w:sz="4" w:space="0" w:color="auto"/>
            </w:tcBorders>
            <w:vAlign w:val="center"/>
          </w:tcPr>
          <w:p w14:paraId="3FC29D0D" w14:textId="77777777" w:rsidR="00982AC4" w:rsidRPr="00982AC4" w:rsidRDefault="00982AC4" w:rsidP="0047610D">
            <w:pPr>
              <w:spacing w:before="100" w:beforeAutospacing="1" w:after="100" w:afterAutospacing="1" w:line="360" w:lineRule="auto"/>
              <w:jc w:val="both"/>
              <w:rPr>
                <w:sz w:val="18"/>
                <w:szCs w:val="18"/>
              </w:rPr>
            </w:pPr>
            <w:r w:rsidRPr="00982AC4">
              <w:rPr>
                <w:b/>
                <w:bCs/>
                <w:sz w:val="18"/>
                <w:szCs w:val="18"/>
              </w:rPr>
              <w:t>Amplitude (mm)</w:t>
            </w:r>
          </w:p>
        </w:tc>
      </w:tr>
      <w:tr w:rsidR="00982AC4" w:rsidRPr="00982AC4" w14:paraId="73538960" w14:textId="77777777" w:rsidTr="0047610D">
        <w:tc>
          <w:tcPr>
            <w:tcW w:w="2394" w:type="dxa"/>
            <w:tcBorders>
              <w:top w:val="single" w:sz="4" w:space="0" w:color="auto"/>
            </w:tcBorders>
            <w:vAlign w:val="center"/>
          </w:tcPr>
          <w:p w14:paraId="00D75A21" w14:textId="77777777" w:rsidR="00982AC4" w:rsidRPr="00982AC4" w:rsidRDefault="00982AC4" w:rsidP="0047610D">
            <w:pPr>
              <w:spacing w:before="100" w:beforeAutospacing="1" w:after="100" w:afterAutospacing="1" w:line="360" w:lineRule="auto"/>
              <w:jc w:val="both"/>
              <w:rPr>
                <w:sz w:val="20"/>
              </w:rPr>
            </w:pPr>
            <w:r w:rsidRPr="00982AC4">
              <w:rPr>
                <w:sz w:val="20"/>
              </w:rPr>
              <w:t>LOW</w:t>
            </w:r>
          </w:p>
        </w:tc>
        <w:tc>
          <w:tcPr>
            <w:tcW w:w="2394" w:type="dxa"/>
            <w:tcBorders>
              <w:top w:val="single" w:sz="4" w:space="0" w:color="auto"/>
            </w:tcBorders>
            <w:vAlign w:val="center"/>
          </w:tcPr>
          <w:p w14:paraId="60A9531E" w14:textId="77777777" w:rsidR="00982AC4" w:rsidRPr="00982AC4" w:rsidRDefault="00982AC4" w:rsidP="0047610D">
            <w:pPr>
              <w:spacing w:before="100" w:beforeAutospacing="1" w:after="100" w:afterAutospacing="1" w:line="360" w:lineRule="auto"/>
              <w:jc w:val="both"/>
              <w:rPr>
                <w:sz w:val="20"/>
              </w:rPr>
            </w:pPr>
            <w:r w:rsidRPr="00982AC4">
              <w:rPr>
                <w:sz w:val="20"/>
              </w:rPr>
              <w:t>13.8</w:t>
            </w:r>
          </w:p>
        </w:tc>
        <w:tc>
          <w:tcPr>
            <w:tcW w:w="2394" w:type="dxa"/>
            <w:tcBorders>
              <w:top w:val="single" w:sz="4" w:space="0" w:color="auto"/>
            </w:tcBorders>
            <w:vAlign w:val="center"/>
          </w:tcPr>
          <w:p w14:paraId="5AE68967" w14:textId="77777777" w:rsidR="00982AC4" w:rsidRPr="00982AC4" w:rsidRDefault="00982AC4" w:rsidP="0047610D">
            <w:pPr>
              <w:spacing w:before="100" w:beforeAutospacing="1" w:after="100" w:afterAutospacing="1" w:line="360" w:lineRule="auto"/>
              <w:jc w:val="both"/>
              <w:rPr>
                <w:sz w:val="20"/>
              </w:rPr>
            </w:pPr>
            <w:r w:rsidRPr="00982AC4">
              <w:rPr>
                <w:sz w:val="20"/>
              </w:rPr>
              <w:t>151.5</w:t>
            </w:r>
          </w:p>
        </w:tc>
        <w:tc>
          <w:tcPr>
            <w:tcW w:w="2394" w:type="dxa"/>
            <w:tcBorders>
              <w:top w:val="single" w:sz="4" w:space="0" w:color="auto"/>
            </w:tcBorders>
            <w:vAlign w:val="center"/>
          </w:tcPr>
          <w:p w14:paraId="5932221D" w14:textId="77777777" w:rsidR="00982AC4" w:rsidRPr="00982AC4" w:rsidRDefault="00982AC4" w:rsidP="0047610D">
            <w:pPr>
              <w:spacing w:before="100" w:beforeAutospacing="1" w:after="100" w:afterAutospacing="1" w:line="360" w:lineRule="auto"/>
              <w:jc w:val="both"/>
              <w:rPr>
                <w:sz w:val="20"/>
              </w:rPr>
            </w:pPr>
            <w:r w:rsidRPr="00982AC4">
              <w:rPr>
                <w:sz w:val="20"/>
              </w:rPr>
              <w:t>1.230</w:t>
            </w:r>
          </w:p>
        </w:tc>
      </w:tr>
      <w:tr w:rsidR="00982AC4" w:rsidRPr="00982AC4" w14:paraId="7CAF55C4" w14:textId="77777777" w:rsidTr="0047610D">
        <w:tc>
          <w:tcPr>
            <w:tcW w:w="2394" w:type="dxa"/>
            <w:vAlign w:val="center"/>
          </w:tcPr>
          <w:p w14:paraId="66CA15B8" w14:textId="77777777" w:rsidR="00982AC4" w:rsidRPr="00982AC4" w:rsidRDefault="00982AC4" w:rsidP="0047610D">
            <w:pPr>
              <w:spacing w:before="100" w:beforeAutospacing="1" w:after="100" w:afterAutospacing="1" w:line="360" w:lineRule="auto"/>
              <w:jc w:val="both"/>
              <w:rPr>
                <w:sz w:val="20"/>
              </w:rPr>
            </w:pPr>
            <w:r w:rsidRPr="00982AC4">
              <w:rPr>
                <w:sz w:val="20"/>
              </w:rPr>
              <w:t>HIGH</w:t>
            </w:r>
          </w:p>
        </w:tc>
        <w:tc>
          <w:tcPr>
            <w:tcW w:w="2394" w:type="dxa"/>
            <w:vAlign w:val="center"/>
          </w:tcPr>
          <w:p w14:paraId="71B018C5" w14:textId="77777777" w:rsidR="00982AC4" w:rsidRPr="00982AC4" w:rsidRDefault="00982AC4" w:rsidP="0047610D">
            <w:pPr>
              <w:spacing w:before="100" w:beforeAutospacing="1" w:after="100" w:afterAutospacing="1" w:line="360" w:lineRule="auto"/>
              <w:jc w:val="both"/>
              <w:rPr>
                <w:sz w:val="20"/>
              </w:rPr>
            </w:pPr>
            <w:r w:rsidRPr="00982AC4">
              <w:rPr>
                <w:sz w:val="20"/>
              </w:rPr>
              <w:t>63.4</w:t>
            </w:r>
          </w:p>
        </w:tc>
        <w:tc>
          <w:tcPr>
            <w:tcW w:w="2394" w:type="dxa"/>
            <w:vAlign w:val="center"/>
          </w:tcPr>
          <w:p w14:paraId="0BB3311C" w14:textId="77777777" w:rsidR="00982AC4" w:rsidRPr="00982AC4" w:rsidRDefault="00982AC4" w:rsidP="0047610D">
            <w:pPr>
              <w:spacing w:before="100" w:beforeAutospacing="1" w:after="100" w:afterAutospacing="1" w:line="360" w:lineRule="auto"/>
              <w:jc w:val="both"/>
              <w:rPr>
                <w:sz w:val="20"/>
              </w:rPr>
            </w:pPr>
            <w:r w:rsidRPr="00982AC4">
              <w:rPr>
                <w:sz w:val="20"/>
              </w:rPr>
              <w:t>4.9 and 970</w:t>
            </w:r>
          </w:p>
        </w:tc>
        <w:tc>
          <w:tcPr>
            <w:tcW w:w="2394" w:type="dxa"/>
            <w:vAlign w:val="center"/>
          </w:tcPr>
          <w:p w14:paraId="746FB63E" w14:textId="77777777" w:rsidR="00982AC4" w:rsidRPr="00982AC4" w:rsidRDefault="00982AC4" w:rsidP="0047610D">
            <w:pPr>
              <w:spacing w:before="100" w:beforeAutospacing="1" w:after="100" w:afterAutospacing="1" w:line="360" w:lineRule="auto"/>
              <w:jc w:val="both"/>
              <w:rPr>
                <w:sz w:val="20"/>
              </w:rPr>
            </w:pPr>
            <w:r w:rsidRPr="00982AC4">
              <w:rPr>
                <w:sz w:val="20"/>
              </w:rPr>
              <w:t>—</w:t>
            </w:r>
          </w:p>
        </w:tc>
      </w:tr>
    </w:tbl>
    <w:p w14:paraId="52D748F7" w14:textId="77777777" w:rsidR="00982AC4" w:rsidRPr="00982AC4" w:rsidRDefault="00982AC4" w:rsidP="00982AC4">
      <w:pPr>
        <w:pStyle w:val="Paragraph"/>
        <w:ind w:firstLine="0"/>
        <w:rPr>
          <w:sz w:val="18"/>
          <w:szCs w:val="18"/>
        </w:rPr>
      </w:pPr>
    </w:p>
    <w:p w14:paraId="60D0EB7A" w14:textId="0BDEDAE7" w:rsidR="00982AC4" w:rsidRPr="00982AC4" w:rsidRDefault="00982AC4" w:rsidP="00982AC4">
      <w:pPr>
        <w:pStyle w:val="Paragraph"/>
      </w:pPr>
      <w:r w:rsidRPr="00982AC4">
        <w:t>In the LOW mode of the ART-Piezo scaler, the relatively low acceleration indicates minimal mechanical stress, making it potentially suitable for delicate or precision-based dental procedures. The reported amplitude of 1.230 mm reflects a moderate level of movement, sufficient for light scaling tasks. However, the conversion of acceleration from 13.8 m/s² to 151.5 mm/s² appears inconsistent, as the accurate conversion should yield 13,800 mm/s², highlighting the need for revalidation of the recorded values.</w:t>
      </w:r>
    </w:p>
    <w:p w14:paraId="0044D228" w14:textId="49E69AEF" w:rsidR="00982AC4" w:rsidRDefault="00982AC4" w:rsidP="00982AC4">
      <w:pPr>
        <w:pStyle w:val="Paragraph"/>
      </w:pPr>
      <w:r w:rsidRPr="00982AC4">
        <w:t>In the HIGH mode, the primary acceleration recorded at 63.4 m/s² suggests a significantly more powerful operation, likely intended for more demanding clinical applications. Additional acceleration values, such as 4.9 m/s² and 970 mm/s², may indicate multi-axial vibration or measurements taken from different parts of the device. While amplitude data is not available for this mode, the substantial increase in acceleration implies that the scaler operates with greater intensity for more thorough debridement.</w:t>
      </w:r>
    </w:p>
    <w:p w14:paraId="03AD23CB" w14:textId="27D0858C" w:rsidR="00982AC4" w:rsidRPr="00982AC4" w:rsidRDefault="003C2A5C" w:rsidP="00982AC4">
      <w:pPr>
        <w:pStyle w:val="Paragraph"/>
        <w:spacing w:before="120" w:after="200"/>
        <w:ind w:firstLine="288"/>
        <w:jc w:val="center"/>
        <w:rPr>
          <w:sz w:val="18"/>
          <w:szCs w:val="18"/>
        </w:rPr>
      </w:pPr>
      <w:r>
        <w:rPr>
          <w:b/>
          <w:bCs/>
          <w:sz w:val="18"/>
          <w:szCs w:val="18"/>
        </w:rPr>
        <w:t xml:space="preserve">TABLE </w:t>
      </w:r>
      <w:r w:rsidR="00982AC4">
        <w:rPr>
          <w:b/>
          <w:bCs/>
          <w:sz w:val="18"/>
          <w:szCs w:val="18"/>
        </w:rPr>
        <w:t xml:space="preserve">4. </w:t>
      </w:r>
      <w:r w:rsidR="00982AC4">
        <w:rPr>
          <w:sz w:val="18"/>
          <w:szCs w:val="18"/>
        </w:rPr>
        <w:t>Comparative Summary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2329"/>
        <w:gridCol w:w="2330"/>
        <w:gridCol w:w="2350"/>
      </w:tblGrid>
      <w:tr w:rsidR="00982AC4" w:rsidRPr="009E260C" w14:paraId="789D97B7" w14:textId="77777777" w:rsidTr="0047610D">
        <w:tc>
          <w:tcPr>
            <w:tcW w:w="2394" w:type="dxa"/>
            <w:tcBorders>
              <w:top w:val="single" w:sz="4" w:space="0" w:color="auto"/>
              <w:bottom w:val="single" w:sz="4" w:space="0" w:color="auto"/>
            </w:tcBorders>
            <w:vAlign w:val="center"/>
          </w:tcPr>
          <w:p w14:paraId="17EEDAF7" w14:textId="77777777" w:rsidR="00982AC4" w:rsidRPr="00982AC4" w:rsidRDefault="00982AC4" w:rsidP="0047610D">
            <w:pPr>
              <w:spacing w:before="100" w:beforeAutospacing="1" w:after="100" w:afterAutospacing="1" w:line="360" w:lineRule="auto"/>
              <w:jc w:val="both"/>
              <w:rPr>
                <w:sz w:val="18"/>
                <w:szCs w:val="18"/>
              </w:rPr>
            </w:pPr>
            <w:r w:rsidRPr="00982AC4">
              <w:rPr>
                <w:b/>
                <w:bCs/>
                <w:sz w:val="18"/>
                <w:szCs w:val="18"/>
              </w:rPr>
              <w:t>Parameter</w:t>
            </w:r>
          </w:p>
        </w:tc>
        <w:tc>
          <w:tcPr>
            <w:tcW w:w="2394" w:type="dxa"/>
            <w:tcBorders>
              <w:top w:val="single" w:sz="4" w:space="0" w:color="auto"/>
              <w:bottom w:val="single" w:sz="4" w:space="0" w:color="auto"/>
            </w:tcBorders>
            <w:vAlign w:val="center"/>
          </w:tcPr>
          <w:p w14:paraId="4152EB74" w14:textId="77777777" w:rsidR="00982AC4" w:rsidRPr="00982AC4" w:rsidRDefault="00982AC4" w:rsidP="0047610D">
            <w:pPr>
              <w:spacing w:before="100" w:beforeAutospacing="1" w:after="100" w:afterAutospacing="1" w:line="360" w:lineRule="auto"/>
              <w:jc w:val="both"/>
              <w:rPr>
                <w:sz w:val="18"/>
                <w:szCs w:val="18"/>
              </w:rPr>
            </w:pPr>
            <w:r w:rsidRPr="00982AC4">
              <w:rPr>
                <w:b/>
                <w:bCs/>
                <w:sz w:val="18"/>
                <w:szCs w:val="18"/>
              </w:rPr>
              <w:t>LOW</w:t>
            </w:r>
          </w:p>
        </w:tc>
        <w:tc>
          <w:tcPr>
            <w:tcW w:w="2394" w:type="dxa"/>
            <w:tcBorders>
              <w:top w:val="single" w:sz="4" w:space="0" w:color="auto"/>
              <w:bottom w:val="single" w:sz="4" w:space="0" w:color="auto"/>
            </w:tcBorders>
            <w:vAlign w:val="center"/>
          </w:tcPr>
          <w:p w14:paraId="251FA40C" w14:textId="77777777" w:rsidR="00982AC4" w:rsidRPr="00982AC4" w:rsidRDefault="00982AC4" w:rsidP="0047610D">
            <w:pPr>
              <w:spacing w:before="100" w:beforeAutospacing="1" w:after="100" w:afterAutospacing="1" w:line="360" w:lineRule="auto"/>
              <w:jc w:val="both"/>
              <w:rPr>
                <w:sz w:val="18"/>
                <w:szCs w:val="18"/>
              </w:rPr>
            </w:pPr>
            <w:r w:rsidRPr="00982AC4">
              <w:rPr>
                <w:b/>
                <w:bCs/>
                <w:sz w:val="18"/>
                <w:szCs w:val="18"/>
              </w:rPr>
              <w:t>HIGH</w:t>
            </w:r>
          </w:p>
        </w:tc>
        <w:tc>
          <w:tcPr>
            <w:tcW w:w="2394" w:type="dxa"/>
            <w:tcBorders>
              <w:top w:val="single" w:sz="4" w:space="0" w:color="auto"/>
              <w:bottom w:val="single" w:sz="4" w:space="0" w:color="auto"/>
            </w:tcBorders>
            <w:vAlign w:val="center"/>
          </w:tcPr>
          <w:p w14:paraId="49E53135" w14:textId="77777777" w:rsidR="00982AC4" w:rsidRPr="00982AC4" w:rsidRDefault="00982AC4" w:rsidP="0047610D">
            <w:pPr>
              <w:spacing w:before="100" w:beforeAutospacing="1" w:after="100" w:afterAutospacing="1" w:line="360" w:lineRule="auto"/>
              <w:jc w:val="both"/>
              <w:rPr>
                <w:sz w:val="18"/>
                <w:szCs w:val="18"/>
              </w:rPr>
            </w:pPr>
            <w:r w:rsidRPr="00982AC4">
              <w:rPr>
                <w:b/>
                <w:bCs/>
                <w:sz w:val="18"/>
                <w:szCs w:val="18"/>
              </w:rPr>
              <w:t>Description</w:t>
            </w:r>
          </w:p>
        </w:tc>
      </w:tr>
      <w:tr w:rsidR="00982AC4" w:rsidRPr="009E260C" w14:paraId="549064E5" w14:textId="77777777" w:rsidTr="0047610D">
        <w:tc>
          <w:tcPr>
            <w:tcW w:w="2394" w:type="dxa"/>
            <w:tcBorders>
              <w:top w:val="single" w:sz="4" w:space="0" w:color="auto"/>
            </w:tcBorders>
            <w:vAlign w:val="center"/>
          </w:tcPr>
          <w:p w14:paraId="50D24309" w14:textId="77777777" w:rsidR="00982AC4" w:rsidRPr="00982AC4" w:rsidRDefault="00982AC4" w:rsidP="0047610D">
            <w:pPr>
              <w:spacing w:before="100" w:beforeAutospacing="1" w:after="100" w:afterAutospacing="1" w:line="360" w:lineRule="auto"/>
              <w:jc w:val="both"/>
              <w:rPr>
                <w:sz w:val="20"/>
              </w:rPr>
            </w:pPr>
            <w:r w:rsidRPr="00982AC4">
              <w:rPr>
                <w:sz w:val="20"/>
              </w:rPr>
              <w:t>Acceleration (m/s²)</w:t>
            </w:r>
          </w:p>
        </w:tc>
        <w:tc>
          <w:tcPr>
            <w:tcW w:w="2394" w:type="dxa"/>
            <w:tcBorders>
              <w:top w:val="single" w:sz="4" w:space="0" w:color="auto"/>
            </w:tcBorders>
            <w:vAlign w:val="center"/>
          </w:tcPr>
          <w:p w14:paraId="2D629E57" w14:textId="77777777" w:rsidR="00982AC4" w:rsidRPr="00982AC4" w:rsidRDefault="00982AC4" w:rsidP="0047610D">
            <w:pPr>
              <w:spacing w:before="100" w:beforeAutospacing="1" w:after="100" w:afterAutospacing="1" w:line="360" w:lineRule="auto"/>
              <w:jc w:val="both"/>
              <w:rPr>
                <w:sz w:val="20"/>
              </w:rPr>
            </w:pPr>
            <w:r w:rsidRPr="00982AC4">
              <w:rPr>
                <w:sz w:val="20"/>
              </w:rPr>
              <w:t>13.8</w:t>
            </w:r>
          </w:p>
        </w:tc>
        <w:tc>
          <w:tcPr>
            <w:tcW w:w="2394" w:type="dxa"/>
            <w:tcBorders>
              <w:top w:val="single" w:sz="4" w:space="0" w:color="auto"/>
            </w:tcBorders>
            <w:vAlign w:val="center"/>
          </w:tcPr>
          <w:p w14:paraId="3B6142ED" w14:textId="77777777" w:rsidR="00982AC4" w:rsidRPr="00982AC4" w:rsidRDefault="00982AC4" w:rsidP="0047610D">
            <w:pPr>
              <w:spacing w:before="100" w:beforeAutospacing="1" w:after="100" w:afterAutospacing="1" w:line="360" w:lineRule="auto"/>
              <w:jc w:val="both"/>
              <w:rPr>
                <w:sz w:val="20"/>
              </w:rPr>
            </w:pPr>
            <w:r w:rsidRPr="00982AC4">
              <w:rPr>
                <w:sz w:val="20"/>
              </w:rPr>
              <w:t>63.4</w:t>
            </w:r>
          </w:p>
        </w:tc>
        <w:tc>
          <w:tcPr>
            <w:tcW w:w="2394" w:type="dxa"/>
            <w:tcBorders>
              <w:top w:val="single" w:sz="4" w:space="0" w:color="auto"/>
            </w:tcBorders>
            <w:vAlign w:val="center"/>
          </w:tcPr>
          <w:p w14:paraId="1D515757" w14:textId="77777777" w:rsidR="00982AC4" w:rsidRPr="00982AC4" w:rsidRDefault="00982AC4" w:rsidP="0047610D">
            <w:pPr>
              <w:spacing w:before="100" w:beforeAutospacing="1" w:after="100" w:afterAutospacing="1" w:line="360" w:lineRule="auto"/>
              <w:jc w:val="both"/>
              <w:rPr>
                <w:sz w:val="20"/>
              </w:rPr>
            </w:pPr>
            <w:r w:rsidRPr="00982AC4">
              <w:rPr>
                <w:sz w:val="20"/>
              </w:rPr>
              <w:t>HIGH mode exhibits ~4.6× greater acceleration.</w:t>
            </w:r>
          </w:p>
        </w:tc>
      </w:tr>
      <w:tr w:rsidR="00982AC4" w:rsidRPr="009E260C" w14:paraId="37419D73" w14:textId="77777777" w:rsidTr="0047610D">
        <w:tc>
          <w:tcPr>
            <w:tcW w:w="2394" w:type="dxa"/>
            <w:vAlign w:val="center"/>
          </w:tcPr>
          <w:p w14:paraId="427B7930" w14:textId="77777777" w:rsidR="00982AC4" w:rsidRPr="00982AC4" w:rsidRDefault="00982AC4" w:rsidP="0047610D">
            <w:pPr>
              <w:spacing w:before="100" w:beforeAutospacing="1" w:after="100" w:afterAutospacing="1" w:line="360" w:lineRule="auto"/>
              <w:jc w:val="both"/>
              <w:rPr>
                <w:sz w:val="20"/>
              </w:rPr>
            </w:pPr>
            <w:r w:rsidRPr="00982AC4">
              <w:rPr>
                <w:sz w:val="20"/>
              </w:rPr>
              <w:t>Amplitude (mm)</w:t>
            </w:r>
          </w:p>
        </w:tc>
        <w:tc>
          <w:tcPr>
            <w:tcW w:w="2394" w:type="dxa"/>
            <w:vAlign w:val="center"/>
          </w:tcPr>
          <w:p w14:paraId="15E4F1AB" w14:textId="77777777" w:rsidR="00982AC4" w:rsidRPr="00982AC4" w:rsidRDefault="00982AC4" w:rsidP="0047610D">
            <w:pPr>
              <w:spacing w:before="100" w:beforeAutospacing="1" w:after="100" w:afterAutospacing="1" w:line="360" w:lineRule="auto"/>
              <w:jc w:val="both"/>
              <w:rPr>
                <w:sz w:val="20"/>
              </w:rPr>
            </w:pPr>
            <w:r w:rsidRPr="00982AC4">
              <w:rPr>
                <w:sz w:val="20"/>
              </w:rPr>
              <w:t>1.230</w:t>
            </w:r>
          </w:p>
        </w:tc>
        <w:tc>
          <w:tcPr>
            <w:tcW w:w="2394" w:type="dxa"/>
            <w:vAlign w:val="center"/>
          </w:tcPr>
          <w:p w14:paraId="0B17EEB0" w14:textId="77777777" w:rsidR="00982AC4" w:rsidRPr="00982AC4" w:rsidRDefault="00982AC4" w:rsidP="0047610D">
            <w:pPr>
              <w:spacing w:before="100" w:beforeAutospacing="1" w:after="100" w:afterAutospacing="1" w:line="360" w:lineRule="auto"/>
              <w:jc w:val="both"/>
              <w:rPr>
                <w:sz w:val="20"/>
              </w:rPr>
            </w:pPr>
            <w:r w:rsidRPr="00982AC4">
              <w:rPr>
                <w:sz w:val="20"/>
              </w:rPr>
              <w:t>—</w:t>
            </w:r>
          </w:p>
        </w:tc>
        <w:tc>
          <w:tcPr>
            <w:tcW w:w="2394" w:type="dxa"/>
            <w:vAlign w:val="center"/>
          </w:tcPr>
          <w:p w14:paraId="302C86F1" w14:textId="77777777" w:rsidR="00982AC4" w:rsidRPr="00982AC4" w:rsidRDefault="00982AC4" w:rsidP="0047610D">
            <w:pPr>
              <w:spacing w:before="100" w:beforeAutospacing="1" w:after="100" w:afterAutospacing="1" w:line="360" w:lineRule="auto"/>
              <w:jc w:val="both"/>
              <w:rPr>
                <w:sz w:val="20"/>
              </w:rPr>
            </w:pPr>
            <w:r w:rsidRPr="00982AC4">
              <w:rPr>
                <w:sz w:val="20"/>
              </w:rPr>
              <w:t>Amplitude possibly reduced in HIGH mode for control.</w:t>
            </w:r>
          </w:p>
        </w:tc>
      </w:tr>
      <w:tr w:rsidR="00982AC4" w:rsidRPr="009E260C" w14:paraId="7C7E3863" w14:textId="77777777" w:rsidTr="0047610D">
        <w:tc>
          <w:tcPr>
            <w:tcW w:w="2394" w:type="dxa"/>
            <w:vAlign w:val="center"/>
          </w:tcPr>
          <w:p w14:paraId="6B420CB5" w14:textId="77777777" w:rsidR="00982AC4" w:rsidRPr="00982AC4" w:rsidRDefault="00982AC4" w:rsidP="0047610D">
            <w:pPr>
              <w:spacing w:before="100" w:beforeAutospacing="1" w:after="100" w:afterAutospacing="1" w:line="360" w:lineRule="auto"/>
              <w:jc w:val="both"/>
              <w:rPr>
                <w:sz w:val="20"/>
              </w:rPr>
            </w:pPr>
            <w:r w:rsidRPr="00982AC4">
              <w:rPr>
                <w:sz w:val="20"/>
              </w:rPr>
              <w:t>Operational Stability</w:t>
            </w:r>
          </w:p>
        </w:tc>
        <w:tc>
          <w:tcPr>
            <w:tcW w:w="2394" w:type="dxa"/>
            <w:vAlign w:val="center"/>
          </w:tcPr>
          <w:p w14:paraId="5FEE63FA" w14:textId="77777777" w:rsidR="00982AC4" w:rsidRPr="00982AC4" w:rsidRDefault="00982AC4" w:rsidP="0047610D">
            <w:pPr>
              <w:spacing w:before="100" w:beforeAutospacing="1" w:after="100" w:afterAutospacing="1" w:line="360" w:lineRule="auto"/>
              <w:jc w:val="both"/>
              <w:rPr>
                <w:sz w:val="20"/>
              </w:rPr>
            </w:pPr>
            <w:r w:rsidRPr="00982AC4">
              <w:rPr>
                <w:sz w:val="20"/>
              </w:rPr>
              <w:t>More stable</w:t>
            </w:r>
          </w:p>
        </w:tc>
        <w:tc>
          <w:tcPr>
            <w:tcW w:w="2394" w:type="dxa"/>
            <w:vAlign w:val="center"/>
          </w:tcPr>
          <w:p w14:paraId="577E6122" w14:textId="77777777" w:rsidR="00982AC4" w:rsidRPr="00982AC4" w:rsidRDefault="00982AC4" w:rsidP="0047610D">
            <w:pPr>
              <w:spacing w:before="100" w:beforeAutospacing="1" w:after="100" w:afterAutospacing="1" w:line="360" w:lineRule="auto"/>
              <w:jc w:val="both"/>
              <w:rPr>
                <w:sz w:val="20"/>
              </w:rPr>
            </w:pPr>
            <w:r w:rsidRPr="00982AC4">
              <w:rPr>
                <w:sz w:val="20"/>
              </w:rPr>
              <w:t>Less stable</w:t>
            </w:r>
          </w:p>
        </w:tc>
        <w:tc>
          <w:tcPr>
            <w:tcW w:w="2394" w:type="dxa"/>
            <w:vAlign w:val="center"/>
          </w:tcPr>
          <w:p w14:paraId="26614419" w14:textId="77777777" w:rsidR="00982AC4" w:rsidRPr="00982AC4" w:rsidRDefault="00982AC4" w:rsidP="0047610D">
            <w:pPr>
              <w:spacing w:before="100" w:beforeAutospacing="1" w:after="100" w:afterAutospacing="1" w:line="360" w:lineRule="auto"/>
              <w:jc w:val="both"/>
              <w:rPr>
                <w:sz w:val="20"/>
              </w:rPr>
            </w:pPr>
            <w:r w:rsidRPr="00982AC4">
              <w:rPr>
                <w:sz w:val="20"/>
              </w:rPr>
              <w:t>HIGH mode may cause more vibration-related instability.</w:t>
            </w:r>
          </w:p>
        </w:tc>
      </w:tr>
    </w:tbl>
    <w:p w14:paraId="4024EC21" w14:textId="10A20497" w:rsidR="00155B67" w:rsidRPr="00075EA6" w:rsidRDefault="00982AC4" w:rsidP="00274622">
      <w:pPr>
        <w:pStyle w:val="Heading2"/>
      </w:pPr>
      <w:r>
        <w:t>EVALUATION AND IMPLICATIONS</w:t>
      </w:r>
    </w:p>
    <w:p w14:paraId="5F1A04D5" w14:textId="75A6E116" w:rsidR="00982AC4" w:rsidRPr="00982AC4" w:rsidRDefault="00982AC4" w:rsidP="00982AC4">
      <w:pPr>
        <w:pStyle w:val="Paragraph"/>
        <w:spacing w:before="240" w:after="240"/>
        <w:ind w:firstLine="288"/>
        <w:jc w:val="center"/>
        <w:rPr>
          <w:b/>
          <w:bCs/>
          <w:sz w:val="24"/>
          <w:szCs w:val="24"/>
        </w:rPr>
      </w:pPr>
      <w:r>
        <w:rPr>
          <w:b/>
          <w:bCs/>
          <w:sz w:val="24"/>
          <w:szCs w:val="24"/>
        </w:rPr>
        <w:t>Patient Safety and Comfort</w:t>
      </w:r>
    </w:p>
    <w:p w14:paraId="6383771E" w14:textId="474139B5" w:rsidR="00155B67" w:rsidRPr="00075EA6" w:rsidRDefault="00982AC4" w:rsidP="00982AC4">
      <w:pPr>
        <w:pStyle w:val="Paragraph"/>
      </w:pPr>
      <w:r w:rsidRPr="00982AC4">
        <w:t>The use of HIGH mode, which generates substantial acceleration, may pose risks such as patient discomfort or even soft tissue damage if not properly regulated. In contrast, LOW mode offers gentler vibrations, making it more appropriate for precision-oriented procedures that require minimal mechanical impact.</w:t>
      </w:r>
      <w:r w:rsidR="00155B67" w:rsidRPr="00075EA6">
        <w:t xml:space="preserve">  </w:t>
      </w:r>
    </w:p>
    <w:p w14:paraId="457D9E87" w14:textId="1CC06D61" w:rsidR="00616F3B" w:rsidRPr="00075EA6" w:rsidRDefault="00982AC4" w:rsidP="003A287B">
      <w:pPr>
        <w:pStyle w:val="Heading2"/>
      </w:pPr>
      <w:r>
        <w:t>Device Material and Durability</w:t>
      </w:r>
    </w:p>
    <w:p w14:paraId="7D1593AC" w14:textId="77777777" w:rsidR="00982AC4" w:rsidRDefault="00982AC4" w:rsidP="00616F3B">
      <w:pPr>
        <w:pStyle w:val="Paragraph"/>
      </w:pPr>
      <w:r w:rsidRPr="00982AC4">
        <w:t>Continuous exposure to high levels of vibration, such as 970 m/s², can result in material fatigue over time. To ensure the long-term durability of the device, it is crucial to select appropriate materials and apply adequate structural reinforcement during the design and manufacturing phases.</w:t>
      </w:r>
    </w:p>
    <w:p w14:paraId="78D0B921" w14:textId="6D52A737" w:rsidR="00982AC4" w:rsidRPr="00005DF3" w:rsidRDefault="00982AC4" w:rsidP="00982AC4">
      <w:pPr>
        <w:pStyle w:val="Paragraph"/>
        <w:spacing w:before="240" w:after="240"/>
        <w:ind w:firstLine="288"/>
        <w:jc w:val="center"/>
        <w:rPr>
          <w:b/>
          <w:bCs/>
          <w:sz w:val="24"/>
          <w:szCs w:val="24"/>
        </w:rPr>
      </w:pPr>
      <w:r w:rsidRPr="00005DF3">
        <w:rPr>
          <w:b/>
          <w:bCs/>
          <w:sz w:val="24"/>
          <w:szCs w:val="24"/>
        </w:rPr>
        <w:t>Clinical Application</w:t>
      </w:r>
    </w:p>
    <w:p w14:paraId="0A4CC323" w14:textId="40C62C45" w:rsidR="00982AC4" w:rsidRDefault="00982AC4" w:rsidP="00616F3B">
      <w:pPr>
        <w:pStyle w:val="Paragraph"/>
      </w:pPr>
      <w:r w:rsidRPr="00982AC4">
        <w:t>The distinct differences in acceleration between the two modes indicate the scaler's potential versatility in clinical practice. LOW mode is suitable for routine maintenance and conservative treatments, while HIGH mode may be employed for more aggressive debridement in cases requiring intensive cleaning.</w:t>
      </w:r>
    </w:p>
    <w:p w14:paraId="5701D998" w14:textId="77777777" w:rsidR="00D51B90" w:rsidRDefault="00D51B90" w:rsidP="00616F3B">
      <w:pPr>
        <w:pStyle w:val="Paragraph"/>
      </w:pPr>
    </w:p>
    <w:p w14:paraId="5A73B264" w14:textId="347627A7" w:rsidR="003E7C74" w:rsidRPr="00075EA6" w:rsidRDefault="00D51B90" w:rsidP="00D51B90">
      <w:pPr>
        <w:pStyle w:val="Paragraph"/>
      </w:pPr>
      <w:r w:rsidRPr="00D51B90">
        <w:lastRenderedPageBreak/>
        <w:t>Based on the findings, several recommendations are proposed to enhance the performance and safety of the ultrasonic scaler prototype. First, long-term testing under HIGH mode should be conducted to assess the structural stability of the device and ensure it can withstand continuous high-intensity operation without degradation. Second, the conversion of acceleration values from m/s² to mm/s² should be carefully revalidated to ensure consistency and accuracy across all measurements, as discrepancies were noted in the current data. Lastly, it is advisable to consider reducing the amplitude in HIGH mode to enhance patient safety by minimizing excessive vibration, while still preserving the device’s overall cleaning effectiveness.</w:t>
      </w:r>
    </w:p>
    <w:p w14:paraId="238F91B4" w14:textId="1F524B7F" w:rsidR="00D87E2A" w:rsidRDefault="00D87E2A" w:rsidP="00D87E2A">
      <w:pPr>
        <w:pStyle w:val="Heading1"/>
        <w:rPr>
          <w:b w:val="0"/>
          <w:caps w:val="0"/>
          <w:sz w:val="20"/>
        </w:rPr>
      </w:pPr>
      <w:r>
        <w:rPr>
          <w:rFonts w:asciiTheme="majorBidi" w:hAnsiTheme="majorBidi" w:cstheme="majorBidi"/>
        </w:rPr>
        <w:t>CONCLUSION</w:t>
      </w:r>
    </w:p>
    <w:p w14:paraId="55D56508" w14:textId="2D5A3408" w:rsidR="00D87E2A" w:rsidRPr="00D51B90" w:rsidRDefault="00D51B90" w:rsidP="00D51B90">
      <w:pPr>
        <w:pStyle w:val="Paragraph"/>
        <w:rPr>
          <w:rFonts w:asciiTheme="majorBidi" w:hAnsiTheme="majorBidi" w:cstheme="majorBidi"/>
        </w:rPr>
      </w:pPr>
      <w:r w:rsidRPr="00D51B90">
        <w:rPr>
          <w:rFonts w:asciiTheme="majorBidi" w:hAnsiTheme="majorBidi" w:cstheme="majorBidi"/>
        </w:rPr>
        <w:t>The vibration at the prototype scaler's tip is higher than the ART-Piezo scaler. This more significant vibration has an important implication: the more substantial the vibration at the scaler's tip is, the more effective the tool will be in removing calculus or tartar from the tooth surface. In other words, the greater the vibration produced by the scaler tip is, the more optimal its effectiveness will be.</w:t>
      </w:r>
      <w:r w:rsidR="00D87E2A">
        <w:rPr>
          <w:rFonts w:asciiTheme="majorBidi" w:hAnsiTheme="majorBidi" w:cstheme="majorBidi"/>
        </w:rPr>
        <w:t xml:space="preserve"> </w:t>
      </w:r>
    </w:p>
    <w:p w14:paraId="7691B80C" w14:textId="04D565FA" w:rsidR="00613B4D" w:rsidRPr="00075EA6" w:rsidRDefault="0016385D" w:rsidP="00613B4D">
      <w:pPr>
        <w:pStyle w:val="Heading1"/>
      </w:pPr>
      <w:r w:rsidRPr="00075EA6">
        <w:rPr>
          <w:rFonts w:asciiTheme="majorBidi" w:hAnsiTheme="majorBidi" w:cstheme="majorBidi"/>
        </w:rPr>
        <w:t>Acknowledgments</w:t>
      </w:r>
    </w:p>
    <w:p w14:paraId="21123FA1" w14:textId="718A621D" w:rsidR="00D51B90" w:rsidRDefault="00D51B90" w:rsidP="00D51B90">
      <w:pPr>
        <w:pStyle w:val="Paragraph"/>
        <w:rPr>
          <w:rFonts w:asciiTheme="majorBidi" w:hAnsiTheme="majorBidi" w:cstheme="majorBidi"/>
        </w:rPr>
      </w:pPr>
      <w:r w:rsidRPr="00D51B90">
        <w:rPr>
          <w:rFonts w:asciiTheme="majorBidi" w:hAnsiTheme="majorBidi" w:cstheme="majorBidi"/>
        </w:rPr>
        <w:t>This research was supported by funding from the Directorate of Research and Community Service. The authors gratefully acknowledge this support, which contributed significantly to the successful completion of this study.</w:t>
      </w:r>
    </w:p>
    <w:p w14:paraId="74D4F45E" w14:textId="5DA4FBE2" w:rsidR="00613B4D" w:rsidRPr="00D51B90" w:rsidRDefault="0016385D" w:rsidP="00D51B90">
      <w:pPr>
        <w:pStyle w:val="Heading1"/>
        <w:rPr>
          <w:b w:val="0"/>
          <w:caps w:val="0"/>
          <w:sz w:val="20"/>
        </w:rPr>
      </w:pPr>
      <w:r w:rsidRPr="00075EA6">
        <w:rPr>
          <w:rFonts w:asciiTheme="majorBidi" w:hAnsiTheme="majorBidi" w:cstheme="majorBidi"/>
        </w:rPr>
        <w:t>References</w:t>
      </w:r>
    </w:p>
    <w:p w14:paraId="13B42697" w14:textId="77777777" w:rsidR="00D51B90" w:rsidRDefault="00D51B90" w:rsidP="00D51B90">
      <w:pPr>
        <w:pStyle w:val="Reference"/>
      </w:pPr>
      <w:r>
        <w:t xml:space="preserve">S. Kumar, </w:t>
      </w:r>
      <w:proofErr w:type="spellStart"/>
      <w:r>
        <w:t>Evidance</w:t>
      </w:r>
      <w:proofErr w:type="spellEnd"/>
      <w:r>
        <w:t>-Based Update on Diagnosis and Management of Gingivitis and Periodontitis (Dental Clinics of North America, 2018).</w:t>
      </w:r>
    </w:p>
    <w:p w14:paraId="013923E9" w14:textId="77777777" w:rsidR="00D51B90" w:rsidRDefault="00D51B90" w:rsidP="00D51B90">
      <w:pPr>
        <w:pStyle w:val="Reference"/>
      </w:pPr>
      <w:r>
        <w:t xml:space="preserve">M. </w:t>
      </w:r>
      <w:proofErr w:type="spellStart"/>
      <w:r>
        <w:t>Rathee</w:t>
      </w:r>
      <w:proofErr w:type="spellEnd"/>
      <w:r>
        <w:t xml:space="preserve"> and P. Jain, Stat Pearls (</w:t>
      </w:r>
      <w:proofErr w:type="spellStart"/>
      <w:r>
        <w:t>StatPearls</w:t>
      </w:r>
      <w:proofErr w:type="spellEnd"/>
      <w:r>
        <w:t xml:space="preserve"> Publishing, Treasure Island, FL, 2022, updated 16 June 2022).</w:t>
      </w:r>
    </w:p>
    <w:p w14:paraId="082345D7" w14:textId="77777777" w:rsidR="00D51B90" w:rsidRPr="003C2A5C" w:rsidRDefault="00D51B90" w:rsidP="00D51B90">
      <w:pPr>
        <w:pStyle w:val="Reference"/>
        <w:rPr>
          <w:lang w:val="fi-FI"/>
        </w:rPr>
      </w:pPr>
      <w:r w:rsidRPr="003C2A5C">
        <w:rPr>
          <w:lang w:val="fi-FI"/>
        </w:rPr>
        <w:t>Badan Penelitian dan Pengembangan Kesehatan, Riset Kesehatan Dasar 2018 (Kementerian Kesehatan Republik Indonesia, 2018).</w:t>
      </w:r>
    </w:p>
    <w:p w14:paraId="4C3AF251" w14:textId="77777777" w:rsidR="00D51B90" w:rsidRDefault="00D51B90" w:rsidP="00D51B90">
      <w:pPr>
        <w:pStyle w:val="Reference"/>
      </w:pPr>
      <w:r>
        <w:t>K. Carranza, Carranza's Clinical Periodontology, 12th ed. (Elsevier, St. Louis, MO, 2015), ISBN: 9780323188241.</w:t>
      </w:r>
    </w:p>
    <w:p w14:paraId="0C6EEF06" w14:textId="77777777" w:rsidR="00D51B90" w:rsidRDefault="00D51B90" w:rsidP="00D51B90">
      <w:pPr>
        <w:pStyle w:val="Reference"/>
      </w:pPr>
      <w:r>
        <w:t>G. F. Cope, “Gingivitis: Symptoms, causes and treatment,” Dental Nursing J. 7(8), (2018).</w:t>
      </w:r>
    </w:p>
    <w:p w14:paraId="16D47008" w14:textId="77777777" w:rsidR="00D51B90" w:rsidRDefault="00D51B90" w:rsidP="00D51B90">
      <w:pPr>
        <w:pStyle w:val="Reference"/>
      </w:pPr>
      <w:r>
        <w:t xml:space="preserve">J. O. Kistler, V. Booth, D. J. Bradshaw, and W. G. Wade, “Bacterial Community Development in Experimental Gingivitis,” </w:t>
      </w:r>
      <w:proofErr w:type="spellStart"/>
      <w:r>
        <w:t>PLoS</w:t>
      </w:r>
      <w:proofErr w:type="spellEnd"/>
      <w:r>
        <w:t xml:space="preserve"> ONE 8(8), e71227 (2013).</w:t>
      </w:r>
    </w:p>
    <w:p w14:paraId="6EDA94E2" w14:textId="77777777" w:rsidR="00D51B90" w:rsidRDefault="00D51B90" w:rsidP="00D51B90">
      <w:pPr>
        <w:pStyle w:val="Reference"/>
      </w:pPr>
      <w:r>
        <w:t xml:space="preserve">M. Vyas and S. Vyas, “Assessment </w:t>
      </w:r>
      <w:proofErr w:type="gramStart"/>
      <w:r>
        <w:t>Of</w:t>
      </w:r>
      <w:proofErr w:type="gramEnd"/>
      <w:r>
        <w:t xml:space="preserve"> Tetracycline </w:t>
      </w:r>
      <w:proofErr w:type="gramStart"/>
      <w:r>
        <w:t>As</w:t>
      </w:r>
      <w:proofErr w:type="gramEnd"/>
      <w:r>
        <w:t xml:space="preserve"> </w:t>
      </w:r>
      <w:proofErr w:type="gramStart"/>
      <w:r>
        <w:t>An</w:t>
      </w:r>
      <w:proofErr w:type="gramEnd"/>
      <w:r>
        <w:t xml:space="preserve"> Adjunct </w:t>
      </w:r>
      <w:proofErr w:type="gramStart"/>
      <w:r>
        <w:t>To</w:t>
      </w:r>
      <w:proofErr w:type="gramEnd"/>
      <w:r>
        <w:t xml:space="preserve"> </w:t>
      </w:r>
      <w:proofErr w:type="spellStart"/>
      <w:r>
        <w:t>Scalling</w:t>
      </w:r>
      <w:proofErr w:type="spellEnd"/>
      <w:r>
        <w:t xml:space="preserve"> and Root </w:t>
      </w:r>
      <w:proofErr w:type="spellStart"/>
      <w:r>
        <w:t>Planing</w:t>
      </w:r>
      <w:proofErr w:type="spellEnd"/>
      <w:r>
        <w:t xml:space="preserve"> in Periodontitis Patients,” Int. J. Contemp. Med. Surg. </w:t>
      </w:r>
      <w:proofErr w:type="spellStart"/>
      <w:r>
        <w:t>Radiol</w:t>
      </w:r>
      <w:proofErr w:type="spellEnd"/>
      <w:r>
        <w:t>. 3(1), 126–128 (2018).</w:t>
      </w:r>
    </w:p>
    <w:p w14:paraId="528E81DC" w14:textId="77777777" w:rsidR="00D51B90" w:rsidRDefault="00D51B90" w:rsidP="00D51B90">
      <w:pPr>
        <w:pStyle w:val="Reference"/>
      </w:pPr>
      <w:r>
        <w:t xml:space="preserve">I. Andriani and F. A. </w:t>
      </w:r>
      <w:proofErr w:type="spellStart"/>
      <w:r>
        <w:t>Chairunnisa</w:t>
      </w:r>
      <w:proofErr w:type="spellEnd"/>
      <w:r>
        <w:t xml:space="preserve">, “Periodontitis </w:t>
      </w:r>
      <w:proofErr w:type="spellStart"/>
      <w:r>
        <w:t>Kronis</w:t>
      </w:r>
      <w:proofErr w:type="spellEnd"/>
      <w:r>
        <w:t xml:space="preserve"> dan </w:t>
      </w:r>
      <w:proofErr w:type="spellStart"/>
      <w:r>
        <w:t>Penatalaksaan</w:t>
      </w:r>
      <w:proofErr w:type="spellEnd"/>
      <w:r>
        <w:t xml:space="preserve"> Kasus </w:t>
      </w:r>
      <w:proofErr w:type="spellStart"/>
      <w:r>
        <w:t>dengan</w:t>
      </w:r>
      <w:proofErr w:type="spellEnd"/>
      <w:r>
        <w:t xml:space="preserve"> </w:t>
      </w:r>
      <w:proofErr w:type="spellStart"/>
      <w:r>
        <w:t>Kuretase</w:t>
      </w:r>
      <w:proofErr w:type="spellEnd"/>
      <w:r>
        <w:t xml:space="preserve">,” </w:t>
      </w:r>
      <w:proofErr w:type="spellStart"/>
      <w:r>
        <w:t>Insisiva</w:t>
      </w:r>
      <w:proofErr w:type="spellEnd"/>
      <w:r>
        <w:t xml:space="preserve"> Dental Journal 8(1), 25–28 (2019), published 23 May 2019.</w:t>
      </w:r>
    </w:p>
    <w:p w14:paraId="4018B428" w14:textId="77777777" w:rsidR="00D51B90" w:rsidRDefault="00D51B90" w:rsidP="00D51B90">
      <w:pPr>
        <w:pStyle w:val="Reference"/>
      </w:pPr>
      <w:r>
        <w:t>M. S. Zafar, “Comparing the effects of manual and ultrasonic instrumentation on root surface mechanical properties,” Eur. J. Dent. 10(4), 517–521 (2016). doi:10.4103/1305-7456.195162.</w:t>
      </w:r>
    </w:p>
    <w:p w14:paraId="4DE91CCB" w14:textId="6D9B44F1" w:rsidR="00326AE0" w:rsidRPr="003C2A5C" w:rsidRDefault="00D51B90" w:rsidP="00D51B90">
      <w:pPr>
        <w:pStyle w:val="Reference"/>
        <w:rPr>
          <w:lang w:val="fi-FI"/>
        </w:rPr>
      </w:pPr>
      <w:r w:rsidRPr="003C2A5C">
        <w:rPr>
          <w:lang w:val="fi-FI"/>
        </w:rPr>
        <w:t>F. Yuniawati, I. Andriani, H. Hartanti, G. H. Cahyo, and C. Lestari, “Edukasi Kesehatan Gigi dan Mulut pada Kegiatan Pengabdian Masyarakat Kelurahan Lubuk Minturun Kota Padang,” J. Kreativitas Pengabdian Kepada Masyarakat 6(8), 3159–3167 (2023).</w:t>
      </w:r>
    </w:p>
    <w:sectPr w:rsidR="00326AE0" w:rsidRPr="003C2A5C"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E7272"/>
    <w:multiLevelType w:val="hybridMultilevel"/>
    <w:tmpl w:val="AAE0F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726563341">
    <w:abstractNumId w:val="16"/>
  </w:num>
  <w:num w:numId="2" w16cid:durableId="1299609600">
    <w:abstractNumId w:val="3"/>
  </w:num>
  <w:num w:numId="3" w16cid:durableId="76683143">
    <w:abstractNumId w:val="13"/>
  </w:num>
  <w:num w:numId="4" w16cid:durableId="1548760323">
    <w:abstractNumId w:val="7"/>
  </w:num>
  <w:num w:numId="5" w16cid:durableId="1268999332">
    <w:abstractNumId w:val="12"/>
  </w:num>
  <w:num w:numId="6" w16cid:durableId="978193963">
    <w:abstractNumId w:val="4"/>
  </w:num>
  <w:num w:numId="7" w16cid:durableId="1951356775">
    <w:abstractNumId w:val="6"/>
  </w:num>
  <w:num w:numId="8" w16cid:durableId="1648244370">
    <w:abstractNumId w:val="1"/>
  </w:num>
  <w:num w:numId="9" w16cid:durableId="13698236">
    <w:abstractNumId w:val="15"/>
  </w:num>
  <w:num w:numId="10" w16cid:durableId="1521318584">
    <w:abstractNumId w:val="9"/>
  </w:num>
  <w:num w:numId="11" w16cid:durableId="1538349131">
    <w:abstractNumId w:val="14"/>
  </w:num>
  <w:num w:numId="12" w16cid:durableId="605843995">
    <w:abstractNumId w:val="11"/>
  </w:num>
  <w:num w:numId="13" w16cid:durableId="2058505357">
    <w:abstractNumId w:val="5"/>
  </w:num>
  <w:num w:numId="14" w16cid:durableId="847018968">
    <w:abstractNumId w:val="15"/>
  </w:num>
  <w:num w:numId="15" w16cid:durableId="271941148">
    <w:abstractNumId w:val="8"/>
  </w:num>
  <w:num w:numId="16" w16cid:durableId="546646144">
    <w:abstractNumId w:val="5"/>
  </w:num>
  <w:num w:numId="17" w16cid:durableId="1097553378">
    <w:abstractNumId w:val="5"/>
  </w:num>
  <w:num w:numId="18" w16cid:durableId="1266886946">
    <w:abstractNumId w:val="5"/>
  </w:num>
  <w:num w:numId="19" w16cid:durableId="1960212149">
    <w:abstractNumId w:val="5"/>
  </w:num>
  <w:num w:numId="20" w16cid:durableId="1929315320">
    <w:abstractNumId w:val="5"/>
  </w:num>
  <w:num w:numId="21" w16cid:durableId="1921793143">
    <w:abstractNumId w:val="5"/>
  </w:num>
  <w:num w:numId="22" w16cid:durableId="1216772801">
    <w:abstractNumId w:val="5"/>
  </w:num>
  <w:num w:numId="23" w16cid:durableId="480730624">
    <w:abstractNumId w:val="5"/>
  </w:num>
  <w:num w:numId="24" w16cid:durableId="581375467">
    <w:abstractNumId w:val="5"/>
  </w:num>
  <w:num w:numId="25" w16cid:durableId="55054946">
    <w:abstractNumId w:val="5"/>
  </w:num>
  <w:num w:numId="26" w16cid:durableId="215894183">
    <w:abstractNumId w:val="5"/>
  </w:num>
  <w:num w:numId="27" w16cid:durableId="329410122">
    <w:abstractNumId w:val="5"/>
  </w:num>
  <w:num w:numId="28" w16cid:durableId="2041054789">
    <w:abstractNumId w:val="5"/>
  </w:num>
  <w:num w:numId="29" w16cid:durableId="1759643229">
    <w:abstractNumId w:val="12"/>
  </w:num>
  <w:num w:numId="30" w16cid:durableId="152990026">
    <w:abstractNumId w:val="12"/>
  </w:num>
  <w:num w:numId="31" w16cid:durableId="1069964965">
    <w:abstractNumId w:val="12"/>
    <w:lvlOverride w:ilvl="0">
      <w:startOverride w:val="1"/>
    </w:lvlOverride>
  </w:num>
  <w:num w:numId="32" w16cid:durableId="239676591">
    <w:abstractNumId w:val="12"/>
  </w:num>
  <w:num w:numId="33" w16cid:durableId="722754805">
    <w:abstractNumId w:val="12"/>
    <w:lvlOverride w:ilvl="0">
      <w:startOverride w:val="1"/>
    </w:lvlOverride>
  </w:num>
  <w:num w:numId="34" w16cid:durableId="341248794">
    <w:abstractNumId w:val="12"/>
    <w:lvlOverride w:ilvl="0">
      <w:startOverride w:val="1"/>
    </w:lvlOverride>
  </w:num>
  <w:num w:numId="35" w16cid:durableId="316306781">
    <w:abstractNumId w:val="13"/>
    <w:lvlOverride w:ilvl="0">
      <w:startOverride w:val="1"/>
    </w:lvlOverride>
  </w:num>
  <w:num w:numId="36" w16cid:durableId="695540838">
    <w:abstractNumId w:val="13"/>
  </w:num>
  <w:num w:numId="37" w16cid:durableId="730923889">
    <w:abstractNumId w:val="13"/>
    <w:lvlOverride w:ilvl="0">
      <w:startOverride w:val="1"/>
    </w:lvlOverride>
  </w:num>
  <w:num w:numId="38" w16cid:durableId="1291667925">
    <w:abstractNumId w:val="13"/>
  </w:num>
  <w:num w:numId="39" w16cid:durableId="1607032922">
    <w:abstractNumId w:val="13"/>
    <w:lvlOverride w:ilvl="0">
      <w:startOverride w:val="1"/>
    </w:lvlOverride>
  </w:num>
  <w:num w:numId="40" w16cid:durableId="1974552580">
    <w:abstractNumId w:val="13"/>
    <w:lvlOverride w:ilvl="0">
      <w:startOverride w:val="1"/>
    </w:lvlOverride>
  </w:num>
  <w:num w:numId="41" w16cid:durableId="1590194527">
    <w:abstractNumId w:val="13"/>
    <w:lvlOverride w:ilvl="0">
      <w:startOverride w:val="1"/>
    </w:lvlOverride>
  </w:num>
  <w:num w:numId="42" w16cid:durableId="1645814476">
    <w:abstractNumId w:val="13"/>
  </w:num>
  <w:num w:numId="43" w16cid:durableId="2035107910">
    <w:abstractNumId w:val="13"/>
  </w:num>
  <w:num w:numId="44" w16cid:durableId="575558619">
    <w:abstractNumId w:val="2"/>
  </w:num>
  <w:num w:numId="45" w16cid:durableId="86389259">
    <w:abstractNumId w:val="0"/>
  </w:num>
  <w:num w:numId="46" w16cid:durableId="1211918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05DF3"/>
    <w:rsid w:val="00014140"/>
    <w:rsid w:val="00027428"/>
    <w:rsid w:val="00031EC9"/>
    <w:rsid w:val="00051D3F"/>
    <w:rsid w:val="00066FED"/>
    <w:rsid w:val="00075EA6"/>
    <w:rsid w:val="0007709F"/>
    <w:rsid w:val="00086F62"/>
    <w:rsid w:val="00090674"/>
    <w:rsid w:val="0009320B"/>
    <w:rsid w:val="00096AE0"/>
    <w:rsid w:val="000A48A9"/>
    <w:rsid w:val="000B1B74"/>
    <w:rsid w:val="000B3A2D"/>
    <w:rsid w:val="000B49C0"/>
    <w:rsid w:val="000C0942"/>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1B5B"/>
    <w:rsid w:val="00346A9D"/>
    <w:rsid w:val="0039376F"/>
    <w:rsid w:val="003A287B"/>
    <w:rsid w:val="003A5C85"/>
    <w:rsid w:val="003A61B1"/>
    <w:rsid w:val="003B0050"/>
    <w:rsid w:val="003C2A5C"/>
    <w:rsid w:val="003C398C"/>
    <w:rsid w:val="003D6312"/>
    <w:rsid w:val="003E7C74"/>
    <w:rsid w:val="003F31C6"/>
    <w:rsid w:val="0040225B"/>
    <w:rsid w:val="00402DA2"/>
    <w:rsid w:val="00425AC2"/>
    <w:rsid w:val="0044771F"/>
    <w:rsid w:val="004626D1"/>
    <w:rsid w:val="004B151D"/>
    <w:rsid w:val="004C7243"/>
    <w:rsid w:val="004E21DE"/>
    <w:rsid w:val="004E3C57"/>
    <w:rsid w:val="004E3CB2"/>
    <w:rsid w:val="00525813"/>
    <w:rsid w:val="0053513F"/>
    <w:rsid w:val="00574405"/>
    <w:rsid w:val="005854B0"/>
    <w:rsid w:val="005A0E21"/>
    <w:rsid w:val="005A17F9"/>
    <w:rsid w:val="005B3A34"/>
    <w:rsid w:val="005D19C9"/>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82AC4"/>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23386"/>
    <w:rsid w:val="00B500E5"/>
    <w:rsid w:val="00BA39BB"/>
    <w:rsid w:val="00BA3B3D"/>
    <w:rsid w:val="00BB7EEA"/>
    <w:rsid w:val="00BD1909"/>
    <w:rsid w:val="00BE5E16"/>
    <w:rsid w:val="00BE5FD1"/>
    <w:rsid w:val="00BF7E3E"/>
    <w:rsid w:val="00C06E05"/>
    <w:rsid w:val="00C14B14"/>
    <w:rsid w:val="00C17370"/>
    <w:rsid w:val="00C2054D"/>
    <w:rsid w:val="00C252EB"/>
    <w:rsid w:val="00C26EC0"/>
    <w:rsid w:val="00C56C77"/>
    <w:rsid w:val="00C84923"/>
    <w:rsid w:val="00CA7006"/>
    <w:rsid w:val="00CB7B3E"/>
    <w:rsid w:val="00CC739D"/>
    <w:rsid w:val="00D04468"/>
    <w:rsid w:val="00D36257"/>
    <w:rsid w:val="00D4687E"/>
    <w:rsid w:val="00D51B90"/>
    <w:rsid w:val="00D53A12"/>
    <w:rsid w:val="00D87E2A"/>
    <w:rsid w:val="00DB0C43"/>
    <w:rsid w:val="00DE3354"/>
    <w:rsid w:val="00DF7DCD"/>
    <w:rsid w:val="00E50B7D"/>
    <w:rsid w:val="00E904A1"/>
    <w:rsid w:val="00EB7D28"/>
    <w:rsid w:val="00EC0D0C"/>
    <w:rsid w:val="00ED4A2C"/>
    <w:rsid w:val="00ED70F4"/>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hrmnkrtksari@gmail.com" TargetMode="External"/><Relationship Id="rId4" Type="http://schemas.openxmlformats.org/officeDocument/2006/relationships/customXml" Target="../customXml/item4.xml"/><Relationship Id="rId9" Type="http://schemas.openxmlformats.org/officeDocument/2006/relationships/hyperlink" Target="mailto:laelia.dwi@umy.ac.i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TotalTime>
  <Pages>6</Pages>
  <Words>2341</Words>
  <Characters>13348</Characters>
  <Application>Microsoft Office Word</Application>
  <DocSecurity>0</DocSecurity>
  <Lines>111</Lines>
  <Paragraphs>31</Paragraphs>
  <ScaleCrop>false</ScaleCrop>
  <Company>PPI</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2025-11-22T09:03:00Z</dcterms:created>
  <dcterms:modified xsi:type="dcterms:W3CDTF">2025-11-22T09:03:00Z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5a2535e7-babe-4278-8bf5-af751002c25d</vt:lpwstr>
  </property>
</Properties>
</file>