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54CD48D8" w:rsidR="0016385D" w:rsidRPr="00AF0E35" w:rsidRDefault="00AF0E35" w:rsidP="00AF0E35">
      <w:pPr>
        <w:pStyle w:val="PaperTitle"/>
        <w:rPr>
          <w:bCs/>
        </w:rPr>
      </w:pPr>
      <w:r w:rsidRPr="00AF0E35">
        <w:rPr>
          <w:bCs/>
        </w:rPr>
        <w:t>Effectiveness of Edible Coating on the Color Resistance of Heat-Cured Acrylic Resin Plates Soaked in Arabica Coffee (</w:t>
      </w:r>
      <w:r w:rsidRPr="00AF0E35">
        <w:rPr>
          <w:bCs/>
          <w:i/>
          <w:iCs/>
        </w:rPr>
        <w:t xml:space="preserve">Coffea </w:t>
      </w:r>
      <w:r w:rsidR="003567A9">
        <w:rPr>
          <w:bCs/>
          <w:i/>
          <w:iCs/>
        </w:rPr>
        <w:t>a</w:t>
      </w:r>
      <w:r w:rsidRPr="00AF0E35">
        <w:rPr>
          <w:bCs/>
          <w:i/>
          <w:iCs/>
        </w:rPr>
        <w:t>rabica L</w:t>
      </w:r>
      <w:r w:rsidRPr="00AF0E35">
        <w:rPr>
          <w:bCs/>
        </w:rPr>
        <w:t>.)</w:t>
      </w:r>
    </w:p>
    <w:p w14:paraId="548D96A3" w14:textId="0D4E7172" w:rsidR="00C14B14" w:rsidRPr="00AF0E35" w:rsidRDefault="00AF0E35" w:rsidP="00AF0E35">
      <w:pPr>
        <w:pStyle w:val="AuthorName"/>
        <w:rPr>
          <w:lang w:val="en-GB"/>
        </w:rPr>
      </w:pPr>
      <w:r w:rsidRPr="00AF0E35">
        <w:t>Zaskia Alifia</w:t>
      </w:r>
      <w:r w:rsidRPr="00AF0E35">
        <w:rPr>
          <w:vertAlign w:val="superscript"/>
        </w:rPr>
        <w:t>1, a)</w:t>
      </w:r>
      <w:r w:rsidR="003567A9">
        <w:t xml:space="preserve">, </w:t>
      </w:r>
      <w:r w:rsidRPr="00AF0E35">
        <w:t xml:space="preserve">Ana </w:t>
      </w:r>
      <w:proofErr w:type="spellStart"/>
      <w:r w:rsidRPr="00AF0E35">
        <w:t>Hidayati</w:t>
      </w:r>
      <w:proofErr w:type="spellEnd"/>
      <w:r w:rsidRPr="00AF0E35">
        <w:t xml:space="preserve"> Mukaromah</w:t>
      </w:r>
      <w:r w:rsidRPr="00AF0E35">
        <w:rPr>
          <w:vertAlign w:val="superscript"/>
        </w:rPr>
        <w:t>2, b)</w:t>
      </w:r>
      <w:r w:rsidR="003567A9">
        <w:t xml:space="preserve"> and </w:t>
      </w:r>
      <w:r w:rsidRPr="003D152B">
        <w:t>Dika Agung Bakhtiar</w:t>
      </w:r>
      <w:r w:rsidRPr="003D152B">
        <w:rPr>
          <w:vertAlign w:val="superscript"/>
        </w:rPr>
        <w:t>3, c)</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36EA0ED0" w14:textId="77777777" w:rsidR="00AF0E35" w:rsidRPr="00AF0E35" w:rsidRDefault="00AF0E35" w:rsidP="00AF0E35">
      <w:pPr>
        <w:pStyle w:val="AuthorAffiliation"/>
        <w:rPr>
          <w:iCs/>
        </w:rPr>
      </w:pPr>
      <w:r w:rsidRPr="00AF0E35">
        <w:rPr>
          <w:iCs/>
          <w:vertAlign w:val="superscript"/>
        </w:rPr>
        <w:t>1</w:t>
      </w:r>
      <w:r w:rsidRPr="00AF0E35">
        <w:rPr>
          <w:iCs/>
        </w:rPr>
        <w:t>Undergraduate Student, Faculty of Dentistry, University of Muhammadiyah, Semarang, Indonesia.</w:t>
      </w:r>
    </w:p>
    <w:p w14:paraId="4C47067F" w14:textId="77777777" w:rsidR="00AF0E35" w:rsidRPr="00AF0E35" w:rsidRDefault="00AF0E35" w:rsidP="00AF0E35">
      <w:pPr>
        <w:pStyle w:val="AuthorAffiliation"/>
        <w:rPr>
          <w:iCs/>
        </w:rPr>
      </w:pPr>
      <w:r w:rsidRPr="00AF0E35">
        <w:rPr>
          <w:iCs/>
          <w:vertAlign w:val="superscript"/>
        </w:rPr>
        <w:t>2</w:t>
      </w:r>
      <w:r w:rsidRPr="00AF0E35">
        <w:rPr>
          <w:iCs/>
        </w:rPr>
        <w:t xml:space="preserve">Magister of Clinical </w:t>
      </w:r>
      <w:proofErr w:type="spellStart"/>
      <w:r w:rsidRPr="00AF0E35">
        <w:rPr>
          <w:iCs/>
        </w:rPr>
        <w:t>Tecnology</w:t>
      </w:r>
      <w:proofErr w:type="spellEnd"/>
      <w:r w:rsidRPr="00AF0E35">
        <w:rPr>
          <w:iCs/>
        </w:rPr>
        <w:t xml:space="preserve"> Sciences, University of Muhammadiyah, Semarang, Indonesia.</w:t>
      </w:r>
    </w:p>
    <w:p w14:paraId="5CFA9C09" w14:textId="737F41B9" w:rsidR="00AF0E35" w:rsidRPr="003567A9" w:rsidRDefault="00AF0E35" w:rsidP="00AF0E35">
      <w:pPr>
        <w:pStyle w:val="AuthorAffiliation"/>
      </w:pPr>
      <w:r w:rsidRPr="003567A9">
        <w:rPr>
          <w:vertAlign w:val="superscript"/>
        </w:rPr>
        <w:t>3</w:t>
      </w:r>
      <w:r w:rsidRPr="003567A9">
        <w:t>Department of Prosthodontic, University of Muhammadiyah, Semarang, Indonesia.</w:t>
      </w:r>
      <w:r w:rsidR="0016385D" w:rsidRPr="003567A9">
        <w:t xml:space="preserve"> </w:t>
      </w:r>
    </w:p>
    <w:p w14:paraId="771D6B6C" w14:textId="6EA9E62E" w:rsidR="00C14B14" w:rsidRPr="00075EA6" w:rsidRDefault="00C14B14" w:rsidP="00C14B14">
      <w:pPr>
        <w:pStyle w:val="AuthorAffiliation"/>
      </w:pPr>
    </w:p>
    <w:p w14:paraId="5E05E235" w14:textId="106A92C2" w:rsidR="003A5C85" w:rsidRDefault="00C14B14" w:rsidP="00AF0E35">
      <w:pPr>
        <w:pStyle w:val="AuthorAffiliation"/>
        <w:rPr>
          <w:iCs/>
        </w:rPr>
      </w:pPr>
      <w:r w:rsidRPr="00075EA6">
        <w:br/>
      </w:r>
      <w:r w:rsidRPr="00376FF7">
        <w:t>Author Emails</w:t>
      </w:r>
      <w:r w:rsidR="003A287B" w:rsidRPr="00376FF7">
        <w:t xml:space="preserve"> </w:t>
      </w:r>
      <w:r w:rsidR="00ED4A2C" w:rsidRPr="00376FF7">
        <w:br/>
      </w:r>
      <w:r w:rsidR="00003D7C" w:rsidRPr="00376FF7">
        <w:rPr>
          <w:szCs w:val="28"/>
          <w:vertAlign w:val="superscript"/>
        </w:rPr>
        <w:t>a)</w:t>
      </w:r>
      <w:r w:rsidR="00003D7C" w:rsidRPr="00376FF7">
        <w:t xml:space="preserve"> Corresponding</w:t>
      </w:r>
      <w:r w:rsidR="004E3CB2" w:rsidRPr="00376FF7">
        <w:t xml:space="preserve"> author: </w:t>
      </w:r>
      <w:r w:rsidR="00AF0E35" w:rsidRPr="00376FF7">
        <w:rPr>
          <w:iCs/>
        </w:rPr>
        <w:t>zaskia.zaskia7@gmail.com</w:t>
      </w:r>
      <w:r w:rsidR="001D469C" w:rsidRPr="00376FF7">
        <w:br/>
      </w:r>
      <w:r w:rsidR="003A5C85" w:rsidRPr="00376FF7">
        <w:rPr>
          <w:szCs w:val="28"/>
          <w:vertAlign w:val="superscript"/>
        </w:rPr>
        <w:t>b</w:t>
      </w:r>
      <w:r w:rsidR="003A5C85" w:rsidRPr="003D152B">
        <w:rPr>
          <w:szCs w:val="28"/>
          <w:vertAlign w:val="superscript"/>
        </w:rPr>
        <w:t>)</w:t>
      </w:r>
      <w:hyperlink r:id="rId9" w:history="1">
        <w:r w:rsidR="003D152B" w:rsidRPr="003D152B">
          <w:rPr>
            <w:rStyle w:val="Hyperlink"/>
            <w:color w:val="auto"/>
            <w:u w:val="none"/>
          </w:rPr>
          <w:t>ana_hidayah@unimus.ac.id</w:t>
        </w:r>
      </w:hyperlink>
    </w:p>
    <w:p w14:paraId="2F06934D" w14:textId="37DDCF22" w:rsidR="003D152B" w:rsidRDefault="003D152B" w:rsidP="00AF0E35">
      <w:pPr>
        <w:pStyle w:val="AuthorAffiliation"/>
        <w:rPr>
          <w:iCs/>
        </w:rPr>
      </w:pPr>
      <w:r>
        <w:rPr>
          <w:szCs w:val="28"/>
          <w:vertAlign w:val="superscript"/>
        </w:rPr>
        <w:t>c)</w:t>
      </w:r>
      <w:r w:rsidRPr="003D152B">
        <w:rPr>
          <w:iCs/>
        </w:rPr>
        <w:t>drg.dika@unimus.ac.id</w:t>
      </w:r>
    </w:p>
    <w:p w14:paraId="343371A3" w14:textId="77777777" w:rsidR="003D152B" w:rsidRPr="00075EA6" w:rsidRDefault="003D152B" w:rsidP="00AF0E35">
      <w:pPr>
        <w:pStyle w:val="AuthorAffiliation"/>
      </w:pPr>
    </w:p>
    <w:p w14:paraId="68511DCF" w14:textId="00A9286A" w:rsidR="00AF0E35" w:rsidRDefault="0016385D" w:rsidP="00C14B14">
      <w:pPr>
        <w:pStyle w:val="Abstract"/>
      </w:pPr>
      <w:r w:rsidRPr="00075EA6">
        <w:rPr>
          <w:b/>
          <w:bCs/>
        </w:rPr>
        <w:t>Abstract.</w:t>
      </w:r>
      <w:r w:rsidRPr="00075EA6">
        <w:t xml:space="preserve"> </w:t>
      </w:r>
      <w:r w:rsidR="00AF0E35" w:rsidRPr="00AF0E35">
        <w:t>Discoloration of acrylic resin plates can be caused by stains arising from the absorption of exogenous sources of dyes such as coffee. Coffee contains polyphenol compounds that can interfere with the hydrolysis reaction, resulting in porosity on the surface of the acrylic resin plate. One solution to prevent liquid absorption on the surface of the acrylic resin plate is to apply an edible coating that functions as a barrier to mass transfer of substances.</w:t>
      </w:r>
      <w:r w:rsidR="00AF0E35" w:rsidRPr="00AF0E35">
        <w:rPr>
          <w:b/>
          <w:bCs/>
        </w:rPr>
        <w:t xml:space="preserve"> </w:t>
      </w:r>
      <w:r w:rsidR="00AF0E35" w:rsidRPr="00AF0E35">
        <w:t>This study aims to determine the effect of the use of edible coating with varying concentrations in maintaining the color of heat-cured acrylic resin plates soaked in 8% Arabica coffee.</w:t>
      </w:r>
      <w:r w:rsidR="00AF0E35" w:rsidRPr="00AF0E35">
        <w:rPr>
          <w:b/>
          <w:bCs/>
        </w:rPr>
        <w:t xml:space="preserve"> </w:t>
      </w:r>
      <w:r w:rsidR="00AF0E35" w:rsidRPr="00AF0E35">
        <w:t>This study used a true experimental laboratory method with a pre-</w:t>
      </w:r>
      <w:proofErr w:type="spellStart"/>
      <w:r w:rsidR="00AF0E35" w:rsidRPr="00AF0E35">
        <w:t>post test</w:t>
      </w:r>
      <w:proofErr w:type="spellEnd"/>
      <w:r w:rsidR="00AF0E35" w:rsidRPr="00AF0E35">
        <w:t xml:space="preserve"> group design containing 24 sample of 20x20x2 mm acrylic plate. Color changes were observed using a UV-PC ISR-2200 spectrophotometer with the results of absorbance values. The results of the descriptive analysis showed that the group with a 2% edible coating concentration was effective. The results of the one-way ANOVA test had a p-value of 0.658 (p &lt; 0.05), means there was no significant difference between the 2%, 4%, 6% edible coating and the uncoated edible coating on the color change of the acrylic resin plate soaked in Arabica coffee</w:t>
      </w:r>
      <w:r w:rsidR="00AF0E35" w:rsidRPr="00AF0E35">
        <w:rPr>
          <w:b/>
          <w:bCs/>
        </w:rPr>
        <w:t>.</w:t>
      </w:r>
      <w:r w:rsidR="00AF0E35" w:rsidRPr="00AF0E35">
        <w:t xml:space="preserve"> </w:t>
      </w:r>
      <w:r w:rsidR="00AF0E35" w:rsidRPr="00AF0E35">
        <w:rPr>
          <w:b/>
          <w:bCs/>
        </w:rPr>
        <w:t xml:space="preserve"> </w:t>
      </w:r>
      <w:r w:rsidR="00AF0E35" w:rsidRPr="00AF0E35">
        <w:t xml:space="preserve">Descriptive analysis showed the effect of edible coating concentration of 2% more effective to maintain the color fastness of heat-cured acrylic resin plates. Statistical analysis showed no significant difference between any </w:t>
      </w:r>
      <w:proofErr w:type="spellStart"/>
      <w:r w:rsidR="00AF0E35" w:rsidRPr="00AF0E35">
        <w:t>consentrations</w:t>
      </w:r>
      <w:proofErr w:type="spellEnd"/>
      <w:r w:rsidR="00AF0E35" w:rsidRPr="00AF0E35">
        <w:t xml:space="preserve"> of edible coating.</w:t>
      </w:r>
    </w:p>
    <w:p w14:paraId="22C3F2A8" w14:textId="72A9EBFA" w:rsidR="0016385D" w:rsidRPr="00AF0E35" w:rsidRDefault="00AF0E35" w:rsidP="00AF0E35">
      <w:pPr>
        <w:pStyle w:val="Abstract"/>
        <w:rPr>
          <w:i/>
        </w:rPr>
      </w:pPr>
      <w:r>
        <w:t xml:space="preserve">Keywords: </w:t>
      </w:r>
      <w:r w:rsidRPr="00AF0E35">
        <w:t>Acrylic Resin, Color Change, Arabica Coffee, Edible Coating</w:t>
      </w:r>
    </w:p>
    <w:p w14:paraId="5240E3FB" w14:textId="6C28AC0C" w:rsidR="003A287B" w:rsidRPr="00075EA6" w:rsidRDefault="00AF0E35" w:rsidP="00003D7C">
      <w:pPr>
        <w:pStyle w:val="Heading1"/>
        <w:rPr>
          <w:b w:val="0"/>
          <w:caps w:val="0"/>
          <w:sz w:val="20"/>
        </w:rPr>
      </w:pPr>
      <w:r>
        <w:t>introduction</w:t>
      </w:r>
    </w:p>
    <w:p w14:paraId="1F2EFDDE" w14:textId="34BD8264" w:rsidR="00AF0E35" w:rsidRPr="00AF0E35" w:rsidRDefault="00AF0E35" w:rsidP="00A62445">
      <w:pPr>
        <w:pStyle w:val="Paragraph"/>
        <w:rPr>
          <w:vertAlign w:val="superscript"/>
        </w:rPr>
      </w:pPr>
      <w:r w:rsidRPr="00AF0E35">
        <w:t>The use of denture bases made from polymethyl methacrylate (PMMA) resin with microbead-shaped powder, and liquids containing methyl methacrylate monomers, inhibitors, and tri-methacrylate has been around since the mid-1940s. Acrylic resins are classified into three types: self-cured acrylic resin, heat-cured acrylic resin, and light-cured acrylic resin. The type of resin that is the main choice for making denture bases is heat-cured acrylic resin which is activated through thermal polymerization using a microwave oven or water bath.</w:t>
      </w:r>
      <w:r w:rsidRPr="00AF0E35">
        <w:rPr>
          <w:vertAlign w:val="superscript"/>
        </w:rPr>
        <w:t>1</w:t>
      </w:r>
      <w:r w:rsidRPr="00AF0E35">
        <w:t xml:space="preserve"> The use of heat-cured acrylic resin as a denture base is a popular choice due to its efficient manufacturing process, good aesthetics, color similarity to oral tissue, and affordability. Some disadvantages of heat-cured acrylic resin include low flexibility, which can lead to denture breakage when dropped, and its porosity, which facilitates the absorption of oral fluids into the acrylic resin plate.</w:t>
      </w:r>
      <w:r w:rsidRPr="00AF0E35">
        <w:rPr>
          <w:vertAlign w:val="superscript"/>
        </w:rPr>
        <w:t>2</w:t>
      </w:r>
      <w:r w:rsidRPr="00AF0E35">
        <w:t xml:space="preserve"> Changes in the color of acrylic resin plates can be caused by two factors, namely intrinsic factors from changes </w:t>
      </w:r>
      <w:r w:rsidRPr="00AF0E35">
        <w:lastRenderedPageBreak/>
        <w:t>in chemical reactions in the material due to imperfect polymerization procedures, and extrinsic factors, namely the presence of stains that arise due to absorption from exogenous sources of coloring agents such as soft drinks, mouthwash, tea, nicotine and coffee.</w:t>
      </w:r>
      <w:r w:rsidRPr="00AF0E35">
        <w:rPr>
          <w:vertAlign w:val="superscript"/>
        </w:rPr>
        <w:t>3</w:t>
      </w:r>
    </w:p>
    <w:p w14:paraId="3F6481BA" w14:textId="654001EE" w:rsidR="00AF0E35" w:rsidRPr="00AF0E35" w:rsidRDefault="00AF0E35" w:rsidP="00A62445">
      <w:pPr>
        <w:pStyle w:val="Paragraph"/>
        <w:rPr>
          <w:vertAlign w:val="superscript"/>
        </w:rPr>
      </w:pPr>
      <w:r w:rsidRPr="00AF0E35">
        <w:t>Coffee contains various compounds, including tannins, which are polyphenols. The acidic nature of tannins can interfere with the hydrolysis reaction between phenol compounds and polymethyl methacrylate esters in heat-cured acrylic resin plates, resulting in porosity or cavities on the surface of the acrylic resin plate. This porosity can easily cause the consumed coffee solution to be absorbed by the cavities in the acrylic resin plate and cause color changes.</w:t>
      </w:r>
      <w:r w:rsidRPr="00AF0E35">
        <w:rPr>
          <w:vertAlign w:val="superscript"/>
        </w:rPr>
        <w:t>4</w:t>
      </w:r>
    </w:p>
    <w:p w14:paraId="3A1727C0" w14:textId="6396EBDD" w:rsidR="00AF0E35" w:rsidRPr="00AF0E35" w:rsidRDefault="00AF0E35" w:rsidP="00A62445">
      <w:pPr>
        <w:pStyle w:val="Paragraph"/>
      </w:pPr>
      <w:r w:rsidRPr="00AF0E35">
        <w:t>One solution to prevent liquid absorption on the surface of acrylic resin plates is to apply an edible coating made from chitosan, which is resistant to acidic pH solutions. Chitosan is a hydrocolloid edible coating product produced by the deacetylation process which produces natural polysaccharides.</w:t>
      </w:r>
      <w:proofErr w:type="gramStart"/>
      <w:r w:rsidRPr="00AF0E35">
        <w:rPr>
          <w:vertAlign w:val="superscript"/>
        </w:rPr>
        <w:t xml:space="preserve">5 </w:t>
      </w:r>
      <w:r w:rsidRPr="00AF0E35">
        <w:t xml:space="preserve"> Edible</w:t>
      </w:r>
      <w:proofErr w:type="gramEnd"/>
      <w:r w:rsidRPr="00AF0E35">
        <w:t xml:space="preserve"> coating is safe for consumption and functions as a barrier to the mass transfer of substances.</w:t>
      </w:r>
      <w:r w:rsidRPr="00AF0E35">
        <w:rPr>
          <w:vertAlign w:val="superscript"/>
        </w:rPr>
        <w:t>6</w:t>
      </w:r>
      <w:r w:rsidRPr="00AF0E35">
        <w:t xml:space="preserve"> </w:t>
      </w:r>
    </w:p>
    <w:p w14:paraId="1DCC8354" w14:textId="41DC9DEA" w:rsidR="002941DA" w:rsidRDefault="00AF0E35" w:rsidP="00A62445">
      <w:pPr>
        <w:pStyle w:val="Paragraph"/>
      </w:pPr>
      <w:r w:rsidRPr="00AF0E35">
        <w:t>The best concentration for using chitosan as an edible coating is 2%. Edible coating is a thin material that coats food products and is safe for consumption, with the main procedure being to extend the shelf life of food products.</w:t>
      </w:r>
      <w:r w:rsidRPr="00AF0E35">
        <w:rPr>
          <w:vertAlign w:val="superscript"/>
        </w:rPr>
        <w:t xml:space="preserve">7 </w:t>
      </w:r>
      <w:r w:rsidRPr="00AF0E35">
        <w:t>Based on the above background, it is necessary to test the effectiveness of edible coating using concentrations of 2%, 4% and 6% with Arabica coffee soaking water for 7 days on the color resistance of heat-cured acrylic resin plates.</w:t>
      </w:r>
      <w:r w:rsidR="003E7C74" w:rsidRPr="00075EA6">
        <w:t xml:space="preserve"> </w:t>
      </w:r>
      <w:r w:rsidR="00946C27">
        <w:t xml:space="preserve"> </w:t>
      </w:r>
    </w:p>
    <w:p w14:paraId="49D6FBD1" w14:textId="6253D312" w:rsidR="00725861" w:rsidRDefault="00A62445" w:rsidP="00725861">
      <w:pPr>
        <w:pStyle w:val="Heading2"/>
      </w:pPr>
      <w:r>
        <w:t>MATERIALS AND METHODS</w:t>
      </w:r>
    </w:p>
    <w:p w14:paraId="39DF97CD" w14:textId="495AE232" w:rsidR="00A62445" w:rsidRPr="00A62445" w:rsidRDefault="00A62445" w:rsidP="003567A9">
      <w:pPr>
        <w:pStyle w:val="Paragraph"/>
      </w:pPr>
      <w:r w:rsidRPr="00A62445">
        <w:t xml:space="preserve">This study used a true laboratory experiment. In a true experimental design, the research design used in this study was a pretest-posttest group design by comparing the color fastness of heat-cured acrylic resin plates coated with edible coating at concentrations of 2%, 4%, and 6% and heat-cured acrylic resin plates without edible coating before and after being soaked in an 8% Arabica coffee solution for 7 days. </w:t>
      </w:r>
    </w:p>
    <w:p w14:paraId="24338189" w14:textId="77777777" w:rsidR="00A62445" w:rsidRDefault="00A62445" w:rsidP="003567A9">
      <w:pPr>
        <w:pStyle w:val="Paragraph"/>
        <w:spacing w:before="120" w:after="200"/>
        <w:ind w:firstLine="288"/>
      </w:pPr>
      <w:r w:rsidRPr="00A62445">
        <w:t xml:space="preserve">Researchers required 24 heat-cured acrylic resin plates, divided into four groups, each with six repetitions. Three treatment groups were selected: group 1 with a 2% edible coating, group 2 with a 4% edible coating, and group 3 with a 6% edible coating. The control group consisted of heat-cured acrylic resin plates without edible coating. All four groups were immersed in an 8% Arabica coffee solution for 7 </w:t>
      </w:r>
      <w:proofErr w:type="spellStart"/>
      <w:proofErr w:type="gramStart"/>
      <w:r w:rsidRPr="00A62445">
        <w:t>days.The</w:t>
      </w:r>
      <w:proofErr w:type="spellEnd"/>
      <w:proofErr w:type="gramEnd"/>
      <w:r w:rsidRPr="00A62445">
        <w:t xml:space="preserve"> type of data in this study is primary data taken in measurements using a UV-PC ISR-2200 spectrophotometer to obtain absorbance values calculated </w:t>
      </w:r>
    </w:p>
    <w:p w14:paraId="51CF6F69" w14:textId="5F469DF2" w:rsidR="00A62445" w:rsidRPr="00A62445" w:rsidRDefault="005C51B0" w:rsidP="005C51B0">
      <w:pPr>
        <w:pStyle w:val="Paragraph"/>
        <w:spacing w:before="120" w:after="200"/>
        <w:ind w:firstLine="288"/>
        <w:jc w:val="center"/>
      </w:pPr>
      <w:r>
        <w:rPr>
          <w:sz w:val="32"/>
          <w:szCs w:val="24"/>
        </w:rPr>
        <w:t xml:space="preserve">                                        </w:t>
      </w:r>
      <w:r w:rsidRPr="005C51B0">
        <w:rPr>
          <w:position w:val="-20"/>
          <w:sz w:val="32"/>
          <w:szCs w:val="24"/>
        </w:rPr>
        <w:object w:dxaOrig="1880" w:dyaOrig="600" w14:anchorId="11E02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9.95pt" o:ole="">
            <v:imagedata r:id="rId10" o:title=""/>
          </v:shape>
          <o:OLEObject Type="Embed" ProgID="Equation.3" ShapeID="_x0000_i1025" DrawAspect="Content" ObjectID="_1825327149" r:id="rId11"/>
        </w:object>
      </w:r>
      <w:r>
        <w:rPr>
          <w:sz w:val="32"/>
          <w:szCs w:val="24"/>
        </w:rPr>
        <w:t xml:space="preserve">                                              </w:t>
      </w:r>
      <w:r w:rsidRPr="005C51B0">
        <w:rPr>
          <w:szCs w:val="16"/>
        </w:rPr>
        <w:t>(13)</w:t>
      </w:r>
    </w:p>
    <w:p w14:paraId="1DF1E41E" w14:textId="77777777" w:rsidR="00A62445" w:rsidRPr="00A62445" w:rsidRDefault="00A62445" w:rsidP="00A62445">
      <w:pPr>
        <w:pStyle w:val="Paragraph"/>
      </w:pPr>
    </w:p>
    <w:p w14:paraId="31E9A3D7" w14:textId="0A628B56" w:rsidR="00A62445" w:rsidRPr="00A62445" w:rsidRDefault="00A62445" w:rsidP="00A62445">
      <w:pPr>
        <w:pStyle w:val="Paragraph"/>
      </w:pPr>
      <w:r w:rsidRPr="00A62445">
        <w:t xml:space="preserve">2% edible coating was prepared by dissolving 2 grams of chitosan in 30 mL of 3% acetic acid in a beaker until dissolved and transferring the mixture to a volumetric flask containing 70 mL of distilled </w:t>
      </w:r>
      <w:proofErr w:type="spellStart"/>
      <w:r w:rsidRPr="00A62445">
        <w:t>water.The</w:t>
      </w:r>
      <w:proofErr w:type="spellEnd"/>
      <w:r w:rsidRPr="00A62445">
        <w:t xml:space="preserve"> liquid was then homogenized using a magnetic stirrer at 50°C on a hot plate for 60 minutes until completely </w:t>
      </w:r>
      <w:proofErr w:type="spellStart"/>
      <w:r w:rsidRPr="00A62445">
        <w:t>dissolved.Steps</w:t>
      </w:r>
      <w:proofErr w:type="spellEnd"/>
      <w:r w:rsidRPr="00A62445">
        <w:t xml:space="preserve"> were repeated, producing edible coatings at 4% concentrations (4 grams of chitosan) and 6% concentrations (6 grams of chitosan).</w:t>
      </w:r>
    </w:p>
    <w:p w14:paraId="6B3F4B57" w14:textId="77777777" w:rsidR="00A62445" w:rsidRPr="00A62445" w:rsidRDefault="00A62445" w:rsidP="00A62445">
      <w:pPr>
        <w:pStyle w:val="Paragraph"/>
      </w:pPr>
      <w:r w:rsidRPr="00A62445">
        <w:t xml:space="preserve">The acrylic plate was measured to ensure its dimensions were 20x20x2 mm. 2% edible coating was applied at a temperature of approximately 80°C to the surface of the acrylic plate using a 5 mm wide brush until it completely covered the entire </w:t>
      </w:r>
      <w:proofErr w:type="spellStart"/>
      <w:r w:rsidRPr="00A62445">
        <w:t>surface.The</w:t>
      </w:r>
      <w:proofErr w:type="spellEnd"/>
      <w:r w:rsidRPr="00A62445">
        <w:t xml:space="preserve"> plate was left to sit for 5 minutes, then the application was checked again to see if it had reached a thickness of 0.5 mm and covered the entire surface of the acrylic resin plate using a digital </w:t>
      </w:r>
      <w:proofErr w:type="spellStart"/>
      <w:r w:rsidRPr="00A62445">
        <w:t>caliper.If</w:t>
      </w:r>
      <w:proofErr w:type="spellEnd"/>
      <w:r w:rsidRPr="00A62445">
        <w:t xml:space="preserve"> the application thickness is less than or exceeds 0.5 mm and does not completely cover the surface of the acrylic resin plate, re-apply. Processes repeated for edible coating applications with concentrations of 4% and 6% </w:t>
      </w:r>
    </w:p>
    <w:p w14:paraId="7A5E9364" w14:textId="71AFD8C6" w:rsidR="00616F3B" w:rsidRPr="00075EA6" w:rsidRDefault="00A62445" w:rsidP="00A62445">
      <w:pPr>
        <w:pStyle w:val="Paragraph"/>
      </w:pPr>
      <w:r w:rsidRPr="00A62445">
        <w:t xml:space="preserve">Prepare 4 grams of Arabica coffee powder and brew it with 50 mL of water at 100°C. Ten beakers containing 40 grams of Arabica coffee powder and 500 ml of water are prepared directly in a beaker. The brewed coffee is then allowed </w:t>
      </w:r>
      <w:proofErr w:type="spellStart"/>
      <w:r w:rsidRPr="00A62445">
        <w:t>to</w:t>
      </w:r>
      <w:proofErr w:type="spellEnd"/>
      <w:r w:rsidRPr="00A62445">
        <w:t xml:space="preserve"> steep for 20 minutes until it reaches room temperature, and the filtrate is collected by filtering it through a </w:t>
      </w:r>
      <w:proofErr w:type="spellStart"/>
      <w:proofErr w:type="gramStart"/>
      <w:r w:rsidRPr="00A62445">
        <w:t>sieve.Next</w:t>
      </w:r>
      <w:proofErr w:type="spellEnd"/>
      <w:proofErr w:type="gramEnd"/>
      <w:r w:rsidRPr="00A62445">
        <w:t xml:space="preserve">, soak the acrylic resin plates in an 8% Arabica coffee solution. The room-temperature Arabica coffee is poured into each container, each containing 50 mL of the Arabica coffee </w:t>
      </w:r>
      <w:proofErr w:type="spellStart"/>
      <w:proofErr w:type="gramStart"/>
      <w:r w:rsidRPr="00A62445">
        <w:t>solution.Each</w:t>
      </w:r>
      <w:proofErr w:type="spellEnd"/>
      <w:proofErr w:type="gramEnd"/>
      <w:r w:rsidRPr="00A62445">
        <w:t xml:space="preserve"> group of acrylic resin plates is placed in its own container filled with the Arabica coffee </w:t>
      </w:r>
      <w:proofErr w:type="spellStart"/>
      <w:proofErr w:type="gramStart"/>
      <w:r w:rsidRPr="00A62445">
        <w:t>solution.The</w:t>
      </w:r>
      <w:proofErr w:type="spellEnd"/>
      <w:proofErr w:type="gramEnd"/>
      <w:r w:rsidRPr="00A62445">
        <w:t xml:space="preserve"> containers are tightly closed and left at room temperature for 7 </w:t>
      </w:r>
      <w:proofErr w:type="spellStart"/>
      <w:proofErr w:type="gramStart"/>
      <w:r w:rsidRPr="00A62445">
        <w:t>days.The</w:t>
      </w:r>
      <w:proofErr w:type="spellEnd"/>
      <w:proofErr w:type="gramEnd"/>
      <w:r w:rsidRPr="00A62445">
        <w:t xml:space="preserve"> Arabica coffee solution is replaced daily with fresh Arabica coffee solution.</w:t>
      </w:r>
      <w:r w:rsidR="00725861" w:rsidRPr="00640136">
        <w:t xml:space="preserve"> </w:t>
      </w:r>
    </w:p>
    <w:p w14:paraId="19496C26" w14:textId="4A64D40F" w:rsidR="00BA3B3D" w:rsidRPr="00075EA6" w:rsidRDefault="00A62445" w:rsidP="00A646B3">
      <w:pPr>
        <w:pStyle w:val="Heading1"/>
        <w:rPr>
          <w:b w:val="0"/>
          <w:caps w:val="0"/>
          <w:sz w:val="20"/>
        </w:rPr>
      </w:pPr>
      <w:r>
        <w:lastRenderedPageBreak/>
        <w:t>RESULTS</w:t>
      </w:r>
    </w:p>
    <w:p w14:paraId="7782C688" w14:textId="38EB6C96" w:rsidR="00A62445" w:rsidRDefault="00A62445" w:rsidP="00A62445">
      <w:pPr>
        <w:pStyle w:val="Paragraph"/>
      </w:pPr>
      <w:r w:rsidRPr="00A62445">
        <w:rPr>
          <w:bCs/>
        </w:rPr>
        <w:t xml:space="preserve">Measurement of color changes in heat cured acrylic resin plates using a UV-PC spectrophotometer with parameters L* which is the level of illumination on the object, a * has a red-green axis saturation and color interpreted by a single number, and b* has a blue-yellow axis and color interpreted by coordinates. From the calculation of L* a* b*, the value can be calculated and the total reflection of light on the heat cured acrylic resin plate can be obtained with the formula </w:t>
      </w:r>
      <w:proofErr w:type="spellStart"/>
      <w:r w:rsidRPr="00A62445">
        <w:t>dE</w:t>
      </w:r>
      <w:proofErr w:type="spellEnd"/>
      <w:r w:rsidRPr="00A62445">
        <w:rPr>
          <w:vertAlign w:val="superscript"/>
        </w:rPr>
        <w:t>*</w:t>
      </w:r>
      <w:r w:rsidRPr="00A62445">
        <w:t>ab</w:t>
      </w:r>
      <w:r w:rsidR="00A646B3" w:rsidRPr="00075EA6">
        <w:t xml:space="preserve"> </w:t>
      </w:r>
    </w:p>
    <w:p w14:paraId="63FAA5EA" w14:textId="6C940639" w:rsidR="00A62445" w:rsidRDefault="003567A9" w:rsidP="00A62445">
      <w:pPr>
        <w:pStyle w:val="Paragraph"/>
        <w:spacing w:before="120" w:after="200"/>
        <w:ind w:firstLine="288"/>
        <w:jc w:val="center"/>
        <w:rPr>
          <w:sz w:val="18"/>
          <w:szCs w:val="18"/>
        </w:rPr>
      </w:pPr>
      <w:r>
        <w:rPr>
          <w:rFonts w:ascii="Arial" w:eastAsia="Arial" w:hAnsi="Arial" w:cs="Arial"/>
          <w:bCs/>
          <w:noProof/>
          <w:color w:val="000000"/>
        </w:rPr>
        <w:drawing>
          <wp:anchor distT="0" distB="0" distL="114300" distR="114300" simplePos="0" relativeHeight="251659264" behindDoc="0" locked="0" layoutInCell="1" allowOverlap="1" wp14:anchorId="7638E087" wp14:editId="1102E76E">
            <wp:simplePos x="0" y="0"/>
            <wp:positionH relativeFrom="column">
              <wp:posOffset>1446530</wp:posOffset>
            </wp:positionH>
            <wp:positionV relativeFrom="paragraph">
              <wp:posOffset>340995</wp:posOffset>
            </wp:positionV>
            <wp:extent cx="2957830" cy="2979420"/>
            <wp:effectExtent l="0" t="0" r="0" b="0"/>
            <wp:wrapTopAndBottom/>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rotWithShape="1">
                    <a:blip r:embed="rId12">
                      <a:extLst>
                        <a:ext uri="{28A0092B-C50C-407E-A947-70E740481C1C}">
                          <a14:useLocalDpi xmlns:a14="http://schemas.microsoft.com/office/drawing/2010/main" val="0"/>
                        </a:ext>
                      </a:extLst>
                    </a:blip>
                    <a:srcRect b="8502"/>
                    <a:stretch/>
                  </pic:blipFill>
                  <pic:spPr bwMode="auto">
                    <a:xfrm>
                      <a:off x="0" y="0"/>
                      <a:ext cx="2957830" cy="2979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18"/>
          <w:szCs w:val="18"/>
        </w:rPr>
        <w:t xml:space="preserve">TABLE </w:t>
      </w:r>
      <w:r w:rsidR="00A62445">
        <w:rPr>
          <w:b/>
          <w:bCs/>
          <w:sz w:val="18"/>
          <w:szCs w:val="18"/>
        </w:rPr>
        <w:t xml:space="preserve">1. </w:t>
      </w:r>
      <w:r w:rsidR="00A62445">
        <w:rPr>
          <w:sz w:val="18"/>
          <w:szCs w:val="18"/>
        </w:rPr>
        <w:t xml:space="preserve">Showing the color change in 7 days when the acrylic plate soaked in Arabica </w:t>
      </w:r>
      <w:proofErr w:type="spellStart"/>
      <w:r w:rsidR="00A62445">
        <w:rPr>
          <w:sz w:val="18"/>
          <w:szCs w:val="18"/>
        </w:rPr>
        <w:t>Coffe</w:t>
      </w:r>
      <w:proofErr w:type="spellEnd"/>
    </w:p>
    <w:p w14:paraId="5BB276BB" w14:textId="734DF6D3" w:rsidR="00A62445" w:rsidRPr="00A62445" w:rsidRDefault="003567A9" w:rsidP="00A62445">
      <w:pPr>
        <w:pStyle w:val="Paragraph"/>
        <w:spacing w:before="120" w:after="200"/>
        <w:ind w:firstLine="288"/>
        <w:jc w:val="left"/>
      </w:pPr>
      <w:r>
        <w:rPr>
          <w:rFonts w:ascii="Arial" w:eastAsia="Arial" w:hAnsi="Arial" w:cs="Arial"/>
          <w:bCs/>
          <w:noProof/>
          <w:color w:val="000000"/>
        </w:rPr>
        <mc:AlternateContent>
          <mc:Choice Requires="wps">
            <w:drawing>
              <wp:anchor distT="0" distB="0" distL="114300" distR="114300" simplePos="0" relativeHeight="251657216" behindDoc="0" locked="0" layoutInCell="1" allowOverlap="1" wp14:anchorId="6998C597" wp14:editId="64B5647B">
                <wp:simplePos x="0" y="0"/>
                <wp:positionH relativeFrom="column">
                  <wp:posOffset>914400</wp:posOffset>
                </wp:positionH>
                <wp:positionV relativeFrom="paragraph">
                  <wp:posOffset>3076079</wp:posOffset>
                </wp:positionV>
                <wp:extent cx="2305050" cy="644056"/>
                <wp:effectExtent l="0" t="0" r="0" b="3810"/>
                <wp:wrapNone/>
                <wp:docPr id="8" name="Kotak Teks 8"/>
                <wp:cNvGraphicFramePr/>
                <a:graphic xmlns:a="http://schemas.openxmlformats.org/drawingml/2006/main">
                  <a:graphicData uri="http://schemas.microsoft.com/office/word/2010/wordprocessingShape">
                    <wps:wsp>
                      <wps:cNvSpPr txBox="1"/>
                      <wps:spPr>
                        <a:xfrm>
                          <a:off x="0" y="0"/>
                          <a:ext cx="2305050" cy="644056"/>
                        </a:xfrm>
                        <a:prstGeom prst="rect">
                          <a:avLst/>
                        </a:prstGeom>
                        <a:noFill/>
                        <a:ln w="6350">
                          <a:noFill/>
                        </a:ln>
                      </wps:spPr>
                      <wps:txbx>
                        <w:txbxContent>
                          <w:p w14:paraId="46EE2D73" w14:textId="77777777" w:rsidR="000D2D12" w:rsidRDefault="00A62445" w:rsidP="00A62445">
                            <w:pPr>
                              <w:rPr>
                                <w:rFonts w:ascii="Times" w:hAnsi="Times" w:cs="Arial"/>
                                <w:sz w:val="18"/>
                                <w:szCs w:val="18"/>
                              </w:rPr>
                            </w:pPr>
                            <w:r w:rsidRPr="000D2D12">
                              <w:rPr>
                                <w:rFonts w:ascii="Times" w:hAnsi="Times" w:cs="Arial"/>
                                <w:sz w:val="18"/>
                                <w:szCs w:val="18"/>
                              </w:rPr>
                              <w:t>K</w:t>
                            </w:r>
                            <w:r w:rsidRPr="000D2D12">
                              <w:rPr>
                                <w:rFonts w:ascii="Times" w:hAnsi="Times" w:cs="Arial"/>
                                <w:sz w:val="18"/>
                                <w:szCs w:val="18"/>
                                <w:vertAlign w:val="subscript"/>
                              </w:rPr>
                              <w:t xml:space="preserve">1 </w:t>
                            </w:r>
                            <w:r w:rsidRPr="000D2D12">
                              <w:rPr>
                                <w:rFonts w:ascii="Times" w:hAnsi="Times" w:cs="Arial"/>
                                <w:sz w:val="18"/>
                                <w:szCs w:val="18"/>
                              </w:rPr>
                              <w:t>: without edible coating                                                       K</w:t>
                            </w:r>
                            <w:r w:rsidRPr="000D2D12">
                              <w:rPr>
                                <w:rFonts w:ascii="Times" w:hAnsi="Times" w:cs="Arial"/>
                                <w:sz w:val="18"/>
                                <w:szCs w:val="18"/>
                                <w:vertAlign w:val="subscript"/>
                              </w:rPr>
                              <w:t xml:space="preserve">3 </w:t>
                            </w:r>
                            <w:r w:rsidRPr="000D2D12">
                              <w:rPr>
                                <w:rFonts w:ascii="Times" w:hAnsi="Times" w:cs="Arial"/>
                                <w:sz w:val="18"/>
                                <w:szCs w:val="18"/>
                              </w:rPr>
                              <w:t>: Edible coating</w:t>
                            </w:r>
                            <w:r w:rsidRPr="000D2D12">
                              <w:rPr>
                                <w:rFonts w:ascii="Times" w:hAnsi="Times" w:cs="Arial"/>
                                <w:i/>
                                <w:iCs/>
                                <w:sz w:val="18"/>
                                <w:szCs w:val="18"/>
                              </w:rPr>
                              <w:t xml:space="preserve"> </w:t>
                            </w:r>
                            <w:r w:rsidRPr="000D2D12">
                              <w:rPr>
                                <w:rFonts w:ascii="Times" w:hAnsi="Times" w:cs="Arial"/>
                                <w:sz w:val="18"/>
                                <w:szCs w:val="18"/>
                              </w:rPr>
                              <w:t>4%                                                             K</w:t>
                            </w:r>
                            <w:r w:rsidRPr="000D2D12">
                              <w:rPr>
                                <w:rFonts w:ascii="Times" w:hAnsi="Times" w:cs="Arial"/>
                                <w:sz w:val="18"/>
                                <w:szCs w:val="18"/>
                                <w:vertAlign w:val="subscript"/>
                              </w:rPr>
                              <w:t xml:space="preserve">2 </w:t>
                            </w:r>
                            <w:r w:rsidRPr="000D2D12">
                              <w:rPr>
                                <w:rFonts w:ascii="Times" w:hAnsi="Times" w:cs="Arial"/>
                                <w:sz w:val="18"/>
                                <w:szCs w:val="18"/>
                              </w:rPr>
                              <w:t xml:space="preserve">: Edible coating 2%                             </w:t>
                            </w:r>
                          </w:p>
                          <w:p w14:paraId="37699B20" w14:textId="3A525CA2" w:rsidR="00A62445" w:rsidRPr="004F3D57" w:rsidRDefault="00A62445" w:rsidP="00A62445">
                            <w:pPr>
                              <w:rPr>
                                <w:rFonts w:ascii="Times" w:hAnsi="Times" w:cs="Arial"/>
                                <w:sz w:val="20"/>
                              </w:rPr>
                            </w:pPr>
                            <w:r w:rsidRPr="000D2D12">
                              <w:rPr>
                                <w:rFonts w:ascii="Times" w:hAnsi="Times" w:cs="Arial"/>
                                <w:sz w:val="18"/>
                                <w:szCs w:val="18"/>
                              </w:rPr>
                              <w:t>K</w:t>
                            </w:r>
                            <w:r w:rsidRPr="000D2D12">
                              <w:rPr>
                                <w:rFonts w:ascii="Times" w:hAnsi="Times" w:cs="Arial"/>
                                <w:sz w:val="18"/>
                                <w:szCs w:val="18"/>
                                <w:vertAlign w:val="subscript"/>
                              </w:rPr>
                              <w:t xml:space="preserve">4 </w:t>
                            </w:r>
                            <w:r w:rsidRPr="000D2D12">
                              <w:rPr>
                                <w:rFonts w:ascii="Times" w:hAnsi="Times" w:cs="Arial"/>
                                <w:sz w:val="18"/>
                                <w:szCs w:val="18"/>
                              </w:rPr>
                              <w:t>: Edible coating</w:t>
                            </w:r>
                            <w:r w:rsidRPr="000D2D12">
                              <w:rPr>
                                <w:rFonts w:ascii="Times" w:hAnsi="Times" w:cs="Arial"/>
                                <w:i/>
                                <w:iCs/>
                                <w:sz w:val="18"/>
                                <w:szCs w:val="18"/>
                              </w:rPr>
                              <w:t xml:space="preserve"> </w:t>
                            </w:r>
                            <w:r w:rsidRPr="000D2D12">
                              <w:rPr>
                                <w:rFonts w:ascii="Times" w:hAnsi="Times" w:cs="Arial"/>
                                <w:sz w:val="18"/>
                                <w:szCs w:val="18"/>
                              </w:rPr>
                              <w:t>6%</w:t>
                            </w:r>
                          </w:p>
                          <w:p w14:paraId="6970DFB5" w14:textId="77777777" w:rsidR="00A62445" w:rsidRDefault="00A62445" w:rsidP="00A624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8C597" id="_x0000_t202" coordsize="21600,21600" o:spt="202" path="m,l,21600r21600,l21600,xe">
                <v:stroke joinstyle="miter"/>
                <v:path gradientshapeok="t" o:connecttype="rect"/>
              </v:shapetype>
              <v:shape id="Kotak Teks 8" o:spid="_x0000_s1026" type="#_x0000_t202" style="position:absolute;left:0;text-align:left;margin-left:1in;margin-top:242.2pt;width:181.5pt;height:5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" filled="f" stroked="f" strokeweight=".5pt">
                <v:textbox>
                  <w:txbxContent>
                    <w:p w14:paraId="46EE2D73" w14:textId="77777777" w:rsidR="000D2D12" w:rsidRDefault="00A62445" w:rsidP="00A62445">
                      <w:pPr>
                        <w:rPr>
                          <w:rFonts w:ascii="Times" w:hAnsi="Times" w:cs="Arial"/>
                          <w:sz w:val="18"/>
                          <w:szCs w:val="18"/>
                        </w:rPr>
                      </w:pPr>
                      <w:r w:rsidRPr="000D2D12">
                        <w:rPr>
                          <w:rFonts w:ascii="Times" w:hAnsi="Times" w:cs="Arial"/>
                          <w:sz w:val="18"/>
                          <w:szCs w:val="18"/>
                        </w:rPr>
                        <w:t>K</w:t>
                      </w:r>
                      <w:proofErr w:type="gramStart"/>
                      <w:r w:rsidRPr="000D2D12">
                        <w:rPr>
                          <w:rFonts w:ascii="Times" w:hAnsi="Times" w:cs="Arial"/>
                          <w:sz w:val="18"/>
                          <w:szCs w:val="18"/>
                          <w:vertAlign w:val="subscript"/>
                        </w:rPr>
                        <w:t xml:space="preserve">1 </w:t>
                      </w:r>
                      <w:r w:rsidRPr="000D2D12">
                        <w:rPr>
                          <w:rFonts w:ascii="Times" w:hAnsi="Times" w:cs="Arial"/>
                          <w:sz w:val="18"/>
                          <w:szCs w:val="18"/>
                        </w:rPr>
                        <w:t>:</w:t>
                      </w:r>
                      <w:proofErr w:type="gramEnd"/>
                      <w:r w:rsidRPr="000D2D12">
                        <w:rPr>
                          <w:rFonts w:ascii="Times" w:hAnsi="Times" w:cs="Arial"/>
                          <w:sz w:val="18"/>
                          <w:szCs w:val="18"/>
                        </w:rPr>
                        <w:t xml:space="preserve"> without edible coating                                                       K</w:t>
                      </w:r>
                      <w:proofErr w:type="gramStart"/>
                      <w:r w:rsidRPr="000D2D12">
                        <w:rPr>
                          <w:rFonts w:ascii="Times" w:hAnsi="Times" w:cs="Arial"/>
                          <w:sz w:val="18"/>
                          <w:szCs w:val="18"/>
                          <w:vertAlign w:val="subscript"/>
                        </w:rPr>
                        <w:t xml:space="preserve">3 </w:t>
                      </w:r>
                      <w:r w:rsidRPr="000D2D12">
                        <w:rPr>
                          <w:rFonts w:ascii="Times" w:hAnsi="Times" w:cs="Arial"/>
                          <w:sz w:val="18"/>
                          <w:szCs w:val="18"/>
                        </w:rPr>
                        <w:t>:</w:t>
                      </w:r>
                      <w:proofErr w:type="gramEnd"/>
                      <w:r w:rsidRPr="000D2D12">
                        <w:rPr>
                          <w:rFonts w:ascii="Times" w:hAnsi="Times" w:cs="Arial"/>
                          <w:sz w:val="18"/>
                          <w:szCs w:val="18"/>
                        </w:rPr>
                        <w:t xml:space="preserve"> Edible coating</w:t>
                      </w:r>
                      <w:r w:rsidRPr="000D2D12">
                        <w:rPr>
                          <w:rFonts w:ascii="Times" w:hAnsi="Times" w:cs="Arial"/>
                          <w:i/>
                          <w:iCs/>
                          <w:sz w:val="18"/>
                          <w:szCs w:val="18"/>
                        </w:rPr>
                        <w:t xml:space="preserve"> </w:t>
                      </w:r>
                      <w:r w:rsidRPr="000D2D12">
                        <w:rPr>
                          <w:rFonts w:ascii="Times" w:hAnsi="Times" w:cs="Arial"/>
                          <w:sz w:val="18"/>
                          <w:szCs w:val="18"/>
                        </w:rPr>
                        <w:t xml:space="preserve">4%                                                             </w:t>
                      </w:r>
                      <w:proofErr w:type="gramStart"/>
                      <w:r w:rsidRPr="000D2D12">
                        <w:rPr>
                          <w:rFonts w:ascii="Times" w:hAnsi="Times" w:cs="Arial"/>
                          <w:sz w:val="18"/>
                          <w:szCs w:val="18"/>
                        </w:rPr>
                        <w:t>K</w:t>
                      </w:r>
                      <w:r w:rsidRPr="000D2D12">
                        <w:rPr>
                          <w:rFonts w:ascii="Times" w:hAnsi="Times" w:cs="Arial"/>
                          <w:sz w:val="18"/>
                          <w:szCs w:val="18"/>
                          <w:vertAlign w:val="subscript"/>
                        </w:rPr>
                        <w:t xml:space="preserve">2 </w:t>
                      </w:r>
                      <w:r w:rsidRPr="000D2D12">
                        <w:rPr>
                          <w:rFonts w:ascii="Times" w:hAnsi="Times" w:cs="Arial"/>
                          <w:sz w:val="18"/>
                          <w:szCs w:val="18"/>
                        </w:rPr>
                        <w:t>:</w:t>
                      </w:r>
                      <w:proofErr w:type="gramEnd"/>
                      <w:r w:rsidRPr="000D2D12">
                        <w:rPr>
                          <w:rFonts w:ascii="Times" w:hAnsi="Times" w:cs="Arial"/>
                          <w:sz w:val="18"/>
                          <w:szCs w:val="18"/>
                        </w:rPr>
                        <w:t xml:space="preserve"> Edible coating 2%                             </w:t>
                      </w:r>
                    </w:p>
                    <w:p w14:paraId="37699B20" w14:textId="3A525CA2" w:rsidR="00A62445" w:rsidRPr="004F3D57" w:rsidRDefault="00A62445" w:rsidP="00A62445">
                      <w:pPr>
                        <w:rPr>
                          <w:rFonts w:ascii="Times" w:hAnsi="Times" w:cs="Arial"/>
                          <w:sz w:val="20"/>
                        </w:rPr>
                      </w:pPr>
                      <w:r w:rsidRPr="000D2D12">
                        <w:rPr>
                          <w:rFonts w:ascii="Times" w:hAnsi="Times" w:cs="Arial"/>
                          <w:sz w:val="18"/>
                          <w:szCs w:val="18"/>
                        </w:rPr>
                        <w:t>K</w:t>
                      </w:r>
                      <w:proofErr w:type="gramStart"/>
                      <w:r w:rsidRPr="000D2D12">
                        <w:rPr>
                          <w:rFonts w:ascii="Times" w:hAnsi="Times" w:cs="Arial"/>
                          <w:sz w:val="18"/>
                          <w:szCs w:val="18"/>
                          <w:vertAlign w:val="subscript"/>
                        </w:rPr>
                        <w:t xml:space="preserve">4 </w:t>
                      </w:r>
                      <w:r w:rsidRPr="000D2D12">
                        <w:rPr>
                          <w:rFonts w:ascii="Times" w:hAnsi="Times" w:cs="Arial"/>
                          <w:sz w:val="18"/>
                          <w:szCs w:val="18"/>
                        </w:rPr>
                        <w:t>:</w:t>
                      </w:r>
                      <w:proofErr w:type="gramEnd"/>
                      <w:r w:rsidRPr="000D2D12">
                        <w:rPr>
                          <w:rFonts w:ascii="Times" w:hAnsi="Times" w:cs="Arial"/>
                          <w:sz w:val="18"/>
                          <w:szCs w:val="18"/>
                        </w:rPr>
                        <w:t xml:space="preserve"> Edible coating</w:t>
                      </w:r>
                      <w:r w:rsidRPr="000D2D12">
                        <w:rPr>
                          <w:rFonts w:ascii="Times" w:hAnsi="Times" w:cs="Arial"/>
                          <w:i/>
                          <w:iCs/>
                          <w:sz w:val="18"/>
                          <w:szCs w:val="18"/>
                        </w:rPr>
                        <w:t xml:space="preserve"> </w:t>
                      </w:r>
                      <w:r w:rsidRPr="000D2D12">
                        <w:rPr>
                          <w:rFonts w:ascii="Times" w:hAnsi="Times" w:cs="Arial"/>
                          <w:sz w:val="18"/>
                          <w:szCs w:val="18"/>
                        </w:rPr>
                        <w:t>6%</w:t>
                      </w:r>
                    </w:p>
                    <w:p w14:paraId="6970DFB5" w14:textId="77777777" w:rsidR="00A62445" w:rsidRDefault="00A62445" w:rsidP="00A62445"/>
                  </w:txbxContent>
                </v:textbox>
              </v:shape>
            </w:pict>
          </mc:Fallback>
        </mc:AlternateContent>
      </w:r>
    </w:p>
    <w:p w14:paraId="32A29A3D" w14:textId="77777777" w:rsidR="00D25ECE" w:rsidRDefault="00D25ECE" w:rsidP="00346A9D">
      <w:pPr>
        <w:pStyle w:val="Paragraph"/>
      </w:pPr>
    </w:p>
    <w:p w14:paraId="6965BE4F" w14:textId="77777777" w:rsidR="00D25ECE" w:rsidRDefault="00D25ECE" w:rsidP="00346A9D">
      <w:pPr>
        <w:pStyle w:val="Paragraph"/>
      </w:pPr>
    </w:p>
    <w:p w14:paraId="1688CD8E" w14:textId="77777777" w:rsidR="00D25ECE" w:rsidRDefault="00D25ECE" w:rsidP="00D25ECE">
      <w:pPr>
        <w:pStyle w:val="Paragraph"/>
        <w:ind w:firstLine="0"/>
      </w:pPr>
    </w:p>
    <w:p w14:paraId="7B31438F" w14:textId="3630B28A" w:rsidR="00D25ECE" w:rsidRPr="00D25ECE" w:rsidRDefault="003567A9" w:rsidP="009D3303">
      <w:pPr>
        <w:pStyle w:val="Paragraph"/>
        <w:spacing w:before="120" w:after="200"/>
        <w:ind w:firstLine="288"/>
        <w:jc w:val="center"/>
        <w:rPr>
          <w:b/>
          <w:bCs/>
          <w:sz w:val="18"/>
          <w:szCs w:val="18"/>
        </w:rPr>
      </w:pPr>
      <w:r>
        <w:rPr>
          <w:b/>
          <w:bCs/>
          <w:sz w:val="18"/>
          <w:szCs w:val="18"/>
        </w:rPr>
        <w:t xml:space="preserve">TABLE </w:t>
      </w:r>
      <w:r w:rsidR="00D25ECE">
        <w:rPr>
          <w:b/>
          <w:bCs/>
          <w:sz w:val="18"/>
          <w:szCs w:val="18"/>
        </w:rPr>
        <w:t xml:space="preserve">2. </w:t>
      </w:r>
      <w:r w:rsidR="00D25ECE" w:rsidRPr="00D25ECE">
        <w:rPr>
          <w:sz w:val="18"/>
          <w:szCs w:val="18"/>
        </w:rPr>
        <w:t xml:space="preserve">Average </w:t>
      </w:r>
      <w:proofErr w:type="spellStart"/>
      <w:r w:rsidR="00D25ECE" w:rsidRPr="00D25ECE">
        <w:rPr>
          <w:sz w:val="18"/>
          <w:szCs w:val="18"/>
        </w:rPr>
        <w:t>dE</w:t>
      </w:r>
      <w:proofErr w:type="spellEnd"/>
      <w:r w:rsidR="00D25ECE" w:rsidRPr="00D25ECE">
        <w:rPr>
          <w:sz w:val="18"/>
          <w:szCs w:val="18"/>
        </w:rPr>
        <w:t>*ab value (the intensity of the absorbed color) with 6 repetitions</w:t>
      </w:r>
    </w:p>
    <w:tbl>
      <w:tblPr>
        <w:tblStyle w:val="TableGrid"/>
        <w:tblpPr w:leftFromText="180" w:rightFromText="180" w:vertAnchor="text" w:horzAnchor="margin" w:tblpXSpec="center" w:tblpY="134"/>
        <w:tblW w:w="5238" w:type="dxa"/>
        <w:tblLook w:val="04A0" w:firstRow="1" w:lastRow="0" w:firstColumn="1" w:lastColumn="0" w:noHBand="0" w:noVBand="1"/>
      </w:tblPr>
      <w:tblGrid>
        <w:gridCol w:w="1529"/>
        <w:gridCol w:w="1692"/>
        <w:gridCol w:w="2017"/>
      </w:tblGrid>
      <w:tr w:rsidR="009D3303" w:rsidRPr="009D3303" w14:paraId="516E50CC" w14:textId="77777777" w:rsidTr="009D3303">
        <w:trPr>
          <w:trHeight w:val="620"/>
        </w:trPr>
        <w:tc>
          <w:tcPr>
            <w:tcW w:w="1529" w:type="dxa"/>
            <w:tcBorders>
              <w:left w:val="nil"/>
              <w:bottom w:val="single" w:sz="4" w:space="0" w:color="auto"/>
              <w:right w:val="nil"/>
            </w:tcBorders>
            <w:vAlign w:val="center"/>
          </w:tcPr>
          <w:p w14:paraId="421D0D10" w14:textId="77777777" w:rsidR="009D3303" w:rsidRPr="009D3303" w:rsidRDefault="009D3303" w:rsidP="009D3303">
            <w:pPr>
              <w:pStyle w:val="Paragraph"/>
              <w:jc w:val="center"/>
              <w:rPr>
                <w:b/>
                <w:bCs/>
                <w:sz w:val="18"/>
                <w:szCs w:val="18"/>
              </w:rPr>
            </w:pPr>
            <w:r w:rsidRPr="009D3303">
              <w:rPr>
                <w:b/>
                <w:bCs/>
                <w:sz w:val="18"/>
                <w:szCs w:val="18"/>
              </w:rPr>
              <w:t>Treatment</w:t>
            </w:r>
          </w:p>
        </w:tc>
        <w:tc>
          <w:tcPr>
            <w:tcW w:w="1692" w:type="dxa"/>
            <w:tcBorders>
              <w:left w:val="nil"/>
              <w:bottom w:val="single" w:sz="4" w:space="0" w:color="auto"/>
              <w:right w:val="nil"/>
            </w:tcBorders>
            <w:vAlign w:val="center"/>
          </w:tcPr>
          <w:p w14:paraId="6F8AE864" w14:textId="77777777" w:rsidR="009D3303" w:rsidRPr="009D3303" w:rsidRDefault="009D3303" w:rsidP="009D3303">
            <w:pPr>
              <w:pStyle w:val="Paragraph"/>
              <w:rPr>
                <w:b/>
                <w:bCs/>
                <w:i/>
                <w:iCs/>
                <w:sz w:val="18"/>
                <w:szCs w:val="18"/>
              </w:rPr>
            </w:pPr>
            <w:r w:rsidRPr="009D3303">
              <w:rPr>
                <w:b/>
                <w:bCs/>
                <w:i/>
                <w:iCs/>
                <w:sz w:val="18"/>
                <w:szCs w:val="18"/>
              </w:rPr>
              <w:t xml:space="preserve">edible coating </w:t>
            </w:r>
          </w:p>
        </w:tc>
        <w:tc>
          <w:tcPr>
            <w:tcW w:w="2017" w:type="dxa"/>
            <w:tcBorders>
              <w:left w:val="nil"/>
              <w:bottom w:val="single" w:sz="4" w:space="0" w:color="auto"/>
              <w:right w:val="nil"/>
            </w:tcBorders>
            <w:vAlign w:val="center"/>
          </w:tcPr>
          <w:p w14:paraId="3F022C67" w14:textId="77777777" w:rsidR="009D3303" w:rsidRPr="009D3303" w:rsidRDefault="009D3303" w:rsidP="009D3303">
            <w:pPr>
              <w:pStyle w:val="Paragraph"/>
              <w:jc w:val="center"/>
              <w:rPr>
                <w:b/>
                <w:bCs/>
                <w:sz w:val="18"/>
                <w:szCs w:val="18"/>
              </w:rPr>
            </w:pPr>
            <w:proofErr w:type="spellStart"/>
            <w:r w:rsidRPr="009D3303">
              <w:rPr>
                <w:b/>
                <w:bCs/>
                <w:sz w:val="18"/>
                <w:szCs w:val="18"/>
              </w:rPr>
              <w:t>Avarege</w:t>
            </w:r>
            <w:proofErr w:type="spellEnd"/>
            <w:r w:rsidRPr="009D3303">
              <w:rPr>
                <w:b/>
                <w:bCs/>
                <w:sz w:val="18"/>
                <w:szCs w:val="18"/>
              </w:rPr>
              <w:t xml:space="preserve"> values of </w:t>
            </w:r>
            <w:proofErr w:type="spellStart"/>
            <w:r w:rsidRPr="009D3303">
              <w:rPr>
                <w:b/>
                <w:bCs/>
                <w:sz w:val="18"/>
                <w:szCs w:val="18"/>
              </w:rPr>
              <w:t>dE</w:t>
            </w:r>
            <w:proofErr w:type="spellEnd"/>
            <w:r w:rsidRPr="009D3303">
              <w:rPr>
                <w:b/>
                <w:bCs/>
                <w:sz w:val="18"/>
                <w:szCs w:val="18"/>
                <w:vertAlign w:val="superscript"/>
              </w:rPr>
              <w:t>*</w:t>
            </w:r>
            <w:r w:rsidRPr="009D3303">
              <w:rPr>
                <w:b/>
                <w:bCs/>
                <w:sz w:val="18"/>
                <w:szCs w:val="18"/>
              </w:rPr>
              <w:t>ab</w:t>
            </w:r>
          </w:p>
        </w:tc>
      </w:tr>
      <w:tr w:rsidR="009D3303" w:rsidRPr="009D3303" w14:paraId="6F39F68E" w14:textId="77777777" w:rsidTr="000D2D12">
        <w:trPr>
          <w:trHeight w:val="322"/>
        </w:trPr>
        <w:tc>
          <w:tcPr>
            <w:tcW w:w="1529" w:type="dxa"/>
            <w:tcBorders>
              <w:left w:val="nil"/>
              <w:bottom w:val="nil"/>
              <w:right w:val="nil"/>
            </w:tcBorders>
            <w:vAlign w:val="center"/>
          </w:tcPr>
          <w:p w14:paraId="101E72BC" w14:textId="77777777" w:rsidR="009D3303" w:rsidRPr="009D3303" w:rsidRDefault="009D3303" w:rsidP="009D3303">
            <w:pPr>
              <w:pStyle w:val="Paragraph"/>
            </w:pPr>
            <w:r w:rsidRPr="009D3303">
              <w:t>K</w:t>
            </w:r>
            <w:r w:rsidRPr="009D3303">
              <w:rPr>
                <w:vertAlign w:val="subscript"/>
              </w:rPr>
              <w:t>1</w:t>
            </w:r>
          </w:p>
        </w:tc>
        <w:tc>
          <w:tcPr>
            <w:tcW w:w="1692" w:type="dxa"/>
            <w:tcBorders>
              <w:left w:val="nil"/>
              <w:bottom w:val="nil"/>
              <w:right w:val="nil"/>
            </w:tcBorders>
            <w:vAlign w:val="center"/>
          </w:tcPr>
          <w:p w14:paraId="7B245ADA" w14:textId="77777777" w:rsidR="009D3303" w:rsidRPr="009D3303" w:rsidRDefault="009D3303" w:rsidP="009D3303">
            <w:pPr>
              <w:pStyle w:val="Paragraph"/>
            </w:pPr>
            <w:r w:rsidRPr="009D3303">
              <w:t>-</w:t>
            </w:r>
          </w:p>
        </w:tc>
        <w:tc>
          <w:tcPr>
            <w:tcW w:w="2017" w:type="dxa"/>
            <w:tcBorders>
              <w:left w:val="nil"/>
              <w:bottom w:val="nil"/>
              <w:right w:val="nil"/>
            </w:tcBorders>
            <w:vAlign w:val="center"/>
          </w:tcPr>
          <w:p w14:paraId="3CBE651E" w14:textId="77777777" w:rsidR="009D3303" w:rsidRPr="009D3303" w:rsidRDefault="009D3303" w:rsidP="009D3303">
            <w:pPr>
              <w:pStyle w:val="Paragraph"/>
            </w:pPr>
            <w:r w:rsidRPr="009D3303">
              <w:t xml:space="preserve">1.11 </w:t>
            </w:r>
            <w:r w:rsidRPr="009D3303">
              <w:sym w:font="Symbol" w:char="F0B1"/>
            </w:r>
            <w:r w:rsidRPr="009D3303">
              <w:t xml:space="preserve"> 0.05</w:t>
            </w:r>
          </w:p>
        </w:tc>
      </w:tr>
      <w:tr w:rsidR="009D3303" w:rsidRPr="009D3303" w14:paraId="5276C251" w14:textId="77777777" w:rsidTr="000D2D12">
        <w:trPr>
          <w:trHeight w:val="309"/>
        </w:trPr>
        <w:tc>
          <w:tcPr>
            <w:tcW w:w="1529" w:type="dxa"/>
            <w:tcBorders>
              <w:top w:val="nil"/>
              <w:left w:val="nil"/>
              <w:bottom w:val="nil"/>
              <w:right w:val="nil"/>
            </w:tcBorders>
            <w:vAlign w:val="center"/>
          </w:tcPr>
          <w:p w14:paraId="1DB48A71" w14:textId="77777777" w:rsidR="009D3303" w:rsidRPr="009D3303" w:rsidRDefault="009D3303" w:rsidP="009D3303">
            <w:pPr>
              <w:pStyle w:val="Paragraph"/>
            </w:pPr>
            <w:r w:rsidRPr="009D3303">
              <w:t>K</w:t>
            </w:r>
            <w:r w:rsidRPr="009D3303">
              <w:rPr>
                <w:vertAlign w:val="subscript"/>
              </w:rPr>
              <w:t>2</w:t>
            </w:r>
          </w:p>
        </w:tc>
        <w:tc>
          <w:tcPr>
            <w:tcW w:w="1692" w:type="dxa"/>
            <w:tcBorders>
              <w:top w:val="nil"/>
              <w:left w:val="nil"/>
              <w:bottom w:val="nil"/>
              <w:right w:val="nil"/>
            </w:tcBorders>
            <w:vAlign w:val="center"/>
          </w:tcPr>
          <w:p w14:paraId="322FD769" w14:textId="77777777" w:rsidR="009D3303" w:rsidRPr="009D3303" w:rsidRDefault="009D3303" w:rsidP="009D3303">
            <w:pPr>
              <w:pStyle w:val="Paragraph"/>
            </w:pPr>
            <w:r w:rsidRPr="009D3303">
              <w:t>2%</w:t>
            </w:r>
          </w:p>
        </w:tc>
        <w:tc>
          <w:tcPr>
            <w:tcW w:w="2017" w:type="dxa"/>
            <w:tcBorders>
              <w:top w:val="nil"/>
              <w:left w:val="nil"/>
              <w:bottom w:val="nil"/>
              <w:right w:val="nil"/>
            </w:tcBorders>
            <w:vAlign w:val="center"/>
          </w:tcPr>
          <w:p w14:paraId="7067A01F" w14:textId="77777777" w:rsidR="009D3303" w:rsidRPr="009D3303" w:rsidRDefault="009D3303" w:rsidP="009D3303">
            <w:pPr>
              <w:pStyle w:val="Paragraph"/>
            </w:pPr>
            <w:r w:rsidRPr="009D3303">
              <w:t xml:space="preserve">0.64 </w:t>
            </w:r>
            <w:r w:rsidRPr="009D3303">
              <w:sym w:font="Symbol" w:char="F0B1"/>
            </w:r>
            <w:r w:rsidRPr="009D3303">
              <w:t xml:space="preserve"> 2.8</w:t>
            </w:r>
          </w:p>
        </w:tc>
      </w:tr>
      <w:tr w:rsidR="009D3303" w:rsidRPr="009D3303" w14:paraId="3C07608E" w14:textId="77777777" w:rsidTr="000D2D12">
        <w:trPr>
          <w:trHeight w:val="322"/>
        </w:trPr>
        <w:tc>
          <w:tcPr>
            <w:tcW w:w="1529" w:type="dxa"/>
            <w:tcBorders>
              <w:top w:val="nil"/>
              <w:left w:val="nil"/>
              <w:bottom w:val="nil"/>
              <w:right w:val="nil"/>
            </w:tcBorders>
            <w:vAlign w:val="center"/>
          </w:tcPr>
          <w:p w14:paraId="31097D69" w14:textId="77777777" w:rsidR="009D3303" w:rsidRPr="009D3303" w:rsidRDefault="009D3303" w:rsidP="009D3303">
            <w:pPr>
              <w:pStyle w:val="Paragraph"/>
            </w:pPr>
            <w:r w:rsidRPr="009D3303">
              <w:t>K</w:t>
            </w:r>
            <w:r w:rsidRPr="009D3303">
              <w:rPr>
                <w:vertAlign w:val="subscript"/>
              </w:rPr>
              <w:t>3</w:t>
            </w:r>
          </w:p>
        </w:tc>
        <w:tc>
          <w:tcPr>
            <w:tcW w:w="1692" w:type="dxa"/>
            <w:tcBorders>
              <w:top w:val="nil"/>
              <w:left w:val="nil"/>
              <w:bottom w:val="nil"/>
              <w:right w:val="nil"/>
            </w:tcBorders>
            <w:vAlign w:val="center"/>
          </w:tcPr>
          <w:p w14:paraId="541CF2C5" w14:textId="77777777" w:rsidR="009D3303" w:rsidRPr="009D3303" w:rsidRDefault="009D3303" w:rsidP="009D3303">
            <w:pPr>
              <w:pStyle w:val="Paragraph"/>
            </w:pPr>
            <w:r w:rsidRPr="009D3303">
              <w:t>4%</w:t>
            </w:r>
          </w:p>
        </w:tc>
        <w:tc>
          <w:tcPr>
            <w:tcW w:w="2017" w:type="dxa"/>
            <w:tcBorders>
              <w:top w:val="nil"/>
              <w:left w:val="nil"/>
              <w:bottom w:val="nil"/>
              <w:right w:val="nil"/>
            </w:tcBorders>
            <w:vAlign w:val="center"/>
          </w:tcPr>
          <w:p w14:paraId="759A504C" w14:textId="77777777" w:rsidR="009D3303" w:rsidRPr="009D3303" w:rsidRDefault="009D3303" w:rsidP="009D3303">
            <w:pPr>
              <w:pStyle w:val="Paragraph"/>
            </w:pPr>
            <w:r w:rsidRPr="009D3303">
              <w:t xml:space="preserve">1.1 </w:t>
            </w:r>
            <w:r w:rsidRPr="009D3303">
              <w:sym w:font="Symbol" w:char="F0B1"/>
            </w:r>
            <w:r w:rsidRPr="009D3303">
              <w:t xml:space="preserve"> 1,15</w:t>
            </w:r>
          </w:p>
        </w:tc>
      </w:tr>
      <w:tr w:rsidR="009D3303" w:rsidRPr="009D3303" w14:paraId="63230D16" w14:textId="77777777" w:rsidTr="000D2D12">
        <w:trPr>
          <w:trHeight w:val="322"/>
        </w:trPr>
        <w:tc>
          <w:tcPr>
            <w:tcW w:w="1529" w:type="dxa"/>
            <w:tcBorders>
              <w:top w:val="nil"/>
              <w:left w:val="nil"/>
              <w:right w:val="nil"/>
            </w:tcBorders>
            <w:vAlign w:val="center"/>
          </w:tcPr>
          <w:p w14:paraId="021005A0" w14:textId="77777777" w:rsidR="009D3303" w:rsidRPr="009D3303" w:rsidRDefault="009D3303" w:rsidP="009D3303">
            <w:pPr>
              <w:pStyle w:val="Paragraph"/>
            </w:pPr>
            <w:r w:rsidRPr="009D3303">
              <w:t>K</w:t>
            </w:r>
            <w:r w:rsidRPr="009D3303">
              <w:rPr>
                <w:vertAlign w:val="subscript"/>
              </w:rPr>
              <w:t>4</w:t>
            </w:r>
          </w:p>
        </w:tc>
        <w:tc>
          <w:tcPr>
            <w:tcW w:w="1692" w:type="dxa"/>
            <w:tcBorders>
              <w:top w:val="nil"/>
              <w:left w:val="nil"/>
              <w:right w:val="nil"/>
            </w:tcBorders>
            <w:vAlign w:val="center"/>
          </w:tcPr>
          <w:p w14:paraId="3BB47D07" w14:textId="77777777" w:rsidR="009D3303" w:rsidRPr="009D3303" w:rsidRDefault="009D3303" w:rsidP="009D3303">
            <w:pPr>
              <w:pStyle w:val="Paragraph"/>
            </w:pPr>
            <w:r w:rsidRPr="009D3303">
              <w:t>6%</w:t>
            </w:r>
          </w:p>
        </w:tc>
        <w:tc>
          <w:tcPr>
            <w:tcW w:w="2017" w:type="dxa"/>
            <w:tcBorders>
              <w:top w:val="nil"/>
              <w:left w:val="nil"/>
              <w:right w:val="nil"/>
            </w:tcBorders>
            <w:vAlign w:val="center"/>
          </w:tcPr>
          <w:p w14:paraId="162D4E57" w14:textId="77777777" w:rsidR="009D3303" w:rsidRPr="009D3303" w:rsidRDefault="009D3303" w:rsidP="009D3303">
            <w:pPr>
              <w:pStyle w:val="Paragraph"/>
            </w:pPr>
            <w:r w:rsidRPr="009D3303">
              <w:t xml:space="preserve">0.9 </w:t>
            </w:r>
            <w:r w:rsidRPr="009D3303">
              <w:sym w:font="Symbol" w:char="F0B1"/>
            </w:r>
            <w:r w:rsidRPr="009D3303">
              <w:t xml:space="preserve"> 0.05</w:t>
            </w:r>
          </w:p>
        </w:tc>
      </w:tr>
    </w:tbl>
    <w:p w14:paraId="40A28F31" w14:textId="2BF9BB30" w:rsidR="00D25ECE" w:rsidRDefault="00D25ECE" w:rsidP="00D25ECE">
      <w:pPr>
        <w:pStyle w:val="Paragraph"/>
        <w:jc w:val="center"/>
        <w:rPr>
          <w:sz w:val="18"/>
          <w:szCs w:val="18"/>
        </w:rPr>
      </w:pPr>
    </w:p>
    <w:p w14:paraId="14B828F9" w14:textId="77777777" w:rsidR="009D3303" w:rsidRDefault="009D3303" w:rsidP="00D25ECE">
      <w:pPr>
        <w:pStyle w:val="Paragraph"/>
        <w:jc w:val="center"/>
        <w:rPr>
          <w:sz w:val="18"/>
          <w:szCs w:val="18"/>
        </w:rPr>
      </w:pPr>
    </w:p>
    <w:p w14:paraId="7A57A838" w14:textId="77777777" w:rsidR="009D3303" w:rsidRDefault="009D3303" w:rsidP="00D25ECE">
      <w:pPr>
        <w:pStyle w:val="Paragraph"/>
        <w:jc w:val="center"/>
        <w:rPr>
          <w:sz w:val="18"/>
          <w:szCs w:val="18"/>
        </w:rPr>
      </w:pPr>
    </w:p>
    <w:p w14:paraId="3A2D248B" w14:textId="77777777" w:rsidR="009D3303" w:rsidRDefault="009D3303" w:rsidP="00D25ECE">
      <w:pPr>
        <w:pStyle w:val="Paragraph"/>
        <w:jc w:val="center"/>
        <w:rPr>
          <w:sz w:val="18"/>
          <w:szCs w:val="18"/>
        </w:rPr>
      </w:pPr>
    </w:p>
    <w:p w14:paraId="4F94786D" w14:textId="77777777" w:rsidR="009D3303" w:rsidRDefault="009D3303" w:rsidP="00D25ECE">
      <w:pPr>
        <w:pStyle w:val="Paragraph"/>
        <w:jc w:val="center"/>
        <w:rPr>
          <w:sz w:val="18"/>
          <w:szCs w:val="18"/>
        </w:rPr>
      </w:pPr>
    </w:p>
    <w:p w14:paraId="6C93860F" w14:textId="77777777" w:rsidR="009D3303" w:rsidRDefault="009D3303" w:rsidP="00D25ECE">
      <w:pPr>
        <w:pStyle w:val="Paragraph"/>
        <w:jc w:val="center"/>
        <w:rPr>
          <w:sz w:val="18"/>
          <w:szCs w:val="18"/>
        </w:rPr>
      </w:pPr>
    </w:p>
    <w:p w14:paraId="56C071EE" w14:textId="77777777" w:rsidR="009D3303" w:rsidRDefault="009D3303" w:rsidP="00D25ECE">
      <w:pPr>
        <w:pStyle w:val="Paragraph"/>
        <w:jc w:val="center"/>
        <w:rPr>
          <w:sz w:val="18"/>
          <w:szCs w:val="18"/>
        </w:rPr>
      </w:pPr>
    </w:p>
    <w:p w14:paraId="324B60D0" w14:textId="77777777" w:rsidR="009D3303" w:rsidRDefault="009D3303" w:rsidP="00D25ECE">
      <w:pPr>
        <w:pStyle w:val="Paragraph"/>
        <w:jc w:val="center"/>
        <w:rPr>
          <w:sz w:val="18"/>
          <w:szCs w:val="18"/>
        </w:rPr>
      </w:pPr>
    </w:p>
    <w:p w14:paraId="4556B88E" w14:textId="77777777" w:rsidR="009D3303" w:rsidRDefault="009D3303" w:rsidP="00D25ECE">
      <w:pPr>
        <w:pStyle w:val="Paragraph"/>
        <w:jc w:val="center"/>
        <w:rPr>
          <w:sz w:val="18"/>
          <w:szCs w:val="18"/>
        </w:rPr>
      </w:pPr>
    </w:p>
    <w:p w14:paraId="48688479" w14:textId="77777777" w:rsidR="009D3303" w:rsidRDefault="009D3303" w:rsidP="00D25ECE">
      <w:pPr>
        <w:pStyle w:val="Paragraph"/>
        <w:jc w:val="center"/>
        <w:rPr>
          <w:sz w:val="18"/>
          <w:szCs w:val="18"/>
        </w:rPr>
      </w:pPr>
    </w:p>
    <w:p w14:paraId="0F79E80B" w14:textId="77777777" w:rsidR="009D3303" w:rsidRPr="00D25ECE" w:rsidRDefault="009D3303" w:rsidP="009D3303">
      <w:pPr>
        <w:pStyle w:val="Paragraph"/>
        <w:ind w:firstLine="0"/>
        <w:rPr>
          <w:sz w:val="18"/>
          <w:szCs w:val="18"/>
        </w:rPr>
      </w:pPr>
    </w:p>
    <w:p w14:paraId="42C53D06" w14:textId="77777777" w:rsidR="009D3303" w:rsidRDefault="009D3303" w:rsidP="00346A9D">
      <w:pPr>
        <w:pStyle w:val="Paragraph"/>
        <w:rPr>
          <w:bCs/>
        </w:rPr>
      </w:pPr>
      <w:r w:rsidRPr="009D3303">
        <w:rPr>
          <w:bCs/>
        </w:rPr>
        <w:t>Table 2 shows the results of the descriptive analysis of the average per group. Group 2 with a 2% edible coating concentration had the lowest value, meaning that the 2% edible coating concentration was more effective than other edible coating concentrations on heat-cured acrylic resin plates soaked in 8% w/v Arabica coffee for 7 days with a solution change every 24 hours at 10 a.m.</w:t>
      </w:r>
    </w:p>
    <w:p w14:paraId="7D542254" w14:textId="77777777" w:rsidR="003567A9" w:rsidRDefault="003567A9" w:rsidP="00346A9D">
      <w:pPr>
        <w:pStyle w:val="Paragraph"/>
        <w:rPr>
          <w:bCs/>
        </w:rPr>
      </w:pPr>
    </w:p>
    <w:p w14:paraId="220E9286" w14:textId="77777777" w:rsidR="003567A9" w:rsidRDefault="003567A9" w:rsidP="00346A9D">
      <w:pPr>
        <w:pStyle w:val="Paragraph"/>
        <w:rPr>
          <w:bCs/>
        </w:rPr>
      </w:pPr>
    </w:p>
    <w:p w14:paraId="437E1C54" w14:textId="77777777" w:rsidR="003567A9" w:rsidRDefault="003567A9" w:rsidP="00346A9D">
      <w:pPr>
        <w:pStyle w:val="Paragraph"/>
        <w:rPr>
          <w:bCs/>
        </w:rPr>
      </w:pPr>
    </w:p>
    <w:p w14:paraId="046FD927" w14:textId="3476FE47" w:rsidR="009D3303" w:rsidRDefault="003567A9" w:rsidP="00D14527">
      <w:pPr>
        <w:pStyle w:val="Paragraph"/>
        <w:spacing w:before="120" w:after="200"/>
        <w:ind w:firstLine="288"/>
        <w:jc w:val="center"/>
        <w:rPr>
          <w:sz w:val="18"/>
          <w:szCs w:val="18"/>
        </w:rPr>
      </w:pPr>
      <w:r w:rsidRPr="00D14527">
        <w:rPr>
          <w:b/>
          <w:bCs/>
          <w:sz w:val="18"/>
          <w:szCs w:val="18"/>
        </w:rPr>
        <w:lastRenderedPageBreak/>
        <w:t xml:space="preserve">TABLE </w:t>
      </w:r>
      <w:r w:rsidR="00D14527" w:rsidRPr="00D14527">
        <w:rPr>
          <w:b/>
          <w:bCs/>
          <w:sz w:val="18"/>
          <w:szCs w:val="18"/>
        </w:rPr>
        <w:t xml:space="preserve">3. </w:t>
      </w:r>
      <w:r w:rsidR="00D14527" w:rsidRPr="00D14527">
        <w:rPr>
          <w:sz w:val="18"/>
          <w:szCs w:val="18"/>
        </w:rPr>
        <w:t>Normality test</w:t>
      </w:r>
    </w:p>
    <w:tbl>
      <w:tblPr>
        <w:tblStyle w:val="TableGrid"/>
        <w:tblpPr w:leftFromText="180" w:rightFromText="180" w:vertAnchor="text" w:horzAnchor="margin" w:tblpXSpec="center" w:tblpY="84"/>
        <w:tblW w:w="5115" w:type="dxa"/>
        <w:tblLook w:val="04A0" w:firstRow="1" w:lastRow="0" w:firstColumn="1" w:lastColumn="0" w:noHBand="0" w:noVBand="1"/>
      </w:tblPr>
      <w:tblGrid>
        <w:gridCol w:w="1666"/>
        <w:gridCol w:w="1548"/>
        <w:gridCol w:w="1901"/>
      </w:tblGrid>
      <w:tr w:rsidR="00D14527" w:rsidRPr="00BE14AE" w14:paraId="405B5CC7" w14:textId="77777777" w:rsidTr="00D14527">
        <w:trPr>
          <w:trHeight w:val="426"/>
        </w:trPr>
        <w:tc>
          <w:tcPr>
            <w:tcW w:w="0" w:type="auto"/>
            <w:tcBorders>
              <w:left w:val="nil"/>
              <w:bottom w:val="single" w:sz="4" w:space="0" w:color="auto"/>
              <w:right w:val="nil"/>
            </w:tcBorders>
            <w:vAlign w:val="center"/>
          </w:tcPr>
          <w:p w14:paraId="49C47F02" w14:textId="77777777" w:rsidR="00D14527" w:rsidRPr="00D14527" w:rsidRDefault="00D14527" w:rsidP="0047610D">
            <w:pPr>
              <w:rPr>
                <w:rFonts w:ascii="Times" w:hAnsi="Times" w:cs="Arial"/>
                <w:b/>
                <w:bCs/>
                <w:sz w:val="18"/>
                <w:szCs w:val="18"/>
              </w:rPr>
            </w:pPr>
            <w:r w:rsidRPr="00D14527">
              <w:rPr>
                <w:rFonts w:ascii="Times" w:hAnsi="Times" w:cs="Arial"/>
                <w:b/>
                <w:bCs/>
                <w:sz w:val="18"/>
                <w:szCs w:val="18"/>
              </w:rPr>
              <w:t>Sample</w:t>
            </w:r>
          </w:p>
        </w:tc>
        <w:tc>
          <w:tcPr>
            <w:tcW w:w="0" w:type="auto"/>
            <w:tcBorders>
              <w:left w:val="nil"/>
              <w:bottom w:val="single" w:sz="4" w:space="0" w:color="auto"/>
              <w:right w:val="nil"/>
            </w:tcBorders>
            <w:vAlign w:val="center"/>
          </w:tcPr>
          <w:p w14:paraId="12493916" w14:textId="77777777" w:rsidR="00D14527" w:rsidRPr="00D14527" w:rsidRDefault="00D14527" w:rsidP="0047610D">
            <w:pPr>
              <w:jc w:val="center"/>
              <w:rPr>
                <w:rFonts w:ascii="Times" w:hAnsi="Times" w:cs="Arial"/>
                <w:b/>
                <w:bCs/>
                <w:i/>
                <w:iCs/>
                <w:sz w:val="18"/>
                <w:szCs w:val="18"/>
              </w:rPr>
            </w:pPr>
            <w:r w:rsidRPr="00D14527">
              <w:rPr>
                <w:rFonts w:ascii="Times" w:hAnsi="Times" w:cs="Arial"/>
                <w:b/>
                <w:bCs/>
                <w:i/>
                <w:iCs/>
                <w:sz w:val="18"/>
                <w:szCs w:val="18"/>
              </w:rPr>
              <w:t>Shapiro Wilk (p-value)</w:t>
            </w:r>
          </w:p>
        </w:tc>
        <w:tc>
          <w:tcPr>
            <w:tcW w:w="0" w:type="auto"/>
            <w:tcBorders>
              <w:left w:val="nil"/>
              <w:bottom w:val="single" w:sz="4" w:space="0" w:color="auto"/>
              <w:right w:val="nil"/>
            </w:tcBorders>
            <w:vAlign w:val="center"/>
          </w:tcPr>
          <w:p w14:paraId="1E1FADCD" w14:textId="77777777" w:rsidR="00D14527" w:rsidRPr="00D14527" w:rsidRDefault="00D14527" w:rsidP="0047610D">
            <w:pPr>
              <w:jc w:val="center"/>
              <w:rPr>
                <w:rFonts w:ascii="Times" w:hAnsi="Times" w:cs="Arial"/>
                <w:b/>
                <w:bCs/>
                <w:sz w:val="18"/>
                <w:szCs w:val="18"/>
              </w:rPr>
            </w:pPr>
            <w:r w:rsidRPr="00D14527">
              <w:rPr>
                <w:rFonts w:ascii="Times" w:hAnsi="Times" w:cs="Arial"/>
                <w:b/>
                <w:bCs/>
                <w:sz w:val="18"/>
                <w:szCs w:val="18"/>
              </w:rPr>
              <w:t>Explanation</w:t>
            </w:r>
          </w:p>
        </w:tc>
      </w:tr>
      <w:tr w:rsidR="00D14527" w:rsidRPr="00BE14AE" w14:paraId="7F40E592" w14:textId="77777777" w:rsidTr="00D14527">
        <w:trPr>
          <w:trHeight w:val="451"/>
        </w:trPr>
        <w:tc>
          <w:tcPr>
            <w:tcW w:w="0" w:type="auto"/>
            <w:tcBorders>
              <w:top w:val="single" w:sz="4" w:space="0" w:color="auto"/>
              <w:left w:val="nil"/>
              <w:bottom w:val="nil"/>
              <w:right w:val="nil"/>
            </w:tcBorders>
            <w:vAlign w:val="center"/>
          </w:tcPr>
          <w:p w14:paraId="0C0306D4" w14:textId="257FC654" w:rsidR="00D14527" w:rsidRPr="00BE14AE" w:rsidRDefault="00D14527" w:rsidP="0047610D">
            <w:pPr>
              <w:jc w:val="center"/>
              <w:rPr>
                <w:rFonts w:ascii="Times" w:hAnsi="Times" w:cs="Arial"/>
                <w:sz w:val="20"/>
              </w:rPr>
            </w:pPr>
            <w:r>
              <w:rPr>
                <w:rFonts w:ascii="Times" w:hAnsi="Times" w:cs="Arial"/>
                <w:sz w:val="20"/>
              </w:rPr>
              <w:t>Without</w:t>
            </w:r>
            <w:r w:rsidRPr="00BE14AE">
              <w:rPr>
                <w:rFonts w:ascii="Times" w:hAnsi="Times" w:cs="Arial"/>
                <w:sz w:val="20"/>
              </w:rPr>
              <w:t xml:space="preserve"> </w:t>
            </w:r>
            <w:r w:rsidRPr="00BE14AE">
              <w:rPr>
                <w:rFonts w:ascii="Times" w:hAnsi="Times" w:cs="Arial"/>
                <w:i/>
                <w:iCs/>
                <w:sz w:val="20"/>
              </w:rPr>
              <w:t>edible coating</w:t>
            </w:r>
          </w:p>
        </w:tc>
        <w:tc>
          <w:tcPr>
            <w:tcW w:w="0" w:type="auto"/>
            <w:tcBorders>
              <w:top w:val="single" w:sz="4" w:space="0" w:color="auto"/>
              <w:left w:val="nil"/>
              <w:bottom w:val="nil"/>
              <w:right w:val="nil"/>
            </w:tcBorders>
            <w:vAlign w:val="center"/>
          </w:tcPr>
          <w:p w14:paraId="6B299FE5" w14:textId="77777777" w:rsidR="00D14527" w:rsidRPr="00BE14AE" w:rsidRDefault="00D14527" w:rsidP="0047610D">
            <w:pPr>
              <w:jc w:val="center"/>
              <w:rPr>
                <w:rFonts w:ascii="Times" w:hAnsi="Times" w:cs="Arial"/>
                <w:sz w:val="20"/>
              </w:rPr>
            </w:pPr>
            <w:r w:rsidRPr="00BE14AE">
              <w:rPr>
                <w:rFonts w:ascii="Times" w:hAnsi="Times" w:cs="Arial"/>
                <w:sz w:val="20"/>
              </w:rPr>
              <w:t>0,208</w:t>
            </w:r>
          </w:p>
        </w:tc>
        <w:tc>
          <w:tcPr>
            <w:tcW w:w="0" w:type="auto"/>
            <w:tcBorders>
              <w:top w:val="single" w:sz="4" w:space="0" w:color="auto"/>
              <w:left w:val="nil"/>
              <w:bottom w:val="nil"/>
              <w:right w:val="nil"/>
            </w:tcBorders>
            <w:vAlign w:val="center"/>
          </w:tcPr>
          <w:p w14:paraId="36E80CD4" w14:textId="77777777" w:rsidR="00D14527" w:rsidRPr="00BE14AE" w:rsidRDefault="00D14527" w:rsidP="0047610D">
            <w:pPr>
              <w:jc w:val="center"/>
              <w:rPr>
                <w:rFonts w:ascii="Times" w:hAnsi="Times" w:cs="Arial"/>
                <w:sz w:val="20"/>
              </w:rPr>
            </w:pPr>
            <w:r w:rsidRPr="00BE14AE">
              <w:rPr>
                <w:rFonts w:ascii="Times" w:hAnsi="Times" w:cs="Arial"/>
                <w:sz w:val="20"/>
              </w:rPr>
              <w:t>Normally distributed data</w:t>
            </w:r>
          </w:p>
        </w:tc>
      </w:tr>
      <w:tr w:rsidR="00D14527" w:rsidRPr="00BE14AE" w14:paraId="7C4FFF58" w14:textId="77777777" w:rsidTr="00D14527">
        <w:trPr>
          <w:trHeight w:val="426"/>
        </w:trPr>
        <w:tc>
          <w:tcPr>
            <w:tcW w:w="0" w:type="auto"/>
            <w:tcBorders>
              <w:top w:val="nil"/>
              <w:left w:val="nil"/>
              <w:bottom w:val="nil"/>
              <w:right w:val="nil"/>
            </w:tcBorders>
            <w:vAlign w:val="center"/>
          </w:tcPr>
          <w:p w14:paraId="77B419F5" w14:textId="77777777" w:rsidR="00D14527" w:rsidRPr="00BE14AE" w:rsidRDefault="00D14527" w:rsidP="0047610D">
            <w:pPr>
              <w:jc w:val="center"/>
              <w:rPr>
                <w:rFonts w:ascii="Times" w:hAnsi="Times" w:cs="Arial"/>
                <w:sz w:val="20"/>
              </w:rPr>
            </w:pPr>
            <w:r w:rsidRPr="00BE14AE">
              <w:rPr>
                <w:rFonts w:ascii="Times" w:hAnsi="Times" w:cs="Arial"/>
                <w:i/>
                <w:iCs/>
                <w:sz w:val="20"/>
              </w:rPr>
              <w:t>Edible coating</w:t>
            </w:r>
            <w:r w:rsidRPr="00BE14AE">
              <w:rPr>
                <w:rFonts w:ascii="Times" w:hAnsi="Times" w:cs="Arial"/>
                <w:sz w:val="20"/>
              </w:rPr>
              <w:t xml:space="preserve"> 2%</w:t>
            </w:r>
          </w:p>
        </w:tc>
        <w:tc>
          <w:tcPr>
            <w:tcW w:w="0" w:type="auto"/>
            <w:tcBorders>
              <w:top w:val="nil"/>
              <w:left w:val="nil"/>
              <w:bottom w:val="nil"/>
              <w:right w:val="nil"/>
            </w:tcBorders>
            <w:vAlign w:val="center"/>
          </w:tcPr>
          <w:p w14:paraId="5354B906" w14:textId="77777777" w:rsidR="00D14527" w:rsidRPr="00BE14AE" w:rsidRDefault="00D14527" w:rsidP="0047610D">
            <w:pPr>
              <w:jc w:val="center"/>
              <w:rPr>
                <w:rFonts w:ascii="Times" w:hAnsi="Times" w:cs="Arial"/>
                <w:sz w:val="20"/>
              </w:rPr>
            </w:pPr>
            <w:r w:rsidRPr="00BE14AE">
              <w:rPr>
                <w:rFonts w:ascii="Times" w:hAnsi="Times" w:cs="Arial"/>
                <w:sz w:val="20"/>
              </w:rPr>
              <w:t>0,070</w:t>
            </w:r>
          </w:p>
        </w:tc>
        <w:tc>
          <w:tcPr>
            <w:tcW w:w="0" w:type="auto"/>
            <w:tcBorders>
              <w:top w:val="nil"/>
              <w:left w:val="nil"/>
              <w:bottom w:val="nil"/>
              <w:right w:val="nil"/>
            </w:tcBorders>
            <w:vAlign w:val="center"/>
          </w:tcPr>
          <w:p w14:paraId="744B001B" w14:textId="77777777" w:rsidR="00D14527" w:rsidRPr="00BE14AE" w:rsidRDefault="00D14527" w:rsidP="0047610D">
            <w:pPr>
              <w:jc w:val="center"/>
              <w:rPr>
                <w:rFonts w:ascii="Times" w:hAnsi="Times" w:cs="Arial"/>
                <w:sz w:val="20"/>
              </w:rPr>
            </w:pPr>
            <w:r w:rsidRPr="00BE14AE">
              <w:rPr>
                <w:rFonts w:ascii="Times" w:hAnsi="Times" w:cs="Arial"/>
                <w:sz w:val="20"/>
              </w:rPr>
              <w:t>Normally distributed data</w:t>
            </w:r>
          </w:p>
        </w:tc>
      </w:tr>
      <w:tr w:rsidR="00D14527" w:rsidRPr="00BE14AE" w14:paraId="31142F16" w14:textId="77777777" w:rsidTr="00D14527">
        <w:trPr>
          <w:trHeight w:val="451"/>
        </w:trPr>
        <w:tc>
          <w:tcPr>
            <w:tcW w:w="0" w:type="auto"/>
            <w:tcBorders>
              <w:top w:val="nil"/>
              <w:left w:val="nil"/>
              <w:bottom w:val="nil"/>
              <w:right w:val="nil"/>
            </w:tcBorders>
            <w:vAlign w:val="center"/>
          </w:tcPr>
          <w:p w14:paraId="2403D6C5" w14:textId="77777777" w:rsidR="00D14527" w:rsidRPr="00BE14AE" w:rsidRDefault="00D14527" w:rsidP="0047610D">
            <w:pPr>
              <w:jc w:val="center"/>
              <w:rPr>
                <w:rFonts w:ascii="Times" w:hAnsi="Times" w:cs="Arial"/>
                <w:sz w:val="20"/>
              </w:rPr>
            </w:pPr>
            <w:r w:rsidRPr="00BE14AE">
              <w:rPr>
                <w:rFonts w:ascii="Times" w:hAnsi="Times" w:cs="Arial"/>
                <w:i/>
                <w:iCs/>
                <w:sz w:val="20"/>
              </w:rPr>
              <w:t>Edible coating</w:t>
            </w:r>
            <w:r w:rsidRPr="00BE14AE">
              <w:rPr>
                <w:rFonts w:ascii="Times" w:hAnsi="Times" w:cs="Arial"/>
                <w:sz w:val="20"/>
              </w:rPr>
              <w:t xml:space="preserve"> 4%</w:t>
            </w:r>
          </w:p>
        </w:tc>
        <w:tc>
          <w:tcPr>
            <w:tcW w:w="0" w:type="auto"/>
            <w:tcBorders>
              <w:top w:val="nil"/>
              <w:left w:val="nil"/>
              <w:bottom w:val="nil"/>
              <w:right w:val="nil"/>
            </w:tcBorders>
            <w:vAlign w:val="center"/>
          </w:tcPr>
          <w:p w14:paraId="42530A86" w14:textId="77777777" w:rsidR="00D14527" w:rsidRPr="00BE14AE" w:rsidRDefault="00D14527" w:rsidP="0047610D">
            <w:pPr>
              <w:jc w:val="center"/>
              <w:rPr>
                <w:rFonts w:ascii="Times" w:hAnsi="Times" w:cs="Arial"/>
                <w:sz w:val="20"/>
              </w:rPr>
            </w:pPr>
            <w:r w:rsidRPr="00BE14AE">
              <w:rPr>
                <w:rFonts w:ascii="Times" w:hAnsi="Times" w:cs="Arial"/>
                <w:sz w:val="20"/>
              </w:rPr>
              <w:t>0,593</w:t>
            </w:r>
          </w:p>
        </w:tc>
        <w:tc>
          <w:tcPr>
            <w:tcW w:w="0" w:type="auto"/>
            <w:tcBorders>
              <w:top w:val="nil"/>
              <w:left w:val="nil"/>
              <w:bottom w:val="nil"/>
              <w:right w:val="nil"/>
            </w:tcBorders>
            <w:vAlign w:val="center"/>
          </w:tcPr>
          <w:p w14:paraId="06C7910C" w14:textId="77777777" w:rsidR="00D14527" w:rsidRPr="00BE14AE" w:rsidRDefault="00D14527" w:rsidP="0047610D">
            <w:pPr>
              <w:jc w:val="center"/>
              <w:rPr>
                <w:rFonts w:ascii="Times" w:hAnsi="Times" w:cs="Arial"/>
                <w:sz w:val="20"/>
              </w:rPr>
            </w:pPr>
            <w:r w:rsidRPr="00BE14AE">
              <w:rPr>
                <w:rFonts w:ascii="Times" w:hAnsi="Times" w:cs="Arial"/>
                <w:sz w:val="20"/>
              </w:rPr>
              <w:t>Normally distributed data</w:t>
            </w:r>
          </w:p>
        </w:tc>
      </w:tr>
      <w:tr w:rsidR="00D14527" w:rsidRPr="00BE14AE" w14:paraId="2C73205A" w14:textId="77777777" w:rsidTr="00D14527">
        <w:trPr>
          <w:trHeight w:val="426"/>
        </w:trPr>
        <w:tc>
          <w:tcPr>
            <w:tcW w:w="0" w:type="auto"/>
            <w:tcBorders>
              <w:top w:val="nil"/>
              <w:left w:val="nil"/>
              <w:bottom w:val="single" w:sz="4" w:space="0" w:color="auto"/>
              <w:right w:val="nil"/>
            </w:tcBorders>
            <w:vAlign w:val="center"/>
          </w:tcPr>
          <w:p w14:paraId="6E5F1B88" w14:textId="77777777" w:rsidR="00D14527" w:rsidRPr="00BE14AE" w:rsidRDefault="00D14527" w:rsidP="0047610D">
            <w:pPr>
              <w:jc w:val="center"/>
              <w:rPr>
                <w:rFonts w:ascii="Times" w:hAnsi="Times" w:cs="Arial"/>
                <w:sz w:val="20"/>
              </w:rPr>
            </w:pPr>
            <w:r w:rsidRPr="00BE14AE">
              <w:rPr>
                <w:rFonts w:ascii="Times" w:hAnsi="Times" w:cs="Arial"/>
                <w:i/>
                <w:iCs/>
                <w:sz w:val="20"/>
              </w:rPr>
              <w:t>Edible coating</w:t>
            </w:r>
            <w:r w:rsidRPr="00BE14AE">
              <w:rPr>
                <w:rFonts w:ascii="Times" w:hAnsi="Times" w:cs="Arial"/>
                <w:sz w:val="20"/>
              </w:rPr>
              <w:t xml:space="preserve"> 6%</w:t>
            </w:r>
          </w:p>
        </w:tc>
        <w:tc>
          <w:tcPr>
            <w:tcW w:w="0" w:type="auto"/>
            <w:tcBorders>
              <w:top w:val="nil"/>
              <w:left w:val="nil"/>
              <w:bottom w:val="single" w:sz="4" w:space="0" w:color="auto"/>
              <w:right w:val="nil"/>
            </w:tcBorders>
            <w:vAlign w:val="center"/>
          </w:tcPr>
          <w:p w14:paraId="51B0279E" w14:textId="77777777" w:rsidR="00D14527" w:rsidRPr="00BE14AE" w:rsidRDefault="00D14527" w:rsidP="0047610D">
            <w:pPr>
              <w:jc w:val="center"/>
              <w:rPr>
                <w:rFonts w:ascii="Times" w:hAnsi="Times" w:cs="Arial"/>
                <w:sz w:val="20"/>
              </w:rPr>
            </w:pPr>
            <w:r w:rsidRPr="00BE14AE">
              <w:rPr>
                <w:rFonts w:ascii="Times" w:hAnsi="Times" w:cs="Arial"/>
                <w:sz w:val="20"/>
              </w:rPr>
              <w:t>0,470</w:t>
            </w:r>
          </w:p>
        </w:tc>
        <w:tc>
          <w:tcPr>
            <w:tcW w:w="0" w:type="auto"/>
            <w:tcBorders>
              <w:top w:val="nil"/>
              <w:left w:val="nil"/>
              <w:bottom w:val="single" w:sz="4" w:space="0" w:color="auto"/>
              <w:right w:val="nil"/>
            </w:tcBorders>
            <w:vAlign w:val="center"/>
          </w:tcPr>
          <w:p w14:paraId="6DECB1EF" w14:textId="77777777" w:rsidR="00D14527" w:rsidRPr="00BE14AE" w:rsidRDefault="00D14527" w:rsidP="0047610D">
            <w:pPr>
              <w:jc w:val="center"/>
              <w:rPr>
                <w:rFonts w:ascii="Times" w:hAnsi="Times" w:cs="Arial"/>
                <w:sz w:val="20"/>
              </w:rPr>
            </w:pPr>
            <w:r w:rsidRPr="00BE14AE">
              <w:rPr>
                <w:rFonts w:ascii="Times" w:hAnsi="Times" w:cs="Arial"/>
                <w:sz w:val="20"/>
              </w:rPr>
              <w:t>Normally distributed data</w:t>
            </w:r>
          </w:p>
        </w:tc>
      </w:tr>
    </w:tbl>
    <w:p w14:paraId="74A6FDFB" w14:textId="77777777" w:rsidR="00D14527" w:rsidRPr="00D14527" w:rsidRDefault="00D14527" w:rsidP="009D3303">
      <w:pPr>
        <w:pStyle w:val="Paragraph"/>
        <w:spacing w:before="120" w:after="200"/>
        <w:ind w:firstLine="288"/>
        <w:jc w:val="center"/>
        <w:rPr>
          <w:sz w:val="18"/>
          <w:szCs w:val="18"/>
        </w:rPr>
      </w:pPr>
    </w:p>
    <w:p w14:paraId="549B87A2" w14:textId="77777777" w:rsidR="00D14527" w:rsidRDefault="00D14527" w:rsidP="00346A9D">
      <w:pPr>
        <w:pStyle w:val="Paragraph"/>
      </w:pPr>
    </w:p>
    <w:p w14:paraId="77E64C09" w14:textId="77777777" w:rsidR="00D14527" w:rsidRDefault="00D14527" w:rsidP="00346A9D">
      <w:pPr>
        <w:pStyle w:val="Paragraph"/>
      </w:pPr>
    </w:p>
    <w:p w14:paraId="6A9C2131" w14:textId="77777777" w:rsidR="00D14527" w:rsidRDefault="00D14527" w:rsidP="00346A9D">
      <w:pPr>
        <w:pStyle w:val="Paragraph"/>
      </w:pPr>
    </w:p>
    <w:p w14:paraId="0969331B" w14:textId="77777777" w:rsidR="00D14527" w:rsidRDefault="00D14527" w:rsidP="00346A9D">
      <w:pPr>
        <w:pStyle w:val="Paragraph"/>
      </w:pPr>
    </w:p>
    <w:p w14:paraId="090C1893" w14:textId="77777777" w:rsidR="00D14527" w:rsidRDefault="00D14527" w:rsidP="00346A9D">
      <w:pPr>
        <w:pStyle w:val="Paragraph"/>
      </w:pPr>
    </w:p>
    <w:p w14:paraId="3B8C0C19" w14:textId="77777777" w:rsidR="003567A9" w:rsidRDefault="003567A9" w:rsidP="00346A9D">
      <w:pPr>
        <w:pStyle w:val="Paragraph"/>
      </w:pPr>
    </w:p>
    <w:p w14:paraId="00E3900C" w14:textId="77777777" w:rsidR="003567A9" w:rsidRDefault="003567A9" w:rsidP="00346A9D">
      <w:pPr>
        <w:pStyle w:val="Paragraph"/>
      </w:pPr>
    </w:p>
    <w:p w14:paraId="3B66897C" w14:textId="77777777" w:rsidR="003567A9" w:rsidRDefault="003567A9" w:rsidP="00346A9D">
      <w:pPr>
        <w:pStyle w:val="Paragraph"/>
      </w:pPr>
    </w:p>
    <w:p w14:paraId="2AF80B3E" w14:textId="77777777" w:rsidR="003567A9" w:rsidRDefault="003567A9" w:rsidP="00346A9D">
      <w:pPr>
        <w:pStyle w:val="Paragraph"/>
      </w:pPr>
    </w:p>
    <w:p w14:paraId="196BAF3F" w14:textId="6C440D9C" w:rsidR="00D14527" w:rsidRPr="00D14527" w:rsidRDefault="00D14527" w:rsidP="00D14527">
      <w:pPr>
        <w:pStyle w:val="Paragraph"/>
        <w:rPr>
          <w:bCs/>
        </w:rPr>
      </w:pPr>
      <w:r w:rsidRPr="00D14527">
        <w:rPr>
          <w:bCs/>
        </w:rPr>
        <w:t>The results of the normality test using Shapiro Wilk to determine the normality distribution of each group. A group is said to be normally distributed if it has a p-value &gt; 0.05. The test results show that all groups, namely without edible coating, 2% edible coating, 4% edible coating, and 6% edible coating have a Sig. (p-value) greater than α (0.05), so it can be interpreted that all groups have normally distributed data.</w:t>
      </w:r>
      <w:r w:rsidR="00346A9D" w:rsidRPr="00075EA6">
        <w:t xml:space="preserve"> </w:t>
      </w:r>
    </w:p>
    <w:p w14:paraId="43032F8D" w14:textId="6A37B06A" w:rsidR="00D14527" w:rsidRDefault="003567A9" w:rsidP="00D14527">
      <w:pPr>
        <w:pStyle w:val="Paragraph"/>
        <w:spacing w:before="120" w:after="200"/>
        <w:ind w:firstLine="288"/>
        <w:jc w:val="center"/>
        <w:rPr>
          <w:sz w:val="18"/>
          <w:szCs w:val="18"/>
        </w:rPr>
      </w:pPr>
      <w:r>
        <w:rPr>
          <w:b/>
          <w:bCs/>
          <w:sz w:val="18"/>
          <w:szCs w:val="18"/>
        </w:rPr>
        <w:t xml:space="preserve">TABLE </w:t>
      </w:r>
      <w:r w:rsidR="00D14527">
        <w:rPr>
          <w:b/>
          <w:bCs/>
          <w:sz w:val="18"/>
          <w:szCs w:val="18"/>
        </w:rPr>
        <w:t xml:space="preserve">4. </w:t>
      </w:r>
      <w:r w:rsidR="00D14527">
        <w:rPr>
          <w:sz w:val="18"/>
          <w:szCs w:val="18"/>
        </w:rPr>
        <w:t>Homogeneous data variation</w:t>
      </w:r>
    </w:p>
    <w:tbl>
      <w:tblPr>
        <w:tblStyle w:val="TableGrid"/>
        <w:tblpPr w:leftFromText="180" w:rightFromText="180" w:vertAnchor="text" w:horzAnchor="page" w:tblpXSpec="center" w:tblpY="100"/>
        <w:tblW w:w="4846" w:type="dxa"/>
        <w:tblLook w:val="04A0" w:firstRow="1" w:lastRow="0" w:firstColumn="1" w:lastColumn="0" w:noHBand="0" w:noVBand="1"/>
      </w:tblPr>
      <w:tblGrid>
        <w:gridCol w:w="1472"/>
        <w:gridCol w:w="1425"/>
        <w:gridCol w:w="1949"/>
      </w:tblGrid>
      <w:tr w:rsidR="00D14527" w:rsidRPr="00BE14AE" w14:paraId="21856123" w14:textId="77777777" w:rsidTr="000D2D12">
        <w:trPr>
          <w:trHeight w:val="255"/>
        </w:trPr>
        <w:tc>
          <w:tcPr>
            <w:tcW w:w="0" w:type="auto"/>
            <w:tcBorders>
              <w:left w:val="nil"/>
              <w:bottom w:val="single" w:sz="4" w:space="0" w:color="auto"/>
              <w:right w:val="nil"/>
            </w:tcBorders>
            <w:vAlign w:val="center"/>
          </w:tcPr>
          <w:p w14:paraId="2E9E5EED" w14:textId="77777777" w:rsidR="00D14527" w:rsidRPr="00514FCC" w:rsidRDefault="00D14527" w:rsidP="0047610D">
            <w:pPr>
              <w:jc w:val="center"/>
              <w:rPr>
                <w:rFonts w:ascii="Times" w:hAnsi="Times" w:cs="Arial"/>
                <w:b/>
                <w:bCs/>
                <w:sz w:val="18"/>
                <w:szCs w:val="18"/>
              </w:rPr>
            </w:pPr>
            <w:r w:rsidRPr="00514FCC">
              <w:rPr>
                <w:rFonts w:ascii="Times" w:hAnsi="Times" w:cs="Arial"/>
                <w:b/>
                <w:bCs/>
                <w:sz w:val="18"/>
                <w:szCs w:val="18"/>
              </w:rPr>
              <w:t>Sample</w:t>
            </w:r>
          </w:p>
        </w:tc>
        <w:tc>
          <w:tcPr>
            <w:tcW w:w="0" w:type="auto"/>
            <w:tcBorders>
              <w:left w:val="nil"/>
              <w:bottom w:val="single" w:sz="4" w:space="0" w:color="auto"/>
              <w:right w:val="nil"/>
            </w:tcBorders>
            <w:vAlign w:val="center"/>
          </w:tcPr>
          <w:p w14:paraId="0CAC7C86" w14:textId="77777777" w:rsidR="00D14527" w:rsidRPr="00514FCC" w:rsidRDefault="00D14527" w:rsidP="0047610D">
            <w:pPr>
              <w:jc w:val="center"/>
              <w:rPr>
                <w:rFonts w:ascii="Times" w:hAnsi="Times" w:cs="Arial"/>
                <w:b/>
                <w:bCs/>
                <w:i/>
                <w:iCs/>
                <w:sz w:val="18"/>
                <w:szCs w:val="18"/>
              </w:rPr>
            </w:pPr>
            <w:r w:rsidRPr="00514FCC">
              <w:rPr>
                <w:rFonts w:ascii="Times" w:hAnsi="Times" w:cs="Arial"/>
                <w:b/>
                <w:bCs/>
                <w:i/>
                <w:iCs/>
                <w:sz w:val="18"/>
                <w:szCs w:val="18"/>
              </w:rPr>
              <w:t>Uji Levene Test (p-value)</w:t>
            </w:r>
          </w:p>
        </w:tc>
        <w:tc>
          <w:tcPr>
            <w:tcW w:w="0" w:type="auto"/>
            <w:tcBorders>
              <w:left w:val="nil"/>
              <w:bottom w:val="single" w:sz="4" w:space="0" w:color="auto"/>
              <w:right w:val="nil"/>
            </w:tcBorders>
            <w:vAlign w:val="center"/>
          </w:tcPr>
          <w:p w14:paraId="5031CCA9" w14:textId="77777777" w:rsidR="00D14527" w:rsidRPr="00514FCC" w:rsidRDefault="00D14527" w:rsidP="0047610D">
            <w:pPr>
              <w:jc w:val="center"/>
              <w:rPr>
                <w:rFonts w:ascii="Times" w:hAnsi="Times" w:cs="Arial"/>
                <w:b/>
                <w:bCs/>
                <w:sz w:val="18"/>
                <w:szCs w:val="18"/>
              </w:rPr>
            </w:pPr>
            <w:r w:rsidRPr="00514FCC">
              <w:rPr>
                <w:rFonts w:ascii="Times" w:hAnsi="Times" w:cs="Arial"/>
                <w:b/>
                <w:bCs/>
                <w:sz w:val="18"/>
                <w:szCs w:val="18"/>
              </w:rPr>
              <w:t>Explanation</w:t>
            </w:r>
          </w:p>
        </w:tc>
      </w:tr>
      <w:tr w:rsidR="00D14527" w:rsidRPr="00BE14AE" w14:paraId="46889B64" w14:textId="77777777" w:rsidTr="000D2D12">
        <w:trPr>
          <w:trHeight w:val="255"/>
        </w:trPr>
        <w:tc>
          <w:tcPr>
            <w:tcW w:w="0" w:type="auto"/>
            <w:tcBorders>
              <w:top w:val="single" w:sz="4" w:space="0" w:color="auto"/>
              <w:left w:val="nil"/>
              <w:bottom w:val="nil"/>
              <w:right w:val="nil"/>
            </w:tcBorders>
          </w:tcPr>
          <w:p w14:paraId="14EC4B37" w14:textId="77777777" w:rsidR="00D14527" w:rsidRPr="00D14527" w:rsidRDefault="00D14527" w:rsidP="0047610D">
            <w:pPr>
              <w:rPr>
                <w:sz w:val="20"/>
              </w:rPr>
            </w:pPr>
            <w:proofErr w:type="spellStart"/>
            <w:r w:rsidRPr="00D14527">
              <w:rPr>
                <w:sz w:val="20"/>
              </w:rPr>
              <w:t>Wihtout</w:t>
            </w:r>
            <w:proofErr w:type="spellEnd"/>
            <w:r w:rsidRPr="00D14527">
              <w:rPr>
                <w:sz w:val="20"/>
              </w:rPr>
              <w:t xml:space="preserve"> </w:t>
            </w:r>
            <w:r w:rsidRPr="00D14527">
              <w:rPr>
                <w:i/>
                <w:iCs/>
                <w:sz w:val="20"/>
              </w:rPr>
              <w:t>edible coating</w:t>
            </w:r>
          </w:p>
        </w:tc>
        <w:tc>
          <w:tcPr>
            <w:tcW w:w="0" w:type="auto"/>
            <w:vMerge w:val="restart"/>
            <w:tcBorders>
              <w:left w:val="nil"/>
              <w:right w:val="nil"/>
            </w:tcBorders>
            <w:vAlign w:val="center"/>
          </w:tcPr>
          <w:p w14:paraId="480E4C1B" w14:textId="77777777" w:rsidR="00D14527" w:rsidRPr="00D14527" w:rsidRDefault="00D14527" w:rsidP="0047610D">
            <w:pPr>
              <w:jc w:val="center"/>
              <w:rPr>
                <w:sz w:val="20"/>
              </w:rPr>
            </w:pPr>
            <w:r w:rsidRPr="00D14527">
              <w:rPr>
                <w:sz w:val="20"/>
              </w:rPr>
              <w:t>0,416</w:t>
            </w:r>
          </w:p>
        </w:tc>
        <w:tc>
          <w:tcPr>
            <w:tcW w:w="0" w:type="auto"/>
            <w:vMerge w:val="restart"/>
            <w:tcBorders>
              <w:left w:val="nil"/>
              <w:right w:val="nil"/>
            </w:tcBorders>
            <w:vAlign w:val="center"/>
          </w:tcPr>
          <w:p w14:paraId="678A7A74" w14:textId="77777777" w:rsidR="00D14527" w:rsidRPr="00D14527" w:rsidRDefault="00D14527" w:rsidP="0047610D">
            <w:pPr>
              <w:jc w:val="center"/>
              <w:rPr>
                <w:sz w:val="20"/>
              </w:rPr>
            </w:pPr>
            <w:r w:rsidRPr="00D14527">
              <w:rPr>
                <w:sz w:val="20"/>
              </w:rPr>
              <w:t>Homogeneous data variation</w:t>
            </w:r>
          </w:p>
        </w:tc>
      </w:tr>
      <w:tr w:rsidR="00D14527" w:rsidRPr="00BE14AE" w14:paraId="0E46E3AC" w14:textId="77777777" w:rsidTr="000D2D12">
        <w:trPr>
          <w:trHeight w:val="255"/>
        </w:trPr>
        <w:tc>
          <w:tcPr>
            <w:tcW w:w="0" w:type="auto"/>
            <w:tcBorders>
              <w:top w:val="nil"/>
              <w:left w:val="nil"/>
              <w:bottom w:val="nil"/>
              <w:right w:val="nil"/>
            </w:tcBorders>
          </w:tcPr>
          <w:p w14:paraId="01BE30B6" w14:textId="77777777" w:rsidR="00D14527" w:rsidRPr="00D14527" w:rsidRDefault="00D14527" w:rsidP="0047610D">
            <w:pPr>
              <w:rPr>
                <w:sz w:val="20"/>
              </w:rPr>
            </w:pPr>
            <w:r w:rsidRPr="00D14527">
              <w:rPr>
                <w:i/>
                <w:iCs/>
                <w:sz w:val="20"/>
              </w:rPr>
              <w:t>Edible coating</w:t>
            </w:r>
            <w:r w:rsidRPr="00D14527">
              <w:rPr>
                <w:sz w:val="20"/>
              </w:rPr>
              <w:t xml:space="preserve"> 2%</w:t>
            </w:r>
          </w:p>
        </w:tc>
        <w:tc>
          <w:tcPr>
            <w:tcW w:w="0" w:type="auto"/>
            <w:vMerge/>
            <w:tcBorders>
              <w:left w:val="nil"/>
              <w:right w:val="nil"/>
            </w:tcBorders>
            <w:vAlign w:val="center"/>
          </w:tcPr>
          <w:p w14:paraId="785F6060" w14:textId="77777777" w:rsidR="00D14527" w:rsidRPr="00D14527" w:rsidRDefault="00D14527" w:rsidP="0047610D">
            <w:pPr>
              <w:jc w:val="center"/>
              <w:rPr>
                <w:sz w:val="20"/>
              </w:rPr>
            </w:pPr>
          </w:p>
        </w:tc>
        <w:tc>
          <w:tcPr>
            <w:tcW w:w="0" w:type="auto"/>
            <w:vMerge/>
            <w:tcBorders>
              <w:left w:val="nil"/>
              <w:right w:val="nil"/>
            </w:tcBorders>
          </w:tcPr>
          <w:p w14:paraId="7E012DCC" w14:textId="77777777" w:rsidR="00D14527" w:rsidRPr="00D14527" w:rsidRDefault="00D14527" w:rsidP="0047610D">
            <w:pPr>
              <w:rPr>
                <w:sz w:val="20"/>
              </w:rPr>
            </w:pPr>
          </w:p>
        </w:tc>
      </w:tr>
      <w:tr w:rsidR="00D14527" w:rsidRPr="00BE14AE" w14:paraId="421E1B93" w14:textId="77777777" w:rsidTr="000D2D12">
        <w:trPr>
          <w:trHeight w:val="255"/>
        </w:trPr>
        <w:tc>
          <w:tcPr>
            <w:tcW w:w="0" w:type="auto"/>
            <w:tcBorders>
              <w:top w:val="nil"/>
              <w:left w:val="nil"/>
              <w:bottom w:val="nil"/>
              <w:right w:val="nil"/>
            </w:tcBorders>
          </w:tcPr>
          <w:p w14:paraId="5098FB00" w14:textId="77777777" w:rsidR="00D14527" w:rsidRPr="00D14527" w:rsidRDefault="00D14527" w:rsidP="0047610D">
            <w:pPr>
              <w:rPr>
                <w:sz w:val="20"/>
              </w:rPr>
            </w:pPr>
            <w:r w:rsidRPr="00D14527">
              <w:rPr>
                <w:i/>
                <w:iCs/>
                <w:sz w:val="20"/>
              </w:rPr>
              <w:t>Edible coating</w:t>
            </w:r>
            <w:r w:rsidRPr="00D14527">
              <w:rPr>
                <w:sz w:val="20"/>
              </w:rPr>
              <w:t xml:space="preserve"> 4% </w:t>
            </w:r>
          </w:p>
        </w:tc>
        <w:tc>
          <w:tcPr>
            <w:tcW w:w="0" w:type="auto"/>
            <w:vMerge/>
            <w:tcBorders>
              <w:left w:val="nil"/>
              <w:right w:val="nil"/>
            </w:tcBorders>
            <w:vAlign w:val="center"/>
          </w:tcPr>
          <w:p w14:paraId="17E20DB6" w14:textId="77777777" w:rsidR="00D14527" w:rsidRPr="00D14527" w:rsidRDefault="00D14527" w:rsidP="0047610D">
            <w:pPr>
              <w:jc w:val="center"/>
              <w:rPr>
                <w:sz w:val="20"/>
              </w:rPr>
            </w:pPr>
          </w:p>
        </w:tc>
        <w:tc>
          <w:tcPr>
            <w:tcW w:w="0" w:type="auto"/>
            <w:vMerge/>
            <w:tcBorders>
              <w:left w:val="nil"/>
              <w:right w:val="nil"/>
            </w:tcBorders>
          </w:tcPr>
          <w:p w14:paraId="5634C95F" w14:textId="77777777" w:rsidR="00D14527" w:rsidRPr="00D14527" w:rsidRDefault="00D14527" w:rsidP="0047610D">
            <w:pPr>
              <w:rPr>
                <w:sz w:val="20"/>
              </w:rPr>
            </w:pPr>
          </w:p>
        </w:tc>
      </w:tr>
      <w:tr w:rsidR="00D14527" w:rsidRPr="00BE14AE" w14:paraId="540C5F5B" w14:textId="77777777" w:rsidTr="000D2D12">
        <w:trPr>
          <w:trHeight w:val="255"/>
        </w:trPr>
        <w:tc>
          <w:tcPr>
            <w:tcW w:w="0" w:type="auto"/>
            <w:tcBorders>
              <w:top w:val="nil"/>
              <w:left w:val="nil"/>
              <w:right w:val="nil"/>
            </w:tcBorders>
          </w:tcPr>
          <w:p w14:paraId="1814BCFB" w14:textId="77777777" w:rsidR="00D14527" w:rsidRPr="00D14527" w:rsidRDefault="00D14527" w:rsidP="0047610D">
            <w:pPr>
              <w:rPr>
                <w:sz w:val="20"/>
              </w:rPr>
            </w:pPr>
            <w:r w:rsidRPr="00D14527">
              <w:rPr>
                <w:i/>
                <w:iCs/>
                <w:sz w:val="20"/>
              </w:rPr>
              <w:t>Edible coating</w:t>
            </w:r>
            <w:r w:rsidRPr="00D14527">
              <w:rPr>
                <w:sz w:val="20"/>
              </w:rPr>
              <w:t xml:space="preserve"> 6%</w:t>
            </w:r>
          </w:p>
        </w:tc>
        <w:tc>
          <w:tcPr>
            <w:tcW w:w="0" w:type="auto"/>
            <w:vMerge/>
            <w:tcBorders>
              <w:left w:val="nil"/>
              <w:right w:val="nil"/>
            </w:tcBorders>
            <w:vAlign w:val="center"/>
          </w:tcPr>
          <w:p w14:paraId="6EA2B635" w14:textId="77777777" w:rsidR="00D14527" w:rsidRPr="00D14527" w:rsidRDefault="00D14527" w:rsidP="0047610D">
            <w:pPr>
              <w:jc w:val="center"/>
              <w:rPr>
                <w:sz w:val="20"/>
              </w:rPr>
            </w:pPr>
          </w:p>
        </w:tc>
        <w:tc>
          <w:tcPr>
            <w:tcW w:w="0" w:type="auto"/>
            <w:vMerge/>
            <w:tcBorders>
              <w:left w:val="nil"/>
              <w:right w:val="nil"/>
            </w:tcBorders>
          </w:tcPr>
          <w:p w14:paraId="733504F7" w14:textId="77777777" w:rsidR="00D14527" w:rsidRPr="00D14527" w:rsidRDefault="00D14527" w:rsidP="0047610D">
            <w:pPr>
              <w:rPr>
                <w:sz w:val="20"/>
              </w:rPr>
            </w:pPr>
          </w:p>
        </w:tc>
      </w:tr>
    </w:tbl>
    <w:p w14:paraId="462381C6" w14:textId="77777777" w:rsidR="00D14527" w:rsidRDefault="00D14527" w:rsidP="00D14527">
      <w:pPr>
        <w:pStyle w:val="Paragraph"/>
        <w:spacing w:before="120" w:after="200"/>
        <w:ind w:firstLine="288"/>
        <w:jc w:val="center"/>
      </w:pPr>
    </w:p>
    <w:p w14:paraId="68A50EF6" w14:textId="77777777" w:rsidR="00D14527" w:rsidRDefault="00D14527" w:rsidP="00D14527">
      <w:pPr>
        <w:pStyle w:val="Paragraph"/>
        <w:spacing w:before="120" w:after="200"/>
        <w:ind w:firstLine="288"/>
        <w:jc w:val="center"/>
      </w:pPr>
    </w:p>
    <w:p w14:paraId="5627C5CF" w14:textId="77777777" w:rsidR="00D14527" w:rsidRDefault="00D14527" w:rsidP="00D14527">
      <w:pPr>
        <w:pStyle w:val="Paragraph"/>
        <w:spacing w:before="120" w:after="200"/>
        <w:ind w:firstLine="288"/>
        <w:jc w:val="center"/>
      </w:pPr>
    </w:p>
    <w:p w14:paraId="7D52384E" w14:textId="77777777" w:rsidR="00D14527" w:rsidRDefault="00D14527" w:rsidP="00D14527">
      <w:pPr>
        <w:pStyle w:val="Paragraph"/>
        <w:spacing w:before="120" w:after="200"/>
        <w:ind w:firstLine="288"/>
        <w:jc w:val="center"/>
      </w:pPr>
    </w:p>
    <w:p w14:paraId="7DC08C38" w14:textId="77777777" w:rsidR="00D14527" w:rsidRDefault="00D14527" w:rsidP="00D14527">
      <w:pPr>
        <w:pStyle w:val="Paragraph"/>
        <w:spacing w:before="120" w:after="200"/>
        <w:ind w:firstLine="288"/>
        <w:jc w:val="center"/>
      </w:pPr>
    </w:p>
    <w:p w14:paraId="75B0B388" w14:textId="77777777" w:rsidR="00D14527" w:rsidRPr="00D14527" w:rsidRDefault="00D14527" w:rsidP="00D14527">
      <w:pPr>
        <w:pStyle w:val="Paragraph"/>
        <w:spacing w:before="120" w:after="200"/>
        <w:ind w:firstLine="288"/>
        <w:jc w:val="center"/>
      </w:pPr>
    </w:p>
    <w:p w14:paraId="3FBDBDBD" w14:textId="1928D27A" w:rsidR="001775D1" w:rsidRPr="001775D1" w:rsidRDefault="00D14527" w:rsidP="001775D1">
      <w:pPr>
        <w:pStyle w:val="Paragraph"/>
        <w:rPr>
          <w:bCs/>
        </w:rPr>
      </w:pPr>
      <w:r w:rsidRPr="00D14527">
        <w:rPr>
          <w:bCs/>
        </w:rPr>
        <w:t>The results of the homogeneity test using the Levene Test to determine the uniformity of variance of the data groups. A group is said to have the same variance if it has a p-value &gt; 0.05. The test results show a Sig. (p-value) value greater than α (0.05), so it can be interpreted that the data variation is homogeneous.</w:t>
      </w:r>
    </w:p>
    <w:p w14:paraId="3B61272E" w14:textId="0CB99162" w:rsidR="001775D1" w:rsidRDefault="003567A9" w:rsidP="001775D1">
      <w:pPr>
        <w:pStyle w:val="Paragraph"/>
        <w:spacing w:before="120" w:after="200"/>
        <w:ind w:firstLine="288"/>
        <w:jc w:val="center"/>
        <w:rPr>
          <w:sz w:val="18"/>
          <w:szCs w:val="18"/>
        </w:rPr>
      </w:pPr>
      <w:r>
        <w:rPr>
          <w:b/>
          <w:bCs/>
          <w:sz w:val="18"/>
          <w:szCs w:val="18"/>
        </w:rPr>
        <w:t xml:space="preserve">TABLE </w:t>
      </w:r>
      <w:r w:rsidR="001775D1">
        <w:rPr>
          <w:b/>
          <w:bCs/>
          <w:sz w:val="18"/>
          <w:szCs w:val="18"/>
        </w:rPr>
        <w:t xml:space="preserve">5. </w:t>
      </w:r>
      <w:r w:rsidR="001775D1">
        <w:rPr>
          <w:sz w:val="18"/>
          <w:szCs w:val="18"/>
        </w:rPr>
        <w:t>One-Way ANOVA</w:t>
      </w:r>
    </w:p>
    <w:tbl>
      <w:tblPr>
        <w:tblStyle w:val="TableGrid"/>
        <w:tblpPr w:leftFromText="180" w:rightFromText="180" w:vertAnchor="text" w:horzAnchor="page" w:tblpXSpec="center" w:tblpY="172"/>
        <w:tblW w:w="5508" w:type="dxa"/>
        <w:tblLook w:val="04A0" w:firstRow="1" w:lastRow="0" w:firstColumn="1" w:lastColumn="0" w:noHBand="0" w:noVBand="1"/>
      </w:tblPr>
      <w:tblGrid>
        <w:gridCol w:w="1591"/>
        <w:gridCol w:w="1738"/>
        <w:gridCol w:w="2179"/>
      </w:tblGrid>
      <w:tr w:rsidR="001775D1" w:rsidRPr="00BE14AE" w14:paraId="4F02A0E4" w14:textId="77777777" w:rsidTr="000D2D12">
        <w:trPr>
          <w:trHeight w:val="142"/>
        </w:trPr>
        <w:tc>
          <w:tcPr>
            <w:tcW w:w="0" w:type="auto"/>
            <w:tcBorders>
              <w:left w:val="nil"/>
              <w:bottom w:val="single" w:sz="4" w:space="0" w:color="auto"/>
              <w:right w:val="nil"/>
            </w:tcBorders>
            <w:vAlign w:val="center"/>
          </w:tcPr>
          <w:p w14:paraId="652D4036" w14:textId="77777777" w:rsidR="001775D1" w:rsidRPr="00514FCC" w:rsidRDefault="001775D1" w:rsidP="0047610D">
            <w:pPr>
              <w:rPr>
                <w:b/>
                <w:bCs/>
                <w:sz w:val="18"/>
                <w:szCs w:val="18"/>
              </w:rPr>
            </w:pPr>
            <w:r w:rsidRPr="00514FCC">
              <w:rPr>
                <w:b/>
                <w:bCs/>
                <w:sz w:val="18"/>
                <w:szCs w:val="18"/>
              </w:rPr>
              <w:t>Sample</w:t>
            </w:r>
          </w:p>
        </w:tc>
        <w:tc>
          <w:tcPr>
            <w:tcW w:w="0" w:type="auto"/>
            <w:tcBorders>
              <w:left w:val="nil"/>
              <w:bottom w:val="single" w:sz="4" w:space="0" w:color="auto"/>
              <w:right w:val="nil"/>
            </w:tcBorders>
            <w:vAlign w:val="center"/>
          </w:tcPr>
          <w:p w14:paraId="14054F81" w14:textId="77777777" w:rsidR="001775D1" w:rsidRPr="00514FCC" w:rsidRDefault="001775D1" w:rsidP="0047610D">
            <w:pPr>
              <w:jc w:val="center"/>
              <w:rPr>
                <w:b/>
                <w:bCs/>
                <w:i/>
                <w:iCs/>
                <w:sz w:val="18"/>
                <w:szCs w:val="18"/>
              </w:rPr>
            </w:pPr>
            <w:r w:rsidRPr="00514FCC">
              <w:rPr>
                <w:b/>
                <w:bCs/>
                <w:i/>
                <w:iCs/>
                <w:sz w:val="18"/>
                <w:szCs w:val="18"/>
              </w:rPr>
              <w:t>Uji One Way Anova (p-value)</w:t>
            </w:r>
          </w:p>
        </w:tc>
        <w:tc>
          <w:tcPr>
            <w:tcW w:w="0" w:type="auto"/>
            <w:tcBorders>
              <w:left w:val="nil"/>
              <w:bottom w:val="single" w:sz="4" w:space="0" w:color="auto"/>
              <w:right w:val="nil"/>
            </w:tcBorders>
            <w:vAlign w:val="center"/>
          </w:tcPr>
          <w:p w14:paraId="2AC7D351" w14:textId="77777777" w:rsidR="001775D1" w:rsidRPr="00514FCC" w:rsidRDefault="001775D1" w:rsidP="0047610D">
            <w:pPr>
              <w:jc w:val="center"/>
              <w:rPr>
                <w:b/>
                <w:bCs/>
                <w:sz w:val="18"/>
                <w:szCs w:val="18"/>
              </w:rPr>
            </w:pPr>
            <w:r w:rsidRPr="00514FCC">
              <w:rPr>
                <w:b/>
                <w:bCs/>
                <w:sz w:val="18"/>
                <w:szCs w:val="18"/>
              </w:rPr>
              <w:t>explanation</w:t>
            </w:r>
          </w:p>
        </w:tc>
      </w:tr>
      <w:tr w:rsidR="001775D1" w:rsidRPr="00BE14AE" w14:paraId="11CDEA9D" w14:textId="77777777" w:rsidTr="000D2D12">
        <w:trPr>
          <w:trHeight w:val="142"/>
        </w:trPr>
        <w:tc>
          <w:tcPr>
            <w:tcW w:w="0" w:type="auto"/>
            <w:tcBorders>
              <w:top w:val="single" w:sz="4" w:space="0" w:color="auto"/>
              <w:left w:val="nil"/>
              <w:bottom w:val="nil"/>
              <w:right w:val="nil"/>
            </w:tcBorders>
            <w:vAlign w:val="center"/>
          </w:tcPr>
          <w:p w14:paraId="32E33C32" w14:textId="77777777" w:rsidR="001775D1" w:rsidRPr="00BE14AE" w:rsidRDefault="001775D1" w:rsidP="0047610D">
            <w:pPr>
              <w:rPr>
                <w:sz w:val="20"/>
              </w:rPr>
            </w:pPr>
            <w:proofErr w:type="spellStart"/>
            <w:r w:rsidRPr="00BE14AE">
              <w:rPr>
                <w:sz w:val="20"/>
              </w:rPr>
              <w:t>Wihtout</w:t>
            </w:r>
            <w:proofErr w:type="spellEnd"/>
            <w:r w:rsidRPr="00BE14AE">
              <w:rPr>
                <w:sz w:val="20"/>
              </w:rPr>
              <w:t xml:space="preserve"> </w:t>
            </w:r>
            <w:r w:rsidRPr="00BE14AE">
              <w:rPr>
                <w:i/>
                <w:iCs/>
                <w:sz w:val="20"/>
              </w:rPr>
              <w:t>edible coating</w:t>
            </w:r>
          </w:p>
        </w:tc>
        <w:tc>
          <w:tcPr>
            <w:tcW w:w="0" w:type="auto"/>
            <w:vMerge w:val="restart"/>
            <w:tcBorders>
              <w:left w:val="nil"/>
              <w:right w:val="nil"/>
            </w:tcBorders>
            <w:vAlign w:val="center"/>
          </w:tcPr>
          <w:p w14:paraId="52891D2F" w14:textId="77777777" w:rsidR="001775D1" w:rsidRPr="00BE14AE" w:rsidRDefault="001775D1" w:rsidP="0047610D">
            <w:pPr>
              <w:jc w:val="center"/>
              <w:rPr>
                <w:sz w:val="20"/>
              </w:rPr>
            </w:pPr>
            <w:r w:rsidRPr="00BE14AE">
              <w:rPr>
                <w:sz w:val="20"/>
              </w:rPr>
              <w:t>0,658</w:t>
            </w:r>
          </w:p>
        </w:tc>
        <w:tc>
          <w:tcPr>
            <w:tcW w:w="0" w:type="auto"/>
            <w:vMerge w:val="restart"/>
            <w:tcBorders>
              <w:left w:val="nil"/>
              <w:right w:val="nil"/>
            </w:tcBorders>
            <w:vAlign w:val="center"/>
          </w:tcPr>
          <w:p w14:paraId="713177CD" w14:textId="77777777" w:rsidR="001775D1" w:rsidRPr="00BE14AE" w:rsidRDefault="001775D1" w:rsidP="0047610D">
            <w:pPr>
              <w:jc w:val="center"/>
              <w:rPr>
                <w:sz w:val="20"/>
              </w:rPr>
            </w:pPr>
            <w:r w:rsidRPr="00BE14AE">
              <w:rPr>
                <w:sz w:val="20"/>
              </w:rPr>
              <w:t>There is no significant difference</w:t>
            </w:r>
          </w:p>
        </w:tc>
      </w:tr>
      <w:tr w:rsidR="001775D1" w:rsidRPr="00BE14AE" w14:paraId="6F35AEC4" w14:textId="77777777" w:rsidTr="000D2D12">
        <w:trPr>
          <w:trHeight w:val="142"/>
        </w:trPr>
        <w:tc>
          <w:tcPr>
            <w:tcW w:w="0" w:type="auto"/>
            <w:tcBorders>
              <w:top w:val="nil"/>
              <w:left w:val="nil"/>
              <w:bottom w:val="nil"/>
              <w:right w:val="nil"/>
            </w:tcBorders>
            <w:vAlign w:val="center"/>
          </w:tcPr>
          <w:p w14:paraId="23AE3552" w14:textId="77777777" w:rsidR="001775D1" w:rsidRPr="00BE14AE" w:rsidRDefault="001775D1" w:rsidP="0047610D">
            <w:pPr>
              <w:rPr>
                <w:sz w:val="20"/>
              </w:rPr>
            </w:pPr>
            <w:r w:rsidRPr="00BE14AE">
              <w:rPr>
                <w:i/>
                <w:iCs/>
                <w:sz w:val="20"/>
              </w:rPr>
              <w:t>Edible coating</w:t>
            </w:r>
            <w:r w:rsidRPr="00BE14AE">
              <w:rPr>
                <w:sz w:val="20"/>
              </w:rPr>
              <w:t xml:space="preserve"> 2%</w:t>
            </w:r>
          </w:p>
        </w:tc>
        <w:tc>
          <w:tcPr>
            <w:tcW w:w="0" w:type="auto"/>
            <w:vMerge/>
            <w:tcBorders>
              <w:left w:val="nil"/>
              <w:right w:val="nil"/>
            </w:tcBorders>
            <w:vAlign w:val="center"/>
          </w:tcPr>
          <w:p w14:paraId="6D404BAD" w14:textId="77777777" w:rsidR="001775D1" w:rsidRPr="00BE14AE" w:rsidRDefault="001775D1" w:rsidP="0047610D">
            <w:pPr>
              <w:jc w:val="center"/>
              <w:rPr>
                <w:sz w:val="20"/>
              </w:rPr>
            </w:pPr>
          </w:p>
        </w:tc>
        <w:tc>
          <w:tcPr>
            <w:tcW w:w="0" w:type="auto"/>
            <w:vMerge/>
            <w:tcBorders>
              <w:left w:val="nil"/>
              <w:right w:val="nil"/>
            </w:tcBorders>
          </w:tcPr>
          <w:p w14:paraId="56A41139" w14:textId="77777777" w:rsidR="001775D1" w:rsidRPr="00BE14AE" w:rsidRDefault="001775D1" w:rsidP="0047610D">
            <w:pPr>
              <w:rPr>
                <w:sz w:val="20"/>
              </w:rPr>
            </w:pPr>
          </w:p>
        </w:tc>
      </w:tr>
      <w:tr w:rsidR="001775D1" w:rsidRPr="00BE14AE" w14:paraId="292A6FC7" w14:textId="77777777" w:rsidTr="000D2D12">
        <w:trPr>
          <w:trHeight w:val="142"/>
        </w:trPr>
        <w:tc>
          <w:tcPr>
            <w:tcW w:w="0" w:type="auto"/>
            <w:tcBorders>
              <w:top w:val="nil"/>
              <w:left w:val="nil"/>
              <w:bottom w:val="nil"/>
              <w:right w:val="nil"/>
            </w:tcBorders>
            <w:vAlign w:val="center"/>
          </w:tcPr>
          <w:p w14:paraId="797E8717" w14:textId="77777777" w:rsidR="001775D1" w:rsidRPr="00BE14AE" w:rsidRDefault="001775D1" w:rsidP="0047610D">
            <w:pPr>
              <w:rPr>
                <w:sz w:val="20"/>
              </w:rPr>
            </w:pPr>
            <w:r w:rsidRPr="00BE14AE">
              <w:rPr>
                <w:i/>
                <w:iCs/>
                <w:sz w:val="20"/>
              </w:rPr>
              <w:t>Edible coating</w:t>
            </w:r>
            <w:r w:rsidRPr="00BE14AE">
              <w:rPr>
                <w:sz w:val="20"/>
              </w:rPr>
              <w:t xml:space="preserve"> 4%</w:t>
            </w:r>
          </w:p>
        </w:tc>
        <w:tc>
          <w:tcPr>
            <w:tcW w:w="0" w:type="auto"/>
            <w:vMerge/>
            <w:tcBorders>
              <w:left w:val="nil"/>
              <w:right w:val="nil"/>
            </w:tcBorders>
            <w:vAlign w:val="center"/>
          </w:tcPr>
          <w:p w14:paraId="06118128" w14:textId="77777777" w:rsidR="001775D1" w:rsidRPr="00BE14AE" w:rsidRDefault="001775D1" w:rsidP="0047610D">
            <w:pPr>
              <w:jc w:val="center"/>
              <w:rPr>
                <w:sz w:val="20"/>
              </w:rPr>
            </w:pPr>
          </w:p>
        </w:tc>
        <w:tc>
          <w:tcPr>
            <w:tcW w:w="0" w:type="auto"/>
            <w:vMerge/>
            <w:tcBorders>
              <w:left w:val="nil"/>
              <w:right w:val="nil"/>
            </w:tcBorders>
          </w:tcPr>
          <w:p w14:paraId="6894A27C" w14:textId="77777777" w:rsidR="001775D1" w:rsidRPr="00BE14AE" w:rsidRDefault="001775D1" w:rsidP="0047610D">
            <w:pPr>
              <w:rPr>
                <w:sz w:val="20"/>
              </w:rPr>
            </w:pPr>
          </w:p>
        </w:tc>
      </w:tr>
      <w:tr w:rsidR="001775D1" w:rsidRPr="00BE14AE" w14:paraId="0521C589" w14:textId="77777777" w:rsidTr="000D2D12">
        <w:trPr>
          <w:trHeight w:val="142"/>
        </w:trPr>
        <w:tc>
          <w:tcPr>
            <w:tcW w:w="0" w:type="auto"/>
            <w:tcBorders>
              <w:top w:val="nil"/>
              <w:left w:val="nil"/>
              <w:bottom w:val="single" w:sz="4" w:space="0" w:color="auto"/>
              <w:right w:val="nil"/>
            </w:tcBorders>
            <w:vAlign w:val="center"/>
          </w:tcPr>
          <w:p w14:paraId="5C0EDB04" w14:textId="77777777" w:rsidR="001775D1" w:rsidRPr="00BE14AE" w:rsidRDefault="001775D1" w:rsidP="0047610D">
            <w:pPr>
              <w:rPr>
                <w:sz w:val="20"/>
              </w:rPr>
            </w:pPr>
            <w:r w:rsidRPr="00BE14AE">
              <w:rPr>
                <w:i/>
                <w:iCs/>
                <w:sz w:val="20"/>
              </w:rPr>
              <w:t>Edible coating</w:t>
            </w:r>
            <w:r w:rsidRPr="00BE14AE">
              <w:rPr>
                <w:sz w:val="20"/>
              </w:rPr>
              <w:t xml:space="preserve"> 6%</w:t>
            </w:r>
          </w:p>
        </w:tc>
        <w:tc>
          <w:tcPr>
            <w:tcW w:w="0" w:type="auto"/>
            <w:vMerge/>
            <w:tcBorders>
              <w:left w:val="nil"/>
              <w:right w:val="nil"/>
            </w:tcBorders>
            <w:vAlign w:val="center"/>
          </w:tcPr>
          <w:p w14:paraId="40F50B5C" w14:textId="77777777" w:rsidR="001775D1" w:rsidRPr="00BE14AE" w:rsidRDefault="001775D1" w:rsidP="0047610D">
            <w:pPr>
              <w:jc w:val="center"/>
              <w:rPr>
                <w:sz w:val="20"/>
              </w:rPr>
            </w:pPr>
          </w:p>
        </w:tc>
        <w:tc>
          <w:tcPr>
            <w:tcW w:w="0" w:type="auto"/>
            <w:vMerge/>
            <w:tcBorders>
              <w:left w:val="nil"/>
              <w:right w:val="nil"/>
            </w:tcBorders>
          </w:tcPr>
          <w:p w14:paraId="13C19946" w14:textId="77777777" w:rsidR="001775D1" w:rsidRPr="00BE14AE" w:rsidRDefault="001775D1" w:rsidP="0047610D">
            <w:pPr>
              <w:rPr>
                <w:sz w:val="20"/>
              </w:rPr>
            </w:pPr>
          </w:p>
        </w:tc>
      </w:tr>
    </w:tbl>
    <w:p w14:paraId="0AE5AE72" w14:textId="77777777" w:rsidR="001775D1" w:rsidRDefault="001775D1" w:rsidP="001775D1">
      <w:pPr>
        <w:pStyle w:val="Paragraph"/>
        <w:spacing w:before="120" w:after="200"/>
        <w:ind w:firstLine="288"/>
        <w:jc w:val="center"/>
      </w:pPr>
    </w:p>
    <w:p w14:paraId="30EA2777" w14:textId="77777777" w:rsidR="001775D1" w:rsidRDefault="001775D1" w:rsidP="001775D1">
      <w:pPr>
        <w:pStyle w:val="Paragraph"/>
        <w:spacing w:before="120" w:after="200"/>
        <w:ind w:firstLine="288"/>
        <w:jc w:val="center"/>
      </w:pPr>
    </w:p>
    <w:p w14:paraId="6345B109" w14:textId="77777777" w:rsidR="001775D1" w:rsidRDefault="001775D1" w:rsidP="001775D1">
      <w:pPr>
        <w:pStyle w:val="Paragraph"/>
        <w:spacing w:before="120" w:after="200"/>
        <w:ind w:firstLine="288"/>
        <w:jc w:val="center"/>
      </w:pPr>
    </w:p>
    <w:p w14:paraId="032A1611" w14:textId="77777777" w:rsidR="001775D1" w:rsidRDefault="001775D1" w:rsidP="001775D1">
      <w:pPr>
        <w:pStyle w:val="Paragraph"/>
        <w:spacing w:before="120" w:after="200"/>
        <w:ind w:firstLine="288"/>
        <w:jc w:val="center"/>
      </w:pPr>
    </w:p>
    <w:p w14:paraId="2B1983EE" w14:textId="77777777" w:rsidR="001775D1" w:rsidRDefault="001775D1" w:rsidP="001775D1">
      <w:pPr>
        <w:pStyle w:val="Paragraph"/>
        <w:spacing w:before="120" w:after="200"/>
        <w:ind w:firstLine="288"/>
        <w:jc w:val="center"/>
      </w:pPr>
    </w:p>
    <w:p w14:paraId="672329A5" w14:textId="77777777" w:rsidR="001775D1" w:rsidRPr="001775D1" w:rsidRDefault="001775D1" w:rsidP="001775D1">
      <w:pPr>
        <w:pStyle w:val="Paragraph"/>
        <w:spacing w:before="120" w:after="200"/>
        <w:ind w:firstLine="288"/>
        <w:jc w:val="center"/>
      </w:pPr>
    </w:p>
    <w:p w14:paraId="30C6BB5B" w14:textId="72E7BEB1" w:rsidR="00A646B3" w:rsidRPr="00075EA6" w:rsidRDefault="00514FCC" w:rsidP="00514FCC">
      <w:pPr>
        <w:pStyle w:val="Paragraph"/>
      </w:pPr>
      <w:r w:rsidRPr="00514FCC">
        <w:rPr>
          <w:bCs/>
        </w:rPr>
        <w:t>Tabel 5. shows the results of one-way ANOVA testing to test for significant differences between more than two independent groups in different samples. Data can be said to have significant differences if it has a p-value &lt;0.05. The test results show a Sig. (p-value) value greater than α (0.05), which can be interpreted that there is no significant difference between all groups, namely without applying edible coating, 2% edible coating, 4% edible coating, and 6% edible coating.</w:t>
      </w:r>
      <w:r w:rsidR="00346A9D" w:rsidRPr="00075EA6">
        <w:t xml:space="preserve">  </w:t>
      </w:r>
    </w:p>
    <w:p w14:paraId="530E6BD2" w14:textId="7B58F39B" w:rsidR="00BA3B3D" w:rsidRPr="00075EA6" w:rsidRDefault="00514FCC" w:rsidP="00A646B3">
      <w:pPr>
        <w:pStyle w:val="Heading2"/>
      </w:pPr>
      <w:r>
        <w:lastRenderedPageBreak/>
        <w:t>DISCUSSION</w:t>
      </w:r>
    </w:p>
    <w:p w14:paraId="3F195EE4" w14:textId="36EB5E97" w:rsidR="00514FCC" w:rsidRPr="00514FCC" w:rsidRDefault="00514FCC" w:rsidP="00514FCC">
      <w:pPr>
        <w:pStyle w:val="Paragraph"/>
        <w:rPr>
          <w:bCs/>
          <w:vertAlign w:val="superscript"/>
        </w:rPr>
      </w:pPr>
      <w:r w:rsidRPr="00514FCC">
        <w:rPr>
          <w:bCs/>
        </w:rPr>
        <w:t>Color changes were visually observed on heat-cured acrylic resin plates coated with edible coating at concentrations of 2%, 4%, and 6% before and after being soaked in 8% w/v Arabica coffee for 7 days. Color changes are caused by factors from coffee substances that influence porosity and dye absorption on the plate surface. Coffee has a color-changing effect on materials with a polymer structure. The dye in coffee affects the porosity of acrylic resin plates.</w:t>
      </w:r>
      <w:r w:rsidRPr="00514FCC">
        <w:rPr>
          <w:bCs/>
          <w:vertAlign w:val="superscript"/>
        </w:rPr>
        <w:t>8</w:t>
      </w:r>
      <w:r w:rsidRPr="00514FCC">
        <w:rPr>
          <w:bCs/>
        </w:rPr>
        <w:t xml:space="preserve"> Coffee has hydrophobic properties, where coffee grounds cannot dissolve in water, which causes a small portion of coffee dye to potentially be absorbed on the surface of the acrylic resin plate and cause porosity. Color changes are interrelated with the occurrence of porosity because it facilitates the penetration of substances that result in the deposition of color pigments on the surface of the denture base that can be absorbed.</w:t>
      </w:r>
      <w:r w:rsidRPr="00514FCC">
        <w:rPr>
          <w:bCs/>
          <w:vertAlign w:val="superscript"/>
        </w:rPr>
        <w:t>9</w:t>
      </w:r>
    </w:p>
    <w:p w14:paraId="5D8B2F23" w14:textId="7E988977" w:rsidR="00514FCC" w:rsidRPr="00514FCC" w:rsidRDefault="00514FCC" w:rsidP="00514FCC">
      <w:pPr>
        <w:pStyle w:val="Paragraph"/>
        <w:rPr>
          <w:vertAlign w:val="superscript"/>
        </w:rPr>
      </w:pPr>
      <w:r w:rsidRPr="00514FCC">
        <w:rPr>
          <w:bCs/>
        </w:rPr>
        <w:t>Tannins are phenolic compounds with acidic properties and H+ ions, which facilitate the release of acid molecules in solution. H+ ions work by breaking the double bonds between C=O molecules in polymethyl methacrylate. This bond rupture causes the polymer chain to become unstable and damage the acrylic resin structure. The acid molecules in phenolic compounds are highly erosive, creating pores, facilitating dye penetration and the accumulation of color stains.</w:t>
      </w:r>
      <w:r w:rsidRPr="00514FCC">
        <w:rPr>
          <w:bCs/>
          <w:vertAlign w:val="superscript"/>
        </w:rPr>
        <w:t xml:space="preserve">10 </w:t>
      </w:r>
      <w:proofErr w:type="spellStart"/>
      <w:r w:rsidRPr="00514FCC">
        <w:rPr>
          <w:bCs/>
        </w:rPr>
        <w:t>Imirzalioglu</w:t>
      </w:r>
      <w:proofErr w:type="spellEnd"/>
      <w:r w:rsidRPr="00514FCC">
        <w:rPr>
          <w:bCs/>
        </w:rPr>
        <w:t xml:space="preserve"> (2010) recommends soaking for 7 days because after 7 days, the heat-cured acrylic resin plate undergoes a stabilization process through the aging process. The initial increase and then decrease in color change is related to the loss of the accumulated layer. A layer forms on the surface of the coffee solution at a certain thickness; this layer tends to detach from the surface of the acrylic resin plate and then dissolves back into the coffee solution.</w:t>
      </w:r>
      <w:r w:rsidRPr="00514FCC">
        <w:rPr>
          <w:bCs/>
          <w:vertAlign w:val="superscript"/>
        </w:rPr>
        <w:t>11</w:t>
      </w:r>
    </w:p>
    <w:p w14:paraId="65F1F03D" w14:textId="3CDE866D" w:rsidR="00514FCC" w:rsidRPr="00514FCC" w:rsidRDefault="00514FCC" w:rsidP="00514FCC">
      <w:pPr>
        <w:pStyle w:val="Paragraph"/>
        <w:rPr>
          <w:vertAlign w:val="superscript"/>
        </w:rPr>
      </w:pPr>
      <w:r w:rsidRPr="00514FCC">
        <w:rPr>
          <w:bCs/>
        </w:rPr>
        <w:t>Edible coating with a concentration of 2% has more effective results than other edible coating concentrations. At a concentration of 6%, the chitosan solution is very difficult to homogenize because it has a high chitosan content and is not comparable to the solvent, thus causing the edible coating to be more difficult to adhere. If chitosan has a higher concentration, it will have an effect on increasing the viscosity value of the solution which affects the thickness and durability of the chitosan layer. Food products require a low viscosity edible coating because the lower the viscosity value will affect the diffusion of chitosan to the surface of the food material, so that a high concentration will affect the drying process and the formation of the product surface layer for a long time.</w:t>
      </w:r>
      <w:r w:rsidRPr="00514FCC">
        <w:rPr>
          <w:vertAlign w:val="superscript"/>
        </w:rPr>
        <w:t>1</w:t>
      </w:r>
    </w:p>
    <w:p w14:paraId="70C671F1" w14:textId="3FD7E887" w:rsidR="00514FCC" w:rsidRPr="00514FCC" w:rsidRDefault="00514FCC" w:rsidP="00514FCC">
      <w:pPr>
        <w:pStyle w:val="Paragraph"/>
        <w:rPr>
          <w:bCs/>
          <w:vertAlign w:val="superscript"/>
        </w:rPr>
      </w:pPr>
      <w:r w:rsidRPr="00514FCC">
        <w:rPr>
          <w:bCs/>
        </w:rPr>
        <w:t>The α-value of 0.658 was obtained for the group without edible coating and the group with 2%, 4%, and 6% edible coating applied to heat-cured acrylic resin plates. The statistical results showed no significant difference between the group without edible coating and the group with 2%, 4%, and 6% edible coating applied to heat-cured acrylic resin plates soaked in an 8% w/v Arabica coffee solution for 7 days. The spectrophotometer uses long-wavelength ultraviolet light with a wavelength of 10–200 nm and near-wavelength ultraviolet light with a wavelength range of 200–400 nm. Ultraviolet light can be seen by some animals, including birds, reptiles, and insects, but not by humans.</w:t>
      </w:r>
      <w:r w:rsidRPr="00514FCC">
        <w:rPr>
          <w:bCs/>
          <w:vertAlign w:val="superscript"/>
        </w:rPr>
        <w:t>13</w:t>
      </w:r>
      <w:r w:rsidRPr="00514FCC">
        <w:rPr>
          <w:bCs/>
        </w:rPr>
        <w:t>the process of seeing color in humans is due to light hitting an object and the object reflects light to the eye. In human vision.</w:t>
      </w:r>
      <w:proofErr w:type="gramStart"/>
      <w:r w:rsidRPr="00514FCC">
        <w:rPr>
          <w:bCs/>
          <w:vertAlign w:val="superscript"/>
        </w:rPr>
        <w:t xml:space="preserve">14 </w:t>
      </w:r>
      <w:r w:rsidRPr="00514FCC">
        <w:rPr>
          <w:bCs/>
        </w:rPr>
        <w:t xml:space="preserve"> The</w:t>
      </w:r>
      <w:proofErr w:type="gramEnd"/>
      <w:r w:rsidRPr="00514FCC">
        <w:rPr>
          <w:bCs/>
        </w:rPr>
        <w:t xml:space="preserve"> color on the acrylic resin plate only has a slight change and the UV-PC Spectrophotometer sees more details on color changes by using the absorbance value on the acrylic resin plate, so it can be concluded that there is a difference between human vision and the UV-PC Spectrophotometer.</w:t>
      </w:r>
      <w:r w:rsidRPr="00514FCC">
        <w:t xml:space="preserve"> </w:t>
      </w:r>
    </w:p>
    <w:p w14:paraId="2234C3BE" w14:textId="59005038" w:rsidR="00514FCC" w:rsidRPr="00514FCC" w:rsidRDefault="00514FCC" w:rsidP="00514FCC">
      <w:pPr>
        <w:pStyle w:val="Paragraph"/>
        <w:rPr>
          <w:bCs/>
          <w:vertAlign w:val="superscript"/>
        </w:rPr>
      </w:pPr>
      <w:r w:rsidRPr="00514FCC">
        <w:rPr>
          <w:bCs/>
        </w:rPr>
        <w:t>The use of chitosan as the primary ingredient in edible coatings is one factor that makes it difficult to homogenize. Chitosan functions to extend the shelf life of agricultural products. However, chitosan has the disadvantage of having low water-repellent properties, requiring additional lipids to produce edible coatings. The function of lipids is to slow the rate of transparency, thus affecting water loss due to high evaporation, which can lead to wilting of food products. One type of lipid is beeswax. The combination of chitosan and beeswax increases the hydrophobic properties, preventing an increase in moisture in food products.</w:t>
      </w:r>
      <w:r w:rsidRPr="00514FCC">
        <w:rPr>
          <w:bCs/>
          <w:vertAlign w:val="superscript"/>
        </w:rPr>
        <w:t>15</w:t>
      </w:r>
    </w:p>
    <w:p w14:paraId="27998222" w14:textId="5D46128F" w:rsidR="00514FCC" w:rsidRDefault="00514FCC" w:rsidP="00514FCC">
      <w:pPr>
        <w:pStyle w:val="Paragraph"/>
      </w:pPr>
      <w:r w:rsidRPr="00514FCC">
        <w:rPr>
          <w:bCs/>
        </w:rPr>
        <w:t>The method of applying edible coatings and the application requirements affect the quality of the coating adhering to acrylic resin plates. Requirements that must be considered when applying edible coatings include the interaction of the edible coating with the texture and surface of the object, the object's shelf life, changes in color, texture, and taste due to the interaction of the edible coating, and the response and sensitivity to the environment.</w:t>
      </w:r>
      <w:r w:rsidRPr="00514FCC">
        <w:rPr>
          <w:bCs/>
          <w:vertAlign w:val="superscript"/>
        </w:rPr>
        <w:t xml:space="preserve">16 </w:t>
      </w:r>
      <w:r w:rsidRPr="00514FCC">
        <w:rPr>
          <w:bCs/>
        </w:rPr>
        <w:t>This study used the brushing method which has the weakness of the potential for uneven application of edible coating, resulting in areas with brush strokes that indicate unevenness of the edible coating surface.</w:t>
      </w:r>
      <w:r w:rsidRPr="00514FCC">
        <w:rPr>
          <w:bCs/>
          <w:vertAlign w:val="superscript"/>
        </w:rPr>
        <w:t>17</w:t>
      </w:r>
      <w:r w:rsidR="00BA3B3D" w:rsidRPr="00075EA6">
        <w:t xml:space="preserve"> </w:t>
      </w:r>
    </w:p>
    <w:p w14:paraId="238F91B4" w14:textId="65D26CCC" w:rsidR="00D87E2A" w:rsidRDefault="00D87E2A" w:rsidP="00D87E2A">
      <w:pPr>
        <w:pStyle w:val="Heading1"/>
        <w:rPr>
          <w:b w:val="0"/>
          <w:caps w:val="0"/>
          <w:sz w:val="20"/>
        </w:rPr>
      </w:pPr>
      <w:r>
        <w:rPr>
          <w:rFonts w:asciiTheme="majorBidi" w:hAnsiTheme="majorBidi" w:cstheme="majorBidi"/>
        </w:rPr>
        <w:t>CONCLUSION</w:t>
      </w:r>
    </w:p>
    <w:p w14:paraId="6E18FD69" w14:textId="5D89F3B8" w:rsidR="00514FCC" w:rsidRDefault="00514FCC" w:rsidP="003B0050">
      <w:pPr>
        <w:pStyle w:val="Paragraph"/>
        <w:rPr>
          <w:rFonts w:asciiTheme="majorBidi" w:hAnsiTheme="majorBidi" w:cstheme="majorBidi"/>
        </w:rPr>
      </w:pPr>
      <w:r w:rsidRPr="00514FCC">
        <w:rPr>
          <w:rFonts w:asciiTheme="majorBidi" w:hAnsiTheme="majorBidi" w:cstheme="majorBidi"/>
        </w:rPr>
        <w:t>Descriptive analysis showed the effect of a 2% edible coating concentration and an 8% w/v Arabica coffee immersion on the colorfastness of heat-cured acrylic resin plates soaked for 7 days. Statistical analysis showed no significant difference between 2%, 4%, and 6% edible coating on the colorfastness of heat-cured acrylic resin plates soaked in 8% w/v Arabica coffee for 7 days.</w:t>
      </w:r>
      <w:r w:rsidR="00D87E2A">
        <w:rPr>
          <w:rFonts w:asciiTheme="majorBidi" w:hAnsiTheme="majorBidi" w:cstheme="majorBidi"/>
        </w:rPr>
        <w:t xml:space="preserve"> </w:t>
      </w:r>
    </w:p>
    <w:p w14:paraId="55D56508" w14:textId="17152D98" w:rsidR="00D87E2A" w:rsidRPr="00A24F3D" w:rsidRDefault="00D87E2A" w:rsidP="003B0050">
      <w:pPr>
        <w:pStyle w:val="Paragraph"/>
      </w:pPr>
    </w:p>
    <w:p w14:paraId="7691B80C" w14:textId="1045223C" w:rsidR="00613B4D" w:rsidRPr="00075EA6" w:rsidRDefault="0016385D" w:rsidP="00613B4D">
      <w:pPr>
        <w:pStyle w:val="Heading1"/>
      </w:pPr>
      <w:r w:rsidRPr="00376FF7">
        <w:rPr>
          <w:rFonts w:asciiTheme="majorBidi" w:hAnsiTheme="majorBidi" w:cstheme="majorBidi"/>
        </w:rPr>
        <w:t>Acknowledgments</w:t>
      </w:r>
    </w:p>
    <w:p w14:paraId="0E8A4301" w14:textId="77777777" w:rsidR="00514FCC" w:rsidRPr="00514FCC" w:rsidRDefault="00514FCC" w:rsidP="00514FCC">
      <w:pPr>
        <w:pStyle w:val="Paragraph"/>
        <w:numPr>
          <w:ilvl w:val="0"/>
          <w:numId w:val="46"/>
        </w:numPr>
        <w:rPr>
          <w:rFonts w:asciiTheme="majorBidi" w:hAnsiTheme="majorBidi" w:cstheme="majorBidi"/>
          <w:bCs/>
        </w:rPr>
      </w:pPr>
      <w:r w:rsidRPr="00514FCC">
        <w:rPr>
          <w:rFonts w:asciiTheme="majorBidi" w:hAnsiTheme="majorBidi" w:cstheme="majorBidi"/>
          <w:bCs/>
        </w:rPr>
        <w:t xml:space="preserve">The writer would like to say thank you </w:t>
      </w:r>
      <w:proofErr w:type="spellStart"/>
      <w:r w:rsidRPr="00514FCC">
        <w:rPr>
          <w:rFonts w:asciiTheme="majorBidi" w:hAnsiTheme="majorBidi" w:cstheme="majorBidi"/>
          <w:bCs/>
        </w:rPr>
        <w:t>speacially</w:t>
      </w:r>
      <w:proofErr w:type="spellEnd"/>
      <w:r w:rsidRPr="00514FCC">
        <w:rPr>
          <w:rFonts w:asciiTheme="majorBidi" w:hAnsiTheme="majorBidi" w:cstheme="majorBidi"/>
          <w:bCs/>
        </w:rPr>
        <w:t xml:space="preserve"> for everyone who help and get involved in this research.</w:t>
      </w:r>
    </w:p>
    <w:p w14:paraId="69393F39" w14:textId="77777777" w:rsidR="00514FCC" w:rsidRPr="00514FCC" w:rsidRDefault="00514FCC" w:rsidP="00514FCC">
      <w:pPr>
        <w:pStyle w:val="Paragraph"/>
        <w:numPr>
          <w:ilvl w:val="0"/>
          <w:numId w:val="46"/>
        </w:numPr>
        <w:rPr>
          <w:rFonts w:asciiTheme="majorBidi" w:hAnsiTheme="majorBidi" w:cstheme="majorBidi"/>
          <w:bCs/>
        </w:rPr>
      </w:pPr>
      <w:r w:rsidRPr="00514FCC">
        <w:rPr>
          <w:rFonts w:asciiTheme="majorBidi" w:hAnsiTheme="majorBidi" w:cstheme="majorBidi"/>
          <w:bCs/>
        </w:rPr>
        <w:t>The writer would like to say thank you to FIKKES laboratory for providing the materials for this research.</w:t>
      </w:r>
    </w:p>
    <w:p w14:paraId="543B60F2" w14:textId="77777777" w:rsidR="00514FCC" w:rsidRPr="00514FCC" w:rsidRDefault="00514FCC" w:rsidP="00514FCC">
      <w:pPr>
        <w:pStyle w:val="Paragraph"/>
        <w:numPr>
          <w:ilvl w:val="0"/>
          <w:numId w:val="46"/>
        </w:numPr>
        <w:rPr>
          <w:rFonts w:asciiTheme="majorBidi" w:hAnsiTheme="majorBidi" w:cstheme="majorBidi"/>
        </w:rPr>
      </w:pPr>
      <w:r w:rsidRPr="00514FCC">
        <w:rPr>
          <w:rFonts w:asciiTheme="majorBidi" w:hAnsiTheme="majorBidi" w:cstheme="majorBidi"/>
          <w:bCs/>
        </w:rPr>
        <w:t>The writer would like to say thank you to UII Manufacture Textil laboratory for providing UV-PC Spectrophotometer.</w:t>
      </w:r>
    </w:p>
    <w:p w14:paraId="74D4F45E" w14:textId="1FD34F56" w:rsidR="00613B4D" w:rsidRPr="00514FCC" w:rsidRDefault="0016385D" w:rsidP="00514FCC">
      <w:pPr>
        <w:pStyle w:val="Heading1"/>
        <w:rPr>
          <w:b w:val="0"/>
          <w:caps w:val="0"/>
          <w:sz w:val="20"/>
        </w:rPr>
      </w:pPr>
      <w:r w:rsidRPr="00075EA6">
        <w:rPr>
          <w:rFonts w:asciiTheme="majorBidi" w:hAnsiTheme="majorBidi" w:cstheme="majorBidi"/>
        </w:rPr>
        <w:t>References</w:t>
      </w:r>
    </w:p>
    <w:p w14:paraId="3E6B83E5" w14:textId="07C1FCC3" w:rsidR="00514FCC" w:rsidRDefault="00731360" w:rsidP="00514FCC">
      <w:pPr>
        <w:pStyle w:val="Reference"/>
        <w:rPr>
          <w:lang w:val="fi-FI"/>
        </w:rPr>
      </w:pPr>
      <w:r>
        <w:rPr>
          <w:lang w:val="fi-FI"/>
        </w:rPr>
        <w:t xml:space="preserve">A. </w:t>
      </w:r>
      <w:r w:rsidR="00514FCC" w:rsidRPr="003567A9">
        <w:rPr>
          <w:lang w:val="fi-FI"/>
        </w:rPr>
        <w:t>Pertiwisari,</w:t>
      </w:r>
      <w:r>
        <w:rPr>
          <w:lang w:val="fi-FI"/>
        </w:rPr>
        <w:t xml:space="preserve"> ”</w:t>
      </w:r>
      <w:r w:rsidR="00514FCC" w:rsidRPr="003567A9">
        <w:rPr>
          <w:lang w:val="fi-FI"/>
        </w:rPr>
        <w:t>Klasifikasi Resin Akrilik untuk Gigi Tiruan</w:t>
      </w:r>
      <w:r>
        <w:rPr>
          <w:lang w:val="fi-FI"/>
        </w:rPr>
        <w:t xml:space="preserve">,” </w:t>
      </w:r>
      <w:r w:rsidR="00514FCC" w:rsidRPr="003567A9">
        <w:rPr>
          <w:lang w:val="fi-FI"/>
        </w:rPr>
        <w:t xml:space="preserve"> </w:t>
      </w:r>
      <w:r w:rsidR="00514FCC" w:rsidRPr="00731360">
        <w:rPr>
          <w:lang w:val="fi-FI"/>
        </w:rPr>
        <w:t>Denthalib journal</w:t>
      </w:r>
      <w:r>
        <w:rPr>
          <w:lang w:val="fi-FI"/>
        </w:rPr>
        <w:t xml:space="preserve"> </w:t>
      </w:r>
      <w:r w:rsidR="00514FCC" w:rsidRPr="00731360">
        <w:rPr>
          <w:lang w:val="fi-FI"/>
        </w:rPr>
        <w:t>1(3), 80-83</w:t>
      </w:r>
      <w:r>
        <w:rPr>
          <w:lang w:val="fi-FI"/>
        </w:rPr>
        <w:t xml:space="preserve"> (2023)</w:t>
      </w:r>
    </w:p>
    <w:p w14:paraId="1F39FA07" w14:textId="6D1F7887" w:rsidR="008820DE" w:rsidRPr="008820DE" w:rsidRDefault="008820DE" w:rsidP="00514FCC">
      <w:pPr>
        <w:pStyle w:val="Reference"/>
        <w:rPr>
          <w:lang w:val="en-ID"/>
        </w:rPr>
      </w:pPr>
      <w:r w:rsidRPr="008820DE">
        <w:rPr>
          <w:lang w:val="en-ID"/>
        </w:rPr>
        <w:t xml:space="preserve">M.A.R. </w:t>
      </w:r>
      <w:proofErr w:type="spellStart"/>
      <w:r w:rsidRPr="008820DE">
        <w:rPr>
          <w:lang w:val="en-ID"/>
        </w:rPr>
        <w:t>Hasran</w:t>
      </w:r>
      <w:proofErr w:type="spellEnd"/>
      <w:r w:rsidRPr="008820DE">
        <w:rPr>
          <w:lang w:val="en-ID"/>
        </w:rPr>
        <w:t xml:space="preserve">, D.N.A. Imam, and B. </w:t>
      </w:r>
      <w:proofErr w:type="spellStart"/>
      <w:r w:rsidRPr="008820DE">
        <w:rPr>
          <w:lang w:val="en-ID"/>
        </w:rPr>
        <w:t>Sunendar</w:t>
      </w:r>
      <w:proofErr w:type="spellEnd"/>
      <w:r w:rsidRPr="008820DE">
        <w:rPr>
          <w:lang w:val="en-ID"/>
        </w:rPr>
        <w:t xml:space="preserve">, “ADDITION OF RICE HUSK NANOCELLULOSE TO THE IMPACT STRENGTH OF RESIN BASE HEAT CURED,” J. </w:t>
      </w:r>
      <w:proofErr w:type="spellStart"/>
      <w:r w:rsidRPr="008820DE">
        <w:rPr>
          <w:lang w:val="en-ID"/>
        </w:rPr>
        <w:t>Vocat</w:t>
      </w:r>
      <w:proofErr w:type="spellEnd"/>
      <w:r w:rsidRPr="008820DE">
        <w:rPr>
          <w:lang w:val="en-ID"/>
        </w:rPr>
        <w:t>. Health Stud. 4(3), 119 (2021)</w:t>
      </w:r>
    </w:p>
    <w:p w14:paraId="1A26A4EB" w14:textId="11B58110" w:rsidR="00514FCC" w:rsidRDefault="00514FCC" w:rsidP="00514FCC">
      <w:pPr>
        <w:pStyle w:val="Reference"/>
      </w:pPr>
      <w:r>
        <w:t xml:space="preserve">Ibrahim, I., </w:t>
      </w:r>
      <w:proofErr w:type="spellStart"/>
      <w:r>
        <w:t>Jaya.F</w:t>
      </w:r>
      <w:proofErr w:type="spellEnd"/>
      <w:r>
        <w:t xml:space="preserve">., </w:t>
      </w:r>
      <w:proofErr w:type="spellStart"/>
      <w:proofErr w:type="gramStart"/>
      <w:r>
        <w:t>Lutfhia,P</w:t>
      </w:r>
      <w:proofErr w:type="spellEnd"/>
      <w:r>
        <w:t>.</w:t>
      </w:r>
      <w:proofErr w:type="gramEnd"/>
      <w:r>
        <w:t xml:space="preserve">, </w:t>
      </w:r>
      <w:r w:rsidR="008820DE">
        <w:t>and</w:t>
      </w:r>
      <w:r>
        <w:t xml:space="preserve"> Izzati, D. </w:t>
      </w:r>
      <w:proofErr w:type="gramStart"/>
      <w:r>
        <w:t>P .</w:t>
      </w:r>
      <w:proofErr w:type="gramEnd"/>
      <w:r>
        <w:t xml:space="preserve"> A.</w:t>
      </w:r>
      <w:r w:rsidR="008820DE">
        <w:t>, “</w:t>
      </w:r>
      <w:proofErr w:type="spellStart"/>
      <w:r>
        <w:t>Pengaruh</w:t>
      </w:r>
      <w:proofErr w:type="spellEnd"/>
      <w:r>
        <w:t xml:space="preserve"> Lama </w:t>
      </w:r>
      <w:proofErr w:type="spellStart"/>
      <w:r>
        <w:t>Perendaman</w:t>
      </w:r>
      <w:proofErr w:type="spellEnd"/>
      <w:r>
        <w:t xml:space="preserve"> Dalam </w:t>
      </w:r>
      <w:proofErr w:type="spellStart"/>
      <w:r>
        <w:t>Larutan</w:t>
      </w:r>
      <w:proofErr w:type="spellEnd"/>
      <w:r>
        <w:t xml:space="preserve"> Chlorhexidine </w:t>
      </w:r>
      <w:proofErr w:type="spellStart"/>
      <w:r>
        <w:t>Terhadap</w:t>
      </w:r>
      <w:proofErr w:type="spellEnd"/>
      <w:r>
        <w:t xml:space="preserve"> </w:t>
      </w:r>
      <w:proofErr w:type="spellStart"/>
      <w:r>
        <w:t>Perubahan</w:t>
      </w:r>
      <w:proofErr w:type="spellEnd"/>
      <w:r>
        <w:t xml:space="preserve"> Warna Resin </w:t>
      </w:r>
      <w:proofErr w:type="spellStart"/>
      <w:r>
        <w:t>Akrilik</w:t>
      </w:r>
      <w:proofErr w:type="spellEnd"/>
      <w:r>
        <w:t xml:space="preserve"> Heat Cured</w:t>
      </w:r>
      <w:r w:rsidR="008820DE">
        <w:t xml:space="preserve">,” </w:t>
      </w:r>
      <w:proofErr w:type="spellStart"/>
      <w:r>
        <w:t>Jurnal</w:t>
      </w:r>
      <w:proofErr w:type="spellEnd"/>
      <w:r>
        <w:t xml:space="preserve"> material </w:t>
      </w:r>
      <w:proofErr w:type="spellStart"/>
      <w:r>
        <w:t>kedokteran</w:t>
      </w:r>
      <w:proofErr w:type="spellEnd"/>
      <w:r>
        <w:t xml:space="preserve"> </w:t>
      </w:r>
      <w:proofErr w:type="spellStart"/>
      <w:r>
        <w:t>gigi</w:t>
      </w:r>
      <w:proofErr w:type="spellEnd"/>
      <w:r>
        <w:t xml:space="preserve"> 5(1), 7-14</w:t>
      </w:r>
      <w:r w:rsidR="008820DE">
        <w:t xml:space="preserve"> (2016).</w:t>
      </w:r>
    </w:p>
    <w:p w14:paraId="57918883" w14:textId="300F881E" w:rsidR="00514FCC" w:rsidRDefault="008820DE" w:rsidP="00514FCC">
      <w:pPr>
        <w:pStyle w:val="Reference"/>
      </w:pPr>
      <w:r>
        <w:t xml:space="preserve">T. </w:t>
      </w:r>
      <w:r w:rsidR="00514FCC">
        <w:t xml:space="preserve">Suharti, </w:t>
      </w:r>
      <w:r>
        <w:t>“</w:t>
      </w:r>
      <w:proofErr w:type="spellStart"/>
      <w:r w:rsidR="00514FCC">
        <w:t>dasar</w:t>
      </w:r>
      <w:proofErr w:type="spellEnd"/>
      <w:r w:rsidR="00514FCC">
        <w:t xml:space="preserve"> – </w:t>
      </w:r>
      <w:proofErr w:type="spellStart"/>
      <w:r w:rsidR="00514FCC">
        <w:t>dasar</w:t>
      </w:r>
      <w:proofErr w:type="spellEnd"/>
      <w:r w:rsidR="00514FCC">
        <w:t xml:space="preserve"> </w:t>
      </w:r>
      <w:proofErr w:type="spellStart"/>
      <w:r w:rsidR="00514FCC">
        <w:t>spektrofotometri</w:t>
      </w:r>
      <w:proofErr w:type="spellEnd"/>
      <w:r w:rsidR="00514FCC">
        <w:t xml:space="preserve"> </w:t>
      </w:r>
      <w:proofErr w:type="spellStart"/>
      <w:r w:rsidR="00514FCC">
        <w:t>uv</w:t>
      </w:r>
      <w:proofErr w:type="spellEnd"/>
      <w:r w:rsidR="00514FCC">
        <w:t xml:space="preserve">-vis dan </w:t>
      </w:r>
      <w:proofErr w:type="spellStart"/>
      <w:r w:rsidR="00514FCC">
        <w:t>spektometri</w:t>
      </w:r>
      <w:proofErr w:type="spellEnd"/>
      <w:r w:rsidR="00514FCC">
        <w:t xml:space="preserve"> </w:t>
      </w:r>
      <w:proofErr w:type="spellStart"/>
      <w:r w:rsidR="00514FCC">
        <w:t>massa</w:t>
      </w:r>
      <w:proofErr w:type="spellEnd"/>
      <w:r w:rsidR="00514FCC">
        <w:t xml:space="preserve"> </w:t>
      </w:r>
      <w:proofErr w:type="spellStart"/>
      <w:r w:rsidR="00514FCC">
        <w:t>untuk</w:t>
      </w:r>
      <w:proofErr w:type="spellEnd"/>
      <w:r w:rsidR="00514FCC">
        <w:t xml:space="preserve"> </w:t>
      </w:r>
      <w:proofErr w:type="spellStart"/>
      <w:r w:rsidR="00514FCC">
        <w:t>penentuan</w:t>
      </w:r>
      <w:proofErr w:type="spellEnd"/>
      <w:r w:rsidR="00514FCC">
        <w:t xml:space="preserve"> </w:t>
      </w:r>
      <w:proofErr w:type="spellStart"/>
      <w:r w:rsidR="00514FCC">
        <w:t>struktur</w:t>
      </w:r>
      <w:proofErr w:type="spellEnd"/>
      <w:r w:rsidR="00514FCC">
        <w:t xml:space="preserve"> </w:t>
      </w:r>
      <w:proofErr w:type="spellStart"/>
      <w:r w:rsidR="00514FCC">
        <w:t>senyawa</w:t>
      </w:r>
      <w:proofErr w:type="spellEnd"/>
      <w:r w:rsidR="00514FCC">
        <w:t xml:space="preserve"> </w:t>
      </w:r>
      <w:proofErr w:type="spellStart"/>
      <w:r w:rsidR="00514FCC">
        <w:t>organik</w:t>
      </w:r>
      <w:proofErr w:type="spellEnd"/>
      <w:r w:rsidR="00514FCC">
        <w:t xml:space="preserve">. Anugrah Utama </w:t>
      </w:r>
      <w:proofErr w:type="spellStart"/>
      <w:proofErr w:type="gramStart"/>
      <w:r w:rsidR="00514FCC">
        <w:t>Rahaja</w:t>
      </w:r>
      <w:proofErr w:type="spellEnd"/>
      <w:r w:rsidR="00514FCC">
        <w:t xml:space="preserve"> :</w:t>
      </w:r>
      <w:proofErr w:type="gramEnd"/>
      <w:r w:rsidR="00514FCC">
        <w:t xml:space="preserve"> Bandar </w:t>
      </w:r>
      <w:proofErr w:type="spellStart"/>
      <w:r w:rsidR="00514FCC">
        <w:t>lampung</w:t>
      </w:r>
      <w:proofErr w:type="spellEnd"/>
      <w:r>
        <w:t xml:space="preserve"> (2017).</w:t>
      </w:r>
    </w:p>
    <w:p w14:paraId="1F1C1752" w14:textId="697EDE81" w:rsidR="008820DE" w:rsidRDefault="008820DE" w:rsidP="00514FCC">
      <w:pPr>
        <w:pStyle w:val="Reference"/>
      </w:pPr>
      <w:r w:rsidRPr="008820DE">
        <w:t xml:space="preserve">M. </w:t>
      </w:r>
      <w:proofErr w:type="spellStart"/>
      <w:r w:rsidRPr="008820DE">
        <w:t>Rafly</w:t>
      </w:r>
      <w:proofErr w:type="spellEnd"/>
      <w:r w:rsidRPr="008820DE">
        <w:t>, and S. Wahyuni, “</w:t>
      </w:r>
      <w:proofErr w:type="spellStart"/>
      <w:r w:rsidRPr="008820DE">
        <w:t>Pengaruh</w:t>
      </w:r>
      <w:proofErr w:type="spellEnd"/>
      <w:r w:rsidRPr="008820DE">
        <w:t xml:space="preserve"> </w:t>
      </w:r>
      <w:proofErr w:type="spellStart"/>
      <w:r w:rsidRPr="008820DE">
        <w:t>pelapisan</w:t>
      </w:r>
      <w:proofErr w:type="spellEnd"/>
      <w:r w:rsidRPr="008820DE">
        <w:t xml:space="preserve"> edible coating pada basis </w:t>
      </w:r>
      <w:proofErr w:type="spellStart"/>
      <w:r w:rsidRPr="008820DE">
        <w:t>gigi</w:t>
      </w:r>
      <w:proofErr w:type="spellEnd"/>
      <w:r w:rsidRPr="008820DE">
        <w:t xml:space="preserve"> </w:t>
      </w:r>
      <w:proofErr w:type="spellStart"/>
      <w:r w:rsidRPr="008820DE">
        <w:t>tiruan</w:t>
      </w:r>
      <w:proofErr w:type="spellEnd"/>
      <w:r w:rsidRPr="008820DE">
        <w:t xml:space="preserve"> </w:t>
      </w:r>
      <w:proofErr w:type="spellStart"/>
      <w:r w:rsidRPr="008820DE">
        <w:t>nilon</w:t>
      </w:r>
      <w:proofErr w:type="spellEnd"/>
      <w:r w:rsidRPr="008820DE">
        <w:t xml:space="preserve"> </w:t>
      </w:r>
      <w:proofErr w:type="spellStart"/>
      <w:r w:rsidRPr="008820DE">
        <w:t>termoplastik</w:t>
      </w:r>
      <w:proofErr w:type="spellEnd"/>
      <w:r w:rsidRPr="008820DE">
        <w:t xml:space="preserve"> </w:t>
      </w:r>
      <w:proofErr w:type="spellStart"/>
      <w:r w:rsidRPr="008820DE">
        <w:t>setelah</w:t>
      </w:r>
      <w:proofErr w:type="spellEnd"/>
      <w:r w:rsidRPr="008820DE">
        <w:t xml:space="preserve"> </w:t>
      </w:r>
      <w:proofErr w:type="spellStart"/>
      <w:r w:rsidRPr="008820DE">
        <w:t>direndam</w:t>
      </w:r>
      <w:proofErr w:type="spellEnd"/>
      <w:r w:rsidRPr="008820DE">
        <w:t xml:space="preserve"> </w:t>
      </w:r>
      <w:proofErr w:type="spellStart"/>
      <w:r w:rsidRPr="008820DE">
        <w:t>dalam</w:t>
      </w:r>
      <w:proofErr w:type="spellEnd"/>
      <w:r w:rsidRPr="008820DE">
        <w:t xml:space="preserve"> </w:t>
      </w:r>
      <w:proofErr w:type="spellStart"/>
      <w:r w:rsidRPr="008820DE">
        <w:t>akuades</w:t>
      </w:r>
      <w:proofErr w:type="spellEnd"/>
      <w:r w:rsidRPr="008820DE">
        <w:t xml:space="preserve"> dan </w:t>
      </w:r>
      <w:proofErr w:type="spellStart"/>
      <w:r w:rsidRPr="008820DE">
        <w:t>teh</w:t>
      </w:r>
      <w:proofErr w:type="spellEnd"/>
      <w:r w:rsidRPr="008820DE">
        <w:t xml:space="preserve"> </w:t>
      </w:r>
      <w:proofErr w:type="spellStart"/>
      <w:r w:rsidRPr="008820DE">
        <w:t>hijau</w:t>
      </w:r>
      <w:proofErr w:type="spellEnd"/>
      <w:r w:rsidRPr="008820DE">
        <w:t xml:space="preserve"> </w:t>
      </w:r>
      <w:proofErr w:type="spellStart"/>
      <w:r w:rsidRPr="008820DE">
        <w:t>terhadap</w:t>
      </w:r>
      <w:proofErr w:type="spellEnd"/>
      <w:r w:rsidRPr="008820DE">
        <w:t xml:space="preserve"> </w:t>
      </w:r>
      <w:proofErr w:type="spellStart"/>
      <w:r w:rsidRPr="008820DE">
        <w:t>penyerapan</w:t>
      </w:r>
      <w:proofErr w:type="spellEnd"/>
      <w:r w:rsidRPr="008820DE">
        <w:t xml:space="preserve"> air: </w:t>
      </w:r>
      <w:proofErr w:type="spellStart"/>
      <w:r w:rsidRPr="008820DE">
        <w:t>studi</w:t>
      </w:r>
      <w:proofErr w:type="spellEnd"/>
      <w:r w:rsidRPr="008820DE">
        <w:t xml:space="preserve"> </w:t>
      </w:r>
      <w:proofErr w:type="spellStart"/>
      <w:r w:rsidRPr="008820DE">
        <w:t>eksperimental</w:t>
      </w:r>
      <w:proofErr w:type="spellEnd"/>
      <w:r w:rsidRPr="008820DE">
        <w:t xml:space="preserve">,” </w:t>
      </w:r>
      <w:proofErr w:type="spellStart"/>
      <w:r w:rsidRPr="008820DE">
        <w:t>Padjadjaran</w:t>
      </w:r>
      <w:proofErr w:type="spellEnd"/>
      <w:r w:rsidRPr="008820DE">
        <w:t xml:space="preserve"> J. Dent. Res. Stud. 7(2), 193 (2023).</w:t>
      </w:r>
    </w:p>
    <w:p w14:paraId="39E6D65F" w14:textId="3A89D107" w:rsidR="008820DE" w:rsidRDefault="008820DE" w:rsidP="00514FCC">
      <w:pPr>
        <w:pStyle w:val="Reference"/>
      </w:pPr>
      <w:r w:rsidRPr="008820DE">
        <w:t xml:space="preserve">C. </w:t>
      </w:r>
      <w:proofErr w:type="spellStart"/>
      <w:r w:rsidRPr="008820DE">
        <w:t>Chotimah</w:t>
      </w:r>
      <w:proofErr w:type="spellEnd"/>
      <w:r w:rsidRPr="008820DE">
        <w:t>, R. Bachtiar, M.J. Abdi, A.T. Biba, and M. Amiruddin, “</w:t>
      </w:r>
      <w:proofErr w:type="spellStart"/>
      <w:r w:rsidRPr="008820DE">
        <w:t>Perbedaan</w:t>
      </w:r>
      <w:proofErr w:type="spellEnd"/>
      <w:r w:rsidRPr="008820DE">
        <w:t xml:space="preserve"> </w:t>
      </w:r>
      <w:proofErr w:type="spellStart"/>
      <w:r w:rsidRPr="008820DE">
        <w:t>Pengolesan</w:t>
      </w:r>
      <w:proofErr w:type="spellEnd"/>
      <w:r w:rsidRPr="008820DE">
        <w:t xml:space="preserve"> Edible Coating </w:t>
      </w:r>
      <w:proofErr w:type="spellStart"/>
      <w:r w:rsidRPr="008820DE">
        <w:t>Terhadap</w:t>
      </w:r>
      <w:proofErr w:type="spellEnd"/>
      <w:r w:rsidRPr="008820DE">
        <w:t xml:space="preserve"> </w:t>
      </w:r>
      <w:proofErr w:type="spellStart"/>
      <w:r w:rsidRPr="008820DE">
        <w:t>Ketahanan</w:t>
      </w:r>
      <w:proofErr w:type="spellEnd"/>
      <w:r w:rsidRPr="008820DE">
        <w:t xml:space="preserve"> Warna Plat </w:t>
      </w:r>
      <w:proofErr w:type="spellStart"/>
      <w:r w:rsidRPr="008820DE">
        <w:t>Akrilik</w:t>
      </w:r>
      <w:proofErr w:type="spellEnd"/>
      <w:r w:rsidRPr="008820DE">
        <w:t xml:space="preserve"> Heat Cured </w:t>
      </w:r>
      <w:proofErr w:type="spellStart"/>
      <w:r w:rsidRPr="008820DE">
        <w:t>Direndam</w:t>
      </w:r>
      <w:proofErr w:type="spellEnd"/>
      <w:r w:rsidRPr="008820DE">
        <w:t xml:space="preserve"> Kopi Robusta,” </w:t>
      </w:r>
      <w:proofErr w:type="spellStart"/>
      <w:r w:rsidRPr="008820DE">
        <w:t>Sinnun</w:t>
      </w:r>
      <w:proofErr w:type="spellEnd"/>
      <w:r w:rsidRPr="008820DE">
        <w:t xml:space="preserve"> </w:t>
      </w:r>
      <w:proofErr w:type="spellStart"/>
      <w:r w:rsidRPr="008820DE">
        <w:t>Maxillofac</w:t>
      </w:r>
      <w:proofErr w:type="spellEnd"/>
      <w:r w:rsidRPr="008820DE">
        <w:t>. J. 1(02), 7–15 (2021).</w:t>
      </w:r>
    </w:p>
    <w:p w14:paraId="1ED2B389" w14:textId="2DD78B4B" w:rsidR="00514FCC" w:rsidRDefault="00514FCC" w:rsidP="00514FCC">
      <w:pPr>
        <w:pStyle w:val="Reference"/>
      </w:pPr>
      <w:proofErr w:type="spellStart"/>
      <w:r>
        <w:t>Sidik</w:t>
      </w:r>
      <w:proofErr w:type="spellEnd"/>
      <w:r>
        <w:t xml:space="preserve">, G., </w:t>
      </w:r>
      <w:proofErr w:type="spellStart"/>
      <w:r>
        <w:t>Marsigit</w:t>
      </w:r>
      <w:proofErr w:type="spellEnd"/>
      <w:r>
        <w:t xml:space="preserve">, W., </w:t>
      </w:r>
      <w:proofErr w:type="spellStart"/>
      <w:r w:rsidR="008820DE">
        <w:t>adn</w:t>
      </w:r>
      <w:proofErr w:type="spellEnd"/>
      <w:r>
        <w:t>.,</w:t>
      </w:r>
      <w:r w:rsidR="003323CA">
        <w:t xml:space="preserve"> “</w:t>
      </w:r>
      <w:proofErr w:type="spellStart"/>
      <w:r>
        <w:t>Pengaruh</w:t>
      </w:r>
      <w:proofErr w:type="spellEnd"/>
      <w:r>
        <w:t xml:space="preserve"> </w:t>
      </w:r>
      <w:proofErr w:type="spellStart"/>
      <w:r>
        <w:t>Kitosan</w:t>
      </w:r>
      <w:proofErr w:type="spellEnd"/>
      <w:r>
        <w:t xml:space="preserve"> </w:t>
      </w:r>
      <w:proofErr w:type="spellStart"/>
      <w:r>
        <w:t>Sebagai</w:t>
      </w:r>
      <w:proofErr w:type="spellEnd"/>
      <w:r>
        <w:t xml:space="preserve"> Edible Coating </w:t>
      </w:r>
      <w:proofErr w:type="spellStart"/>
      <w:r>
        <w:t>Terhadap</w:t>
      </w:r>
      <w:proofErr w:type="spellEnd"/>
      <w:r>
        <w:t xml:space="preserve"> Mutu </w:t>
      </w:r>
      <w:proofErr w:type="spellStart"/>
      <w:r>
        <w:t>Fisik</w:t>
      </w:r>
      <w:proofErr w:type="spellEnd"/>
      <w:r>
        <w:t xml:space="preserve"> Dan Kimia Jeruk Rimau Gerga </w:t>
      </w:r>
      <w:proofErr w:type="spellStart"/>
      <w:r>
        <w:t>Lebong</w:t>
      </w:r>
      <w:proofErr w:type="spellEnd"/>
      <w:r>
        <w:t xml:space="preserve"> Selama </w:t>
      </w:r>
      <w:proofErr w:type="spellStart"/>
      <w:r>
        <w:t>Penyimpanan</w:t>
      </w:r>
      <w:proofErr w:type="spellEnd"/>
      <w:r w:rsidR="003323CA">
        <w:t>,”</w:t>
      </w:r>
      <w:r>
        <w:t xml:space="preserve"> </w:t>
      </w:r>
      <w:proofErr w:type="spellStart"/>
      <w:r>
        <w:t>Jurnal</w:t>
      </w:r>
      <w:proofErr w:type="spellEnd"/>
      <w:r>
        <w:t xml:space="preserve"> Agroindustri 12(2), 72-85</w:t>
      </w:r>
      <w:r w:rsidR="003323CA">
        <w:t xml:space="preserve"> (2022).</w:t>
      </w:r>
    </w:p>
    <w:p w14:paraId="143E56B4" w14:textId="29D9D604" w:rsidR="00514FCC" w:rsidRDefault="003323CA" w:rsidP="00514FCC">
      <w:pPr>
        <w:pStyle w:val="Reference"/>
      </w:pPr>
      <w:r w:rsidRPr="003323CA">
        <w:rPr>
          <w:lang w:val="en-ID"/>
        </w:rPr>
        <w:t xml:space="preserve">M. N. M. </w:t>
      </w:r>
      <w:r w:rsidR="00514FCC" w:rsidRPr="003323CA">
        <w:rPr>
          <w:lang w:val="en-ID"/>
        </w:rPr>
        <w:t xml:space="preserve">Kamal, </w:t>
      </w:r>
      <w:r>
        <w:rPr>
          <w:lang w:val="en-ID"/>
        </w:rPr>
        <w:t>“</w:t>
      </w:r>
      <w:r w:rsidR="00514FCC">
        <w:t>Comparative Evaluation of Color Stability Comparative Evaluation of Color Stability between Three Different CAD/CAM Milled Denture Base Materials: An In Vitro Study</w:t>
      </w:r>
      <w:r>
        <w:t xml:space="preserve">,” </w:t>
      </w:r>
      <w:r w:rsidR="00514FCC">
        <w:t>In Journal of International Dental and Medical Research 13(3), 854-860</w:t>
      </w:r>
      <w:r>
        <w:t xml:space="preserve"> (2020).</w:t>
      </w:r>
      <w:r w:rsidR="00514FCC">
        <w:t xml:space="preserve"> </w:t>
      </w:r>
    </w:p>
    <w:p w14:paraId="3690F941" w14:textId="3521693A" w:rsidR="00514FCC" w:rsidRDefault="00514FCC" w:rsidP="00514FCC">
      <w:pPr>
        <w:pStyle w:val="Reference"/>
      </w:pPr>
      <w:r>
        <w:t xml:space="preserve">Ollive, G. M., Dipoyono, H. M., &amp; </w:t>
      </w:r>
      <w:proofErr w:type="spellStart"/>
      <w:r>
        <w:t>Ismiyati</w:t>
      </w:r>
      <w:proofErr w:type="spellEnd"/>
      <w:r>
        <w:t>, T</w:t>
      </w:r>
      <w:r w:rsidR="003323CA">
        <w:t>.,</w:t>
      </w:r>
      <w:r>
        <w:t xml:space="preserve"> </w:t>
      </w:r>
      <w:r w:rsidR="003323CA">
        <w:t>“</w:t>
      </w:r>
      <w:r>
        <w:t>The effect of various denture cleansers on porosity and discoloration level of acetal resin denture base</w:t>
      </w:r>
      <w:r w:rsidR="003323CA">
        <w:t>,”</w:t>
      </w:r>
      <w:r>
        <w:t xml:space="preserve"> Makalah </w:t>
      </w:r>
      <w:proofErr w:type="spellStart"/>
      <w:r>
        <w:t>kedokteran</w:t>
      </w:r>
      <w:proofErr w:type="spellEnd"/>
      <w:r>
        <w:t xml:space="preserve"> </w:t>
      </w:r>
      <w:proofErr w:type="spellStart"/>
      <w:r>
        <w:t>gigi</w:t>
      </w:r>
      <w:proofErr w:type="spellEnd"/>
      <w:r>
        <w:t xml:space="preserve"> Indonesia</w:t>
      </w:r>
      <w:r w:rsidR="003323CA">
        <w:t xml:space="preserve"> </w:t>
      </w:r>
      <w:r>
        <w:t>9(3), 291-298</w:t>
      </w:r>
      <w:r w:rsidR="003323CA">
        <w:t xml:space="preserve"> (2023).</w:t>
      </w:r>
      <w:r>
        <w:t xml:space="preserve"> </w:t>
      </w:r>
    </w:p>
    <w:p w14:paraId="4AE0DFEA" w14:textId="52024367" w:rsidR="00361DCD" w:rsidRDefault="00361DCD" w:rsidP="00514FCC">
      <w:pPr>
        <w:pStyle w:val="Reference"/>
      </w:pPr>
      <w:r w:rsidRPr="00361DCD">
        <w:t xml:space="preserve">B.A. Effendi, S. </w:t>
      </w:r>
      <w:proofErr w:type="spellStart"/>
      <w:r w:rsidRPr="00361DCD">
        <w:t>Tarigan</w:t>
      </w:r>
      <w:proofErr w:type="spellEnd"/>
      <w:r w:rsidRPr="00361DCD">
        <w:t>, and S. Wahyuni, “</w:t>
      </w:r>
      <w:proofErr w:type="spellStart"/>
      <w:r w:rsidRPr="00361DCD">
        <w:t>Pengaruh</w:t>
      </w:r>
      <w:proofErr w:type="spellEnd"/>
      <w:r w:rsidRPr="00361DCD">
        <w:t xml:space="preserve"> </w:t>
      </w:r>
      <w:proofErr w:type="spellStart"/>
      <w:r w:rsidRPr="00361DCD">
        <w:t>minuman</w:t>
      </w:r>
      <w:proofErr w:type="spellEnd"/>
      <w:r w:rsidRPr="00361DCD">
        <w:t xml:space="preserve"> kopi dan </w:t>
      </w:r>
      <w:proofErr w:type="spellStart"/>
      <w:r w:rsidRPr="00361DCD">
        <w:t>teh</w:t>
      </w:r>
      <w:proofErr w:type="spellEnd"/>
      <w:r w:rsidRPr="00361DCD">
        <w:t xml:space="preserve"> </w:t>
      </w:r>
      <w:proofErr w:type="spellStart"/>
      <w:r w:rsidRPr="00361DCD">
        <w:t>terhadap</w:t>
      </w:r>
      <w:proofErr w:type="spellEnd"/>
      <w:r w:rsidRPr="00361DCD">
        <w:t xml:space="preserve"> </w:t>
      </w:r>
      <w:proofErr w:type="spellStart"/>
      <w:r w:rsidRPr="00361DCD">
        <w:t>perubahan</w:t>
      </w:r>
      <w:proofErr w:type="spellEnd"/>
      <w:r w:rsidRPr="00361DCD">
        <w:t xml:space="preserve"> </w:t>
      </w:r>
      <w:proofErr w:type="spellStart"/>
      <w:r w:rsidRPr="00361DCD">
        <w:t>warna</w:t>
      </w:r>
      <w:proofErr w:type="spellEnd"/>
      <w:r w:rsidRPr="00361DCD">
        <w:t xml:space="preserve"> </w:t>
      </w:r>
      <w:proofErr w:type="spellStart"/>
      <w:r w:rsidRPr="00361DCD">
        <w:t>gigi</w:t>
      </w:r>
      <w:proofErr w:type="spellEnd"/>
      <w:r w:rsidRPr="00361DCD">
        <w:t xml:space="preserve"> </w:t>
      </w:r>
      <w:proofErr w:type="spellStart"/>
      <w:r w:rsidRPr="00361DCD">
        <w:t>artifisial</w:t>
      </w:r>
      <w:proofErr w:type="spellEnd"/>
      <w:r w:rsidRPr="00361DCD">
        <w:t xml:space="preserve"> resin </w:t>
      </w:r>
      <w:proofErr w:type="spellStart"/>
      <w:r w:rsidRPr="00361DCD">
        <w:t>akrilik</w:t>
      </w:r>
      <w:proofErr w:type="spellEnd"/>
      <w:r w:rsidRPr="00361DCD">
        <w:t xml:space="preserve"> </w:t>
      </w:r>
      <w:proofErr w:type="spellStart"/>
      <w:r w:rsidRPr="00361DCD">
        <w:t>polimerisasi</w:t>
      </w:r>
      <w:proofErr w:type="spellEnd"/>
      <w:r w:rsidRPr="00361DCD">
        <w:t xml:space="preserve"> </w:t>
      </w:r>
      <w:proofErr w:type="spellStart"/>
      <w:r w:rsidRPr="00361DCD">
        <w:t>panas</w:t>
      </w:r>
      <w:proofErr w:type="spellEnd"/>
      <w:r w:rsidRPr="00361DCD">
        <w:t xml:space="preserve">: </w:t>
      </w:r>
      <w:proofErr w:type="spellStart"/>
      <w:r w:rsidRPr="00361DCD">
        <w:t>studi</w:t>
      </w:r>
      <w:proofErr w:type="spellEnd"/>
      <w:r w:rsidRPr="00361DCD">
        <w:t xml:space="preserve"> </w:t>
      </w:r>
      <w:proofErr w:type="spellStart"/>
      <w:r w:rsidRPr="00361DCD">
        <w:t>eksperimental</w:t>
      </w:r>
      <w:proofErr w:type="spellEnd"/>
      <w:r w:rsidRPr="00361DCD">
        <w:t xml:space="preserve">,” </w:t>
      </w:r>
      <w:proofErr w:type="spellStart"/>
      <w:r w:rsidRPr="00361DCD">
        <w:t>Padjadjaran</w:t>
      </w:r>
      <w:proofErr w:type="spellEnd"/>
      <w:r w:rsidRPr="00361DCD">
        <w:t xml:space="preserve"> J. Dent. Res. Stud. 8(3), 368–376 (2024).</w:t>
      </w:r>
    </w:p>
    <w:p w14:paraId="39D0BD8F" w14:textId="7B3EF8C6" w:rsidR="00361DCD" w:rsidRDefault="00361DCD" w:rsidP="00514FCC">
      <w:pPr>
        <w:pStyle w:val="Reference"/>
      </w:pPr>
      <w:r w:rsidRPr="00361DCD">
        <w:t xml:space="preserve">P. </w:t>
      </w:r>
      <w:proofErr w:type="spellStart"/>
      <w:r w:rsidRPr="00361DCD">
        <w:t>Imirzalioglu</w:t>
      </w:r>
      <w:proofErr w:type="spellEnd"/>
      <w:r w:rsidRPr="00361DCD">
        <w:t xml:space="preserve">, O. </w:t>
      </w:r>
      <w:proofErr w:type="spellStart"/>
      <w:r w:rsidRPr="00361DCD">
        <w:t>Karacaer</w:t>
      </w:r>
      <w:proofErr w:type="spellEnd"/>
      <w:r w:rsidRPr="00361DCD">
        <w:t xml:space="preserve">, B. Yilmaz, and I. </w:t>
      </w:r>
      <w:proofErr w:type="spellStart"/>
      <w:r w:rsidRPr="00361DCD">
        <w:t>Ozmen</w:t>
      </w:r>
      <w:proofErr w:type="spellEnd"/>
      <w:r w:rsidRPr="00361DCD">
        <w:t xml:space="preserve"> MSc, “Color Stability of Denture Acrylic Resins and a Soft Lining Material Against Tea, Coffee, and Nicotine,” J. </w:t>
      </w:r>
      <w:proofErr w:type="spellStart"/>
      <w:r w:rsidRPr="00361DCD">
        <w:t>Prosthodont</w:t>
      </w:r>
      <w:proofErr w:type="spellEnd"/>
      <w:r w:rsidRPr="00361DCD">
        <w:t>. 19(2), 118–124 (2010).</w:t>
      </w:r>
    </w:p>
    <w:p w14:paraId="14B568F2" w14:textId="6276A980" w:rsidR="00514FCC" w:rsidRDefault="00514FCC" w:rsidP="00514FCC">
      <w:pPr>
        <w:pStyle w:val="Reference"/>
      </w:pPr>
      <w:proofErr w:type="spellStart"/>
      <w:r w:rsidRPr="00361DCD">
        <w:rPr>
          <w:lang w:val="en-ID"/>
        </w:rPr>
        <w:t>Vatria</w:t>
      </w:r>
      <w:proofErr w:type="spellEnd"/>
      <w:r w:rsidRPr="00361DCD">
        <w:rPr>
          <w:lang w:val="en-ID"/>
        </w:rPr>
        <w:t xml:space="preserve">, B., </w:t>
      </w:r>
      <w:proofErr w:type="spellStart"/>
      <w:r w:rsidRPr="00361DCD">
        <w:rPr>
          <w:lang w:val="en-ID"/>
        </w:rPr>
        <w:t>Primadini</w:t>
      </w:r>
      <w:proofErr w:type="spellEnd"/>
      <w:r w:rsidRPr="00361DCD">
        <w:rPr>
          <w:lang w:val="en-ID"/>
        </w:rPr>
        <w:t xml:space="preserve">, V., </w:t>
      </w:r>
      <w:r w:rsidR="00361DCD" w:rsidRPr="00361DCD">
        <w:rPr>
          <w:lang w:val="en-ID"/>
        </w:rPr>
        <w:t>and</w:t>
      </w:r>
      <w:r w:rsidRPr="00361DCD">
        <w:rPr>
          <w:lang w:val="en-ID"/>
        </w:rPr>
        <w:t xml:space="preserve"> </w:t>
      </w:r>
      <w:proofErr w:type="spellStart"/>
      <w:r w:rsidRPr="00361DCD">
        <w:rPr>
          <w:lang w:val="en-ID"/>
        </w:rPr>
        <w:t>Novalina</w:t>
      </w:r>
      <w:proofErr w:type="spellEnd"/>
      <w:r w:rsidRPr="00361DCD">
        <w:rPr>
          <w:lang w:val="en-ID"/>
        </w:rPr>
        <w:t xml:space="preserve">, </w:t>
      </w:r>
      <w:proofErr w:type="gramStart"/>
      <w:r w:rsidRPr="00361DCD">
        <w:rPr>
          <w:lang w:val="en-ID"/>
        </w:rPr>
        <w:t>K.</w:t>
      </w:r>
      <w:r w:rsidR="00361DCD">
        <w:rPr>
          <w:lang w:val="en-ID"/>
        </w:rPr>
        <w:t>.</w:t>
      </w:r>
      <w:proofErr w:type="gramEnd"/>
      <w:r w:rsidR="00361DCD">
        <w:rPr>
          <w:lang w:val="en-ID"/>
        </w:rPr>
        <w:t xml:space="preserve"> “</w:t>
      </w:r>
      <w:proofErr w:type="spellStart"/>
      <w:r w:rsidRPr="00361DCD">
        <w:t>Pemanfaatan</w:t>
      </w:r>
      <w:proofErr w:type="spellEnd"/>
      <w:r w:rsidRPr="00361DCD">
        <w:t xml:space="preserve"> </w:t>
      </w:r>
      <w:proofErr w:type="spellStart"/>
      <w:r w:rsidRPr="00361DCD">
        <w:t>Limbah</w:t>
      </w:r>
      <w:proofErr w:type="spellEnd"/>
      <w:r w:rsidRPr="00361DCD">
        <w:t xml:space="preserve"> </w:t>
      </w:r>
      <w:proofErr w:type="spellStart"/>
      <w:r w:rsidRPr="00361DCD">
        <w:t>Kulit</w:t>
      </w:r>
      <w:proofErr w:type="spellEnd"/>
      <w:r w:rsidRPr="00361DCD">
        <w:t xml:space="preserve"> </w:t>
      </w:r>
      <w:proofErr w:type="spellStart"/>
      <w:r w:rsidRPr="00361DCD">
        <w:t>Udang</w:t>
      </w:r>
      <w:proofErr w:type="spellEnd"/>
      <w:r w:rsidRPr="00361DCD">
        <w:t xml:space="preserve"> </w:t>
      </w:r>
      <w:proofErr w:type="spellStart"/>
      <w:r w:rsidRPr="00361DCD">
        <w:t>Sebagai</w:t>
      </w:r>
      <w:proofErr w:type="spellEnd"/>
      <w:r w:rsidRPr="00361DCD">
        <w:t xml:space="preserve"> Edible Coating Chitosan Dalam </w:t>
      </w:r>
      <w:proofErr w:type="spellStart"/>
      <w:r w:rsidRPr="00361DCD">
        <w:t>Menghambat</w:t>
      </w:r>
      <w:proofErr w:type="spellEnd"/>
      <w:r w:rsidRPr="00361DCD">
        <w:t xml:space="preserve"> </w:t>
      </w:r>
      <w:proofErr w:type="spellStart"/>
      <w:r w:rsidRPr="00361DCD">
        <w:t>Kemunduran</w:t>
      </w:r>
      <w:proofErr w:type="spellEnd"/>
      <w:r w:rsidRPr="00361DCD">
        <w:t xml:space="preserve"> Mutu Fillet Ikan </w:t>
      </w:r>
      <w:proofErr w:type="spellStart"/>
      <w:r w:rsidRPr="00361DCD">
        <w:t>Kakap</w:t>
      </w:r>
      <w:proofErr w:type="spellEnd"/>
      <w:r w:rsidRPr="00361DCD">
        <w:t xml:space="preserve"> </w:t>
      </w:r>
      <w:proofErr w:type="spellStart"/>
      <w:r w:rsidRPr="00361DCD">
        <w:t>Skinles</w:t>
      </w:r>
      <w:proofErr w:type="spellEnd"/>
      <w:r w:rsidR="00361DCD">
        <w:t>,”</w:t>
      </w:r>
      <w:r w:rsidRPr="00361DCD">
        <w:t xml:space="preserve"> </w:t>
      </w:r>
      <w:proofErr w:type="spellStart"/>
      <w:r>
        <w:t>Manfish</w:t>
      </w:r>
      <w:proofErr w:type="spellEnd"/>
      <w:r>
        <w:t xml:space="preserve"> Journal</w:t>
      </w:r>
      <w:r w:rsidR="00361DCD">
        <w:t xml:space="preserve"> </w:t>
      </w:r>
      <w:r>
        <w:t>1(3),174-182</w:t>
      </w:r>
      <w:r w:rsidR="00361DCD">
        <w:t xml:space="preserve"> (2021).</w:t>
      </w:r>
    </w:p>
    <w:p w14:paraId="0E87C6BC" w14:textId="311DB3A0" w:rsidR="00514FCC" w:rsidRDefault="00361DCD" w:rsidP="00514FCC">
      <w:pPr>
        <w:pStyle w:val="Reference"/>
      </w:pPr>
      <w:r>
        <w:t xml:space="preserve">T. </w:t>
      </w:r>
      <w:proofErr w:type="spellStart"/>
      <w:r w:rsidR="00514FCC">
        <w:t>Suharti</w:t>
      </w:r>
      <w:proofErr w:type="spellEnd"/>
      <w:r w:rsidR="00514FCC">
        <w:t xml:space="preserve"> T., </w:t>
      </w:r>
      <w:r>
        <w:t>“</w:t>
      </w:r>
      <w:proofErr w:type="spellStart"/>
      <w:r w:rsidR="00514FCC">
        <w:t>dasar</w:t>
      </w:r>
      <w:proofErr w:type="spellEnd"/>
      <w:r w:rsidR="00514FCC">
        <w:t xml:space="preserve"> – </w:t>
      </w:r>
      <w:proofErr w:type="spellStart"/>
      <w:r w:rsidR="00514FCC">
        <w:t>dasar</w:t>
      </w:r>
      <w:proofErr w:type="spellEnd"/>
      <w:r w:rsidR="00514FCC">
        <w:t xml:space="preserve"> </w:t>
      </w:r>
      <w:proofErr w:type="spellStart"/>
      <w:r w:rsidR="00514FCC">
        <w:t>spektrofotometri</w:t>
      </w:r>
      <w:proofErr w:type="spellEnd"/>
      <w:r w:rsidR="00514FCC">
        <w:t xml:space="preserve"> </w:t>
      </w:r>
      <w:proofErr w:type="spellStart"/>
      <w:r w:rsidR="00514FCC">
        <w:t>uv</w:t>
      </w:r>
      <w:proofErr w:type="spellEnd"/>
      <w:r w:rsidR="00514FCC">
        <w:t xml:space="preserve">-vis dan </w:t>
      </w:r>
      <w:proofErr w:type="spellStart"/>
      <w:r w:rsidR="00514FCC">
        <w:t>spektometri</w:t>
      </w:r>
      <w:proofErr w:type="spellEnd"/>
      <w:r w:rsidR="00514FCC">
        <w:t xml:space="preserve"> </w:t>
      </w:r>
      <w:proofErr w:type="spellStart"/>
      <w:r w:rsidR="00514FCC">
        <w:t>massa</w:t>
      </w:r>
      <w:proofErr w:type="spellEnd"/>
      <w:r w:rsidR="00514FCC">
        <w:t xml:space="preserve"> </w:t>
      </w:r>
      <w:proofErr w:type="spellStart"/>
      <w:r w:rsidR="00514FCC">
        <w:t>untuk</w:t>
      </w:r>
      <w:proofErr w:type="spellEnd"/>
      <w:r w:rsidR="00514FCC">
        <w:t xml:space="preserve"> </w:t>
      </w:r>
      <w:proofErr w:type="spellStart"/>
      <w:r w:rsidR="00514FCC">
        <w:t>penentuan</w:t>
      </w:r>
      <w:proofErr w:type="spellEnd"/>
      <w:r w:rsidR="00514FCC">
        <w:t xml:space="preserve"> </w:t>
      </w:r>
      <w:proofErr w:type="spellStart"/>
      <w:r w:rsidR="00514FCC">
        <w:t>struktur</w:t>
      </w:r>
      <w:proofErr w:type="spellEnd"/>
      <w:r w:rsidR="00514FCC">
        <w:t xml:space="preserve"> </w:t>
      </w:r>
      <w:proofErr w:type="spellStart"/>
      <w:r w:rsidR="00514FCC">
        <w:t>senyawa</w:t>
      </w:r>
      <w:proofErr w:type="spellEnd"/>
      <w:r w:rsidR="00514FCC">
        <w:t xml:space="preserve"> </w:t>
      </w:r>
      <w:proofErr w:type="spellStart"/>
      <w:r w:rsidR="00514FCC">
        <w:t>organik</w:t>
      </w:r>
      <w:proofErr w:type="spellEnd"/>
      <w:r w:rsidR="00514FCC">
        <w:t xml:space="preserve">. Anugrah Utama </w:t>
      </w:r>
      <w:proofErr w:type="spellStart"/>
      <w:proofErr w:type="gramStart"/>
      <w:r w:rsidR="00514FCC">
        <w:t>Rahaja</w:t>
      </w:r>
      <w:proofErr w:type="spellEnd"/>
      <w:r w:rsidR="00514FCC">
        <w:t xml:space="preserve"> :</w:t>
      </w:r>
      <w:proofErr w:type="gramEnd"/>
      <w:r w:rsidR="00514FCC">
        <w:t xml:space="preserve"> Bandar </w:t>
      </w:r>
      <w:proofErr w:type="spellStart"/>
      <w:r w:rsidR="00514FCC">
        <w:t>lampung</w:t>
      </w:r>
      <w:proofErr w:type="spellEnd"/>
      <w:r>
        <w:t xml:space="preserve"> (2017).</w:t>
      </w:r>
    </w:p>
    <w:p w14:paraId="09DFE454" w14:textId="52D32FAF" w:rsidR="00514FCC" w:rsidRPr="00361DCD" w:rsidRDefault="00514FCC" w:rsidP="00514FCC">
      <w:pPr>
        <w:pStyle w:val="Reference"/>
        <w:rPr>
          <w:lang w:val="fi-FI"/>
        </w:rPr>
      </w:pPr>
      <w:r w:rsidRPr="003567A9">
        <w:rPr>
          <w:lang w:val="fi-FI"/>
        </w:rPr>
        <w:t xml:space="preserve">Nurhayati.,. </w:t>
      </w:r>
      <w:r w:rsidR="00361DCD">
        <w:rPr>
          <w:lang w:val="fi-FI"/>
        </w:rPr>
        <w:t>”</w:t>
      </w:r>
      <w:r w:rsidRPr="003567A9">
        <w:rPr>
          <w:lang w:val="fi-FI"/>
        </w:rPr>
        <w:t>Aplikasi color analysis untuk memprediksi kepekatan minuman kopi tubru</w:t>
      </w:r>
      <w:r w:rsidR="00361DCD">
        <w:rPr>
          <w:lang w:val="fi-FI"/>
        </w:rPr>
        <w:t xml:space="preserve">,” </w:t>
      </w:r>
      <w:r w:rsidRPr="00361DCD">
        <w:rPr>
          <w:lang w:val="fi-FI"/>
        </w:rPr>
        <w:t>Jurnal Pendidikan fisika dan fisika terapan</w:t>
      </w:r>
      <w:r w:rsidR="00361DCD">
        <w:rPr>
          <w:lang w:val="fi-FI"/>
        </w:rPr>
        <w:t xml:space="preserve"> </w:t>
      </w:r>
      <w:r w:rsidRPr="00361DCD">
        <w:rPr>
          <w:lang w:val="fi-FI"/>
        </w:rPr>
        <w:t>3(1), 22-26</w:t>
      </w:r>
      <w:r w:rsidR="00361DCD">
        <w:rPr>
          <w:lang w:val="fi-FI"/>
        </w:rPr>
        <w:t xml:space="preserve"> (2017).</w:t>
      </w:r>
    </w:p>
    <w:p w14:paraId="6D472FAC" w14:textId="73EF43B6" w:rsidR="00514FCC" w:rsidRDefault="00514FCC" w:rsidP="00514FCC">
      <w:pPr>
        <w:pStyle w:val="Reference"/>
      </w:pPr>
      <w:proofErr w:type="spellStart"/>
      <w:r w:rsidRPr="00361DCD">
        <w:rPr>
          <w:lang w:val="en-ID"/>
        </w:rPr>
        <w:t>Hutabarat</w:t>
      </w:r>
      <w:proofErr w:type="spellEnd"/>
      <w:r w:rsidRPr="00361DCD">
        <w:rPr>
          <w:lang w:val="en-ID"/>
        </w:rPr>
        <w:t xml:space="preserve">, F. T., </w:t>
      </w:r>
      <w:proofErr w:type="spellStart"/>
      <w:r w:rsidRPr="00361DCD">
        <w:rPr>
          <w:lang w:val="en-ID"/>
        </w:rPr>
        <w:t>Gumaran</w:t>
      </w:r>
      <w:proofErr w:type="spellEnd"/>
      <w:r w:rsidRPr="00361DCD">
        <w:rPr>
          <w:lang w:val="en-ID"/>
        </w:rPr>
        <w:t>, S.,</w:t>
      </w:r>
      <w:r w:rsidR="00361DCD" w:rsidRPr="00361DCD">
        <w:rPr>
          <w:lang w:val="en-ID"/>
        </w:rPr>
        <w:t xml:space="preserve"> and</w:t>
      </w:r>
      <w:r w:rsidRPr="00361DCD">
        <w:rPr>
          <w:lang w:val="en-ID"/>
        </w:rPr>
        <w:t xml:space="preserve"> Utari, N. W. A.</w:t>
      </w:r>
      <w:r w:rsidR="00361DCD">
        <w:rPr>
          <w:lang w:val="en-ID"/>
        </w:rPr>
        <w:t>, “</w:t>
      </w:r>
      <w:proofErr w:type="spellStart"/>
      <w:r>
        <w:t>Karakteristik</w:t>
      </w:r>
      <w:proofErr w:type="spellEnd"/>
      <w:r>
        <w:t xml:space="preserve"> </w:t>
      </w:r>
      <w:proofErr w:type="spellStart"/>
      <w:r>
        <w:t>Fisik</w:t>
      </w:r>
      <w:proofErr w:type="spellEnd"/>
      <w:r>
        <w:t xml:space="preserve"> Edible Film </w:t>
      </w:r>
      <w:proofErr w:type="spellStart"/>
      <w:r>
        <w:t>Nanokomposit</w:t>
      </w:r>
      <w:proofErr w:type="spellEnd"/>
      <w:r>
        <w:t xml:space="preserve"> </w:t>
      </w:r>
      <w:proofErr w:type="spellStart"/>
      <w:r>
        <w:t>Berbasis</w:t>
      </w:r>
      <w:proofErr w:type="spellEnd"/>
      <w:r>
        <w:t xml:space="preserve"> </w:t>
      </w:r>
      <w:proofErr w:type="spellStart"/>
      <w:r>
        <w:t>Kitosan</w:t>
      </w:r>
      <w:proofErr w:type="spellEnd"/>
      <w:r>
        <w:t xml:space="preserve"> </w:t>
      </w:r>
      <w:proofErr w:type="spellStart"/>
      <w:r>
        <w:t>Dengan</w:t>
      </w:r>
      <w:proofErr w:type="spellEnd"/>
      <w:r>
        <w:t xml:space="preserve"> </w:t>
      </w:r>
      <w:proofErr w:type="spellStart"/>
      <w:r>
        <w:t>Penambahan</w:t>
      </w:r>
      <w:proofErr w:type="spellEnd"/>
      <w:r>
        <w:t xml:space="preserve"> Beeswax Dan Np-Zno. Journal of Agribusiness and Agrotechnology 3 </w:t>
      </w:r>
      <w:proofErr w:type="spellStart"/>
      <w:r>
        <w:t>Niwayan</w:t>
      </w:r>
      <w:proofErr w:type="spellEnd"/>
      <w:r w:rsidR="00361DCD">
        <w:t xml:space="preserve"> </w:t>
      </w:r>
      <w:r>
        <w:t>5(1), 27-38</w:t>
      </w:r>
      <w:r w:rsidR="00361DCD">
        <w:t xml:space="preserve"> (2024).</w:t>
      </w:r>
    </w:p>
    <w:p w14:paraId="3BC5D3AA" w14:textId="4BDC7462" w:rsidR="00361DCD" w:rsidRDefault="00361DCD" w:rsidP="00514FCC">
      <w:pPr>
        <w:pStyle w:val="Reference"/>
      </w:pPr>
      <w:r w:rsidRPr="00361DCD">
        <w:t xml:space="preserve">A. </w:t>
      </w:r>
      <w:proofErr w:type="spellStart"/>
      <w:r w:rsidRPr="00361DCD">
        <w:t>Liyanapathiranage</w:t>
      </w:r>
      <w:proofErr w:type="spellEnd"/>
      <w:r w:rsidRPr="00361DCD">
        <w:t xml:space="preserve">, R.S. Dassanayake, A. Gamage, R.R. Karri, A. </w:t>
      </w:r>
      <w:proofErr w:type="spellStart"/>
      <w:r w:rsidRPr="00361DCD">
        <w:t>Manamperi</w:t>
      </w:r>
      <w:proofErr w:type="spellEnd"/>
      <w:r w:rsidRPr="00361DCD">
        <w:t>, P. Evon, Y. Jayakodi, T. Madhujith, and O. Merah, “Recent Developments in Edible Films and Coatings for Fruits and Vegetables,” Coatings 13(7), 1177 (2023).</w:t>
      </w:r>
    </w:p>
    <w:p w14:paraId="1F61C615" w14:textId="7153834E" w:rsidR="00361DCD" w:rsidRDefault="00361DCD" w:rsidP="00514FCC">
      <w:pPr>
        <w:pStyle w:val="Reference"/>
      </w:pPr>
      <w:r w:rsidRPr="00361DCD">
        <w:t>Y. Zhong, G. Cavender, and Y. Zhao, “Investigation of different coating application methods on the performance of edible coatings on Mozzarella cheese,” LWT - Food Sci. Technol. 56(1), 1–8 (2014).</w:t>
      </w:r>
    </w:p>
    <w:sectPr w:rsidR="00361DCD"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4866EC2"/>
    <w:multiLevelType w:val="hybridMultilevel"/>
    <w:tmpl w:val="4808E6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427964924">
    <w:abstractNumId w:val="16"/>
  </w:num>
  <w:num w:numId="2" w16cid:durableId="1491603600">
    <w:abstractNumId w:val="3"/>
  </w:num>
  <w:num w:numId="3" w16cid:durableId="1825463819">
    <w:abstractNumId w:val="13"/>
  </w:num>
  <w:num w:numId="4" w16cid:durableId="2147315128">
    <w:abstractNumId w:val="8"/>
  </w:num>
  <w:num w:numId="5" w16cid:durableId="1334644283">
    <w:abstractNumId w:val="12"/>
  </w:num>
  <w:num w:numId="6" w16cid:durableId="1235511123">
    <w:abstractNumId w:val="5"/>
  </w:num>
  <w:num w:numId="7" w16cid:durableId="1680499811">
    <w:abstractNumId w:val="7"/>
  </w:num>
  <w:num w:numId="8" w16cid:durableId="609050251">
    <w:abstractNumId w:val="1"/>
  </w:num>
  <w:num w:numId="9" w16cid:durableId="105658103">
    <w:abstractNumId w:val="15"/>
  </w:num>
  <w:num w:numId="10" w16cid:durableId="158082782">
    <w:abstractNumId w:val="10"/>
  </w:num>
  <w:num w:numId="11" w16cid:durableId="713428565">
    <w:abstractNumId w:val="14"/>
  </w:num>
  <w:num w:numId="12" w16cid:durableId="2055498809">
    <w:abstractNumId w:val="11"/>
  </w:num>
  <w:num w:numId="13" w16cid:durableId="1064177412">
    <w:abstractNumId w:val="6"/>
  </w:num>
  <w:num w:numId="14" w16cid:durableId="784925158">
    <w:abstractNumId w:val="15"/>
  </w:num>
  <w:num w:numId="15" w16cid:durableId="1284994883">
    <w:abstractNumId w:val="9"/>
  </w:num>
  <w:num w:numId="16" w16cid:durableId="1705979251">
    <w:abstractNumId w:val="6"/>
  </w:num>
  <w:num w:numId="17" w16cid:durableId="1266812418">
    <w:abstractNumId w:val="6"/>
  </w:num>
  <w:num w:numId="18" w16cid:durableId="1091507580">
    <w:abstractNumId w:val="6"/>
  </w:num>
  <w:num w:numId="19" w16cid:durableId="1908610361">
    <w:abstractNumId w:val="6"/>
  </w:num>
  <w:num w:numId="20" w16cid:durableId="1043213529">
    <w:abstractNumId w:val="6"/>
  </w:num>
  <w:num w:numId="21" w16cid:durableId="499389657">
    <w:abstractNumId w:val="6"/>
  </w:num>
  <w:num w:numId="22" w16cid:durableId="2101752514">
    <w:abstractNumId w:val="6"/>
  </w:num>
  <w:num w:numId="23" w16cid:durableId="1025180825">
    <w:abstractNumId w:val="6"/>
  </w:num>
  <w:num w:numId="24" w16cid:durableId="1688677398">
    <w:abstractNumId w:val="6"/>
  </w:num>
  <w:num w:numId="25" w16cid:durableId="1775594896">
    <w:abstractNumId w:val="6"/>
  </w:num>
  <w:num w:numId="26" w16cid:durableId="972951570">
    <w:abstractNumId w:val="6"/>
  </w:num>
  <w:num w:numId="27" w16cid:durableId="1881744713">
    <w:abstractNumId w:val="6"/>
  </w:num>
  <w:num w:numId="28" w16cid:durableId="1163277843">
    <w:abstractNumId w:val="6"/>
  </w:num>
  <w:num w:numId="29" w16cid:durableId="928277067">
    <w:abstractNumId w:val="12"/>
  </w:num>
  <w:num w:numId="30" w16cid:durableId="1049307371">
    <w:abstractNumId w:val="12"/>
  </w:num>
  <w:num w:numId="31" w16cid:durableId="273370465">
    <w:abstractNumId w:val="12"/>
    <w:lvlOverride w:ilvl="0">
      <w:startOverride w:val="1"/>
    </w:lvlOverride>
  </w:num>
  <w:num w:numId="32" w16cid:durableId="1043411008">
    <w:abstractNumId w:val="12"/>
  </w:num>
  <w:num w:numId="33" w16cid:durableId="1894729107">
    <w:abstractNumId w:val="12"/>
    <w:lvlOverride w:ilvl="0">
      <w:startOverride w:val="1"/>
    </w:lvlOverride>
  </w:num>
  <w:num w:numId="34" w16cid:durableId="111871760">
    <w:abstractNumId w:val="12"/>
    <w:lvlOverride w:ilvl="0">
      <w:startOverride w:val="1"/>
    </w:lvlOverride>
  </w:num>
  <w:num w:numId="35" w16cid:durableId="851842475">
    <w:abstractNumId w:val="13"/>
    <w:lvlOverride w:ilvl="0">
      <w:startOverride w:val="1"/>
    </w:lvlOverride>
  </w:num>
  <w:num w:numId="36" w16cid:durableId="402023929">
    <w:abstractNumId w:val="13"/>
  </w:num>
  <w:num w:numId="37" w16cid:durableId="751437161">
    <w:abstractNumId w:val="13"/>
    <w:lvlOverride w:ilvl="0">
      <w:startOverride w:val="1"/>
    </w:lvlOverride>
  </w:num>
  <w:num w:numId="38" w16cid:durableId="2020695511">
    <w:abstractNumId w:val="13"/>
  </w:num>
  <w:num w:numId="39" w16cid:durableId="1014650240">
    <w:abstractNumId w:val="13"/>
    <w:lvlOverride w:ilvl="0">
      <w:startOverride w:val="1"/>
    </w:lvlOverride>
  </w:num>
  <w:num w:numId="40" w16cid:durableId="920026598">
    <w:abstractNumId w:val="13"/>
    <w:lvlOverride w:ilvl="0">
      <w:startOverride w:val="1"/>
    </w:lvlOverride>
  </w:num>
  <w:num w:numId="41" w16cid:durableId="956527391">
    <w:abstractNumId w:val="13"/>
    <w:lvlOverride w:ilvl="0">
      <w:startOverride w:val="1"/>
    </w:lvlOverride>
  </w:num>
  <w:num w:numId="42" w16cid:durableId="1401253567">
    <w:abstractNumId w:val="13"/>
  </w:num>
  <w:num w:numId="43" w16cid:durableId="697047615">
    <w:abstractNumId w:val="13"/>
  </w:num>
  <w:num w:numId="44" w16cid:durableId="580723346">
    <w:abstractNumId w:val="2"/>
  </w:num>
  <w:num w:numId="45" w16cid:durableId="1752005565">
    <w:abstractNumId w:val="0"/>
  </w:num>
  <w:num w:numId="46" w16cid:durableId="1116219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D2D12"/>
    <w:rsid w:val="000D68B7"/>
    <w:rsid w:val="000E382F"/>
    <w:rsid w:val="000E75CD"/>
    <w:rsid w:val="001036BA"/>
    <w:rsid w:val="001146DC"/>
    <w:rsid w:val="00114AB1"/>
    <w:rsid w:val="001230FF"/>
    <w:rsid w:val="00130BD7"/>
    <w:rsid w:val="00155B67"/>
    <w:rsid w:val="001562AF"/>
    <w:rsid w:val="00161A5B"/>
    <w:rsid w:val="0016385D"/>
    <w:rsid w:val="0016782F"/>
    <w:rsid w:val="001775D1"/>
    <w:rsid w:val="001937E9"/>
    <w:rsid w:val="001964E5"/>
    <w:rsid w:val="001B263B"/>
    <w:rsid w:val="001B476A"/>
    <w:rsid w:val="001C257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23CA"/>
    <w:rsid w:val="00337E4F"/>
    <w:rsid w:val="00340C36"/>
    <w:rsid w:val="00346A9D"/>
    <w:rsid w:val="003567A9"/>
    <w:rsid w:val="00361DCD"/>
    <w:rsid w:val="00376FF7"/>
    <w:rsid w:val="003913F7"/>
    <w:rsid w:val="0039376F"/>
    <w:rsid w:val="003A287B"/>
    <w:rsid w:val="003A5C85"/>
    <w:rsid w:val="003A61B1"/>
    <w:rsid w:val="003B0050"/>
    <w:rsid w:val="003D152B"/>
    <w:rsid w:val="003D6312"/>
    <w:rsid w:val="003E7C74"/>
    <w:rsid w:val="003F31C6"/>
    <w:rsid w:val="0040225B"/>
    <w:rsid w:val="00402DA2"/>
    <w:rsid w:val="00425AC2"/>
    <w:rsid w:val="0044771F"/>
    <w:rsid w:val="004B151D"/>
    <w:rsid w:val="004C7243"/>
    <w:rsid w:val="004E21DE"/>
    <w:rsid w:val="004E3C57"/>
    <w:rsid w:val="004E3CB2"/>
    <w:rsid w:val="00514FCC"/>
    <w:rsid w:val="00525813"/>
    <w:rsid w:val="0053513F"/>
    <w:rsid w:val="00574405"/>
    <w:rsid w:val="005854B0"/>
    <w:rsid w:val="005A0E21"/>
    <w:rsid w:val="005B3A34"/>
    <w:rsid w:val="005C51B0"/>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1360"/>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820DE"/>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C6A2A"/>
    <w:rsid w:val="009D3303"/>
    <w:rsid w:val="009E5BA1"/>
    <w:rsid w:val="009F056E"/>
    <w:rsid w:val="00A24F3D"/>
    <w:rsid w:val="00A26DCD"/>
    <w:rsid w:val="00A314BB"/>
    <w:rsid w:val="00A32B7D"/>
    <w:rsid w:val="00A5596B"/>
    <w:rsid w:val="00A62445"/>
    <w:rsid w:val="00A646B3"/>
    <w:rsid w:val="00A6739B"/>
    <w:rsid w:val="00A90413"/>
    <w:rsid w:val="00AA728C"/>
    <w:rsid w:val="00AB0A9C"/>
    <w:rsid w:val="00AB7119"/>
    <w:rsid w:val="00AD5855"/>
    <w:rsid w:val="00AE7500"/>
    <w:rsid w:val="00AE7F87"/>
    <w:rsid w:val="00AF0E35"/>
    <w:rsid w:val="00AF3542"/>
    <w:rsid w:val="00AF5ABE"/>
    <w:rsid w:val="00B00415"/>
    <w:rsid w:val="00B03C2A"/>
    <w:rsid w:val="00B1000D"/>
    <w:rsid w:val="00B10134"/>
    <w:rsid w:val="00B16BFE"/>
    <w:rsid w:val="00B500E5"/>
    <w:rsid w:val="00B60EA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14527"/>
    <w:rsid w:val="00D25ECE"/>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hyperlink" Target="mailto:ana_hidayah@unimus.ac.i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7</TotalTime>
  <Pages>6</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2011-03-03T08:29:00Z</cp:lastPrinted>
  <dcterms:created xsi:type="dcterms:W3CDTF">2025-11-22T07:33:00Z</dcterms:created>
  <dcterms:modified xsi:type="dcterms:W3CDTF">2025-11-22T07:33:00Z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e80ee800-a6dd-418f-980c-9bcf30830f96</vt:lpwstr>
  </property>
</Properties>
</file>