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15EA" w14:textId="1A7F57D7" w:rsidR="0016385D" w:rsidRPr="00806E5F" w:rsidRDefault="00806E5F" w:rsidP="00FF75AD">
      <w:pPr>
        <w:pStyle w:val="PaperTitle"/>
      </w:pPr>
      <w:r w:rsidRPr="00806E5F">
        <w:t xml:space="preserve">Natural </w:t>
      </w:r>
      <w:r w:rsidR="00FF75AD">
        <w:t xml:space="preserve">Biomaterials for </w:t>
      </w:r>
      <w:r w:rsidRPr="00806E5F">
        <w:t xml:space="preserve">Local </w:t>
      </w:r>
      <w:r w:rsidR="00FF75AD">
        <w:t>Hemostasis</w:t>
      </w:r>
      <w:r w:rsidRPr="00806E5F">
        <w:t xml:space="preserve"> </w:t>
      </w:r>
      <w:r w:rsidR="00FF75AD">
        <w:t xml:space="preserve">in Dentistry: </w:t>
      </w:r>
      <w:r w:rsidRPr="00806E5F">
        <w:t xml:space="preserve"> A Systematic Literature Review</w:t>
      </w:r>
    </w:p>
    <w:p w14:paraId="548D96A3" w14:textId="5AD7844A" w:rsidR="00C14B14" w:rsidRPr="00806E5F" w:rsidRDefault="00806E5F" w:rsidP="00806E5F">
      <w:pPr>
        <w:pStyle w:val="AuthorName"/>
        <w:rPr>
          <w:vertAlign w:val="superscript"/>
          <w:lang w:val="en"/>
        </w:rPr>
      </w:pPr>
      <w:r w:rsidRPr="00806E5F">
        <w:rPr>
          <w:lang w:val="en"/>
        </w:rPr>
        <w:t>Amelia Elizabeth Pranoto</w:t>
      </w:r>
      <w:r w:rsidRPr="00806E5F">
        <w:rPr>
          <w:vertAlign w:val="superscript"/>
          <w:lang w:val="en"/>
        </w:rPr>
        <w:t>1</w:t>
      </w:r>
      <w:r w:rsidR="00E62BEB">
        <w:rPr>
          <w:vertAlign w:val="superscript"/>
          <w:lang w:val="en"/>
        </w:rPr>
        <w:t>,</w:t>
      </w:r>
      <w:r w:rsidR="003049DF">
        <w:rPr>
          <w:vertAlign w:val="superscript"/>
          <w:lang w:val="en"/>
        </w:rPr>
        <w:t xml:space="preserve"> </w:t>
      </w:r>
      <w:r w:rsidR="00E62BEB">
        <w:rPr>
          <w:vertAlign w:val="superscript"/>
          <w:lang w:val="en"/>
        </w:rPr>
        <w:t>a)</w:t>
      </w:r>
      <w:r w:rsidRPr="00806E5F">
        <w:rPr>
          <w:lang w:val="en"/>
        </w:rPr>
        <w:t>, Nina Runting</w:t>
      </w:r>
      <w:r w:rsidRPr="00806E5F">
        <w:rPr>
          <w:vertAlign w:val="superscript"/>
          <w:lang w:val="en"/>
        </w:rPr>
        <w:t>1</w:t>
      </w:r>
      <w:r w:rsidR="003049DF">
        <w:rPr>
          <w:vertAlign w:val="superscript"/>
          <w:lang w:val="en"/>
        </w:rPr>
        <w:t>, b)</w:t>
      </w:r>
      <w:r w:rsidRPr="00806E5F">
        <w:rPr>
          <w:lang w:val="en"/>
        </w:rPr>
        <w:t>, Eddy Hermanto</w:t>
      </w:r>
      <w:r w:rsidRPr="00806E5F">
        <w:rPr>
          <w:vertAlign w:val="superscript"/>
          <w:lang w:val="en"/>
        </w:rPr>
        <w:t>2</w:t>
      </w:r>
      <w:r w:rsidR="003049DF">
        <w:rPr>
          <w:vertAlign w:val="superscript"/>
          <w:lang w:val="en"/>
        </w:rPr>
        <w:t>, c)</w:t>
      </w:r>
      <w:r w:rsidRPr="00806E5F">
        <w:rPr>
          <w:lang w:val="en"/>
        </w:rPr>
        <w:t>, Monika Elidasari</w:t>
      </w:r>
      <w:r w:rsidRPr="00806E5F">
        <w:rPr>
          <w:vertAlign w:val="superscript"/>
          <w:lang w:val="en"/>
        </w:rPr>
        <w:t>2</w:t>
      </w:r>
      <w:r w:rsidR="003049DF">
        <w:rPr>
          <w:vertAlign w:val="superscript"/>
          <w:lang w:val="en"/>
        </w:rPr>
        <w:t>, d)</w:t>
      </w:r>
    </w:p>
    <w:p w14:paraId="56D8C2E1" w14:textId="77777777" w:rsidR="00C14B14" w:rsidRPr="003B0050" w:rsidRDefault="00C14B14" w:rsidP="003B0050">
      <w:pPr>
        <w:pStyle w:val="AuthorName"/>
        <w:spacing w:before="0" w:after="0"/>
        <w:rPr>
          <w:sz w:val="20"/>
          <w:lang w:val="en-GB" w:eastAsia="en-GB"/>
        </w:rPr>
      </w:pPr>
      <w:r>
        <w:rPr>
          <w:sz w:val="20"/>
          <w:lang w:val="en-GB" w:eastAsia="en-GB"/>
        </w:rPr>
        <w:t xml:space="preserve">Author Affiliations </w:t>
      </w:r>
    </w:p>
    <w:p w14:paraId="00072308" w14:textId="0611F85D" w:rsidR="003B281E" w:rsidRPr="003B281E" w:rsidRDefault="003B281E" w:rsidP="003B281E">
      <w:pPr>
        <w:pStyle w:val="AuthorAffiliation"/>
        <w:rPr>
          <w:iCs/>
          <w:lang w:val="en"/>
        </w:rPr>
      </w:pPr>
      <w:r w:rsidRPr="003B281E">
        <w:rPr>
          <w:iCs/>
          <w:vertAlign w:val="superscript"/>
          <w:lang w:val="en"/>
        </w:rPr>
        <w:t>1</w:t>
      </w:r>
      <w:r w:rsidRPr="003B281E">
        <w:rPr>
          <w:iCs/>
          <w:lang w:val="en"/>
        </w:rPr>
        <w:t>Department of Oral and Maxillofacial Surgery, Faculty of Dentistry, Universitas Muhammadiyah Surakarta</w:t>
      </w:r>
    </w:p>
    <w:p w14:paraId="7BE7835F" w14:textId="25E2BA4E" w:rsidR="00806E5F" w:rsidRPr="00806E5F" w:rsidRDefault="003B281E" w:rsidP="003B281E">
      <w:pPr>
        <w:pStyle w:val="AuthorAffiliation"/>
        <w:rPr>
          <w:iCs/>
          <w:lang w:val="en"/>
        </w:rPr>
      </w:pPr>
      <w:r w:rsidRPr="003B281E">
        <w:rPr>
          <w:iCs/>
          <w:vertAlign w:val="superscript"/>
          <w:lang w:val="en"/>
        </w:rPr>
        <w:t>2</w:t>
      </w:r>
      <w:r w:rsidRPr="003B281E">
        <w:rPr>
          <w:iCs/>
          <w:lang w:val="en"/>
        </w:rPr>
        <w:t>Department of Oral and Maxillofacial Surgery, Faculty of Dentistry, Universitas Hang Tuah Surabaya</w:t>
      </w:r>
    </w:p>
    <w:p w14:paraId="5E05E235" w14:textId="2F0B24BA" w:rsidR="003A5C85" w:rsidRDefault="00C14B14" w:rsidP="003B281E">
      <w:pPr>
        <w:pStyle w:val="AuthorAffiliation"/>
      </w:pPr>
      <w:r w:rsidRPr="00075EA6">
        <w:br/>
      </w:r>
      <w:r w:rsidRPr="00AF35C8">
        <w:t>Author Emails</w:t>
      </w:r>
      <w:r w:rsidR="00ED4A2C" w:rsidRPr="00AF35C8">
        <w:br/>
      </w:r>
      <w:r w:rsidR="00003D7C" w:rsidRPr="00AF35C8">
        <w:rPr>
          <w:szCs w:val="28"/>
          <w:vertAlign w:val="superscript"/>
        </w:rPr>
        <w:t>a)</w:t>
      </w:r>
      <w:r w:rsidR="00003D7C" w:rsidRPr="00AF35C8">
        <w:t xml:space="preserve"> Corresponding</w:t>
      </w:r>
      <w:r w:rsidR="004E3CB2" w:rsidRPr="00AF35C8">
        <w:t xml:space="preserve"> author: </w:t>
      </w:r>
      <w:r w:rsidR="00ED7C9D" w:rsidRPr="00AF35C8">
        <w:t>aep357@ums.ac.id</w:t>
      </w:r>
    </w:p>
    <w:p w14:paraId="07CCE9BA" w14:textId="6DCF8F2D" w:rsidR="00ED7C9D" w:rsidRDefault="00ED7C9D" w:rsidP="003B281E">
      <w:pPr>
        <w:pStyle w:val="AuthorAffiliation"/>
      </w:pPr>
      <w:proofErr w:type="gramStart"/>
      <w:r>
        <w:rPr>
          <w:vertAlign w:val="superscript"/>
        </w:rPr>
        <w:t>b)</w:t>
      </w:r>
      <w:r w:rsidRPr="00ED7C9D">
        <w:t>nina.runting@gmail.com</w:t>
      </w:r>
      <w:proofErr w:type="gramEnd"/>
    </w:p>
    <w:p w14:paraId="0255221D" w14:textId="6BF44E5D" w:rsidR="00ED7C9D" w:rsidRDefault="00ED7C9D" w:rsidP="003B281E">
      <w:pPr>
        <w:pStyle w:val="AuthorAffiliation"/>
      </w:pPr>
      <w:r>
        <w:rPr>
          <w:vertAlign w:val="superscript"/>
        </w:rPr>
        <w:t xml:space="preserve">c) </w:t>
      </w:r>
      <w:r w:rsidRPr="00ED7C9D">
        <w:t>eddy.hermanto@hangtuah.ac.id</w:t>
      </w:r>
    </w:p>
    <w:p w14:paraId="379EA0E9" w14:textId="24D35E6E" w:rsidR="00ED7C9D" w:rsidRPr="00ED7C9D" w:rsidRDefault="00ED7C9D" w:rsidP="00AF35C8">
      <w:pPr>
        <w:pStyle w:val="AuthorAffiliation"/>
      </w:pPr>
      <w:r>
        <w:rPr>
          <w:vertAlign w:val="superscript"/>
        </w:rPr>
        <w:t>d)</w:t>
      </w:r>
      <w:r w:rsidRPr="00ED7C9D">
        <w:t>monika.elidasari@hangtuah.ac.id</w:t>
      </w:r>
    </w:p>
    <w:p w14:paraId="2AB389B6" w14:textId="29CD0EC7" w:rsidR="00A41E25" w:rsidRDefault="0016385D" w:rsidP="00A41E25">
      <w:pPr>
        <w:pStyle w:val="Abstract"/>
        <w:rPr>
          <w:lang w:val="en"/>
        </w:rPr>
      </w:pPr>
      <w:r w:rsidRPr="00075EA6">
        <w:rPr>
          <w:b/>
          <w:bCs/>
        </w:rPr>
        <w:t>Abstract.</w:t>
      </w:r>
      <w:r w:rsidR="00A41E25">
        <w:t xml:space="preserve"> </w:t>
      </w:r>
      <w:r w:rsidR="003B281E" w:rsidRPr="003B281E">
        <w:rPr>
          <w:lang w:val="en"/>
        </w:rPr>
        <w:t>Uncontrolled hemorrhage remains a significant cause of morbidity and mortality in surgical and trauma settings. While various local hemostatic agents exist, limitations persist regarding efficacy, safety, cost, and ease of use. Natural local hemostatic agents, derived from biological or mineral sources, represent a potentially advantageous alternative or adjunct. This systematic review evaluates the current evidence on their efficacy and safety. This literature review aimed to compare, contrast, and evaluate the efficacy and efficiency of innovations using natural, local hemostatic biomaterials in dentistry.</w:t>
      </w:r>
      <w:r w:rsidR="003B281E">
        <w:rPr>
          <w:lang w:val="en"/>
        </w:rPr>
        <w:t xml:space="preserve"> </w:t>
      </w:r>
      <w:r w:rsidR="003B281E" w:rsidRPr="003B281E">
        <w:rPr>
          <w:lang w:val="en"/>
        </w:rPr>
        <w:t xml:space="preserve"> This review followed the PRISMA 2020 guidelines. Original research articles on experimental, natural, and local hemostatic biomaterials in dentistry, published between 2015 and 2025, were retrieved and reviewed. Searching electronic databases, including SCOPUS and PubMed indexed dental and biomaterial journals has been conducted. The inclusion criteria included </w:t>
      </w:r>
      <w:proofErr w:type="spellStart"/>
      <w:r w:rsidR="003B281E" w:rsidRPr="003B281E">
        <w:rPr>
          <w:lang w:val="en"/>
        </w:rPr>
        <w:t>synthesising</w:t>
      </w:r>
      <w:proofErr w:type="spellEnd"/>
      <w:r w:rsidR="003B281E" w:rsidRPr="003B281E">
        <w:rPr>
          <w:lang w:val="en"/>
        </w:rPr>
        <w:t xml:space="preserve"> experimental biomaterials focused on local hemostatic agents in dentistry. Commercial dental materials, review articles, and clinical trials (including case reports) were excluded.</w:t>
      </w:r>
      <w:r w:rsidR="003B281E">
        <w:rPr>
          <w:lang w:val="en"/>
        </w:rPr>
        <w:t xml:space="preserve"> </w:t>
      </w:r>
      <w:r w:rsidR="003B281E" w:rsidRPr="003B281E">
        <w:rPr>
          <w:lang w:val="en"/>
        </w:rPr>
        <w:t>Natural local hemostatic biomaterial in dentistry differs from plant-derived sources such as Calendula officinalis and cellulose (often modified into carboxymethylcellulose derivatives), marine sources like red algae (</w:t>
      </w:r>
      <w:proofErr w:type="spellStart"/>
      <w:r w:rsidR="003B281E" w:rsidRPr="003B281E">
        <w:rPr>
          <w:lang w:val="en"/>
        </w:rPr>
        <w:t>Gracilaria</w:t>
      </w:r>
      <w:proofErr w:type="spellEnd"/>
      <w:r w:rsidR="003B281E" w:rsidRPr="003B281E">
        <w:rPr>
          <w:lang w:val="en"/>
        </w:rPr>
        <w:t xml:space="preserve"> verrucosa) and calcium alginate from seaweed, and animal-derived chitosan extracted from crustacean shells, as well as gelatine. Each material has potential and </w:t>
      </w:r>
      <w:proofErr w:type="spellStart"/>
      <w:r w:rsidR="003B281E" w:rsidRPr="003B281E">
        <w:rPr>
          <w:lang w:val="en"/>
        </w:rPr>
        <w:t>uniqeness</w:t>
      </w:r>
      <w:proofErr w:type="spellEnd"/>
      <w:r w:rsidR="003B281E" w:rsidRPr="003B281E">
        <w:rPr>
          <w:lang w:val="en"/>
        </w:rPr>
        <w:t xml:space="preserve"> also limitation.</w:t>
      </w:r>
      <w:r w:rsidR="00A41E25">
        <w:rPr>
          <w:lang w:val="en"/>
        </w:rPr>
        <w:t xml:space="preserve"> </w:t>
      </w:r>
      <w:r w:rsidR="003B281E" w:rsidRPr="003B281E">
        <w:rPr>
          <w:lang w:val="en"/>
        </w:rPr>
        <w:t xml:space="preserve">Natural local hemostatic biomaterials—calendula officinalis, chitosan, collagen, gelatin and oxidized cellulose, </w:t>
      </w:r>
      <w:proofErr w:type="spellStart"/>
      <w:r w:rsidR="003B281E" w:rsidRPr="003B281E">
        <w:rPr>
          <w:lang w:val="en"/>
        </w:rPr>
        <w:t>gracilaria</w:t>
      </w:r>
      <w:proofErr w:type="spellEnd"/>
      <w:r w:rsidR="003B281E" w:rsidRPr="003B281E">
        <w:rPr>
          <w:lang w:val="en"/>
        </w:rPr>
        <w:t xml:space="preserve"> verrucosa—provide effective, biocompatible options for bleeding control in dentistry, each with distinctive mechanistic and clinical profiles</w:t>
      </w:r>
    </w:p>
    <w:p w14:paraId="74E3B5DE" w14:textId="40C420F1" w:rsidR="00A41E25" w:rsidRPr="00AF35C8" w:rsidRDefault="00A41E25" w:rsidP="00AF35C8">
      <w:pPr>
        <w:pStyle w:val="Heading1"/>
        <w:ind w:firstLine="289"/>
        <w:jc w:val="left"/>
        <w:rPr>
          <w:b w:val="0"/>
          <w:caps w:val="0"/>
          <w:sz w:val="18"/>
          <w:lang w:val="en"/>
        </w:rPr>
      </w:pPr>
      <w:proofErr w:type="gramStart"/>
      <w:r w:rsidRPr="00AF35C8">
        <w:rPr>
          <w:b w:val="0"/>
          <w:caps w:val="0"/>
          <w:sz w:val="18"/>
        </w:rPr>
        <w:t>Keywords :</w:t>
      </w:r>
      <w:proofErr w:type="gramEnd"/>
      <w:r w:rsidR="00AF35C8" w:rsidRPr="00AF35C8">
        <w:rPr>
          <w:b w:val="0"/>
          <w:caps w:val="0"/>
          <w:sz w:val="18"/>
        </w:rPr>
        <w:t xml:space="preserve"> Biomaterials, Dentistry, Local Hemostasis, Natural, Systematic Literature Review</w:t>
      </w:r>
    </w:p>
    <w:p w14:paraId="5240E3FB" w14:textId="15C38186" w:rsidR="003A287B" w:rsidRPr="00075EA6" w:rsidRDefault="00A41E25" w:rsidP="00003D7C">
      <w:pPr>
        <w:pStyle w:val="Heading1"/>
        <w:rPr>
          <w:b w:val="0"/>
          <w:caps w:val="0"/>
          <w:sz w:val="20"/>
        </w:rPr>
      </w:pPr>
      <w:r>
        <w:t>introduction</w:t>
      </w:r>
      <w:r w:rsidR="00616F3B" w:rsidRPr="00075EA6">
        <w:t xml:space="preserve"> </w:t>
      </w:r>
    </w:p>
    <w:p w14:paraId="77690368" w14:textId="48155304" w:rsidR="00A41E25" w:rsidRPr="00A41E25" w:rsidRDefault="00AF35C8" w:rsidP="00A41E25">
      <w:pPr>
        <w:pStyle w:val="Paragraph"/>
        <w:rPr>
          <w:lang w:val="en"/>
        </w:rPr>
      </w:pPr>
      <w:r>
        <w:rPr>
          <w:lang w:val="en"/>
        </w:rPr>
        <w:t>Hemorrhage</w:t>
      </w:r>
      <w:r w:rsidR="00A41E25" w:rsidRPr="00A41E25">
        <w:rPr>
          <w:lang w:val="en"/>
        </w:rPr>
        <w:t xml:space="preserve"> may arise from soft and hard tissue injuries, leading to vascular disruption due to traumatic events across various settings, including traffic collisions, athletic activities, occupational accidents, acts of aggression, surgical complications, and prominently, combat-related injuries [1]. Uncontrolled bleeding resulting from traumatic injuries stands as a principal and potentially avoidable cause of mortality. Mitigating adverse effects associated with uncontrolled hemorrhage relies upon the rapid and efficacious control of bleeding within the initial post-injury hour. Furthermore, intricate surgical procedures exhibit a marked propensity for massive and persistent bleeding, necessitating hemostatic intervention. Intraoperative uncontrolled bleeding can precipitate a spectrum of complications for patients and surgical teams alike, encompassing extended procedural durations, prolonged postoperative hospital stays, delayed wound healing, heightened risk of infection and shock, hematoma formation, </w:t>
      </w:r>
      <w:r w:rsidR="00A41E25" w:rsidRPr="00A41E25">
        <w:rPr>
          <w:lang w:val="en"/>
        </w:rPr>
        <w:lastRenderedPageBreak/>
        <w:t>multi-organ dysfunction, coagulopathy, and elevated morbidity and mortality rates. These complications can culminate in detrimental intraoperative and perioperative outcomes. [2]</w:t>
      </w:r>
    </w:p>
    <w:p w14:paraId="37E54CBC" w14:textId="77777777" w:rsidR="00A41E25" w:rsidRPr="00A41E25" w:rsidRDefault="00A41E25" w:rsidP="00A41E25">
      <w:pPr>
        <w:pStyle w:val="Paragraph"/>
        <w:rPr>
          <w:lang w:val="en"/>
        </w:rPr>
      </w:pPr>
      <w:r w:rsidRPr="00A41E25">
        <w:rPr>
          <w:lang w:val="en"/>
        </w:rPr>
        <w:t>Adequate and rapid hemostasis during surgical procedures is crucial for maintaining surgical field visualization, ensuring patient hemodynamic stability, minimizing procedure and anesthesia duration, and reducing the incidence of complications. Uncontrolled bleeding can lead to substantial blood loss, potentially necessitating blood transfusions or blood-derived products, which expose patients to associated risks such as immunologic reactions, infection, and immunosuppression, thereby complicating the surgery and increasing morbidity and mortality risks. Minimizing intraoperative blood loss significantly decreases the risk of major perioperative complications. Consequently, the reduced need for surgical re-intervention facilitates shorter hospital stays for patients, which can result in reduced hospitalization costs. Appropriate management of these cases is paramount and a primary concern for surgeons seeking to prevent adverse events [3]. Established methodologies for hemostasis in surgical contexts encompass a diverse range of mechanical approaches, such as sutures, ligatures, vascular clips, biomaterials like bone wax and hemostatic sponges, and thermal techniques, including electrocautery. To enhance hemostasis, ancillary topical hemostatic products are frequently utilized in conjunction with these primary procedures. Topical hemostatic agents fulfill a crucial function in surgical environments and initial emergency care, managing blood loss and mitigating the potential for related complications, thereby reducing the likelihood of mortality and morbidity [5].</w:t>
      </w:r>
    </w:p>
    <w:p w14:paraId="7E5C0DD9" w14:textId="77777777" w:rsidR="00A41E25" w:rsidRPr="00A41E25" w:rsidRDefault="00A41E25" w:rsidP="00A41E25">
      <w:pPr>
        <w:pStyle w:val="Paragraph"/>
        <w:rPr>
          <w:lang w:val="en"/>
        </w:rPr>
      </w:pPr>
      <w:r w:rsidRPr="00A41E25">
        <w:rPr>
          <w:lang w:val="en"/>
        </w:rPr>
        <w:t xml:space="preserve">Local hemostatic agents are classified into two primary categories based on their raw material composition: organic-based and inorganic-based products. Organic-based agents are derived from two principal sources: natural sources, encompassing both naturally derived (carbohydrate-based) and biologically derived (protein-based) materials, and synthetic sources [6]. Polysaccharides, including chitosan, alginate, cellulose, dextran, starch, and keratin, represent the prevalent category of natural polymeric hemostatic materials due to their widespread availability. Although biologically derived hemostatic materials, such as collagen, gelatin, and thrombin, effectively promote platelet aggregation and activation, thereby expediting hemostasis, factors including elevated cost, potential for immunological reactions, and suboptimal mechanical properties have constrained their widespread application. [7,8]. </w:t>
      </w:r>
    </w:p>
    <w:p w14:paraId="2DFE3D6F" w14:textId="77777777" w:rsidR="00A41E25" w:rsidRPr="00A41E25" w:rsidRDefault="00A41E25" w:rsidP="00A41E25">
      <w:pPr>
        <w:pStyle w:val="Paragraph"/>
        <w:rPr>
          <w:lang w:val="en"/>
        </w:rPr>
      </w:pPr>
      <w:r w:rsidRPr="00A41E25">
        <w:rPr>
          <w:lang w:val="en"/>
        </w:rPr>
        <w:t>Numerous researchers have sought to synthesize hemostatic agents from naturally occurring resources, yielding promising results. Notably, Singh Chandel et al. undertook an exhaustive study to evaluate the influence of sponge compression on the hemostatic and antiadhesive properties of bilayer alginate sponges fabricated via lyophilization. The study's findings demonstrated that the 100 mm compressed sponge exhibited superior hemostatic efficacy in a murine model of hepatic hemorrhage. The 200 mm compressed sponge displayed enhanced antiadhesive characteristics in a rat surgically induced hepatic adhesion model. [9]. However, despite the numerous natural materials that can serve as local hemostatic agents, a comparative analysis of the advantages and disadvantages among these materials is currently lacking in the literature. This absence of comparative studies hinders the comprehensive exploration of their potential and the advancement of their further development.</w:t>
      </w:r>
    </w:p>
    <w:p w14:paraId="1DCC8354" w14:textId="2516CCC7" w:rsidR="002941DA" w:rsidRPr="00A41E25" w:rsidRDefault="00A41E25" w:rsidP="00A41E25">
      <w:pPr>
        <w:pStyle w:val="Paragraph"/>
        <w:rPr>
          <w:lang w:val="en"/>
        </w:rPr>
      </w:pPr>
      <w:r w:rsidRPr="00A41E25">
        <w:rPr>
          <w:lang w:val="en"/>
        </w:rPr>
        <w:t>This study aims to compare and contrast natural biomaterials utilized as local hemostatic agents in dentistry, evaluating research methods, materials characteristics and effectiveness in the hemostatic process and ease of application in dentistry.</w:t>
      </w:r>
      <w:r w:rsidR="00946C27">
        <w:t xml:space="preserve"> </w:t>
      </w:r>
    </w:p>
    <w:p w14:paraId="49D6FBD1" w14:textId="68EAAC2B" w:rsidR="00725861" w:rsidRDefault="00A41E25" w:rsidP="00725861">
      <w:pPr>
        <w:pStyle w:val="Heading2"/>
      </w:pPr>
      <w:r>
        <w:t>METHODS</w:t>
      </w:r>
    </w:p>
    <w:p w14:paraId="23D25FFE" w14:textId="77777777" w:rsidR="00683367" w:rsidRPr="00683367" w:rsidRDefault="00683367" w:rsidP="00683367">
      <w:pPr>
        <w:pStyle w:val="Paragraph"/>
        <w:rPr>
          <w:lang w:val="en"/>
        </w:rPr>
      </w:pPr>
      <w:r w:rsidRPr="00683367">
        <w:rPr>
          <w:lang w:val="en"/>
        </w:rPr>
        <w:t xml:space="preserve">This systematic review was conducted using a research protocol that followed the PRISMA (Preferred Reporting Items for Systematic Reviews and Meta-Analyses) guidelines, as presented in Figure 1. Inclusion criteria from the reviewed literature were compiled based on the PICO (Problem/Population, Intervention, Comparison, and Outcome) framework. Problems include bleeding control, hemostasis studies, interventions using several natural biomaterials as local hemostatic agents, and comparisons with a control group of other materials or commercial products. The objective is to compare and contrast natural biomaterials used in dentistry as local hemostatic agents based on the research methods and material characteristics, as well as an analysis of their effectiveness in the hemostasis process, including summarizing results, findings, and limitations. The research value has been </w:t>
      </w:r>
      <w:proofErr w:type="spellStart"/>
      <w:r w:rsidRPr="00683367">
        <w:rPr>
          <w:lang w:val="en"/>
        </w:rPr>
        <w:t>analysed</w:t>
      </w:r>
      <w:proofErr w:type="spellEnd"/>
      <w:r w:rsidRPr="00683367">
        <w:rPr>
          <w:lang w:val="en"/>
        </w:rPr>
        <w:t xml:space="preserve"> using identification to determine if there </w:t>
      </w:r>
      <w:proofErr w:type="gramStart"/>
      <w:r w:rsidRPr="00683367">
        <w:rPr>
          <w:lang w:val="en"/>
        </w:rPr>
        <w:t>was</w:t>
      </w:r>
      <w:proofErr w:type="gramEnd"/>
      <w:r w:rsidRPr="00683367">
        <w:rPr>
          <w:lang w:val="en"/>
        </w:rPr>
        <w:t xml:space="preserve"> a deeper understanding of natural hemostatic agents and a newer direction for future research.</w:t>
      </w:r>
    </w:p>
    <w:p w14:paraId="29003FA8" w14:textId="77777777" w:rsidR="00683367" w:rsidRPr="00683367" w:rsidRDefault="00683367" w:rsidP="00683367">
      <w:pPr>
        <w:pStyle w:val="Paragraph"/>
        <w:rPr>
          <w:lang w:val="en"/>
        </w:rPr>
      </w:pPr>
      <w:r w:rsidRPr="00683367">
        <w:rPr>
          <w:lang w:val="en"/>
        </w:rPr>
        <w:t xml:space="preserve">The literature consists of research articles and both in vitro and in vivo laboratory tests, published in reputable international journals over the past decade (2015-2025). The scope of this review is constrained by its restriction to English-language publications, a select set of databases, and a particular dental application. Moreover, heterogeneity in the procurement and treatment of biomaterials introduces complexities in the comparative analysis of studies. The literature search method uses a combination of keywords, </w:t>
      </w:r>
      <w:proofErr w:type="spellStart"/>
      <w:r w:rsidRPr="00683367">
        <w:rPr>
          <w:lang w:val="en"/>
        </w:rPr>
        <w:t>utilising</w:t>
      </w:r>
      <w:proofErr w:type="spellEnd"/>
      <w:r w:rsidRPr="00683367">
        <w:rPr>
          <w:lang w:val="en"/>
        </w:rPr>
        <w:t xml:space="preserve"> Boolean operators. The keywords used in the search </w:t>
      </w:r>
      <w:r w:rsidRPr="00683367">
        <w:rPr>
          <w:lang w:val="en"/>
        </w:rPr>
        <w:lastRenderedPageBreak/>
        <w:t>were: (“local hemostatic agent” OR “topical hemostatic agent”) AND dentistry AND natural AND biomaterial AND (Hemostatic OR Hemostasis).</w:t>
      </w:r>
    </w:p>
    <w:p w14:paraId="4258149F" w14:textId="45129F79" w:rsidR="00683367" w:rsidRPr="00683367" w:rsidRDefault="00683367" w:rsidP="00683367">
      <w:pPr>
        <w:pStyle w:val="Paragraph"/>
        <w:rPr>
          <w:lang w:val="en"/>
        </w:rPr>
      </w:pPr>
      <w:r w:rsidRPr="00683367">
        <w:rPr>
          <w:lang w:val="en"/>
        </w:rPr>
        <w:t>The literature search was conducted from 2015 to 2025 on international journal database sites, including Scopus and PubMed. We found 57 articles containing studies about natural biomaterials related to the hemostasis process. The screening process was conducted manually, with some assistance from the Rayyan and Mendeley applications. Two reviewers (AE and ME) examined the complete lists of results from the two database searches for eligibility, and disagreements were settled through discussion and consensus. Following the systematic screening, eight eligible articles were selected for review. The stages of the search process to obtain eligible articles are presented in Figure 1 using a PRISMA flow diagram. This systematic review has not been registered at PROSPERO because it only includes in vitro and in vivo research.</w:t>
      </w:r>
    </w:p>
    <w:p w14:paraId="074D212B" w14:textId="10DAE1C6" w:rsidR="00683367" w:rsidRDefault="00683367" w:rsidP="00683367">
      <w:pPr>
        <w:pStyle w:val="Paragraph"/>
      </w:pPr>
    </w:p>
    <w:p w14:paraId="134C97D2" w14:textId="71E7EE5E" w:rsidR="00683367" w:rsidRDefault="00683367" w:rsidP="00683367">
      <w:pPr>
        <w:pStyle w:val="Paragraph"/>
      </w:pPr>
      <w:r w:rsidRPr="00615448">
        <w:rPr>
          <w:noProof/>
        </w:rPr>
        <w:drawing>
          <wp:anchor distT="0" distB="0" distL="114300" distR="114300" simplePos="0" relativeHeight="251666944" behindDoc="0" locked="0" layoutInCell="1" allowOverlap="1" wp14:anchorId="5DEE0C21" wp14:editId="6B46FD86">
            <wp:simplePos x="0" y="0"/>
            <wp:positionH relativeFrom="column">
              <wp:posOffset>1366570</wp:posOffset>
            </wp:positionH>
            <wp:positionV relativeFrom="paragraph">
              <wp:posOffset>4445</wp:posOffset>
            </wp:positionV>
            <wp:extent cx="3802455" cy="4562946"/>
            <wp:effectExtent l="0" t="0" r="7620" b="9525"/>
            <wp:wrapNone/>
            <wp:docPr id="1549485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802455" cy="4562946"/>
                    </a:xfrm>
                    <a:prstGeom prst="rect">
                      <a:avLst/>
                    </a:prstGeom>
                    <a:ln/>
                  </pic:spPr>
                </pic:pic>
              </a:graphicData>
            </a:graphic>
            <wp14:sizeRelH relativeFrom="page">
              <wp14:pctWidth>0</wp14:pctWidth>
            </wp14:sizeRelH>
            <wp14:sizeRelV relativeFrom="page">
              <wp14:pctHeight>0</wp14:pctHeight>
            </wp14:sizeRelV>
          </wp:anchor>
        </w:drawing>
      </w:r>
    </w:p>
    <w:p w14:paraId="6346C99B" w14:textId="5D27ADE5" w:rsidR="00683367" w:rsidRDefault="00683367" w:rsidP="00683367">
      <w:pPr>
        <w:pStyle w:val="Paragraph"/>
      </w:pPr>
    </w:p>
    <w:p w14:paraId="03545C79" w14:textId="77777777" w:rsidR="00683367" w:rsidRDefault="00683367" w:rsidP="00683367">
      <w:pPr>
        <w:pStyle w:val="Paragraph"/>
      </w:pPr>
    </w:p>
    <w:p w14:paraId="12EBC76E" w14:textId="77777777" w:rsidR="00683367" w:rsidRDefault="00683367" w:rsidP="00683367">
      <w:pPr>
        <w:pStyle w:val="Paragraph"/>
      </w:pPr>
    </w:p>
    <w:p w14:paraId="3367E212" w14:textId="3DFD60E2" w:rsidR="00683367" w:rsidRDefault="00683367" w:rsidP="00683367">
      <w:pPr>
        <w:pStyle w:val="Paragraph"/>
      </w:pPr>
    </w:p>
    <w:p w14:paraId="6A2A71F6" w14:textId="77777777" w:rsidR="00683367" w:rsidRDefault="00683367" w:rsidP="00683367">
      <w:pPr>
        <w:pStyle w:val="Paragraph"/>
      </w:pPr>
    </w:p>
    <w:p w14:paraId="5FF9554D" w14:textId="77777777" w:rsidR="00683367" w:rsidRDefault="00683367" w:rsidP="00683367">
      <w:pPr>
        <w:pStyle w:val="Paragraph"/>
      </w:pPr>
    </w:p>
    <w:p w14:paraId="6B9AAD18" w14:textId="77777777" w:rsidR="00683367" w:rsidRDefault="00683367" w:rsidP="00683367">
      <w:pPr>
        <w:pStyle w:val="Paragraph"/>
      </w:pPr>
    </w:p>
    <w:p w14:paraId="2562D9F8" w14:textId="77777777" w:rsidR="00683367" w:rsidRDefault="00683367" w:rsidP="00683367">
      <w:pPr>
        <w:pStyle w:val="Paragraph"/>
      </w:pPr>
    </w:p>
    <w:p w14:paraId="326768A7" w14:textId="77777777" w:rsidR="00683367" w:rsidRDefault="00683367" w:rsidP="00683367">
      <w:pPr>
        <w:pStyle w:val="Paragraph"/>
      </w:pPr>
    </w:p>
    <w:p w14:paraId="168C1DE6" w14:textId="77777777" w:rsidR="00683367" w:rsidRDefault="00683367" w:rsidP="00683367">
      <w:pPr>
        <w:pStyle w:val="Paragraph"/>
      </w:pPr>
    </w:p>
    <w:p w14:paraId="443AC5DD" w14:textId="77777777" w:rsidR="00683367" w:rsidRDefault="00683367" w:rsidP="00683367">
      <w:pPr>
        <w:pStyle w:val="Paragraph"/>
      </w:pPr>
    </w:p>
    <w:p w14:paraId="3CA09404" w14:textId="77777777" w:rsidR="00683367" w:rsidRDefault="00683367" w:rsidP="00683367">
      <w:pPr>
        <w:pStyle w:val="Paragraph"/>
      </w:pPr>
    </w:p>
    <w:p w14:paraId="7FB2FD71" w14:textId="77777777" w:rsidR="00683367" w:rsidRDefault="00683367" w:rsidP="00683367">
      <w:pPr>
        <w:pStyle w:val="Paragraph"/>
      </w:pPr>
    </w:p>
    <w:p w14:paraId="12F87965" w14:textId="77777777" w:rsidR="00683367" w:rsidRDefault="00683367" w:rsidP="00683367">
      <w:pPr>
        <w:pStyle w:val="Paragraph"/>
      </w:pPr>
    </w:p>
    <w:p w14:paraId="36A47CA9" w14:textId="77777777" w:rsidR="00683367" w:rsidRDefault="00683367" w:rsidP="00683367">
      <w:pPr>
        <w:pStyle w:val="Paragraph"/>
      </w:pPr>
    </w:p>
    <w:p w14:paraId="7BC3F671" w14:textId="77777777" w:rsidR="00683367" w:rsidRDefault="00683367" w:rsidP="00683367">
      <w:pPr>
        <w:pStyle w:val="Paragraph"/>
      </w:pPr>
    </w:p>
    <w:p w14:paraId="4974ADBD" w14:textId="77777777" w:rsidR="00683367" w:rsidRDefault="00683367" w:rsidP="00683367">
      <w:pPr>
        <w:pStyle w:val="Paragraph"/>
      </w:pPr>
    </w:p>
    <w:p w14:paraId="778A8156" w14:textId="77777777" w:rsidR="00683367" w:rsidRDefault="00683367" w:rsidP="00683367">
      <w:pPr>
        <w:pStyle w:val="Paragraph"/>
      </w:pPr>
    </w:p>
    <w:p w14:paraId="23D82DC2" w14:textId="77777777" w:rsidR="00683367" w:rsidRDefault="00683367" w:rsidP="00683367">
      <w:pPr>
        <w:pStyle w:val="Paragraph"/>
      </w:pPr>
    </w:p>
    <w:p w14:paraId="7E2E6132" w14:textId="77777777" w:rsidR="00683367" w:rsidRDefault="00683367" w:rsidP="00683367">
      <w:pPr>
        <w:pStyle w:val="Paragraph"/>
      </w:pPr>
    </w:p>
    <w:p w14:paraId="2BBDB185" w14:textId="77777777" w:rsidR="00683367" w:rsidRDefault="00683367" w:rsidP="00683367">
      <w:pPr>
        <w:pStyle w:val="Paragraph"/>
      </w:pPr>
    </w:p>
    <w:p w14:paraId="539B63CD" w14:textId="77777777" w:rsidR="00653C55" w:rsidRDefault="00653C55" w:rsidP="00683367">
      <w:pPr>
        <w:pStyle w:val="Paragraph"/>
      </w:pPr>
    </w:p>
    <w:p w14:paraId="2F0C0D11" w14:textId="77777777" w:rsidR="00653C55" w:rsidRDefault="00653C55" w:rsidP="00683367">
      <w:pPr>
        <w:pStyle w:val="Paragraph"/>
      </w:pPr>
    </w:p>
    <w:p w14:paraId="411816CA" w14:textId="77777777" w:rsidR="00653C55" w:rsidRDefault="00653C55" w:rsidP="00683367">
      <w:pPr>
        <w:pStyle w:val="Paragraph"/>
      </w:pPr>
    </w:p>
    <w:p w14:paraId="62FF2CB5" w14:textId="77777777" w:rsidR="00653C55" w:rsidRDefault="00653C55" w:rsidP="00683367">
      <w:pPr>
        <w:pStyle w:val="Paragraph"/>
      </w:pPr>
    </w:p>
    <w:p w14:paraId="5EB5DD5D" w14:textId="77777777" w:rsidR="00653C55" w:rsidRDefault="00653C55" w:rsidP="00683367">
      <w:pPr>
        <w:pStyle w:val="Paragraph"/>
      </w:pPr>
    </w:p>
    <w:p w14:paraId="75CB2634" w14:textId="77777777" w:rsidR="00653C55" w:rsidRDefault="00653C55" w:rsidP="00683367">
      <w:pPr>
        <w:pStyle w:val="Paragraph"/>
      </w:pPr>
    </w:p>
    <w:p w14:paraId="562FFA58" w14:textId="77777777" w:rsidR="00653C55" w:rsidRDefault="00653C55" w:rsidP="00683367">
      <w:pPr>
        <w:pStyle w:val="Paragraph"/>
      </w:pPr>
    </w:p>
    <w:p w14:paraId="71BDDD21" w14:textId="77777777" w:rsidR="00653C55" w:rsidRDefault="00653C55" w:rsidP="00683367">
      <w:pPr>
        <w:pStyle w:val="Paragraph"/>
      </w:pPr>
    </w:p>
    <w:p w14:paraId="2F94D8F7" w14:textId="77777777" w:rsidR="00653C55" w:rsidRDefault="00653C55" w:rsidP="00683367">
      <w:pPr>
        <w:pStyle w:val="Paragraph"/>
      </w:pPr>
    </w:p>
    <w:p w14:paraId="43E42CC0" w14:textId="77777777" w:rsidR="00683367" w:rsidRDefault="00683367" w:rsidP="00683367">
      <w:pPr>
        <w:pStyle w:val="Paragraph"/>
      </w:pPr>
    </w:p>
    <w:p w14:paraId="3CBE2A31" w14:textId="77777777" w:rsidR="00683367" w:rsidRDefault="00683367" w:rsidP="00683367">
      <w:pPr>
        <w:pStyle w:val="Paragraph"/>
      </w:pPr>
    </w:p>
    <w:p w14:paraId="5E233FF6" w14:textId="77777777" w:rsidR="00683367" w:rsidRDefault="00683367" w:rsidP="00683367">
      <w:pPr>
        <w:pStyle w:val="Paragraph"/>
      </w:pPr>
    </w:p>
    <w:p w14:paraId="5B0F018C" w14:textId="6F197D25" w:rsidR="00683367" w:rsidRPr="00683367" w:rsidRDefault="003049DF" w:rsidP="00683367">
      <w:pPr>
        <w:pStyle w:val="Paragraph"/>
        <w:ind w:left="720" w:firstLine="720"/>
        <w:rPr>
          <w:sz w:val="18"/>
          <w:szCs w:val="18"/>
          <w:lang w:val="en"/>
        </w:rPr>
      </w:pPr>
      <w:r w:rsidRPr="00683367">
        <w:rPr>
          <w:b/>
          <w:sz w:val="18"/>
          <w:szCs w:val="18"/>
          <w:lang w:val="en"/>
        </w:rPr>
        <w:t xml:space="preserve">FIGURE </w:t>
      </w:r>
      <w:r w:rsidR="00683367" w:rsidRPr="00683367">
        <w:rPr>
          <w:b/>
          <w:sz w:val="18"/>
          <w:szCs w:val="18"/>
          <w:lang w:val="en"/>
        </w:rPr>
        <w:t>1.</w:t>
      </w:r>
      <w:r w:rsidR="00683367" w:rsidRPr="00683367">
        <w:rPr>
          <w:sz w:val="18"/>
          <w:szCs w:val="18"/>
          <w:lang w:val="en"/>
        </w:rPr>
        <w:t xml:space="preserve"> The stages of the search process to obtain eligible articles using PRISMA flow diagram</w:t>
      </w:r>
    </w:p>
    <w:p w14:paraId="51FE6111" w14:textId="77777777" w:rsidR="00683367" w:rsidRDefault="00683367" w:rsidP="00683367">
      <w:pPr>
        <w:pStyle w:val="Paragraph"/>
      </w:pPr>
    </w:p>
    <w:p w14:paraId="5E414261" w14:textId="77777777" w:rsidR="00683367" w:rsidRDefault="00683367" w:rsidP="00683367">
      <w:pPr>
        <w:pStyle w:val="Paragraph"/>
        <w:rPr>
          <w:lang w:val="en"/>
        </w:rPr>
      </w:pPr>
      <w:r w:rsidRPr="00AF35C8">
        <w:rPr>
          <w:lang w:val="en"/>
        </w:rPr>
        <w:t>Two authors, NR and EH, independently assessed methodological quality and risk of bias of in vivo research using SYRCLE’s risk of bias tool, as shown in Table 1. Meanwhile, in vitro research using the Quality Assessment Tool For In Vitro Studies (QUIN Tool) in Table 2. A ‘Yes’ (Y) indicates a low risk of bias in a specific domain, whereas a ‘No’ (N) indicates a high risk of bias in that domain. We used ‘Unclear’ (U) when there was insufficient information to assess the risk of a particular bias.</w:t>
      </w:r>
    </w:p>
    <w:p w14:paraId="24A01022" w14:textId="77777777" w:rsidR="00653C55" w:rsidRDefault="00653C55" w:rsidP="00683367">
      <w:pPr>
        <w:pStyle w:val="Paragraph"/>
        <w:rPr>
          <w:lang w:val="en"/>
        </w:rPr>
      </w:pPr>
    </w:p>
    <w:p w14:paraId="770FD25C" w14:textId="77777777" w:rsidR="00653C55" w:rsidRDefault="00653C55" w:rsidP="00683367">
      <w:pPr>
        <w:pStyle w:val="Paragraph"/>
        <w:rPr>
          <w:lang w:val="en"/>
        </w:rPr>
      </w:pPr>
    </w:p>
    <w:p w14:paraId="4BC6B145" w14:textId="77777777" w:rsidR="00653C55" w:rsidRDefault="00653C55" w:rsidP="00653C55">
      <w:pPr>
        <w:pStyle w:val="Paragraph"/>
        <w:ind w:firstLine="0"/>
        <w:rPr>
          <w:lang w:val="en"/>
        </w:rPr>
      </w:pPr>
    </w:p>
    <w:p w14:paraId="66C2CE46" w14:textId="77777777" w:rsidR="00653C55" w:rsidRPr="00AF35C8" w:rsidRDefault="00653C55" w:rsidP="00653C55">
      <w:pPr>
        <w:pStyle w:val="Paragraph"/>
        <w:ind w:firstLine="0"/>
        <w:rPr>
          <w:lang w:val="en"/>
        </w:rPr>
      </w:pPr>
    </w:p>
    <w:p w14:paraId="1B760549" w14:textId="3AE68852" w:rsidR="006E72B5" w:rsidRPr="004F2F24" w:rsidRDefault="003049DF" w:rsidP="00653C55">
      <w:pPr>
        <w:pStyle w:val="Paragraph"/>
        <w:spacing w:before="120" w:after="200"/>
        <w:ind w:firstLine="288"/>
        <w:jc w:val="center"/>
        <w:rPr>
          <w:bCs/>
          <w:sz w:val="18"/>
          <w:szCs w:val="18"/>
          <w:lang w:val="en"/>
        </w:rPr>
      </w:pPr>
      <w:r w:rsidRPr="004F2F24">
        <w:rPr>
          <w:b/>
          <w:sz w:val="18"/>
          <w:szCs w:val="18"/>
          <w:lang w:val="en"/>
        </w:rPr>
        <w:t xml:space="preserve">TABLE </w:t>
      </w:r>
      <w:r w:rsidR="006E72B5" w:rsidRPr="004F2F24">
        <w:rPr>
          <w:b/>
          <w:sz w:val="18"/>
          <w:szCs w:val="18"/>
          <w:lang w:val="en"/>
        </w:rPr>
        <w:t xml:space="preserve">1. </w:t>
      </w:r>
      <w:r w:rsidR="006E72B5" w:rsidRPr="004F2F24">
        <w:rPr>
          <w:bCs/>
          <w:sz w:val="18"/>
          <w:szCs w:val="18"/>
          <w:lang w:val="en"/>
        </w:rPr>
        <w:t>Result of methodological quality and risk of bias assessment of in vivo research using SYRCLE’s risk of bias tool</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5"/>
        <w:gridCol w:w="855"/>
        <w:gridCol w:w="855"/>
        <w:gridCol w:w="2100"/>
        <w:gridCol w:w="1800"/>
        <w:gridCol w:w="855"/>
        <w:gridCol w:w="855"/>
        <w:gridCol w:w="855"/>
        <w:gridCol w:w="855"/>
      </w:tblGrid>
      <w:tr w:rsidR="006E72B5" w:rsidRPr="00653C55" w14:paraId="6B46163E" w14:textId="77777777" w:rsidTr="00E62BEB">
        <w:trPr>
          <w:trHeight w:val="1018"/>
          <w:tblHeader/>
        </w:trPr>
        <w:tc>
          <w:tcPr>
            <w:tcW w:w="345" w:type="dxa"/>
            <w:vMerge w:val="restart"/>
            <w:tcMar>
              <w:top w:w="40" w:type="dxa"/>
              <w:left w:w="40" w:type="dxa"/>
              <w:bottom w:w="40" w:type="dxa"/>
              <w:right w:w="40" w:type="dxa"/>
            </w:tcMar>
            <w:vAlign w:val="center"/>
          </w:tcPr>
          <w:p w14:paraId="2789AC5D" w14:textId="77777777" w:rsidR="006E72B5" w:rsidRPr="00653C55" w:rsidRDefault="006E72B5" w:rsidP="00DA416A">
            <w:pPr>
              <w:widowControl w:val="0"/>
              <w:jc w:val="center"/>
              <w:rPr>
                <w:b/>
                <w:sz w:val="18"/>
                <w:szCs w:val="18"/>
              </w:rPr>
            </w:pPr>
            <w:r w:rsidRPr="00653C55">
              <w:rPr>
                <w:b/>
                <w:sz w:val="18"/>
                <w:szCs w:val="18"/>
              </w:rPr>
              <w:t>NO</w:t>
            </w:r>
          </w:p>
        </w:tc>
        <w:tc>
          <w:tcPr>
            <w:tcW w:w="855" w:type="dxa"/>
            <w:vMerge w:val="restart"/>
            <w:tcMar>
              <w:top w:w="40" w:type="dxa"/>
              <w:left w:w="40" w:type="dxa"/>
              <w:bottom w:w="40" w:type="dxa"/>
              <w:right w:w="40" w:type="dxa"/>
            </w:tcMar>
            <w:vAlign w:val="center"/>
          </w:tcPr>
          <w:p w14:paraId="67A63E6E" w14:textId="77777777" w:rsidR="006E72B5" w:rsidRPr="00653C55" w:rsidRDefault="006E72B5" w:rsidP="00DA416A">
            <w:pPr>
              <w:widowControl w:val="0"/>
              <w:jc w:val="center"/>
              <w:rPr>
                <w:b/>
                <w:sz w:val="18"/>
                <w:szCs w:val="18"/>
              </w:rPr>
            </w:pPr>
            <w:r w:rsidRPr="00653C55">
              <w:rPr>
                <w:b/>
                <w:sz w:val="18"/>
                <w:szCs w:val="18"/>
              </w:rPr>
              <w:t>TYPE OF BIAS</w:t>
            </w:r>
          </w:p>
        </w:tc>
        <w:tc>
          <w:tcPr>
            <w:tcW w:w="855" w:type="dxa"/>
            <w:vMerge w:val="restart"/>
            <w:tcMar>
              <w:top w:w="40" w:type="dxa"/>
              <w:left w:w="40" w:type="dxa"/>
              <w:bottom w:w="40" w:type="dxa"/>
              <w:right w:w="40" w:type="dxa"/>
            </w:tcMar>
            <w:vAlign w:val="center"/>
          </w:tcPr>
          <w:p w14:paraId="6FB5E936" w14:textId="77777777" w:rsidR="006E72B5" w:rsidRPr="00653C55" w:rsidRDefault="006E72B5" w:rsidP="00DA416A">
            <w:pPr>
              <w:widowControl w:val="0"/>
              <w:jc w:val="center"/>
              <w:rPr>
                <w:b/>
                <w:sz w:val="18"/>
                <w:szCs w:val="18"/>
              </w:rPr>
            </w:pPr>
            <w:r w:rsidRPr="00653C55">
              <w:rPr>
                <w:b/>
                <w:sz w:val="18"/>
                <w:szCs w:val="18"/>
              </w:rPr>
              <w:t>DOMAIN</w:t>
            </w:r>
          </w:p>
        </w:tc>
        <w:tc>
          <w:tcPr>
            <w:tcW w:w="2100" w:type="dxa"/>
            <w:vMerge w:val="restart"/>
            <w:tcMar>
              <w:top w:w="40" w:type="dxa"/>
              <w:left w:w="40" w:type="dxa"/>
              <w:bottom w:w="40" w:type="dxa"/>
              <w:right w:w="40" w:type="dxa"/>
            </w:tcMar>
            <w:vAlign w:val="center"/>
          </w:tcPr>
          <w:p w14:paraId="30C0A1FF" w14:textId="77777777" w:rsidR="006E72B5" w:rsidRPr="00653C55" w:rsidRDefault="006E72B5" w:rsidP="00DA416A">
            <w:pPr>
              <w:widowControl w:val="0"/>
              <w:jc w:val="center"/>
              <w:rPr>
                <w:b/>
                <w:sz w:val="18"/>
                <w:szCs w:val="18"/>
              </w:rPr>
            </w:pPr>
            <w:r w:rsidRPr="00653C55">
              <w:rPr>
                <w:b/>
                <w:sz w:val="18"/>
                <w:szCs w:val="18"/>
              </w:rPr>
              <w:t>DESCRIPTION</w:t>
            </w:r>
          </w:p>
        </w:tc>
        <w:tc>
          <w:tcPr>
            <w:tcW w:w="1800" w:type="dxa"/>
            <w:vMerge w:val="restart"/>
            <w:tcMar>
              <w:top w:w="40" w:type="dxa"/>
              <w:left w:w="40" w:type="dxa"/>
              <w:bottom w:w="40" w:type="dxa"/>
              <w:right w:w="40" w:type="dxa"/>
            </w:tcMar>
            <w:vAlign w:val="center"/>
          </w:tcPr>
          <w:p w14:paraId="69138455" w14:textId="77777777" w:rsidR="006E72B5" w:rsidRPr="00653C55" w:rsidRDefault="006E72B5" w:rsidP="00DA416A">
            <w:pPr>
              <w:widowControl w:val="0"/>
              <w:jc w:val="center"/>
              <w:rPr>
                <w:b/>
                <w:sz w:val="18"/>
                <w:szCs w:val="18"/>
              </w:rPr>
            </w:pPr>
            <w:r w:rsidRPr="00653C55">
              <w:rPr>
                <w:b/>
                <w:sz w:val="18"/>
                <w:szCs w:val="18"/>
              </w:rPr>
              <w:t>REVIEW AUTHORS JUDGMENT</w:t>
            </w:r>
          </w:p>
        </w:tc>
        <w:tc>
          <w:tcPr>
            <w:tcW w:w="1710" w:type="dxa"/>
            <w:gridSpan w:val="2"/>
            <w:tcMar>
              <w:top w:w="40" w:type="dxa"/>
              <w:left w:w="40" w:type="dxa"/>
              <w:bottom w:w="40" w:type="dxa"/>
              <w:right w:w="40" w:type="dxa"/>
            </w:tcMar>
            <w:vAlign w:val="center"/>
          </w:tcPr>
          <w:p w14:paraId="2CC8A2C5" w14:textId="77777777" w:rsidR="006E72B5" w:rsidRPr="00653C55" w:rsidRDefault="006E72B5" w:rsidP="00DA416A">
            <w:pPr>
              <w:widowControl w:val="0"/>
              <w:jc w:val="center"/>
              <w:rPr>
                <w:sz w:val="18"/>
                <w:szCs w:val="18"/>
              </w:rPr>
            </w:pPr>
            <w:r w:rsidRPr="00653C55">
              <w:rPr>
                <w:b/>
                <w:sz w:val="18"/>
                <w:szCs w:val="18"/>
              </w:rPr>
              <w:t>Chitosan dressings containing inorganic additives and levofloxacin as potential wound care products with enhanced hemostatic properties</w:t>
            </w:r>
          </w:p>
        </w:tc>
        <w:tc>
          <w:tcPr>
            <w:tcW w:w="1710" w:type="dxa"/>
            <w:gridSpan w:val="2"/>
            <w:tcMar>
              <w:top w:w="40" w:type="dxa"/>
              <w:left w:w="40" w:type="dxa"/>
              <w:bottom w:w="40" w:type="dxa"/>
              <w:right w:w="40" w:type="dxa"/>
            </w:tcMar>
            <w:vAlign w:val="center"/>
          </w:tcPr>
          <w:p w14:paraId="28193D01" w14:textId="77777777" w:rsidR="006E72B5" w:rsidRPr="00653C55" w:rsidRDefault="006E72B5" w:rsidP="00DA416A">
            <w:pPr>
              <w:widowControl w:val="0"/>
              <w:jc w:val="center"/>
              <w:rPr>
                <w:sz w:val="18"/>
                <w:szCs w:val="18"/>
              </w:rPr>
            </w:pPr>
            <w:r w:rsidRPr="00653C55">
              <w:rPr>
                <w:b/>
                <w:sz w:val="18"/>
                <w:szCs w:val="18"/>
              </w:rPr>
              <w:t xml:space="preserve">Hemostatic and wound healing effects of </w:t>
            </w:r>
            <w:proofErr w:type="spellStart"/>
            <w:r w:rsidRPr="00653C55">
              <w:rPr>
                <w:b/>
                <w:sz w:val="18"/>
                <w:szCs w:val="18"/>
              </w:rPr>
              <w:t>gracilaria</w:t>
            </w:r>
            <w:proofErr w:type="spellEnd"/>
            <w:r w:rsidRPr="00653C55">
              <w:rPr>
                <w:b/>
                <w:sz w:val="18"/>
                <w:szCs w:val="18"/>
              </w:rPr>
              <w:t xml:space="preserve"> verrucosa extract gel in albino rats</w:t>
            </w:r>
          </w:p>
        </w:tc>
      </w:tr>
      <w:tr w:rsidR="00412943" w:rsidRPr="00653C55" w14:paraId="5424AE64" w14:textId="77777777" w:rsidTr="00E62BEB">
        <w:trPr>
          <w:trHeight w:val="1018"/>
          <w:tblHeader/>
        </w:trPr>
        <w:tc>
          <w:tcPr>
            <w:tcW w:w="345" w:type="dxa"/>
            <w:vMerge/>
            <w:tcMar>
              <w:top w:w="40" w:type="dxa"/>
              <w:left w:w="40" w:type="dxa"/>
              <w:bottom w:w="40" w:type="dxa"/>
              <w:right w:w="40" w:type="dxa"/>
            </w:tcMar>
            <w:vAlign w:val="center"/>
          </w:tcPr>
          <w:p w14:paraId="627DC063" w14:textId="77777777" w:rsidR="00412943" w:rsidRPr="00653C55" w:rsidRDefault="00412943" w:rsidP="00DA416A">
            <w:pPr>
              <w:widowControl w:val="0"/>
              <w:jc w:val="center"/>
              <w:rPr>
                <w:b/>
                <w:sz w:val="20"/>
              </w:rPr>
            </w:pPr>
          </w:p>
        </w:tc>
        <w:tc>
          <w:tcPr>
            <w:tcW w:w="855" w:type="dxa"/>
            <w:vMerge/>
            <w:tcMar>
              <w:top w:w="40" w:type="dxa"/>
              <w:left w:w="40" w:type="dxa"/>
              <w:bottom w:w="40" w:type="dxa"/>
              <w:right w:w="40" w:type="dxa"/>
            </w:tcMar>
            <w:vAlign w:val="center"/>
          </w:tcPr>
          <w:p w14:paraId="0D4A7CEB" w14:textId="77777777" w:rsidR="00412943" w:rsidRPr="00653C55" w:rsidRDefault="00412943" w:rsidP="00DA416A">
            <w:pPr>
              <w:widowControl w:val="0"/>
              <w:jc w:val="center"/>
              <w:rPr>
                <w:b/>
                <w:sz w:val="20"/>
              </w:rPr>
            </w:pPr>
          </w:p>
        </w:tc>
        <w:tc>
          <w:tcPr>
            <w:tcW w:w="855" w:type="dxa"/>
            <w:vMerge/>
            <w:tcMar>
              <w:top w:w="40" w:type="dxa"/>
              <w:left w:w="40" w:type="dxa"/>
              <w:bottom w:w="40" w:type="dxa"/>
              <w:right w:w="40" w:type="dxa"/>
            </w:tcMar>
            <w:vAlign w:val="center"/>
          </w:tcPr>
          <w:p w14:paraId="7DA70CDF" w14:textId="77777777" w:rsidR="00412943" w:rsidRPr="00653C55" w:rsidRDefault="00412943" w:rsidP="00DA416A">
            <w:pPr>
              <w:widowControl w:val="0"/>
              <w:jc w:val="center"/>
              <w:rPr>
                <w:b/>
                <w:sz w:val="20"/>
              </w:rPr>
            </w:pPr>
          </w:p>
        </w:tc>
        <w:tc>
          <w:tcPr>
            <w:tcW w:w="2100" w:type="dxa"/>
            <w:vMerge/>
            <w:tcMar>
              <w:top w:w="40" w:type="dxa"/>
              <w:left w:w="40" w:type="dxa"/>
              <w:bottom w:w="40" w:type="dxa"/>
              <w:right w:w="40" w:type="dxa"/>
            </w:tcMar>
            <w:vAlign w:val="center"/>
          </w:tcPr>
          <w:p w14:paraId="0CA5CE7C" w14:textId="77777777" w:rsidR="00412943" w:rsidRPr="00653C55" w:rsidRDefault="00412943" w:rsidP="00DA416A">
            <w:pPr>
              <w:widowControl w:val="0"/>
              <w:jc w:val="center"/>
              <w:rPr>
                <w:b/>
                <w:sz w:val="20"/>
              </w:rPr>
            </w:pPr>
          </w:p>
        </w:tc>
        <w:tc>
          <w:tcPr>
            <w:tcW w:w="1800" w:type="dxa"/>
            <w:vMerge/>
            <w:tcMar>
              <w:top w:w="40" w:type="dxa"/>
              <w:left w:w="40" w:type="dxa"/>
              <w:bottom w:w="40" w:type="dxa"/>
              <w:right w:w="40" w:type="dxa"/>
            </w:tcMar>
            <w:vAlign w:val="center"/>
          </w:tcPr>
          <w:p w14:paraId="4FEF2E1B" w14:textId="77777777" w:rsidR="00412943" w:rsidRPr="00653C55" w:rsidRDefault="00412943" w:rsidP="00DA416A">
            <w:pPr>
              <w:widowControl w:val="0"/>
              <w:jc w:val="center"/>
              <w:rPr>
                <w:b/>
                <w:sz w:val="20"/>
              </w:rPr>
            </w:pPr>
          </w:p>
        </w:tc>
        <w:tc>
          <w:tcPr>
            <w:tcW w:w="1710" w:type="dxa"/>
            <w:gridSpan w:val="2"/>
            <w:tcMar>
              <w:top w:w="40" w:type="dxa"/>
              <w:left w:w="40" w:type="dxa"/>
              <w:bottom w:w="40" w:type="dxa"/>
              <w:right w:w="40" w:type="dxa"/>
            </w:tcMar>
            <w:vAlign w:val="center"/>
          </w:tcPr>
          <w:p w14:paraId="25C8B174" w14:textId="77777777" w:rsidR="00412943" w:rsidRPr="00653C55" w:rsidRDefault="00412943" w:rsidP="00DA416A">
            <w:pPr>
              <w:widowControl w:val="0"/>
              <w:jc w:val="center"/>
              <w:rPr>
                <w:b/>
                <w:sz w:val="20"/>
              </w:rPr>
            </w:pPr>
          </w:p>
        </w:tc>
        <w:tc>
          <w:tcPr>
            <w:tcW w:w="1710" w:type="dxa"/>
            <w:gridSpan w:val="2"/>
            <w:tcMar>
              <w:top w:w="40" w:type="dxa"/>
              <w:left w:w="40" w:type="dxa"/>
              <w:bottom w:w="40" w:type="dxa"/>
              <w:right w:w="40" w:type="dxa"/>
            </w:tcMar>
            <w:vAlign w:val="center"/>
          </w:tcPr>
          <w:p w14:paraId="1F4C7B58" w14:textId="77777777" w:rsidR="00412943" w:rsidRPr="00653C55" w:rsidRDefault="00412943" w:rsidP="00DA416A">
            <w:pPr>
              <w:widowControl w:val="0"/>
              <w:jc w:val="center"/>
              <w:rPr>
                <w:b/>
                <w:sz w:val="20"/>
              </w:rPr>
            </w:pPr>
          </w:p>
        </w:tc>
      </w:tr>
      <w:tr w:rsidR="00E62BEB" w:rsidRPr="00653C55" w14:paraId="44B500B3" w14:textId="77777777" w:rsidTr="00E62BEB">
        <w:trPr>
          <w:tblHeader/>
        </w:trPr>
        <w:tc>
          <w:tcPr>
            <w:tcW w:w="345" w:type="dxa"/>
            <w:vMerge/>
            <w:tcMar>
              <w:top w:w="100" w:type="dxa"/>
              <w:left w:w="100" w:type="dxa"/>
              <w:bottom w:w="100" w:type="dxa"/>
              <w:right w:w="100" w:type="dxa"/>
            </w:tcMar>
          </w:tcPr>
          <w:p w14:paraId="7AD04247" w14:textId="77777777" w:rsidR="006E72B5" w:rsidRPr="00653C55" w:rsidRDefault="006E72B5" w:rsidP="00DA416A">
            <w:pPr>
              <w:widowControl w:val="0"/>
              <w:rPr>
                <w:sz w:val="20"/>
              </w:rPr>
            </w:pPr>
          </w:p>
        </w:tc>
        <w:tc>
          <w:tcPr>
            <w:tcW w:w="855" w:type="dxa"/>
            <w:vMerge/>
            <w:tcMar>
              <w:top w:w="100" w:type="dxa"/>
              <w:left w:w="100" w:type="dxa"/>
              <w:bottom w:w="100" w:type="dxa"/>
              <w:right w:w="100" w:type="dxa"/>
            </w:tcMar>
          </w:tcPr>
          <w:p w14:paraId="228BA471" w14:textId="77777777" w:rsidR="006E72B5" w:rsidRPr="00653C55" w:rsidRDefault="006E72B5" w:rsidP="00DA416A">
            <w:pPr>
              <w:widowControl w:val="0"/>
              <w:rPr>
                <w:sz w:val="20"/>
              </w:rPr>
            </w:pPr>
          </w:p>
        </w:tc>
        <w:tc>
          <w:tcPr>
            <w:tcW w:w="855" w:type="dxa"/>
            <w:vMerge/>
            <w:tcMar>
              <w:top w:w="100" w:type="dxa"/>
              <w:left w:w="100" w:type="dxa"/>
              <w:bottom w:w="100" w:type="dxa"/>
              <w:right w:w="100" w:type="dxa"/>
            </w:tcMar>
          </w:tcPr>
          <w:p w14:paraId="62304642" w14:textId="77777777" w:rsidR="006E72B5" w:rsidRPr="00653C55" w:rsidRDefault="006E72B5" w:rsidP="00DA416A">
            <w:pPr>
              <w:widowControl w:val="0"/>
              <w:rPr>
                <w:sz w:val="20"/>
              </w:rPr>
            </w:pPr>
          </w:p>
        </w:tc>
        <w:tc>
          <w:tcPr>
            <w:tcW w:w="2100" w:type="dxa"/>
            <w:vMerge/>
            <w:tcMar>
              <w:top w:w="100" w:type="dxa"/>
              <w:left w:w="100" w:type="dxa"/>
              <w:bottom w:w="100" w:type="dxa"/>
              <w:right w:w="100" w:type="dxa"/>
            </w:tcMar>
          </w:tcPr>
          <w:p w14:paraId="71044F8E" w14:textId="77777777" w:rsidR="006E72B5" w:rsidRPr="00653C55" w:rsidRDefault="006E72B5" w:rsidP="00DA416A">
            <w:pPr>
              <w:widowControl w:val="0"/>
              <w:rPr>
                <w:sz w:val="20"/>
              </w:rPr>
            </w:pPr>
          </w:p>
        </w:tc>
        <w:tc>
          <w:tcPr>
            <w:tcW w:w="1800" w:type="dxa"/>
            <w:vMerge/>
            <w:tcMar>
              <w:top w:w="100" w:type="dxa"/>
              <w:left w:w="100" w:type="dxa"/>
              <w:bottom w:w="100" w:type="dxa"/>
              <w:right w:w="100" w:type="dxa"/>
            </w:tcMar>
          </w:tcPr>
          <w:p w14:paraId="4D6CE4E9" w14:textId="77777777" w:rsidR="006E72B5" w:rsidRPr="00653C55" w:rsidRDefault="006E72B5" w:rsidP="00DA416A">
            <w:pPr>
              <w:widowControl w:val="0"/>
              <w:rPr>
                <w:sz w:val="20"/>
              </w:rPr>
            </w:pPr>
          </w:p>
        </w:tc>
        <w:tc>
          <w:tcPr>
            <w:tcW w:w="855" w:type="dxa"/>
            <w:tcMar>
              <w:top w:w="40" w:type="dxa"/>
              <w:left w:w="40" w:type="dxa"/>
              <w:bottom w:w="40" w:type="dxa"/>
              <w:right w:w="40" w:type="dxa"/>
            </w:tcMar>
            <w:vAlign w:val="center"/>
          </w:tcPr>
          <w:p w14:paraId="65968EE4" w14:textId="77777777" w:rsidR="006E72B5" w:rsidRPr="00653C55" w:rsidRDefault="006E72B5" w:rsidP="00DA416A">
            <w:pPr>
              <w:widowControl w:val="0"/>
              <w:jc w:val="center"/>
              <w:rPr>
                <w:sz w:val="18"/>
                <w:szCs w:val="18"/>
              </w:rPr>
            </w:pPr>
            <w:r w:rsidRPr="00653C55">
              <w:rPr>
                <w:b/>
                <w:sz w:val="18"/>
                <w:szCs w:val="18"/>
              </w:rPr>
              <w:t>NR</w:t>
            </w:r>
          </w:p>
        </w:tc>
        <w:tc>
          <w:tcPr>
            <w:tcW w:w="855" w:type="dxa"/>
            <w:tcMar>
              <w:top w:w="40" w:type="dxa"/>
              <w:left w:w="40" w:type="dxa"/>
              <w:bottom w:w="40" w:type="dxa"/>
              <w:right w:w="40" w:type="dxa"/>
            </w:tcMar>
            <w:vAlign w:val="center"/>
          </w:tcPr>
          <w:p w14:paraId="5BF4AF45" w14:textId="77777777" w:rsidR="006E72B5" w:rsidRPr="00653C55" w:rsidRDefault="006E72B5" w:rsidP="00DA416A">
            <w:pPr>
              <w:widowControl w:val="0"/>
              <w:jc w:val="center"/>
              <w:rPr>
                <w:sz w:val="18"/>
                <w:szCs w:val="18"/>
              </w:rPr>
            </w:pPr>
            <w:r w:rsidRPr="00653C55">
              <w:rPr>
                <w:b/>
                <w:sz w:val="18"/>
                <w:szCs w:val="18"/>
              </w:rPr>
              <w:t>EH</w:t>
            </w:r>
          </w:p>
        </w:tc>
        <w:tc>
          <w:tcPr>
            <w:tcW w:w="855" w:type="dxa"/>
            <w:tcMar>
              <w:top w:w="40" w:type="dxa"/>
              <w:left w:w="40" w:type="dxa"/>
              <w:bottom w:w="40" w:type="dxa"/>
              <w:right w:w="40" w:type="dxa"/>
            </w:tcMar>
            <w:vAlign w:val="center"/>
          </w:tcPr>
          <w:p w14:paraId="54F4E03A" w14:textId="77777777" w:rsidR="006E72B5" w:rsidRPr="00653C55" w:rsidRDefault="006E72B5" w:rsidP="00DA416A">
            <w:pPr>
              <w:widowControl w:val="0"/>
              <w:jc w:val="center"/>
              <w:rPr>
                <w:sz w:val="18"/>
                <w:szCs w:val="18"/>
              </w:rPr>
            </w:pPr>
            <w:r w:rsidRPr="00653C55">
              <w:rPr>
                <w:b/>
                <w:sz w:val="18"/>
                <w:szCs w:val="18"/>
              </w:rPr>
              <w:t>NR</w:t>
            </w:r>
          </w:p>
        </w:tc>
        <w:tc>
          <w:tcPr>
            <w:tcW w:w="855" w:type="dxa"/>
            <w:tcMar>
              <w:top w:w="40" w:type="dxa"/>
              <w:left w:w="40" w:type="dxa"/>
              <w:bottom w:w="40" w:type="dxa"/>
              <w:right w:w="40" w:type="dxa"/>
            </w:tcMar>
            <w:vAlign w:val="center"/>
          </w:tcPr>
          <w:p w14:paraId="514AFC11" w14:textId="77777777" w:rsidR="006E72B5" w:rsidRPr="00653C55" w:rsidRDefault="006E72B5" w:rsidP="00DA416A">
            <w:pPr>
              <w:widowControl w:val="0"/>
              <w:jc w:val="center"/>
              <w:rPr>
                <w:sz w:val="18"/>
                <w:szCs w:val="18"/>
              </w:rPr>
            </w:pPr>
            <w:r w:rsidRPr="00653C55">
              <w:rPr>
                <w:b/>
                <w:sz w:val="18"/>
                <w:szCs w:val="18"/>
              </w:rPr>
              <w:t>EH</w:t>
            </w:r>
          </w:p>
        </w:tc>
      </w:tr>
      <w:tr w:rsidR="006E72B5" w:rsidRPr="00653C55" w14:paraId="00F8A06A" w14:textId="77777777" w:rsidTr="00E62BEB">
        <w:trPr>
          <w:trHeight w:val="750"/>
        </w:trPr>
        <w:tc>
          <w:tcPr>
            <w:tcW w:w="345" w:type="dxa"/>
            <w:tcMar>
              <w:top w:w="40" w:type="dxa"/>
              <w:left w:w="40" w:type="dxa"/>
              <w:bottom w:w="40" w:type="dxa"/>
              <w:right w:w="40" w:type="dxa"/>
            </w:tcMar>
            <w:vAlign w:val="center"/>
          </w:tcPr>
          <w:p w14:paraId="6EE8BBC6" w14:textId="77777777" w:rsidR="006E72B5" w:rsidRPr="00653C55" w:rsidRDefault="006E72B5" w:rsidP="00DA416A">
            <w:pPr>
              <w:widowControl w:val="0"/>
              <w:jc w:val="center"/>
              <w:rPr>
                <w:sz w:val="20"/>
              </w:rPr>
            </w:pPr>
            <w:r w:rsidRPr="00653C55">
              <w:rPr>
                <w:sz w:val="20"/>
              </w:rPr>
              <w:t>1</w:t>
            </w:r>
          </w:p>
        </w:tc>
        <w:tc>
          <w:tcPr>
            <w:tcW w:w="855" w:type="dxa"/>
            <w:tcMar>
              <w:top w:w="40" w:type="dxa"/>
              <w:left w:w="40" w:type="dxa"/>
              <w:bottom w:w="40" w:type="dxa"/>
              <w:right w:w="40" w:type="dxa"/>
            </w:tcMar>
            <w:vAlign w:val="center"/>
          </w:tcPr>
          <w:p w14:paraId="71789895" w14:textId="77777777" w:rsidR="006E72B5" w:rsidRPr="00653C55" w:rsidRDefault="006E72B5" w:rsidP="00DA416A">
            <w:pPr>
              <w:widowControl w:val="0"/>
              <w:jc w:val="center"/>
              <w:rPr>
                <w:sz w:val="20"/>
              </w:rPr>
            </w:pPr>
            <w:r w:rsidRPr="00653C55">
              <w:rPr>
                <w:sz w:val="20"/>
              </w:rPr>
              <w:t>Selection bias</w:t>
            </w:r>
          </w:p>
        </w:tc>
        <w:tc>
          <w:tcPr>
            <w:tcW w:w="855" w:type="dxa"/>
            <w:tcMar>
              <w:top w:w="40" w:type="dxa"/>
              <w:left w:w="40" w:type="dxa"/>
              <w:bottom w:w="40" w:type="dxa"/>
              <w:right w:w="40" w:type="dxa"/>
            </w:tcMar>
            <w:vAlign w:val="center"/>
          </w:tcPr>
          <w:p w14:paraId="3A827D7F" w14:textId="77777777" w:rsidR="006E72B5" w:rsidRPr="00653C55" w:rsidRDefault="006E72B5" w:rsidP="00DA416A">
            <w:pPr>
              <w:widowControl w:val="0"/>
              <w:jc w:val="center"/>
              <w:rPr>
                <w:sz w:val="20"/>
              </w:rPr>
            </w:pPr>
            <w:r w:rsidRPr="00653C55">
              <w:rPr>
                <w:sz w:val="20"/>
              </w:rPr>
              <w:t>Sequence generation</w:t>
            </w:r>
          </w:p>
        </w:tc>
        <w:tc>
          <w:tcPr>
            <w:tcW w:w="2100" w:type="dxa"/>
            <w:tcMar>
              <w:top w:w="40" w:type="dxa"/>
              <w:left w:w="40" w:type="dxa"/>
              <w:bottom w:w="40" w:type="dxa"/>
              <w:right w:w="40" w:type="dxa"/>
            </w:tcMar>
            <w:vAlign w:val="center"/>
          </w:tcPr>
          <w:p w14:paraId="3B15443C" w14:textId="77777777" w:rsidR="006E72B5" w:rsidRPr="00653C55" w:rsidRDefault="006E72B5" w:rsidP="00DA416A">
            <w:pPr>
              <w:widowControl w:val="0"/>
              <w:jc w:val="center"/>
              <w:rPr>
                <w:sz w:val="20"/>
              </w:rPr>
            </w:pPr>
            <w:r w:rsidRPr="00653C55">
              <w:rPr>
                <w:sz w:val="20"/>
              </w:rPr>
              <w:t>Describe the methods used, if any, to generate the allocation sequence in sufficient detail to allow an assessment whether it should produce comparable groups.</w:t>
            </w:r>
          </w:p>
        </w:tc>
        <w:tc>
          <w:tcPr>
            <w:tcW w:w="1800" w:type="dxa"/>
            <w:tcMar>
              <w:top w:w="40" w:type="dxa"/>
              <w:left w:w="40" w:type="dxa"/>
              <w:bottom w:w="40" w:type="dxa"/>
              <w:right w:w="40" w:type="dxa"/>
            </w:tcMar>
            <w:vAlign w:val="center"/>
          </w:tcPr>
          <w:p w14:paraId="39E77622" w14:textId="77777777" w:rsidR="006E72B5" w:rsidRPr="00653C55" w:rsidRDefault="006E72B5" w:rsidP="00DA416A">
            <w:pPr>
              <w:widowControl w:val="0"/>
              <w:jc w:val="center"/>
              <w:rPr>
                <w:sz w:val="20"/>
              </w:rPr>
            </w:pPr>
            <w:r w:rsidRPr="00653C55">
              <w:rPr>
                <w:sz w:val="20"/>
              </w:rPr>
              <w:t>Was the allocation sequence adequately generated and applied?</w:t>
            </w:r>
          </w:p>
        </w:tc>
        <w:tc>
          <w:tcPr>
            <w:tcW w:w="855" w:type="dxa"/>
            <w:tcMar>
              <w:top w:w="40" w:type="dxa"/>
              <w:left w:w="40" w:type="dxa"/>
              <w:bottom w:w="40" w:type="dxa"/>
              <w:right w:w="40" w:type="dxa"/>
            </w:tcMar>
            <w:vAlign w:val="center"/>
          </w:tcPr>
          <w:p w14:paraId="7FABC300"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7B64D03B"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659563BD"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2F2030B0" w14:textId="77777777" w:rsidR="006E72B5" w:rsidRPr="00653C55" w:rsidRDefault="006E72B5" w:rsidP="00DA416A">
            <w:pPr>
              <w:widowControl w:val="0"/>
              <w:jc w:val="center"/>
              <w:rPr>
                <w:sz w:val="20"/>
              </w:rPr>
            </w:pPr>
            <w:r w:rsidRPr="00653C55">
              <w:rPr>
                <w:sz w:val="20"/>
              </w:rPr>
              <w:t>UNCLEAR RISK</w:t>
            </w:r>
          </w:p>
        </w:tc>
      </w:tr>
      <w:tr w:rsidR="006E72B5" w:rsidRPr="00653C55" w14:paraId="7A1F0ED6" w14:textId="77777777" w:rsidTr="00E62BEB">
        <w:trPr>
          <w:trHeight w:val="570"/>
        </w:trPr>
        <w:tc>
          <w:tcPr>
            <w:tcW w:w="345" w:type="dxa"/>
            <w:tcMar>
              <w:top w:w="40" w:type="dxa"/>
              <w:left w:w="40" w:type="dxa"/>
              <w:bottom w:w="40" w:type="dxa"/>
              <w:right w:w="40" w:type="dxa"/>
            </w:tcMar>
            <w:vAlign w:val="center"/>
          </w:tcPr>
          <w:p w14:paraId="5D2EB921" w14:textId="77777777" w:rsidR="006E72B5" w:rsidRPr="00653C55" w:rsidRDefault="006E72B5" w:rsidP="00DA416A">
            <w:pPr>
              <w:widowControl w:val="0"/>
              <w:jc w:val="center"/>
              <w:rPr>
                <w:sz w:val="20"/>
              </w:rPr>
            </w:pPr>
            <w:r w:rsidRPr="00653C55">
              <w:rPr>
                <w:sz w:val="20"/>
              </w:rPr>
              <w:t>2</w:t>
            </w:r>
          </w:p>
        </w:tc>
        <w:tc>
          <w:tcPr>
            <w:tcW w:w="855" w:type="dxa"/>
            <w:tcMar>
              <w:top w:w="40" w:type="dxa"/>
              <w:left w:w="40" w:type="dxa"/>
              <w:bottom w:w="40" w:type="dxa"/>
              <w:right w:w="40" w:type="dxa"/>
            </w:tcMar>
            <w:vAlign w:val="center"/>
          </w:tcPr>
          <w:p w14:paraId="648110C9" w14:textId="77777777" w:rsidR="006E72B5" w:rsidRPr="00653C55" w:rsidRDefault="006E72B5" w:rsidP="00DA416A">
            <w:pPr>
              <w:widowControl w:val="0"/>
              <w:jc w:val="center"/>
              <w:rPr>
                <w:sz w:val="20"/>
              </w:rPr>
            </w:pPr>
            <w:r w:rsidRPr="00653C55">
              <w:rPr>
                <w:sz w:val="20"/>
              </w:rPr>
              <w:t>Selection bias</w:t>
            </w:r>
          </w:p>
        </w:tc>
        <w:tc>
          <w:tcPr>
            <w:tcW w:w="855" w:type="dxa"/>
            <w:tcMar>
              <w:top w:w="40" w:type="dxa"/>
              <w:left w:w="40" w:type="dxa"/>
              <w:bottom w:w="40" w:type="dxa"/>
              <w:right w:w="40" w:type="dxa"/>
            </w:tcMar>
            <w:vAlign w:val="center"/>
          </w:tcPr>
          <w:p w14:paraId="466DE69B" w14:textId="77777777" w:rsidR="006E72B5" w:rsidRPr="00653C55" w:rsidRDefault="006E72B5" w:rsidP="00DA416A">
            <w:pPr>
              <w:widowControl w:val="0"/>
              <w:jc w:val="center"/>
              <w:rPr>
                <w:sz w:val="20"/>
              </w:rPr>
            </w:pPr>
            <w:r w:rsidRPr="00653C55">
              <w:rPr>
                <w:sz w:val="20"/>
              </w:rPr>
              <w:t>Baseline characteristics</w:t>
            </w:r>
          </w:p>
        </w:tc>
        <w:tc>
          <w:tcPr>
            <w:tcW w:w="2100" w:type="dxa"/>
            <w:tcMar>
              <w:top w:w="40" w:type="dxa"/>
              <w:left w:w="40" w:type="dxa"/>
              <w:bottom w:w="40" w:type="dxa"/>
              <w:right w:w="40" w:type="dxa"/>
            </w:tcMar>
            <w:vAlign w:val="center"/>
          </w:tcPr>
          <w:p w14:paraId="01349E41" w14:textId="77777777" w:rsidR="006E72B5" w:rsidRPr="00653C55" w:rsidRDefault="006E72B5" w:rsidP="00DA416A">
            <w:pPr>
              <w:widowControl w:val="0"/>
              <w:jc w:val="center"/>
              <w:rPr>
                <w:sz w:val="20"/>
              </w:rPr>
            </w:pPr>
            <w:r w:rsidRPr="00653C55">
              <w:rPr>
                <w:sz w:val="20"/>
              </w:rPr>
              <w:t xml:space="preserve">Describe all the possible prognostic factors or animal characteristics, if any, that are compared in order to judge whether or not intervention and control groups were </w:t>
            </w:r>
            <w:proofErr w:type="spellStart"/>
            <w:r w:rsidRPr="00653C55">
              <w:rPr>
                <w:sz w:val="20"/>
              </w:rPr>
              <w:t>similiar</w:t>
            </w:r>
            <w:proofErr w:type="spellEnd"/>
            <w:r w:rsidRPr="00653C55">
              <w:rPr>
                <w:sz w:val="20"/>
              </w:rPr>
              <w:t xml:space="preserve"> at the start of the experiment</w:t>
            </w:r>
          </w:p>
        </w:tc>
        <w:tc>
          <w:tcPr>
            <w:tcW w:w="1800" w:type="dxa"/>
            <w:tcMar>
              <w:top w:w="40" w:type="dxa"/>
              <w:left w:w="40" w:type="dxa"/>
              <w:bottom w:w="40" w:type="dxa"/>
              <w:right w:w="40" w:type="dxa"/>
            </w:tcMar>
            <w:vAlign w:val="center"/>
          </w:tcPr>
          <w:p w14:paraId="5AA7E433" w14:textId="77777777" w:rsidR="006E72B5" w:rsidRPr="00653C55" w:rsidRDefault="006E72B5" w:rsidP="00DA416A">
            <w:pPr>
              <w:widowControl w:val="0"/>
              <w:jc w:val="center"/>
              <w:rPr>
                <w:sz w:val="20"/>
              </w:rPr>
            </w:pPr>
            <w:r w:rsidRPr="00653C55">
              <w:rPr>
                <w:sz w:val="20"/>
              </w:rPr>
              <w:t xml:space="preserve">Were the groups </w:t>
            </w:r>
            <w:proofErr w:type="spellStart"/>
            <w:r w:rsidRPr="00653C55">
              <w:rPr>
                <w:sz w:val="20"/>
              </w:rPr>
              <w:t>similiar</w:t>
            </w:r>
            <w:proofErr w:type="spellEnd"/>
            <w:r w:rsidRPr="00653C55">
              <w:rPr>
                <w:sz w:val="20"/>
              </w:rPr>
              <w:t xml:space="preserve"> at baseline or were they adjusted for confounders in the analysis?</w:t>
            </w:r>
          </w:p>
        </w:tc>
        <w:tc>
          <w:tcPr>
            <w:tcW w:w="855" w:type="dxa"/>
            <w:tcMar>
              <w:top w:w="40" w:type="dxa"/>
              <w:left w:w="40" w:type="dxa"/>
              <w:bottom w:w="40" w:type="dxa"/>
              <w:right w:w="40" w:type="dxa"/>
            </w:tcMar>
            <w:vAlign w:val="center"/>
          </w:tcPr>
          <w:p w14:paraId="75EA6865"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CB3D743"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5A5606D2"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1508C31" w14:textId="77777777" w:rsidR="006E72B5" w:rsidRPr="00653C55" w:rsidRDefault="006E72B5" w:rsidP="00DA416A">
            <w:pPr>
              <w:widowControl w:val="0"/>
              <w:jc w:val="center"/>
              <w:rPr>
                <w:sz w:val="20"/>
              </w:rPr>
            </w:pPr>
            <w:r w:rsidRPr="00653C55">
              <w:rPr>
                <w:sz w:val="20"/>
              </w:rPr>
              <w:t>LOW RISK</w:t>
            </w:r>
          </w:p>
        </w:tc>
      </w:tr>
      <w:tr w:rsidR="006E72B5" w:rsidRPr="00653C55" w14:paraId="6A0D19D7" w14:textId="77777777" w:rsidTr="00E62BEB">
        <w:trPr>
          <w:trHeight w:val="672"/>
        </w:trPr>
        <w:tc>
          <w:tcPr>
            <w:tcW w:w="345" w:type="dxa"/>
            <w:tcMar>
              <w:top w:w="40" w:type="dxa"/>
              <w:left w:w="40" w:type="dxa"/>
              <w:bottom w:w="40" w:type="dxa"/>
              <w:right w:w="40" w:type="dxa"/>
            </w:tcMar>
            <w:vAlign w:val="center"/>
          </w:tcPr>
          <w:p w14:paraId="14891C2F" w14:textId="77777777" w:rsidR="006E72B5" w:rsidRPr="00653C55" w:rsidRDefault="006E72B5" w:rsidP="00DA416A">
            <w:pPr>
              <w:widowControl w:val="0"/>
              <w:jc w:val="center"/>
              <w:rPr>
                <w:sz w:val="20"/>
              </w:rPr>
            </w:pPr>
            <w:r w:rsidRPr="00653C55">
              <w:rPr>
                <w:sz w:val="20"/>
              </w:rPr>
              <w:t>3</w:t>
            </w:r>
          </w:p>
        </w:tc>
        <w:tc>
          <w:tcPr>
            <w:tcW w:w="855" w:type="dxa"/>
            <w:tcMar>
              <w:top w:w="40" w:type="dxa"/>
              <w:left w:w="40" w:type="dxa"/>
              <w:bottom w:w="40" w:type="dxa"/>
              <w:right w:w="40" w:type="dxa"/>
            </w:tcMar>
            <w:vAlign w:val="center"/>
          </w:tcPr>
          <w:p w14:paraId="6B0AF50A" w14:textId="77777777" w:rsidR="006E72B5" w:rsidRPr="00653C55" w:rsidRDefault="006E72B5" w:rsidP="00DA416A">
            <w:pPr>
              <w:widowControl w:val="0"/>
              <w:jc w:val="center"/>
              <w:rPr>
                <w:sz w:val="20"/>
              </w:rPr>
            </w:pPr>
            <w:r w:rsidRPr="00653C55">
              <w:rPr>
                <w:sz w:val="20"/>
              </w:rPr>
              <w:t>Selection bias</w:t>
            </w:r>
          </w:p>
        </w:tc>
        <w:tc>
          <w:tcPr>
            <w:tcW w:w="855" w:type="dxa"/>
            <w:tcMar>
              <w:top w:w="40" w:type="dxa"/>
              <w:left w:w="40" w:type="dxa"/>
              <w:bottom w:w="40" w:type="dxa"/>
              <w:right w:w="40" w:type="dxa"/>
            </w:tcMar>
            <w:vAlign w:val="center"/>
          </w:tcPr>
          <w:p w14:paraId="1E6762CB" w14:textId="77777777" w:rsidR="006E72B5" w:rsidRPr="00653C55" w:rsidRDefault="006E72B5" w:rsidP="00DA416A">
            <w:pPr>
              <w:widowControl w:val="0"/>
              <w:jc w:val="center"/>
              <w:rPr>
                <w:sz w:val="20"/>
              </w:rPr>
            </w:pPr>
            <w:r w:rsidRPr="00653C55">
              <w:rPr>
                <w:sz w:val="20"/>
              </w:rPr>
              <w:t>Allocation concealment</w:t>
            </w:r>
          </w:p>
        </w:tc>
        <w:tc>
          <w:tcPr>
            <w:tcW w:w="2100" w:type="dxa"/>
            <w:tcMar>
              <w:top w:w="40" w:type="dxa"/>
              <w:left w:w="40" w:type="dxa"/>
              <w:bottom w:w="40" w:type="dxa"/>
              <w:right w:w="40" w:type="dxa"/>
            </w:tcMar>
            <w:vAlign w:val="center"/>
          </w:tcPr>
          <w:p w14:paraId="7F45B76C" w14:textId="77777777" w:rsidR="006E72B5" w:rsidRPr="00653C55" w:rsidRDefault="006E72B5" w:rsidP="00DA416A">
            <w:pPr>
              <w:widowControl w:val="0"/>
              <w:jc w:val="center"/>
              <w:rPr>
                <w:sz w:val="20"/>
              </w:rPr>
            </w:pPr>
            <w:r w:rsidRPr="00653C55">
              <w:rPr>
                <w:sz w:val="20"/>
              </w:rPr>
              <w:t>Describe the methods used to conceal the allocation sequence in sufficient detail to determine whether intervention allocations could have been foreseen before or during enrolment</w:t>
            </w:r>
          </w:p>
        </w:tc>
        <w:tc>
          <w:tcPr>
            <w:tcW w:w="1800" w:type="dxa"/>
            <w:tcMar>
              <w:top w:w="40" w:type="dxa"/>
              <w:left w:w="40" w:type="dxa"/>
              <w:bottom w:w="40" w:type="dxa"/>
              <w:right w:w="40" w:type="dxa"/>
            </w:tcMar>
            <w:vAlign w:val="center"/>
          </w:tcPr>
          <w:p w14:paraId="309A947C" w14:textId="77777777" w:rsidR="006E72B5" w:rsidRPr="00653C55" w:rsidRDefault="006E72B5" w:rsidP="00DA416A">
            <w:pPr>
              <w:widowControl w:val="0"/>
              <w:jc w:val="center"/>
              <w:rPr>
                <w:sz w:val="20"/>
              </w:rPr>
            </w:pPr>
            <w:r w:rsidRPr="00653C55">
              <w:rPr>
                <w:sz w:val="20"/>
              </w:rPr>
              <w:t>Was the allocation adequately concealed?</w:t>
            </w:r>
          </w:p>
        </w:tc>
        <w:tc>
          <w:tcPr>
            <w:tcW w:w="855" w:type="dxa"/>
            <w:tcMar>
              <w:top w:w="40" w:type="dxa"/>
              <w:left w:w="40" w:type="dxa"/>
              <w:bottom w:w="40" w:type="dxa"/>
              <w:right w:w="40" w:type="dxa"/>
            </w:tcMar>
            <w:vAlign w:val="center"/>
          </w:tcPr>
          <w:p w14:paraId="353F2267"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52179C96"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6EDF1828"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7FAEA56C" w14:textId="77777777" w:rsidR="006E72B5" w:rsidRPr="00653C55" w:rsidRDefault="006E72B5" w:rsidP="00DA416A">
            <w:pPr>
              <w:widowControl w:val="0"/>
              <w:jc w:val="center"/>
              <w:rPr>
                <w:sz w:val="20"/>
              </w:rPr>
            </w:pPr>
            <w:r w:rsidRPr="00653C55">
              <w:rPr>
                <w:sz w:val="20"/>
              </w:rPr>
              <w:t>UNCLEAR RISK</w:t>
            </w:r>
          </w:p>
        </w:tc>
      </w:tr>
      <w:tr w:rsidR="006E72B5" w:rsidRPr="00653C55" w14:paraId="5528D3F3" w14:textId="77777777" w:rsidTr="00E62BEB">
        <w:trPr>
          <w:trHeight w:val="255"/>
        </w:trPr>
        <w:tc>
          <w:tcPr>
            <w:tcW w:w="345" w:type="dxa"/>
            <w:tcMar>
              <w:top w:w="40" w:type="dxa"/>
              <w:left w:w="40" w:type="dxa"/>
              <w:bottom w:w="40" w:type="dxa"/>
              <w:right w:w="40" w:type="dxa"/>
            </w:tcMar>
            <w:vAlign w:val="center"/>
          </w:tcPr>
          <w:p w14:paraId="13A545D1" w14:textId="77777777" w:rsidR="006E72B5" w:rsidRPr="00653C55" w:rsidRDefault="006E72B5" w:rsidP="00DA416A">
            <w:pPr>
              <w:widowControl w:val="0"/>
              <w:jc w:val="center"/>
              <w:rPr>
                <w:sz w:val="20"/>
              </w:rPr>
            </w:pPr>
            <w:r w:rsidRPr="00653C55">
              <w:rPr>
                <w:sz w:val="20"/>
              </w:rPr>
              <w:t>4</w:t>
            </w:r>
          </w:p>
        </w:tc>
        <w:tc>
          <w:tcPr>
            <w:tcW w:w="855" w:type="dxa"/>
            <w:tcMar>
              <w:top w:w="40" w:type="dxa"/>
              <w:left w:w="40" w:type="dxa"/>
              <w:bottom w:w="40" w:type="dxa"/>
              <w:right w:w="40" w:type="dxa"/>
            </w:tcMar>
            <w:vAlign w:val="center"/>
          </w:tcPr>
          <w:p w14:paraId="46742E4E" w14:textId="77777777" w:rsidR="006E72B5" w:rsidRPr="00653C55" w:rsidRDefault="006E72B5" w:rsidP="00DA416A">
            <w:pPr>
              <w:widowControl w:val="0"/>
              <w:jc w:val="center"/>
              <w:rPr>
                <w:sz w:val="20"/>
              </w:rPr>
            </w:pPr>
            <w:r w:rsidRPr="00653C55">
              <w:rPr>
                <w:sz w:val="20"/>
              </w:rPr>
              <w:t>Performance bias</w:t>
            </w:r>
          </w:p>
        </w:tc>
        <w:tc>
          <w:tcPr>
            <w:tcW w:w="855" w:type="dxa"/>
            <w:tcMar>
              <w:top w:w="40" w:type="dxa"/>
              <w:left w:w="40" w:type="dxa"/>
              <w:bottom w:w="40" w:type="dxa"/>
              <w:right w:w="40" w:type="dxa"/>
            </w:tcMar>
            <w:vAlign w:val="center"/>
          </w:tcPr>
          <w:p w14:paraId="722135D5" w14:textId="77777777" w:rsidR="006E72B5" w:rsidRPr="00653C55" w:rsidRDefault="006E72B5" w:rsidP="00DA416A">
            <w:pPr>
              <w:widowControl w:val="0"/>
              <w:jc w:val="center"/>
              <w:rPr>
                <w:sz w:val="20"/>
              </w:rPr>
            </w:pPr>
            <w:r w:rsidRPr="00653C55">
              <w:rPr>
                <w:sz w:val="20"/>
              </w:rPr>
              <w:t>Random housing</w:t>
            </w:r>
          </w:p>
        </w:tc>
        <w:tc>
          <w:tcPr>
            <w:tcW w:w="2100" w:type="dxa"/>
            <w:tcMar>
              <w:top w:w="40" w:type="dxa"/>
              <w:left w:w="40" w:type="dxa"/>
              <w:bottom w:w="40" w:type="dxa"/>
              <w:right w:w="40" w:type="dxa"/>
            </w:tcMar>
            <w:vAlign w:val="center"/>
          </w:tcPr>
          <w:p w14:paraId="7F1B21DD" w14:textId="77777777" w:rsidR="006E72B5" w:rsidRPr="00653C55" w:rsidRDefault="006E72B5" w:rsidP="00DA416A">
            <w:pPr>
              <w:widowControl w:val="0"/>
              <w:jc w:val="center"/>
              <w:rPr>
                <w:sz w:val="20"/>
              </w:rPr>
            </w:pPr>
            <w:r w:rsidRPr="00653C55">
              <w:rPr>
                <w:sz w:val="20"/>
              </w:rPr>
              <w:t>Describe all measures used, if any, to house the animals randomly within the animal room</w:t>
            </w:r>
          </w:p>
        </w:tc>
        <w:tc>
          <w:tcPr>
            <w:tcW w:w="1800" w:type="dxa"/>
            <w:tcMar>
              <w:top w:w="40" w:type="dxa"/>
              <w:left w:w="40" w:type="dxa"/>
              <w:bottom w:w="40" w:type="dxa"/>
              <w:right w:w="40" w:type="dxa"/>
            </w:tcMar>
            <w:vAlign w:val="center"/>
          </w:tcPr>
          <w:p w14:paraId="4EEF144B" w14:textId="77777777" w:rsidR="006E72B5" w:rsidRPr="00653C55" w:rsidRDefault="006E72B5" w:rsidP="00DA416A">
            <w:pPr>
              <w:widowControl w:val="0"/>
              <w:jc w:val="center"/>
              <w:rPr>
                <w:sz w:val="20"/>
              </w:rPr>
            </w:pPr>
            <w:r w:rsidRPr="00653C55">
              <w:rPr>
                <w:sz w:val="20"/>
              </w:rPr>
              <w:t>Were the animals randomly housed during the experiment?</w:t>
            </w:r>
          </w:p>
        </w:tc>
        <w:tc>
          <w:tcPr>
            <w:tcW w:w="855" w:type="dxa"/>
            <w:tcMar>
              <w:top w:w="40" w:type="dxa"/>
              <w:left w:w="40" w:type="dxa"/>
              <w:bottom w:w="40" w:type="dxa"/>
              <w:right w:w="40" w:type="dxa"/>
            </w:tcMar>
            <w:vAlign w:val="center"/>
          </w:tcPr>
          <w:p w14:paraId="44EA6892"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6FBA9562"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6401C377"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32B4979B" w14:textId="77777777" w:rsidR="006E72B5" w:rsidRPr="00653C55" w:rsidRDefault="006E72B5" w:rsidP="00DA416A">
            <w:pPr>
              <w:widowControl w:val="0"/>
              <w:jc w:val="center"/>
              <w:rPr>
                <w:sz w:val="20"/>
              </w:rPr>
            </w:pPr>
            <w:r w:rsidRPr="00653C55">
              <w:rPr>
                <w:sz w:val="20"/>
              </w:rPr>
              <w:t>UNCLEAR RISK</w:t>
            </w:r>
          </w:p>
        </w:tc>
      </w:tr>
      <w:tr w:rsidR="006E72B5" w:rsidRPr="00653C55" w14:paraId="382F3E32" w14:textId="77777777" w:rsidTr="00E62BEB">
        <w:trPr>
          <w:trHeight w:val="885"/>
        </w:trPr>
        <w:tc>
          <w:tcPr>
            <w:tcW w:w="345" w:type="dxa"/>
            <w:tcMar>
              <w:top w:w="40" w:type="dxa"/>
              <w:left w:w="40" w:type="dxa"/>
              <w:bottom w:w="40" w:type="dxa"/>
              <w:right w:w="40" w:type="dxa"/>
            </w:tcMar>
            <w:vAlign w:val="center"/>
          </w:tcPr>
          <w:p w14:paraId="1A57E56D" w14:textId="77777777" w:rsidR="006E72B5" w:rsidRPr="00653C55" w:rsidRDefault="006E72B5" w:rsidP="00DA416A">
            <w:pPr>
              <w:widowControl w:val="0"/>
              <w:jc w:val="center"/>
              <w:rPr>
                <w:sz w:val="20"/>
              </w:rPr>
            </w:pPr>
            <w:r w:rsidRPr="00653C55">
              <w:rPr>
                <w:sz w:val="20"/>
              </w:rPr>
              <w:t>5</w:t>
            </w:r>
          </w:p>
        </w:tc>
        <w:tc>
          <w:tcPr>
            <w:tcW w:w="855" w:type="dxa"/>
            <w:tcMar>
              <w:top w:w="40" w:type="dxa"/>
              <w:left w:w="40" w:type="dxa"/>
              <w:bottom w:w="40" w:type="dxa"/>
              <w:right w:w="40" w:type="dxa"/>
            </w:tcMar>
            <w:vAlign w:val="center"/>
          </w:tcPr>
          <w:p w14:paraId="39093966" w14:textId="77777777" w:rsidR="006E72B5" w:rsidRPr="00653C55" w:rsidRDefault="006E72B5" w:rsidP="00DA416A">
            <w:pPr>
              <w:widowControl w:val="0"/>
              <w:jc w:val="center"/>
              <w:rPr>
                <w:sz w:val="20"/>
              </w:rPr>
            </w:pPr>
            <w:r w:rsidRPr="00653C55">
              <w:rPr>
                <w:sz w:val="20"/>
              </w:rPr>
              <w:t>Performance bias</w:t>
            </w:r>
          </w:p>
        </w:tc>
        <w:tc>
          <w:tcPr>
            <w:tcW w:w="855" w:type="dxa"/>
            <w:tcMar>
              <w:top w:w="40" w:type="dxa"/>
              <w:left w:w="40" w:type="dxa"/>
              <w:bottom w:w="40" w:type="dxa"/>
              <w:right w:w="40" w:type="dxa"/>
            </w:tcMar>
            <w:vAlign w:val="center"/>
          </w:tcPr>
          <w:p w14:paraId="31EBDDBD" w14:textId="77777777" w:rsidR="006E72B5" w:rsidRPr="00653C55" w:rsidRDefault="006E72B5" w:rsidP="00DA416A">
            <w:pPr>
              <w:widowControl w:val="0"/>
              <w:jc w:val="center"/>
              <w:rPr>
                <w:sz w:val="20"/>
              </w:rPr>
            </w:pPr>
            <w:r w:rsidRPr="00653C55">
              <w:rPr>
                <w:sz w:val="20"/>
              </w:rPr>
              <w:t>Blinding</w:t>
            </w:r>
          </w:p>
        </w:tc>
        <w:tc>
          <w:tcPr>
            <w:tcW w:w="2100" w:type="dxa"/>
            <w:tcMar>
              <w:top w:w="40" w:type="dxa"/>
              <w:left w:w="40" w:type="dxa"/>
              <w:bottom w:w="40" w:type="dxa"/>
              <w:right w:w="40" w:type="dxa"/>
            </w:tcMar>
            <w:vAlign w:val="center"/>
          </w:tcPr>
          <w:p w14:paraId="40A673C7" w14:textId="77777777" w:rsidR="006E72B5" w:rsidRPr="00653C55" w:rsidRDefault="006E72B5" w:rsidP="00DA416A">
            <w:pPr>
              <w:widowControl w:val="0"/>
              <w:jc w:val="center"/>
              <w:rPr>
                <w:sz w:val="20"/>
              </w:rPr>
            </w:pPr>
            <w:r w:rsidRPr="00653C55">
              <w:rPr>
                <w:sz w:val="20"/>
              </w:rPr>
              <w:t xml:space="preserve">Describe all measures used, if any, to blind trial caregivers and researchers from </w:t>
            </w:r>
            <w:r w:rsidRPr="00653C55">
              <w:rPr>
                <w:sz w:val="20"/>
              </w:rPr>
              <w:lastRenderedPageBreak/>
              <w:t>knowing which intervention each animal received. Provide any information relating to whether the intended blinding was effective.</w:t>
            </w:r>
          </w:p>
        </w:tc>
        <w:tc>
          <w:tcPr>
            <w:tcW w:w="1800" w:type="dxa"/>
            <w:tcMar>
              <w:top w:w="40" w:type="dxa"/>
              <w:left w:w="40" w:type="dxa"/>
              <w:bottom w:w="40" w:type="dxa"/>
              <w:right w:w="40" w:type="dxa"/>
            </w:tcMar>
            <w:vAlign w:val="center"/>
          </w:tcPr>
          <w:p w14:paraId="4CB46425" w14:textId="77777777" w:rsidR="006E72B5" w:rsidRPr="00653C55" w:rsidRDefault="006E72B5" w:rsidP="00DA416A">
            <w:pPr>
              <w:widowControl w:val="0"/>
              <w:jc w:val="center"/>
              <w:rPr>
                <w:sz w:val="20"/>
              </w:rPr>
            </w:pPr>
            <w:r w:rsidRPr="00653C55">
              <w:rPr>
                <w:sz w:val="20"/>
              </w:rPr>
              <w:lastRenderedPageBreak/>
              <w:t xml:space="preserve">Were the caregivers and/or investigators blinded from knowledge which </w:t>
            </w:r>
            <w:r w:rsidRPr="00653C55">
              <w:rPr>
                <w:sz w:val="20"/>
              </w:rPr>
              <w:lastRenderedPageBreak/>
              <w:t>intervention each animal received during the experiment?</w:t>
            </w:r>
          </w:p>
        </w:tc>
        <w:tc>
          <w:tcPr>
            <w:tcW w:w="855" w:type="dxa"/>
            <w:tcMar>
              <w:top w:w="40" w:type="dxa"/>
              <w:left w:w="40" w:type="dxa"/>
              <w:bottom w:w="40" w:type="dxa"/>
              <w:right w:w="40" w:type="dxa"/>
            </w:tcMar>
            <w:vAlign w:val="center"/>
          </w:tcPr>
          <w:p w14:paraId="3F72CAE4" w14:textId="77777777" w:rsidR="006E72B5" w:rsidRPr="00653C55" w:rsidRDefault="006E72B5" w:rsidP="00DA416A">
            <w:pPr>
              <w:widowControl w:val="0"/>
              <w:jc w:val="center"/>
              <w:rPr>
                <w:sz w:val="20"/>
              </w:rPr>
            </w:pPr>
            <w:r w:rsidRPr="00653C55">
              <w:rPr>
                <w:sz w:val="20"/>
              </w:rPr>
              <w:lastRenderedPageBreak/>
              <w:t>LOW RISK</w:t>
            </w:r>
          </w:p>
        </w:tc>
        <w:tc>
          <w:tcPr>
            <w:tcW w:w="855" w:type="dxa"/>
            <w:tcMar>
              <w:top w:w="40" w:type="dxa"/>
              <w:left w:w="40" w:type="dxa"/>
              <w:bottom w:w="40" w:type="dxa"/>
              <w:right w:w="40" w:type="dxa"/>
            </w:tcMar>
            <w:vAlign w:val="center"/>
          </w:tcPr>
          <w:p w14:paraId="31DE5270"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90D62B6"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5190B9A8" w14:textId="77777777" w:rsidR="006E72B5" w:rsidRPr="00653C55" w:rsidRDefault="006E72B5" w:rsidP="00DA416A">
            <w:pPr>
              <w:widowControl w:val="0"/>
              <w:jc w:val="center"/>
              <w:rPr>
                <w:sz w:val="20"/>
              </w:rPr>
            </w:pPr>
            <w:r w:rsidRPr="00653C55">
              <w:rPr>
                <w:sz w:val="20"/>
              </w:rPr>
              <w:t>UNCLEAR RISK</w:t>
            </w:r>
          </w:p>
        </w:tc>
      </w:tr>
      <w:tr w:rsidR="006E72B5" w:rsidRPr="00653C55" w14:paraId="72774D7D" w14:textId="77777777" w:rsidTr="00E62BEB">
        <w:trPr>
          <w:trHeight w:val="360"/>
        </w:trPr>
        <w:tc>
          <w:tcPr>
            <w:tcW w:w="345" w:type="dxa"/>
            <w:tcMar>
              <w:top w:w="40" w:type="dxa"/>
              <w:left w:w="40" w:type="dxa"/>
              <w:bottom w:w="40" w:type="dxa"/>
              <w:right w:w="40" w:type="dxa"/>
            </w:tcMar>
            <w:vAlign w:val="center"/>
          </w:tcPr>
          <w:p w14:paraId="0771C7AE" w14:textId="77777777" w:rsidR="006E72B5" w:rsidRPr="00653C55" w:rsidRDefault="006E72B5" w:rsidP="00DA416A">
            <w:pPr>
              <w:widowControl w:val="0"/>
              <w:jc w:val="center"/>
              <w:rPr>
                <w:sz w:val="20"/>
              </w:rPr>
            </w:pPr>
            <w:r w:rsidRPr="00653C55">
              <w:rPr>
                <w:sz w:val="20"/>
              </w:rPr>
              <w:t>6</w:t>
            </w:r>
          </w:p>
        </w:tc>
        <w:tc>
          <w:tcPr>
            <w:tcW w:w="855" w:type="dxa"/>
            <w:tcMar>
              <w:top w:w="40" w:type="dxa"/>
              <w:left w:w="40" w:type="dxa"/>
              <w:bottom w:w="40" w:type="dxa"/>
              <w:right w:w="40" w:type="dxa"/>
            </w:tcMar>
            <w:vAlign w:val="center"/>
          </w:tcPr>
          <w:p w14:paraId="33060493" w14:textId="77777777" w:rsidR="006E72B5" w:rsidRPr="00653C55" w:rsidRDefault="006E72B5" w:rsidP="00DA416A">
            <w:pPr>
              <w:widowControl w:val="0"/>
              <w:jc w:val="center"/>
              <w:rPr>
                <w:sz w:val="20"/>
              </w:rPr>
            </w:pPr>
            <w:r w:rsidRPr="00653C55">
              <w:rPr>
                <w:sz w:val="20"/>
              </w:rPr>
              <w:t>Detection bias</w:t>
            </w:r>
          </w:p>
        </w:tc>
        <w:tc>
          <w:tcPr>
            <w:tcW w:w="855" w:type="dxa"/>
            <w:tcMar>
              <w:top w:w="40" w:type="dxa"/>
              <w:left w:w="40" w:type="dxa"/>
              <w:bottom w:w="40" w:type="dxa"/>
              <w:right w:w="40" w:type="dxa"/>
            </w:tcMar>
            <w:vAlign w:val="center"/>
          </w:tcPr>
          <w:p w14:paraId="08EA553F" w14:textId="77777777" w:rsidR="006E72B5" w:rsidRPr="00653C55" w:rsidRDefault="006E72B5" w:rsidP="00DA416A">
            <w:pPr>
              <w:widowControl w:val="0"/>
              <w:jc w:val="center"/>
              <w:rPr>
                <w:sz w:val="20"/>
              </w:rPr>
            </w:pPr>
            <w:r w:rsidRPr="00653C55">
              <w:rPr>
                <w:sz w:val="20"/>
              </w:rPr>
              <w:t>Random outcome assessment</w:t>
            </w:r>
          </w:p>
        </w:tc>
        <w:tc>
          <w:tcPr>
            <w:tcW w:w="2100" w:type="dxa"/>
            <w:tcMar>
              <w:top w:w="40" w:type="dxa"/>
              <w:left w:w="40" w:type="dxa"/>
              <w:bottom w:w="40" w:type="dxa"/>
              <w:right w:w="40" w:type="dxa"/>
            </w:tcMar>
            <w:vAlign w:val="center"/>
          </w:tcPr>
          <w:p w14:paraId="20D4FD33" w14:textId="77777777" w:rsidR="006E72B5" w:rsidRPr="00653C55" w:rsidRDefault="006E72B5" w:rsidP="00DA416A">
            <w:pPr>
              <w:widowControl w:val="0"/>
              <w:jc w:val="center"/>
              <w:rPr>
                <w:sz w:val="20"/>
              </w:rPr>
            </w:pPr>
            <w:r w:rsidRPr="00653C55">
              <w:rPr>
                <w:sz w:val="20"/>
              </w:rPr>
              <w:t>Describe whether or not animals were selected at random for outcome assessment, and which methods to select the animals, if any, were used.</w:t>
            </w:r>
          </w:p>
        </w:tc>
        <w:tc>
          <w:tcPr>
            <w:tcW w:w="1800" w:type="dxa"/>
            <w:tcMar>
              <w:top w:w="40" w:type="dxa"/>
              <w:left w:w="40" w:type="dxa"/>
              <w:bottom w:w="40" w:type="dxa"/>
              <w:right w:w="40" w:type="dxa"/>
            </w:tcMar>
            <w:vAlign w:val="center"/>
          </w:tcPr>
          <w:p w14:paraId="2602408E" w14:textId="77777777" w:rsidR="006E72B5" w:rsidRPr="00653C55" w:rsidRDefault="006E72B5" w:rsidP="00DA416A">
            <w:pPr>
              <w:widowControl w:val="0"/>
              <w:jc w:val="center"/>
              <w:rPr>
                <w:sz w:val="20"/>
              </w:rPr>
            </w:pPr>
            <w:r w:rsidRPr="00653C55">
              <w:rPr>
                <w:sz w:val="20"/>
              </w:rPr>
              <w:t>Were animals selected at random for outcome assessment?</w:t>
            </w:r>
          </w:p>
        </w:tc>
        <w:tc>
          <w:tcPr>
            <w:tcW w:w="855" w:type="dxa"/>
            <w:tcMar>
              <w:top w:w="40" w:type="dxa"/>
              <w:left w:w="40" w:type="dxa"/>
              <w:bottom w:w="40" w:type="dxa"/>
              <w:right w:w="40" w:type="dxa"/>
            </w:tcMar>
            <w:vAlign w:val="center"/>
          </w:tcPr>
          <w:p w14:paraId="3F7355D0"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46AFD851"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630A6767"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212DBB4D" w14:textId="77777777" w:rsidR="006E72B5" w:rsidRPr="00653C55" w:rsidRDefault="006E72B5" w:rsidP="00DA416A">
            <w:pPr>
              <w:widowControl w:val="0"/>
              <w:jc w:val="center"/>
              <w:rPr>
                <w:sz w:val="20"/>
              </w:rPr>
            </w:pPr>
            <w:r w:rsidRPr="00653C55">
              <w:rPr>
                <w:sz w:val="20"/>
              </w:rPr>
              <w:t>UNCLEAR RISK</w:t>
            </w:r>
          </w:p>
        </w:tc>
      </w:tr>
      <w:tr w:rsidR="006E72B5" w:rsidRPr="00653C55" w14:paraId="1961A29B" w14:textId="77777777" w:rsidTr="00E62BEB">
        <w:trPr>
          <w:trHeight w:val="795"/>
        </w:trPr>
        <w:tc>
          <w:tcPr>
            <w:tcW w:w="345" w:type="dxa"/>
            <w:tcMar>
              <w:top w:w="40" w:type="dxa"/>
              <w:left w:w="40" w:type="dxa"/>
              <w:bottom w:w="40" w:type="dxa"/>
              <w:right w:w="40" w:type="dxa"/>
            </w:tcMar>
            <w:vAlign w:val="center"/>
          </w:tcPr>
          <w:p w14:paraId="65E4B06A" w14:textId="77777777" w:rsidR="006E72B5" w:rsidRPr="00653C55" w:rsidRDefault="006E72B5" w:rsidP="00DA416A">
            <w:pPr>
              <w:widowControl w:val="0"/>
              <w:jc w:val="center"/>
              <w:rPr>
                <w:sz w:val="20"/>
              </w:rPr>
            </w:pPr>
            <w:r w:rsidRPr="00653C55">
              <w:rPr>
                <w:sz w:val="20"/>
              </w:rPr>
              <w:t>7</w:t>
            </w:r>
          </w:p>
        </w:tc>
        <w:tc>
          <w:tcPr>
            <w:tcW w:w="855" w:type="dxa"/>
            <w:tcMar>
              <w:top w:w="40" w:type="dxa"/>
              <w:left w:w="40" w:type="dxa"/>
              <w:bottom w:w="40" w:type="dxa"/>
              <w:right w:w="40" w:type="dxa"/>
            </w:tcMar>
            <w:vAlign w:val="center"/>
          </w:tcPr>
          <w:p w14:paraId="1150C407" w14:textId="77777777" w:rsidR="006E72B5" w:rsidRPr="00653C55" w:rsidRDefault="006E72B5" w:rsidP="00DA416A">
            <w:pPr>
              <w:widowControl w:val="0"/>
              <w:jc w:val="center"/>
              <w:rPr>
                <w:sz w:val="20"/>
              </w:rPr>
            </w:pPr>
            <w:r w:rsidRPr="00653C55">
              <w:rPr>
                <w:sz w:val="20"/>
              </w:rPr>
              <w:t>Detection bias</w:t>
            </w:r>
          </w:p>
        </w:tc>
        <w:tc>
          <w:tcPr>
            <w:tcW w:w="855" w:type="dxa"/>
            <w:tcMar>
              <w:top w:w="40" w:type="dxa"/>
              <w:left w:w="40" w:type="dxa"/>
              <w:bottom w:w="40" w:type="dxa"/>
              <w:right w:w="40" w:type="dxa"/>
            </w:tcMar>
            <w:vAlign w:val="center"/>
          </w:tcPr>
          <w:p w14:paraId="627CFB23" w14:textId="77777777" w:rsidR="006E72B5" w:rsidRPr="00653C55" w:rsidRDefault="006E72B5" w:rsidP="00DA416A">
            <w:pPr>
              <w:widowControl w:val="0"/>
              <w:jc w:val="center"/>
              <w:rPr>
                <w:sz w:val="20"/>
              </w:rPr>
            </w:pPr>
            <w:r w:rsidRPr="00653C55">
              <w:rPr>
                <w:sz w:val="20"/>
              </w:rPr>
              <w:t>Blinding</w:t>
            </w:r>
          </w:p>
        </w:tc>
        <w:tc>
          <w:tcPr>
            <w:tcW w:w="2100" w:type="dxa"/>
            <w:tcMar>
              <w:top w:w="40" w:type="dxa"/>
              <w:left w:w="40" w:type="dxa"/>
              <w:bottom w:w="40" w:type="dxa"/>
              <w:right w:w="40" w:type="dxa"/>
            </w:tcMar>
            <w:vAlign w:val="center"/>
          </w:tcPr>
          <w:p w14:paraId="6FBB4933" w14:textId="77777777" w:rsidR="006E72B5" w:rsidRPr="00653C55" w:rsidRDefault="006E72B5" w:rsidP="00DA416A">
            <w:pPr>
              <w:widowControl w:val="0"/>
              <w:jc w:val="center"/>
              <w:rPr>
                <w:sz w:val="20"/>
              </w:rPr>
            </w:pPr>
            <w:r w:rsidRPr="00653C55">
              <w:rPr>
                <w:sz w:val="20"/>
              </w:rPr>
              <w:t>Describe all measures used, if any, to blind outcome assessors from knowing which intervention each animal received. Provide any information relating to whether the intended blinding was effective.</w:t>
            </w:r>
          </w:p>
        </w:tc>
        <w:tc>
          <w:tcPr>
            <w:tcW w:w="1800" w:type="dxa"/>
            <w:tcMar>
              <w:top w:w="40" w:type="dxa"/>
              <w:left w:w="40" w:type="dxa"/>
              <w:bottom w:w="40" w:type="dxa"/>
              <w:right w:w="40" w:type="dxa"/>
            </w:tcMar>
            <w:vAlign w:val="center"/>
          </w:tcPr>
          <w:p w14:paraId="7EF42169" w14:textId="77777777" w:rsidR="006E72B5" w:rsidRPr="00653C55" w:rsidRDefault="006E72B5" w:rsidP="00DA416A">
            <w:pPr>
              <w:widowControl w:val="0"/>
              <w:jc w:val="center"/>
              <w:rPr>
                <w:sz w:val="20"/>
              </w:rPr>
            </w:pPr>
            <w:r w:rsidRPr="00653C55">
              <w:rPr>
                <w:sz w:val="20"/>
              </w:rPr>
              <w:t>Was the outcome assessor blinded?</w:t>
            </w:r>
          </w:p>
        </w:tc>
        <w:tc>
          <w:tcPr>
            <w:tcW w:w="855" w:type="dxa"/>
            <w:tcMar>
              <w:top w:w="40" w:type="dxa"/>
              <w:left w:w="40" w:type="dxa"/>
              <w:bottom w:w="40" w:type="dxa"/>
              <w:right w:w="40" w:type="dxa"/>
            </w:tcMar>
            <w:vAlign w:val="center"/>
          </w:tcPr>
          <w:p w14:paraId="76B2AAF5"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3F5575E9"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4C993DB1"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2DE0852C" w14:textId="77777777" w:rsidR="006E72B5" w:rsidRPr="00653C55" w:rsidRDefault="006E72B5" w:rsidP="00DA416A">
            <w:pPr>
              <w:widowControl w:val="0"/>
              <w:jc w:val="center"/>
              <w:rPr>
                <w:sz w:val="20"/>
              </w:rPr>
            </w:pPr>
            <w:r w:rsidRPr="00653C55">
              <w:rPr>
                <w:sz w:val="20"/>
              </w:rPr>
              <w:t>UNCLEAR RISK</w:t>
            </w:r>
          </w:p>
        </w:tc>
      </w:tr>
      <w:tr w:rsidR="006E72B5" w:rsidRPr="00653C55" w14:paraId="3BB2FBBD" w14:textId="77777777" w:rsidTr="00E62BEB">
        <w:trPr>
          <w:trHeight w:val="989"/>
        </w:trPr>
        <w:tc>
          <w:tcPr>
            <w:tcW w:w="345" w:type="dxa"/>
            <w:tcMar>
              <w:top w:w="40" w:type="dxa"/>
              <w:left w:w="40" w:type="dxa"/>
              <w:bottom w:w="40" w:type="dxa"/>
              <w:right w:w="40" w:type="dxa"/>
            </w:tcMar>
            <w:vAlign w:val="center"/>
          </w:tcPr>
          <w:p w14:paraId="51A7E1EF" w14:textId="77777777" w:rsidR="006E72B5" w:rsidRPr="00653C55" w:rsidRDefault="006E72B5" w:rsidP="00DA416A">
            <w:pPr>
              <w:widowControl w:val="0"/>
              <w:jc w:val="center"/>
              <w:rPr>
                <w:sz w:val="20"/>
              </w:rPr>
            </w:pPr>
            <w:r w:rsidRPr="00653C55">
              <w:rPr>
                <w:sz w:val="20"/>
              </w:rPr>
              <w:t>8</w:t>
            </w:r>
          </w:p>
        </w:tc>
        <w:tc>
          <w:tcPr>
            <w:tcW w:w="855" w:type="dxa"/>
            <w:tcMar>
              <w:top w:w="40" w:type="dxa"/>
              <w:left w:w="40" w:type="dxa"/>
              <w:bottom w:w="40" w:type="dxa"/>
              <w:right w:w="40" w:type="dxa"/>
            </w:tcMar>
            <w:vAlign w:val="center"/>
          </w:tcPr>
          <w:p w14:paraId="30936E8F" w14:textId="77777777" w:rsidR="006E72B5" w:rsidRPr="00653C55" w:rsidRDefault="006E72B5" w:rsidP="00DA416A">
            <w:pPr>
              <w:widowControl w:val="0"/>
              <w:jc w:val="center"/>
              <w:rPr>
                <w:sz w:val="20"/>
              </w:rPr>
            </w:pPr>
            <w:r w:rsidRPr="00653C55">
              <w:rPr>
                <w:sz w:val="20"/>
              </w:rPr>
              <w:t>Attrition bias</w:t>
            </w:r>
          </w:p>
        </w:tc>
        <w:tc>
          <w:tcPr>
            <w:tcW w:w="855" w:type="dxa"/>
            <w:tcMar>
              <w:top w:w="40" w:type="dxa"/>
              <w:left w:w="40" w:type="dxa"/>
              <w:bottom w:w="40" w:type="dxa"/>
              <w:right w:w="40" w:type="dxa"/>
            </w:tcMar>
            <w:vAlign w:val="center"/>
          </w:tcPr>
          <w:p w14:paraId="23052A89" w14:textId="77777777" w:rsidR="006E72B5" w:rsidRPr="00653C55" w:rsidRDefault="006E72B5" w:rsidP="00DA416A">
            <w:pPr>
              <w:widowControl w:val="0"/>
              <w:jc w:val="center"/>
              <w:rPr>
                <w:sz w:val="20"/>
              </w:rPr>
            </w:pPr>
            <w:r w:rsidRPr="00653C55">
              <w:rPr>
                <w:sz w:val="20"/>
              </w:rPr>
              <w:t>Incomplete outcome data</w:t>
            </w:r>
          </w:p>
        </w:tc>
        <w:tc>
          <w:tcPr>
            <w:tcW w:w="2100" w:type="dxa"/>
            <w:tcMar>
              <w:top w:w="40" w:type="dxa"/>
              <w:left w:w="40" w:type="dxa"/>
              <w:bottom w:w="40" w:type="dxa"/>
              <w:right w:w="40" w:type="dxa"/>
            </w:tcMar>
            <w:vAlign w:val="center"/>
          </w:tcPr>
          <w:p w14:paraId="183D814B" w14:textId="77777777" w:rsidR="006E72B5" w:rsidRPr="00653C55" w:rsidRDefault="006E72B5" w:rsidP="00DA416A">
            <w:pPr>
              <w:widowControl w:val="0"/>
              <w:jc w:val="center"/>
              <w:rPr>
                <w:sz w:val="20"/>
              </w:rPr>
            </w:pPr>
            <w:r w:rsidRPr="00653C55">
              <w:rPr>
                <w:sz w:val="20"/>
              </w:rPr>
              <w:t>Describe the completeness of outcome data for each main outcome, including attrition and exclusions from the analysis. State whether attrition and exclusions were reported, the numbers in each intervention group (compared with total randomized animals), reasons for attrition or exclusions, and any re-inclusions in analyses for the review.</w:t>
            </w:r>
          </w:p>
        </w:tc>
        <w:tc>
          <w:tcPr>
            <w:tcW w:w="1800" w:type="dxa"/>
            <w:tcMar>
              <w:top w:w="40" w:type="dxa"/>
              <w:left w:w="40" w:type="dxa"/>
              <w:bottom w:w="40" w:type="dxa"/>
              <w:right w:w="40" w:type="dxa"/>
            </w:tcMar>
            <w:vAlign w:val="center"/>
          </w:tcPr>
          <w:p w14:paraId="0A95E494" w14:textId="77777777" w:rsidR="006E72B5" w:rsidRPr="00653C55" w:rsidRDefault="006E72B5" w:rsidP="00DA416A">
            <w:pPr>
              <w:widowControl w:val="0"/>
              <w:jc w:val="center"/>
              <w:rPr>
                <w:sz w:val="20"/>
              </w:rPr>
            </w:pPr>
            <w:r w:rsidRPr="00653C55">
              <w:rPr>
                <w:sz w:val="20"/>
              </w:rPr>
              <w:t>Were incomplete outcome data adequately addressed?</w:t>
            </w:r>
          </w:p>
        </w:tc>
        <w:tc>
          <w:tcPr>
            <w:tcW w:w="855" w:type="dxa"/>
            <w:tcMar>
              <w:top w:w="40" w:type="dxa"/>
              <w:left w:w="40" w:type="dxa"/>
              <w:bottom w:w="40" w:type="dxa"/>
              <w:right w:w="40" w:type="dxa"/>
            </w:tcMar>
            <w:vAlign w:val="center"/>
          </w:tcPr>
          <w:p w14:paraId="336EBC70"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A3FD0C8"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D39560F"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5BA74946" w14:textId="77777777" w:rsidR="006E72B5" w:rsidRPr="00653C55" w:rsidRDefault="006E72B5" w:rsidP="00DA416A">
            <w:pPr>
              <w:widowControl w:val="0"/>
              <w:jc w:val="center"/>
              <w:rPr>
                <w:sz w:val="20"/>
              </w:rPr>
            </w:pPr>
            <w:r w:rsidRPr="00653C55">
              <w:rPr>
                <w:sz w:val="20"/>
              </w:rPr>
              <w:t>LOW RISK</w:t>
            </w:r>
          </w:p>
        </w:tc>
      </w:tr>
      <w:tr w:rsidR="006E72B5" w:rsidRPr="00653C55" w14:paraId="5B4A0C07" w14:textId="77777777" w:rsidTr="00E62BEB">
        <w:trPr>
          <w:trHeight w:val="375"/>
        </w:trPr>
        <w:tc>
          <w:tcPr>
            <w:tcW w:w="345" w:type="dxa"/>
            <w:tcMar>
              <w:top w:w="40" w:type="dxa"/>
              <w:left w:w="40" w:type="dxa"/>
              <w:bottom w:w="40" w:type="dxa"/>
              <w:right w:w="40" w:type="dxa"/>
            </w:tcMar>
            <w:vAlign w:val="center"/>
          </w:tcPr>
          <w:p w14:paraId="5C705E6C" w14:textId="77777777" w:rsidR="006E72B5" w:rsidRPr="00653C55" w:rsidRDefault="006E72B5" w:rsidP="00DA416A">
            <w:pPr>
              <w:widowControl w:val="0"/>
              <w:jc w:val="center"/>
              <w:rPr>
                <w:sz w:val="20"/>
              </w:rPr>
            </w:pPr>
            <w:r w:rsidRPr="00653C55">
              <w:rPr>
                <w:sz w:val="20"/>
              </w:rPr>
              <w:lastRenderedPageBreak/>
              <w:t>9</w:t>
            </w:r>
          </w:p>
        </w:tc>
        <w:tc>
          <w:tcPr>
            <w:tcW w:w="855" w:type="dxa"/>
            <w:tcMar>
              <w:top w:w="40" w:type="dxa"/>
              <w:left w:w="40" w:type="dxa"/>
              <w:bottom w:w="40" w:type="dxa"/>
              <w:right w:w="40" w:type="dxa"/>
            </w:tcMar>
            <w:vAlign w:val="center"/>
          </w:tcPr>
          <w:p w14:paraId="5DE32A20" w14:textId="77777777" w:rsidR="006E72B5" w:rsidRPr="00653C55" w:rsidRDefault="006E72B5" w:rsidP="00DA416A">
            <w:pPr>
              <w:widowControl w:val="0"/>
              <w:jc w:val="center"/>
              <w:rPr>
                <w:sz w:val="20"/>
              </w:rPr>
            </w:pPr>
            <w:r w:rsidRPr="00653C55">
              <w:rPr>
                <w:sz w:val="20"/>
              </w:rPr>
              <w:t>Reporting bias</w:t>
            </w:r>
          </w:p>
        </w:tc>
        <w:tc>
          <w:tcPr>
            <w:tcW w:w="855" w:type="dxa"/>
            <w:tcMar>
              <w:top w:w="40" w:type="dxa"/>
              <w:left w:w="40" w:type="dxa"/>
              <w:bottom w:w="40" w:type="dxa"/>
              <w:right w:w="40" w:type="dxa"/>
            </w:tcMar>
            <w:vAlign w:val="center"/>
          </w:tcPr>
          <w:p w14:paraId="6ED4061B" w14:textId="77777777" w:rsidR="006E72B5" w:rsidRPr="00653C55" w:rsidRDefault="006E72B5" w:rsidP="00DA416A">
            <w:pPr>
              <w:widowControl w:val="0"/>
              <w:jc w:val="center"/>
              <w:rPr>
                <w:sz w:val="20"/>
              </w:rPr>
            </w:pPr>
            <w:r w:rsidRPr="00653C55">
              <w:rPr>
                <w:sz w:val="20"/>
              </w:rPr>
              <w:t>Selective outcome reporting</w:t>
            </w:r>
          </w:p>
        </w:tc>
        <w:tc>
          <w:tcPr>
            <w:tcW w:w="2100" w:type="dxa"/>
            <w:tcMar>
              <w:top w:w="40" w:type="dxa"/>
              <w:left w:w="40" w:type="dxa"/>
              <w:bottom w:w="40" w:type="dxa"/>
              <w:right w:w="40" w:type="dxa"/>
            </w:tcMar>
            <w:vAlign w:val="center"/>
          </w:tcPr>
          <w:p w14:paraId="56FB3D02" w14:textId="77777777" w:rsidR="006E72B5" w:rsidRPr="00653C55" w:rsidRDefault="006E72B5" w:rsidP="00DA416A">
            <w:pPr>
              <w:widowControl w:val="0"/>
              <w:jc w:val="center"/>
              <w:rPr>
                <w:sz w:val="20"/>
              </w:rPr>
            </w:pPr>
            <w:r w:rsidRPr="00653C55">
              <w:rPr>
                <w:sz w:val="20"/>
              </w:rPr>
              <w:t>State how selective outcome reporting was examined and what was found.</w:t>
            </w:r>
          </w:p>
        </w:tc>
        <w:tc>
          <w:tcPr>
            <w:tcW w:w="1800" w:type="dxa"/>
            <w:tcMar>
              <w:top w:w="40" w:type="dxa"/>
              <w:left w:w="40" w:type="dxa"/>
              <w:bottom w:w="40" w:type="dxa"/>
              <w:right w:w="40" w:type="dxa"/>
            </w:tcMar>
            <w:vAlign w:val="center"/>
          </w:tcPr>
          <w:p w14:paraId="7F6051A9" w14:textId="77777777" w:rsidR="006E72B5" w:rsidRPr="00653C55" w:rsidRDefault="006E72B5" w:rsidP="00DA416A">
            <w:pPr>
              <w:widowControl w:val="0"/>
              <w:jc w:val="center"/>
              <w:rPr>
                <w:sz w:val="20"/>
              </w:rPr>
            </w:pPr>
            <w:r w:rsidRPr="00653C55">
              <w:rPr>
                <w:sz w:val="20"/>
              </w:rPr>
              <w:t>Are reports of the study free of selective outcome reporting?</w:t>
            </w:r>
          </w:p>
        </w:tc>
        <w:tc>
          <w:tcPr>
            <w:tcW w:w="855" w:type="dxa"/>
            <w:tcMar>
              <w:top w:w="40" w:type="dxa"/>
              <w:left w:w="40" w:type="dxa"/>
              <w:bottom w:w="40" w:type="dxa"/>
              <w:right w:w="40" w:type="dxa"/>
            </w:tcMar>
            <w:vAlign w:val="center"/>
          </w:tcPr>
          <w:p w14:paraId="2D29BBBA"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3513A7D0"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4E1996DA" w14:textId="77777777" w:rsidR="006E72B5" w:rsidRPr="00653C55" w:rsidRDefault="006E72B5" w:rsidP="00DA416A">
            <w:pPr>
              <w:widowControl w:val="0"/>
              <w:jc w:val="center"/>
              <w:rPr>
                <w:sz w:val="20"/>
              </w:rPr>
            </w:pPr>
            <w:r w:rsidRPr="00653C55">
              <w:rPr>
                <w:sz w:val="20"/>
              </w:rPr>
              <w:t>LOW RISK</w:t>
            </w:r>
          </w:p>
        </w:tc>
        <w:tc>
          <w:tcPr>
            <w:tcW w:w="855" w:type="dxa"/>
            <w:tcMar>
              <w:top w:w="40" w:type="dxa"/>
              <w:left w:w="40" w:type="dxa"/>
              <w:bottom w:w="40" w:type="dxa"/>
              <w:right w:w="40" w:type="dxa"/>
            </w:tcMar>
            <w:vAlign w:val="center"/>
          </w:tcPr>
          <w:p w14:paraId="46BCFD31" w14:textId="77777777" w:rsidR="006E72B5" w:rsidRPr="00653C55" w:rsidRDefault="006E72B5" w:rsidP="00DA416A">
            <w:pPr>
              <w:widowControl w:val="0"/>
              <w:jc w:val="center"/>
              <w:rPr>
                <w:sz w:val="20"/>
              </w:rPr>
            </w:pPr>
            <w:r w:rsidRPr="00653C55">
              <w:rPr>
                <w:sz w:val="20"/>
              </w:rPr>
              <w:t>LOW RISK</w:t>
            </w:r>
          </w:p>
        </w:tc>
      </w:tr>
      <w:tr w:rsidR="006E72B5" w:rsidRPr="00653C55" w14:paraId="5D35EF46" w14:textId="77777777" w:rsidTr="00E62BEB">
        <w:trPr>
          <w:trHeight w:val="255"/>
        </w:trPr>
        <w:tc>
          <w:tcPr>
            <w:tcW w:w="345" w:type="dxa"/>
            <w:tcMar>
              <w:top w:w="40" w:type="dxa"/>
              <w:left w:w="40" w:type="dxa"/>
              <w:bottom w:w="40" w:type="dxa"/>
              <w:right w:w="40" w:type="dxa"/>
            </w:tcMar>
            <w:vAlign w:val="center"/>
          </w:tcPr>
          <w:p w14:paraId="42BC5078" w14:textId="77777777" w:rsidR="006E72B5" w:rsidRPr="00653C55" w:rsidRDefault="006E72B5" w:rsidP="00DA416A">
            <w:pPr>
              <w:widowControl w:val="0"/>
              <w:jc w:val="center"/>
              <w:rPr>
                <w:sz w:val="20"/>
              </w:rPr>
            </w:pPr>
            <w:r w:rsidRPr="00653C55">
              <w:rPr>
                <w:sz w:val="20"/>
              </w:rPr>
              <w:t>10</w:t>
            </w:r>
          </w:p>
        </w:tc>
        <w:tc>
          <w:tcPr>
            <w:tcW w:w="855" w:type="dxa"/>
            <w:tcMar>
              <w:top w:w="40" w:type="dxa"/>
              <w:left w:w="40" w:type="dxa"/>
              <w:bottom w:w="40" w:type="dxa"/>
              <w:right w:w="40" w:type="dxa"/>
            </w:tcMar>
            <w:vAlign w:val="center"/>
          </w:tcPr>
          <w:p w14:paraId="4D67E2F6" w14:textId="77777777" w:rsidR="006E72B5" w:rsidRPr="00653C55" w:rsidRDefault="006E72B5" w:rsidP="00DA416A">
            <w:pPr>
              <w:widowControl w:val="0"/>
              <w:jc w:val="center"/>
              <w:rPr>
                <w:sz w:val="20"/>
              </w:rPr>
            </w:pPr>
            <w:r w:rsidRPr="00653C55">
              <w:rPr>
                <w:sz w:val="20"/>
              </w:rPr>
              <w:t>Other</w:t>
            </w:r>
          </w:p>
        </w:tc>
        <w:tc>
          <w:tcPr>
            <w:tcW w:w="855" w:type="dxa"/>
            <w:tcMar>
              <w:top w:w="40" w:type="dxa"/>
              <w:left w:w="40" w:type="dxa"/>
              <w:bottom w:w="40" w:type="dxa"/>
              <w:right w:w="40" w:type="dxa"/>
            </w:tcMar>
            <w:vAlign w:val="center"/>
          </w:tcPr>
          <w:p w14:paraId="257AC944" w14:textId="77777777" w:rsidR="006E72B5" w:rsidRPr="00653C55" w:rsidRDefault="006E72B5" w:rsidP="00DA416A">
            <w:pPr>
              <w:widowControl w:val="0"/>
              <w:jc w:val="center"/>
              <w:rPr>
                <w:sz w:val="20"/>
              </w:rPr>
            </w:pPr>
            <w:r w:rsidRPr="00653C55">
              <w:rPr>
                <w:sz w:val="20"/>
              </w:rPr>
              <w:t>Other sources of bias</w:t>
            </w:r>
          </w:p>
        </w:tc>
        <w:tc>
          <w:tcPr>
            <w:tcW w:w="2100" w:type="dxa"/>
            <w:tcMar>
              <w:top w:w="40" w:type="dxa"/>
              <w:left w:w="40" w:type="dxa"/>
              <w:bottom w:w="40" w:type="dxa"/>
              <w:right w:w="40" w:type="dxa"/>
            </w:tcMar>
            <w:vAlign w:val="center"/>
          </w:tcPr>
          <w:p w14:paraId="7287FDA2" w14:textId="77777777" w:rsidR="006E72B5" w:rsidRPr="00653C55" w:rsidRDefault="006E72B5" w:rsidP="00DA416A">
            <w:pPr>
              <w:widowControl w:val="0"/>
              <w:jc w:val="center"/>
              <w:rPr>
                <w:sz w:val="20"/>
              </w:rPr>
            </w:pPr>
            <w:r w:rsidRPr="00653C55">
              <w:rPr>
                <w:sz w:val="20"/>
              </w:rPr>
              <w:t>State any important concerns about bias not covered by other domains in the tool.</w:t>
            </w:r>
          </w:p>
        </w:tc>
        <w:tc>
          <w:tcPr>
            <w:tcW w:w="1800" w:type="dxa"/>
            <w:tcMar>
              <w:top w:w="40" w:type="dxa"/>
              <w:left w:w="40" w:type="dxa"/>
              <w:bottom w:w="40" w:type="dxa"/>
              <w:right w:w="40" w:type="dxa"/>
            </w:tcMar>
            <w:vAlign w:val="center"/>
          </w:tcPr>
          <w:p w14:paraId="661A1813" w14:textId="77777777" w:rsidR="006E72B5" w:rsidRPr="00653C55" w:rsidRDefault="006E72B5" w:rsidP="00DA416A">
            <w:pPr>
              <w:widowControl w:val="0"/>
              <w:jc w:val="center"/>
              <w:rPr>
                <w:sz w:val="20"/>
              </w:rPr>
            </w:pPr>
            <w:r w:rsidRPr="00653C55">
              <w:rPr>
                <w:sz w:val="20"/>
              </w:rPr>
              <w:t>Was the study apparently free of other problems that could result in high risk of bias?</w:t>
            </w:r>
          </w:p>
        </w:tc>
        <w:tc>
          <w:tcPr>
            <w:tcW w:w="855" w:type="dxa"/>
            <w:tcMar>
              <w:top w:w="40" w:type="dxa"/>
              <w:left w:w="40" w:type="dxa"/>
              <w:bottom w:w="40" w:type="dxa"/>
              <w:right w:w="40" w:type="dxa"/>
            </w:tcMar>
            <w:vAlign w:val="center"/>
          </w:tcPr>
          <w:p w14:paraId="121A8438"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1E4F20BA"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5CA744E1" w14:textId="77777777" w:rsidR="006E72B5" w:rsidRPr="00653C55" w:rsidRDefault="006E72B5" w:rsidP="00DA416A">
            <w:pPr>
              <w:widowControl w:val="0"/>
              <w:jc w:val="center"/>
              <w:rPr>
                <w:sz w:val="20"/>
              </w:rPr>
            </w:pPr>
            <w:r w:rsidRPr="00653C55">
              <w:rPr>
                <w:sz w:val="20"/>
              </w:rPr>
              <w:t>UNCLEAR RISK</w:t>
            </w:r>
          </w:p>
        </w:tc>
        <w:tc>
          <w:tcPr>
            <w:tcW w:w="855" w:type="dxa"/>
            <w:tcMar>
              <w:top w:w="40" w:type="dxa"/>
              <w:left w:w="40" w:type="dxa"/>
              <w:bottom w:w="40" w:type="dxa"/>
              <w:right w:w="40" w:type="dxa"/>
            </w:tcMar>
            <w:vAlign w:val="center"/>
          </w:tcPr>
          <w:p w14:paraId="180A4641" w14:textId="77777777" w:rsidR="006E72B5" w:rsidRPr="00653C55" w:rsidRDefault="006E72B5" w:rsidP="00DA416A">
            <w:pPr>
              <w:widowControl w:val="0"/>
              <w:jc w:val="center"/>
              <w:rPr>
                <w:sz w:val="20"/>
              </w:rPr>
            </w:pPr>
            <w:r w:rsidRPr="00653C55">
              <w:rPr>
                <w:sz w:val="20"/>
              </w:rPr>
              <w:t>UNCLEAR RISK</w:t>
            </w:r>
          </w:p>
        </w:tc>
      </w:tr>
    </w:tbl>
    <w:p w14:paraId="462C335D" w14:textId="77777777" w:rsidR="00653C55" w:rsidRDefault="00653C55" w:rsidP="00653C55">
      <w:pPr>
        <w:pStyle w:val="Paragraph"/>
        <w:spacing w:before="120" w:after="200"/>
        <w:ind w:firstLine="0"/>
        <w:rPr>
          <w:sz w:val="18"/>
          <w:szCs w:val="18"/>
        </w:rPr>
      </w:pPr>
    </w:p>
    <w:p w14:paraId="33870D84" w14:textId="77777777" w:rsidR="00653C55" w:rsidRPr="004F2F24" w:rsidRDefault="00653C55" w:rsidP="00653C55">
      <w:pPr>
        <w:pStyle w:val="Paragraph"/>
        <w:spacing w:before="120" w:after="200"/>
        <w:ind w:firstLine="0"/>
        <w:rPr>
          <w:sz w:val="16"/>
          <w:szCs w:val="16"/>
        </w:rPr>
      </w:pPr>
    </w:p>
    <w:p w14:paraId="4263FA8F" w14:textId="353FD2FD" w:rsidR="007C4C6A" w:rsidRPr="004F2F24" w:rsidRDefault="003049DF" w:rsidP="007C4C6A">
      <w:pPr>
        <w:spacing w:before="120" w:after="200"/>
        <w:ind w:firstLine="288"/>
        <w:jc w:val="center"/>
        <w:rPr>
          <w:sz w:val="18"/>
          <w:szCs w:val="18"/>
        </w:rPr>
      </w:pPr>
      <w:r w:rsidRPr="004F2F24">
        <w:rPr>
          <w:b/>
          <w:sz w:val="18"/>
          <w:szCs w:val="18"/>
        </w:rPr>
        <w:t xml:space="preserve">TABLE </w:t>
      </w:r>
      <w:r w:rsidR="007C4C6A" w:rsidRPr="004F2F24">
        <w:rPr>
          <w:b/>
          <w:sz w:val="18"/>
          <w:szCs w:val="18"/>
        </w:rPr>
        <w:t>2.</w:t>
      </w:r>
      <w:r w:rsidR="007C4C6A" w:rsidRPr="004F2F24">
        <w:rPr>
          <w:sz w:val="18"/>
          <w:szCs w:val="18"/>
        </w:rPr>
        <w:t xml:space="preserve"> Result of methodological quality and risk of bias assessment of in vitro research using the</w:t>
      </w:r>
      <w:r w:rsidR="007C4C6A" w:rsidRPr="004F2F24">
        <w:rPr>
          <w:b/>
          <w:sz w:val="18"/>
          <w:szCs w:val="18"/>
        </w:rPr>
        <w:t xml:space="preserve"> </w:t>
      </w:r>
      <w:r w:rsidR="007C4C6A" w:rsidRPr="004F2F24">
        <w:rPr>
          <w:sz w:val="18"/>
          <w:szCs w:val="18"/>
        </w:rPr>
        <w:t>Quality Assessment Tool For In Vitro Studies (QUIN Tool)</w:t>
      </w:r>
      <w:r w:rsidR="007C4C6A" w:rsidRPr="004F2F24">
        <w:rPr>
          <w:b/>
          <w:sz w:val="18"/>
          <w:szCs w:val="18"/>
        </w:rPr>
        <w:t xml:space="preserve">. </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466"/>
        <w:gridCol w:w="1970"/>
        <w:gridCol w:w="882"/>
        <w:gridCol w:w="881"/>
        <w:gridCol w:w="881"/>
        <w:gridCol w:w="881"/>
        <w:gridCol w:w="881"/>
        <w:gridCol w:w="839"/>
        <w:gridCol w:w="839"/>
        <w:gridCol w:w="839"/>
      </w:tblGrid>
      <w:tr w:rsidR="007C4C6A" w:rsidRPr="00615448" w14:paraId="37548C0D" w14:textId="77777777" w:rsidTr="003049DF">
        <w:trPr>
          <w:trHeight w:val="846"/>
          <w:tblHeader/>
        </w:trPr>
        <w:tc>
          <w:tcPr>
            <w:tcW w:w="466" w:type="dxa"/>
            <w:vMerge w:val="restart"/>
            <w:tcBorders>
              <w:top w:val="single" w:sz="4" w:space="0" w:color="auto"/>
              <w:left w:val="nil"/>
              <w:bottom w:val="nil"/>
              <w:right w:val="nil"/>
            </w:tcBorders>
            <w:tcMar>
              <w:top w:w="40" w:type="dxa"/>
              <w:left w:w="40" w:type="dxa"/>
              <w:bottom w:w="40" w:type="dxa"/>
              <w:right w:w="40" w:type="dxa"/>
            </w:tcMar>
            <w:vAlign w:val="center"/>
          </w:tcPr>
          <w:p w14:paraId="4C066C55" w14:textId="77777777" w:rsidR="007C4C6A" w:rsidRPr="007C4C6A" w:rsidRDefault="007C4C6A" w:rsidP="00DA416A">
            <w:pPr>
              <w:widowControl w:val="0"/>
              <w:jc w:val="center"/>
              <w:rPr>
                <w:b/>
                <w:sz w:val="18"/>
                <w:szCs w:val="18"/>
              </w:rPr>
            </w:pPr>
            <w:r w:rsidRPr="007C4C6A">
              <w:rPr>
                <w:b/>
                <w:sz w:val="18"/>
                <w:szCs w:val="18"/>
              </w:rPr>
              <w:t>NO</w:t>
            </w:r>
          </w:p>
        </w:tc>
        <w:tc>
          <w:tcPr>
            <w:tcW w:w="1970" w:type="dxa"/>
            <w:vMerge w:val="restart"/>
            <w:tcBorders>
              <w:top w:val="single" w:sz="4" w:space="0" w:color="auto"/>
              <w:left w:val="nil"/>
              <w:bottom w:val="nil"/>
              <w:right w:val="nil"/>
            </w:tcBorders>
            <w:tcMar>
              <w:top w:w="40" w:type="dxa"/>
              <w:left w:w="40" w:type="dxa"/>
              <w:bottom w:w="40" w:type="dxa"/>
              <w:right w:w="40" w:type="dxa"/>
            </w:tcMar>
            <w:vAlign w:val="center"/>
          </w:tcPr>
          <w:p w14:paraId="2D76D890" w14:textId="77777777" w:rsidR="007C4C6A" w:rsidRPr="007C4C6A" w:rsidRDefault="007C4C6A" w:rsidP="00DA416A">
            <w:pPr>
              <w:widowControl w:val="0"/>
              <w:jc w:val="center"/>
              <w:rPr>
                <w:b/>
                <w:sz w:val="18"/>
                <w:szCs w:val="18"/>
              </w:rPr>
            </w:pPr>
            <w:r w:rsidRPr="007C4C6A">
              <w:rPr>
                <w:b/>
                <w:sz w:val="18"/>
                <w:szCs w:val="18"/>
              </w:rPr>
              <w:t>CRITERIA</w:t>
            </w:r>
          </w:p>
        </w:tc>
        <w:tc>
          <w:tcPr>
            <w:tcW w:w="1763" w:type="dxa"/>
            <w:gridSpan w:val="2"/>
            <w:tcBorders>
              <w:top w:val="single" w:sz="4" w:space="0" w:color="auto"/>
              <w:left w:val="nil"/>
              <w:bottom w:val="nil"/>
              <w:right w:val="nil"/>
            </w:tcBorders>
            <w:tcMar>
              <w:top w:w="40" w:type="dxa"/>
              <w:left w:w="40" w:type="dxa"/>
              <w:bottom w:w="40" w:type="dxa"/>
              <w:right w:w="40" w:type="dxa"/>
            </w:tcMar>
            <w:vAlign w:val="center"/>
          </w:tcPr>
          <w:p w14:paraId="435EE46E" w14:textId="77777777" w:rsidR="007C4C6A" w:rsidRPr="007C4C6A" w:rsidRDefault="007C4C6A" w:rsidP="00DA416A">
            <w:pPr>
              <w:widowControl w:val="0"/>
              <w:jc w:val="center"/>
              <w:rPr>
                <w:sz w:val="18"/>
                <w:szCs w:val="18"/>
              </w:rPr>
            </w:pPr>
            <w:r w:rsidRPr="007C4C6A">
              <w:rPr>
                <w:b/>
                <w:sz w:val="18"/>
                <w:szCs w:val="18"/>
              </w:rPr>
              <w:t>Chitosan dressings containing inorganic additives and levofloxacin as potential wound care products with enhanced hemostatic properties</w:t>
            </w:r>
          </w:p>
        </w:tc>
        <w:tc>
          <w:tcPr>
            <w:tcW w:w="1762" w:type="dxa"/>
            <w:gridSpan w:val="2"/>
            <w:tcBorders>
              <w:top w:val="single" w:sz="4" w:space="0" w:color="auto"/>
              <w:left w:val="nil"/>
              <w:bottom w:val="nil"/>
              <w:right w:val="nil"/>
            </w:tcBorders>
            <w:tcMar>
              <w:top w:w="40" w:type="dxa"/>
              <w:left w:w="40" w:type="dxa"/>
              <w:bottom w:w="40" w:type="dxa"/>
              <w:right w:w="40" w:type="dxa"/>
            </w:tcMar>
          </w:tcPr>
          <w:p w14:paraId="2A6E1AD1" w14:textId="77777777" w:rsidR="007C4C6A" w:rsidRPr="007C4C6A" w:rsidRDefault="007C4C6A" w:rsidP="00DA416A">
            <w:pPr>
              <w:widowControl w:val="0"/>
              <w:jc w:val="center"/>
              <w:rPr>
                <w:sz w:val="18"/>
                <w:szCs w:val="18"/>
              </w:rPr>
            </w:pPr>
            <w:r w:rsidRPr="007C4C6A">
              <w:rPr>
                <w:b/>
                <w:sz w:val="18"/>
                <w:szCs w:val="18"/>
              </w:rPr>
              <w:t>Comparative Evaluation of the Effectiveness of a Combination of Absorbable Gelatin Sponge and Calendula officinalis with Absorbable Gelatin Sponge Used Alone as a Hemostatic Agent—An In-Vitro Study</w:t>
            </w:r>
          </w:p>
        </w:tc>
        <w:tc>
          <w:tcPr>
            <w:tcW w:w="1720" w:type="dxa"/>
            <w:gridSpan w:val="2"/>
            <w:tcBorders>
              <w:top w:val="single" w:sz="4" w:space="0" w:color="auto"/>
              <w:left w:val="nil"/>
              <w:bottom w:val="nil"/>
              <w:right w:val="nil"/>
            </w:tcBorders>
            <w:tcMar>
              <w:top w:w="40" w:type="dxa"/>
              <w:left w:w="40" w:type="dxa"/>
              <w:bottom w:w="40" w:type="dxa"/>
              <w:right w:w="40" w:type="dxa"/>
            </w:tcMar>
            <w:vAlign w:val="center"/>
          </w:tcPr>
          <w:p w14:paraId="5D078902" w14:textId="77777777" w:rsidR="007C4C6A" w:rsidRPr="007C4C6A" w:rsidRDefault="007C4C6A" w:rsidP="00DA416A">
            <w:pPr>
              <w:widowControl w:val="0"/>
              <w:jc w:val="center"/>
              <w:rPr>
                <w:sz w:val="18"/>
                <w:szCs w:val="18"/>
              </w:rPr>
            </w:pPr>
            <w:r w:rsidRPr="007C4C6A">
              <w:rPr>
                <w:b/>
                <w:sz w:val="18"/>
                <w:szCs w:val="18"/>
              </w:rPr>
              <w:t>Pomegranate-peel-chitosan-gelatin composite: A hemostatic dental sponge with antibacterial enhancement</w:t>
            </w:r>
          </w:p>
        </w:tc>
        <w:tc>
          <w:tcPr>
            <w:tcW w:w="1678" w:type="dxa"/>
            <w:gridSpan w:val="2"/>
            <w:tcBorders>
              <w:top w:val="single" w:sz="4" w:space="0" w:color="auto"/>
              <w:left w:val="nil"/>
              <w:bottom w:val="nil"/>
              <w:right w:val="nil"/>
            </w:tcBorders>
            <w:tcMar>
              <w:top w:w="40" w:type="dxa"/>
              <w:left w:w="40" w:type="dxa"/>
              <w:bottom w:w="40" w:type="dxa"/>
              <w:right w:w="40" w:type="dxa"/>
            </w:tcMar>
            <w:vAlign w:val="center"/>
          </w:tcPr>
          <w:p w14:paraId="051FFDB4" w14:textId="77777777" w:rsidR="007C4C6A" w:rsidRPr="007C4C6A" w:rsidRDefault="007C4C6A" w:rsidP="00DA416A">
            <w:pPr>
              <w:widowControl w:val="0"/>
              <w:jc w:val="center"/>
              <w:rPr>
                <w:sz w:val="18"/>
                <w:szCs w:val="18"/>
              </w:rPr>
            </w:pPr>
            <w:r w:rsidRPr="007C4C6A">
              <w:rPr>
                <w:b/>
                <w:sz w:val="18"/>
                <w:szCs w:val="18"/>
              </w:rPr>
              <w:t xml:space="preserve">The evaluation of resorbable </w:t>
            </w:r>
            <w:proofErr w:type="spellStart"/>
            <w:r w:rsidRPr="007C4C6A">
              <w:rPr>
                <w:b/>
                <w:sz w:val="18"/>
                <w:szCs w:val="18"/>
              </w:rPr>
              <w:t>haemostatic</w:t>
            </w:r>
            <w:proofErr w:type="spellEnd"/>
            <w:r w:rsidRPr="007C4C6A">
              <w:rPr>
                <w:b/>
                <w:sz w:val="18"/>
                <w:szCs w:val="18"/>
              </w:rPr>
              <w:t xml:space="preserve"> wound dressings in contact with blood in vitro</w:t>
            </w:r>
          </w:p>
        </w:tc>
      </w:tr>
      <w:tr w:rsidR="007C4C6A" w:rsidRPr="00615448" w14:paraId="6A8066CC" w14:textId="77777777" w:rsidTr="003049DF">
        <w:trPr>
          <w:tblHeader/>
        </w:trPr>
        <w:tc>
          <w:tcPr>
            <w:tcW w:w="466" w:type="dxa"/>
            <w:vMerge/>
            <w:tcBorders>
              <w:top w:val="nil"/>
              <w:left w:val="nil"/>
              <w:bottom w:val="single" w:sz="4" w:space="0" w:color="auto"/>
              <w:right w:val="nil"/>
            </w:tcBorders>
            <w:tcMar>
              <w:top w:w="100" w:type="dxa"/>
              <w:left w:w="100" w:type="dxa"/>
              <w:bottom w:w="100" w:type="dxa"/>
              <w:right w:w="100" w:type="dxa"/>
            </w:tcMar>
          </w:tcPr>
          <w:p w14:paraId="418DA843" w14:textId="77777777" w:rsidR="007C4C6A" w:rsidRPr="007C4C6A" w:rsidRDefault="007C4C6A" w:rsidP="00DA416A">
            <w:pPr>
              <w:widowControl w:val="0"/>
              <w:rPr>
                <w:sz w:val="18"/>
                <w:szCs w:val="18"/>
              </w:rPr>
            </w:pPr>
          </w:p>
        </w:tc>
        <w:tc>
          <w:tcPr>
            <w:tcW w:w="1970" w:type="dxa"/>
            <w:vMerge/>
            <w:tcBorders>
              <w:top w:val="nil"/>
              <w:left w:val="nil"/>
              <w:bottom w:val="single" w:sz="4" w:space="0" w:color="auto"/>
              <w:right w:val="nil"/>
            </w:tcBorders>
            <w:tcMar>
              <w:top w:w="100" w:type="dxa"/>
              <w:left w:w="100" w:type="dxa"/>
              <w:bottom w:w="100" w:type="dxa"/>
              <w:right w:w="100" w:type="dxa"/>
            </w:tcMar>
          </w:tcPr>
          <w:p w14:paraId="727CEE80" w14:textId="77777777" w:rsidR="007C4C6A" w:rsidRPr="007C4C6A" w:rsidRDefault="007C4C6A" w:rsidP="00DA416A">
            <w:pPr>
              <w:widowControl w:val="0"/>
              <w:rPr>
                <w:sz w:val="18"/>
                <w:szCs w:val="18"/>
              </w:rPr>
            </w:pPr>
          </w:p>
        </w:tc>
        <w:tc>
          <w:tcPr>
            <w:tcW w:w="882" w:type="dxa"/>
            <w:tcBorders>
              <w:top w:val="nil"/>
              <w:left w:val="nil"/>
              <w:bottom w:val="single" w:sz="4" w:space="0" w:color="auto"/>
              <w:right w:val="nil"/>
            </w:tcBorders>
            <w:tcMar>
              <w:top w:w="40" w:type="dxa"/>
              <w:left w:w="40" w:type="dxa"/>
              <w:bottom w:w="40" w:type="dxa"/>
              <w:right w:w="40" w:type="dxa"/>
            </w:tcMar>
            <w:vAlign w:val="center"/>
          </w:tcPr>
          <w:p w14:paraId="3DD68E60" w14:textId="77777777" w:rsidR="007C4C6A" w:rsidRPr="007C4C6A" w:rsidRDefault="007C4C6A" w:rsidP="00DA416A">
            <w:pPr>
              <w:widowControl w:val="0"/>
              <w:jc w:val="center"/>
              <w:rPr>
                <w:sz w:val="18"/>
                <w:szCs w:val="18"/>
              </w:rPr>
            </w:pPr>
            <w:r w:rsidRPr="007C4C6A">
              <w:rPr>
                <w:b/>
                <w:sz w:val="18"/>
                <w:szCs w:val="18"/>
              </w:rPr>
              <w:t>NR</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6B20C5AD" w14:textId="77777777" w:rsidR="007C4C6A" w:rsidRPr="007C4C6A" w:rsidRDefault="007C4C6A" w:rsidP="00DA416A">
            <w:pPr>
              <w:widowControl w:val="0"/>
              <w:jc w:val="center"/>
              <w:rPr>
                <w:sz w:val="18"/>
                <w:szCs w:val="18"/>
              </w:rPr>
            </w:pPr>
            <w:r w:rsidRPr="007C4C6A">
              <w:rPr>
                <w:b/>
                <w:sz w:val="18"/>
                <w:szCs w:val="18"/>
              </w:rPr>
              <w:t>EH</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634C5EA7" w14:textId="77777777" w:rsidR="007C4C6A" w:rsidRPr="007C4C6A" w:rsidRDefault="007C4C6A" w:rsidP="00DA416A">
            <w:pPr>
              <w:widowControl w:val="0"/>
              <w:jc w:val="center"/>
              <w:rPr>
                <w:sz w:val="18"/>
                <w:szCs w:val="18"/>
              </w:rPr>
            </w:pPr>
            <w:r w:rsidRPr="007C4C6A">
              <w:rPr>
                <w:b/>
                <w:sz w:val="18"/>
                <w:szCs w:val="18"/>
              </w:rPr>
              <w:t>NR</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03D82096" w14:textId="77777777" w:rsidR="007C4C6A" w:rsidRPr="007C4C6A" w:rsidRDefault="007C4C6A" w:rsidP="00DA416A">
            <w:pPr>
              <w:widowControl w:val="0"/>
              <w:jc w:val="center"/>
              <w:rPr>
                <w:sz w:val="18"/>
                <w:szCs w:val="18"/>
              </w:rPr>
            </w:pPr>
            <w:r w:rsidRPr="007C4C6A">
              <w:rPr>
                <w:b/>
                <w:sz w:val="18"/>
                <w:szCs w:val="18"/>
              </w:rPr>
              <w:t>EH</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1566CDE5" w14:textId="77777777" w:rsidR="007C4C6A" w:rsidRPr="007C4C6A" w:rsidRDefault="007C4C6A" w:rsidP="00DA416A">
            <w:pPr>
              <w:widowControl w:val="0"/>
              <w:jc w:val="center"/>
              <w:rPr>
                <w:sz w:val="18"/>
                <w:szCs w:val="18"/>
              </w:rPr>
            </w:pPr>
            <w:r w:rsidRPr="007C4C6A">
              <w:rPr>
                <w:b/>
                <w:sz w:val="18"/>
                <w:szCs w:val="18"/>
              </w:rPr>
              <w:t>NR</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23F594E6" w14:textId="77777777" w:rsidR="007C4C6A" w:rsidRPr="007C4C6A" w:rsidRDefault="007C4C6A" w:rsidP="00DA416A">
            <w:pPr>
              <w:widowControl w:val="0"/>
              <w:jc w:val="center"/>
              <w:rPr>
                <w:sz w:val="18"/>
                <w:szCs w:val="18"/>
              </w:rPr>
            </w:pPr>
            <w:r w:rsidRPr="007C4C6A">
              <w:rPr>
                <w:b/>
                <w:sz w:val="18"/>
                <w:szCs w:val="18"/>
              </w:rPr>
              <w:t>EH</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1F5DF2B4" w14:textId="77777777" w:rsidR="007C4C6A" w:rsidRPr="007C4C6A" w:rsidRDefault="007C4C6A" w:rsidP="00DA416A">
            <w:pPr>
              <w:widowControl w:val="0"/>
              <w:jc w:val="center"/>
              <w:rPr>
                <w:sz w:val="18"/>
                <w:szCs w:val="18"/>
              </w:rPr>
            </w:pPr>
            <w:r w:rsidRPr="007C4C6A">
              <w:rPr>
                <w:b/>
                <w:sz w:val="18"/>
                <w:szCs w:val="18"/>
              </w:rPr>
              <w:t>NR</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7234B13D" w14:textId="77777777" w:rsidR="007C4C6A" w:rsidRPr="007C4C6A" w:rsidRDefault="007C4C6A" w:rsidP="00DA416A">
            <w:pPr>
              <w:widowControl w:val="0"/>
              <w:jc w:val="center"/>
              <w:rPr>
                <w:sz w:val="18"/>
                <w:szCs w:val="18"/>
              </w:rPr>
            </w:pPr>
            <w:r w:rsidRPr="007C4C6A">
              <w:rPr>
                <w:b/>
                <w:sz w:val="18"/>
                <w:szCs w:val="18"/>
              </w:rPr>
              <w:t>EH</w:t>
            </w:r>
          </w:p>
        </w:tc>
      </w:tr>
      <w:tr w:rsidR="007C4C6A" w:rsidRPr="00615448" w14:paraId="27BD0BE3" w14:textId="77777777" w:rsidTr="003049DF">
        <w:tc>
          <w:tcPr>
            <w:tcW w:w="466" w:type="dxa"/>
            <w:tcBorders>
              <w:top w:val="single" w:sz="4" w:space="0" w:color="auto"/>
              <w:left w:val="nil"/>
              <w:bottom w:val="nil"/>
              <w:right w:val="nil"/>
            </w:tcBorders>
            <w:tcMar>
              <w:top w:w="40" w:type="dxa"/>
              <w:left w:w="40" w:type="dxa"/>
              <w:bottom w:w="40" w:type="dxa"/>
              <w:right w:w="40" w:type="dxa"/>
            </w:tcMar>
            <w:vAlign w:val="center"/>
          </w:tcPr>
          <w:p w14:paraId="5AF480D7" w14:textId="77777777" w:rsidR="007C4C6A" w:rsidRPr="007C4C6A" w:rsidRDefault="007C4C6A" w:rsidP="00DA416A">
            <w:pPr>
              <w:widowControl w:val="0"/>
              <w:jc w:val="center"/>
              <w:rPr>
                <w:sz w:val="20"/>
              </w:rPr>
            </w:pPr>
            <w:r w:rsidRPr="007C4C6A">
              <w:rPr>
                <w:sz w:val="20"/>
              </w:rPr>
              <w:t>1</w:t>
            </w:r>
          </w:p>
        </w:tc>
        <w:tc>
          <w:tcPr>
            <w:tcW w:w="1970" w:type="dxa"/>
            <w:tcBorders>
              <w:top w:val="single" w:sz="4" w:space="0" w:color="auto"/>
              <w:left w:val="nil"/>
              <w:bottom w:val="nil"/>
              <w:right w:val="nil"/>
            </w:tcBorders>
            <w:tcMar>
              <w:top w:w="40" w:type="dxa"/>
              <w:left w:w="40" w:type="dxa"/>
              <w:bottom w:w="40" w:type="dxa"/>
              <w:right w:w="40" w:type="dxa"/>
            </w:tcMar>
            <w:vAlign w:val="center"/>
          </w:tcPr>
          <w:p w14:paraId="70FFA50C" w14:textId="77777777" w:rsidR="007C4C6A" w:rsidRPr="007C4C6A" w:rsidRDefault="007C4C6A" w:rsidP="00DA416A">
            <w:pPr>
              <w:widowControl w:val="0"/>
              <w:rPr>
                <w:sz w:val="20"/>
              </w:rPr>
            </w:pPr>
            <w:r w:rsidRPr="007C4C6A">
              <w:rPr>
                <w:sz w:val="20"/>
              </w:rPr>
              <w:t>Clearly stated aims / objectives</w:t>
            </w:r>
          </w:p>
        </w:tc>
        <w:tc>
          <w:tcPr>
            <w:tcW w:w="882" w:type="dxa"/>
            <w:tcBorders>
              <w:top w:val="single" w:sz="4" w:space="0" w:color="auto"/>
              <w:left w:val="nil"/>
              <w:bottom w:val="nil"/>
              <w:right w:val="nil"/>
            </w:tcBorders>
            <w:tcMar>
              <w:top w:w="40" w:type="dxa"/>
              <w:left w:w="40" w:type="dxa"/>
              <w:bottom w:w="40" w:type="dxa"/>
              <w:right w:w="40" w:type="dxa"/>
            </w:tcMar>
            <w:vAlign w:val="center"/>
          </w:tcPr>
          <w:p w14:paraId="1A6BC19C" w14:textId="77777777" w:rsidR="007C4C6A" w:rsidRPr="007C4C6A" w:rsidRDefault="007C4C6A" w:rsidP="00DA416A">
            <w:pPr>
              <w:widowControl w:val="0"/>
              <w:jc w:val="center"/>
              <w:rPr>
                <w:sz w:val="20"/>
              </w:rPr>
            </w:pPr>
            <w:r w:rsidRPr="007C4C6A">
              <w:rPr>
                <w:sz w:val="20"/>
              </w:rPr>
              <w:t>1</w:t>
            </w:r>
          </w:p>
        </w:tc>
        <w:tc>
          <w:tcPr>
            <w:tcW w:w="881" w:type="dxa"/>
            <w:tcBorders>
              <w:top w:val="single" w:sz="4" w:space="0" w:color="auto"/>
              <w:left w:val="nil"/>
              <w:bottom w:val="nil"/>
              <w:right w:val="nil"/>
            </w:tcBorders>
            <w:tcMar>
              <w:top w:w="40" w:type="dxa"/>
              <w:left w:w="40" w:type="dxa"/>
              <w:bottom w:w="40" w:type="dxa"/>
              <w:right w:w="40" w:type="dxa"/>
            </w:tcMar>
            <w:vAlign w:val="center"/>
          </w:tcPr>
          <w:p w14:paraId="32EF4814" w14:textId="77777777" w:rsidR="007C4C6A" w:rsidRPr="007C4C6A" w:rsidRDefault="007C4C6A" w:rsidP="00DA416A">
            <w:pPr>
              <w:widowControl w:val="0"/>
              <w:jc w:val="center"/>
              <w:rPr>
                <w:sz w:val="20"/>
              </w:rPr>
            </w:pPr>
            <w:r w:rsidRPr="007C4C6A">
              <w:rPr>
                <w:sz w:val="20"/>
              </w:rPr>
              <w:t>0</w:t>
            </w:r>
          </w:p>
        </w:tc>
        <w:tc>
          <w:tcPr>
            <w:tcW w:w="881" w:type="dxa"/>
            <w:tcBorders>
              <w:top w:val="single" w:sz="4" w:space="0" w:color="auto"/>
              <w:left w:val="nil"/>
              <w:bottom w:val="nil"/>
              <w:right w:val="nil"/>
            </w:tcBorders>
            <w:tcMar>
              <w:top w:w="40" w:type="dxa"/>
              <w:left w:w="40" w:type="dxa"/>
              <w:bottom w:w="40" w:type="dxa"/>
              <w:right w:w="40" w:type="dxa"/>
            </w:tcMar>
            <w:vAlign w:val="center"/>
          </w:tcPr>
          <w:p w14:paraId="20ACE8E8" w14:textId="77777777" w:rsidR="007C4C6A" w:rsidRPr="007C4C6A" w:rsidRDefault="007C4C6A" w:rsidP="00DA416A">
            <w:pPr>
              <w:widowControl w:val="0"/>
              <w:jc w:val="center"/>
              <w:rPr>
                <w:sz w:val="20"/>
              </w:rPr>
            </w:pPr>
            <w:r w:rsidRPr="007C4C6A">
              <w:rPr>
                <w:sz w:val="20"/>
              </w:rPr>
              <w:t>2</w:t>
            </w:r>
          </w:p>
        </w:tc>
        <w:tc>
          <w:tcPr>
            <w:tcW w:w="881" w:type="dxa"/>
            <w:tcBorders>
              <w:top w:val="single" w:sz="4" w:space="0" w:color="auto"/>
              <w:left w:val="nil"/>
              <w:bottom w:val="nil"/>
              <w:right w:val="nil"/>
            </w:tcBorders>
            <w:tcMar>
              <w:top w:w="40" w:type="dxa"/>
              <w:left w:w="40" w:type="dxa"/>
              <w:bottom w:w="40" w:type="dxa"/>
              <w:right w:w="40" w:type="dxa"/>
            </w:tcMar>
            <w:vAlign w:val="center"/>
          </w:tcPr>
          <w:p w14:paraId="246FC441" w14:textId="77777777" w:rsidR="007C4C6A" w:rsidRPr="007C4C6A" w:rsidRDefault="007C4C6A" w:rsidP="00DA416A">
            <w:pPr>
              <w:widowControl w:val="0"/>
              <w:jc w:val="center"/>
              <w:rPr>
                <w:sz w:val="20"/>
              </w:rPr>
            </w:pPr>
            <w:r w:rsidRPr="007C4C6A">
              <w:rPr>
                <w:sz w:val="20"/>
              </w:rPr>
              <w:t>2</w:t>
            </w:r>
          </w:p>
        </w:tc>
        <w:tc>
          <w:tcPr>
            <w:tcW w:w="881" w:type="dxa"/>
            <w:tcBorders>
              <w:top w:val="single" w:sz="4" w:space="0" w:color="auto"/>
              <w:left w:val="nil"/>
              <w:bottom w:val="nil"/>
              <w:right w:val="nil"/>
            </w:tcBorders>
            <w:tcMar>
              <w:top w:w="40" w:type="dxa"/>
              <w:left w:w="40" w:type="dxa"/>
              <w:bottom w:w="40" w:type="dxa"/>
              <w:right w:w="40" w:type="dxa"/>
            </w:tcMar>
            <w:vAlign w:val="center"/>
          </w:tcPr>
          <w:p w14:paraId="6EC8BF63" w14:textId="77777777" w:rsidR="007C4C6A" w:rsidRPr="007C4C6A" w:rsidRDefault="007C4C6A" w:rsidP="00DA416A">
            <w:pPr>
              <w:widowControl w:val="0"/>
              <w:jc w:val="center"/>
              <w:rPr>
                <w:sz w:val="20"/>
              </w:rPr>
            </w:pPr>
            <w:r w:rsidRPr="007C4C6A">
              <w:rPr>
                <w:sz w:val="20"/>
              </w:rPr>
              <w:t>1</w:t>
            </w:r>
          </w:p>
        </w:tc>
        <w:tc>
          <w:tcPr>
            <w:tcW w:w="839" w:type="dxa"/>
            <w:tcBorders>
              <w:top w:val="single" w:sz="4" w:space="0" w:color="auto"/>
              <w:left w:val="nil"/>
              <w:bottom w:val="nil"/>
              <w:right w:val="nil"/>
            </w:tcBorders>
            <w:tcMar>
              <w:top w:w="40" w:type="dxa"/>
              <w:left w:w="40" w:type="dxa"/>
              <w:bottom w:w="40" w:type="dxa"/>
              <w:right w:w="40" w:type="dxa"/>
            </w:tcMar>
            <w:vAlign w:val="center"/>
          </w:tcPr>
          <w:p w14:paraId="266327A3" w14:textId="77777777" w:rsidR="007C4C6A" w:rsidRPr="007C4C6A" w:rsidRDefault="007C4C6A" w:rsidP="00DA416A">
            <w:pPr>
              <w:widowControl w:val="0"/>
              <w:jc w:val="center"/>
              <w:rPr>
                <w:sz w:val="20"/>
              </w:rPr>
            </w:pPr>
            <w:r w:rsidRPr="007C4C6A">
              <w:rPr>
                <w:sz w:val="20"/>
              </w:rPr>
              <w:t>0</w:t>
            </w:r>
          </w:p>
        </w:tc>
        <w:tc>
          <w:tcPr>
            <w:tcW w:w="839" w:type="dxa"/>
            <w:tcBorders>
              <w:top w:val="single" w:sz="4" w:space="0" w:color="auto"/>
              <w:left w:val="nil"/>
              <w:bottom w:val="nil"/>
              <w:right w:val="nil"/>
            </w:tcBorders>
            <w:tcMar>
              <w:top w:w="40" w:type="dxa"/>
              <w:left w:w="40" w:type="dxa"/>
              <w:bottom w:w="40" w:type="dxa"/>
              <w:right w:w="40" w:type="dxa"/>
            </w:tcMar>
            <w:vAlign w:val="center"/>
          </w:tcPr>
          <w:p w14:paraId="44F456A1" w14:textId="77777777" w:rsidR="007C4C6A" w:rsidRPr="007C4C6A" w:rsidRDefault="007C4C6A" w:rsidP="00DA416A">
            <w:pPr>
              <w:widowControl w:val="0"/>
              <w:jc w:val="center"/>
              <w:rPr>
                <w:sz w:val="20"/>
              </w:rPr>
            </w:pPr>
            <w:r w:rsidRPr="007C4C6A">
              <w:rPr>
                <w:sz w:val="20"/>
              </w:rPr>
              <w:t>2</w:t>
            </w:r>
          </w:p>
        </w:tc>
        <w:tc>
          <w:tcPr>
            <w:tcW w:w="839" w:type="dxa"/>
            <w:tcBorders>
              <w:top w:val="single" w:sz="4" w:space="0" w:color="auto"/>
              <w:left w:val="nil"/>
              <w:bottom w:val="nil"/>
              <w:right w:val="nil"/>
            </w:tcBorders>
            <w:tcMar>
              <w:top w:w="40" w:type="dxa"/>
              <w:left w:w="40" w:type="dxa"/>
              <w:bottom w:w="40" w:type="dxa"/>
              <w:right w:w="40" w:type="dxa"/>
            </w:tcMar>
            <w:vAlign w:val="center"/>
          </w:tcPr>
          <w:p w14:paraId="6CAC4417" w14:textId="77777777" w:rsidR="007C4C6A" w:rsidRPr="007C4C6A" w:rsidRDefault="007C4C6A" w:rsidP="00DA416A">
            <w:pPr>
              <w:widowControl w:val="0"/>
              <w:jc w:val="center"/>
              <w:rPr>
                <w:sz w:val="20"/>
              </w:rPr>
            </w:pPr>
            <w:r w:rsidRPr="007C4C6A">
              <w:rPr>
                <w:sz w:val="20"/>
              </w:rPr>
              <w:t>2</w:t>
            </w:r>
          </w:p>
        </w:tc>
      </w:tr>
      <w:tr w:rsidR="007C4C6A" w:rsidRPr="00615448" w14:paraId="10CF715B" w14:textId="77777777" w:rsidTr="003049DF">
        <w:trPr>
          <w:trHeight w:val="135"/>
        </w:trPr>
        <w:tc>
          <w:tcPr>
            <w:tcW w:w="466" w:type="dxa"/>
            <w:tcBorders>
              <w:top w:val="nil"/>
              <w:left w:val="nil"/>
              <w:bottom w:val="nil"/>
              <w:right w:val="nil"/>
            </w:tcBorders>
            <w:tcMar>
              <w:top w:w="40" w:type="dxa"/>
              <w:left w:w="40" w:type="dxa"/>
              <w:bottom w:w="40" w:type="dxa"/>
              <w:right w:w="40" w:type="dxa"/>
            </w:tcMar>
            <w:vAlign w:val="center"/>
          </w:tcPr>
          <w:p w14:paraId="1A7DBBBD" w14:textId="77777777" w:rsidR="007C4C6A" w:rsidRPr="007C4C6A" w:rsidRDefault="007C4C6A" w:rsidP="00DA416A">
            <w:pPr>
              <w:widowControl w:val="0"/>
              <w:jc w:val="center"/>
              <w:rPr>
                <w:sz w:val="20"/>
              </w:rPr>
            </w:pPr>
            <w:r w:rsidRPr="007C4C6A">
              <w:rPr>
                <w:sz w:val="20"/>
              </w:rPr>
              <w:t>2</w:t>
            </w:r>
          </w:p>
        </w:tc>
        <w:tc>
          <w:tcPr>
            <w:tcW w:w="1970" w:type="dxa"/>
            <w:tcBorders>
              <w:top w:val="nil"/>
              <w:left w:val="nil"/>
              <w:bottom w:val="nil"/>
              <w:right w:val="nil"/>
            </w:tcBorders>
            <w:tcMar>
              <w:top w:w="40" w:type="dxa"/>
              <w:left w:w="40" w:type="dxa"/>
              <w:bottom w:w="40" w:type="dxa"/>
              <w:right w:w="40" w:type="dxa"/>
            </w:tcMar>
            <w:vAlign w:val="center"/>
          </w:tcPr>
          <w:p w14:paraId="649804F2" w14:textId="77777777" w:rsidR="007C4C6A" w:rsidRPr="007C4C6A" w:rsidRDefault="007C4C6A" w:rsidP="00DA416A">
            <w:pPr>
              <w:widowControl w:val="0"/>
              <w:rPr>
                <w:sz w:val="20"/>
              </w:rPr>
            </w:pPr>
            <w:r w:rsidRPr="007C4C6A">
              <w:rPr>
                <w:sz w:val="20"/>
              </w:rPr>
              <w:t>Detailed explanation of sample size calculation</w:t>
            </w:r>
          </w:p>
        </w:tc>
        <w:tc>
          <w:tcPr>
            <w:tcW w:w="882" w:type="dxa"/>
            <w:tcBorders>
              <w:top w:val="nil"/>
              <w:left w:val="nil"/>
              <w:bottom w:val="nil"/>
              <w:right w:val="nil"/>
            </w:tcBorders>
            <w:tcMar>
              <w:top w:w="40" w:type="dxa"/>
              <w:left w:w="40" w:type="dxa"/>
              <w:bottom w:w="40" w:type="dxa"/>
              <w:right w:w="40" w:type="dxa"/>
            </w:tcMar>
            <w:vAlign w:val="center"/>
          </w:tcPr>
          <w:p w14:paraId="3702961A"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79452348"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6C677811"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58760834"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43259F9D" w14:textId="77777777" w:rsidR="007C4C6A" w:rsidRPr="007C4C6A" w:rsidRDefault="007C4C6A" w:rsidP="00DA416A">
            <w:pPr>
              <w:widowControl w:val="0"/>
              <w:jc w:val="center"/>
              <w:rPr>
                <w:sz w:val="20"/>
              </w:rPr>
            </w:pPr>
            <w:r w:rsidRPr="007C4C6A">
              <w:rPr>
                <w:sz w:val="20"/>
              </w:rPr>
              <w:t>1</w:t>
            </w:r>
          </w:p>
        </w:tc>
        <w:tc>
          <w:tcPr>
            <w:tcW w:w="839" w:type="dxa"/>
            <w:tcBorders>
              <w:top w:val="nil"/>
              <w:left w:val="nil"/>
              <w:bottom w:val="nil"/>
              <w:right w:val="nil"/>
            </w:tcBorders>
            <w:tcMar>
              <w:top w:w="40" w:type="dxa"/>
              <w:left w:w="40" w:type="dxa"/>
              <w:bottom w:w="40" w:type="dxa"/>
              <w:right w:w="40" w:type="dxa"/>
            </w:tcMar>
            <w:vAlign w:val="center"/>
          </w:tcPr>
          <w:p w14:paraId="15691305" w14:textId="77777777" w:rsidR="007C4C6A" w:rsidRPr="007C4C6A" w:rsidRDefault="007C4C6A" w:rsidP="00DA416A">
            <w:pPr>
              <w:widowControl w:val="0"/>
              <w:jc w:val="center"/>
              <w:rPr>
                <w:sz w:val="20"/>
              </w:rPr>
            </w:pPr>
            <w:r w:rsidRPr="007C4C6A">
              <w:rPr>
                <w:sz w:val="20"/>
              </w:rPr>
              <w:t>1</w:t>
            </w:r>
          </w:p>
        </w:tc>
        <w:tc>
          <w:tcPr>
            <w:tcW w:w="839" w:type="dxa"/>
            <w:tcBorders>
              <w:top w:val="nil"/>
              <w:left w:val="nil"/>
              <w:bottom w:val="nil"/>
              <w:right w:val="nil"/>
            </w:tcBorders>
            <w:tcMar>
              <w:top w:w="40" w:type="dxa"/>
              <w:left w:w="40" w:type="dxa"/>
              <w:bottom w:w="40" w:type="dxa"/>
              <w:right w:w="40" w:type="dxa"/>
            </w:tcMar>
            <w:vAlign w:val="center"/>
          </w:tcPr>
          <w:p w14:paraId="7B0B5724" w14:textId="77777777" w:rsidR="007C4C6A" w:rsidRPr="007C4C6A" w:rsidRDefault="007C4C6A" w:rsidP="00DA416A">
            <w:pPr>
              <w:widowControl w:val="0"/>
              <w:jc w:val="center"/>
              <w:rPr>
                <w:sz w:val="20"/>
              </w:rPr>
            </w:pPr>
            <w:r w:rsidRPr="007C4C6A">
              <w:rPr>
                <w:sz w:val="20"/>
              </w:rPr>
              <w:t>0</w:t>
            </w:r>
          </w:p>
        </w:tc>
        <w:tc>
          <w:tcPr>
            <w:tcW w:w="839" w:type="dxa"/>
            <w:tcBorders>
              <w:top w:val="nil"/>
              <w:left w:val="nil"/>
              <w:bottom w:val="nil"/>
              <w:right w:val="nil"/>
            </w:tcBorders>
            <w:tcMar>
              <w:top w:w="40" w:type="dxa"/>
              <w:left w:w="40" w:type="dxa"/>
              <w:bottom w:w="40" w:type="dxa"/>
              <w:right w:w="40" w:type="dxa"/>
            </w:tcMar>
            <w:vAlign w:val="center"/>
          </w:tcPr>
          <w:p w14:paraId="7D1B0659" w14:textId="77777777" w:rsidR="007C4C6A" w:rsidRPr="007C4C6A" w:rsidRDefault="007C4C6A" w:rsidP="00DA416A">
            <w:pPr>
              <w:widowControl w:val="0"/>
              <w:jc w:val="center"/>
              <w:rPr>
                <w:sz w:val="20"/>
              </w:rPr>
            </w:pPr>
            <w:r w:rsidRPr="007C4C6A">
              <w:rPr>
                <w:sz w:val="20"/>
              </w:rPr>
              <w:t>0</w:t>
            </w:r>
          </w:p>
        </w:tc>
      </w:tr>
      <w:tr w:rsidR="007C4C6A" w:rsidRPr="00615448" w14:paraId="61F06F4D" w14:textId="77777777" w:rsidTr="003049DF">
        <w:tc>
          <w:tcPr>
            <w:tcW w:w="466" w:type="dxa"/>
            <w:tcBorders>
              <w:top w:val="nil"/>
              <w:left w:val="nil"/>
              <w:bottom w:val="nil"/>
              <w:right w:val="nil"/>
            </w:tcBorders>
            <w:tcMar>
              <w:top w:w="40" w:type="dxa"/>
              <w:left w:w="40" w:type="dxa"/>
              <w:bottom w:w="40" w:type="dxa"/>
              <w:right w:w="40" w:type="dxa"/>
            </w:tcMar>
            <w:vAlign w:val="center"/>
          </w:tcPr>
          <w:p w14:paraId="013C6EA1" w14:textId="77777777" w:rsidR="007C4C6A" w:rsidRPr="007C4C6A" w:rsidRDefault="007C4C6A" w:rsidP="00DA416A">
            <w:pPr>
              <w:widowControl w:val="0"/>
              <w:jc w:val="center"/>
              <w:rPr>
                <w:sz w:val="20"/>
              </w:rPr>
            </w:pPr>
            <w:r w:rsidRPr="007C4C6A">
              <w:rPr>
                <w:sz w:val="20"/>
              </w:rPr>
              <w:t>3</w:t>
            </w:r>
          </w:p>
        </w:tc>
        <w:tc>
          <w:tcPr>
            <w:tcW w:w="1970" w:type="dxa"/>
            <w:tcBorders>
              <w:top w:val="nil"/>
              <w:left w:val="nil"/>
              <w:bottom w:val="nil"/>
              <w:right w:val="nil"/>
            </w:tcBorders>
            <w:tcMar>
              <w:top w:w="40" w:type="dxa"/>
              <w:left w:w="40" w:type="dxa"/>
              <w:bottom w:w="40" w:type="dxa"/>
              <w:right w:w="40" w:type="dxa"/>
            </w:tcMar>
            <w:vAlign w:val="center"/>
          </w:tcPr>
          <w:p w14:paraId="066CBD4E" w14:textId="77777777" w:rsidR="007C4C6A" w:rsidRPr="007C4C6A" w:rsidRDefault="007C4C6A" w:rsidP="00DA416A">
            <w:pPr>
              <w:widowControl w:val="0"/>
              <w:rPr>
                <w:sz w:val="20"/>
              </w:rPr>
            </w:pPr>
            <w:r w:rsidRPr="007C4C6A">
              <w:rPr>
                <w:sz w:val="20"/>
              </w:rPr>
              <w:t>Detailed explanation of sampling technique</w:t>
            </w:r>
          </w:p>
        </w:tc>
        <w:tc>
          <w:tcPr>
            <w:tcW w:w="882" w:type="dxa"/>
            <w:tcBorders>
              <w:top w:val="nil"/>
              <w:left w:val="nil"/>
              <w:bottom w:val="nil"/>
              <w:right w:val="nil"/>
            </w:tcBorders>
            <w:tcMar>
              <w:top w:w="40" w:type="dxa"/>
              <w:left w:w="40" w:type="dxa"/>
              <w:bottom w:w="40" w:type="dxa"/>
              <w:right w:w="40" w:type="dxa"/>
            </w:tcMar>
            <w:vAlign w:val="center"/>
          </w:tcPr>
          <w:p w14:paraId="14A71043"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68279EC8"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53034151"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EEDAA99"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EB6982F"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7DF90C6D"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565EAB21"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08D802CF" w14:textId="77777777" w:rsidR="007C4C6A" w:rsidRPr="007C4C6A" w:rsidRDefault="007C4C6A" w:rsidP="00DA416A">
            <w:pPr>
              <w:widowControl w:val="0"/>
              <w:jc w:val="center"/>
              <w:rPr>
                <w:sz w:val="20"/>
              </w:rPr>
            </w:pPr>
            <w:r w:rsidRPr="007C4C6A">
              <w:rPr>
                <w:sz w:val="20"/>
              </w:rPr>
              <w:t>-</w:t>
            </w:r>
          </w:p>
        </w:tc>
      </w:tr>
      <w:tr w:rsidR="007C4C6A" w:rsidRPr="00615448" w14:paraId="2C7A95CE" w14:textId="77777777" w:rsidTr="003049DF">
        <w:tc>
          <w:tcPr>
            <w:tcW w:w="466" w:type="dxa"/>
            <w:tcBorders>
              <w:top w:val="nil"/>
              <w:left w:val="nil"/>
              <w:bottom w:val="nil"/>
              <w:right w:val="nil"/>
            </w:tcBorders>
            <w:tcMar>
              <w:top w:w="40" w:type="dxa"/>
              <w:left w:w="40" w:type="dxa"/>
              <w:bottom w:w="40" w:type="dxa"/>
              <w:right w:w="40" w:type="dxa"/>
            </w:tcMar>
            <w:vAlign w:val="center"/>
          </w:tcPr>
          <w:p w14:paraId="5FEACE56" w14:textId="77777777" w:rsidR="007C4C6A" w:rsidRPr="007C4C6A" w:rsidRDefault="007C4C6A" w:rsidP="00DA416A">
            <w:pPr>
              <w:widowControl w:val="0"/>
              <w:jc w:val="center"/>
              <w:rPr>
                <w:sz w:val="20"/>
              </w:rPr>
            </w:pPr>
            <w:r w:rsidRPr="007C4C6A">
              <w:rPr>
                <w:sz w:val="20"/>
              </w:rPr>
              <w:t>4</w:t>
            </w:r>
          </w:p>
        </w:tc>
        <w:tc>
          <w:tcPr>
            <w:tcW w:w="1970" w:type="dxa"/>
            <w:tcBorders>
              <w:top w:val="nil"/>
              <w:left w:val="nil"/>
              <w:bottom w:val="nil"/>
              <w:right w:val="nil"/>
            </w:tcBorders>
            <w:tcMar>
              <w:top w:w="40" w:type="dxa"/>
              <w:left w:w="40" w:type="dxa"/>
              <w:bottom w:w="40" w:type="dxa"/>
              <w:right w:w="40" w:type="dxa"/>
            </w:tcMar>
            <w:vAlign w:val="center"/>
          </w:tcPr>
          <w:p w14:paraId="4DFAB2A0" w14:textId="77777777" w:rsidR="007C4C6A" w:rsidRPr="007C4C6A" w:rsidRDefault="007C4C6A" w:rsidP="00DA416A">
            <w:pPr>
              <w:widowControl w:val="0"/>
              <w:rPr>
                <w:sz w:val="20"/>
              </w:rPr>
            </w:pPr>
            <w:r w:rsidRPr="007C4C6A">
              <w:rPr>
                <w:sz w:val="20"/>
              </w:rPr>
              <w:t>Details of comparison group</w:t>
            </w:r>
          </w:p>
        </w:tc>
        <w:tc>
          <w:tcPr>
            <w:tcW w:w="882" w:type="dxa"/>
            <w:tcBorders>
              <w:top w:val="nil"/>
              <w:left w:val="nil"/>
              <w:bottom w:val="nil"/>
              <w:right w:val="nil"/>
            </w:tcBorders>
            <w:tcMar>
              <w:top w:w="40" w:type="dxa"/>
              <w:left w:w="40" w:type="dxa"/>
              <w:bottom w:w="40" w:type="dxa"/>
              <w:right w:w="40" w:type="dxa"/>
            </w:tcMar>
            <w:vAlign w:val="center"/>
          </w:tcPr>
          <w:p w14:paraId="25A387DB"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0D9FAD56"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41C96860"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66B60430"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6FCB930E"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6FD57652"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6B2919E7" w14:textId="77777777" w:rsidR="007C4C6A" w:rsidRPr="007C4C6A" w:rsidRDefault="007C4C6A" w:rsidP="00DA416A">
            <w:pPr>
              <w:widowControl w:val="0"/>
              <w:jc w:val="center"/>
              <w:rPr>
                <w:sz w:val="20"/>
              </w:rPr>
            </w:pPr>
            <w:r w:rsidRPr="007C4C6A">
              <w:rPr>
                <w:sz w:val="20"/>
              </w:rPr>
              <w:t>1</w:t>
            </w:r>
          </w:p>
        </w:tc>
        <w:tc>
          <w:tcPr>
            <w:tcW w:w="839" w:type="dxa"/>
            <w:tcBorders>
              <w:top w:val="nil"/>
              <w:left w:val="nil"/>
              <w:bottom w:val="nil"/>
              <w:right w:val="nil"/>
            </w:tcBorders>
            <w:tcMar>
              <w:top w:w="40" w:type="dxa"/>
              <w:left w:w="40" w:type="dxa"/>
              <w:bottom w:w="40" w:type="dxa"/>
              <w:right w:w="40" w:type="dxa"/>
            </w:tcMar>
            <w:vAlign w:val="center"/>
          </w:tcPr>
          <w:p w14:paraId="22D3A556" w14:textId="77777777" w:rsidR="007C4C6A" w:rsidRPr="007C4C6A" w:rsidRDefault="007C4C6A" w:rsidP="00DA416A">
            <w:pPr>
              <w:widowControl w:val="0"/>
              <w:jc w:val="center"/>
              <w:rPr>
                <w:sz w:val="20"/>
              </w:rPr>
            </w:pPr>
            <w:r w:rsidRPr="007C4C6A">
              <w:rPr>
                <w:sz w:val="20"/>
              </w:rPr>
              <w:t>1</w:t>
            </w:r>
          </w:p>
        </w:tc>
      </w:tr>
      <w:tr w:rsidR="007C4C6A" w:rsidRPr="00615448" w14:paraId="55CE1642" w14:textId="77777777" w:rsidTr="003049DF">
        <w:tc>
          <w:tcPr>
            <w:tcW w:w="466" w:type="dxa"/>
            <w:tcBorders>
              <w:top w:val="nil"/>
              <w:left w:val="nil"/>
              <w:bottom w:val="nil"/>
              <w:right w:val="nil"/>
            </w:tcBorders>
            <w:tcMar>
              <w:top w:w="40" w:type="dxa"/>
              <w:left w:w="40" w:type="dxa"/>
              <w:bottom w:w="40" w:type="dxa"/>
              <w:right w:w="40" w:type="dxa"/>
            </w:tcMar>
            <w:vAlign w:val="center"/>
          </w:tcPr>
          <w:p w14:paraId="75D1D733" w14:textId="77777777" w:rsidR="007C4C6A" w:rsidRPr="007C4C6A" w:rsidRDefault="007C4C6A" w:rsidP="00DA416A">
            <w:pPr>
              <w:widowControl w:val="0"/>
              <w:jc w:val="center"/>
              <w:rPr>
                <w:sz w:val="20"/>
              </w:rPr>
            </w:pPr>
            <w:r w:rsidRPr="007C4C6A">
              <w:rPr>
                <w:sz w:val="20"/>
              </w:rPr>
              <w:t>5</w:t>
            </w:r>
          </w:p>
        </w:tc>
        <w:tc>
          <w:tcPr>
            <w:tcW w:w="1970" w:type="dxa"/>
            <w:tcBorders>
              <w:top w:val="nil"/>
              <w:left w:val="nil"/>
              <w:bottom w:val="nil"/>
              <w:right w:val="nil"/>
            </w:tcBorders>
            <w:tcMar>
              <w:top w:w="40" w:type="dxa"/>
              <w:left w:w="40" w:type="dxa"/>
              <w:bottom w:w="40" w:type="dxa"/>
              <w:right w:w="40" w:type="dxa"/>
            </w:tcMar>
            <w:vAlign w:val="center"/>
          </w:tcPr>
          <w:p w14:paraId="0E39B7CA" w14:textId="77777777" w:rsidR="007C4C6A" w:rsidRPr="007C4C6A" w:rsidRDefault="007C4C6A" w:rsidP="00DA416A">
            <w:pPr>
              <w:widowControl w:val="0"/>
              <w:rPr>
                <w:sz w:val="20"/>
              </w:rPr>
            </w:pPr>
            <w:r w:rsidRPr="007C4C6A">
              <w:rPr>
                <w:sz w:val="20"/>
              </w:rPr>
              <w:t xml:space="preserve">Detailed explanation of </w:t>
            </w:r>
            <w:r w:rsidRPr="007C4C6A">
              <w:rPr>
                <w:sz w:val="20"/>
              </w:rPr>
              <w:lastRenderedPageBreak/>
              <w:t>methodology</w:t>
            </w:r>
          </w:p>
        </w:tc>
        <w:tc>
          <w:tcPr>
            <w:tcW w:w="882" w:type="dxa"/>
            <w:tcBorders>
              <w:top w:val="nil"/>
              <w:left w:val="nil"/>
              <w:bottom w:val="nil"/>
              <w:right w:val="nil"/>
            </w:tcBorders>
            <w:tcMar>
              <w:top w:w="40" w:type="dxa"/>
              <w:left w:w="40" w:type="dxa"/>
              <w:bottom w:w="40" w:type="dxa"/>
              <w:right w:w="40" w:type="dxa"/>
            </w:tcMar>
            <w:vAlign w:val="center"/>
          </w:tcPr>
          <w:p w14:paraId="574C8863" w14:textId="77777777" w:rsidR="007C4C6A" w:rsidRPr="007C4C6A" w:rsidRDefault="007C4C6A" w:rsidP="00DA416A">
            <w:pPr>
              <w:widowControl w:val="0"/>
              <w:jc w:val="center"/>
              <w:rPr>
                <w:sz w:val="20"/>
              </w:rPr>
            </w:pPr>
            <w:r w:rsidRPr="007C4C6A">
              <w:rPr>
                <w:sz w:val="20"/>
              </w:rPr>
              <w:lastRenderedPageBreak/>
              <w:t>2</w:t>
            </w:r>
          </w:p>
        </w:tc>
        <w:tc>
          <w:tcPr>
            <w:tcW w:w="881" w:type="dxa"/>
            <w:tcBorders>
              <w:top w:val="nil"/>
              <w:left w:val="nil"/>
              <w:bottom w:val="nil"/>
              <w:right w:val="nil"/>
            </w:tcBorders>
            <w:tcMar>
              <w:top w:w="40" w:type="dxa"/>
              <w:left w:w="40" w:type="dxa"/>
              <w:bottom w:w="40" w:type="dxa"/>
              <w:right w:w="40" w:type="dxa"/>
            </w:tcMar>
            <w:vAlign w:val="center"/>
          </w:tcPr>
          <w:p w14:paraId="2E192D29"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16E646A7"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1B313675"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4A02EC69"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6D34640A"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0DEEC30E"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1BBDA776" w14:textId="77777777" w:rsidR="007C4C6A" w:rsidRPr="007C4C6A" w:rsidRDefault="007C4C6A" w:rsidP="00DA416A">
            <w:pPr>
              <w:widowControl w:val="0"/>
              <w:jc w:val="center"/>
              <w:rPr>
                <w:sz w:val="20"/>
              </w:rPr>
            </w:pPr>
            <w:r w:rsidRPr="007C4C6A">
              <w:rPr>
                <w:sz w:val="20"/>
              </w:rPr>
              <w:t>2</w:t>
            </w:r>
          </w:p>
        </w:tc>
      </w:tr>
      <w:tr w:rsidR="007C4C6A" w:rsidRPr="00615448" w14:paraId="529955D3" w14:textId="77777777" w:rsidTr="003049DF">
        <w:tc>
          <w:tcPr>
            <w:tcW w:w="466" w:type="dxa"/>
            <w:tcBorders>
              <w:top w:val="nil"/>
              <w:left w:val="nil"/>
              <w:bottom w:val="nil"/>
              <w:right w:val="nil"/>
            </w:tcBorders>
            <w:tcMar>
              <w:top w:w="40" w:type="dxa"/>
              <w:left w:w="40" w:type="dxa"/>
              <w:bottom w:w="40" w:type="dxa"/>
              <w:right w:w="40" w:type="dxa"/>
            </w:tcMar>
            <w:vAlign w:val="center"/>
          </w:tcPr>
          <w:p w14:paraId="5E38CB40" w14:textId="77777777" w:rsidR="007C4C6A" w:rsidRPr="007C4C6A" w:rsidRDefault="007C4C6A" w:rsidP="00DA416A">
            <w:pPr>
              <w:widowControl w:val="0"/>
              <w:jc w:val="center"/>
              <w:rPr>
                <w:sz w:val="20"/>
              </w:rPr>
            </w:pPr>
            <w:r w:rsidRPr="007C4C6A">
              <w:rPr>
                <w:sz w:val="20"/>
              </w:rPr>
              <w:t>6</w:t>
            </w:r>
          </w:p>
        </w:tc>
        <w:tc>
          <w:tcPr>
            <w:tcW w:w="1970" w:type="dxa"/>
            <w:tcBorders>
              <w:top w:val="nil"/>
              <w:left w:val="nil"/>
              <w:bottom w:val="nil"/>
              <w:right w:val="nil"/>
            </w:tcBorders>
            <w:tcMar>
              <w:top w:w="40" w:type="dxa"/>
              <w:left w:w="40" w:type="dxa"/>
              <w:bottom w:w="40" w:type="dxa"/>
              <w:right w:w="40" w:type="dxa"/>
            </w:tcMar>
            <w:vAlign w:val="center"/>
          </w:tcPr>
          <w:p w14:paraId="43DA37F5" w14:textId="77777777" w:rsidR="007C4C6A" w:rsidRPr="007C4C6A" w:rsidRDefault="007C4C6A" w:rsidP="00DA416A">
            <w:pPr>
              <w:widowControl w:val="0"/>
              <w:rPr>
                <w:sz w:val="20"/>
              </w:rPr>
            </w:pPr>
            <w:r w:rsidRPr="007C4C6A">
              <w:rPr>
                <w:sz w:val="20"/>
              </w:rPr>
              <w:t>Operator details</w:t>
            </w:r>
          </w:p>
        </w:tc>
        <w:tc>
          <w:tcPr>
            <w:tcW w:w="882" w:type="dxa"/>
            <w:tcBorders>
              <w:top w:val="nil"/>
              <w:left w:val="nil"/>
              <w:bottom w:val="nil"/>
              <w:right w:val="nil"/>
            </w:tcBorders>
            <w:tcMar>
              <w:top w:w="40" w:type="dxa"/>
              <w:left w:w="40" w:type="dxa"/>
              <w:bottom w:w="40" w:type="dxa"/>
              <w:right w:w="40" w:type="dxa"/>
            </w:tcMar>
            <w:vAlign w:val="center"/>
          </w:tcPr>
          <w:p w14:paraId="25A18673"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40AFB874"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0440957"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D272838"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223ECF7A"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5EAA3AB5"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439B2538"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31EFABAA" w14:textId="77777777" w:rsidR="007C4C6A" w:rsidRPr="007C4C6A" w:rsidRDefault="007C4C6A" w:rsidP="00DA416A">
            <w:pPr>
              <w:widowControl w:val="0"/>
              <w:jc w:val="center"/>
              <w:rPr>
                <w:sz w:val="20"/>
              </w:rPr>
            </w:pPr>
            <w:r w:rsidRPr="007C4C6A">
              <w:rPr>
                <w:sz w:val="20"/>
              </w:rPr>
              <w:t>-</w:t>
            </w:r>
          </w:p>
        </w:tc>
      </w:tr>
      <w:tr w:rsidR="007C4C6A" w:rsidRPr="00615448" w14:paraId="66AA70E8" w14:textId="77777777" w:rsidTr="003049DF">
        <w:tc>
          <w:tcPr>
            <w:tcW w:w="466" w:type="dxa"/>
            <w:tcBorders>
              <w:top w:val="nil"/>
              <w:left w:val="nil"/>
              <w:bottom w:val="nil"/>
              <w:right w:val="nil"/>
            </w:tcBorders>
            <w:tcMar>
              <w:top w:w="40" w:type="dxa"/>
              <w:left w:w="40" w:type="dxa"/>
              <w:bottom w:w="40" w:type="dxa"/>
              <w:right w:w="40" w:type="dxa"/>
            </w:tcMar>
            <w:vAlign w:val="center"/>
          </w:tcPr>
          <w:p w14:paraId="5F7E5AEA" w14:textId="77777777" w:rsidR="007C4C6A" w:rsidRPr="007C4C6A" w:rsidRDefault="007C4C6A" w:rsidP="00DA416A">
            <w:pPr>
              <w:widowControl w:val="0"/>
              <w:jc w:val="center"/>
              <w:rPr>
                <w:sz w:val="20"/>
              </w:rPr>
            </w:pPr>
            <w:r w:rsidRPr="007C4C6A">
              <w:rPr>
                <w:sz w:val="20"/>
              </w:rPr>
              <w:t>7</w:t>
            </w:r>
          </w:p>
        </w:tc>
        <w:tc>
          <w:tcPr>
            <w:tcW w:w="1970" w:type="dxa"/>
            <w:tcBorders>
              <w:top w:val="nil"/>
              <w:left w:val="nil"/>
              <w:bottom w:val="nil"/>
              <w:right w:val="nil"/>
            </w:tcBorders>
            <w:tcMar>
              <w:top w:w="40" w:type="dxa"/>
              <w:left w:w="40" w:type="dxa"/>
              <w:bottom w:w="40" w:type="dxa"/>
              <w:right w:w="40" w:type="dxa"/>
            </w:tcMar>
            <w:vAlign w:val="center"/>
          </w:tcPr>
          <w:p w14:paraId="0D72A5FE" w14:textId="77777777" w:rsidR="007C4C6A" w:rsidRPr="007C4C6A" w:rsidRDefault="007C4C6A" w:rsidP="00DA416A">
            <w:pPr>
              <w:widowControl w:val="0"/>
              <w:rPr>
                <w:sz w:val="20"/>
              </w:rPr>
            </w:pPr>
            <w:r w:rsidRPr="007C4C6A">
              <w:rPr>
                <w:sz w:val="20"/>
              </w:rPr>
              <w:t>Randomization</w:t>
            </w:r>
          </w:p>
        </w:tc>
        <w:tc>
          <w:tcPr>
            <w:tcW w:w="882" w:type="dxa"/>
            <w:tcBorders>
              <w:top w:val="nil"/>
              <w:left w:val="nil"/>
              <w:bottom w:val="nil"/>
              <w:right w:val="nil"/>
            </w:tcBorders>
            <w:tcMar>
              <w:top w:w="40" w:type="dxa"/>
              <w:left w:w="40" w:type="dxa"/>
              <w:bottom w:w="40" w:type="dxa"/>
              <w:right w:w="40" w:type="dxa"/>
            </w:tcMar>
            <w:vAlign w:val="center"/>
          </w:tcPr>
          <w:p w14:paraId="0256B2BB"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53135EEA"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292D0C94"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404864E1"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452E0C8"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6A8638B6"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3A3A9913"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750F4A83" w14:textId="77777777" w:rsidR="007C4C6A" w:rsidRPr="007C4C6A" w:rsidRDefault="007C4C6A" w:rsidP="00DA416A">
            <w:pPr>
              <w:widowControl w:val="0"/>
              <w:jc w:val="center"/>
              <w:rPr>
                <w:sz w:val="20"/>
              </w:rPr>
            </w:pPr>
            <w:r w:rsidRPr="007C4C6A">
              <w:rPr>
                <w:sz w:val="20"/>
              </w:rPr>
              <w:t>-</w:t>
            </w:r>
          </w:p>
        </w:tc>
      </w:tr>
      <w:tr w:rsidR="007C4C6A" w:rsidRPr="00615448" w14:paraId="54D415E7" w14:textId="77777777" w:rsidTr="003049DF">
        <w:trPr>
          <w:trHeight w:val="175"/>
        </w:trPr>
        <w:tc>
          <w:tcPr>
            <w:tcW w:w="466" w:type="dxa"/>
            <w:tcBorders>
              <w:top w:val="nil"/>
              <w:left w:val="nil"/>
              <w:bottom w:val="nil"/>
              <w:right w:val="nil"/>
            </w:tcBorders>
            <w:tcMar>
              <w:top w:w="40" w:type="dxa"/>
              <w:left w:w="40" w:type="dxa"/>
              <w:bottom w:w="40" w:type="dxa"/>
              <w:right w:w="40" w:type="dxa"/>
            </w:tcMar>
            <w:vAlign w:val="center"/>
          </w:tcPr>
          <w:p w14:paraId="33BA7516" w14:textId="77777777" w:rsidR="007C4C6A" w:rsidRPr="007C4C6A" w:rsidRDefault="007C4C6A" w:rsidP="00DA416A">
            <w:pPr>
              <w:widowControl w:val="0"/>
              <w:jc w:val="center"/>
              <w:rPr>
                <w:sz w:val="20"/>
              </w:rPr>
            </w:pPr>
            <w:r w:rsidRPr="007C4C6A">
              <w:rPr>
                <w:sz w:val="20"/>
              </w:rPr>
              <w:t>8</w:t>
            </w:r>
          </w:p>
        </w:tc>
        <w:tc>
          <w:tcPr>
            <w:tcW w:w="1970" w:type="dxa"/>
            <w:tcBorders>
              <w:top w:val="nil"/>
              <w:left w:val="nil"/>
              <w:bottom w:val="nil"/>
              <w:right w:val="nil"/>
            </w:tcBorders>
            <w:tcMar>
              <w:top w:w="40" w:type="dxa"/>
              <w:left w:w="40" w:type="dxa"/>
              <w:bottom w:w="40" w:type="dxa"/>
              <w:right w:w="40" w:type="dxa"/>
            </w:tcMar>
            <w:vAlign w:val="center"/>
          </w:tcPr>
          <w:p w14:paraId="132A89B0" w14:textId="77777777" w:rsidR="007C4C6A" w:rsidRPr="007C4C6A" w:rsidRDefault="007C4C6A" w:rsidP="00DA416A">
            <w:pPr>
              <w:widowControl w:val="0"/>
              <w:rPr>
                <w:sz w:val="20"/>
              </w:rPr>
            </w:pPr>
            <w:r w:rsidRPr="007C4C6A">
              <w:rPr>
                <w:sz w:val="20"/>
              </w:rPr>
              <w:t>Method of measurement of outcome</w:t>
            </w:r>
          </w:p>
        </w:tc>
        <w:tc>
          <w:tcPr>
            <w:tcW w:w="882" w:type="dxa"/>
            <w:tcBorders>
              <w:top w:val="nil"/>
              <w:left w:val="nil"/>
              <w:bottom w:val="nil"/>
              <w:right w:val="nil"/>
            </w:tcBorders>
            <w:tcMar>
              <w:top w:w="40" w:type="dxa"/>
              <w:left w:w="40" w:type="dxa"/>
              <w:bottom w:w="40" w:type="dxa"/>
              <w:right w:w="40" w:type="dxa"/>
            </w:tcMar>
            <w:vAlign w:val="center"/>
          </w:tcPr>
          <w:p w14:paraId="61F0DD5B"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7068E3A4"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02F206E3"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19FEF321" w14:textId="77777777" w:rsidR="007C4C6A" w:rsidRPr="007C4C6A" w:rsidRDefault="007C4C6A" w:rsidP="00DA416A">
            <w:pPr>
              <w:widowControl w:val="0"/>
              <w:jc w:val="center"/>
              <w:rPr>
                <w:sz w:val="20"/>
              </w:rPr>
            </w:pPr>
            <w:r w:rsidRPr="007C4C6A">
              <w:rPr>
                <w:sz w:val="20"/>
              </w:rPr>
              <w:t>1</w:t>
            </w:r>
          </w:p>
        </w:tc>
        <w:tc>
          <w:tcPr>
            <w:tcW w:w="881" w:type="dxa"/>
            <w:tcBorders>
              <w:top w:val="nil"/>
              <w:left w:val="nil"/>
              <w:bottom w:val="nil"/>
              <w:right w:val="nil"/>
            </w:tcBorders>
            <w:tcMar>
              <w:top w:w="40" w:type="dxa"/>
              <w:left w:w="40" w:type="dxa"/>
              <w:bottom w:w="40" w:type="dxa"/>
              <w:right w:w="40" w:type="dxa"/>
            </w:tcMar>
            <w:vAlign w:val="center"/>
          </w:tcPr>
          <w:p w14:paraId="64C20976"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02F1E7DC"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15589D4B"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03970CD6" w14:textId="77777777" w:rsidR="007C4C6A" w:rsidRPr="007C4C6A" w:rsidRDefault="007C4C6A" w:rsidP="00DA416A">
            <w:pPr>
              <w:widowControl w:val="0"/>
              <w:jc w:val="center"/>
              <w:rPr>
                <w:sz w:val="20"/>
              </w:rPr>
            </w:pPr>
            <w:r w:rsidRPr="007C4C6A">
              <w:rPr>
                <w:sz w:val="20"/>
              </w:rPr>
              <w:t>2</w:t>
            </w:r>
          </w:p>
        </w:tc>
      </w:tr>
      <w:tr w:rsidR="007C4C6A" w:rsidRPr="00615448" w14:paraId="60C69189" w14:textId="77777777" w:rsidTr="003049DF">
        <w:tc>
          <w:tcPr>
            <w:tcW w:w="466" w:type="dxa"/>
            <w:tcBorders>
              <w:top w:val="nil"/>
              <w:left w:val="nil"/>
              <w:bottom w:val="nil"/>
              <w:right w:val="nil"/>
            </w:tcBorders>
            <w:tcMar>
              <w:top w:w="40" w:type="dxa"/>
              <w:left w:w="40" w:type="dxa"/>
              <w:bottom w:w="40" w:type="dxa"/>
              <w:right w:w="40" w:type="dxa"/>
            </w:tcMar>
            <w:vAlign w:val="center"/>
          </w:tcPr>
          <w:p w14:paraId="6759268B" w14:textId="77777777" w:rsidR="007C4C6A" w:rsidRPr="007C4C6A" w:rsidRDefault="007C4C6A" w:rsidP="00DA416A">
            <w:pPr>
              <w:widowControl w:val="0"/>
              <w:jc w:val="center"/>
              <w:rPr>
                <w:sz w:val="20"/>
              </w:rPr>
            </w:pPr>
            <w:r w:rsidRPr="007C4C6A">
              <w:rPr>
                <w:sz w:val="20"/>
              </w:rPr>
              <w:t>9</w:t>
            </w:r>
          </w:p>
        </w:tc>
        <w:tc>
          <w:tcPr>
            <w:tcW w:w="1970" w:type="dxa"/>
            <w:tcBorders>
              <w:top w:val="nil"/>
              <w:left w:val="nil"/>
              <w:bottom w:val="nil"/>
              <w:right w:val="nil"/>
            </w:tcBorders>
            <w:tcMar>
              <w:top w:w="40" w:type="dxa"/>
              <w:left w:w="40" w:type="dxa"/>
              <w:bottom w:w="40" w:type="dxa"/>
              <w:right w:w="40" w:type="dxa"/>
            </w:tcMar>
            <w:vAlign w:val="center"/>
          </w:tcPr>
          <w:p w14:paraId="6228845A" w14:textId="77777777" w:rsidR="007C4C6A" w:rsidRPr="007C4C6A" w:rsidRDefault="007C4C6A" w:rsidP="00DA416A">
            <w:pPr>
              <w:widowControl w:val="0"/>
              <w:rPr>
                <w:sz w:val="20"/>
              </w:rPr>
            </w:pPr>
            <w:r w:rsidRPr="007C4C6A">
              <w:rPr>
                <w:sz w:val="20"/>
              </w:rPr>
              <w:t>Outcome assessor details</w:t>
            </w:r>
          </w:p>
        </w:tc>
        <w:tc>
          <w:tcPr>
            <w:tcW w:w="882" w:type="dxa"/>
            <w:tcBorders>
              <w:top w:val="nil"/>
              <w:left w:val="nil"/>
              <w:bottom w:val="nil"/>
              <w:right w:val="nil"/>
            </w:tcBorders>
            <w:tcMar>
              <w:top w:w="40" w:type="dxa"/>
              <w:left w:w="40" w:type="dxa"/>
              <w:bottom w:w="40" w:type="dxa"/>
              <w:right w:w="40" w:type="dxa"/>
            </w:tcMar>
            <w:vAlign w:val="center"/>
          </w:tcPr>
          <w:p w14:paraId="476A5313"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5501ECB2"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45E25EFA"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18626F65"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13582F9D" w14:textId="77777777" w:rsidR="007C4C6A" w:rsidRPr="007C4C6A" w:rsidRDefault="007C4C6A" w:rsidP="00DA416A">
            <w:pPr>
              <w:widowControl w:val="0"/>
              <w:jc w:val="center"/>
              <w:rPr>
                <w:sz w:val="20"/>
              </w:rPr>
            </w:pPr>
            <w:r w:rsidRPr="007C4C6A">
              <w:rPr>
                <w:sz w:val="20"/>
              </w:rPr>
              <w:t>0</w:t>
            </w:r>
          </w:p>
        </w:tc>
        <w:tc>
          <w:tcPr>
            <w:tcW w:w="839" w:type="dxa"/>
            <w:tcBorders>
              <w:top w:val="nil"/>
              <w:left w:val="nil"/>
              <w:bottom w:val="nil"/>
              <w:right w:val="nil"/>
            </w:tcBorders>
            <w:tcMar>
              <w:top w:w="40" w:type="dxa"/>
              <w:left w:w="40" w:type="dxa"/>
              <w:bottom w:w="40" w:type="dxa"/>
              <w:right w:w="40" w:type="dxa"/>
            </w:tcMar>
            <w:vAlign w:val="center"/>
          </w:tcPr>
          <w:p w14:paraId="39275D2C" w14:textId="77777777" w:rsidR="007C4C6A" w:rsidRPr="007C4C6A" w:rsidRDefault="007C4C6A" w:rsidP="00DA416A">
            <w:pPr>
              <w:widowControl w:val="0"/>
              <w:jc w:val="center"/>
              <w:rPr>
                <w:sz w:val="20"/>
              </w:rPr>
            </w:pPr>
            <w:r w:rsidRPr="007C4C6A">
              <w:rPr>
                <w:sz w:val="20"/>
              </w:rPr>
              <w:t>0</w:t>
            </w:r>
          </w:p>
        </w:tc>
        <w:tc>
          <w:tcPr>
            <w:tcW w:w="839" w:type="dxa"/>
            <w:tcBorders>
              <w:top w:val="nil"/>
              <w:left w:val="nil"/>
              <w:bottom w:val="nil"/>
              <w:right w:val="nil"/>
            </w:tcBorders>
            <w:tcMar>
              <w:top w:w="40" w:type="dxa"/>
              <w:left w:w="40" w:type="dxa"/>
              <w:bottom w:w="40" w:type="dxa"/>
              <w:right w:w="40" w:type="dxa"/>
            </w:tcMar>
            <w:vAlign w:val="center"/>
          </w:tcPr>
          <w:p w14:paraId="362E313C" w14:textId="77777777" w:rsidR="007C4C6A" w:rsidRPr="007C4C6A" w:rsidRDefault="007C4C6A" w:rsidP="00DA416A">
            <w:pPr>
              <w:widowControl w:val="0"/>
              <w:jc w:val="center"/>
              <w:rPr>
                <w:sz w:val="20"/>
              </w:rPr>
            </w:pPr>
            <w:r w:rsidRPr="007C4C6A">
              <w:rPr>
                <w:sz w:val="20"/>
              </w:rPr>
              <w:t>0</w:t>
            </w:r>
          </w:p>
        </w:tc>
        <w:tc>
          <w:tcPr>
            <w:tcW w:w="839" w:type="dxa"/>
            <w:tcBorders>
              <w:top w:val="nil"/>
              <w:left w:val="nil"/>
              <w:bottom w:val="nil"/>
              <w:right w:val="nil"/>
            </w:tcBorders>
            <w:tcMar>
              <w:top w:w="40" w:type="dxa"/>
              <w:left w:w="40" w:type="dxa"/>
              <w:bottom w:w="40" w:type="dxa"/>
              <w:right w:w="40" w:type="dxa"/>
            </w:tcMar>
            <w:vAlign w:val="center"/>
          </w:tcPr>
          <w:p w14:paraId="252392E1" w14:textId="77777777" w:rsidR="007C4C6A" w:rsidRPr="007C4C6A" w:rsidRDefault="007C4C6A" w:rsidP="00DA416A">
            <w:pPr>
              <w:widowControl w:val="0"/>
              <w:jc w:val="center"/>
              <w:rPr>
                <w:sz w:val="20"/>
              </w:rPr>
            </w:pPr>
            <w:r w:rsidRPr="007C4C6A">
              <w:rPr>
                <w:sz w:val="20"/>
              </w:rPr>
              <w:t>0</w:t>
            </w:r>
          </w:p>
        </w:tc>
      </w:tr>
      <w:tr w:rsidR="007C4C6A" w:rsidRPr="00615448" w14:paraId="58EFFB3A" w14:textId="77777777" w:rsidTr="003049DF">
        <w:trPr>
          <w:trHeight w:val="315"/>
        </w:trPr>
        <w:tc>
          <w:tcPr>
            <w:tcW w:w="466" w:type="dxa"/>
            <w:tcBorders>
              <w:top w:val="nil"/>
              <w:left w:val="nil"/>
              <w:bottom w:val="nil"/>
              <w:right w:val="nil"/>
            </w:tcBorders>
            <w:tcMar>
              <w:top w:w="40" w:type="dxa"/>
              <w:left w:w="40" w:type="dxa"/>
              <w:bottom w:w="40" w:type="dxa"/>
              <w:right w:w="40" w:type="dxa"/>
            </w:tcMar>
            <w:vAlign w:val="center"/>
          </w:tcPr>
          <w:p w14:paraId="3CCA1FC5" w14:textId="77777777" w:rsidR="007C4C6A" w:rsidRPr="007C4C6A" w:rsidRDefault="007C4C6A" w:rsidP="00DA416A">
            <w:pPr>
              <w:widowControl w:val="0"/>
              <w:jc w:val="center"/>
              <w:rPr>
                <w:sz w:val="20"/>
              </w:rPr>
            </w:pPr>
            <w:r w:rsidRPr="007C4C6A">
              <w:rPr>
                <w:sz w:val="20"/>
              </w:rPr>
              <w:t>10</w:t>
            </w:r>
          </w:p>
        </w:tc>
        <w:tc>
          <w:tcPr>
            <w:tcW w:w="1970" w:type="dxa"/>
            <w:tcBorders>
              <w:top w:val="nil"/>
              <w:left w:val="nil"/>
              <w:bottom w:val="nil"/>
              <w:right w:val="nil"/>
            </w:tcBorders>
            <w:tcMar>
              <w:top w:w="40" w:type="dxa"/>
              <w:left w:w="40" w:type="dxa"/>
              <w:bottom w:w="40" w:type="dxa"/>
              <w:right w:w="40" w:type="dxa"/>
            </w:tcMar>
            <w:vAlign w:val="center"/>
          </w:tcPr>
          <w:p w14:paraId="31318ABB" w14:textId="77777777" w:rsidR="007C4C6A" w:rsidRPr="007C4C6A" w:rsidRDefault="007C4C6A" w:rsidP="00DA416A">
            <w:pPr>
              <w:widowControl w:val="0"/>
              <w:rPr>
                <w:sz w:val="20"/>
              </w:rPr>
            </w:pPr>
            <w:r w:rsidRPr="007C4C6A">
              <w:rPr>
                <w:sz w:val="20"/>
              </w:rPr>
              <w:t>Blinding</w:t>
            </w:r>
          </w:p>
        </w:tc>
        <w:tc>
          <w:tcPr>
            <w:tcW w:w="882" w:type="dxa"/>
            <w:tcBorders>
              <w:top w:val="nil"/>
              <w:left w:val="nil"/>
              <w:bottom w:val="nil"/>
              <w:right w:val="nil"/>
            </w:tcBorders>
            <w:tcMar>
              <w:top w:w="40" w:type="dxa"/>
              <w:left w:w="40" w:type="dxa"/>
              <w:bottom w:w="40" w:type="dxa"/>
              <w:right w:w="40" w:type="dxa"/>
            </w:tcMar>
            <w:vAlign w:val="center"/>
          </w:tcPr>
          <w:p w14:paraId="54A3EA52"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2F612315"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3C8BA78F"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54A7E500" w14:textId="77777777" w:rsidR="007C4C6A" w:rsidRPr="007C4C6A" w:rsidRDefault="007C4C6A" w:rsidP="00DA416A">
            <w:pPr>
              <w:widowControl w:val="0"/>
              <w:jc w:val="center"/>
              <w:rPr>
                <w:sz w:val="20"/>
              </w:rPr>
            </w:pPr>
            <w:r w:rsidRPr="007C4C6A">
              <w:rPr>
                <w:sz w:val="20"/>
              </w:rPr>
              <w:t>-</w:t>
            </w:r>
          </w:p>
        </w:tc>
        <w:tc>
          <w:tcPr>
            <w:tcW w:w="881" w:type="dxa"/>
            <w:tcBorders>
              <w:top w:val="nil"/>
              <w:left w:val="nil"/>
              <w:bottom w:val="nil"/>
              <w:right w:val="nil"/>
            </w:tcBorders>
            <w:tcMar>
              <w:top w:w="40" w:type="dxa"/>
              <w:left w:w="40" w:type="dxa"/>
              <w:bottom w:w="40" w:type="dxa"/>
              <w:right w:w="40" w:type="dxa"/>
            </w:tcMar>
            <w:vAlign w:val="center"/>
          </w:tcPr>
          <w:p w14:paraId="480918DA"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200B3398"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68C7243C" w14:textId="77777777" w:rsidR="007C4C6A" w:rsidRPr="007C4C6A" w:rsidRDefault="007C4C6A" w:rsidP="00DA416A">
            <w:pPr>
              <w:widowControl w:val="0"/>
              <w:jc w:val="center"/>
              <w:rPr>
                <w:sz w:val="20"/>
              </w:rPr>
            </w:pPr>
            <w:r w:rsidRPr="007C4C6A">
              <w:rPr>
                <w:sz w:val="20"/>
              </w:rPr>
              <w:t>-</w:t>
            </w:r>
          </w:p>
        </w:tc>
        <w:tc>
          <w:tcPr>
            <w:tcW w:w="839" w:type="dxa"/>
            <w:tcBorders>
              <w:top w:val="nil"/>
              <w:left w:val="nil"/>
              <w:bottom w:val="nil"/>
              <w:right w:val="nil"/>
            </w:tcBorders>
            <w:tcMar>
              <w:top w:w="40" w:type="dxa"/>
              <w:left w:w="40" w:type="dxa"/>
              <w:bottom w:w="40" w:type="dxa"/>
              <w:right w:w="40" w:type="dxa"/>
            </w:tcMar>
            <w:vAlign w:val="center"/>
          </w:tcPr>
          <w:p w14:paraId="3AC5FFB8" w14:textId="77777777" w:rsidR="007C4C6A" w:rsidRPr="007C4C6A" w:rsidRDefault="007C4C6A" w:rsidP="00DA416A">
            <w:pPr>
              <w:widowControl w:val="0"/>
              <w:jc w:val="center"/>
              <w:rPr>
                <w:sz w:val="20"/>
              </w:rPr>
            </w:pPr>
            <w:r w:rsidRPr="007C4C6A">
              <w:rPr>
                <w:sz w:val="20"/>
              </w:rPr>
              <w:t>-</w:t>
            </w:r>
          </w:p>
        </w:tc>
      </w:tr>
      <w:tr w:rsidR="007C4C6A" w:rsidRPr="00615448" w14:paraId="1F9E5FC5" w14:textId="77777777" w:rsidTr="003049DF">
        <w:trPr>
          <w:trHeight w:val="315"/>
        </w:trPr>
        <w:tc>
          <w:tcPr>
            <w:tcW w:w="466" w:type="dxa"/>
            <w:tcBorders>
              <w:top w:val="nil"/>
              <w:left w:val="nil"/>
              <w:bottom w:val="nil"/>
              <w:right w:val="nil"/>
            </w:tcBorders>
            <w:tcMar>
              <w:top w:w="40" w:type="dxa"/>
              <w:left w:w="40" w:type="dxa"/>
              <w:bottom w:w="40" w:type="dxa"/>
              <w:right w:w="40" w:type="dxa"/>
            </w:tcMar>
            <w:vAlign w:val="center"/>
          </w:tcPr>
          <w:p w14:paraId="0985C18E" w14:textId="77777777" w:rsidR="007C4C6A" w:rsidRPr="007C4C6A" w:rsidRDefault="007C4C6A" w:rsidP="00DA416A">
            <w:pPr>
              <w:widowControl w:val="0"/>
              <w:jc w:val="center"/>
              <w:rPr>
                <w:sz w:val="20"/>
              </w:rPr>
            </w:pPr>
            <w:r w:rsidRPr="007C4C6A">
              <w:rPr>
                <w:sz w:val="20"/>
              </w:rPr>
              <w:t>11</w:t>
            </w:r>
          </w:p>
        </w:tc>
        <w:tc>
          <w:tcPr>
            <w:tcW w:w="1970" w:type="dxa"/>
            <w:tcBorders>
              <w:top w:val="nil"/>
              <w:left w:val="nil"/>
              <w:bottom w:val="nil"/>
              <w:right w:val="nil"/>
            </w:tcBorders>
            <w:tcMar>
              <w:top w:w="40" w:type="dxa"/>
              <w:left w:w="40" w:type="dxa"/>
              <w:bottom w:w="40" w:type="dxa"/>
              <w:right w:w="40" w:type="dxa"/>
            </w:tcMar>
            <w:vAlign w:val="center"/>
          </w:tcPr>
          <w:p w14:paraId="6B5F241F" w14:textId="77777777" w:rsidR="007C4C6A" w:rsidRPr="007C4C6A" w:rsidRDefault="007C4C6A" w:rsidP="00DA416A">
            <w:pPr>
              <w:widowControl w:val="0"/>
              <w:rPr>
                <w:sz w:val="20"/>
              </w:rPr>
            </w:pPr>
            <w:r w:rsidRPr="007C4C6A">
              <w:rPr>
                <w:sz w:val="20"/>
              </w:rPr>
              <w:t>Statistical analysis</w:t>
            </w:r>
          </w:p>
        </w:tc>
        <w:tc>
          <w:tcPr>
            <w:tcW w:w="882" w:type="dxa"/>
            <w:tcBorders>
              <w:top w:val="nil"/>
              <w:left w:val="nil"/>
              <w:bottom w:val="nil"/>
              <w:right w:val="nil"/>
            </w:tcBorders>
            <w:tcMar>
              <w:top w:w="40" w:type="dxa"/>
              <w:left w:w="40" w:type="dxa"/>
              <w:bottom w:w="40" w:type="dxa"/>
              <w:right w:w="40" w:type="dxa"/>
            </w:tcMar>
            <w:vAlign w:val="center"/>
          </w:tcPr>
          <w:p w14:paraId="3BF9BAAA"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767AD9E8"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nil"/>
              <w:right w:val="nil"/>
            </w:tcBorders>
            <w:tcMar>
              <w:top w:w="40" w:type="dxa"/>
              <w:left w:w="40" w:type="dxa"/>
              <w:bottom w:w="40" w:type="dxa"/>
              <w:right w:w="40" w:type="dxa"/>
            </w:tcMar>
            <w:vAlign w:val="center"/>
          </w:tcPr>
          <w:p w14:paraId="6206846D"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2F134036" w14:textId="77777777" w:rsidR="007C4C6A" w:rsidRPr="007C4C6A" w:rsidRDefault="007C4C6A" w:rsidP="00DA416A">
            <w:pPr>
              <w:widowControl w:val="0"/>
              <w:jc w:val="center"/>
              <w:rPr>
                <w:sz w:val="20"/>
              </w:rPr>
            </w:pPr>
            <w:r w:rsidRPr="007C4C6A">
              <w:rPr>
                <w:sz w:val="20"/>
              </w:rPr>
              <w:t>0</w:t>
            </w:r>
          </w:p>
        </w:tc>
        <w:tc>
          <w:tcPr>
            <w:tcW w:w="881" w:type="dxa"/>
            <w:tcBorders>
              <w:top w:val="nil"/>
              <w:left w:val="nil"/>
              <w:bottom w:val="nil"/>
              <w:right w:val="nil"/>
            </w:tcBorders>
            <w:tcMar>
              <w:top w:w="40" w:type="dxa"/>
              <w:left w:w="40" w:type="dxa"/>
              <w:bottom w:w="40" w:type="dxa"/>
              <w:right w:w="40" w:type="dxa"/>
            </w:tcMar>
            <w:vAlign w:val="center"/>
          </w:tcPr>
          <w:p w14:paraId="10931FB4"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7733E5D3"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1D04BAA7"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nil"/>
              <w:right w:val="nil"/>
            </w:tcBorders>
            <w:tcMar>
              <w:top w:w="40" w:type="dxa"/>
              <w:left w:w="40" w:type="dxa"/>
              <w:bottom w:w="40" w:type="dxa"/>
              <w:right w:w="40" w:type="dxa"/>
            </w:tcMar>
            <w:vAlign w:val="center"/>
          </w:tcPr>
          <w:p w14:paraId="59795AD4" w14:textId="77777777" w:rsidR="007C4C6A" w:rsidRPr="007C4C6A" w:rsidRDefault="007C4C6A" w:rsidP="00DA416A">
            <w:pPr>
              <w:widowControl w:val="0"/>
              <w:jc w:val="center"/>
              <w:rPr>
                <w:sz w:val="20"/>
              </w:rPr>
            </w:pPr>
            <w:r w:rsidRPr="007C4C6A">
              <w:rPr>
                <w:sz w:val="20"/>
              </w:rPr>
              <w:t>2</w:t>
            </w:r>
          </w:p>
        </w:tc>
      </w:tr>
      <w:tr w:rsidR="007C4C6A" w:rsidRPr="00615448" w14:paraId="16D3EA03" w14:textId="77777777" w:rsidTr="003049DF">
        <w:trPr>
          <w:trHeight w:val="315"/>
        </w:trPr>
        <w:tc>
          <w:tcPr>
            <w:tcW w:w="466" w:type="dxa"/>
            <w:tcBorders>
              <w:top w:val="nil"/>
              <w:left w:val="nil"/>
              <w:bottom w:val="single" w:sz="4" w:space="0" w:color="auto"/>
              <w:right w:val="nil"/>
            </w:tcBorders>
            <w:tcMar>
              <w:top w:w="40" w:type="dxa"/>
              <w:left w:w="40" w:type="dxa"/>
              <w:bottom w:w="40" w:type="dxa"/>
              <w:right w:w="40" w:type="dxa"/>
            </w:tcMar>
            <w:vAlign w:val="center"/>
          </w:tcPr>
          <w:p w14:paraId="19CCB97F" w14:textId="77777777" w:rsidR="007C4C6A" w:rsidRPr="007C4C6A" w:rsidRDefault="007C4C6A" w:rsidP="00DA416A">
            <w:pPr>
              <w:widowControl w:val="0"/>
              <w:jc w:val="center"/>
              <w:rPr>
                <w:sz w:val="20"/>
              </w:rPr>
            </w:pPr>
            <w:r w:rsidRPr="007C4C6A">
              <w:rPr>
                <w:sz w:val="20"/>
              </w:rPr>
              <w:t>12</w:t>
            </w:r>
          </w:p>
        </w:tc>
        <w:tc>
          <w:tcPr>
            <w:tcW w:w="1970" w:type="dxa"/>
            <w:tcBorders>
              <w:top w:val="nil"/>
              <w:left w:val="nil"/>
              <w:bottom w:val="single" w:sz="4" w:space="0" w:color="auto"/>
              <w:right w:val="nil"/>
            </w:tcBorders>
            <w:tcMar>
              <w:top w:w="40" w:type="dxa"/>
              <w:left w:w="40" w:type="dxa"/>
              <w:bottom w:w="40" w:type="dxa"/>
              <w:right w:w="40" w:type="dxa"/>
            </w:tcMar>
            <w:vAlign w:val="center"/>
          </w:tcPr>
          <w:p w14:paraId="5DF50810" w14:textId="77777777" w:rsidR="007C4C6A" w:rsidRPr="007C4C6A" w:rsidRDefault="007C4C6A" w:rsidP="00DA416A">
            <w:pPr>
              <w:widowControl w:val="0"/>
              <w:rPr>
                <w:sz w:val="20"/>
              </w:rPr>
            </w:pPr>
            <w:r w:rsidRPr="007C4C6A">
              <w:rPr>
                <w:sz w:val="20"/>
              </w:rPr>
              <w:t>Presentation of results</w:t>
            </w:r>
          </w:p>
        </w:tc>
        <w:tc>
          <w:tcPr>
            <w:tcW w:w="882" w:type="dxa"/>
            <w:tcBorders>
              <w:top w:val="nil"/>
              <w:left w:val="nil"/>
              <w:bottom w:val="single" w:sz="4" w:space="0" w:color="auto"/>
              <w:right w:val="nil"/>
            </w:tcBorders>
            <w:tcMar>
              <w:top w:w="40" w:type="dxa"/>
              <w:left w:w="40" w:type="dxa"/>
              <w:bottom w:w="40" w:type="dxa"/>
              <w:right w:w="40" w:type="dxa"/>
            </w:tcMar>
            <w:vAlign w:val="center"/>
          </w:tcPr>
          <w:p w14:paraId="1C43403B"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5B03D8EB"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3DA5A622"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16E33C5F" w14:textId="77777777" w:rsidR="007C4C6A" w:rsidRPr="007C4C6A" w:rsidRDefault="007C4C6A" w:rsidP="00DA416A">
            <w:pPr>
              <w:widowControl w:val="0"/>
              <w:jc w:val="center"/>
              <w:rPr>
                <w:sz w:val="20"/>
              </w:rPr>
            </w:pPr>
            <w:r w:rsidRPr="007C4C6A">
              <w:rPr>
                <w:sz w:val="20"/>
              </w:rPr>
              <w:t>2</w:t>
            </w:r>
          </w:p>
        </w:tc>
        <w:tc>
          <w:tcPr>
            <w:tcW w:w="881" w:type="dxa"/>
            <w:tcBorders>
              <w:top w:val="nil"/>
              <w:left w:val="nil"/>
              <w:bottom w:val="single" w:sz="4" w:space="0" w:color="auto"/>
              <w:right w:val="nil"/>
            </w:tcBorders>
            <w:tcMar>
              <w:top w:w="40" w:type="dxa"/>
              <w:left w:w="40" w:type="dxa"/>
              <w:bottom w:w="40" w:type="dxa"/>
              <w:right w:w="40" w:type="dxa"/>
            </w:tcMar>
            <w:vAlign w:val="center"/>
          </w:tcPr>
          <w:p w14:paraId="268FD012"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762E07EB"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5EF2CA37" w14:textId="77777777" w:rsidR="007C4C6A" w:rsidRPr="007C4C6A" w:rsidRDefault="007C4C6A" w:rsidP="00DA416A">
            <w:pPr>
              <w:widowControl w:val="0"/>
              <w:jc w:val="center"/>
              <w:rPr>
                <w:sz w:val="20"/>
              </w:rPr>
            </w:pPr>
            <w:r w:rsidRPr="007C4C6A">
              <w:rPr>
                <w:sz w:val="20"/>
              </w:rPr>
              <w:t>2</w:t>
            </w:r>
          </w:p>
        </w:tc>
        <w:tc>
          <w:tcPr>
            <w:tcW w:w="839" w:type="dxa"/>
            <w:tcBorders>
              <w:top w:val="nil"/>
              <w:left w:val="nil"/>
              <w:bottom w:val="single" w:sz="4" w:space="0" w:color="auto"/>
              <w:right w:val="nil"/>
            </w:tcBorders>
            <w:tcMar>
              <w:top w:w="40" w:type="dxa"/>
              <w:left w:w="40" w:type="dxa"/>
              <w:bottom w:w="40" w:type="dxa"/>
              <w:right w:w="40" w:type="dxa"/>
            </w:tcMar>
            <w:vAlign w:val="center"/>
          </w:tcPr>
          <w:p w14:paraId="234485F6" w14:textId="77777777" w:rsidR="007C4C6A" w:rsidRPr="007C4C6A" w:rsidRDefault="007C4C6A" w:rsidP="00DA416A">
            <w:pPr>
              <w:widowControl w:val="0"/>
              <w:jc w:val="center"/>
              <w:rPr>
                <w:sz w:val="20"/>
              </w:rPr>
            </w:pPr>
            <w:r w:rsidRPr="007C4C6A">
              <w:rPr>
                <w:sz w:val="20"/>
              </w:rPr>
              <w:t>2</w:t>
            </w:r>
          </w:p>
        </w:tc>
      </w:tr>
    </w:tbl>
    <w:p w14:paraId="059B507F" w14:textId="77777777" w:rsidR="007C4C6A" w:rsidRPr="007C4C6A" w:rsidRDefault="007C4C6A" w:rsidP="007C4C6A">
      <w:pPr>
        <w:jc w:val="both"/>
        <w:rPr>
          <w:sz w:val="18"/>
          <w:szCs w:val="18"/>
        </w:rPr>
      </w:pPr>
      <w:proofErr w:type="gramStart"/>
      <w:r w:rsidRPr="007C4C6A">
        <w:rPr>
          <w:sz w:val="18"/>
          <w:szCs w:val="18"/>
        </w:rPr>
        <w:t>Score :</w:t>
      </w:r>
      <w:proofErr w:type="gramEnd"/>
    </w:p>
    <w:p w14:paraId="326BCA6A" w14:textId="77777777" w:rsidR="007C4C6A" w:rsidRPr="007C4C6A" w:rsidRDefault="007C4C6A" w:rsidP="007C4C6A">
      <w:pPr>
        <w:jc w:val="both"/>
        <w:rPr>
          <w:sz w:val="18"/>
          <w:szCs w:val="18"/>
        </w:rPr>
      </w:pPr>
      <w:r w:rsidRPr="007C4C6A">
        <w:rPr>
          <w:sz w:val="18"/>
          <w:szCs w:val="18"/>
        </w:rPr>
        <w:t>2 = Adequately Specified</w:t>
      </w:r>
    </w:p>
    <w:p w14:paraId="6C4119C6" w14:textId="77777777" w:rsidR="007C4C6A" w:rsidRPr="007C4C6A" w:rsidRDefault="007C4C6A" w:rsidP="007C4C6A">
      <w:pPr>
        <w:jc w:val="both"/>
        <w:rPr>
          <w:sz w:val="18"/>
          <w:szCs w:val="18"/>
        </w:rPr>
      </w:pPr>
      <w:r w:rsidRPr="007C4C6A">
        <w:rPr>
          <w:sz w:val="18"/>
          <w:szCs w:val="18"/>
        </w:rPr>
        <w:t>1 = Inadequately Specified</w:t>
      </w:r>
    </w:p>
    <w:p w14:paraId="1886B5E5" w14:textId="77777777" w:rsidR="007C4C6A" w:rsidRPr="007C4C6A" w:rsidRDefault="007C4C6A" w:rsidP="007C4C6A">
      <w:pPr>
        <w:jc w:val="both"/>
        <w:rPr>
          <w:sz w:val="18"/>
          <w:szCs w:val="18"/>
        </w:rPr>
      </w:pPr>
      <w:r w:rsidRPr="007C4C6A">
        <w:rPr>
          <w:sz w:val="18"/>
          <w:szCs w:val="18"/>
        </w:rPr>
        <w:t>0 = Not Specified</w:t>
      </w:r>
    </w:p>
    <w:p w14:paraId="7DA0CF28" w14:textId="4714D715" w:rsidR="00725861" w:rsidRPr="007C4C6A" w:rsidRDefault="007C4C6A" w:rsidP="007C4C6A">
      <w:pPr>
        <w:jc w:val="both"/>
        <w:rPr>
          <w:sz w:val="18"/>
          <w:szCs w:val="18"/>
        </w:rPr>
      </w:pPr>
      <w:r w:rsidRPr="007C4C6A">
        <w:rPr>
          <w:sz w:val="18"/>
          <w:szCs w:val="18"/>
        </w:rPr>
        <w:t>- = Not Applicable</w:t>
      </w:r>
    </w:p>
    <w:p w14:paraId="4024EC21" w14:textId="5C5BC156" w:rsidR="00155B67" w:rsidRPr="00075EA6" w:rsidRDefault="007C4C6A" w:rsidP="00274622">
      <w:pPr>
        <w:pStyle w:val="Heading2"/>
      </w:pPr>
      <w:r>
        <w:t>RESULTS</w:t>
      </w:r>
    </w:p>
    <w:p w14:paraId="64E15B6F" w14:textId="51058845" w:rsidR="004F2F24" w:rsidRDefault="007C4C6A" w:rsidP="004F2F24">
      <w:pPr>
        <w:pStyle w:val="Paragraph"/>
        <w:rPr>
          <w:lang w:val="en"/>
        </w:rPr>
      </w:pPr>
      <w:r w:rsidRPr="007C4C6A">
        <w:rPr>
          <w:lang w:val="en"/>
        </w:rPr>
        <w:t>Studies investigating natural hemostatic materials employ diverse methodologies for hemostatic analysis. These include in vitro assays evaluating blood clotting time, plasma recalcification time, and other coagulation parameters to assess material efficacy. In vivo assessments utilizing murine (e.g., mice) and Rattus norvegicus (Wistar rats) models are also prevalent. Standard bleeding models encompass rat tail amputation in mice and gingival incision wounds in Wistar rats. The natural materials investigated span a wide range, including plant-derived sources such as Calendula officinalis and cellulose (often modified into carboxymethylcellulose derivatives), marine sources like red algae (</w:t>
      </w:r>
      <w:proofErr w:type="spellStart"/>
      <w:r w:rsidRPr="007C4C6A">
        <w:rPr>
          <w:lang w:val="en"/>
        </w:rPr>
        <w:t>Gracilaria</w:t>
      </w:r>
      <w:proofErr w:type="spellEnd"/>
      <w:r w:rsidRPr="007C4C6A">
        <w:rPr>
          <w:lang w:val="en"/>
        </w:rPr>
        <w:t xml:space="preserve"> verrucosa) and calcium alginate from seaweed, and animal-derived chitosan extracted from crustacean shells, as well as gelatine. Each methodological approach and material exhibits inherent strengths and limitations, indicating significant potential for future research. Key findings from reviewed studies are summarized in Table 3</w:t>
      </w:r>
    </w:p>
    <w:p w14:paraId="4E88529F" w14:textId="77777777" w:rsidR="00653C55" w:rsidRDefault="00653C55" w:rsidP="00653C55">
      <w:pPr>
        <w:pStyle w:val="Paragraph"/>
        <w:ind w:firstLine="0"/>
        <w:rPr>
          <w:lang w:val="en"/>
        </w:rPr>
      </w:pPr>
    </w:p>
    <w:p w14:paraId="7F1505EE" w14:textId="77777777" w:rsidR="00653C55" w:rsidRDefault="00653C55" w:rsidP="00653C55">
      <w:pPr>
        <w:pStyle w:val="Paragraph"/>
        <w:ind w:firstLine="0"/>
        <w:rPr>
          <w:lang w:val="en"/>
        </w:rPr>
      </w:pPr>
    </w:p>
    <w:p w14:paraId="1247623E" w14:textId="77777777" w:rsidR="004F2F24" w:rsidRDefault="004F2F24" w:rsidP="00653C55">
      <w:pPr>
        <w:pStyle w:val="Paragraph"/>
        <w:ind w:firstLine="0"/>
        <w:rPr>
          <w:lang w:val="en"/>
        </w:rPr>
      </w:pPr>
    </w:p>
    <w:p w14:paraId="650C5CAA" w14:textId="77777777" w:rsidR="004F2F24" w:rsidRDefault="004F2F24" w:rsidP="00653C55">
      <w:pPr>
        <w:pStyle w:val="Paragraph"/>
        <w:ind w:firstLine="0"/>
        <w:rPr>
          <w:lang w:val="en"/>
        </w:rPr>
      </w:pPr>
    </w:p>
    <w:p w14:paraId="467D3A2A" w14:textId="77777777" w:rsidR="004F2F24" w:rsidRDefault="004F2F24" w:rsidP="00653C55">
      <w:pPr>
        <w:pStyle w:val="Paragraph"/>
        <w:ind w:firstLine="0"/>
        <w:rPr>
          <w:lang w:val="en"/>
        </w:rPr>
      </w:pPr>
    </w:p>
    <w:p w14:paraId="58DBA072" w14:textId="77777777" w:rsidR="004F2F24" w:rsidRDefault="004F2F24" w:rsidP="00653C55">
      <w:pPr>
        <w:pStyle w:val="Paragraph"/>
        <w:ind w:firstLine="0"/>
        <w:rPr>
          <w:lang w:val="en"/>
        </w:rPr>
      </w:pPr>
    </w:p>
    <w:p w14:paraId="3103B6A6" w14:textId="77777777" w:rsidR="004F2F24" w:rsidRDefault="004F2F24" w:rsidP="00653C55">
      <w:pPr>
        <w:pStyle w:val="Paragraph"/>
        <w:ind w:firstLine="0"/>
        <w:rPr>
          <w:lang w:val="en"/>
        </w:rPr>
      </w:pPr>
    </w:p>
    <w:p w14:paraId="10C2821F" w14:textId="77777777" w:rsidR="004F2F24" w:rsidRDefault="004F2F24" w:rsidP="00653C55">
      <w:pPr>
        <w:pStyle w:val="Paragraph"/>
        <w:ind w:firstLine="0"/>
        <w:rPr>
          <w:lang w:val="en"/>
        </w:rPr>
      </w:pPr>
    </w:p>
    <w:p w14:paraId="7A5CC803" w14:textId="36043B39" w:rsidR="004F2F24" w:rsidRPr="007C4C6A" w:rsidRDefault="004F2F24" w:rsidP="00653C55">
      <w:pPr>
        <w:pStyle w:val="Paragraph"/>
        <w:ind w:firstLine="0"/>
        <w:rPr>
          <w:lang w:val="en"/>
        </w:rPr>
      </w:pPr>
    </w:p>
    <w:p w14:paraId="1F25B55C" w14:textId="1F0043F4" w:rsidR="008D192F" w:rsidRPr="004F2F24" w:rsidRDefault="003049DF" w:rsidP="008D192F">
      <w:pPr>
        <w:pStyle w:val="Paragraph"/>
        <w:spacing w:before="120" w:after="200"/>
        <w:ind w:firstLine="288"/>
        <w:jc w:val="center"/>
        <w:rPr>
          <w:sz w:val="18"/>
          <w:szCs w:val="18"/>
          <w:lang w:val="en"/>
        </w:rPr>
      </w:pPr>
      <w:r w:rsidRPr="004F2F24">
        <w:rPr>
          <w:b/>
          <w:bCs/>
          <w:sz w:val="18"/>
          <w:szCs w:val="18"/>
          <w:lang w:val="en"/>
        </w:rPr>
        <w:lastRenderedPageBreak/>
        <w:t xml:space="preserve">TABLE </w:t>
      </w:r>
      <w:r w:rsidR="008D192F" w:rsidRPr="004F2F24">
        <w:rPr>
          <w:b/>
          <w:bCs/>
          <w:sz w:val="18"/>
          <w:szCs w:val="18"/>
          <w:lang w:val="en"/>
        </w:rPr>
        <w:t>3.</w:t>
      </w:r>
      <w:r w:rsidR="008D192F" w:rsidRPr="004F2F24">
        <w:rPr>
          <w:sz w:val="18"/>
          <w:szCs w:val="18"/>
          <w:lang w:val="en"/>
        </w:rPr>
        <w:t xml:space="preserve"> Results of journal investigation including limitation and deeper understanding about hemostatic biomaterials in dentistry</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8"/>
        <w:gridCol w:w="236"/>
        <w:gridCol w:w="1470"/>
        <w:gridCol w:w="353"/>
        <w:gridCol w:w="1077"/>
        <w:gridCol w:w="1846"/>
        <w:gridCol w:w="961"/>
        <w:gridCol w:w="1049"/>
        <w:gridCol w:w="656"/>
        <w:gridCol w:w="894"/>
        <w:gridCol w:w="640"/>
      </w:tblGrid>
      <w:tr w:rsidR="008D192F" w:rsidRPr="00615448" w14:paraId="26B316EC" w14:textId="77777777" w:rsidTr="004F2F24">
        <w:trPr>
          <w:trHeight w:val="120"/>
          <w:tblHeader/>
        </w:trPr>
        <w:tc>
          <w:tcPr>
            <w:tcW w:w="90" w:type="pct"/>
            <w:tcMar>
              <w:top w:w="0" w:type="dxa"/>
              <w:left w:w="0" w:type="dxa"/>
              <w:bottom w:w="0" w:type="dxa"/>
              <w:right w:w="0" w:type="dxa"/>
            </w:tcMar>
            <w:vAlign w:val="center"/>
          </w:tcPr>
          <w:p w14:paraId="7757B6A2" w14:textId="77777777" w:rsidR="008D192F" w:rsidRPr="004F2F24" w:rsidRDefault="008D192F" w:rsidP="00583B5E">
            <w:pPr>
              <w:jc w:val="center"/>
              <w:rPr>
                <w:b/>
                <w:sz w:val="10"/>
                <w:szCs w:val="10"/>
              </w:rPr>
            </w:pPr>
            <w:r w:rsidRPr="004F2F24">
              <w:rPr>
                <w:b/>
                <w:sz w:val="10"/>
                <w:szCs w:val="10"/>
              </w:rPr>
              <w:t>NO</w:t>
            </w:r>
          </w:p>
        </w:tc>
        <w:tc>
          <w:tcPr>
            <w:tcW w:w="126" w:type="pct"/>
            <w:tcMar>
              <w:top w:w="0" w:type="dxa"/>
              <w:left w:w="0" w:type="dxa"/>
              <w:bottom w:w="0" w:type="dxa"/>
              <w:right w:w="0" w:type="dxa"/>
            </w:tcMar>
            <w:vAlign w:val="center"/>
          </w:tcPr>
          <w:p w14:paraId="7B065FBB" w14:textId="77777777" w:rsidR="008D192F" w:rsidRPr="004F2F24" w:rsidRDefault="008D192F" w:rsidP="00583B5E">
            <w:pPr>
              <w:jc w:val="center"/>
              <w:rPr>
                <w:b/>
                <w:sz w:val="10"/>
                <w:szCs w:val="10"/>
              </w:rPr>
            </w:pPr>
            <w:r w:rsidRPr="004F2F24">
              <w:rPr>
                <w:bCs/>
                <w:sz w:val="10"/>
                <w:szCs w:val="10"/>
              </w:rPr>
              <w:t>TITLE</w:t>
            </w:r>
          </w:p>
        </w:tc>
        <w:tc>
          <w:tcPr>
            <w:tcW w:w="785" w:type="pct"/>
            <w:tcMar>
              <w:top w:w="0" w:type="dxa"/>
              <w:left w:w="0" w:type="dxa"/>
              <w:bottom w:w="0" w:type="dxa"/>
              <w:right w:w="0" w:type="dxa"/>
            </w:tcMar>
            <w:vAlign w:val="center"/>
          </w:tcPr>
          <w:p w14:paraId="3E9384F1" w14:textId="77777777" w:rsidR="008D192F" w:rsidRPr="004F2F24" w:rsidRDefault="008D192F" w:rsidP="00583B5E">
            <w:pPr>
              <w:jc w:val="center"/>
              <w:rPr>
                <w:b/>
                <w:sz w:val="10"/>
                <w:szCs w:val="10"/>
              </w:rPr>
            </w:pPr>
            <w:r w:rsidRPr="004F2F24">
              <w:rPr>
                <w:b/>
                <w:sz w:val="10"/>
                <w:szCs w:val="10"/>
              </w:rPr>
              <w:t>OBJECTIVE</w:t>
            </w:r>
          </w:p>
        </w:tc>
        <w:tc>
          <w:tcPr>
            <w:tcW w:w="189" w:type="pct"/>
            <w:vMerge w:val="restart"/>
            <w:tcMar>
              <w:top w:w="0" w:type="dxa"/>
              <w:left w:w="0" w:type="dxa"/>
              <w:bottom w:w="0" w:type="dxa"/>
              <w:right w:w="0" w:type="dxa"/>
            </w:tcMar>
            <w:vAlign w:val="center"/>
          </w:tcPr>
          <w:p w14:paraId="3C5FDCB4" w14:textId="77777777" w:rsidR="008D192F" w:rsidRPr="004F2F24" w:rsidRDefault="008D192F" w:rsidP="00583B5E">
            <w:pPr>
              <w:jc w:val="center"/>
              <w:rPr>
                <w:b/>
                <w:sz w:val="10"/>
                <w:szCs w:val="10"/>
              </w:rPr>
            </w:pPr>
            <w:r w:rsidRPr="004F2F24">
              <w:rPr>
                <w:b/>
                <w:sz w:val="10"/>
                <w:szCs w:val="10"/>
              </w:rPr>
              <w:t>STUDY</w:t>
            </w:r>
          </w:p>
        </w:tc>
        <w:tc>
          <w:tcPr>
            <w:tcW w:w="576" w:type="pct"/>
            <w:vMerge w:val="restart"/>
            <w:tcMar>
              <w:top w:w="0" w:type="dxa"/>
              <w:left w:w="0" w:type="dxa"/>
              <w:bottom w:w="0" w:type="dxa"/>
              <w:right w:w="0" w:type="dxa"/>
            </w:tcMar>
            <w:vAlign w:val="center"/>
          </w:tcPr>
          <w:p w14:paraId="44A2C659" w14:textId="77777777" w:rsidR="008D192F" w:rsidRPr="004F2F24" w:rsidRDefault="008D192F" w:rsidP="00583B5E">
            <w:pPr>
              <w:jc w:val="center"/>
              <w:rPr>
                <w:b/>
                <w:sz w:val="10"/>
                <w:szCs w:val="10"/>
              </w:rPr>
            </w:pPr>
            <w:r w:rsidRPr="004F2F24">
              <w:rPr>
                <w:b/>
                <w:sz w:val="10"/>
                <w:szCs w:val="10"/>
              </w:rPr>
              <w:t>MATERIALS</w:t>
            </w:r>
          </w:p>
        </w:tc>
        <w:tc>
          <w:tcPr>
            <w:tcW w:w="987" w:type="pct"/>
            <w:vMerge w:val="restart"/>
            <w:tcMar>
              <w:top w:w="0" w:type="dxa"/>
              <w:left w:w="0" w:type="dxa"/>
              <w:bottom w:w="0" w:type="dxa"/>
              <w:right w:w="0" w:type="dxa"/>
            </w:tcMar>
            <w:vAlign w:val="center"/>
          </w:tcPr>
          <w:p w14:paraId="33A01FD2" w14:textId="77777777" w:rsidR="008D192F" w:rsidRPr="004F2F24" w:rsidRDefault="008D192F" w:rsidP="00583B5E">
            <w:pPr>
              <w:jc w:val="center"/>
              <w:rPr>
                <w:b/>
                <w:sz w:val="10"/>
                <w:szCs w:val="10"/>
              </w:rPr>
            </w:pPr>
            <w:r w:rsidRPr="004F2F24">
              <w:rPr>
                <w:b/>
                <w:sz w:val="10"/>
                <w:szCs w:val="10"/>
              </w:rPr>
              <w:t>RESEARCH METHODS: HEMOSTATIC ASSAYS</w:t>
            </w:r>
          </w:p>
        </w:tc>
        <w:tc>
          <w:tcPr>
            <w:tcW w:w="1426" w:type="pct"/>
            <w:gridSpan w:val="3"/>
            <w:tcMar>
              <w:top w:w="0" w:type="dxa"/>
              <w:left w:w="0" w:type="dxa"/>
              <w:bottom w:w="0" w:type="dxa"/>
              <w:right w:w="0" w:type="dxa"/>
            </w:tcMar>
            <w:vAlign w:val="center"/>
          </w:tcPr>
          <w:p w14:paraId="20F18CD0" w14:textId="77777777" w:rsidR="008D192F" w:rsidRPr="004F2F24" w:rsidRDefault="008D192F" w:rsidP="00583B5E">
            <w:pPr>
              <w:jc w:val="center"/>
              <w:rPr>
                <w:b/>
                <w:sz w:val="10"/>
                <w:szCs w:val="10"/>
              </w:rPr>
            </w:pPr>
            <w:r w:rsidRPr="004F2F24">
              <w:rPr>
                <w:b/>
                <w:sz w:val="10"/>
                <w:szCs w:val="10"/>
              </w:rPr>
              <w:t>ANALYSIS OF EFFECTIVENESS HEMOSTATIC ASSAYS</w:t>
            </w:r>
          </w:p>
        </w:tc>
        <w:tc>
          <w:tcPr>
            <w:tcW w:w="821" w:type="pct"/>
            <w:gridSpan w:val="2"/>
            <w:tcMar>
              <w:top w:w="0" w:type="dxa"/>
              <w:left w:w="0" w:type="dxa"/>
              <w:bottom w:w="0" w:type="dxa"/>
              <w:right w:w="0" w:type="dxa"/>
            </w:tcMar>
            <w:vAlign w:val="center"/>
          </w:tcPr>
          <w:p w14:paraId="6DB3D303" w14:textId="77777777" w:rsidR="008D192F" w:rsidRPr="004F2F24" w:rsidRDefault="008D192F" w:rsidP="00583B5E">
            <w:pPr>
              <w:jc w:val="center"/>
              <w:rPr>
                <w:b/>
                <w:sz w:val="10"/>
                <w:szCs w:val="10"/>
              </w:rPr>
            </w:pPr>
            <w:r w:rsidRPr="004F2F24">
              <w:rPr>
                <w:b/>
                <w:sz w:val="10"/>
                <w:szCs w:val="10"/>
              </w:rPr>
              <w:t>VALUE</w:t>
            </w:r>
          </w:p>
        </w:tc>
      </w:tr>
      <w:tr w:rsidR="004F2F24" w:rsidRPr="00615448" w14:paraId="00718E3B" w14:textId="77777777" w:rsidTr="004F2F24">
        <w:trPr>
          <w:trHeight w:val="210"/>
          <w:tblHeader/>
        </w:trPr>
        <w:tc>
          <w:tcPr>
            <w:tcW w:w="1002" w:type="pct"/>
            <w:gridSpan w:val="3"/>
            <w:tcMar>
              <w:top w:w="100" w:type="dxa"/>
              <w:left w:w="100" w:type="dxa"/>
              <w:bottom w:w="100" w:type="dxa"/>
              <w:right w:w="100" w:type="dxa"/>
            </w:tcMar>
            <w:vAlign w:val="center"/>
          </w:tcPr>
          <w:p w14:paraId="7C2B11B8" w14:textId="77777777" w:rsidR="004F2F24" w:rsidRPr="004F2F24" w:rsidRDefault="004F2F24" w:rsidP="00583B5E">
            <w:pPr>
              <w:jc w:val="center"/>
              <w:rPr>
                <w:sz w:val="10"/>
                <w:szCs w:val="10"/>
              </w:rPr>
            </w:pPr>
          </w:p>
        </w:tc>
        <w:tc>
          <w:tcPr>
            <w:tcW w:w="189" w:type="pct"/>
            <w:vMerge/>
            <w:tcMar>
              <w:top w:w="100" w:type="dxa"/>
              <w:left w:w="100" w:type="dxa"/>
              <w:bottom w:w="100" w:type="dxa"/>
              <w:right w:w="100" w:type="dxa"/>
            </w:tcMar>
            <w:vAlign w:val="center"/>
          </w:tcPr>
          <w:p w14:paraId="1B53B7BB" w14:textId="77777777" w:rsidR="004F2F24" w:rsidRPr="004F2F24" w:rsidRDefault="004F2F24" w:rsidP="00583B5E">
            <w:pPr>
              <w:jc w:val="center"/>
              <w:rPr>
                <w:sz w:val="10"/>
                <w:szCs w:val="10"/>
              </w:rPr>
            </w:pPr>
          </w:p>
        </w:tc>
        <w:tc>
          <w:tcPr>
            <w:tcW w:w="576" w:type="pct"/>
            <w:vMerge/>
            <w:tcMar>
              <w:top w:w="100" w:type="dxa"/>
              <w:left w:w="100" w:type="dxa"/>
              <w:bottom w:w="100" w:type="dxa"/>
              <w:right w:w="100" w:type="dxa"/>
            </w:tcMar>
            <w:vAlign w:val="center"/>
          </w:tcPr>
          <w:p w14:paraId="75BC4C62" w14:textId="77777777" w:rsidR="004F2F24" w:rsidRPr="004F2F24" w:rsidRDefault="004F2F24" w:rsidP="00583B5E">
            <w:pPr>
              <w:jc w:val="center"/>
              <w:rPr>
                <w:sz w:val="10"/>
                <w:szCs w:val="10"/>
              </w:rPr>
            </w:pPr>
          </w:p>
        </w:tc>
        <w:tc>
          <w:tcPr>
            <w:tcW w:w="987" w:type="pct"/>
            <w:vMerge/>
            <w:tcMar>
              <w:top w:w="100" w:type="dxa"/>
              <w:left w:w="100" w:type="dxa"/>
              <w:bottom w:w="100" w:type="dxa"/>
              <w:right w:w="100" w:type="dxa"/>
            </w:tcMar>
            <w:vAlign w:val="center"/>
          </w:tcPr>
          <w:p w14:paraId="53CB486E" w14:textId="77777777" w:rsidR="004F2F24" w:rsidRPr="004F2F24" w:rsidRDefault="004F2F24" w:rsidP="00583B5E">
            <w:pPr>
              <w:jc w:val="center"/>
              <w:rPr>
                <w:sz w:val="10"/>
                <w:szCs w:val="10"/>
              </w:rPr>
            </w:pPr>
          </w:p>
        </w:tc>
        <w:tc>
          <w:tcPr>
            <w:tcW w:w="514" w:type="pct"/>
            <w:tcMar>
              <w:top w:w="0" w:type="dxa"/>
              <w:left w:w="0" w:type="dxa"/>
              <w:bottom w:w="0" w:type="dxa"/>
              <w:right w:w="0" w:type="dxa"/>
            </w:tcMar>
            <w:vAlign w:val="center"/>
          </w:tcPr>
          <w:p w14:paraId="38A6957A" w14:textId="77777777" w:rsidR="004F2F24" w:rsidRPr="004F2F24" w:rsidRDefault="004F2F24" w:rsidP="00583B5E">
            <w:pPr>
              <w:jc w:val="center"/>
              <w:rPr>
                <w:b/>
                <w:sz w:val="10"/>
                <w:szCs w:val="10"/>
              </w:rPr>
            </w:pPr>
            <w:r w:rsidRPr="004F2F24">
              <w:rPr>
                <w:b/>
                <w:sz w:val="10"/>
                <w:szCs w:val="10"/>
              </w:rPr>
              <w:t>RESULTS</w:t>
            </w:r>
          </w:p>
        </w:tc>
        <w:tc>
          <w:tcPr>
            <w:tcW w:w="561" w:type="pct"/>
            <w:tcMar>
              <w:top w:w="0" w:type="dxa"/>
              <w:left w:w="0" w:type="dxa"/>
              <w:bottom w:w="0" w:type="dxa"/>
              <w:right w:w="0" w:type="dxa"/>
            </w:tcMar>
            <w:vAlign w:val="center"/>
          </w:tcPr>
          <w:p w14:paraId="69C14A46" w14:textId="77777777" w:rsidR="004F2F24" w:rsidRPr="004F2F24" w:rsidRDefault="004F2F24" w:rsidP="00583B5E">
            <w:pPr>
              <w:jc w:val="center"/>
              <w:rPr>
                <w:b/>
                <w:sz w:val="10"/>
                <w:szCs w:val="10"/>
              </w:rPr>
            </w:pPr>
            <w:r w:rsidRPr="004F2F24">
              <w:rPr>
                <w:b/>
                <w:sz w:val="10"/>
                <w:szCs w:val="10"/>
              </w:rPr>
              <w:t>FINDINGS</w:t>
            </w:r>
          </w:p>
        </w:tc>
        <w:tc>
          <w:tcPr>
            <w:tcW w:w="351" w:type="pct"/>
            <w:tcMar>
              <w:top w:w="0" w:type="dxa"/>
              <w:left w:w="0" w:type="dxa"/>
              <w:bottom w:w="0" w:type="dxa"/>
              <w:right w:w="0" w:type="dxa"/>
            </w:tcMar>
            <w:vAlign w:val="center"/>
          </w:tcPr>
          <w:p w14:paraId="374B6148" w14:textId="77777777" w:rsidR="004F2F24" w:rsidRPr="004F2F24" w:rsidRDefault="004F2F24" w:rsidP="00583B5E">
            <w:pPr>
              <w:jc w:val="center"/>
              <w:rPr>
                <w:b/>
                <w:sz w:val="10"/>
                <w:szCs w:val="10"/>
              </w:rPr>
            </w:pPr>
            <w:r w:rsidRPr="004F2F24">
              <w:rPr>
                <w:b/>
                <w:sz w:val="10"/>
                <w:szCs w:val="10"/>
              </w:rPr>
              <w:t>LIMITATION</w:t>
            </w:r>
          </w:p>
        </w:tc>
        <w:tc>
          <w:tcPr>
            <w:tcW w:w="478" w:type="pct"/>
            <w:tcMar>
              <w:top w:w="0" w:type="dxa"/>
              <w:left w:w="0" w:type="dxa"/>
              <w:bottom w:w="0" w:type="dxa"/>
              <w:right w:w="0" w:type="dxa"/>
            </w:tcMar>
            <w:vAlign w:val="center"/>
          </w:tcPr>
          <w:p w14:paraId="61DFD8AD" w14:textId="77777777" w:rsidR="004F2F24" w:rsidRPr="004F2F24" w:rsidRDefault="004F2F24" w:rsidP="00583B5E">
            <w:pPr>
              <w:jc w:val="center"/>
              <w:rPr>
                <w:b/>
                <w:sz w:val="10"/>
                <w:szCs w:val="10"/>
              </w:rPr>
            </w:pPr>
            <w:r w:rsidRPr="004F2F24">
              <w:rPr>
                <w:b/>
                <w:sz w:val="10"/>
                <w:szCs w:val="10"/>
              </w:rPr>
              <w:t>DEEPER UNDERSTANDING</w:t>
            </w:r>
          </w:p>
        </w:tc>
        <w:tc>
          <w:tcPr>
            <w:tcW w:w="343" w:type="pct"/>
            <w:tcMar>
              <w:top w:w="0" w:type="dxa"/>
              <w:left w:w="0" w:type="dxa"/>
              <w:bottom w:w="0" w:type="dxa"/>
              <w:right w:w="0" w:type="dxa"/>
            </w:tcMar>
            <w:vAlign w:val="center"/>
          </w:tcPr>
          <w:p w14:paraId="638856A9" w14:textId="77777777" w:rsidR="004F2F24" w:rsidRPr="004F2F24" w:rsidRDefault="004F2F24" w:rsidP="00583B5E">
            <w:pPr>
              <w:jc w:val="center"/>
              <w:rPr>
                <w:b/>
                <w:sz w:val="10"/>
                <w:szCs w:val="10"/>
              </w:rPr>
            </w:pPr>
            <w:r w:rsidRPr="004F2F24">
              <w:rPr>
                <w:b/>
                <w:sz w:val="10"/>
                <w:szCs w:val="10"/>
              </w:rPr>
              <w:t>NEW DIRECTION TO FUTURE RESEARCH</w:t>
            </w:r>
          </w:p>
        </w:tc>
      </w:tr>
      <w:tr w:rsidR="008D192F" w:rsidRPr="00615448" w14:paraId="79517914" w14:textId="77777777" w:rsidTr="004F2F24">
        <w:trPr>
          <w:trHeight w:val="2355"/>
        </w:trPr>
        <w:tc>
          <w:tcPr>
            <w:tcW w:w="90" w:type="pct"/>
            <w:tcMar>
              <w:top w:w="0" w:type="dxa"/>
              <w:left w:w="0" w:type="dxa"/>
              <w:bottom w:w="0" w:type="dxa"/>
              <w:right w:w="0" w:type="dxa"/>
            </w:tcMar>
          </w:tcPr>
          <w:p w14:paraId="1F6A1213" w14:textId="77777777" w:rsidR="008D192F" w:rsidRPr="00615448" w:rsidRDefault="008D192F" w:rsidP="00583B5E">
            <w:pPr>
              <w:rPr>
                <w:sz w:val="8"/>
                <w:szCs w:val="8"/>
              </w:rPr>
            </w:pPr>
            <w:r w:rsidRPr="00615448">
              <w:rPr>
                <w:sz w:val="8"/>
                <w:szCs w:val="8"/>
              </w:rPr>
              <w:t>1</w:t>
            </w:r>
          </w:p>
        </w:tc>
        <w:tc>
          <w:tcPr>
            <w:tcW w:w="126" w:type="pct"/>
            <w:tcMar>
              <w:top w:w="0" w:type="dxa"/>
              <w:left w:w="0" w:type="dxa"/>
              <w:bottom w:w="0" w:type="dxa"/>
              <w:right w:w="0" w:type="dxa"/>
            </w:tcMar>
          </w:tcPr>
          <w:p w14:paraId="434435ED" w14:textId="77777777" w:rsidR="008D192F" w:rsidRPr="004F2F24" w:rsidRDefault="008D192F" w:rsidP="00583B5E">
            <w:pPr>
              <w:rPr>
                <w:sz w:val="12"/>
                <w:szCs w:val="12"/>
              </w:rPr>
            </w:pPr>
            <w:r w:rsidRPr="004F2F24">
              <w:rPr>
                <w:sz w:val="12"/>
                <w:szCs w:val="12"/>
              </w:rPr>
              <w:t>Chitosan dressings containing inorganic additives and levofloxacin as potential wound care products with enhanced hemostatic properties</w:t>
            </w:r>
          </w:p>
        </w:tc>
        <w:tc>
          <w:tcPr>
            <w:tcW w:w="785" w:type="pct"/>
            <w:tcMar>
              <w:top w:w="0" w:type="dxa"/>
              <w:left w:w="0" w:type="dxa"/>
              <w:bottom w:w="0" w:type="dxa"/>
              <w:right w:w="0" w:type="dxa"/>
            </w:tcMar>
          </w:tcPr>
          <w:p w14:paraId="2AD58DF8" w14:textId="77777777" w:rsidR="008D192F" w:rsidRPr="004F2F24" w:rsidRDefault="008D192F" w:rsidP="00583B5E">
            <w:pPr>
              <w:rPr>
                <w:sz w:val="12"/>
                <w:szCs w:val="12"/>
              </w:rPr>
            </w:pPr>
            <w:r w:rsidRPr="004F2F24">
              <w:rPr>
                <w:sz w:val="12"/>
                <w:szCs w:val="12"/>
              </w:rPr>
              <w:t>Examined in vitro and in vivo hemostatic potential of the combination of CS with ACI, AS or FS and LEV for hemostatic wound healing</w:t>
            </w:r>
          </w:p>
        </w:tc>
        <w:tc>
          <w:tcPr>
            <w:tcW w:w="189" w:type="pct"/>
            <w:tcMar>
              <w:top w:w="0" w:type="dxa"/>
              <w:left w:w="0" w:type="dxa"/>
              <w:bottom w:w="0" w:type="dxa"/>
              <w:right w:w="0" w:type="dxa"/>
            </w:tcMar>
          </w:tcPr>
          <w:p w14:paraId="5DB41C30" w14:textId="77777777" w:rsidR="008D192F" w:rsidRPr="004F2F24" w:rsidRDefault="008D192F" w:rsidP="00583B5E">
            <w:pPr>
              <w:rPr>
                <w:sz w:val="12"/>
                <w:szCs w:val="12"/>
              </w:rPr>
            </w:pPr>
            <w:r w:rsidRPr="004F2F24">
              <w:rPr>
                <w:sz w:val="12"/>
                <w:szCs w:val="12"/>
              </w:rPr>
              <w:t>IN VITRO; IN VIVO</w:t>
            </w:r>
          </w:p>
        </w:tc>
        <w:tc>
          <w:tcPr>
            <w:tcW w:w="576" w:type="pct"/>
            <w:tcMar>
              <w:top w:w="0" w:type="dxa"/>
              <w:left w:w="0" w:type="dxa"/>
              <w:bottom w:w="0" w:type="dxa"/>
              <w:right w:w="0" w:type="dxa"/>
            </w:tcMar>
          </w:tcPr>
          <w:p w14:paraId="61AA4702" w14:textId="77777777" w:rsidR="008D192F" w:rsidRPr="004F2F24" w:rsidRDefault="008D192F" w:rsidP="00583B5E">
            <w:pPr>
              <w:rPr>
                <w:color w:val="231F20"/>
                <w:sz w:val="12"/>
                <w:szCs w:val="12"/>
              </w:rPr>
            </w:pPr>
            <w:r w:rsidRPr="004F2F24">
              <w:rPr>
                <w:rFonts w:eastAsia="Arial Unicode MS"/>
                <w:color w:val="231F20"/>
                <w:sz w:val="12"/>
                <w:szCs w:val="12"/>
              </w:rPr>
              <w:t xml:space="preserve">Acetic acid (99.8%) was purchased from Chem-Lab NV. Chitosan (CS) with Mw = 18,000 g/mol (N85% hydrolyzed), degree of deacetylation 88–95%, dynamic viscosity of 1% solution in 1% aqueous acetic acid at 20 °C of 89 </w:t>
            </w:r>
            <w:proofErr w:type="spellStart"/>
            <w:r w:rsidRPr="004F2F24">
              <w:rPr>
                <w:rFonts w:eastAsia="Arial Unicode MS"/>
                <w:color w:val="231F20"/>
                <w:sz w:val="12"/>
                <w:szCs w:val="12"/>
              </w:rPr>
              <w:t>mPa·s</w:t>
            </w:r>
            <w:proofErr w:type="spellEnd"/>
            <w:r w:rsidRPr="004F2F24">
              <w:rPr>
                <w:rFonts w:eastAsia="Arial Unicode MS"/>
                <w:color w:val="231F20"/>
                <w:sz w:val="12"/>
                <w:szCs w:val="12"/>
              </w:rPr>
              <w:t xml:space="preserve"> and particle size ≤0.5 mm was purchased from </w:t>
            </w:r>
            <w:proofErr w:type="spellStart"/>
            <w:r w:rsidRPr="004F2F24">
              <w:rPr>
                <w:rFonts w:eastAsia="Arial Unicode MS"/>
                <w:color w:val="231F20"/>
                <w:sz w:val="12"/>
                <w:szCs w:val="12"/>
              </w:rPr>
              <w:t>Kraeber</w:t>
            </w:r>
            <w:proofErr w:type="spellEnd"/>
            <w:r w:rsidRPr="004F2F24">
              <w:rPr>
                <w:rFonts w:eastAsia="Arial Unicode MS"/>
                <w:color w:val="231F20"/>
                <w:sz w:val="12"/>
                <w:szCs w:val="12"/>
              </w:rPr>
              <w:t xml:space="preserve"> &amp; CO GMBH. Aluminum chloride (</w:t>
            </w:r>
            <w:proofErr w:type="spellStart"/>
            <w:r w:rsidRPr="004F2F24">
              <w:rPr>
                <w:rFonts w:eastAsia="Arial Unicode MS"/>
                <w:color w:val="231F20"/>
                <w:sz w:val="12"/>
                <w:szCs w:val="12"/>
              </w:rPr>
              <w:t>ACl</w:t>
            </w:r>
            <w:proofErr w:type="spellEnd"/>
            <w:r w:rsidRPr="004F2F24">
              <w:rPr>
                <w:rFonts w:eastAsia="Arial Unicode MS"/>
                <w:color w:val="231F20"/>
                <w:sz w:val="12"/>
                <w:szCs w:val="12"/>
              </w:rPr>
              <w:t xml:space="preserve">) (99%), Aluminum sulfate hydrate (AS) (97%) and </w:t>
            </w:r>
            <w:proofErr w:type="gramStart"/>
            <w:r w:rsidRPr="004F2F24">
              <w:rPr>
                <w:rFonts w:eastAsia="Arial Unicode MS"/>
                <w:color w:val="231F20"/>
                <w:sz w:val="12"/>
                <w:szCs w:val="12"/>
              </w:rPr>
              <w:t>Iron(</w:t>
            </w:r>
            <w:proofErr w:type="gramEnd"/>
            <w:r w:rsidRPr="004F2F24">
              <w:rPr>
                <w:rFonts w:eastAsia="Arial Unicode MS"/>
                <w:color w:val="231F20"/>
                <w:sz w:val="12"/>
                <w:szCs w:val="12"/>
              </w:rPr>
              <w:t xml:space="preserve">III) sulfate hydrate (FS) were purchased from Alfa </w:t>
            </w:r>
            <w:proofErr w:type="spellStart"/>
            <w:r w:rsidRPr="004F2F24">
              <w:rPr>
                <w:rFonts w:eastAsia="Arial Unicode MS"/>
                <w:color w:val="231F20"/>
                <w:sz w:val="12"/>
                <w:szCs w:val="12"/>
              </w:rPr>
              <w:t>Aesar</w:t>
            </w:r>
            <w:proofErr w:type="spellEnd"/>
            <w:r w:rsidRPr="004F2F24">
              <w:rPr>
                <w:rFonts w:eastAsia="Arial Unicode MS"/>
                <w:color w:val="231F20"/>
                <w:sz w:val="12"/>
                <w:szCs w:val="12"/>
              </w:rPr>
              <w:t xml:space="preserve">. Levofloxacin (LEV) was kindly donated by </w:t>
            </w:r>
            <w:proofErr w:type="spellStart"/>
            <w:r w:rsidRPr="004F2F24">
              <w:rPr>
                <w:rFonts w:eastAsia="Arial Unicode MS"/>
                <w:color w:val="231F20"/>
                <w:sz w:val="12"/>
                <w:szCs w:val="12"/>
              </w:rPr>
              <w:t>Pharmathen</w:t>
            </w:r>
            <w:proofErr w:type="spellEnd"/>
            <w:r w:rsidRPr="004F2F24">
              <w:rPr>
                <w:rFonts w:eastAsia="Arial Unicode MS"/>
                <w:color w:val="231F20"/>
                <w:sz w:val="12"/>
                <w:szCs w:val="12"/>
              </w:rPr>
              <w:t xml:space="preserve"> SA.</w:t>
            </w:r>
          </w:p>
        </w:tc>
        <w:tc>
          <w:tcPr>
            <w:tcW w:w="987" w:type="pct"/>
            <w:tcMar>
              <w:top w:w="0" w:type="dxa"/>
              <w:left w:w="0" w:type="dxa"/>
              <w:bottom w:w="0" w:type="dxa"/>
              <w:right w:w="0" w:type="dxa"/>
            </w:tcMar>
          </w:tcPr>
          <w:p w14:paraId="5C73154E" w14:textId="77777777" w:rsidR="008D192F" w:rsidRPr="004F2F24" w:rsidRDefault="008D192F" w:rsidP="00583B5E">
            <w:pPr>
              <w:rPr>
                <w:sz w:val="12"/>
                <w:szCs w:val="12"/>
              </w:rPr>
            </w:pPr>
            <w:r w:rsidRPr="004F2F24">
              <w:rPr>
                <w:b/>
                <w:sz w:val="12"/>
                <w:szCs w:val="12"/>
              </w:rPr>
              <w:t xml:space="preserve">1. Assessment of whole blood clotting time (CT): </w:t>
            </w:r>
            <w:r w:rsidRPr="004F2F24">
              <w:rPr>
                <w:sz w:val="12"/>
                <w:szCs w:val="12"/>
              </w:rPr>
              <w:t xml:space="preserve">Blood was collected from healthy volunteers under informed </w:t>
            </w:r>
            <w:proofErr w:type="spellStart"/>
            <w:r w:rsidRPr="004F2F24">
              <w:rPr>
                <w:sz w:val="12"/>
                <w:szCs w:val="12"/>
              </w:rPr>
              <w:t>onsent</w:t>
            </w:r>
            <w:proofErr w:type="spellEnd"/>
            <w:r w:rsidRPr="004F2F24">
              <w:rPr>
                <w:sz w:val="12"/>
                <w:szCs w:val="12"/>
              </w:rPr>
              <w:t xml:space="preserve"> following protocol approved as per Helsinki guidelines. 3.8% sodium citrate was used as an anticoagulant. 10 mg of each sample was placed in Eppendorf tubes and in a water bath at 37 °C for 10 min. 340 </w:t>
            </w:r>
            <w:proofErr w:type="spellStart"/>
            <w:r w:rsidRPr="004F2F24">
              <w:rPr>
                <w:sz w:val="12"/>
                <w:szCs w:val="12"/>
              </w:rPr>
              <w:t>μL</w:t>
            </w:r>
            <w:proofErr w:type="spellEnd"/>
            <w:r w:rsidRPr="004F2F24">
              <w:rPr>
                <w:sz w:val="12"/>
                <w:szCs w:val="12"/>
              </w:rPr>
              <w:t xml:space="preserve"> of whole blood was added to the tubes with 20 </w:t>
            </w:r>
            <w:proofErr w:type="spellStart"/>
            <w:r w:rsidRPr="004F2F24">
              <w:rPr>
                <w:sz w:val="12"/>
                <w:szCs w:val="12"/>
              </w:rPr>
              <w:t>μL</w:t>
            </w:r>
            <w:proofErr w:type="spellEnd"/>
            <w:r w:rsidRPr="004F2F24">
              <w:rPr>
                <w:sz w:val="12"/>
                <w:szCs w:val="12"/>
              </w:rPr>
              <w:t xml:space="preserve"> of 0.2 M CaCl2 and warmed at 37 °C in water bath. CT was designated as the time when no flow was observed after the tube was inverted (the tubes were inverted every 10 s and held in position for 1 s before reverting). The control was measured in the absence of materials. The blood material clot was gently rinsed thrice in PBS and the gel morphology was examined with SEM.</w:t>
            </w:r>
            <w:r w:rsidRPr="004F2F24">
              <w:rPr>
                <w:sz w:val="12"/>
                <w:szCs w:val="12"/>
              </w:rPr>
              <w:br/>
            </w:r>
            <w:r w:rsidRPr="004F2F24">
              <w:rPr>
                <w:b/>
                <w:sz w:val="12"/>
                <w:szCs w:val="12"/>
              </w:rPr>
              <w:t xml:space="preserve">2. Plasma recalcification time (PRT) and platelet adhesion: </w:t>
            </w:r>
            <w:r w:rsidRPr="004F2F24">
              <w:rPr>
                <w:sz w:val="12"/>
                <w:szCs w:val="12"/>
              </w:rPr>
              <w:t xml:space="preserve">Blood was collected in anticoagulant. To obtain poor platelet plasma (PPP) and platelet rich plasma (PRP), double centrifugation was performed. The first centrifugation was carried out at 320 ×g for 15 min at 4 °C, the supernatant containing the platelets was collected and the platelet number was measured using a </w:t>
            </w:r>
            <w:proofErr w:type="spellStart"/>
            <w:r w:rsidRPr="004F2F24">
              <w:rPr>
                <w:sz w:val="12"/>
                <w:szCs w:val="12"/>
              </w:rPr>
              <w:t>Celltak</w:t>
            </w:r>
            <w:proofErr w:type="spellEnd"/>
            <w:r w:rsidRPr="004F2F24">
              <w:rPr>
                <w:sz w:val="12"/>
                <w:szCs w:val="12"/>
              </w:rPr>
              <w:t xml:space="preserve">, </w:t>
            </w:r>
            <w:proofErr w:type="spellStart"/>
            <w:r w:rsidRPr="004F2F24">
              <w:rPr>
                <w:sz w:val="12"/>
                <w:szCs w:val="12"/>
              </w:rPr>
              <w:t>Hihon</w:t>
            </w:r>
            <w:proofErr w:type="spellEnd"/>
            <w:r w:rsidRPr="004F2F24">
              <w:rPr>
                <w:sz w:val="12"/>
                <w:szCs w:val="12"/>
              </w:rPr>
              <w:t xml:space="preserve"> </w:t>
            </w:r>
            <w:proofErr w:type="spellStart"/>
            <w:r w:rsidRPr="004F2F24">
              <w:rPr>
                <w:sz w:val="12"/>
                <w:szCs w:val="12"/>
              </w:rPr>
              <w:t>Kohden</w:t>
            </w:r>
            <w:proofErr w:type="spellEnd"/>
            <w:r w:rsidRPr="004F2F24">
              <w:rPr>
                <w:sz w:val="12"/>
                <w:szCs w:val="12"/>
              </w:rPr>
              <w:t xml:space="preserve">, Firenze </w:t>
            </w:r>
            <w:proofErr w:type="spellStart"/>
            <w:r w:rsidRPr="004F2F24">
              <w:rPr>
                <w:sz w:val="12"/>
                <w:szCs w:val="12"/>
              </w:rPr>
              <w:t>S.r.l</w:t>
            </w:r>
            <w:proofErr w:type="spellEnd"/>
            <w:r w:rsidRPr="004F2F24">
              <w:rPr>
                <w:sz w:val="12"/>
                <w:szCs w:val="12"/>
              </w:rPr>
              <w:t>. Then, the collected supernatant containing the platelets was subjected to another centrifugation at 1300 ×g for 15 min and the appropriate volume of the supernatant plasma (PPP) was transferred to a fresh tube so that the final concentration of platelets in plasma would be 5 × 105 /</w:t>
            </w:r>
            <w:proofErr w:type="spellStart"/>
            <w:r w:rsidRPr="004F2F24">
              <w:rPr>
                <w:sz w:val="12"/>
                <w:szCs w:val="12"/>
              </w:rPr>
              <w:t>μL</w:t>
            </w:r>
            <w:proofErr w:type="spellEnd"/>
            <w:r w:rsidRPr="004F2F24">
              <w:rPr>
                <w:sz w:val="12"/>
                <w:szCs w:val="12"/>
              </w:rPr>
              <w:t xml:space="preserve"> (PRP). PRT was determined according to the Hook method. For the assessment of platelet adhesion, the method as described in </w:t>
            </w:r>
            <w:proofErr w:type="spellStart"/>
            <w:r w:rsidRPr="004F2F24">
              <w:rPr>
                <w:sz w:val="12"/>
                <w:szCs w:val="12"/>
              </w:rPr>
              <w:t>Jankivul</w:t>
            </w:r>
            <w:proofErr w:type="spellEnd"/>
            <w:r w:rsidRPr="004F2F24">
              <w:rPr>
                <w:sz w:val="12"/>
                <w:szCs w:val="12"/>
              </w:rPr>
              <w:t xml:space="preserve"> et al. was followed. Details for these protocols are included in the supplementary data. Platelet adherence was analyzed by SEM.</w:t>
            </w:r>
            <w:r w:rsidRPr="004F2F24">
              <w:rPr>
                <w:sz w:val="12"/>
                <w:szCs w:val="12"/>
              </w:rPr>
              <w:br/>
            </w:r>
            <w:r w:rsidRPr="004F2F24">
              <w:rPr>
                <w:b/>
                <w:sz w:val="12"/>
                <w:szCs w:val="12"/>
              </w:rPr>
              <w:t>3. In vivo hemostatic efficacy:</w:t>
            </w:r>
            <w:r w:rsidRPr="004F2F24">
              <w:rPr>
                <w:sz w:val="12"/>
                <w:szCs w:val="12"/>
              </w:rPr>
              <w:t xml:space="preserve"> All animals were of C57BL/6 J background and were kept at temperature-controlled conditions on a 12 h light/dark cycle, fed by standard chow diet and water ad libitum provided within the animal facility of the Institute of Molecular Biology and Biotechnology (IMBB) - Foundation for Research and Technology Hellas (FORTH) (license nos. EL91-BIObr-01 and ΕL91-BIOexp-02). All animal experiments complied with the ARRIVE and NC3Rs guidelines to improve laboratory animal welfare and conformed with all regulations and standards outlined in the Presidential Decree 56/30.04.2013 (Greek Law) in accordance with the EU directives and regulations (2010/63/EU and L 276/33/20.10.2010) and to the U.K. Animals (Scientific Procedures) Act, 1986 and associated guidelines, equivalent to NIH standards. The effect of CS-LEV, CS-AS-LEV, CS-FS-LEV and CS-</w:t>
            </w:r>
            <w:proofErr w:type="spellStart"/>
            <w:r w:rsidRPr="004F2F24">
              <w:rPr>
                <w:sz w:val="12"/>
                <w:szCs w:val="12"/>
              </w:rPr>
              <w:t>ACl</w:t>
            </w:r>
            <w:proofErr w:type="spellEnd"/>
            <w:r w:rsidRPr="004F2F24">
              <w:rPr>
                <w:sz w:val="12"/>
                <w:szCs w:val="12"/>
              </w:rPr>
              <w:t xml:space="preserve">-LEV on hemorrhage control in mice was studied by dividing them into three groups with four mice each (one </w:t>
            </w:r>
            <w:r w:rsidRPr="004F2F24">
              <w:rPr>
                <w:sz w:val="12"/>
                <w:szCs w:val="12"/>
              </w:rPr>
              <w:lastRenderedPageBreak/>
              <w:t>mouse per sample) of similar age (4–6 months), sex (males) and weight (32–38 g). Mice were anesthetized by injecting a mixture of ketamine/xylazine (at 100 mg/kg and 15 mg/kg, respectively) intraperitoneally. Responsiveness to painful stimuli was checked by pinching of the tail or hind limb. Animals were placed in supine position and a distal 3 cm segment of the tail was amputated with surgery scissors. Subsequently, the tails were immediately immersed with pressure in Eppendorf tubes containing the materials for 60 s. The whole procedure was performed by one researcher blinded to the treatment group of each animal. The blood clots were detached from the cut surface and put back into the Eppendorf tubes with the remaining styptic samples, respectively. Then, the Eppendorf tubes were weighed again and the total absorbed blood was calculated. CS-LEV was used as control and all values were normalized to it.</w:t>
            </w:r>
          </w:p>
        </w:tc>
        <w:tc>
          <w:tcPr>
            <w:tcW w:w="514" w:type="pct"/>
            <w:tcMar>
              <w:top w:w="0" w:type="dxa"/>
              <w:left w:w="0" w:type="dxa"/>
              <w:bottom w:w="0" w:type="dxa"/>
              <w:right w:w="0" w:type="dxa"/>
            </w:tcMar>
          </w:tcPr>
          <w:p w14:paraId="46053BA9" w14:textId="77777777" w:rsidR="008D192F" w:rsidRPr="004F2F24" w:rsidRDefault="008D192F" w:rsidP="00583B5E">
            <w:pPr>
              <w:rPr>
                <w:sz w:val="12"/>
                <w:szCs w:val="12"/>
              </w:rPr>
            </w:pPr>
            <w:r w:rsidRPr="004F2F24">
              <w:rPr>
                <w:b/>
                <w:sz w:val="12"/>
                <w:szCs w:val="12"/>
              </w:rPr>
              <w:lastRenderedPageBreak/>
              <w:t>IN VITRO:</w:t>
            </w:r>
            <w:r w:rsidRPr="004F2F24">
              <w:rPr>
                <w:b/>
                <w:sz w:val="12"/>
                <w:szCs w:val="12"/>
              </w:rPr>
              <w:br/>
            </w:r>
            <w:r w:rsidRPr="004F2F24">
              <w:rPr>
                <w:sz w:val="12"/>
                <w:szCs w:val="12"/>
              </w:rPr>
              <w:t>1. CS can absorb plasma from 50 to 300% of its weight, resulting in the concentration of erythrocytes at the place of injury. Erythrocytes bound together by the CS chains into a lattice creating an artificial clot.</w:t>
            </w:r>
            <w:r w:rsidRPr="004F2F24">
              <w:rPr>
                <w:sz w:val="12"/>
                <w:szCs w:val="12"/>
              </w:rPr>
              <w:br/>
              <w:t>2. The average CT of whole blood was found to be 667 seconds, in agreement with the literature. The CT of CS-LEV, CS-AS-LEV, CS-FS-LEV and CS-ACI-LEV were 34+12s, 617+22s, 478+90s and 35+4s, respectively.</w:t>
            </w:r>
            <w:r w:rsidRPr="004F2F24">
              <w:rPr>
                <w:sz w:val="12"/>
                <w:szCs w:val="12"/>
              </w:rPr>
              <w:br/>
              <w:t>3. PRT test CS-FS-LEV (116+23s), CS-ACI-LEV (73+9s), CS-</w:t>
            </w:r>
            <w:proofErr w:type="gramStart"/>
            <w:r w:rsidRPr="004F2F24">
              <w:rPr>
                <w:sz w:val="12"/>
                <w:szCs w:val="12"/>
              </w:rPr>
              <w:t>LEV(</w:t>
            </w:r>
            <w:proofErr w:type="gramEnd"/>
            <w:r w:rsidRPr="004F2F24">
              <w:rPr>
                <w:sz w:val="12"/>
                <w:szCs w:val="12"/>
              </w:rPr>
              <w:t>236+46)</w:t>
            </w:r>
            <w:r w:rsidRPr="004F2F24">
              <w:rPr>
                <w:sz w:val="12"/>
                <w:szCs w:val="12"/>
              </w:rPr>
              <w:br/>
              <w:t>4. A largest number of platelet aggregates appear on additive-containing CS</w:t>
            </w:r>
            <w:r w:rsidRPr="004F2F24">
              <w:rPr>
                <w:sz w:val="12"/>
                <w:szCs w:val="12"/>
              </w:rPr>
              <w:br/>
            </w:r>
            <w:r w:rsidRPr="004F2F24">
              <w:rPr>
                <w:b/>
                <w:sz w:val="12"/>
                <w:szCs w:val="12"/>
              </w:rPr>
              <w:t>IN VIVO:</w:t>
            </w:r>
            <w:r w:rsidRPr="004F2F24">
              <w:rPr>
                <w:b/>
                <w:sz w:val="12"/>
                <w:szCs w:val="12"/>
              </w:rPr>
              <w:br/>
            </w:r>
            <w:r w:rsidRPr="004F2F24">
              <w:rPr>
                <w:sz w:val="12"/>
                <w:szCs w:val="12"/>
              </w:rPr>
              <w:t>All wound dressings that contain the inorganic additives absorbed significantly more blood than CS-LEV, with CS-AS-LEV absorbing the largest amount (877+102%)</w:t>
            </w:r>
          </w:p>
        </w:tc>
        <w:tc>
          <w:tcPr>
            <w:tcW w:w="561" w:type="pct"/>
            <w:tcMar>
              <w:top w:w="0" w:type="dxa"/>
              <w:left w:w="0" w:type="dxa"/>
              <w:bottom w:w="0" w:type="dxa"/>
              <w:right w:w="0" w:type="dxa"/>
            </w:tcMar>
          </w:tcPr>
          <w:p w14:paraId="51CE9291" w14:textId="77777777" w:rsidR="008D192F" w:rsidRPr="004F2F24" w:rsidRDefault="008D192F" w:rsidP="00583B5E">
            <w:pPr>
              <w:rPr>
                <w:sz w:val="12"/>
                <w:szCs w:val="12"/>
              </w:rPr>
            </w:pPr>
            <w:r w:rsidRPr="004F2F24">
              <w:rPr>
                <w:sz w:val="12"/>
                <w:szCs w:val="12"/>
              </w:rPr>
              <w:t>AS enhances the hemostatic activity of CS most efficiently in comparison with FS and ACI</w:t>
            </w:r>
          </w:p>
        </w:tc>
        <w:tc>
          <w:tcPr>
            <w:tcW w:w="351" w:type="pct"/>
            <w:tcMar>
              <w:top w:w="0" w:type="dxa"/>
              <w:left w:w="0" w:type="dxa"/>
              <w:bottom w:w="0" w:type="dxa"/>
              <w:right w:w="0" w:type="dxa"/>
            </w:tcMar>
          </w:tcPr>
          <w:p w14:paraId="7CD9AC26" w14:textId="77777777" w:rsidR="008D192F" w:rsidRPr="004F2F24" w:rsidRDefault="008D192F" w:rsidP="00583B5E">
            <w:pPr>
              <w:rPr>
                <w:sz w:val="12"/>
                <w:szCs w:val="12"/>
              </w:rPr>
            </w:pPr>
            <w:r w:rsidRPr="004F2F24">
              <w:rPr>
                <w:sz w:val="12"/>
                <w:szCs w:val="12"/>
              </w:rPr>
              <w:t>This research did not focus on whole hemostatic pathways, there was no examination about platelet aggregation, plasma coagulation (APTT, PT, TT, Fb, ATIII and PLG)</w:t>
            </w:r>
          </w:p>
        </w:tc>
        <w:tc>
          <w:tcPr>
            <w:tcW w:w="478" w:type="pct"/>
            <w:tcMar>
              <w:top w:w="0" w:type="dxa"/>
              <w:left w:w="0" w:type="dxa"/>
              <w:bottom w:w="0" w:type="dxa"/>
              <w:right w:w="0" w:type="dxa"/>
            </w:tcMar>
          </w:tcPr>
          <w:p w14:paraId="45AE2816" w14:textId="77777777" w:rsidR="008D192F" w:rsidRPr="004F2F24" w:rsidRDefault="008D192F" w:rsidP="00583B5E">
            <w:pPr>
              <w:rPr>
                <w:sz w:val="12"/>
                <w:szCs w:val="12"/>
              </w:rPr>
            </w:pPr>
            <w:r w:rsidRPr="004F2F24">
              <w:rPr>
                <w:sz w:val="12"/>
                <w:szCs w:val="12"/>
              </w:rPr>
              <w:t>Relationship between water absorbance and hemostatic potential.</w:t>
            </w:r>
            <w:r w:rsidRPr="004F2F24">
              <w:rPr>
                <w:sz w:val="12"/>
                <w:szCs w:val="12"/>
              </w:rPr>
              <w:br/>
              <w:t xml:space="preserve">Inorganic salts can </w:t>
            </w:r>
            <w:proofErr w:type="gramStart"/>
            <w:r w:rsidRPr="004F2F24">
              <w:rPr>
                <w:sz w:val="12"/>
                <w:szCs w:val="12"/>
              </w:rPr>
              <w:t>added</w:t>
            </w:r>
            <w:proofErr w:type="gramEnd"/>
            <w:r w:rsidRPr="004F2F24">
              <w:rPr>
                <w:sz w:val="12"/>
                <w:szCs w:val="12"/>
              </w:rPr>
              <w:t xml:space="preserve"> hemostatic potential of CS.</w:t>
            </w:r>
          </w:p>
        </w:tc>
        <w:tc>
          <w:tcPr>
            <w:tcW w:w="343" w:type="pct"/>
            <w:tcMar>
              <w:top w:w="0" w:type="dxa"/>
              <w:left w:w="0" w:type="dxa"/>
              <w:bottom w:w="0" w:type="dxa"/>
              <w:right w:w="0" w:type="dxa"/>
            </w:tcMar>
          </w:tcPr>
          <w:p w14:paraId="4544BE9D" w14:textId="77777777" w:rsidR="008D192F" w:rsidRPr="004F2F24" w:rsidRDefault="008D192F" w:rsidP="00583B5E">
            <w:pPr>
              <w:rPr>
                <w:sz w:val="12"/>
                <w:szCs w:val="12"/>
              </w:rPr>
            </w:pPr>
            <w:r w:rsidRPr="004F2F24">
              <w:rPr>
                <w:sz w:val="12"/>
                <w:szCs w:val="12"/>
              </w:rPr>
              <w:t>Potential use of drug-loaded CS-based wound dressings containing inorganic additives, and especially AS, as a promising solution in the management of wound hemorrhage.</w:t>
            </w:r>
          </w:p>
        </w:tc>
      </w:tr>
      <w:tr w:rsidR="008D192F" w:rsidRPr="00615448" w14:paraId="5B44D219" w14:textId="77777777" w:rsidTr="004F2F24">
        <w:trPr>
          <w:trHeight w:val="1965"/>
        </w:trPr>
        <w:tc>
          <w:tcPr>
            <w:tcW w:w="90" w:type="pct"/>
            <w:tcMar>
              <w:top w:w="0" w:type="dxa"/>
              <w:left w:w="0" w:type="dxa"/>
              <w:bottom w:w="0" w:type="dxa"/>
              <w:right w:w="0" w:type="dxa"/>
            </w:tcMar>
          </w:tcPr>
          <w:p w14:paraId="459EF19F" w14:textId="77777777" w:rsidR="008D192F" w:rsidRPr="004F2F24" w:rsidRDefault="008D192F" w:rsidP="00583B5E">
            <w:pPr>
              <w:rPr>
                <w:sz w:val="12"/>
                <w:szCs w:val="12"/>
              </w:rPr>
            </w:pPr>
            <w:r w:rsidRPr="004F2F24">
              <w:rPr>
                <w:sz w:val="12"/>
                <w:szCs w:val="12"/>
              </w:rPr>
              <w:t>2</w:t>
            </w:r>
          </w:p>
        </w:tc>
        <w:tc>
          <w:tcPr>
            <w:tcW w:w="126" w:type="pct"/>
            <w:tcMar>
              <w:top w:w="0" w:type="dxa"/>
              <w:left w:w="0" w:type="dxa"/>
              <w:bottom w:w="0" w:type="dxa"/>
              <w:right w:w="0" w:type="dxa"/>
            </w:tcMar>
          </w:tcPr>
          <w:p w14:paraId="7DA83640" w14:textId="77777777" w:rsidR="008D192F" w:rsidRPr="004F2F24" w:rsidRDefault="008D192F" w:rsidP="00583B5E">
            <w:pPr>
              <w:rPr>
                <w:sz w:val="12"/>
                <w:szCs w:val="12"/>
              </w:rPr>
            </w:pPr>
            <w:r w:rsidRPr="004F2F24">
              <w:rPr>
                <w:sz w:val="12"/>
                <w:szCs w:val="12"/>
              </w:rPr>
              <w:t>Comparative Evaluation of the Effectiveness of a Combination of Absorbable Gelatin Sponge and Calendula officinalis with Absorbable Gelatin Sponge Used Alone as a Hemostatic Agent—An In-Vitro Study</w:t>
            </w:r>
          </w:p>
        </w:tc>
        <w:tc>
          <w:tcPr>
            <w:tcW w:w="785" w:type="pct"/>
            <w:tcMar>
              <w:top w:w="0" w:type="dxa"/>
              <w:left w:w="0" w:type="dxa"/>
              <w:bottom w:w="0" w:type="dxa"/>
              <w:right w:w="0" w:type="dxa"/>
            </w:tcMar>
          </w:tcPr>
          <w:p w14:paraId="39363F1E" w14:textId="77777777" w:rsidR="008D192F" w:rsidRPr="004F2F24" w:rsidRDefault="008D192F" w:rsidP="00583B5E">
            <w:pPr>
              <w:rPr>
                <w:sz w:val="12"/>
                <w:szCs w:val="12"/>
              </w:rPr>
            </w:pPr>
            <w:r w:rsidRPr="004F2F24">
              <w:rPr>
                <w:sz w:val="12"/>
                <w:szCs w:val="12"/>
              </w:rPr>
              <w:t>Test effectiveness of Calendula officinalis oil as a hemostatic agent</w:t>
            </w:r>
          </w:p>
        </w:tc>
        <w:tc>
          <w:tcPr>
            <w:tcW w:w="189" w:type="pct"/>
            <w:tcMar>
              <w:top w:w="0" w:type="dxa"/>
              <w:left w:w="0" w:type="dxa"/>
              <w:bottom w:w="0" w:type="dxa"/>
              <w:right w:w="0" w:type="dxa"/>
            </w:tcMar>
          </w:tcPr>
          <w:p w14:paraId="71204420" w14:textId="77777777" w:rsidR="008D192F" w:rsidRPr="004F2F24" w:rsidRDefault="008D192F" w:rsidP="00583B5E">
            <w:pPr>
              <w:rPr>
                <w:sz w:val="12"/>
                <w:szCs w:val="12"/>
              </w:rPr>
            </w:pPr>
            <w:r w:rsidRPr="004F2F24">
              <w:rPr>
                <w:sz w:val="12"/>
                <w:szCs w:val="12"/>
              </w:rPr>
              <w:t>IN VITRO</w:t>
            </w:r>
          </w:p>
        </w:tc>
        <w:tc>
          <w:tcPr>
            <w:tcW w:w="576" w:type="pct"/>
            <w:tcMar>
              <w:top w:w="0" w:type="dxa"/>
              <w:left w:w="0" w:type="dxa"/>
              <w:bottom w:w="0" w:type="dxa"/>
              <w:right w:w="0" w:type="dxa"/>
            </w:tcMar>
          </w:tcPr>
          <w:p w14:paraId="7DE284D8" w14:textId="77777777" w:rsidR="008D192F" w:rsidRPr="004F2F24" w:rsidRDefault="008D192F" w:rsidP="00583B5E">
            <w:pPr>
              <w:rPr>
                <w:sz w:val="12"/>
                <w:szCs w:val="12"/>
              </w:rPr>
            </w:pPr>
            <w:r w:rsidRPr="004F2F24">
              <w:rPr>
                <w:sz w:val="12"/>
                <w:szCs w:val="12"/>
              </w:rPr>
              <w:t xml:space="preserve">Calendula officinalis oil was purchased from AOS Products Private Ltd., Ghaziabad, India. A </w:t>
            </w:r>
            <w:proofErr w:type="spellStart"/>
            <w:r w:rsidRPr="004F2F24">
              <w:rPr>
                <w:sz w:val="12"/>
                <w:szCs w:val="12"/>
              </w:rPr>
              <w:t>CuraSpon</w:t>
            </w:r>
            <w:proofErr w:type="spellEnd"/>
            <w:r w:rsidRPr="004F2F24">
              <w:rPr>
                <w:sz w:val="12"/>
                <w:szCs w:val="12"/>
              </w:rPr>
              <w:t xml:space="preserve"> CS-950 sponge was supplied by </w:t>
            </w:r>
            <w:proofErr w:type="spellStart"/>
            <w:r w:rsidRPr="004F2F24">
              <w:rPr>
                <w:sz w:val="12"/>
                <w:szCs w:val="12"/>
              </w:rPr>
              <w:t>CuraMedical</w:t>
            </w:r>
            <w:proofErr w:type="spellEnd"/>
            <w:r w:rsidRPr="004F2F24">
              <w:rPr>
                <w:sz w:val="12"/>
                <w:szCs w:val="12"/>
              </w:rPr>
              <w:t xml:space="preserve"> B.V., </w:t>
            </w:r>
            <w:proofErr w:type="spellStart"/>
            <w:r w:rsidRPr="004F2F24">
              <w:rPr>
                <w:sz w:val="12"/>
                <w:szCs w:val="12"/>
              </w:rPr>
              <w:t>Assendelft</w:t>
            </w:r>
            <w:proofErr w:type="spellEnd"/>
            <w:r w:rsidRPr="004F2F24">
              <w:rPr>
                <w:sz w:val="12"/>
                <w:szCs w:val="12"/>
              </w:rPr>
              <w:t xml:space="preserve">, The Netherlands. Ethanol and potassium dihydrogen orthophosphate were purchased from </w:t>
            </w:r>
            <w:proofErr w:type="spellStart"/>
            <w:r w:rsidRPr="004F2F24">
              <w:rPr>
                <w:sz w:val="12"/>
                <w:szCs w:val="12"/>
              </w:rPr>
              <w:t>Finar</w:t>
            </w:r>
            <w:proofErr w:type="spellEnd"/>
            <w:r w:rsidRPr="004F2F24">
              <w:rPr>
                <w:sz w:val="12"/>
                <w:szCs w:val="12"/>
              </w:rPr>
              <w:t xml:space="preserve"> Limited, Ahmedabad, India. Sodium hydroxide pellets were obtained from </w:t>
            </w:r>
            <w:proofErr w:type="spellStart"/>
            <w:r w:rsidRPr="004F2F24">
              <w:rPr>
                <w:sz w:val="12"/>
                <w:szCs w:val="12"/>
              </w:rPr>
              <w:t>HiMedia</w:t>
            </w:r>
            <w:proofErr w:type="spellEnd"/>
            <w:r w:rsidRPr="004F2F24">
              <w:rPr>
                <w:sz w:val="12"/>
                <w:szCs w:val="12"/>
              </w:rPr>
              <w:t xml:space="preserve"> Laboratories Pvt. Ltd., Mumbai, India.</w:t>
            </w:r>
          </w:p>
        </w:tc>
        <w:tc>
          <w:tcPr>
            <w:tcW w:w="987" w:type="pct"/>
            <w:tcMar>
              <w:top w:w="0" w:type="dxa"/>
              <w:left w:w="0" w:type="dxa"/>
              <w:bottom w:w="0" w:type="dxa"/>
              <w:right w:w="0" w:type="dxa"/>
            </w:tcMar>
          </w:tcPr>
          <w:p w14:paraId="760F512B" w14:textId="77777777" w:rsidR="008D192F" w:rsidRPr="004F2F24" w:rsidRDefault="008D192F" w:rsidP="00583B5E">
            <w:pPr>
              <w:rPr>
                <w:sz w:val="12"/>
                <w:szCs w:val="12"/>
              </w:rPr>
            </w:pPr>
            <w:r w:rsidRPr="004F2F24">
              <w:rPr>
                <w:sz w:val="12"/>
                <w:szCs w:val="12"/>
              </w:rPr>
              <w:t>Approximately two milliliters of fresh human blood were added to each of the four polypropylene tubes containing the Calendula officinalis oil, Calendula officinalis oil-loaded sponge, gelatin sponge, and control. Each group was tested in triplicate and compared, with the fresh blood used as a control. We started with the null hypothesis that there was no significant difference between the groups. The coagulation time was started when the four tubes were rapidly vibrated for a few seconds. The solution in each tube was then mixed with 300 microliters of calcium chloride. All test tubes were incubated at 37 ◦C and titled 45◦ for every couple of seconds; the clotting time was measured when a healthy clot was detected</w:t>
            </w:r>
          </w:p>
        </w:tc>
        <w:tc>
          <w:tcPr>
            <w:tcW w:w="514" w:type="pct"/>
            <w:tcMar>
              <w:top w:w="0" w:type="dxa"/>
              <w:left w:w="0" w:type="dxa"/>
              <w:bottom w:w="0" w:type="dxa"/>
              <w:right w:w="0" w:type="dxa"/>
            </w:tcMar>
          </w:tcPr>
          <w:p w14:paraId="44A9E4D1" w14:textId="77777777" w:rsidR="008D192F" w:rsidRPr="004F2F24" w:rsidRDefault="008D192F" w:rsidP="00583B5E">
            <w:pPr>
              <w:rPr>
                <w:sz w:val="12"/>
                <w:szCs w:val="12"/>
              </w:rPr>
            </w:pPr>
            <w:r w:rsidRPr="004F2F24">
              <w:rPr>
                <w:sz w:val="12"/>
                <w:szCs w:val="12"/>
              </w:rPr>
              <w:t>The results showed that there was a significant difference between the groups. The time taken for the formation of a clot in the control group was 499.7+5.37s; in the presence of a gelatin sponge, the time decreased to 158.75+4.60s, whereas the time in the presence of the Calendula officinalis loaded gelatin sponge was 161.70+3.11s</w:t>
            </w:r>
          </w:p>
        </w:tc>
        <w:tc>
          <w:tcPr>
            <w:tcW w:w="561" w:type="pct"/>
            <w:tcMar>
              <w:top w:w="0" w:type="dxa"/>
              <w:left w:w="0" w:type="dxa"/>
              <w:bottom w:w="0" w:type="dxa"/>
              <w:right w:w="0" w:type="dxa"/>
            </w:tcMar>
          </w:tcPr>
          <w:p w14:paraId="44BC0C0E" w14:textId="77777777" w:rsidR="008D192F" w:rsidRPr="004F2F24" w:rsidRDefault="008D192F" w:rsidP="00583B5E">
            <w:pPr>
              <w:rPr>
                <w:sz w:val="12"/>
                <w:szCs w:val="12"/>
              </w:rPr>
            </w:pPr>
            <w:r w:rsidRPr="004F2F24">
              <w:rPr>
                <w:sz w:val="12"/>
                <w:szCs w:val="12"/>
              </w:rPr>
              <w:t>Calendula officinalis and gelatin sponges can decrease clotting time significantly</w:t>
            </w:r>
          </w:p>
        </w:tc>
        <w:tc>
          <w:tcPr>
            <w:tcW w:w="351" w:type="pct"/>
            <w:tcMar>
              <w:top w:w="0" w:type="dxa"/>
              <w:left w:w="0" w:type="dxa"/>
              <w:bottom w:w="0" w:type="dxa"/>
              <w:right w:w="0" w:type="dxa"/>
            </w:tcMar>
          </w:tcPr>
          <w:p w14:paraId="7D273EAA" w14:textId="77777777" w:rsidR="008D192F" w:rsidRPr="004F2F24" w:rsidRDefault="008D192F" w:rsidP="00583B5E">
            <w:pPr>
              <w:rPr>
                <w:sz w:val="12"/>
                <w:szCs w:val="12"/>
              </w:rPr>
            </w:pPr>
            <w:r w:rsidRPr="004F2F24">
              <w:rPr>
                <w:sz w:val="12"/>
                <w:szCs w:val="12"/>
              </w:rPr>
              <w:t>1. Calendula officinalis with and without gelatine sponge seems have prolonged clotting time rather than gelatin sponge alone even was not significant.</w:t>
            </w:r>
            <w:r w:rsidRPr="004F2F24">
              <w:rPr>
                <w:sz w:val="12"/>
                <w:szCs w:val="12"/>
              </w:rPr>
              <w:br/>
              <w:t>2. Hemostatic effect of Calendula officinalis oil should be tested in the whole hemostatic pathways, from platelets adhesion and aggregation to plasma coagulation.</w:t>
            </w:r>
            <w:r w:rsidRPr="004F2F24">
              <w:rPr>
                <w:sz w:val="12"/>
                <w:szCs w:val="12"/>
              </w:rPr>
              <w:br/>
              <w:t>3. Failure to analyze the type / characteristics of clot formed in Calendula officinalis incorporated gelatin sponge group</w:t>
            </w:r>
            <w:r w:rsidRPr="004F2F24">
              <w:rPr>
                <w:sz w:val="12"/>
                <w:szCs w:val="12"/>
              </w:rPr>
              <w:br/>
              <w:t>4. Unseparated natural chemical structure from Calendula officinalis oil</w:t>
            </w:r>
          </w:p>
        </w:tc>
        <w:tc>
          <w:tcPr>
            <w:tcW w:w="478" w:type="pct"/>
            <w:tcMar>
              <w:top w:w="0" w:type="dxa"/>
              <w:left w:w="0" w:type="dxa"/>
              <w:bottom w:w="0" w:type="dxa"/>
              <w:right w:w="0" w:type="dxa"/>
            </w:tcMar>
          </w:tcPr>
          <w:p w14:paraId="659BE7D5" w14:textId="77777777" w:rsidR="008D192F" w:rsidRPr="004F2F24" w:rsidRDefault="008D192F" w:rsidP="00583B5E">
            <w:pPr>
              <w:rPr>
                <w:sz w:val="12"/>
                <w:szCs w:val="12"/>
              </w:rPr>
            </w:pPr>
            <w:r w:rsidRPr="004F2F24">
              <w:rPr>
                <w:sz w:val="12"/>
                <w:szCs w:val="12"/>
              </w:rPr>
              <w:t>Hemostatic effect of Calendula officinalis oil together with and without gelatine sponge</w:t>
            </w:r>
          </w:p>
        </w:tc>
        <w:tc>
          <w:tcPr>
            <w:tcW w:w="343" w:type="pct"/>
            <w:tcMar>
              <w:top w:w="0" w:type="dxa"/>
              <w:left w:w="0" w:type="dxa"/>
              <w:bottom w:w="0" w:type="dxa"/>
              <w:right w:w="0" w:type="dxa"/>
            </w:tcMar>
          </w:tcPr>
          <w:p w14:paraId="2919BBC2" w14:textId="77777777" w:rsidR="008D192F" w:rsidRPr="004F2F24" w:rsidRDefault="008D192F" w:rsidP="00583B5E">
            <w:pPr>
              <w:rPr>
                <w:sz w:val="12"/>
                <w:szCs w:val="12"/>
              </w:rPr>
            </w:pPr>
            <w:r w:rsidRPr="004F2F24">
              <w:rPr>
                <w:sz w:val="12"/>
                <w:szCs w:val="12"/>
              </w:rPr>
              <w:t>1. Analysis of the mechanical property of the combination, use of different forms of Calendula officinalis</w:t>
            </w:r>
            <w:r w:rsidRPr="004F2F24">
              <w:rPr>
                <w:sz w:val="12"/>
                <w:szCs w:val="12"/>
              </w:rPr>
              <w:br/>
              <w:t>2. Analysis of a higher concentration of the Calendula officinalis oil since we had seen an increased proliferation of fibroblasts as the concentration increased</w:t>
            </w:r>
          </w:p>
        </w:tc>
      </w:tr>
      <w:tr w:rsidR="008D192F" w:rsidRPr="00615448" w14:paraId="2E1568C0" w14:textId="77777777" w:rsidTr="004F2F24">
        <w:trPr>
          <w:trHeight w:val="1005"/>
        </w:trPr>
        <w:tc>
          <w:tcPr>
            <w:tcW w:w="90" w:type="pct"/>
            <w:tcMar>
              <w:top w:w="0" w:type="dxa"/>
              <w:left w:w="0" w:type="dxa"/>
              <w:bottom w:w="0" w:type="dxa"/>
              <w:right w:w="0" w:type="dxa"/>
            </w:tcMar>
          </w:tcPr>
          <w:p w14:paraId="7A3CF400" w14:textId="77777777" w:rsidR="008D192F" w:rsidRPr="004F2F24" w:rsidRDefault="008D192F" w:rsidP="00583B5E">
            <w:pPr>
              <w:rPr>
                <w:sz w:val="12"/>
                <w:szCs w:val="12"/>
              </w:rPr>
            </w:pPr>
            <w:r w:rsidRPr="004F2F24">
              <w:rPr>
                <w:sz w:val="12"/>
                <w:szCs w:val="12"/>
              </w:rPr>
              <w:lastRenderedPageBreak/>
              <w:t>3</w:t>
            </w:r>
          </w:p>
        </w:tc>
        <w:tc>
          <w:tcPr>
            <w:tcW w:w="126" w:type="pct"/>
            <w:tcMar>
              <w:top w:w="0" w:type="dxa"/>
              <w:left w:w="0" w:type="dxa"/>
              <w:bottom w:w="0" w:type="dxa"/>
              <w:right w:w="0" w:type="dxa"/>
            </w:tcMar>
          </w:tcPr>
          <w:p w14:paraId="0F69ABEC" w14:textId="77777777" w:rsidR="008D192F" w:rsidRPr="004F2F24" w:rsidRDefault="008D192F" w:rsidP="00583B5E">
            <w:pPr>
              <w:rPr>
                <w:sz w:val="12"/>
                <w:szCs w:val="12"/>
              </w:rPr>
            </w:pPr>
            <w:r w:rsidRPr="004F2F24">
              <w:rPr>
                <w:sz w:val="12"/>
                <w:szCs w:val="12"/>
              </w:rPr>
              <w:t xml:space="preserve">Hemostatic and wound healing effects of </w:t>
            </w:r>
            <w:proofErr w:type="spellStart"/>
            <w:r w:rsidRPr="004F2F24">
              <w:rPr>
                <w:sz w:val="12"/>
                <w:szCs w:val="12"/>
              </w:rPr>
              <w:t>gracilaria</w:t>
            </w:r>
            <w:proofErr w:type="spellEnd"/>
            <w:r w:rsidRPr="004F2F24">
              <w:rPr>
                <w:sz w:val="12"/>
                <w:szCs w:val="12"/>
              </w:rPr>
              <w:t xml:space="preserve"> verrucosa extract gel in albino rats</w:t>
            </w:r>
          </w:p>
        </w:tc>
        <w:tc>
          <w:tcPr>
            <w:tcW w:w="785" w:type="pct"/>
            <w:tcMar>
              <w:top w:w="0" w:type="dxa"/>
              <w:left w:w="0" w:type="dxa"/>
              <w:bottom w:w="0" w:type="dxa"/>
              <w:right w:w="0" w:type="dxa"/>
            </w:tcMar>
          </w:tcPr>
          <w:p w14:paraId="63F54364" w14:textId="77777777" w:rsidR="008D192F" w:rsidRPr="004F2F24" w:rsidRDefault="008D192F" w:rsidP="00583B5E">
            <w:pPr>
              <w:rPr>
                <w:sz w:val="12"/>
                <w:szCs w:val="12"/>
              </w:rPr>
            </w:pPr>
            <w:r w:rsidRPr="004F2F24">
              <w:rPr>
                <w:sz w:val="12"/>
                <w:szCs w:val="12"/>
              </w:rPr>
              <w:t xml:space="preserve">Investigated hemostatic effects of </w:t>
            </w:r>
            <w:proofErr w:type="spellStart"/>
            <w:r w:rsidRPr="004F2F24">
              <w:rPr>
                <w:sz w:val="12"/>
                <w:szCs w:val="12"/>
              </w:rPr>
              <w:t>gracilaria</w:t>
            </w:r>
            <w:proofErr w:type="spellEnd"/>
            <w:r w:rsidRPr="004F2F24">
              <w:rPr>
                <w:sz w:val="12"/>
                <w:szCs w:val="12"/>
              </w:rPr>
              <w:t xml:space="preserve"> verrucosa extract gel in incised albino </w:t>
            </w:r>
            <w:proofErr w:type="gramStart"/>
            <w:r w:rsidRPr="004F2F24">
              <w:rPr>
                <w:sz w:val="12"/>
                <w:szCs w:val="12"/>
              </w:rPr>
              <w:t>rats</w:t>
            </w:r>
            <w:proofErr w:type="gramEnd"/>
            <w:r w:rsidRPr="004F2F24">
              <w:rPr>
                <w:sz w:val="12"/>
                <w:szCs w:val="12"/>
              </w:rPr>
              <w:t xml:space="preserve"> gingiva</w:t>
            </w:r>
          </w:p>
        </w:tc>
        <w:tc>
          <w:tcPr>
            <w:tcW w:w="189" w:type="pct"/>
            <w:tcMar>
              <w:top w:w="0" w:type="dxa"/>
              <w:left w:w="0" w:type="dxa"/>
              <w:bottom w:w="0" w:type="dxa"/>
              <w:right w:w="0" w:type="dxa"/>
            </w:tcMar>
          </w:tcPr>
          <w:p w14:paraId="5327382E" w14:textId="77777777" w:rsidR="008D192F" w:rsidRPr="004F2F24" w:rsidRDefault="008D192F" w:rsidP="00583B5E">
            <w:pPr>
              <w:rPr>
                <w:sz w:val="12"/>
                <w:szCs w:val="12"/>
              </w:rPr>
            </w:pPr>
            <w:r w:rsidRPr="004F2F24">
              <w:rPr>
                <w:sz w:val="12"/>
                <w:szCs w:val="12"/>
              </w:rPr>
              <w:t>IN VIVO</w:t>
            </w:r>
          </w:p>
        </w:tc>
        <w:tc>
          <w:tcPr>
            <w:tcW w:w="576" w:type="pct"/>
            <w:tcMar>
              <w:top w:w="0" w:type="dxa"/>
              <w:left w:w="0" w:type="dxa"/>
              <w:bottom w:w="0" w:type="dxa"/>
              <w:right w:w="0" w:type="dxa"/>
            </w:tcMar>
          </w:tcPr>
          <w:p w14:paraId="22A32949" w14:textId="77777777" w:rsidR="008D192F" w:rsidRPr="004F2F24" w:rsidRDefault="008D192F" w:rsidP="00583B5E">
            <w:pPr>
              <w:rPr>
                <w:sz w:val="12"/>
                <w:szCs w:val="12"/>
              </w:rPr>
            </w:pPr>
            <w:proofErr w:type="spellStart"/>
            <w:r w:rsidRPr="004F2F24">
              <w:rPr>
                <w:sz w:val="12"/>
                <w:szCs w:val="12"/>
              </w:rPr>
              <w:t>Gracilaria</w:t>
            </w:r>
            <w:proofErr w:type="spellEnd"/>
            <w:r w:rsidRPr="004F2F24">
              <w:rPr>
                <w:sz w:val="12"/>
                <w:szCs w:val="12"/>
              </w:rPr>
              <w:t xml:space="preserve"> verrucosa, a species of the red algae has been reported to have hemostatic, wound healing, antibacterial and antioxidant potentials.</w:t>
            </w:r>
          </w:p>
        </w:tc>
        <w:tc>
          <w:tcPr>
            <w:tcW w:w="987" w:type="pct"/>
            <w:tcMar>
              <w:top w:w="0" w:type="dxa"/>
              <w:left w:w="0" w:type="dxa"/>
              <w:bottom w:w="0" w:type="dxa"/>
              <w:right w:w="0" w:type="dxa"/>
            </w:tcMar>
          </w:tcPr>
          <w:p w14:paraId="68739090" w14:textId="77777777" w:rsidR="008D192F" w:rsidRPr="004F2F24" w:rsidRDefault="008D192F" w:rsidP="00583B5E">
            <w:pPr>
              <w:rPr>
                <w:sz w:val="12"/>
                <w:szCs w:val="12"/>
              </w:rPr>
            </w:pPr>
            <w:r w:rsidRPr="004F2F24">
              <w:rPr>
                <w:b/>
                <w:sz w:val="12"/>
                <w:szCs w:val="12"/>
              </w:rPr>
              <w:t xml:space="preserve">1. Preparation of </w:t>
            </w:r>
            <w:proofErr w:type="spellStart"/>
            <w:r w:rsidRPr="004F2F24">
              <w:rPr>
                <w:b/>
                <w:sz w:val="12"/>
                <w:szCs w:val="12"/>
              </w:rPr>
              <w:t>Gracilaria</w:t>
            </w:r>
            <w:proofErr w:type="spellEnd"/>
            <w:r w:rsidRPr="004F2F24">
              <w:rPr>
                <w:b/>
                <w:sz w:val="12"/>
                <w:szCs w:val="12"/>
              </w:rPr>
              <w:t xml:space="preserve"> verrucosa extract gel: </w:t>
            </w:r>
            <w:r w:rsidRPr="004F2F24">
              <w:rPr>
                <w:sz w:val="12"/>
                <w:szCs w:val="12"/>
              </w:rPr>
              <w:t>The concentrated G. verrucosa extract was made into a gel by pouring it into a beaker together with distilled water and Na-CMC. The mixture was stirred until a homogeneous viscous mixture was obtained. Propylene glycol, glycerin, nipagin and TEA were added sequentially and stirred until it became homogenous. The red alga extract was dissolved in distilled water in another beaker at 50°C and mucilage Na-CMC was added and stirred for 15 min to form a gel mass. The gel was stored in vial bottles.</w:t>
            </w:r>
            <w:r w:rsidRPr="004F2F24">
              <w:rPr>
                <w:sz w:val="12"/>
                <w:szCs w:val="12"/>
              </w:rPr>
              <w:br/>
            </w:r>
            <w:r w:rsidRPr="004F2F24">
              <w:rPr>
                <w:b/>
                <w:sz w:val="12"/>
                <w:szCs w:val="12"/>
              </w:rPr>
              <w:t xml:space="preserve">2. Making incision wounds in albino rats’ gingiva: </w:t>
            </w:r>
            <w:r w:rsidRPr="004F2F24">
              <w:rPr>
                <w:sz w:val="12"/>
                <w:szCs w:val="12"/>
              </w:rPr>
              <w:t>The gingival labial portion under the two mandibular anterior teeth was the part chosen to be treated. All albino rats were anesthetized using a single intramuscular injection of 1-2 mg/kg xylazine hydrochloride and 10 mg/kg ketamine hydrochloride. After that, an incision was made using a scalpel and blade No. 11 along 5 mm with a depth reaching the bone.</w:t>
            </w:r>
            <w:r w:rsidRPr="004F2F24">
              <w:rPr>
                <w:sz w:val="12"/>
                <w:szCs w:val="12"/>
              </w:rPr>
              <w:br/>
            </w:r>
            <w:r w:rsidRPr="004F2F24">
              <w:rPr>
                <w:b/>
                <w:sz w:val="12"/>
                <w:szCs w:val="12"/>
              </w:rPr>
              <w:t>3. Examination of bleeding duration:</w:t>
            </w:r>
            <w:r w:rsidRPr="004F2F24">
              <w:rPr>
                <w:sz w:val="12"/>
                <w:szCs w:val="12"/>
              </w:rPr>
              <w:t xml:space="preserve"> The bleeding time was calculated by chronometer (Q &amp; Q 1/100 Chrono) until blotting paper was no longer absorbing the blood. After the incision, G. verrucosa extract gel or polyvinylpyrrolidone-sodium hyaluronate gel was applied to the wound and the bleeding time was immediately determined. The duration of bleeding in each group was directly calculated by putting the blotting paper near the wound while not disrupting hemostasis.</w:t>
            </w:r>
          </w:p>
        </w:tc>
        <w:tc>
          <w:tcPr>
            <w:tcW w:w="514" w:type="pct"/>
            <w:tcMar>
              <w:top w:w="0" w:type="dxa"/>
              <w:left w:w="0" w:type="dxa"/>
              <w:bottom w:w="0" w:type="dxa"/>
              <w:right w:w="0" w:type="dxa"/>
            </w:tcMar>
          </w:tcPr>
          <w:p w14:paraId="347DC33F" w14:textId="77777777" w:rsidR="008D192F" w:rsidRPr="004F2F24" w:rsidRDefault="008D192F" w:rsidP="00583B5E">
            <w:pPr>
              <w:rPr>
                <w:sz w:val="12"/>
                <w:szCs w:val="12"/>
              </w:rPr>
            </w:pPr>
            <w:r w:rsidRPr="004F2F24">
              <w:rPr>
                <w:sz w:val="12"/>
                <w:szCs w:val="12"/>
              </w:rPr>
              <w:t>In this study, incision was made in male albino rats’ gingiva and the effect of G. verrucosa extract gel on bleeding time was first investigated. The results indicated that the average value of bleeding duration in treated albino rats was 70 seconds, while the control group was 112 seconds. This observation correlates with the study of Garcia-Manzano et al. on normal hemorrhage male albino rats where bleeding duration ranged between 60-110 seconds for the control group, while the mean duration of bleeding in the G. verrucosa treatment group was 70 seconds.</w:t>
            </w:r>
          </w:p>
        </w:tc>
        <w:tc>
          <w:tcPr>
            <w:tcW w:w="561" w:type="pct"/>
            <w:tcMar>
              <w:top w:w="0" w:type="dxa"/>
              <w:left w:w="0" w:type="dxa"/>
              <w:bottom w:w="0" w:type="dxa"/>
              <w:right w:w="0" w:type="dxa"/>
            </w:tcMar>
          </w:tcPr>
          <w:p w14:paraId="57B8270B" w14:textId="77777777" w:rsidR="008D192F" w:rsidRPr="004F2F24" w:rsidRDefault="008D192F" w:rsidP="00583B5E">
            <w:pPr>
              <w:rPr>
                <w:sz w:val="12"/>
                <w:szCs w:val="12"/>
              </w:rPr>
            </w:pPr>
            <w:r w:rsidRPr="004F2F24">
              <w:rPr>
                <w:sz w:val="12"/>
                <w:szCs w:val="12"/>
              </w:rPr>
              <w:t>Consequently, the effect of G. verrucosa extract gel was observed on the reduction of bleeding duration time in the treatment group in relation to the control group. The algae contain polysaccharides that play a role as hemostatic agents</w:t>
            </w:r>
          </w:p>
        </w:tc>
        <w:tc>
          <w:tcPr>
            <w:tcW w:w="351" w:type="pct"/>
            <w:tcMar>
              <w:top w:w="0" w:type="dxa"/>
              <w:left w:w="0" w:type="dxa"/>
              <w:bottom w:w="0" w:type="dxa"/>
              <w:right w:w="0" w:type="dxa"/>
            </w:tcMar>
          </w:tcPr>
          <w:p w14:paraId="4EBEC50F" w14:textId="77777777" w:rsidR="008D192F" w:rsidRPr="004F2F24" w:rsidRDefault="008D192F" w:rsidP="00583B5E">
            <w:pPr>
              <w:rPr>
                <w:sz w:val="12"/>
                <w:szCs w:val="12"/>
              </w:rPr>
            </w:pPr>
            <w:r w:rsidRPr="004F2F24">
              <w:rPr>
                <w:sz w:val="12"/>
                <w:szCs w:val="12"/>
              </w:rPr>
              <w:t>This research did not focus on whole hemostatic pathways, there was no examination about platelet aggregation, plasma coagulation (APTT, PT, TT, Fb, ATIII and PLG)</w:t>
            </w:r>
          </w:p>
        </w:tc>
        <w:tc>
          <w:tcPr>
            <w:tcW w:w="478" w:type="pct"/>
            <w:tcMar>
              <w:top w:w="0" w:type="dxa"/>
              <w:left w:w="0" w:type="dxa"/>
              <w:bottom w:w="0" w:type="dxa"/>
              <w:right w:w="0" w:type="dxa"/>
            </w:tcMar>
          </w:tcPr>
          <w:p w14:paraId="079AB827" w14:textId="77777777" w:rsidR="008D192F" w:rsidRPr="004F2F24" w:rsidRDefault="008D192F" w:rsidP="00583B5E">
            <w:pPr>
              <w:rPr>
                <w:sz w:val="12"/>
                <w:szCs w:val="12"/>
              </w:rPr>
            </w:pPr>
            <w:r w:rsidRPr="004F2F24">
              <w:rPr>
                <w:sz w:val="12"/>
                <w:szCs w:val="12"/>
              </w:rPr>
              <w:t xml:space="preserve">Hemostatic effect of </w:t>
            </w:r>
            <w:proofErr w:type="spellStart"/>
            <w:r w:rsidRPr="004F2F24">
              <w:rPr>
                <w:sz w:val="12"/>
                <w:szCs w:val="12"/>
              </w:rPr>
              <w:t>gracilaria</w:t>
            </w:r>
            <w:proofErr w:type="spellEnd"/>
            <w:r w:rsidRPr="004F2F24">
              <w:rPr>
                <w:sz w:val="12"/>
                <w:szCs w:val="12"/>
              </w:rPr>
              <w:t xml:space="preserve"> verrucosa extract gel in vivo</w:t>
            </w:r>
          </w:p>
        </w:tc>
        <w:tc>
          <w:tcPr>
            <w:tcW w:w="343" w:type="pct"/>
            <w:tcMar>
              <w:top w:w="0" w:type="dxa"/>
              <w:left w:w="0" w:type="dxa"/>
              <w:bottom w:w="0" w:type="dxa"/>
              <w:right w:w="0" w:type="dxa"/>
            </w:tcMar>
          </w:tcPr>
          <w:p w14:paraId="559772A1" w14:textId="77777777" w:rsidR="008D192F" w:rsidRPr="004F2F24" w:rsidRDefault="008D192F" w:rsidP="00583B5E">
            <w:pPr>
              <w:rPr>
                <w:sz w:val="12"/>
                <w:szCs w:val="12"/>
              </w:rPr>
            </w:pPr>
            <w:r w:rsidRPr="004F2F24">
              <w:rPr>
                <w:sz w:val="12"/>
                <w:szCs w:val="12"/>
              </w:rPr>
              <w:t xml:space="preserve">Further research about hemostatic effect of </w:t>
            </w:r>
            <w:proofErr w:type="spellStart"/>
            <w:r w:rsidRPr="004F2F24">
              <w:rPr>
                <w:sz w:val="12"/>
                <w:szCs w:val="12"/>
              </w:rPr>
              <w:t>gracilaria</w:t>
            </w:r>
            <w:proofErr w:type="spellEnd"/>
            <w:r w:rsidRPr="004F2F24">
              <w:rPr>
                <w:sz w:val="12"/>
                <w:szCs w:val="12"/>
              </w:rPr>
              <w:t xml:space="preserve"> verrucosa in vitro and in vivo (using different research method of animal bleeding assay than previous research, for the example rat tail tip amputation or hepatic laceration)</w:t>
            </w:r>
          </w:p>
        </w:tc>
      </w:tr>
      <w:tr w:rsidR="008D192F" w:rsidRPr="00615448" w14:paraId="63E43D04" w14:textId="77777777" w:rsidTr="004F2F24">
        <w:trPr>
          <w:trHeight w:val="1875"/>
        </w:trPr>
        <w:tc>
          <w:tcPr>
            <w:tcW w:w="90" w:type="pct"/>
            <w:tcMar>
              <w:top w:w="0" w:type="dxa"/>
              <w:left w:w="0" w:type="dxa"/>
              <w:bottom w:w="0" w:type="dxa"/>
              <w:right w:w="0" w:type="dxa"/>
            </w:tcMar>
          </w:tcPr>
          <w:p w14:paraId="06605490" w14:textId="77777777" w:rsidR="008D192F" w:rsidRPr="004F2F24" w:rsidRDefault="008D192F" w:rsidP="00583B5E">
            <w:pPr>
              <w:rPr>
                <w:sz w:val="12"/>
                <w:szCs w:val="12"/>
              </w:rPr>
            </w:pPr>
            <w:r w:rsidRPr="004F2F24">
              <w:rPr>
                <w:sz w:val="12"/>
                <w:szCs w:val="12"/>
              </w:rPr>
              <w:t>4</w:t>
            </w:r>
          </w:p>
        </w:tc>
        <w:tc>
          <w:tcPr>
            <w:tcW w:w="126" w:type="pct"/>
            <w:tcMar>
              <w:top w:w="0" w:type="dxa"/>
              <w:left w:w="0" w:type="dxa"/>
              <w:bottom w:w="0" w:type="dxa"/>
              <w:right w:w="0" w:type="dxa"/>
            </w:tcMar>
          </w:tcPr>
          <w:p w14:paraId="3898BE60" w14:textId="77777777" w:rsidR="008D192F" w:rsidRPr="004F2F24" w:rsidRDefault="008D192F" w:rsidP="00583B5E">
            <w:pPr>
              <w:rPr>
                <w:sz w:val="12"/>
                <w:szCs w:val="12"/>
              </w:rPr>
            </w:pPr>
            <w:r w:rsidRPr="004F2F24">
              <w:rPr>
                <w:sz w:val="12"/>
                <w:szCs w:val="12"/>
              </w:rPr>
              <w:t>Pomegranate-peel-chitosan-gelatin composite: A hemostatic dental sponge with antibacterial enhancement</w:t>
            </w:r>
          </w:p>
        </w:tc>
        <w:tc>
          <w:tcPr>
            <w:tcW w:w="785" w:type="pct"/>
            <w:tcMar>
              <w:top w:w="0" w:type="dxa"/>
              <w:left w:w="0" w:type="dxa"/>
              <w:bottom w:w="0" w:type="dxa"/>
              <w:right w:w="0" w:type="dxa"/>
            </w:tcMar>
          </w:tcPr>
          <w:p w14:paraId="56CC4D34" w14:textId="77777777" w:rsidR="008D192F" w:rsidRPr="004F2F24" w:rsidRDefault="008D192F" w:rsidP="00583B5E">
            <w:pPr>
              <w:rPr>
                <w:sz w:val="12"/>
                <w:szCs w:val="12"/>
              </w:rPr>
            </w:pPr>
            <w:r w:rsidRPr="004F2F24">
              <w:rPr>
                <w:sz w:val="12"/>
                <w:szCs w:val="12"/>
              </w:rPr>
              <w:t>Investigated hemostatic effects of a biodegradable, porous hemostatic sponge composed of gelatin (GE) and chitosan (CS), enhanced by the incorporation of pomegranate peel extract (PE), which was designed for use in dental applications</w:t>
            </w:r>
          </w:p>
        </w:tc>
        <w:tc>
          <w:tcPr>
            <w:tcW w:w="189" w:type="pct"/>
            <w:tcMar>
              <w:top w:w="0" w:type="dxa"/>
              <w:left w:w="0" w:type="dxa"/>
              <w:bottom w:w="0" w:type="dxa"/>
              <w:right w:w="0" w:type="dxa"/>
            </w:tcMar>
          </w:tcPr>
          <w:p w14:paraId="76BAA60B" w14:textId="77777777" w:rsidR="008D192F" w:rsidRPr="004F2F24" w:rsidRDefault="008D192F" w:rsidP="00583B5E">
            <w:pPr>
              <w:rPr>
                <w:sz w:val="12"/>
                <w:szCs w:val="12"/>
              </w:rPr>
            </w:pPr>
            <w:r w:rsidRPr="004F2F24">
              <w:rPr>
                <w:sz w:val="12"/>
                <w:szCs w:val="12"/>
              </w:rPr>
              <w:t>IN VITRO</w:t>
            </w:r>
          </w:p>
        </w:tc>
        <w:tc>
          <w:tcPr>
            <w:tcW w:w="576" w:type="pct"/>
            <w:tcMar>
              <w:top w:w="0" w:type="dxa"/>
              <w:left w:w="0" w:type="dxa"/>
              <w:bottom w:w="0" w:type="dxa"/>
              <w:right w:w="0" w:type="dxa"/>
            </w:tcMar>
          </w:tcPr>
          <w:p w14:paraId="7180F23F" w14:textId="77777777" w:rsidR="008D192F" w:rsidRPr="004F2F24" w:rsidRDefault="008D192F" w:rsidP="00583B5E">
            <w:pPr>
              <w:rPr>
                <w:sz w:val="12"/>
                <w:szCs w:val="12"/>
              </w:rPr>
            </w:pPr>
            <w:r w:rsidRPr="004F2F24">
              <w:rPr>
                <w:sz w:val="12"/>
                <w:szCs w:val="12"/>
              </w:rPr>
              <w:t xml:space="preserve">CS (source: shrimp shells; degree of deacetylation: 75%; </w:t>
            </w:r>
            <w:proofErr w:type="spellStart"/>
            <w:r w:rsidRPr="004F2F24">
              <w:rPr>
                <w:sz w:val="12"/>
                <w:szCs w:val="12"/>
              </w:rPr>
              <w:t>Himedia</w:t>
            </w:r>
            <w:proofErr w:type="spellEnd"/>
            <w:r w:rsidRPr="004F2F24">
              <w:rPr>
                <w:sz w:val="12"/>
                <w:szCs w:val="12"/>
              </w:rPr>
              <w:t>, India), calcium chloride (CaCl2), acetic acid, ethanol 70% and 96%, GE (bovine skin) (Sigma Aldrich, USA), glycerol extra pure, NaOH, deionized (DI) water was purchased from CV Chemical Indonesia (Surabaya) and UD Scientific Source, and the medical gauze (as negative control) and GE-based commercial dental sponge (as positive control) were purchased at Kimia Farma Surabaya pharmacy.</w:t>
            </w:r>
          </w:p>
        </w:tc>
        <w:tc>
          <w:tcPr>
            <w:tcW w:w="987" w:type="pct"/>
            <w:tcMar>
              <w:top w:w="0" w:type="dxa"/>
              <w:left w:w="0" w:type="dxa"/>
              <w:bottom w:w="0" w:type="dxa"/>
              <w:right w:w="0" w:type="dxa"/>
            </w:tcMar>
          </w:tcPr>
          <w:p w14:paraId="7ADA5DA2" w14:textId="77777777" w:rsidR="008D192F" w:rsidRPr="004F2F24" w:rsidRDefault="008D192F" w:rsidP="00583B5E">
            <w:pPr>
              <w:rPr>
                <w:sz w:val="12"/>
                <w:szCs w:val="12"/>
              </w:rPr>
            </w:pPr>
            <w:r w:rsidRPr="004F2F24">
              <w:rPr>
                <w:sz w:val="12"/>
                <w:szCs w:val="12"/>
              </w:rPr>
              <w:t>During the BCT experimental setup, sponge samples were prepared in separate tubes, each containing a sponge of dimensions 10 x 10 x 10 mm. Next, 1 mL of fresh blood was placed in the tube and placed in an incubator at 37°C. A positive control tube containing medical gauze and a commercial sponge was prepared in parallel. A chronometer was used to carefully document the clotting time of the tubes. The vial was rotated for 1 minute and mounted vertically on a laboratory bench. The bottle was inverted every minute until the sponge sample completely stopped flowing, and the time was recorded. All experimental and control groups were run in triplicates (n = 3).</w:t>
            </w:r>
          </w:p>
        </w:tc>
        <w:tc>
          <w:tcPr>
            <w:tcW w:w="514" w:type="pct"/>
            <w:tcMar>
              <w:top w:w="0" w:type="dxa"/>
              <w:left w:w="0" w:type="dxa"/>
              <w:bottom w:w="0" w:type="dxa"/>
              <w:right w:w="0" w:type="dxa"/>
            </w:tcMar>
          </w:tcPr>
          <w:p w14:paraId="26470EB5" w14:textId="77777777" w:rsidR="008D192F" w:rsidRPr="004F2F24" w:rsidRDefault="008D192F" w:rsidP="00583B5E">
            <w:pPr>
              <w:rPr>
                <w:sz w:val="12"/>
                <w:szCs w:val="12"/>
              </w:rPr>
            </w:pPr>
            <w:r w:rsidRPr="004F2F24">
              <w:rPr>
                <w:sz w:val="12"/>
                <w:szCs w:val="12"/>
              </w:rPr>
              <w:t xml:space="preserve">The clotting efficacy of the sponges was assessed by the clotting time. Notably, the CS-GE sponge exhibited the shortest clotting time at 161 ± 9.644 seconds, surpassing that of the control medical gauze and commercial sponge at 300 ± 20 and 214.3 ± 31.56 seconds, as well as the CS-GE-PE group at 190.7 ± 4.04 seconds. The next experiment confirmed the superior blood adhesion properties of GE–CS and CS-GE-PE compared to gauze, and the sponges appeared darker owing to increased RBC adhesion. The presence of hemoglobin outside the materials post-immersion in PBS and shaking exhibited a redder color for gauze, indicative of elevated hemoglobin concentration that reflects the extent </w:t>
            </w:r>
            <w:r w:rsidRPr="004F2F24">
              <w:rPr>
                <w:sz w:val="12"/>
                <w:szCs w:val="12"/>
              </w:rPr>
              <w:lastRenderedPageBreak/>
              <w:t>of RBC adhesion. Lower hemoglobin concentrations outside the GE-CS and CS-GE-PE sponges signified higher RBC adhesion.</w:t>
            </w:r>
          </w:p>
        </w:tc>
        <w:tc>
          <w:tcPr>
            <w:tcW w:w="561" w:type="pct"/>
            <w:tcMar>
              <w:top w:w="0" w:type="dxa"/>
              <w:left w:w="0" w:type="dxa"/>
              <w:bottom w:w="0" w:type="dxa"/>
              <w:right w:w="0" w:type="dxa"/>
            </w:tcMar>
          </w:tcPr>
          <w:p w14:paraId="0F0BFD2A" w14:textId="77777777" w:rsidR="008D192F" w:rsidRPr="004F2F24" w:rsidRDefault="008D192F" w:rsidP="00583B5E">
            <w:pPr>
              <w:rPr>
                <w:sz w:val="12"/>
                <w:szCs w:val="12"/>
              </w:rPr>
            </w:pPr>
            <w:r w:rsidRPr="004F2F24">
              <w:rPr>
                <w:sz w:val="12"/>
                <w:szCs w:val="12"/>
              </w:rPr>
              <w:lastRenderedPageBreak/>
              <w:t xml:space="preserve">Bleeding clotting time serves as an indicator of the activation of the intrinsic pathway within the coagulation cascade and provides insight into the effectiveness of </w:t>
            </w:r>
            <w:proofErr w:type="spellStart"/>
            <w:r w:rsidRPr="004F2F24">
              <w:rPr>
                <w:sz w:val="12"/>
                <w:szCs w:val="12"/>
              </w:rPr>
              <w:t>procoagulation</w:t>
            </w:r>
            <w:proofErr w:type="spellEnd"/>
            <w:r w:rsidRPr="004F2F24">
              <w:rPr>
                <w:sz w:val="12"/>
                <w:szCs w:val="12"/>
              </w:rPr>
              <w:t xml:space="preserve"> agents in reducing clotting time. The formation of aggregated erythrocytes and platelets at the bleeding site plays a crucial role in initiating coagulation and is essential for controlling bleeding. CS promotes platelet aggregation, with a positively charged CS surface being more conducive to hemostasis.46 GE, which swells upon blood absorption, creates a soft “pseudo-clot” barrier that obstructs blood flow. This barrier subsequently serves as a substrate for the formation of dense fiber clots, expediting the blood clotting process.47 These results indicate that the incorporation of GE effectively mitigated </w:t>
            </w:r>
            <w:r w:rsidRPr="004F2F24">
              <w:rPr>
                <w:sz w:val="12"/>
                <w:szCs w:val="12"/>
              </w:rPr>
              <w:lastRenderedPageBreak/>
              <w:t>the presence of several anionic clotting factors associated with the CS component. This interaction is believed to be the primary mechanism underlying the enhanced hemostatic properties observed in CS-GE compared with commercial dental sponges.</w:t>
            </w:r>
          </w:p>
        </w:tc>
        <w:tc>
          <w:tcPr>
            <w:tcW w:w="351" w:type="pct"/>
            <w:tcMar>
              <w:top w:w="0" w:type="dxa"/>
              <w:left w:w="0" w:type="dxa"/>
              <w:bottom w:w="0" w:type="dxa"/>
              <w:right w:w="0" w:type="dxa"/>
            </w:tcMar>
          </w:tcPr>
          <w:p w14:paraId="59FBEBB4" w14:textId="77777777" w:rsidR="008D192F" w:rsidRPr="004F2F24" w:rsidRDefault="008D192F" w:rsidP="00583B5E">
            <w:pPr>
              <w:rPr>
                <w:sz w:val="12"/>
                <w:szCs w:val="12"/>
              </w:rPr>
            </w:pPr>
            <w:r w:rsidRPr="004F2F24">
              <w:rPr>
                <w:sz w:val="12"/>
                <w:szCs w:val="12"/>
              </w:rPr>
              <w:lastRenderedPageBreak/>
              <w:t>This research did not focus on whole hemostatic pathways, there was no examination about platelet aggregation, plasma coagulation (APTT, PT, TT, Fb, ATIII and PLG)</w:t>
            </w:r>
          </w:p>
        </w:tc>
        <w:tc>
          <w:tcPr>
            <w:tcW w:w="478" w:type="pct"/>
            <w:tcMar>
              <w:top w:w="0" w:type="dxa"/>
              <w:left w:w="0" w:type="dxa"/>
              <w:bottom w:w="0" w:type="dxa"/>
              <w:right w:w="0" w:type="dxa"/>
            </w:tcMar>
          </w:tcPr>
          <w:p w14:paraId="308E421E" w14:textId="77777777" w:rsidR="008D192F" w:rsidRPr="004F2F24" w:rsidRDefault="008D192F" w:rsidP="00583B5E">
            <w:pPr>
              <w:rPr>
                <w:sz w:val="12"/>
                <w:szCs w:val="12"/>
              </w:rPr>
            </w:pPr>
            <w:r w:rsidRPr="004F2F24">
              <w:rPr>
                <w:sz w:val="12"/>
                <w:szCs w:val="12"/>
              </w:rPr>
              <w:t xml:space="preserve">Pomegranate-peel-chitosan-gelatin composite can be an alternative to promote </w:t>
            </w:r>
            <w:proofErr w:type="spellStart"/>
            <w:r w:rsidRPr="004F2F24">
              <w:rPr>
                <w:sz w:val="12"/>
                <w:szCs w:val="12"/>
              </w:rPr>
              <w:t>hemostatis</w:t>
            </w:r>
            <w:proofErr w:type="spellEnd"/>
            <w:r w:rsidRPr="004F2F24">
              <w:rPr>
                <w:sz w:val="12"/>
                <w:szCs w:val="12"/>
              </w:rPr>
              <w:t xml:space="preserve"> in dentistry</w:t>
            </w:r>
          </w:p>
        </w:tc>
        <w:tc>
          <w:tcPr>
            <w:tcW w:w="343" w:type="pct"/>
            <w:tcMar>
              <w:top w:w="0" w:type="dxa"/>
              <w:left w:w="0" w:type="dxa"/>
              <w:bottom w:w="0" w:type="dxa"/>
              <w:right w:w="0" w:type="dxa"/>
            </w:tcMar>
          </w:tcPr>
          <w:p w14:paraId="5C8B37B0" w14:textId="77777777" w:rsidR="008D192F" w:rsidRPr="004F2F24" w:rsidRDefault="008D192F" w:rsidP="00583B5E">
            <w:pPr>
              <w:rPr>
                <w:sz w:val="12"/>
                <w:szCs w:val="12"/>
              </w:rPr>
            </w:pPr>
            <w:r w:rsidRPr="004F2F24">
              <w:rPr>
                <w:sz w:val="12"/>
                <w:szCs w:val="12"/>
              </w:rPr>
              <w:t xml:space="preserve">Further research about hemostatic effect of pomegranate-peel-chitosan-gelatin composite in vitro and in vivo (different research method), in order to understand its mechanism to stop </w:t>
            </w:r>
            <w:proofErr w:type="spellStart"/>
            <w:r w:rsidRPr="004F2F24">
              <w:rPr>
                <w:sz w:val="12"/>
                <w:szCs w:val="12"/>
              </w:rPr>
              <w:t>hemorrage</w:t>
            </w:r>
            <w:proofErr w:type="spellEnd"/>
          </w:p>
        </w:tc>
      </w:tr>
      <w:tr w:rsidR="008D192F" w:rsidRPr="00615448" w14:paraId="1C6E03EF" w14:textId="77777777" w:rsidTr="004F2F24">
        <w:trPr>
          <w:trHeight w:val="832"/>
        </w:trPr>
        <w:tc>
          <w:tcPr>
            <w:tcW w:w="90" w:type="pct"/>
            <w:tcMar>
              <w:top w:w="0" w:type="dxa"/>
              <w:left w:w="0" w:type="dxa"/>
              <w:bottom w:w="0" w:type="dxa"/>
              <w:right w:w="0" w:type="dxa"/>
            </w:tcMar>
          </w:tcPr>
          <w:p w14:paraId="4605B9BD" w14:textId="77777777" w:rsidR="008D192F" w:rsidRPr="004F2F24" w:rsidRDefault="008D192F" w:rsidP="00583B5E">
            <w:pPr>
              <w:rPr>
                <w:sz w:val="12"/>
                <w:szCs w:val="12"/>
              </w:rPr>
            </w:pPr>
            <w:r w:rsidRPr="004F2F24">
              <w:rPr>
                <w:sz w:val="12"/>
                <w:szCs w:val="12"/>
              </w:rPr>
              <w:t>5</w:t>
            </w:r>
          </w:p>
        </w:tc>
        <w:tc>
          <w:tcPr>
            <w:tcW w:w="126" w:type="pct"/>
            <w:tcMar>
              <w:top w:w="0" w:type="dxa"/>
              <w:left w:w="0" w:type="dxa"/>
              <w:bottom w:w="0" w:type="dxa"/>
              <w:right w:w="0" w:type="dxa"/>
            </w:tcMar>
          </w:tcPr>
          <w:p w14:paraId="64B36817" w14:textId="77777777" w:rsidR="008D192F" w:rsidRPr="004F2F24" w:rsidRDefault="008D192F" w:rsidP="00583B5E">
            <w:pPr>
              <w:rPr>
                <w:sz w:val="12"/>
                <w:szCs w:val="12"/>
              </w:rPr>
            </w:pPr>
            <w:r w:rsidRPr="004F2F24">
              <w:rPr>
                <w:sz w:val="12"/>
                <w:szCs w:val="12"/>
              </w:rPr>
              <w:t xml:space="preserve">The evaluation of resorbable </w:t>
            </w:r>
            <w:proofErr w:type="spellStart"/>
            <w:r w:rsidRPr="004F2F24">
              <w:rPr>
                <w:sz w:val="12"/>
                <w:szCs w:val="12"/>
              </w:rPr>
              <w:t>haemostatic</w:t>
            </w:r>
            <w:proofErr w:type="spellEnd"/>
            <w:r w:rsidRPr="004F2F24">
              <w:rPr>
                <w:sz w:val="12"/>
                <w:szCs w:val="12"/>
              </w:rPr>
              <w:t xml:space="preserve"> wound dressings in contact with blood in vitro</w:t>
            </w:r>
          </w:p>
        </w:tc>
        <w:tc>
          <w:tcPr>
            <w:tcW w:w="785" w:type="pct"/>
            <w:tcMar>
              <w:top w:w="0" w:type="dxa"/>
              <w:left w:w="0" w:type="dxa"/>
              <w:bottom w:w="0" w:type="dxa"/>
              <w:right w:w="0" w:type="dxa"/>
            </w:tcMar>
          </w:tcPr>
          <w:p w14:paraId="51AD31CA" w14:textId="77777777" w:rsidR="008D192F" w:rsidRPr="004F2F24" w:rsidRDefault="008D192F" w:rsidP="00583B5E">
            <w:pPr>
              <w:rPr>
                <w:sz w:val="12"/>
                <w:szCs w:val="12"/>
              </w:rPr>
            </w:pPr>
            <w:r w:rsidRPr="004F2F24">
              <w:rPr>
                <w:sz w:val="12"/>
                <w:szCs w:val="12"/>
              </w:rPr>
              <w:t xml:space="preserve">Evaluate hemostatic properties of a model of dressing based on micro- and </w:t>
            </w:r>
            <w:proofErr w:type="spellStart"/>
            <w:r w:rsidRPr="004F2F24">
              <w:rPr>
                <w:sz w:val="12"/>
                <w:szCs w:val="12"/>
              </w:rPr>
              <w:t>nanofibrids</w:t>
            </w:r>
            <w:proofErr w:type="spellEnd"/>
            <w:r w:rsidRPr="004F2F24">
              <w:rPr>
                <w:sz w:val="12"/>
                <w:szCs w:val="12"/>
              </w:rPr>
              <w:t xml:space="preserve"> of the chitosan, sodium / calcium alginate, and / or carboxymethylcellulose complex</w:t>
            </w:r>
          </w:p>
        </w:tc>
        <w:tc>
          <w:tcPr>
            <w:tcW w:w="189" w:type="pct"/>
            <w:tcMar>
              <w:top w:w="0" w:type="dxa"/>
              <w:left w:w="0" w:type="dxa"/>
              <w:bottom w:w="0" w:type="dxa"/>
              <w:right w:w="0" w:type="dxa"/>
            </w:tcMar>
          </w:tcPr>
          <w:p w14:paraId="7C5C00C0" w14:textId="77777777" w:rsidR="008D192F" w:rsidRPr="004F2F24" w:rsidRDefault="008D192F" w:rsidP="00583B5E">
            <w:pPr>
              <w:rPr>
                <w:sz w:val="12"/>
                <w:szCs w:val="12"/>
              </w:rPr>
            </w:pPr>
            <w:r w:rsidRPr="004F2F24">
              <w:rPr>
                <w:sz w:val="12"/>
                <w:szCs w:val="12"/>
              </w:rPr>
              <w:t>IN VITRO</w:t>
            </w:r>
          </w:p>
        </w:tc>
        <w:tc>
          <w:tcPr>
            <w:tcW w:w="576" w:type="pct"/>
            <w:tcMar>
              <w:top w:w="0" w:type="dxa"/>
              <w:left w:w="0" w:type="dxa"/>
              <w:bottom w:w="0" w:type="dxa"/>
              <w:right w:w="0" w:type="dxa"/>
            </w:tcMar>
          </w:tcPr>
          <w:p w14:paraId="7095B4F1" w14:textId="77777777" w:rsidR="008D192F" w:rsidRPr="004F2F24" w:rsidRDefault="008D192F" w:rsidP="00583B5E">
            <w:pPr>
              <w:rPr>
                <w:sz w:val="12"/>
                <w:szCs w:val="12"/>
              </w:rPr>
            </w:pPr>
            <w:r w:rsidRPr="004F2F24">
              <w:rPr>
                <w:sz w:val="12"/>
                <w:szCs w:val="12"/>
              </w:rPr>
              <w:t>The following materials were used in the study: chitosan / virgin chitosan (</w:t>
            </w:r>
            <w:proofErr w:type="spellStart"/>
            <w:r w:rsidRPr="004F2F24">
              <w:rPr>
                <w:sz w:val="12"/>
                <w:szCs w:val="12"/>
              </w:rPr>
              <w:t>ChitoClear</w:t>
            </w:r>
            <w:proofErr w:type="spellEnd"/>
            <w:r w:rsidRPr="004F2F24">
              <w:rPr>
                <w:sz w:val="12"/>
                <w:szCs w:val="12"/>
              </w:rPr>
              <w:t xml:space="preserve"> </w:t>
            </w:r>
            <w:proofErr w:type="spellStart"/>
            <w:r w:rsidRPr="004F2F24">
              <w:rPr>
                <w:sz w:val="12"/>
                <w:szCs w:val="12"/>
              </w:rPr>
              <w:t>hqg</w:t>
            </w:r>
            <w:proofErr w:type="spellEnd"/>
            <w:r w:rsidRPr="004F2F24">
              <w:rPr>
                <w:sz w:val="12"/>
                <w:szCs w:val="12"/>
              </w:rPr>
              <w:t xml:space="preserve"> 95, Primex </w:t>
            </w:r>
            <w:proofErr w:type="spellStart"/>
            <w:r w:rsidRPr="004F2F24">
              <w:rPr>
                <w:sz w:val="12"/>
                <w:szCs w:val="12"/>
              </w:rPr>
              <w:t>ehf</w:t>
            </w:r>
            <w:proofErr w:type="spellEnd"/>
            <w:r w:rsidRPr="004F2F24">
              <w:rPr>
                <w:sz w:val="12"/>
                <w:szCs w:val="12"/>
              </w:rPr>
              <w:t xml:space="preserve">., Iceland), average molecular mass (Mv): 373 </w:t>
            </w:r>
            <w:proofErr w:type="spellStart"/>
            <w:r w:rsidRPr="004F2F24">
              <w:rPr>
                <w:sz w:val="12"/>
                <w:szCs w:val="12"/>
              </w:rPr>
              <w:t>kDa</w:t>
            </w:r>
            <w:proofErr w:type="spellEnd"/>
            <w:r w:rsidRPr="004F2F24">
              <w:rPr>
                <w:sz w:val="12"/>
                <w:szCs w:val="12"/>
              </w:rPr>
              <w:t>, deacetylation degree (DD): 81%, ash content: 0.31%; sodium alginate (Protanal LF 10/60 FT, FMC Co.), sodium carboxymethylcellulose (Sigma-Aldrich Co.), calcium chloride anhydrous, analytically pure (</w:t>
            </w:r>
            <w:proofErr w:type="spellStart"/>
            <w:r w:rsidRPr="004F2F24">
              <w:rPr>
                <w:sz w:val="12"/>
                <w:szCs w:val="12"/>
              </w:rPr>
              <w:t>POCh</w:t>
            </w:r>
            <w:proofErr w:type="spellEnd"/>
            <w:r w:rsidRPr="004F2F24">
              <w:rPr>
                <w:sz w:val="12"/>
                <w:szCs w:val="12"/>
              </w:rPr>
              <w:t xml:space="preserve"> Co.); sodium hydroxide (Sigma-Aldrich Co.) and lactic acid 88% analytically pure (Avantor Performance Materials). The chitosan/alginate Na-Ca complex and / or chitosan / alginate Na-Ca/CMC complex in the form of micro- and </w:t>
            </w:r>
            <w:proofErr w:type="spellStart"/>
            <w:r w:rsidRPr="004F2F24">
              <w:rPr>
                <w:sz w:val="12"/>
                <w:szCs w:val="12"/>
              </w:rPr>
              <w:t>nanofibrids</w:t>
            </w:r>
            <w:proofErr w:type="spellEnd"/>
            <w:r w:rsidRPr="004F2F24">
              <w:rPr>
                <w:sz w:val="12"/>
                <w:szCs w:val="12"/>
              </w:rPr>
              <w:t xml:space="preserve"> of </w:t>
            </w:r>
            <w:proofErr w:type="spellStart"/>
            <w:r w:rsidRPr="004F2F24">
              <w:rPr>
                <w:sz w:val="12"/>
                <w:szCs w:val="12"/>
              </w:rPr>
              <w:t>Hemoguard</w:t>
            </w:r>
            <w:proofErr w:type="spellEnd"/>
            <w:r w:rsidRPr="004F2F24">
              <w:rPr>
                <w:sz w:val="12"/>
                <w:szCs w:val="12"/>
              </w:rPr>
              <w:t xml:space="preserve"> were prepared according to the recommended </w:t>
            </w:r>
            <w:proofErr w:type="spellStart"/>
            <w:r w:rsidRPr="004F2F24">
              <w:rPr>
                <w:sz w:val="12"/>
                <w:szCs w:val="12"/>
              </w:rPr>
              <w:t>IBWCh</w:t>
            </w:r>
            <w:proofErr w:type="spellEnd"/>
            <w:r w:rsidRPr="004F2F24">
              <w:rPr>
                <w:sz w:val="12"/>
                <w:szCs w:val="12"/>
              </w:rPr>
              <w:t xml:space="preserve"> method, using the </w:t>
            </w:r>
            <w:proofErr w:type="spellStart"/>
            <w:r w:rsidRPr="004F2F24">
              <w:rPr>
                <w:sz w:val="12"/>
                <w:szCs w:val="12"/>
              </w:rPr>
              <w:t>Dispax</w:t>
            </w:r>
            <w:proofErr w:type="spellEnd"/>
            <w:r w:rsidRPr="004F2F24">
              <w:rPr>
                <w:sz w:val="12"/>
                <w:szCs w:val="12"/>
              </w:rPr>
              <w:t xml:space="preserve"> Reactor Labor-Pilot 2000/4 flow reactor. The </w:t>
            </w:r>
            <w:proofErr w:type="spellStart"/>
            <w:r w:rsidRPr="004F2F24">
              <w:rPr>
                <w:sz w:val="12"/>
                <w:szCs w:val="12"/>
              </w:rPr>
              <w:t>fibrid</w:t>
            </w:r>
            <w:proofErr w:type="spellEnd"/>
            <w:r w:rsidRPr="004F2F24">
              <w:rPr>
                <w:sz w:val="12"/>
                <w:szCs w:val="12"/>
              </w:rPr>
              <w:t xml:space="preserve"> is a form of dressing prepared with chitosan (Chit) and alginate (</w:t>
            </w:r>
            <w:proofErr w:type="spellStart"/>
            <w:r w:rsidRPr="004F2F24">
              <w:rPr>
                <w:sz w:val="12"/>
                <w:szCs w:val="12"/>
              </w:rPr>
              <w:t>Alg</w:t>
            </w:r>
            <w:proofErr w:type="spellEnd"/>
            <w:r w:rsidRPr="004F2F24">
              <w:rPr>
                <w:sz w:val="12"/>
                <w:szCs w:val="12"/>
              </w:rPr>
              <w:t xml:space="preserve">) measuring micrometer and nanometer, hence the name micro and </w:t>
            </w:r>
            <w:proofErr w:type="spellStart"/>
            <w:r w:rsidRPr="004F2F24">
              <w:rPr>
                <w:sz w:val="12"/>
                <w:szCs w:val="12"/>
              </w:rPr>
              <w:t>nanofibrids</w:t>
            </w:r>
            <w:proofErr w:type="spellEnd"/>
            <w:r w:rsidRPr="004F2F24">
              <w:rPr>
                <w:sz w:val="12"/>
                <w:szCs w:val="12"/>
              </w:rPr>
              <w:t xml:space="preserve">. FDR – the abbreviation for </w:t>
            </w:r>
            <w:proofErr w:type="spellStart"/>
            <w:r w:rsidRPr="004F2F24">
              <w:rPr>
                <w:sz w:val="12"/>
                <w:szCs w:val="12"/>
              </w:rPr>
              <w:t>fibrids</w:t>
            </w:r>
            <w:proofErr w:type="spellEnd"/>
            <w:r w:rsidRPr="004F2F24">
              <w:rPr>
                <w:sz w:val="12"/>
                <w:szCs w:val="12"/>
              </w:rPr>
              <w:t xml:space="preserve">; </w:t>
            </w:r>
            <w:proofErr w:type="spellStart"/>
            <w:r w:rsidRPr="004F2F24">
              <w:rPr>
                <w:sz w:val="12"/>
                <w:szCs w:val="12"/>
              </w:rPr>
              <w:t>AlgNa</w:t>
            </w:r>
            <w:proofErr w:type="spellEnd"/>
            <w:r w:rsidRPr="004F2F24">
              <w:rPr>
                <w:sz w:val="12"/>
                <w:szCs w:val="12"/>
              </w:rPr>
              <w:t>-Ca – alginate, sodium calcium; CMC – sodium carboxymethylcellulose.</w:t>
            </w:r>
          </w:p>
        </w:tc>
        <w:tc>
          <w:tcPr>
            <w:tcW w:w="987" w:type="pct"/>
            <w:tcMar>
              <w:top w:w="0" w:type="dxa"/>
              <w:left w:w="0" w:type="dxa"/>
              <w:bottom w:w="0" w:type="dxa"/>
              <w:right w:w="0" w:type="dxa"/>
            </w:tcMar>
          </w:tcPr>
          <w:p w14:paraId="3A4B70AC" w14:textId="77777777" w:rsidR="008D192F" w:rsidRPr="004F2F24" w:rsidRDefault="008D192F" w:rsidP="00583B5E">
            <w:pPr>
              <w:rPr>
                <w:sz w:val="12"/>
                <w:szCs w:val="12"/>
              </w:rPr>
            </w:pPr>
            <w:r w:rsidRPr="004F2F24">
              <w:rPr>
                <w:sz w:val="12"/>
                <w:szCs w:val="12"/>
              </w:rPr>
              <w:t xml:space="preserve">Tests were performed on samples of intermittent contact with human blood 0 Rh+ preservative fluid taken at CPD. The amounts of dressing material to blood volume were chosen experimentally. Human whole blood with samples of dressing materials were used in proportions of 0.003 g/3cm3 and 0.003 g/2cm3 and the control sample without dressing material was incubated at (37 ± 1) °C for 15 or 30 min. The whole blood was then centrifuged at 1467 g for 10 min and the plasma was separated from the weight of the cellular components of the blood. Platelet rich plasma was obtained for studying plasma coagulation and </w:t>
            </w:r>
            <w:proofErr w:type="spellStart"/>
            <w:r w:rsidRPr="004F2F24">
              <w:rPr>
                <w:sz w:val="12"/>
                <w:szCs w:val="12"/>
              </w:rPr>
              <w:t>haemoglobin</w:t>
            </w:r>
            <w:proofErr w:type="spellEnd"/>
            <w:r w:rsidRPr="004F2F24">
              <w:rPr>
                <w:sz w:val="12"/>
                <w:szCs w:val="12"/>
              </w:rPr>
              <w:t xml:space="preserve"> concentration</w:t>
            </w:r>
            <w:r w:rsidRPr="004F2F24">
              <w:rPr>
                <w:sz w:val="12"/>
                <w:szCs w:val="12"/>
              </w:rPr>
              <w:br/>
            </w:r>
            <w:r w:rsidRPr="004F2F24">
              <w:rPr>
                <w:b/>
                <w:sz w:val="12"/>
                <w:szCs w:val="12"/>
              </w:rPr>
              <w:t>1.Research on plasma coagulation:</w:t>
            </w:r>
            <w:r w:rsidRPr="004F2F24">
              <w:rPr>
                <w:sz w:val="12"/>
                <w:szCs w:val="12"/>
              </w:rPr>
              <w:t xml:space="preserve"> Plasma was evaluated for partial thromboplastin time (APTT) and prothrombin time (PT). Thrombin time (TT) and fibrinogen (Fb), antithrombin (ATIII) and plasminogen (PLG) were also determined. Measurements of the plasma coagulation parameters were performed on a coagulometer </w:t>
            </w:r>
            <w:proofErr w:type="spellStart"/>
            <w:r w:rsidRPr="004F2F24">
              <w:rPr>
                <w:sz w:val="12"/>
                <w:szCs w:val="12"/>
              </w:rPr>
              <w:t>Coag</w:t>
            </w:r>
            <w:proofErr w:type="spellEnd"/>
            <w:r w:rsidRPr="004F2F24">
              <w:rPr>
                <w:sz w:val="12"/>
                <w:szCs w:val="12"/>
              </w:rPr>
              <w:t xml:space="preserve"> Crom 3003 at (37 ± 1) °C at a wavelength of 405 nm. The apparatus and reagent kits were from Bio-</w:t>
            </w:r>
            <w:proofErr w:type="spellStart"/>
            <w:r w:rsidRPr="004F2F24">
              <w:rPr>
                <w:sz w:val="12"/>
                <w:szCs w:val="12"/>
              </w:rPr>
              <w:t>Ksel</w:t>
            </w:r>
            <w:proofErr w:type="spellEnd"/>
            <w:r w:rsidRPr="004F2F24">
              <w:rPr>
                <w:sz w:val="12"/>
                <w:szCs w:val="12"/>
              </w:rPr>
              <w:t xml:space="preserve">, </w:t>
            </w:r>
            <w:proofErr w:type="spellStart"/>
            <w:r w:rsidRPr="004F2F24">
              <w:rPr>
                <w:sz w:val="12"/>
                <w:szCs w:val="12"/>
              </w:rPr>
              <w:t>Grudziądz</w:t>
            </w:r>
            <w:proofErr w:type="spellEnd"/>
            <w:r w:rsidRPr="004F2F24">
              <w:rPr>
                <w:sz w:val="12"/>
                <w:szCs w:val="12"/>
              </w:rPr>
              <w:t>, Poland. The procedures used were consistent with the methods contained in the manual for the camera.</w:t>
            </w:r>
            <w:r w:rsidRPr="004F2F24">
              <w:rPr>
                <w:sz w:val="12"/>
                <w:szCs w:val="12"/>
              </w:rPr>
              <w:br/>
            </w:r>
            <w:proofErr w:type="gramStart"/>
            <w:r w:rsidRPr="004F2F24">
              <w:rPr>
                <w:b/>
                <w:sz w:val="12"/>
                <w:szCs w:val="12"/>
              </w:rPr>
              <w:t>2.Determination</w:t>
            </w:r>
            <w:proofErr w:type="gramEnd"/>
            <w:r w:rsidRPr="004F2F24">
              <w:rPr>
                <w:b/>
                <w:sz w:val="12"/>
                <w:szCs w:val="12"/>
              </w:rPr>
              <w:t xml:space="preserve"> of time-activated partial thromboplastin:</w:t>
            </w:r>
            <w:r w:rsidRPr="004F2F24">
              <w:rPr>
                <w:sz w:val="12"/>
                <w:szCs w:val="12"/>
              </w:rPr>
              <w:t xml:space="preserve"> Test tubes were measured successively at (37 ± 1) °C with 50 µl of plasma and 50 µl of the APTT reagent, which was a buffered suspension of plant phospholipids mixed with silica, and incubated for 180 s at (37 ± 1) °C. Then, 50 µl of 25 mmol/L CaCl2 was added and the plasma clotting time was automatically measured. The range of reference values of normal human plasma APTT was 26.00 s – 32.60 s – 38.90 s.</w:t>
            </w:r>
            <w:r w:rsidRPr="004F2F24">
              <w:rPr>
                <w:sz w:val="12"/>
                <w:szCs w:val="12"/>
              </w:rPr>
              <w:br/>
            </w:r>
            <w:r w:rsidRPr="004F2F24">
              <w:rPr>
                <w:b/>
                <w:sz w:val="12"/>
                <w:szCs w:val="12"/>
              </w:rPr>
              <w:t>3.Determination of prothrombin time and fibrinogen:</w:t>
            </w:r>
            <w:r w:rsidRPr="004F2F24">
              <w:rPr>
                <w:sz w:val="12"/>
                <w:szCs w:val="12"/>
              </w:rPr>
              <w:t xml:space="preserve"> Test tubes were successively measured at (37 ± 1) °C with 50 µl of plasma, incubated for 60 s at (37 ± 1) °C, followed by the addition of 100 ul of thromboplastin (20 ± 1) °C, which was human placental calcium thromboplastin, and the plasma clotting time was automatically measured. The range of reference values for human plasma was PT, 9.90 s – 12.40 s – 14.90 s. The test was done to measure prothrombin time as an indicator of the quantity of fibrinogen. The range of Fb was 2.55 g/L – 3.19 g/L – 3.82 g/L.</w:t>
            </w:r>
            <w:r w:rsidRPr="004F2F24">
              <w:rPr>
                <w:sz w:val="12"/>
                <w:szCs w:val="12"/>
              </w:rPr>
              <w:br/>
            </w:r>
            <w:r w:rsidRPr="004F2F24">
              <w:rPr>
                <w:b/>
                <w:sz w:val="12"/>
                <w:szCs w:val="12"/>
              </w:rPr>
              <w:t>4.Determination of antithrombin III:</w:t>
            </w:r>
            <w:r w:rsidRPr="004F2F24">
              <w:rPr>
                <w:sz w:val="12"/>
                <w:szCs w:val="12"/>
              </w:rPr>
              <w:t xml:space="preserve"> Test tubes were successively measured at (37 ± 1) °C with 50 µl of plasma (1:31) and 50 µl of thrombin </w:t>
            </w:r>
            <w:r w:rsidRPr="004F2F24">
              <w:rPr>
                <w:sz w:val="12"/>
                <w:szCs w:val="12"/>
              </w:rPr>
              <w:lastRenderedPageBreak/>
              <w:t>(thrombin beef ash) and incubated for 60 s at (20 ± 1) °C, followed by the addition of a chromogenic substrate at (20 ± 1) °C. The test was done to measure clotting time as an indicator of antithrombin III activity. The range of AT III was 77% – 101% – 116%.</w:t>
            </w:r>
            <w:r w:rsidRPr="004F2F24">
              <w:rPr>
                <w:sz w:val="12"/>
                <w:szCs w:val="12"/>
              </w:rPr>
              <w:br/>
            </w:r>
            <w:proofErr w:type="gramStart"/>
            <w:r w:rsidRPr="004F2F24">
              <w:rPr>
                <w:b/>
                <w:sz w:val="12"/>
                <w:szCs w:val="12"/>
              </w:rPr>
              <w:t>5.Determination</w:t>
            </w:r>
            <w:proofErr w:type="gramEnd"/>
            <w:r w:rsidRPr="004F2F24">
              <w:rPr>
                <w:b/>
                <w:sz w:val="12"/>
                <w:szCs w:val="12"/>
              </w:rPr>
              <w:t xml:space="preserve"> of plasminogen:</w:t>
            </w:r>
            <w:r w:rsidRPr="004F2F24">
              <w:rPr>
                <w:sz w:val="12"/>
                <w:szCs w:val="12"/>
              </w:rPr>
              <w:t xml:space="preserve"> Test tubes were successively measured at (20 ± 1) °C with 50 µl of plasma (1:5) and 50 µl of streptokinase and incubated for 90 s at (20 ± 1) °C, followed by the addition of the substrate at (20 ± 1) °C and a measurement was taken. The test was used to measure clotting time as an indicator of plasminogen activity. The range of PLG was 77% – 92% – 107%.</w:t>
            </w:r>
            <w:r w:rsidRPr="004F2F24">
              <w:rPr>
                <w:sz w:val="12"/>
                <w:szCs w:val="12"/>
              </w:rPr>
              <w:br/>
            </w:r>
            <w:proofErr w:type="gramStart"/>
            <w:r w:rsidRPr="004F2F24">
              <w:rPr>
                <w:b/>
                <w:sz w:val="12"/>
                <w:szCs w:val="12"/>
              </w:rPr>
              <w:t>6.Plasma</w:t>
            </w:r>
            <w:proofErr w:type="gramEnd"/>
            <w:r w:rsidRPr="004F2F24">
              <w:rPr>
                <w:b/>
                <w:sz w:val="12"/>
                <w:szCs w:val="12"/>
              </w:rPr>
              <w:t xml:space="preserve"> recalcification time test:</w:t>
            </w:r>
            <w:r w:rsidRPr="004F2F24">
              <w:rPr>
                <w:sz w:val="12"/>
                <w:szCs w:val="12"/>
              </w:rPr>
              <w:t xml:space="preserve"> Whole blood (CPD) was centrifuged at 1467 g for 10 min. After centrifugation, plasma was separated from the cellular components of the blood. A platelet rich plasma citrate was obtained. Dressing materials of 0.003 g were placed in a test tube, measured with 0.5 cm³ citrated plasma and incubated for 15 min in a water bath at (37 ± 1) °C. Then, baguettes were inserted into a tube and 0.5 cm3 of 25 mmol/L CaCl2 was measured at (37 ± 1) °C. Test tubes were gently mixed and solidification time was measured. The measurement of clotting time (PRT) was completed at the time when the first fibrin strands connected the hook baguette with the test sample. Parallel measurements of plasma without dressing materials were done as a control</w:t>
            </w:r>
          </w:p>
        </w:tc>
        <w:tc>
          <w:tcPr>
            <w:tcW w:w="514" w:type="pct"/>
            <w:tcMar>
              <w:top w:w="0" w:type="dxa"/>
              <w:left w:w="0" w:type="dxa"/>
              <w:bottom w:w="0" w:type="dxa"/>
              <w:right w:w="0" w:type="dxa"/>
            </w:tcMar>
          </w:tcPr>
          <w:p w14:paraId="7B2E3858" w14:textId="77777777" w:rsidR="008D192F" w:rsidRPr="004F2F24" w:rsidRDefault="008D192F" w:rsidP="00583B5E">
            <w:pPr>
              <w:rPr>
                <w:sz w:val="12"/>
                <w:szCs w:val="12"/>
              </w:rPr>
            </w:pPr>
            <w:r w:rsidRPr="004F2F24">
              <w:rPr>
                <w:b/>
                <w:sz w:val="12"/>
                <w:szCs w:val="12"/>
              </w:rPr>
              <w:lastRenderedPageBreak/>
              <w:t xml:space="preserve">The activated partial thromboplastin time (APTT) </w:t>
            </w:r>
            <w:r w:rsidRPr="004F2F24">
              <w:rPr>
                <w:sz w:val="12"/>
                <w:szCs w:val="12"/>
              </w:rPr>
              <w:t>found for FDR/L/Chit/</w:t>
            </w:r>
            <w:proofErr w:type="spellStart"/>
            <w:r w:rsidRPr="004F2F24">
              <w:rPr>
                <w:sz w:val="12"/>
                <w:szCs w:val="12"/>
              </w:rPr>
              <w:t>AlgNa</w:t>
            </w:r>
            <w:proofErr w:type="spellEnd"/>
            <w:r w:rsidRPr="004F2F24">
              <w:rPr>
                <w:sz w:val="12"/>
                <w:szCs w:val="12"/>
              </w:rPr>
              <w:t>-Ca (0.003 g/3 cm3) was comparable to the control group. For the FDR/L/Chit/</w:t>
            </w:r>
            <w:proofErr w:type="spellStart"/>
            <w:r w:rsidRPr="004F2F24">
              <w:rPr>
                <w:sz w:val="12"/>
                <w:szCs w:val="12"/>
              </w:rPr>
              <w:t>AlgNa</w:t>
            </w:r>
            <w:proofErr w:type="spellEnd"/>
            <w:r w:rsidRPr="004F2F24">
              <w:rPr>
                <w:sz w:val="12"/>
                <w:szCs w:val="12"/>
              </w:rPr>
              <w:t>-Ca/CMC after 30 min there was a significant (p &lt; 0.01) shortening of the APTT. For FDR/R/Chit/</w:t>
            </w:r>
            <w:proofErr w:type="spellStart"/>
            <w:r w:rsidRPr="004F2F24">
              <w:rPr>
                <w:sz w:val="12"/>
                <w:szCs w:val="12"/>
              </w:rPr>
              <w:t>AlgNa</w:t>
            </w:r>
            <w:proofErr w:type="spellEnd"/>
            <w:r w:rsidRPr="004F2F24">
              <w:rPr>
                <w:sz w:val="12"/>
                <w:szCs w:val="12"/>
              </w:rPr>
              <w:t>-Ca/CMC and FDR/R/Chit/</w:t>
            </w:r>
            <w:proofErr w:type="spellStart"/>
            <w:r w:rsidRPr="004F2F24">
              <w:rPr>
                <w:sz w:val="12"/>
                <w:szCs w:val="12"/>
              </w:rPr>
              <w:t>AlgNa</w:t>
            </w:r>
            <w:proofErr w:type="spellEnd"/>
            <w:r w:rsidRPr="004F2F24">
              <w:rPr>
                <w:sz w:val="12"/>
                <w:szCs w:val="12"/>
              </w:rPr>
              <w:t xml:space="preserve">-Ca there was a significant </w:t>
            </w:r>
            <w:proofErr w:type="gramStart"/>
            <w:r w:rsidRPr="004F2F24">
              <w:rPr>
                <w:sz w:val="12"/>
                <w:szCs w:val="12"/>
              </w:rPr>
              <w:t>( p</w:t>
            </w:r>
            <w:proofErr w:type="gramEnd"/>
            <w:r w:rsidRPr="004F2F24">
              <w:rPr>
                <w:sz w:val="12"/>
                <w:szCs w:val="12"/>
              </w:rPr>
              <w:t xml:space="preserve"> &lt; 0.01) shortening of the APTT at 0.003 g/3 cm3 after 15 and 30 min and at 0.003 g/2 cm3 after 15 min </w:t>
            </w:r>
            <w:proofErr w:type="gramStart"/>
            <w:r w:rsidRPr="004F2F24">
              <w:rPr>
                <w:sz w:val="12"/>
                <w:szCs w:val="12"/>
              </w:rPr>
              <w:t>At</w:t>
            </w:r>
            <w:proofErr w:type="gramEnd"/>
            <w:r w:rsidRPr="004F2F24">
              <w:rPr>
                <w:sz w:val="12"/>
                <w:szCs w:val="12"/>
              </w:rPr>
              <w:t xml:space="preserve"> 0.003 g/2 cm3 after 30 min a clot did not occur. For the </w:t>
            </w:r>
            <w:proofErr w:type="spellStart"/>
            <w:r w:rsidRPr="004F2F24">
              <w:rPr>
                <w:sz w:val="12"/>
                <w:szCs w:val="12"/>
              </w:rPr>
              <w:t>CeloxTM</w:t>
            </w:r>
            <w:proofErr w:type="spellEnd"/>
            <w:r w:rsidRPr="004F2F24">
              <w:rPr>
                <w:sz w:val="12"/>
                <w:szCs w:val="12"/>
              </w:rPr>
              <w:t xml:space="preserve"> there was no change in the APTT. For the </w:t>
            </w:r>
            <w:proofErr w:type="spellStart"/>
            <w:r w:rsidRPr="004F2F24">
              <w:rPr>
                <w:sz w:val="12"/>
                <w:szCs w:val="12"/>
              </w:rPr>
              <w:t>QuikClot</w:t>
            </w:r>
            <w:proofErr w:type="spellEnd"/>
            <w:r w:rsidRPr="004F2F24">
              <w:rPr>
                <w:sz w:val="12"/>
                <w:szCs w:val="12"/>
              </w:rPr>
              <w:t xml:space="preserve"> ACS+TM there was a significant (p &lt; 0.01) shortening of the APTT</w:t>
            </w:r>
            <w:r w:rsidRPr="004F2F24">
              <w:rPr>
                <w:sz w:val="12"/>
                <w:szCs w:val="12"/>
              </w:rPr>
              <w:br/>
            </w:r>
            <w:r w:rsidRPr="004F2F24">
              <w:rPr>
                <w:b/>
                <w:sz w:val="12"/>
                <w:szCs w:val="12"/>
              </w:rPr>
              <w:t>The prothrombin times (PT)</w:t>
            </w:r>
            <w:r w:rsidRPr="004F2F24">
              <w:rPr>
                <w:sz w:val="12"/>
                <w:szCs w:val="12"/>
              </w:rPr>
              <w:t xml:space="preserve"> found for FDR/L/Chit/</w:t>
            </w:r>
            <w:proofErr w:type="spellStart"/>
            <w:r w:rsidRPr="004F2F24">
              <w:rPr>
                <w:sz w:val="12"/>
                <w:szCs w:val="12"/>
              </w:rPr>
              <w:t>AlgNa</w:t>
            </w:r>
            <w:proofErr w:type="spellEnd"/>
            <w:r w:rsidRPr="004F2F24">
              <w:rPr>
                <w:sz w:val="12"/>
                <w:szCs w:val="12"/>
              </w:rPr>
              <w:t>-Ca and FDR/L/Chit/</w:t>
            </w:r>
            <w:proofErr w:type="spellStart"/>
            <w:r w:rsidRPr="004F2F24">
              <w:rPr>
                <w:sz w:val="12"/>
                <w:szCs w:val="12"/>
              </w:rPr>
              <w:t>AlgNa</w:t>
            </w:r>
            <w:proofErr w:type="spellEnd"/>
            <w:r w:rsidRPr="004F2F24">
              <w:rPr>
                <w:sz w:val="12"/>
                <w:szCs w:val="12"/>
              </w:rPr>
              <w:t xml:space="preserve">-Ca/CMC showed a significant </w:t>
            </w:r>
            <w:proofErr w:type="gramStart"/>
            <w:r w:rsidRPr="004F2F24">
              <w:rPr>
                <w:sz w:val="12"/>
                <w:szCs w:val="12"/>
              </w:rPr>
              <w:t>( p</w:t>
            </w:r>
            <w:proofErr w:type="gramEnd"/>
            <w:r w:rsidRPr="004F2F24">
              <w:rPr>
                <w:sz w:val="12"/>
                <w:szCs w:val="12"/>
              </w:rPr>
              <w:t xml:space="preserve"> &lt; 0.01) shortening at 0.003 g/2 cm3 after 30 min. For FDR/R/Chit/</w:t>
            </w:r>
            <w:proofErr w:type="spellStart"/>
            <w:r w:rsidRPr="004F2F24">
              <w:rPr>
                <w:sz w:val="12"/>
                <w:szCs w:val="12"/>
              </w:rPr>
              <w:t>AlgNa</w:t>
            </w:r>
            <w:proofErr w:type="spellEnd"/>
            <w:r w:rsidRPr="004F2F24">
              <w:rPr>
                <w:sz w:val="12"/>
                <w:szCs w:val="12"/>
              </w:rPr>
              <w:t>-Ca/CMC and FDR/R/Chit/</w:t>
            </w:r>
            <w:proofErr w:type="spellStart"/>
            <w:r w:rsidRPr="004F2F24">
              <w:rPr>
                <w:sz w:val="12"/>
                <w:szCs w:val="12"/>
              </w:rPr>
              <w:t>AlgNa</w:t>
            </w:r>
            <w:proofErr w:type="spellEnd"/>
            <w:r w:rsidRPr="004F2F24">
              <w:rPr>
                <w:sz w:val="12"/>
                <w:szCs w:val="12"/>
              </w:rPr>
              <w:t xml:space="preserve">-Ca there was a significant </w:t>
            </w:r>
            <w:proofErr w:type="gramStart"/>
            <w:r w:rsidRPr="004F2F24">
              <w:rPr>
                <w:sz w:val="12"/>
                <w:szCs w:val="12"/>
              </w:rPr>
              <w:t>( p</w:t>
            </w:r>
            <w:proofErr w:type="gramEnd"/>
            <w:r w:rsidRPr="004F2F24">
              <w:rPr>
                <w:sz w:val="12"/>
                <w:szCs w:val="12"/>
              </w:rPr>
              <w:t xml:space="preserve"> &lt; 0.01) shortening of the PT at 0.003 g/3 cm3 after 15 and 30 min and at 0.003 g/2 cm3 after 15 min </w:t>
            </w:r>
            <w:proofErr w:type="gramStart"/>
            <w:r w:rsidRPr="004F2F24">
              <w:rPr>
                <w:sz w:val="12"/>
                <w:szCs w:val="12"/>
              </w:rPr>
              <w:t>At</w:t>
            </w:r>
            <w:proofErr w:type="gramEnd"/>
            <w:r w:rsidRPr="004F2F24">
              <w:rPr>
                <w:sz w:val="12"/>
                <w:szCs w:val="12"/>
              </w:rPr>
              <w:t xml:space="preserve"> 0.003 g/2 cm3 after 30 min. there was clotting, which made it impossible to take a measurement. For the </w:t>
            </w:r>
            <w:proofErr w:type="spellStart"/>
            <w:r w:rsidRPr="004F2F24">
              <w:rPr>
                <w:sz w:val="12"/>
                <w:szCs w:val="12"/>
              </w:rPr>
              <w:t>CeloxTM</w:t>
            </w:r>
            <w:proofErr w:type="spellEnd"/>
            <w:r w:rsidRPr="004F2F24">
              <w:rPr>
                <w:sz w:val="12"/>
                <w:szCs w:val="12"/>
              </w:rPr>
              <w:t xml:space="preserve"> dressing there was a significant </w:t>
            </w:r>
            <w:proofErr w:type="gramStart"/>
            <w:r w:rsidRPr="004F2F24">
              <w:rPr>
                <w:sz w:val="12"/>
                <w:szCs w:val="12"/>
              </w:rPr>
              <w:t>( p</w:t>
            </w:r>
            <w:proofErr w:type="gramEnd"/>
            <w:r w:rsidRPr="004F2F24">
              <w:rPr>
                <w:sz w:val="12"/>
                <w:szCs w:val="12"/>
              </w:rPr>
              <w:t xml:space="preserve"> &lt; 0.01) prolongation </w:t>
            </w:r>
            <w:r w:rsidRPr="004F2F24">
              <w:rPr>
                <w:sz w:val="12"/>
                <w:szCs w:val="12"/>
              </w:rPr>
              <w:lastRenderedPageBreak/>
              <w:t xml:space="preserve">of the PT and for </w:t>
            </w:r>
            <w:proofErr w:type="spellStart"/>
            <w:r w:rsidRPr="004F2F24">
              <w:rPr>
                <w:sz w:val="12"/>
                <w:szCs w:val="12"/>
              </w:rPr>
              <w:t>QuikClot</w:t>
            </w:r>
            <w:proofErr w:type="spellEnd"/>
            <w:r w:rsidRPr="004F2F24">
              <w:rPr>
                <w:sz w:val="12"/>
                <w:szCs w:val="12"/>
              </w:rPr>
              <w:t xml:space="preserve"> AC+TM a significant (p &lt; 0.01) shortening of the PT</w:t>
            </w:r>
            <w:r w:rsidRPr="004F2F24">
              <w:rPr>
                <w:sz w:val="12"/>
                <w:szCs w:val="12"/>
              </w:rPr>
              <w:br/>
            </w:r>
            <w:r w:rsidRPr="004F2F24">
              <w:rPr>
                <w:b/>
                <w:sz w:val="12"/>
                <w:szCs w:val="12"/>
              </w:rPr>
              <w:t>The thrombin time (TT)</w:t>
            </w:r>
            <w:r w:rsidRPr="004F2F24">
              <w:rPr>
                <w:sz w:val="12"/>
                <w:szCs w:val="12"/>
              </w:rPr>
              <w:t xml:space="preserve"> measured for FDR/R/Chit/</w:t>
            </w:r>
            <w:proofErr w:type="spellStart"/>
            <w:r w:rsidRPr="004F2F24">
              <w:rPr>
                <w:sz w:val="12"/>
                <w:szCs w:val="12"/>
              </w:rPr>
              <w:t>AlgNa</w:t>
            </w:r>
            <w:proofErr w:type="spellEnd"/>
            <w:r w:rsidRPr="004F2F24">
              <w:rPr>
                <w:sz w:val="12"/>
                <w:szCs w:val="12"/>
              </w:rPr>
              <w:t>-Ca/CMC and FDR/R/Chit/</w:t>
            </w:r>
            <w:proofErr w:type="spellStart"/>
            <w:r w:rsidRPr="004F2F24">
              <w:rPr>
                <w:sz w:val="12"/>
                <w:szCs w:val="12"/>
              </w:rPr>
              <w:t>AlgNa</w:t>
            </w:r>
            <w:proofErr w:type="spellEnd"/>
            <w:r w:rsidRPr="004F2F24">
              <w:rPr>
                <w:sz w:val="12"/>
                <w:szCs w:val="12"/>
              </w:rPr>
              <w:t xml:space="preserve">-Ca showed a significant </w:t>
            </w:r>
            <w:proofErr w:type="gramStart"/>
            <w:r w:rsidRPr="004F2F24">
              <w:rPr>
                <w:sz w:val="12"/>
                <w:szCs w:val="12"/>
              </w:rPr>
              <w:t>( p</w:t>
            </w:r>
            <w:proofErr w:type="gramEnd"/>
            <w:r w:rsidRPr="004F2F24">
              <w:rPr>
                <w:sz w:val="12"/>
                <w:szCs w:val="12"/>
              </w:rPr>
              <w:t xml:space="preserve"> &lt; 0.01) prolongation at 0.003 g/3 cm3 after 15 min and 30 min and at 0.003 g/2 cm3 after 15 min. At 0.003 g/2 cm3 after 30 min there was clotting and no measurement was made (Fig. 5). For other dressings the TT was similar to the control and reference values The fibrinogen concentration (Fb) ratio was 0.003 g/3 cm3 after 15 min and 30 min, which was similar to the value in the control, while at 0.003 g/2 cm3 after 15 min and 30 min, there was significant </w:t>
            </w:r>
            <w:proofErr w:type="gramStart"/>
            <w:r w:rsidRPr="004F2F24">
              <w:rPr>
                <w:sz w:val="12"/>
                <w:szCs w:val="12"/>
              </w:rPr>
              <w:t>( p</w:t>
            </w:r>
            <w:proofErr w:type="gramEnd"/>
            <w:r w:rsidRPr="004F2F24">
              <w:rPr>
                <w:sz w:val="12"/>
                <w:szCs w:val="12"/>
              </w:rPr>
              <w:t xml:space="preserve"> &lt; 0.01) shortening of the Fb (Fig. 6). Activity of antithrombin III and plasminogen was within the normal range.</w:t>
            </w:r>
            <w:r w:rsidRPr="004F2F24">
              <w:rPr>
                <w:sz w:val="12"/>
                <w:szCs w:val="12"/>
              </w:rPr>
              <w:br/>
            </w:r>
            <w:r w:rsidRPr="004F2F24">
              <w:rPr>
                <w:b/>
                <w:sz w:val="12"/>
                <w:szCs w:val="12"/>
              </w:rPr>
              <w:t>The plasma recalcification time (PRT)</w:t>
            </w:r>
            <w:r w:rsidRPr="004F2F24">
              <w:rPr>
                <w:sz w:val="12"/>
                <w:szCs w:val="12"/>
              </w:rPr>
              <w:t xml:space="preserve"> found for the FDR/R/Chit/</w:t>
            </w:r>
            <w:proofErr w:type="spellStart"/>
            <w:r w:rsidRPr="004F2F24">
              <w:rPr>
                <w:sz w:val="12"/>
                <w:szCs w:val="12"/>
              </w:rPr>
              <w:t>AlgNa</w:t>
            </w:r>
            <w:proofErr w:type="spellEnd"/>
            <w:r w:rsidRPr="004F2F24">
              <w:rPr>
                <w:sz w:val="12"/>
                <w:szCs w:val="12"/>
              </w:rPr>
              <w:t>-Ca/CMC and FDR/R/Chit/</w:t>
            </w:r>
            <w:proofErr w:type="spellStart"/>
            <w:r w:rsidRPr="004F2F24">
              <w:rPr>
                <w:sz w:val="12"/>
                <w:szCs w:val="12"/>
              </w:rPr>
              <w:t>AlgNa</w:t>
            </w:r>
            <w:proofErr w:type="spellEnd"/>
            <w:r w:rsidRPr="004F2F24">
              <w:rPr>
                <w:sz w:val="12"/>
                <w:szCs w:val="12"/>
              </w:rPr>
              <w:t xml:space="preserve">-Ca dressing was significantly shorter </w:t>
            </w:r>
            <w:proofErr w:type="gramStart"/>
            <w:r w:rsidRPr="004F2F24">
              <w:rPr>
                <w:sz w:val="12"/>
                <w:szCs w:val="12"/>
              </w:rPr>
              <w:t>( p</w:t>
            </w:r>
            <w:proofErr w:type="gramEnd"/>
            <w:r w:rsidRPr="004F2F24">
              <w:rPr>
                <w:sz w:val="12"/>
                <w:szCs w:val="12"/>
              </w:rPr>
              <w:t xml:space="preserve"> &lt; 0.05) (Table 1A, 37% and 53%) in comparison to the control. The process of clot formation (PRT) was longer from the moment the fibrin thread appeared in the forming clot (Table 1A) until the clot formation was completed (Table 1B). For the </w:t>
            </w:r>
            <w:proofErr w:type="spellStart"/>
            <w:r w:rsidRPr="004F2F24">
              <w:rPr>
                <w:sz w:val="12"/>
                <w:szCs w:val="12"/>
              </w:rPr>
              <w:t>CeloxTM</w:t>
            </w:r>
            <w:proofErr w:type="spellEnd"/>
            <w:r w:rsidRPr="004F2F24">
              <w:rPr>
                <w:sz w:val="12"/>
                <w:szCs w:val="12"/>
              </w:rPr>
              <w:t xml:space="preserve"> addressing a fibrin thread appeared during clot formation in the control (Table 1A). However, the process of clot formation was longer (Table 1 B) in comparison to the control and comparable to the </w:t>
            </w:r>
            <w:r w:rsidRPr="004F2F24">
              <w:rPr>
                <w:sz w:val="12"/>
                <w:szCs w:val="12"/>
              </w:rPr>
              <w:lastRenderedPageBreak/>
              <w:t>FDR/R/Chit/</w:t>
            </w:r>
            <w:proofErr w:type="spellStart"/>
            <w:r w:rsidRPr="004F2F24">
              <w:rPr>
                <w:sz w:val="12"/>
                <w:szCs w:val="12"/>
              </w:rPr>
              <w:t>AlgNa</w:t>
            </w:r>
            <w:proofErr w:type="spellEnd"/>
            <w:r w:rsidRPr="004F2F24">
              <w:rPr>
                <w:sz w:val="12"/>
                <w:szCs w:val="12"/>
              </w:rPr>
              <w:t>-Ca/CMC and FDR/R/Chit/</w:t>
            </w:r>
            <w:proofErr w:type="spellStart"/>
            <w:r w:rsidRPr="004F2F24">
              <w:rPr>
                <w:sz w:val="12"/>
                <w:szCs w:val="12"/>
              </w:rPr>
              <w:t>AlgNa</w:t>
            </w:r>
            <w:proofErr w:type="spellEnd"/>
            <w:r w:rsidRPr="004F2F24">
              <w:rPr>
                <w:sz w:val="12"/>
                <w:szCs w:val="12"/>
              </w:rPr>
              <w:t xml:space="preserve">-Ca dressings. The </w:t>
            </w:r>
            <w:proofErr w:type="spellStart"/>
            <w:r w:rsidRPr="004F2F24">
              <w:rPr>
                <w:sz w:val="12"/>
                <w:szCs w:val="12"/>
              </w:rPr>
              <w:t>QuikClot</w:t>
            </w:r>
            <w:proofErr w:type="spellEnd"/>
            <w:r w:rsidRPr="004F2F24">
              <w:rPr>
                <w:sz w:val="12"/>
                <w:szCs w:val="12"/>
              </w:rPr>
              <w:t xml:space="preserve"> ACS+TM dressing in granular form had 78% shorter PRT (significance p &lt; </w:t>
            </w:r>
            <w:proofErr w:type="gramStart"/>
            <w:r w:rsidRPr="004F2F24">
              <w:rPr>
                <w:sz w:val="12"/>
                <w:szCs w:val="12"/>
              </w:rPr>
              <w:t>0.01)and</w:t>
            </w:r>
            <w:proofErr w:type="gramEnd"/>
            <w:r w:rsidRPr="004F2F24">
              <w:rPr>
                <w:sz w:val="12"/>
                <w:szCs w:val="12"/>
              </w:rPr>
              <w:t xml:space="preserve"> 86% shorter PRT in powder form compared </w:t>
            </w:r>
            <w:proofErr w:type="spellStart"/>
            <w:r w:rsidRPr="004F2F24">
              <w:rPr>
                <w:sz w:val="12"/>
                <w:szCs w:val="12"/>
              </w:rPr>
              <w:t>tothe</w:t>
            </w:r>
            <w:proofErr w:type="spellEnd"/>
            <w:r w:rsidRPr="004F2F24">
              <w:rPr>
                <w:sz w:val="12"/>
                <w:szCs w:val="12"/>
              </w:rPr>
              <w:t xml:space="preserve"> control.</w:t>
            </w:r>
          </w:p>
        </w:tc>
        <w:tc>
          <w:tcPr>
            <w:tcW w:w="561" w:type="pct"/>
            <w:tcMar>
              <w:top w:w="0" w:type="dxa"/>
              <w:left w:w="0" w:type="dxa"/>
              <w:bottom w:w="0" w:type="dxa"/>
              <w:right w:w="0" w:type="dxa"/>
            </w:tcMar>
          </w:tcPr>
          <w:p w14:paraId="37347B36" w14:textId="77777777" w:rsidR="008D192F" w:rsidRPr="004F2F24" w:rsidRDefault="008D192F" w:rsidP="00583B5E">
            <w:pPr>
              <w:rPr>
                <w:sz w:val="12"/>
                <w:szCs w:val="12"/>
              </w:rPr>
            </w:pPr>
            <w:r w:rsidRPr="004F2F24">
              <w:rPr>
                <w:sz w:val="12"/>
                <w:szCs w:val="12"/>
              </w:rPr>
              <w:lastRenderedPageBreak/>
              <w:t xml:space="preserve">The process of arresting bleeding in a wound comes from the electrostatic interaction of chitosan with blood cells, the presence of sodium alginate and cellulose with faster absorption of blood component secretions and increased stickiness and adhesiveness that keeps the formed gel clot from moving. The clot that forms is thus more stable. Sodium alginate and carboxymethylcellulose lead to high swelling capacity, the absorption of fluids and secretions and enhanced </w:t>
            </w:r>
            <w:proofErr w:type="spellStart"/>
            <w:r w:rsidRPr="004F2F24">
              <w:rPr>
                <w:sz w:val="12"/>
                <w:szCs w:val="12"/>
              </w:rPr>
              <w:t>haemostatic</w:t>
            </w:r>
            <w:proofErr w:type="spellEnd"/>
            <w:r w:rsidRPr="004F2F24">
              <w:rPr>
                <w:sz w:val="12"/>
                <w:szCs w:val="12"/>
              </w:rPr>
              <w:t xml:space="preserve"> properties, all of which is especially useful in dressing materials used in what is called moist wound therapy or in the treatment of wounds in the first phase of healing. In addition, the fibrous form of the dressing increases the contact surface and adhesiveness of the pseudo-clot that is in gel form. The interaction of several components in the dressing operates more effectively in the process of bleeding control than in one-component dressings. The process of activating </w:t>
            </w:r>
            <w:proofErr w:type="spellStart"/>
            <w:r w:rsidRPr="004F2F24">
              <w:rPr>
                <w:sz w:val="12"/>
                <w:szCs w:val="12"/>
              </w:rPr>
              <w:t>haemostasis</w:t>
            </w:r>
            <w:proofErr w:type="spellEnd"/>
            <w:r w:rsidRPr="004F2F24">
              <w:rPr>
                <w:sz w:val="12"/>
                <w:szCs w:val="12"/>
              </w:rPr>
              <w:t xml:space="preserve"> does not cause significant changes in the values of the coagulation factors involved in the complex coagulation process. This confirms that bleeding can be controlled by the fast reaction of the materials with the patient’s blood, in which blood components with unknown values of diagnostic parameters are not </w:t>
            </w:r>
            <w:r w:rsidRPr="004F2F24">
              <w:rPr>
                <w:sz w:val="12"/>
                <w:szCs w:val="12"/>
              </w:rPr>
              <w:lastRenderedPageBreak/>
              <w:t>significant to the activation process</w:t>
            </w:r>
          </w:p>
        </w:tc>
        <w:tc>
          <w:tcPr>
            <w:tcW w:w="351" w:type="pct"/>
            <w:tcMar>
              <w:top w:w="0" w:type="dxa"/>
              <w:left w:w="0" w:type="dxa"/>
              <w:bottom w:w="0" w:type="dxa"/>
              <w:right w:w="0" w:type="dxa"/>
            </w:tcMar>
          </w:tcPr>
          <w:p w14:paraId="7367882D" w14:textId="77777777" w:rsidR="008D192F" w:rsidRPr="004F2F24" w:rsidRDefault="008D192F" w:rsidP="00583B5E">
            <w:pPr>
              <w:rPr>
                <w:sz w:val="12"/>
                <w:szCs w:val="12"/>
              </w:rPr>
            </w:pPr>
            <w:r w:rsidRPr="004F2F24">
              <w:rPr>
                <w:sz w:val="12"/>
                <w:szCs w:val="12"/>
              </w:rPr>
              <w:lastRenderedPageBreak/>
              <w:t xml:space="preserve">Research only </w:t>
            </w:r>
            <w:proofErr w:type="gramStart"/>
            <w:r w:rsidRPr="004F2F24">
              <w:rPr>
                <w:sz w:val="12"/>
                <w:szCs w:val="12"/>
              </w:rPr>
              <w:t>focus</w:t>
            </w:r>
            <w:proofErr w:type="gramEnd"/>
            <w:r w:rsidRPr="004F2F24">
              <w:rPr>
                <w:sz w:val="12"/>
                <w:szCs w:val="12"/>
              </w:rPr>
              <w:t xml:space="preserve"> on in vitro</w:t>
            </w:r>
          </w:p>
        </w:tc>
        <w:tc>
          <w:tcPr>
            <w:tcW w:w="478" w:type="pct"/>
            <w:tcMar>
              <w:top w:w="0" w:type="dxa"/>
              <w:left w:w="0" w:type="dxa"/>
              <w:bottom w:w="0" w:type="dxa"/>
              <w:right w:w="0" w:type="dxa"/>
            </w:tcMar>
          </w:tcPr>
          <w:p w14:paraId="65E02413" w14:textId="77777777" w:rsidR="008D192F" w:rsidRPr="004F2F24" w:rsidRDefault="008D192F" w:rsidP="00583B5E">
            <w:pPr>
              <w:rPr>
                <w:sz w:val="12"/>
                <w:szCs w:val="12"/>
              </w:rPr>
            </w:pPr>
            <w:r w:rsidRPr="004F2F24">
              <w:rPr>
                <w:sz w:val="12"/>
                <w:szCs w:val="12"/>
              </w:rPr>
              <w:t>In vitro hemostatic mechanism of FDR/L/Chit/</w:t>
            </w:r>
            <w:proofErr w:type="spellStart"/>
            <w:r w:rsidRPr="004F2F24">
              <w:rPr>
                <w:sz w:val="12"/>
                <w:szCs w:val="12"/>
              </w:rPr>
              <w:t>AlgNa</w:t>
            </w:r>
            <w:proofErr w:type="spellEnd"/>
            <w:r w:rsidRPr="004F2F24">
              <w:rPr>
                <w:sz w:val="12"/>
                <w:szCs w:val="12"/>
              </w:rPr>
              <w:t>-Ca/CMC</w:t>
            </w:r>
          </w:p>
        </w:tc>
        <w:tc>
          <w:tcPr>
            <w:tcW w:w="343" w:type="pct"/>
            <w:tcMar>
              <w:top w:w="0" w:type="dxa"/>
              <w:left w:w="0" w:type="dxa"/>
              <w:bottom w:w="0" w:type="dxa"/>
              <w:right w:w="0" w:type="dxa"/>
            </w:tcMar>
          </w:tcPr>
          <w:p w14:paraId="62D4E54F" w14:textId="77777777" w:rsidR="008D192F" w:rsidRPr="004F2F24" w:rsidRDefault="008D192F" w:rsidP="00583B5E">
            <w:pPr>
              <w:rPr>
                <w:sz w:val="12"/>
                <w:szCs w:val="12"/>
              </w:rPr>
            </w:pPr>
            <w:r w:rsidRPr="004F2F24">
              <w:rPr>
                <w:sz w:val="12"/>
                <w:szCs w:val="12"/>
              </w:rPr>
              <w:t xml:space="preserve">The research conducted and the results obtained indicate that in vivo research should be conducted with multiple biodegradable </w:t>
            </w:r>
            <w:proofErr w:type="spellStart"/>
            <w:r w:rsidRPr="004F2F24">
              <w:rPr>
                <w:sz w:val="12"/>
                <w:szCs w:val="12"/>
              </w:rPr>
              <w:t>Hemoguard</w:t>
            </w:r>
            <w:proofErr w:type="spellEnd"/>
            <w:r w:rsidRPr="004F2F24">
              <w:rPr>
                <w:sz w:val="12"/>
                <w:szCs w:val="12"/>
              </w:rPr>
              <w:t xml:space="preserve"> dressings on various types of wounds. This will allow verifying the usefulness of these dressings under specific conditions.</w:t>
            </w:r>
          </w:p>
        </w:tc>
      </w:tr>
    </w:tbl>
    <w:p w14:paraId="07B7462F" w14:textId="1DF1175E" w:rsidR="008D192F" w:rsidRDefault="008D192F" w:rsidP="00155B67">
      <w:pPr>
        <w:pStyle w:val="Paragraph"/>
      </w:pPr>
    </w:p>
    <w:p w14:paraId="457D9E87" w14:textId="7B2A634D" w:rsidR="00616F3B" w:rsidRPr="00075EA6" w:rsidRDefault="00E72EC9" w:rsidP="003A287B">
      <w:pPr>
        <w:pStyle w:val="Heading2"/>
      </w:pPr>
      <w:r>
        <w:t>DISCUSSION</w:t>
      </w:r>
    </w:p>
    <w:p w14:paraId="17675609" w14:textId="77777777" w:rsidR="00E72EC9" w:rsidRPr="00E72EC9" w:rsidRDefault="00E72EC9" w:rsidP="00E72EC9">
      <w:pPr>
        <w:pStyle w:val="Paragraph"/>
        <w:rPr>
          <w:lang w:val="en"/>
        </w:rPr>
      </w:pPr>
      <w:r w:rsidRPr="00E72EC9">
        <w:rPr>
          <w:lang w:val="en"/>
        </w:rPr>
        <w:t xml:space="preserve">Early and reliable local control of bleeding is critical in oral and maxillofacial procedures because profuse postoperative hemorrhage jeopardizes airway patency, impedes socket healing and delays the resumption of normal function. Natural‐origin hemostatic biomaterials—derived primarily from polysaccharides or structural proteins—offer </w:t>
      </w:r>
      <w:proofErr w:type="spellStart"/>
      <w:r w:rsidRPr="00E72EC9">
        <w:rPr>
          <w:lang w:val="en"/>
        </w:rPr>
        <w:t>bioresorbability</w:t>
      </w:r>
      <w:proofErr w:type="spellEnd"/>
      <w:r w:rsidRPr="00E72EC9">
        <w:rPr>
          <w:lang w:val="en"/>
        </w:rPr>
        <w:t>, intrinsic biocompatibility and, in several cases, ancillary regenerative or antimicrobial effects that make them attractive adjuncts for dental surgery.</w:t>
      </w:r>
    </w:p>
    <w:p w14:paraId="4FEBBA9C" w14:textId="4742E8F3" w:rsidR="00E72EC9" w:rsidRDefault="00E72EC9" w:rsidP="00A646B3">
      <w:pPr>
        <w:pStyle w:val="Heading2"/>
      </w:pPr>
      <w:r>
        <w:t xml:space="preserve">Calendula </w:t>
      </w:r>
      <w:r w:rsidR="007E6748">
        <w:t>O</w:t>
      </w:r>
      <w:r>
        <w:t>fficinalis</w:t>
      </w:r>
    </w:p>
    <w:p w14:paraId="7437348F" w14:textId="63643024" w:rsidR="007E6748" w:rsidRPr="007E6748" w:rsidRDefault="00E72EC9" w:rsidP="007E6748">
      <w:pPr>
        <w:pStyle w:val="Paragraph"/>
        <w:rPr>
          <w:lang w:val="en"/>
        </w:rPr>
      </w:pPr>
      <w:r w:rsidRPr="00E72EC9">
        <w:rPr>
          <w:lang w:val="en"/>
        </w:rPr>
        <w:t xml:space="preserve">Calendula officinalis (marigold) has emerged as a promising natural hemostatic agent with well-documented effectiveness in controlling bleeding and promoting wound healing. The growing body of research demonstrates its potential as an alternative or adjunct to conventional hemostatic materials in various clinical applications, particularly in dentistry and wound management. Calendula officinalis exhibits hemostatic activity through multiple complementary mechanisms. In vitro studies using the Lee-White method have demonstrated that calendula-loaded gelatin sponges reduce blood clot formation time from 499.7 </w:t>
      </w:r>
      <w:r w:rsidRPr="00E72EC9">
        <w:rPr>
          <w:u w:val="single"/>
          <w:lang w:val="en"/>
        </w:rPr>
        <w:t>+</w:t>
      </w:r>
      <w:r w:rsidRPr="00E72EC9">
        <w:rPr>
          <w:lang w:val="en"/>
        </w:rPr>
        <w:t xml:space="preserve"> 5.37 seconds to 158.75 ± 4.60 seconds. The hemostatic effectiveness is attributed to enhanced blood-clotting properties due to lutein and zeaxanthin compounds present in the leaves [10]</w:t>
      </w:r>
    </w:p>
    <w:p w14:paraId="5F317916" w14:textId="052AB616" w:rsidR="007E6748" w:rsidRDefault="007E6748" w:rsidP="007E6748">
      <w:pPr>
        <w:pStyle w:val="Heading2"/>
      </w:pPr>
      <w:r>
        <w:t>Chitosan-Based Dressings</w:t>
      </w:r>
    </w:p>
    <w:p w14:paraId="17721F2E" w14:textId="77777777" w:rsidR="007E6748" w:rsidRDefault="007E6748" w:rsidP="007E6748">
      <w:pPr>
        <w:pStyle w:val="Paragraph"/>
        <w:rPr>
          <w:lang w:val="en"/>
        </w:rPr>
      </w:pPr>
      <w:r w:rsidRPr="007E6748">
        <w:rPr>
          <w:lang w:val="en"/>
        </w:rPr>
        <w:t>Chitosan, a deacetylated derivative of crustacean chitin, promotes clotting through electrostatic aggregation of erythrocytes and adsorption of plasma proteins. Multiple split-mouth trials in anticoagulated or antiplatelet-treated patients showed chitosan dressings shortened mean time to hemostasis from 14 min with gauze to &lt;2 min and maintained efficacy across different antithrombotic regimens [11,12]. A recent systematic review synthesizing four randomized controlled trials confirmed significant acceleration of hemostasis and concurrent reductions in postoperative pain and inflammation. Beyond hemostasis, chitosan dressings demonstrated faster epithelialization and improved socket healing, likely related to their inherent antimicrobial activity and ability to serve as a provisional extracellular matrix. These data position chitosan as a first-line local hemostat when systemic coagulopathy or antithrombotic therapy complicates dental extractions [13,14].</w:t>
      </w:r>
    </w:p>
    <w:p w14:paraId="7E63CB85" w14:textId="43C57559" w:rsidR="007E6748" w:rsidRPr="00B00430" w:rsidRDefault="00B00430" w:rsidP="00B00430">
      <w:pPr>
        <w:pStyle w:val="Heading2"/>
      </w:pPr>
      <w:r>
        <w:t>Collagen Sponges</w:t>
      </w:r>
    </w:p>
    <w:p w14:paraId="116C42E9" w14:textId="77777777" w:rsidR="00B00430" w:rsidRPr="00B00430" w:rsidRDefault="00B00430" w:rsidP="00B00430">
      <w:pPr>
        <w:pStyle w:val="Paragraph"/>
        <w:rPr>
          <w:lang w:val="en"/>
        </w:rPr>
      </w:pPr>
      <w:r w:rsidRPr="00B00430">
        <w:rPr>
          <w:lang w:val="en"/>
        </w:rPr>
        <w:t xml:space="preserve">Type I collagen harvested from bovine or porcine tendon triggers platelet aggregation via integrin-mediated adhesion and supplies a porous scaffold for fibrin deposition. Early periodontal studies reported reliable control of palatal graft site bleeding with collagen sponges. Contemporary research has focused on optimizing porosity and timing of placement: a randomized trial involving 38 antithrombotic patients showed that inserting a cylindrical collagen plug immediately after curettage reduced mean bleeding time from 3 min 39 s to 1 min 13 s (p = 0.014). High-porosity matrices (&gt;90%) additionally supported gingival fibroblast and oral osteoblast proliferation and </w:t>
      </w:r>
      <w:r w:rsidRPr="00B00430">
        <w:rPr>
          <w:lang w:val="en"/>
        </w:rPr>
        <w:lastRenderedPageBreak/>
        <w:t>mineralization in vitro, underscoring a dual hemostatic–regenerative role. Despite these advantages, collagen carries a theoretical risk of immune reaction and is contraindicated in patients with bovine allergies; nevertheless, no hypersensitivity events were reported across the dental studies cited [15,16].</w:t>
      </w:r>
    </w:p>
    <w:p w14:paraId="5462620A" w14:textId="4C84292F" w:rsidR="00B00430" w:rsidRDefault="00BA3B3D" w:rsidP="00B00430">
      <w:pPr>
        <w:pStyle w:val="Heading2"/>
      </w:pPr>
      <w:r w:rsidRPr="00075EA6">
        <w:t xml:space="preserve"> </w:t>
      </w:r>
      <w:r w:rsidR="00B00430">
        <w:t>Gelatin (Denatured Collagen) Sponges</w:t>
      </w:r>
    </w:p>
    <w:p w14:paraId="5B55714B" w14:textId="55A28A07" w:rsidR="00BA3B3D" w:rsidRPr="00B00430" w:rsidRDefault="00B00430" w:rsidP="00B00430">
      <w:pPr>
        <w:pStyle w:val="Paragraph"/>
        <w:rPr>
          <w:lang w:val="en"/>
        </w:rPr>
      </w:pPr>
      <w:r w:rsidRPr="00B00430">
        <w:rPr>
          <w:lang w:val="en"/>
        </w:rPr>
        <w:t xml:space="preserve">Absorbable gelatin sponges such as </w:t>
      </w:r>
      <w:proofErr w:type="spellStart"/>
      <w:r w:rsidRPr="00B00430">
        <w:rPr>
          <w:lang w:val="en"/>
        </w:rPr>
        <w:t>Gelfoam</w:t>
      </w:r>
      <w:proofErr w:type="spellEnd"/>
      <w:r w:rsidRPr="00B00430">
        <w:rPr>
          <w:lang w:val="en"/>
        </w:rPr>
        <w:t xml:space="preserve"> have maintained widespread use for more than six decades. Their hemostatic action is predominantly physical—rapid absorption of 35–45 × their weight in blood forms a gelatinous matrix that concentrates clotting factors. In a double-blind split-mouth study on 26 mandibular molar extractions, a novel gelatin sponge reduced early (≤1 h) bleeding and lowered Visual Analogue Scale pain scores compared with a commercial control sponge. Only one dry-socket case occurred, and it was confined to the control site, supporting earlier observations that gelatin sponges safeguard the blood clot and diminish alveolar osteitis incidence. Gelatin devices are fully resorbed within 4–6 weeks, but clinicians should avoid overpacking confined bony sites because post-hydration expansion can generate pressure [17,18].</w:t>
      </w:r>
    </w:p>
    <w:p w14:paraId="77E82821" w14:textId="1C44C4D1" w:rsidR="00BA3B3D" w:rsidRDefault="00AF5476" w:rsidP="009B696B">
      <w:pPr>
        <w:pStyle w:val="Heading2"/>
      </w:pPr>
      <w:r>
        <w:t>Oxidized Regenerated Cellulose (ORC) an</w:t>
      </w:r>
      <w:r w:rsidR="00BD58D3">
        <w:t>d Oxidized Non-Regenerated Cellulose (ONRC)</w:t>
      </w:r>
    </w:p>
    <w:p w14:paraId="32641360" w14:textId="77777777" w:rsidR="00BD58D3" w:rsidRDefault="00BD58D3" w:rsidP="009B7671">
      <w:pPr>
        <w:pStyle w:val="Paragraph"/>
        <w:rPr>
          <w:lang w:val="en"/>
        </w:rPr>
      </w:pPr>
      <w:r w:rsidRPr="00BD58D3">
        <w:rPr>
          <w:lang w:val="en"/>
        </w:rPr>
        <w:t>Cellulose oxidized to carboxylate groups lowers local pH and provides a bactericidal, mesh-like surface on which platelets aggregate. In orthognathic surgery, topical ORC powder (</w:t>
      </w:r>
      <w:proofErr w:type="spellStart"/>
      <w:r w:rsidRPr="00BD58D3">
        <w:rPr>
          <w:lang w:val="en"/>
        </w:rPr>
        <w:t>Surgicel</w:t>
      </w:r>
      <w:proofErr w:type="spellEnd"/>
      <w:r w:rsidRPr="00BD58D3">
        <w:rPr>
          <w:lang w:val="en"/>
        </w:rPr>
        <w:t>® Powder) reduced mean intraoperative blood loss from 159 mL to 112 mL in Le Fort I osteotomies without cleft lip/palate and by over 50% in cleft cases. Comparative animal experiments revealed faster hemostasis with ONRC than ORC in both hepatic and vascular bleeding models, a difference attributed to the frayed fiber morphology of ONRC rather than acidity. While most evidence is extrapolated from medical rather than dental fields, ORC gauze has long been used to manage bleeding within extraction sockets and osteotomy lines. Clinicians must, however, document its use radiographically because the material can mimic abscesses on follow-up imaging [19,20,21].</w:t>
      </w:r>
    </w:p>
    <w:p w14:paraId="7B01763D" w14:textId="588DD7BF" w:rsidR="00BA3B3D" w:rsidRPr="00075EA6" w:rsidRDefault="00BD58D3">
      <w:pPr>
        <w:pStyle w:val="Heading2"/>
      </w:pPr>
      <w:proofErr w:type="spellStart"/>
      <w:r>
        <w:t>Gracilaria</w:t>
      </w:r>
      <w:proofErr w:type="spellEnd"/>
      <w:r>
        <w:t xml:space="preserve"> Verrucosa</w:t>
      </w:r>
    </w:p>
    <w:p w14:paraId="0747907A" w14:textId="77777777" w:rsidR="00BD58D3" w:rsidRPr="00BD58D3" w:rsidRDefault="00BD58D3" w:rsidP="00BD58D3">
      <w:pPr>
        <w:pStyle w:val="Paragraph"/>
        <w:rPr>
          <w:lang w:val="en"/>
        </w:rPr>
      </w:pPr>
      <w:proofErr w:type="spellStart"/>
      <w:r w:rsidRPr="00BD58D3">
        <w:rPr>
          <w:lang w:val="en"/>
        </w:rPr>
        <w:t>Gracilaria</w:t>
      </w:r>
      <w:proofErr w:type="spellEnd"/>
      <w:r w:rsidRPr="00BD58D3">
        <w:rPr>
          <w:lang w:val="en"/>
        </w:rPr>
        <w:t xml:space="preserve"> verrucosa, a red marine algae species, has emerged as a promising natural hemostatic agent with significant potential for controlling bleeding in medical and dental procedures. This comprehensive analysis examines the hemostatic properties, underlying mechanisms, and clinical applications of G. verrucosa extracts. Research has consistently demonstrated that G. verrucosa extract significantly reduces bleeding time compared to controls. In a comprehensive study on oral wound healing, the 2.5% G. verrucosa extract gel achieved the shortest bleeding time of 33.98±2.66 seconds, substantially faster than untreated controls. Another study found that the treatment group using G. verrucosa extract gel had a bleeding time of 70±10 seconds compared to 112.00±8.37 seconds in the control group, representing a significant improvement in hemostatic control. The hemostatic effectiveness varies with concentration, with studies showing that all tested concentrations (2.5%, 5%, and 10%) significantly reduced bleeding time compared to untreated wounds, with the 2.5% concentration proving most effective for initial hemostasis [22,23].</w:t>
      </w:r>
    </w:p>
    <w:p w14:paraId="5E38A577" w14:textId="06A68A9B" w:rsidR="00BD58D3" w:rsidRPr="00075EA6" w:rsidRDefault="00372691" w:rsidP="00BD58D3">
      <w:pPr>
        <w:pStyle w:val="Heading2"/>
      </w:pPr>
      <w:r>
        <w:t>Comparative Considerations and Clinical Integration</w:t>
      </w:r>
    </w:p>
    <w:p w14:paraId="6769D3FF" w14:textId="683BA335" w:rsidR="00372691" w:rsidRPr="003049DF" w:rsidRDefault="00372691" w:rsidP="003049DF">
      <w:pPr>
        <w:pStyle w:val="Paragraph"/>
        <w:rPr>
          <w:lang w:val="en"/>
        </w:rPr>
      </w:pPr>
      <w:r w:rsidRPr="00372691">
        <w:rPr>
          <w:lang w:val="en"/>
        </w:rPr>
        <w:t>Head-to-head dental trials remain scarce, but available data suggest chitosan and ONRC achieve the quickest clotting, collagen offers the most pronounced regenerative signaling, and gelatin provides a cost-effective, broadly available option with proven safety. All four materials are resorbable, yet their degradation rates vary (gelatin &lt; cellulose &lt; collagen &lt; chitosan), allowing tailored selection based on expected healing time. Antimicrobial activity is best documented for chitosan and ORC; this property may be advantageous in periodontally compromised sites. Finally, patient-specific factors such as religious or dietary restrictions (porcine/bovine sources) should guide material choice; halal-certified gelatin sponges are now commercially available [14].</w:t>
      </w:r>
    </w:p>
    <w:p w14:paraId="1EEE464A" w14:textId="2F6D30A5" w:rsidR="00372691" w:rsidRDefault="00372691" w:rsidP="00372691">
      <w:pPr>
        <w:pStyle w:val="Heading2"/>
      </w:pPr>
      <w:r>
        <w:t>Limitations of the Current Evidence and Future Directions</w:t>
      </w:r>
    </w:p>
    <w:p w14:paraId="5A73B264" w14:textId="2BEE483B" w:rsidR="003E7C74" w:rsidRPr="00075EA6" w:rsidRDefault="00372691" w:rsidP="00372691">
      <w:pPr>
        <w:pStyle w:val="Paragraph"/>
      </w:pPr>
      <w:r w:rsidRPr="00372691">
        <w:rPr>
          <w:lang w:val="en"/>
        </w:rPr>
        <w:t xml:space="preserve">Despite encouraging results, heterogeneity in study design, small sample sizes and variability in outcome measures limit meta-analytic pooling. Standardized bleeding assessment scales, longer follow-up to capture late complications, </w:t>
      </w:r>
      <w:r w:rsidRPr="00372691">
        <w:rPr>
          <w:lang w:val="en"/>
        </w:rPr>
        <w:lastRenderedPageBreak/>
        <w:t>and well-controlled comparisons between natural and synthetic agents (e.g., cyanoacrylate, polyethylene glycol sealants) are needed. Future biomaterial engineering should focus on composite matrices—for instance, chitosan-gelatin hybrids—that synergize rapid clotting with bioactive cues, as preliminary in-vitro data suggest superior platelet aggregation and antimicrobial performance. Incorporation of growth factors or nano-antimicrobials could further enhance both hemostasis and wound healing, aligning with the paradigm of multifunctional dental biomaterials.</w:t>
      </w:r>
    </w:p>
    <w:p w14:paraId="238F91B4" w14:textId="43412EE7" w:rsidR="00D87E2A" w:rsidRDefault="00D87E2A" w:rsidP="00D87E2A">
      <w:pPr>
        <w:pStyle w:val="Heading1"/>
        <w:rPr>
          <w:b w:val="0"/>
          <w:caps w:val="0"/>
          <w:sz w:val="20"/>
        </w:rPr>
      </w:pPr>
      <w:r>
        <w:rPr>
          <w:rFonts w:asciiTheme="majorBidi" w:hAnsiTheme="majorBidi" w:cstheme="majorBidi"/>
        </w:rPr>
        <w:t>CONCLUSION</w:t>
      </w:r>
    </w:p>
    <w:p w14:paraId="1D1BB877" w14:textId="77777777" w:rsidR="00372691" w:rsidRPr="00372691" w:rsidRDefault="00372691" w:rsidP="00372691">
      <w:pPr>
        <w:pStyle w:val="Paragraph"/>
        <w:rPr>
          <w:rFonts w:asciiTheme="majorBidi" w:hAnsiTheme="majorBidi" w:cstheme="majorBidi"/>
          <w:lang w:val="en"/>
        </w:rPr>
      </w:pPr>
      <w:r w:rsidRPr="00372691">
        <w:rPr>
          <w:rFonts w:asciiTheme="majorBidi" w:hAnsiTheme="majorBidi" w:cstheme="majorBidi"/>
          <w:lang w:val="en"/>
        </w:rPr>
        <w:t xml:space="preserve">In conclusion, natural local hemostatic biomaterials—calendula officinalis, chitosan, collagen, gelatin and oxidized cellulose, </w:t>
      </w:r>
      <w:proofErr w:type="spellStart"/>
      <w:r w:rsidRPr="00372691">
        <w:rPr>
          <w:rFonts w:asciiTheme="majorBidi" w:hAnsiTheme="majorBidi" w:cstheme="majorBidi"/>
          <w:lang w:val="en"/>
        </w:rPr>
        <w:t>gracilaria</w:t>
      </w:r>
      <w:proofErr w:type="spellEnd"/>
      <w:r w:rsidRPr="00372691">
        <w:rPr>
          <w:rFonts w:asciiTheme="majorBidi" w:hAnsiTheme="majorBidi" w:cstheme="majorBidi"/>
          <w:lang w:val="en"/>
        </w:rPr>
        <w:t xml:space="preserve"> verrucosa—provide effective, biocompatible options for bleeding control in dentistry, each with distinctive mechanistic and clinical profiles. Thoughtful material selection matched to patient and surgical variables can optimize hemostasis while concurrently supporting tissue regeneration and reducing postoperative morbidity.</w:t>
      </w:r>
    </w:p>
    <w:p w14:paraId="7691B80C" w14:textId="62E00480" w:rsidR="00613B4D" w:rsidRPr="001C7552" w:rsidRDefault="0016385D" w:rsidP="00613B4D">
      <w:pPr>
        <w:pStyle w:val="Heading1"/>
      </w:pPr>
      <w:r w:rsidRPr="001C7552">
        <w:rPr>
          <w:rFonts w:asciiTheme="majorBidi" w:hAnsiTheme="majorBidi" w:cstheme="majorBidi"/>
        </w:rPr>
        <w:t>Acknowledgments</w:t>
      </w:r>
    </w:p>
    <w:p w14:paraId="15629E32" w14:textId="77777777" w:rsidR="00AF35C8" w:rsidRPr="00AF35C8" w:rsidRDefault="00AF35C8" w:rsidP="00E62BEB">
      <w:pPr>
        <w:pStyle w:val="Heading1"/>
        <w:rPr>
          <w:rFonts w:asciiTheme="majorBidi" w:hAnsiTheme="majorBidi" w:cstheme="majorBidi"/>
          <w:b w:val="0"/>
          <w:caps w:val="0"/>
          <w:sz w:val="20"/>
        </w:rPr>
      </w:pPr>
      <w:r w:rsidRPr="00AF35C8">
        <w:rPr>
          <w:rFonts w:asciiTheme="majorBidi" w:hAnsiTheme="majorBidi" w:cstheme="majorBidi"/>
          <w:b w:val="0"/>
          <w:caps w:val="0"/>
          <w:sz w:val="20"/>
        </w:rPr>
        <w:t>This study would not have been possible without the support of the University of Muhammadiyah Surakarta</w:t>
      </w:r>
    </w:p>
    <w:p w14:paraId="74D4F45E" w14:textId="7A5B2335" w:rsidR="00613B4D" w:rsidRPr="00E62BEB" w:rsidRDefault="0016385D" w:rsidP="00E62BEB">
      <w:pPr>
        <w:pStyle w:val="Heading1"/>
        <w:rPr>
          <w:b w:val="0"/>
          <w:caps w:val="0"/>
          <w:sz w:val="20"/>
        </w:rPr>
      </w:pPr>
      <w:r w:rsidRPr="00A74AA1">
        <w:rPr>
          <w:rFonts w:asciiTheme="majorBidi" w:hAnsiTheme="majorBidi" w:cstheme="majorBidi"/>
        </w:rPr>
        <w:t>References</w:t>
      </w:r>
    </w:p>
    <w:p w14:paraId="5DCD598C" w14:textId="625F1EEC" w:rsidR="003049DF" w:rsidRDefault="003049DF" w:rsidP="009C0BD6">
      <w:pPr>
        <w:pStyle w:val="Reference"/>
      </w:pPr>
      <w:r w:rsidRPr="003049DF">
        <w:t xml:space="preserve">H. </w:t>
      </w:r>
      <w:proofErr w:type="spellStart"/>
      <w:r w:rsidRPr="003049DF">
        <w:t>Herliana</w:t>
      </w:r>
      <w:proofErr w:type="spellEnd"/>
      <w:r w:rsidRPr="003049DF">
        <w:t xml:space="preserve">, H.Y. Yusuf, A. Laviana, G. </w:t>
      </w:r>
      <w:proofErr w:type="spellStart"/>
      <w:r w:rsidRPr="003049DF">
        <w:t>Wandawa</w:t>
      </w:r>
      <w:proofErr w:type="spellEnd"/>
      <w:r w:rsidRPr="003049DF">
        <w:t xml:space="preserve">, and A. </w:t>
      </w:r>
      <w:proofErr w:type="spellStart"/>
      <w:r w:rsidRPr="003049DF">
        <w:t>Cahyanto</w:t>
      </w:r>
      <w:proofErr w:type="spellEnd"/>
      <w:r w:rsidRPr="003049DF">
        <w:t>, “Characterization and Analysis of Chitosan-Gelatin Composite-Based Biomaterial Effectivity as Local Hemostatic Agent: A Systematic Review,” Polymers 15(3), 575 (2023).</w:t>
      </w:r>
    </w:p>
    <w:p w14:paraId="0CB226F4" w14:textId="7710497D" w:rsidR="003049DF" w:rsidRDefault="003049DF" w:rsidP="009C0BD6">
      <w:pPr>
        <w:pStyle w:val="Reference"/>
      </w:pPr>
      <w:r w:rsidRPr="003049DF">
        <w:t xml:space="preserve">D. </w:t>
      </w:r>
      <w:proofErr w:type="spellStart"/>
      <w:r w:rsidRPr="003049DF">
        <w:t>Gheorghiță</w:t>
      </w:r>
      <w:proofErr w:type="spellEnd"/>
      <w:r w:rsidRPr="003049DF">
        <w:t xml:space="preserve">, H. Moldovan, A. Robu, A.-I. </w:t>
      </w:r>
      <w:proofErr w:type="spellStart"/>
      <w:r w:rsidRPr="003049DF">
        <w:t>Bița</w:t>
      </w:r>
      <w:proofErr w:type="spellEnd"/>
      <w:r w:rsidRPr="003049DF">
        <w:t xml:space="preserve">, E. Grosu, A. </w:t>
      </w:r>
      <w:proofErr w:type="spellStart"/>
      <w:r w:rsidRPr="003049DF">
        <w:t>Antoniac</w:t>
      </w:r>
      <w:proofErr w:type="spellEnd"/>
      <w:r w:rsidRPr="003049DF">
        <w:t xml:space="preserve">, I. </w:t>
      </w:r>
      <w:proofErr w:type="spellStart"/>
      <w:r w:rsidRPr="003049DF">
        <w:t>Corneschi</w:t>
      </w:r>
      <w:proofErr w:type="spellEnd"/>
      <w:r w:rsidRPr="003049DF">
        <w:t xml:space="preserve">, I. </w:t>
      </w:r>
      <w:proofErr w:type="spellStart"/>
      <w:r w:rsidRPr="003049DF">
        <w:t>Antoniac</w:t>
      </w:r>
      <w:proofErr w:type="spellEnd"/>
      <w:r w:rsidRPr="003049DF">
        <w:t xml:space="preserve">, A.D. Bodog, and C.I. </w:t>
      </w:r>
      <w:proofErr w:type="spellStart"/>
      <w:r w:rsidRPr="003049DF">
        <w:t>Băcilă</w:t>
      </w:r>
      <w:proofErr w:type="spellEnd"/>
      <w:r w:rsidRPr="003049DF">
        <w:t>, “Chitosan-Based Biomaterials for Hemostatic Applications: A Review of Recent Advances,” Int. J. Mol. Sci. 24(13), 10540 (2023).</w:t>
      </w:r>
    </w:p>
    <w:p w14:paraId="0C3F0F88" w14:textId="0C472F78" w:rsidR="003049DF" w:rsidRDefault="003049DF" w:rsidP="009C0BD6">
      <w:pPr>
        <w:pStyle w:val="Reference"/>
      </w:pPr>
      <w:r w:rsidRPr="003049DF">
        <w:t xml:space="preserve">M.A. Moldovan, L.V. Filip, M. Ciurea, D.A. </w:t>
      </w:r>
      <w:proofErr w:type="spellStart"/>
      <w:r w:rsidRPr="003049DF">
        <w:t>Termure</w:t>
      </w:r>
      <w:proofErr w:type="spellEnd"/>
      <w:r w:rsidRPr="003049DF">
        <w:t>, D. Ostas, H. Rotar, C.I. Faur, and R.C. Roman, “Bleeding and thromboembolic risk in patients under anticoagulant therapy receiving oral surgery: a systematic review,” Med. Pharm. Rep. 96(4), 346–357 (2023).</w:t>
      </w:r>
    </w:p>
    <w:p w14:paraId="1C19B83F" w14:textId="4D75AE61" w:rsidR="009C0BD6" w:rsidRDefault="003049DF" w:rsidP="003049DF">
      <w:pPr>
        <w:pStyle w:val="Reference"/>
      </w:pPr>
      <w:r w:rsidRPr="003049DF">
        <w:t xml:space="preserve">D. Aggarwal, K. Bhatia, Z.S. </w:t>
      </w:r>
      <w:proofErr w:type="spellStart"/>
      <w:r w:rsidRPr="003049DF">
        <w:t>Chunawala</w:t>
      </w:r>
      <w:proofErr w:type="spellEnd"/>
      <w:r w:rsidRPr="003049DF">
        <w:t xml:space="preserve">, R.H.M. Furtado, D. Mukherjee, S.R. Dixon, V. Jain, S. Arora, T.A. </w:t>
      </w:r>
      <w:proofErr w:type="spellStart"/>
      <w:r w:rsidRPr="003049DF">
        <w:t>Zelniker</w:t>
      </w:r>
      <w:proofErr w:type="spellEnd"/>
      <w:r w:rsidRPr="003049DF">
        <w:t xml:space="preserve">, E.P. </w:t>
      </w:r>
      <w:proofErr w:type="spellStart"/>
      <w:r w:rsidRPr="003049DF">
        <w:t>Navarese</w:t>
      </w:r>
      <w:proofErr w:type="spellEnd"/>
      <w:r w:rsidRPr="003049DF">
        <w:t xml:space="preserve">, G.J. </w:t>
      </w:r>
      <w:proofErr w:type="spellStart"/>
      <w:r w:rsidRPr="003049DF">
        <w:t>Mishkel</w:t>
      </w:r>
      <w:proofErr w:type="spellEnd"/>
      <w:r w:rsidRPr="003049DF">
        <w:t>, C.J. Lee, S. Banerjee, S. Bangalore, J.P. Levisay, D.L. Bhatt, M.J. Ricciardi, and A. Qamar, “P2Y12 inhibitor versus aspirin monotherapy for secondary prevention of cardiovascular events: meta-analysis of randomized trials,” Eur. Heart J. Open 2(2), oeac019 (2022).</w:t>
      </w:r>
    </w:p>
    <w:p w14:paraId="6F000BA3" w14:textId="76ABD743" w:rsidR="003049DF" w:rsidRDefault="003049DF" w:rsidP="003049DF">
      <w:pPr>
        <w:pStyle w:val="Reference"/>
      </w:pPr>
      <w:r w:rsidRPr="003049DF">
        <w:t>E. Mohamed, A. Fitzgerald, and T. Tsuzuki, “The role of nanoscale structures in the development of topical hemostatic agents,” Mater. Today Nano 16, 100137 (2021).</w:t>
      </w:r>
    </w:p>
    <w:p w14:paraId="719B34E2" w14:textId="15C2A0C8" w:rsidR="003049DF" w:rsidRDefault="003049DF" w:rsidP="009C0BD6">
      <w:pPr>
        <w:pStyle w:val="Reference"/>
      </w:pPr>
      <w:r w:rsidRPr="003049DF">
        <w:t>B. Jamali, S. Nouri, and S. Amidi, “Local and Systemic Hemostatic Agents: A Comprehensive Review,” Cureus, (2024).</w:t>
      </w:r>
    </w:p>
    <w:p w14:paraId="1D966C4C" w14:textId="385C768C" w:rsidR="009C0BD6" w:rsidRDefault="009C0BD6" w:rsidP="009C0BD6">
      <w:pPr>
        <w:pStyle w:val="Reference"/>
      </w:pPr>
      <w:r>
        <w:t xml:space="preserve">Guo, Y., Wang, M., Liu, Q., Liu, G., Wang, S., </w:t>
      </w:r>
      <w:r w:rsidR="003049DF">
        <w:t>and</w:t>
      </w:r>
      <w:r>
        <w:t xml:space="preserve"> Li, J.</w:t>
      </w:r>
      <w:r w:rsidR="003049DF">
        <w:t>,</w:t>
      </w:r>
      <w:r>
        <w:t xml:space="preserve"> </w:t>
      </w:r>
      <w:r w:rsidR="003049DF">
        <w:t>“</w:t>
      </w:r>
      <w:r>
        <w:t>Recent advances in the medical applications of hemostatic materials</w:t>
      </w:r>
      <w:r w:rsidR="003049DF">
        <w:t>,”</w:t>
      </w:r>
      <w:r>
        <w:t xml:space="preserve"> </w:t>
      </w:r>
      <w:proofErr w:type="spellStart"/>
      <w:r>
        <w:t>Theranostics</w:t>
      </w:r>
      <w:proofErr w:type="spellEnd"/>
      <w:r>
        <w:t>, 13(1), 161–196</w:t>
      </w:r>
      <w:r w:rsidR="003049DF">
        <w:t xml:space="preserve"> (2023).</w:t>
      </w:r>
    </w:p>
    <w:p w14:paraId="52E51423" w14:textId="4A83EF5F" w:rsidR="004D1D3B" w:rsidRDefault="004D1D3B" w:rsidP="009C0BD6">
      <w:pPr>
        <w:pStyle w:val="Reference"/>
      </w:pPr>
      <w:r w:rsidRPr="004D1D3B">
        <w:t>X. Xiao, and Z. Wu, “A Narrative Review of Different Hemostatic Materials in Emergency Treatment of Trauma,” Emerg. Med. Int. 2022, 1–8 (2022).</w:t>
      </w:r>
    </w:p>
    <w:p w14:paraId="3E3FCC49" w14:textId="202273E2" w:rsidR="004D1D3B" w:rsidRDefault="004D1D3B" w:rsidP="009C0BD6">
      <w:pPr>
        <w:pStyle w:val="Reference"/>
      </w:pPr>
      <w:r w:rsidRPr="004D1D3B">
        <w:t xml:space="preserve">A.K. Singh Chandel, S. Ohta, M. Taniguchi, H. Yoshida, D. Tanaka, K. </w:t>
      </w:r>
      <w:proofErr w:type="spellStart"/>
      <w:r w:rsidRPr="004D1D3B">
        <w:t>Omichi</w:t>
      </w:r>
      <w:proofErr w:type="spellEnd"/>
      <w:r w:rsidRPr="004D1D3B">
        <w:t xml:space="preserve">, A. Shimizu, M. Isaji, K. Hasegawa, and T. Ito, “Balance of </w:t>
      </w:r>
      <w:proofErr w:type="spellStart"/>
      <w:r w:rsidRPr="004D1D3B">
        <w:t>antiperitoneal</w:t>
      </w:r>
      <w:proofErr w:type="spellEnd"/>
      <w:r w:rsidRPr="004D1D3B">
        <w:t xml:space="preserve"> adhesion, hemostasis, and operability of compressed bilayer ultrapure alginate sponges,” </w:t>
      </w:r>
      <w:proofErr w:type="spellStart"/>
      <w:r w:rsidRPr="004D1D3B">
        <w:t>Biomater</w:t>
      </w:r>
      <w:proofErr w:type="spellEnd"/>
      <w:r w:rsidRPr="004D1D3B">
        <w:t>. Adv. 137, 212825 (2022).</w:t>
      </w:r>
    </w:p>
    <w:p w14:paraId="69A9E3B6" w14:textId="78F2D9F9" w:rsidR="004D1D3B" w:rsidRDefault="004D1D3B" w:rsidP="009C0BD6">
      <w:pPr>
        <w:pStyle w:val="Reference"/>
      </w:pPr>
      <w:r w:rsidRPr="004D1D3B">
        <w:t xml:space="preserve">B.K. </w:t>
      </w:r>
      <w:proofErr w:type="spellStart"/>
      <w:r w:rsidRPr="004D1D3B">
        <w:t>Ayyanahalli</w:t>
      </w:r>
      <w:proofErr w:type="spellEnd"/>
      <w:r w:rsidRPr="004D1D3B">
        <w:t xml:space="preserve"> Matta, S. Kumar, C.H. Mehta, U.Y. Nayak, and P.G. Rodriguez, “Comparative Evaluation of the Effectiveness of a Combination of Absorbable Gelatin Sponge and Calendula officinalis with Absorbable Gelatin Sponge Used Alone as a Hemostatic Agent—An In-Vitro Study,” Dent. J. 10(5), 76 (2022).</w:t>
      </w:r>
    </w:p>
    <w:p w14:paraId="308B4AC3" w14:textId="633DC3B9" w:rsidR="004D1D3B" w:rsidRDefault="004D1D3B" w:rsidP="009C0BD6">
      <w:pPr>
        <w:pStyle w:val="Reference"/>
      </w:pPr>
      <w:r w:rsidRPr="004D1D3B">
        <w:t xml:space="preserve">G. Minervini, R. Franco, M.M. Marrapodi, M. Di Blasio, M. </w:t>
      </w:r>
      <w:proofErr w:type="spellStart"/>
      <w:r w:rsidRPr="004D1D3B">
        <w:t>Cicciù</w:t>
      </w:r>
      <w:proofErr w:type="spellEnd"/>
      <w:r w:rsidRPr="004D1D3B">
        <w:t xml:space="preserve">, and V. </w:t>
      </w:r>
      <w:proofErr w:type="spellStart"/>
      <w:r w:rsidRPr="004D1D3B">
        <w:t>Ronsivalle</w:t>
      </w:r>
      <w:proofErr w:type="spellEnd"/>
      <w:r w:rsidRPr="004D1D3B">
        <w:t>, “The effectiveness of chitosan as a hemostatic in dentistry in patients with antiplatelet/anticoagulant therapy: systematic review with meta-analysis,” BMC Oral Health 24(1), 70 (2024).</w:t>
      </w:r>
    </w:p>
    <w:p w14:paraId="4BAD8FBC" w14:textId="367B870B" w:rsidR="009C0BD6" w:rsidRDefault="009C0BD6" w:rsidP="009C0BD6">
      <w:pPr>
        <w:pStyle w:val="Reference"/>
      </w:pPr>
      <w:r w:rsidRPr="004D1D3B">
        <w:rPr>
          <w:lang w:val="en-ID"/>
        </w:rPr>
        <w:t xml:space="preserve">Jolly, S.S </w:t>
      </w:r>
      <w:r w:rsidR="004D1D3B" w:rsidRPr="004D1D3B">
        <w:rPr>
          <w:lang w:val="en-ID"/>
        </w:rPr>
        <w:t>and</w:t>
      </w:r>
      <w:r w:rsidRPr="004D1D3B">
        <w:rPr>
          <w:lang w:val="en-ID"/>
        </w:rPr>
        <w:t xml:space="preserve"> Rattan, V.</w:t>
      </w:r>
      <w:r w:rsidR="004D1D3B">
        <w:rPr>
          <w:lang w:val="en-ID"/>
        </w:rPr>
        <w:t>, “</w:t>
      </w:r>
      <w:r>
        <w:t xml:space="preserve">Is chitosan-based dressing more effective than gauze pressure in achieving early hemostasis after dental extractions in patients with deranged coagulation profiles. Arch </w:t>
      </w:r>
      <w:proofErr w:type="spellStart"/>
      <w:r>
        <w:t>Craniofac</w:t>
      </w:r>
      <w:proofErr w:type="spellEnd"/>
      <w:r>
        <w:t xml:space="preserve"> Surg 26(2)</w:t>
      </w:r>
      <w:r w:rsidR="004D1D3B">
        <w:t xml:space="preserve">, </w:t>
      </w:r>
      <w:r>
        <w:t>65-69</w:t>
      </w:r>
      <w:r w:rsidR="004D1D3B">
        <w:t xml:space="preserve"> (2025).</w:t>
      </w:r>
    </w:p>
    <w:p w14:paraId="5C6FEB6C" w14:textId="73DC1EE5" w:rsidR="009C0BD6" w:rsidRDefault="004D1D3B" w:rsidP="009C0BD6">
      <w:pPr>
        <w:pStyle w:val="Reference"/>
      </w:pPr>
      <w:r>
        <w:lastRenderedPageBreak/>
        <w:t xml:space="preserve">A.A. </w:t>
      </w:r>
      <w:r w:rsidR="009C0BD6">
        <w:t>Fayyad</w:t>
      </w:r>
      <w:r>
        <w:t>, “</w:t>
      </w:r>
      <w:r w:rsidR="009C0BD6">
        <w:t>What is the effectiveness of chitosan in promoting the healing of tooth extraction sockets? A systematic review</w:t>
      </w:r>
      <w:r>
        <w:t>,</w:t>
      </w:r>
      <w:r w:rsidR="009C0BD6">
        <w:t xml:space="preserve"> </w:t>
      </w:r>
      <w:r>
        <w:t>“</w:t>
      </w:r>
      <w:r w:rsidR="009C0BD6">
        <w:t>J Oral Med Oral Surg. 30, 25</w:t>
      </w:r>
      <w:r>
        <w:t xml:space="preserve"> (2024).</w:t>
      </w:r>
    </w:p>
    <w:p w14:paraId="32A99AA2" w14:textId="2509AA23" w:rsidR="004D1D3B" w:rsidRDefault="004D1D3B" w:rsidP="009C0BD6">
      <w:pPr>
        <w:pStyle w:val="Reference"/>
      </w:pPr>
      <w:r w:rsidRPr="004D1D3B">
        <w:t xml:space="preserve">W. Lestari, W.N.A.W. Yusry, M.S. Haris, I. </w:t>
      </w:r>
      <w:proofErr w:type="spellStart"/>
      <w:r w:rsidRPr="004D1D3B">
        <w:t>Jaswir</w:t>
      </w:r>
      <w:proofErr w:type="spellEnd"/>
      <w:r w:rsidRPr="004D1D3B">
        <w:t xml:space="preserve">, and E. </w:t>
      </w:r>
      <w:proofErr w:type="spellStart"/>
      <w:r w:rsidRPr="004D1D3B">
        <w:t>Idrus</w:t>
      </w:r>
      <w:proofErr w:type="spellEnd"/>
      <w:r w:rsidRPr="004D1D3B">
        <w:t xml:space="preserve">, “A glimpse on the function of chitosan as a dental hemostatic agent,” </w:t>
      </w:r>
      <w:proofErr w:type="spellStart"/>
      <w:r w:rsidRPr="004D1D3B">
        <w:t>Jpn</w:t>
      </w:r>
      <w:proofErr w:type="spellEnd"/>
      <w:r w:rsidRPr="004D1D3B">
        <w:t>. Dent. Sci. Rev. 56(1), 147–154 (2020).</w:t>
      </w:r>
    </w:p>
    <w:p w14:paraId="61B9C794" w14:textId="1DEABD81" w:rsidR="004D1D3B" w:rsidRDefault="004D1D3B" w:rsidP="009C0BD6">
      <w:pPr>
        <w:pStyle w:val="Reference"/>
      </w:pPr>
      <w:r w:rsidRPr="004D1D3B">
        <w:t xml:space="preserve">A. Protin, C. Cameli, A.-L. </w:t>
      </w:r>
      <w:proofErr w:type="spellStart"/>
      <w:r w:rsidRPr="004D1D3B">
        <w:t>Sérandour</w:t>
      </w:r>
      <w:proofErr w:type="spellEnd"/>
      <w:r w:rsidRPr="004D1D3B">
        <w:t>, J. Hamon, A.-G. Chaux, M. Guillemin, and F. Thibaut, “Application of a topical collagen agent after tooth extraction to control hemostasis should be immediate and not delayed: a comparative randomized trial,” J. Oral Med. Oral Surg. 29(3), 34 (2023).</w:t>
      </w:r>
    </w:p>
    <w:p w14:paraId="3A8A082F" w14:textId="6FCA6C88" w:rsidR="00F66412" w:rsidRDefault="00F66412" w:rsidP="009C0BD6">
      <w:pPr>
        <w:pStyle w:val="Reference"/>
      </w:pPr>
      <w:r w:rsidRPr="00F66412">
        <w:t xml:space="preserve">E. D’Amico, T.V. </w:t>
      </w:r>
      <w:proofErr w:type="spellStart"/>
      <w:r w:rsidRPr="00F66412">
        <w:t>Pierfelice</w:t>
      </w:r>
      <w:proofErr w:type="spellEnd"/>
      <w:r w:rsidRPr="00F66412">
        <w:t xml:space="preserve">, S. Lepore, G. Iezzi, C. D’Arcangelo, A. </w:t>
      </w:r>
      <w:proofErr w:type="spellStart"/>
      <w:r w:rsidRPr="00F66412">
        <w:t>Piattelli</w:t>
      </w:r>
      <w:proofErr w:type="spellEnd"/>
      <w:r w:rsidRPr="00F66412">
        <w:t xml:space="preserve">, U. </w:t>
      </w:r>
      <w:proofErr w:type="spellStart"/>
      <w:r w:rsidRPr="00F66412">
        <w:t>Covani</w:t>
      </w:r>
      <w:proofErr w:type="spellEnd"/>
      <w:r w:rsidRPr="00F66412">
        <w:t>, and M. Petrini, “Hemostatic Collagen Sponge with High Porosity Promotes the Proliferation and Adhesion of Fibroblasts and Osteoblasts,” Int. J. Mol. Sci. 24(9), 7749 (2023).</w:t>
      </w:r>
    </w:p>
    <w:p w14:paraId="304683C2" w14:textId="2DA1BB39" w:rsidR="00F66412" w:rsidRDefault="00F66412" w:rsidP="009C0BD6">
      <w:pPr>
        <w:pStyle w:val="Reference"/>
      </w:pPr>
      <w:r w:rsidRPr="00F66412">
        <w:t>A. Mahmoudi, M.A. Ghavimi, S. Maleki Dizaj, S. Sharifi, S.S. Sajjadi, and A.R. Jamei Khosroshahi, “Efficacy of a New Hemostatic Dental Sponge in Controlling Bleeding, Pain, and Dry Socket Following Mandibular Posterior Teeth Extraction—A Split-Mouth Randomized Double-Blind Clinical Trial,” J. Clin. Med. 12(14), 4578 (2023).</w:t>
      </w:r>
    </w:p>
    <w:p w14:paraId="06C7C787" w14:textId="08CE3B5E" w:rsidR="00F66412" w:rsidRDefault="00F66412" w:rsidP="009C0BD6">
      <w:pPr>
        <w:pStyle w:val="Reference"/>
      </w:pPr>
      <w:r w:rsidRPr="00F66412">
        <w:t xml:space="preserve">N.I. Irfan, A.Z. Mohd Zubir, A. Suwandi, M.S. Haris, I. </w:t>
      </w:r>
      <w:proofErr w:type="spellStart"/>
      <w:r w:rsidRPr="00F66412">
        <w:t>Jaswir</w:t>
      </w:r>
      <w:proofErr w:type="spellEnd"/>
      <w:r w:rsidRPr="00F66412">
        <w:t>, and W. Lestari, “Gelatin-based hemostatic agents for medical and dental application at a glance: A narrative literature review,” Saudi Dent. J. 34(8), 699–707 (2022).</w:t>
      </w:r>
    </w:p>
    <w:p w14:paraId="04887067" w14:textId="2E0AFC73" w:rsidR="009C0BD6" w:rsidRDefault="009C0BD6" w:rsidP="009C0BD6">
      <w:pPr>
        <w:pStyle w:val="Reference"/>
      </w:pPr>
      <w:r w:rsidRPr="00F66412">
        <w:rPr>
          <w:lang w:val="en-ID"/>
        </w:rPr>
        <w:t xml:space="preserve">Seguchi, N., Sakamoto, Y., Kikuchi, A., </w:t>
      </w:r>
      <w:r w:rsidR="00F66412" w:rsidRPr="00F66412">
        <w:rPr>
          <w:lang w:val="en-ID"/>
        </w:rPr>
        <w:t>and</w:t>
      </w:r>
      <w:r w:rsidRPr="00F66412">
        <w:rPr>
          <w:lang w:val="en-ID"/>
        </w:rPr>
        <w:t xml:space="preserve"> Kishi, K.</w:t>
      </w:r>
      <w:r w:rsidR="00F66412">
        <w:rPr>
          <w:lang w:val="en-ID"/>
        </w:rPr>
        <w:t>, “</w:t>
      </w:r>
      <w:r>
        <w:t>Hemostatic Efficacy of Oxidized Regenerated Cellulose Powder in le Fort 1 Osteotomy</w:t>
      </w:r>
      <w:r w:rsidR="00F66412">
        <w:t>,”</w:t>
      </w:r>
      <w:r>
        <w:t xml:space="preserve"> </w:t>
      </w:r>
      <w:r w:rsidR="00F66412">
        <w:t>J.</w:t>
      </w:r>
      <w:r>
        <w:t xml:space="preserve"> of Craniofacial Surgery</w:t>
      </w:r>
      <w:r w:rsidR="00F66412">
        <w:t xml:space="preserve"> </w:t>
      </w:r>
      <w:r>
        <w:t>35(1), 189-191</w:t>
      </w:r>
      <w:r w:rsidR="00F66412">
        <w:t xml:space="preserve"> (2024).</w:t>
      </w:r>
    </w:p>
    <w:p w14:paraId="4012DF9E" w14:textId="084B585A" w:rsidR="00F66412" w:rsidRDefault="00F66412" w:rsidP="009C0BD6">
      <w:pPr>
        <w:pStyle w:val="Reference"/>
      </w:pPr>
      <w:r w:rsidRPr="00F66412">
        <w:t xml:space="preserve">K.M. Lewis, D. </w:t>
      </w:r>
      <w:proofErr w:type="spellStart"/>
      <w:r w:rsidRPr="00F66412">
        <w:t>Spazierer</w:t>
      </w:r>
      <w:proofErr w:type="spellEnd"/>
      <w:r w:rsidRPr="00F66412">
        <w:t xml:space="preserve">, M.D. Urban, L. Lin, H. Redl, and A. </w:t>
      </w:r>
      <w:proofErr w:type="spellStart"/>
      <w:r w:rsidRPr="00F66412">
        <w:t>Goppelt</w:t>
      </w:r>
      <w:proofErr w:type="spellEnd"/>
      <w:r w:rsidRPr="00F66412">
        <w:t>, “Comparison of regenerated and non-regenerated oxidized cellulose hemostatic agents,” Eur. Surg. 45(4), 213–220 (2013</w:t>
      </w:r>
      <w:r>
        <w:t>).</w:t>
      </w:r>
    </w:p>
    <w:p w14:paraId="20C2FE13" w14:textId="14EC2911" w:rsidR="00F66412" w:rsidRDefault="00F66412" w:rsidP="009C0BD6">
      <w:pPr>
        <w:pStyle w:val="Reference"/>
      </w:pPr>
      <w:r w:rsidRPr="00F66412">
        <w:t>E. Masci, G. Faillace, and M. Longoni, “Use of oxidized regenerated cellulose to achieve hemostasis during laparoscopic cholecystectomy: a retrospective cohort analysis,” BMC Res. Notes 11(1), 239 (2018).</w:t>
      </w:r>
    </w:p>
    <w:p w14:paraId="78358A0C" w14:textId="445A37A3" w:rsidR="00F66412" w:rsidRDefault="00F66412" w:rsidP="009C0BD6">
      <w:pPr>
        <w:pStyle w:val="Reference"/>
      </w:pPr>
      <w:r w:rsidRPr="00F66412">
        <w:t xml:space="preserve">R.F. Hakim, R. </w:t>
      </w:r>
      <w:proofErr w:type="spellStart"/>
      <w:r w:rsidRPr="00F66412">
        <w:t>Idroes</w:t>
      </w:r>
      <w:proofErr w:type="spellEnd"/>
      <w:r w:rsidRPr="00F66412">
        <w:t xml:space="preserve">, O.A. </w:t>
      </w:r>
      <w:proofErr w:type="spellStart"/>
      <w:r w:rsidRPr="00F66412">
        <w:t>Hanafiah</w:t>
      </w:r>
      <w:proofErr w:type="spellEnd"/>
      <w:r w:rsidRPr="00F66412">
        <w:t xml:space="preserve">, B. Ginting, P. Kemala, F. </w:t>
      </w:r>
      <w:proofErr w:type="spellStart"/>
      <w:r w:rsidRPr="00F66412">
        <w:t>Fakhrurrazi</w:t>
      </w:r>
      <w:proofErr w:type="spellEnd"/>
      <w:r w:rsidRPr="00F66412">
        <w:t xml:space="preserve">, N.I. Putra, G.A. Shafira, Y. </w:t>
      </w:r>
      <w:proofErr w:type="spellStart"/>
      <w:r w:rsidRPr="00F66412">
        <w:t>Romadhoni</w:t>
      </w:r>
      <w:proofErr w:type="spellEnd"/>
      <w:r w:rsidRPr="00F66412">
        <w:t>, K. Destiana, and M. Muslem, “Characterization of red algae (</w:t>
      </w:r>
      <w:proofErr w:type="spellStart"/>
      <w:r w:rsidRPr="00F66412">
        <w:t>Gracilaria</w:t>
      </w:r>
      <w:proofErr w:type="spellEnd"/>
      <w:r w:rsidRPr="00F66412">
        <w:t xml:space="preserve"> verrucosa) on potential application for topical treatment of oral mucosa wounds in Rattus norvegicus,” Narra J 3(3), e422 (2023).</w:t>
      </w:r>
    </w:p>
    <w:p w14:paraId="4DE91CCB" w14:textId="194962DA" w:rsidR="00326AE0" w:rsidRPr="00114AB1" w:rsidRDefault="009C0BD6" w:rsidP="003975FD">
      <w:pPr>
        <w:pStyle w:val="Reference"/>
      </w:pPr>
      <w:r>
        <w:t xml:space="preserve">Hakim, R.F., Fakhurrazi, F., Rezeki, S., Sari, L.M., </w:t>
      </w:r>
      <w:proofErr w:type="spellStart"/>
      <w:r>
        <w:t>Marfirah</w:t>
      </w:r>
      <w:proofErr w:type="spellEnd"/>
      <w:r>
        <w:t>, Z.</w:t>
      </w:r>
      <w:r w:rsidR="00F66412">
        <w:t>,</w:t>
      </w:r>
      <w:r>
        <w:t xml:space="preserve"> </w:t>
      </w:r>
      <w:r w:rsidR="00F66412">
        <w:t>“</w:t>
      </w:r>
      <w:r>
        <w:t xml:space="preserve">Hemostatic and wound healing effects of </w:t>
      </w:r>
      <w:proofErr w:type="spellStart"/>
      <w:r>
        <w:t>Gracilaria</w:t>
      </w:r>
      <w:proofErr w:type="spellEnd"/>
      <w:r>
        <w:t xml:space="preserve"> verrucosa </w:t>
      </w:r>
      <w:proofErr w:type="spellStart"/>
      <w:r>
        <w:t>estract</w:t>
      </w:r>
      <w:proofErr w:type="spellEnd"/>
      <w:r>
        <w:t xml:space="preserve"> gel in albino rats</w:t>
      </w:r>
      <w:r w:rsidR="00F66412">
        <w:t>,”</w:t>
      </w:r>
      <w:r>
        <w:t xml:space="preserve"> Tropical Journal of Natural Product Research. 4(11)</w:t>
      </w:r>
      <w:r w:rsidR="00F66412">
        <w:t>, 912-917 (2020).</w:t>
      </w:r>
    </w:p>
    <w:sectPr w:rsidR="00326AE0" w:rsidRPr="00114AB1" w:rsidSect="00402DA2">
      <w:pgSz w:w="12240" w:h="15840"/>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452A" w14:textId="77777777" w:rsidR="002B72DD" w:rsidRDefault="002B72DD" w:rsidP="00653C55">
      <w:r>
        <w:separator/>
      </w:r>
    </w:p>
  </w:endnote>
  <w:endnote w:type="continuationSeparator" w:id="0">
    <w:p w14:paraId="18319451" w14:textId="77777777" w:rsidR="002B72DD" w:rsidRDefault="002B72DD" w:rsidP="0065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9E69" w14:textId="77777777" w:rsidR="002B72DD" w:rsidRDefault="002B72DD" w:rsidP="00653C55">
      <w:r>
        <w:separator/>
      </w:r>
    </w:p>
  </w:footnote>
  <w:footnote w:type="continuationSeparator" w:id="0">
    <w:p w14:paraId="780945C4" w14:textId="77777777" w:rsidR="002B72DD" w:rsidRDefault="002B72DD" w:rsidP="00653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362244592">
    <w:abstractNumId w:val="15"/>
  </w:num>
  <w:num w:numId="2" w16cid:durableId="2045401180">
    <w:abstractNumId w:val="3"/>
  </w:num>
  <w:num w:numId="3" w16cid:durableId="1786995872">
    <w:abstractNumId w:val="12"/>
  </w:num>
  <w:num w:numId="4" w16cid:durableId="2022586040">
    <w:abstractNumId w:val="7"/>
  </w:num>
  <w:num w:numId="5" w16cid:durableId="427124053">
    <w:abstractNumId w:val="11"/>
  </w:num>
  <w:num w:numId="6" w16cid:durableId="789324989">
    <w:abstractNumId w:val="4"/>
  </w:num>
  <w:num w:numId="7" w16cid:durableId="712004667">
    <w:abstractNumId w:val="6"/>
  </w:num>
  <w:num w:numId="8" w16cid:durableId="1213926956">
    <w:abstractNumId w:val="1"/>
  </w:num>
  <w:num w:numId="9" w16cid:durableId="568855286">
    <w:abstractNumId w:val="14"/>
  </w:num>
  <w:num w:numId="10" w16cid:durableId="264195040">
    <w:abstractNumId w:val="9"/>
  </w:num>
  <w:num w:numId="11" w16cid:durableId="1365247321">
    <w:abstractNumId w:val="13"/>
  </w:num>
  <w:num w:numId="12" w16cid:durableId="791676259">
    <w:abstractNumId w:val="10"/>
  </w:num>
  <w:num w:numId="13" w16cid:durableId="82728096">
    <w:abstractNumId w:val="5"/>
  </w:num>
  <w:num w:numId="14" w16cid:durableId="1492719655">
    <w:abstractNumId w:val="14"/>
  </w:num>
  <w:num w:numId="15" w16cid:durableId="866917281">
    <w:abstractNumId w:val="8"/>
  </w:num>
  <w:num w:numId="16" w16cid:durableId="1422989007">
    <w:abstractNumId w:val="5"/>
  </w:num>
  <w:num w:numId="17" w16cid:durableId="1256748051">
    <w:abstractNumId w:val="5"/>
  </w:num>
  <w:num w:numId="18" w16cid:durableId="2081824588">
    <w:abstractNumId w:val="5"/>
  </w:num>
  <w:num w:numId="19" w16cid:durableId="792358902">
    <w:abstractNumId w:val="5"/>
  </w:num>
  <w:num w:numId="20" w16cid:durableId="1943028589">
    <w:abstractNumId w:val="5"/>
  </w:num>
  <w:num w:numId="21" w16cid:durableId="1277521846">
    <w:abstractNumId w:val="5"/>
  </w:num>
  <w:num w:numId="22" w16cid:durableId="2130278416">
    <w:abstractNumId w:val="5"/>
  </w:num>
  <w:num w:numId="23" w16cid:durableId="1448693136">
    <w:abstractNumId w:val="5"/>
  </w:num>
  <w:num w:numId="24" w16cid:durableId="424613968">
    <w:abstractNumId w:val="5"/>
  </w:num>
  <w:num w:numId="25" w16cid:durableId="2112776468">
    <w:abstractNumId w:val="5"/>
  </w:num>
  <w:num w:numId="26" w16cid:durableId="823157040">
    <w:abstractNumId w:val="5"/>
  </w:num>
  <w:num w:numId="27" w16cid:durableId="432870719">
    <w:abstractNumId w:val="5"/>
  </w:num>
  <w:num w:numId="28" w16cid:durableId="1072003513">
    <w:abstractNumId w:val="5"/>
  </w:num>
  <w:num w:numId="29" w16cid:durableId="700742568">
    <w:abstractNumId w:val="11"/>
  </w:num>
  <w:num w:numId="30" w16cid:durableId="615522249">
    <w:abstractNumId w:val="11"/>
  </w:num>
  <w:num w:numId="31" w16cid:durableId="861239163">
    <w:abstractNumId w:val="11"/>
    <w:lvlOverride w:ilvl="0">
      <w:startOverride w:val="1"/>
    </w:lvlOverride>
  </w:num>
  <w:num w:numId="32" w16cid:durableId="1554386890">
    <w:abstractNumId w:val="11"/>
  </w:num>
  <w:num w:numId="33" w16cid:durableId="1042709483">
    <w:abstractNumId w:val="11"/>
    <w:lvlOverride w:ilvl="0">
      <w:startOverride w:val="1"/>
    </w:lvlOverride>
  </w:num>
  <w:num w:numId="34" w16cid:durableId="8413497">
    <w:abstractNumId w:val="11"/>
    <w:lvlOverride w:ilvl="0">
      <w:startOverride w:val="1"/>
    </w:lvlOverride>
  </w:num>
  <w:num w:numId="35" w16cid:durableId="1034842418">
    <w:abstractNumId w:val="12"/>
    <w:lvlOverride w:ilvl="0">
      <w:startOverride w:val="1"/>
    </w:lvlOverride>
  </w:num>
  <w:num w:numId="36" w16cid:durableId="2073499574">
    <w:abstractNumId w:val="12"/>
  </w:num>
  <w:num w:numId="37" w16cid:durableId="1663853835">
    <w:abstractNumId w:val="12"/>
    <w:lvlOverride w:ilvl="0">
      <w:startOverride w:val="1"/>
    </w:lvlOverride>
  </w:num>
  <w:num w:numId="38" w16cid:durableId="1789273494">
    <w:abstractNumId w:val="12"/>
  </w:num>
  <w:num w:numId="39" w16cid:durableId="2045981717">
    <w:abstractNumId w:val="12"/>
    <w:lvlOverride w:ilvl="0">
      <w:startOverride w:val="1"/>
    </w:lvlOverride>
  </w:num>
  <w:num w:numId="40" w16cid:durableId="25327860">
    <w:abstractNumId w:val="12"/>
    <w:lvlOverride w:ilvl="0">
      <w:startOverride w:val="1"/>
    </w:lvlOverride>
  </w:num>
  <w:num w:numId="41" w16cid:durableId="1722513489">
    <w:abstractNumId w:val="12"/>
    <w:lvlOverride w:ilvl="0">
      <w:startOverride w:val="1"/>
    </w:lvlOverride>
  </w:num>
  <w:num w:numId="42" w16cid:durableId="1776251089">
    <w:abstractNumId w:val="12"/>
  </w:num>
  <w:num w:numId="43" w16cid:durableId="2097439200">
    <w:abstractNumId w:val="12"/>
  </w:num>
  <w:num w:numId="44" w16cid:durableId="910432561">
    <w:abstractNumId w:val="2"/>
  </w:num>
  <w:num w:numId="45" w16cid:durableId="50385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D68B7"/>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427E"/>
    <w:rsid w:val="001B263B"/>
    <w:rsid w:val="001B476A"/>
    <w:rsid w:val="001C257A"/>
    <w:rsid w:val="001C7552"/>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B72DD"/>
    <w:rsid w:val="002E3C35"/>
    <w:rsid w:val="002F5298"/>
    <w:rsid w:val="003049DF"/>
    <w:rsid w:val="00326AE0"/>
    <w:rsid w:val="00337E4F"/>
    <w:rsid w:val="00340C36"/>
    <w:rsid w:val="00346A9D"/>
    <w:rsid w:val="00372691"/>
    <w:rsid w:val="003844F1"/>
    <w:rsid w:val="0039376F"/>
    <w:rsid w:val="003975FD"/>
    <w:rsid w:val="003A287B"/>
    <w:rsid w:val="003A5C85"/>
    <w:rsid w:val="003A61B1"/>
    <w:rsid w:val="003B0050"/>
    <w:rsid w:val="003B281E"/>
    <w:rsid w:val="003D6312"/>
    <w:rsid w:val="003E7C74"/>
    <w:rsid w:val="003F31C6"/>
    <w:rsid w:val="0040225B"/>
    <w:rsid w:val="00402DA2"/>
    <w:rsid w:val="004041A9"/>
    <w:rsid w:val="00412943"/>
    <w:rsid w:val="00425AC2"/>
    <w:rsid w:val="0044771F"/>
    <w:rsid w:val="00447C2B"/>
    <w:rsid w:val="004B151D"/>
    <w:rsid w:val="004C7243"/>
    <w:rsid w:val="004D1D3B"/>
    <w:rsid w:val="004E21DE"/>
    <w:rsid w:val="004E3C57"/>
    <w:rsid w:val="004E3CB2"/>
    <w:rsid w:val="004F2F24"/>
    <w:rsid w:val="005157C2"/>
    <w:rsid w:val="00525813"/>
    <w:rsid w:val="0053513F"/>
    <w:rsid w:val="00574405"/>
    <w:rsid w:val="00583B5E"/>
    <w:rsid w:val="005854B0"/>
    <w:rsid w:val="005A0E21"/>
    <w:rsid w:val="005B3A34"/>
    <w:rsid w:val="005C504C"/>
    <w:rsid w:val="005D49AF"/>
    <w:rsid w:val="005E415C"/>
    <w:rsid w:val="005E71ED"/>
    <w:rsid w:val="005E7946"/>
    <w:rsid w:val="005F7475"/>
    <w:rsid w:val="00611299"/>
    <w:rsid w:val="00613B4D"/>
    <w:rsid w:val="00616365"/>
    <w:rsid w:val="00616F3B"/>
    <w:rsid w:val="006249A7"/>
    <w:rsid w:val="0064225B"/>
    <w:rsid w:val="00653C55"/>
    <w:rsid w:val="006763F9"/>
    <w:rsid w:val="00683367"/>
    <w:rsid w:val="006949BC"/>
    <w:rsid w:val="006A089E"/>
    <w:rsid w:val="006D1229"/>
    <w:rsid w:val="006D372F"/>
    <w:rsid w:val="006D7A18"/>
    <w:rsid w:val="006E4474"/>
    <w:rsid w:val="006E72B5"/>
    <w:rsid w:val="00701388"/>
    <w:rsid w:val="00723B7F"/>
    <w:rsid w:val="00725861"/>
    <w:rsid w:val="0073393A"/>
    <w:rsid w:val="0073539D"/>
    <w:rsid w:val="00766164"/>
    <w:rsid w:val="00767B8A"/>
    <w:rsid w:val="00775481"/>
    <w:rsid w:val="007A233B"/>
    <w:rsid w:val="007B4863"/>
    <w:rsid w:val="007C4C6A"/>
    <w:rsid w:val="007C65E6"/>
    <w:rsid w:val="007D406B"/>
    <w:rsid w:val="007D4407"/>
    <w:rsid w:val="007D76C8"/>
    <w:rsid w:val="007E1CA3"/>
    <w:rsid w:val="007E6748"/>
    <w:rsid w:val="00806E5F"/>
    <w:rsid w:val="00812D62"/>
    <w:rsid w:val="00812F29"/>
    <w:rsid w:val="00821713"/>
    <w:rsid w:val="00827050"/>
    <w:rsid w:val="0083278B"/>
    <w:rsid w:val="00834538"/>
    <w:rsid w:val="00850E89"/>
    <w:rsid w:val="008930E4"/>
    <w:rsid w:val="00893821"/>
    <w:rsid w:val="008A7B9C"/>
    <w:rsid w:val="008B39FA"/>
    <w:rsid w:val="008B4754"/>
    <w:rsid w:val="008D192F"/>
    <w:rsid w:val="008E6A7A"/>
    <w:rsid w:val="008F1038"/>
    <w:rsid w:val="008F7046"/>
    <w:rsid w:val="009005FC"/>
    <w:rsid w:val="00922E5A"/>
    <w:rsid w:val="00943315"/>
    <w:rsid w:val="00946C27"/>
    <w:rsid w:val="0096299C"/>
    <w:rsid w:val="009A4F3D"/>
    <w:rsid w:val="009B696B"/>
    <w:rsid w:val="009B7671"/>
    <w:rsid w:val="009C0BD6"/>
    <w:rsid w:val="009C6A2A"/>
    <w:rsid w:val="009E5BA1"/>
    <w:rsid w:val="009F056E"/>
    <w:rsid w:val="00A24F3D"/>
    <w:rsid w:val="00A26DCD"/>
    <w:rsid w:val="00A314BB"/>
    <w:rsid w:val="00A32B7D"/>
    <w:rsid w:val="00A41E25"/>
    <w:rsid w:val="00A5596B"/>
    <w:rsid w:val="00A646B3"/>
    <w:rsid w:val="00A6739B"/>
    <w:rsid w:val="00A74AA1"/>
    <w:rsid w:val="00A90413"/>
    <w:rsid w:val="00AA728C"/>
    <w:rsid w:val="00AB0A9C"/>
    <w:rsid w:val="00AB7119"/>
    <w:rsid w:val="00AD5855"/>
    <w:rsid w:val="00AE7500"/>
    <w:rsid w:val="00AE7F87"/>
    <w:rsid w:val="00AF3542"/>
    <w:rsid w:val="00AF35C8"/>
    <w:rsid w:val="00AF5476"/>
    <w:rsid w:val="00AF5ABE"/>
    <w:rsid w:val="00B00415"/>
    <w:rsid w:val="00B00430"/>
    <w:rsid w:val="00B03C2A"/>
    <w:rsid w:val="00B1000D"/>
    <w:rsid w:val="00B10134"/>
    <w:rsid w:val="00B16BFE"/>
    <w:rsid w:val="00B34C52"/>
    <w:rsid w:val="00B500E5"/>
    <w:rsid w:val="00BA39BB"/>
    <w:rsid w:val="00BA3B3D"/>
    <w:rsid w:val="00BB7EEA"/>
    <w:rsid w:val="00BD1909"/>
    <w:rsid w:val="00BD58D3"/>
    <w:rsid w:val="00BE5E16"/>
    <w:rsid w:val="00BE5FD1"/>
    <w:rsid w:val="00C06E05"/>
    <w:rsid w:val="00C14B14"/>
    <w:rsid w:val="00C17370"/>
    <w:rsid w:val="00C2054D"/>
    <w:rsid w:val="00C252EB"/>
    <w:rsid w:val="00C26EC0"/>
    <w:rsid w:val="00C56C77"/>
    <w:rsid w:val="00C84923"/>
    <w:rsid w:val="00CB7B3E"/>
    <w:rsid w:val="00CC739D"/>
    <w:rsid w:val="00D04468"/>
    <w:rsid w:val="00D36257"/>
    <w:rsid w:val="00D4687E"/>
    <w:rsid w:val="00D53A12"/>
    <w:rsid w:val="00D87E2A"/>
    <w:rsid w:val="00DB0C43"/>
    <w:rsid w:val="00DE3354"/>
    <w:rsid w:val="00DF7DCD"/>
    <w:rsid w:val="00E1295C"/>
    <w:rsid w:val="00E50B7D"/>
    <w:rsid w:val="00E62BEB"/>
    <w:rsid w:val="00E72EC9"/>
    <w:rsid w:val="00E904A1"/>
    <w:rsid w:val="00EB5B8E"/>
    <w:rsid w:val="00EB7D28"/>
    <w:rsid w:val="00EC0D0C"/>
    <w:rsid w:val="00ED4A2C"/>
    <w:rsid w:val="00ED7C9D"/>
    <w:rsid w:val="00EF6940"/>
    <w:rsid w:val="00F2044A"/>
    <w:rsid w:val="00F20BFC"/>
    <w:rsid w:val="00F24D5F"/>
    <w:rsid w:val="00F63B1F"/>
    <w:rsid w:val="00F66412"/>
    <w:rsid w:val="00F726C3"/>
    <w:rsid w:val="00F820CA"/>
    <w:rsid w:val="00F8554C"/>
    <w:rsid w:val="00F95F82"/>
    <w:rsid w:val="00F97A90"/>
    <w:rsid w:val="00FC2F35"/>
    <w:rsid w:val="00FC3FD7"/>
    <w:rsid w:val="00FD1FC6"/>
    <w:rsid w:val="00FE5869"/>
    <w:rsid w:val="00FF75AD"/>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AC01B669-DB49-4AEB-B5EE-A796ABB2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653C55"/>
    <w:pPr>
      <w:tabs>
        <w:tab w:val="center" w:pos="4680"/>
        <w:tab w:val="right" w:pos="9360"/>
      </w:tabs>
    </w:pPr>
  </w:style>
  <w:style w:type="character" w:customStyle="1" w:styleId="HeaderChar">
    <w:name w:val="Header Char"/>
    <w:basedOn w:val="DefaultParagraphFont"/>
    <w:link w:val="Header"/>
    <w:rsid w:val="00653C55"/>
    <w:rPr>
      <w:sz w:val="24"/>
      <w:lang w:val="en-US" w:eastAsia="en-US"/>
    </w:rPr>
  </w:style>
  <w:style w:type="paragraph" w:styleId="Footer">
    <w:name w:val="footer"/>
    <w:basedOn w:val="Normal"/>
    <w:link w:val="FooterChar"/>
    <w:unhideWhenUsed/>
    <w:rsid w:val="00653C55"/>
    <w:pPr>
      <w:tabs>
        <w:tab w:val="center" w:pos="4680"/>
        <w:tab w:val="right" w:pos="9360"/>
      </w:tabs>
    </w:pPr>
  </w:style>
  <w:style w:type="character" w:customStyle="1" w:styleId="FooterChar">
    <w:name w:val="Footer Char"/>
    <w:basedOn w:val="DefaultParagraphFont"/>
    <w:link w:val="Footer"/>
    <w:rsid w:val="00653C5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TotalTime>
  <Pages>16</Pages>
  <Words>8298</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Muhammad Farikh</cp:lastModifiedBy>
  <cp:revision>2</cp:revision>
  <cp:lastPrinted>2011-03-03T08:29:00Z</cp:lastPrinted>
  <dcterms:created xsi:type="dcterms:W3CDTF">2025-11-22T07:44:00Z</dcterms:created>
  <dcterms:modified xsi:type="dcterms:W3CDTF">2025-11-22T07:44:00Z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371b18d876a08fab451791bfee8fa14b7bca62b9cd34c69f641831abbe9a8d1d</vt:lpwstr>
  </property>
  <property fmtid="{D5CDD505-2E9C-101B-9397-08002B2CF9AE}" pid="4" name="ZOTERO_PREF_1">
    <vt:lpwstr>&lt;data data-version="3" zotero-version="7.0.27"&gt;&lt;session id="7sKMjV4v"/&gt;&lt;style id="" hasBibliography="0" bibliographyStyleHasBeenSet="0"/&gt;&lt;prefs/&gt;&lt;/data&gt;</vt:lpwstr>
  </property>
</Properties>
</file>