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384AF04F" w:rsidR="0016385D" w:rsidRPr="00A260BB" w:rsidRDefault="00B82B10" w:rsidP="00090674">
      <w:pPr>
        <w:pStyle w:val="PaperTitle"/>
        <w:rPr>
          <w:b w:val="0"/>
          <w:bCs/>
          <w:sz w:val="24"/>
          <w:szCs w:val="24"/>
        </w:rPr>
      </w:pPr>
      <w:r w:rsidRPr="00A260BB">
        <w:t>Correlation of Pressure During Packing and Water Sorption of Heat-</w:t>
      </w:r>
      <w:r w:rsidR="00645050" w:rsidRPr="00A260BB">
        <w:t>Activ</w:t>
      </w:r>
      <w:r w:rsidRPr="00A260BB">
        <w:t>ated Acrylic Denture Base Material</w:t>
      </w:r>
    </w:p>
    <w:p w14:paraId="548D96A3" w14:textId="0C35F84E" w:rsidR="00C14B14" w:rsidRPr="00A260BB" w:rsidRDefault="00B82B10" w:rsidP="2F830975">
      <w:pPr>
        <w:pStyle w:val="AuthorName"/>
        <w:rPr>
          <w:sz w:val="20"/>
          <w:lang w:eastAsia="en-GB"/>
        </w:rPr>
      </w:pPr>
      <w:r w:rsidRPr="00A260BB">
        <w:t>Arief Waskitho</w:t>
      </w:r>
      <w:r w:rsidRPr="00A260BB">
        <w:rPr>
          <w:vertAlign w:val="superscript"/>
        </w:rPr>
        <w:t>1</w:t>
      </w:r>
      <w:r w:rsidR="00707109" w:rsidRPr="00A260BB">
        <w:rPr>
          <w:vertAlign w:val="superscript"/>
        </w:rPr>
        <w:t>,</w:t>
      </w:r>
      <w:r w:rsidR="00807CA3">
        <w:rPr>
          <w:vertAlign w:val="superscript"/>
        </w:rPr>
        <w:t xml:space="preserve"> </w:t>
      </w:r>
      <w:r w:rsidR="00D455B2" w:rsidRPr="00A260BB">
        <w:rPr>
          <w:vertAlign w:val="superscript"/>
          <w:lang w:eastAsia="ja-JP"/>
        </w:rPr>
        <w:t>a</w:t>
      </w:r>
      <w:r w:rsidR="00807CA3">
        <w:rPr>
          <w:vertAlign w:val="superscript"/>
          <w:lang w:eastAsia="ja-JP"/>
        </w:rPr>
        <w:t>)</w:t>
      </w:r>
      <w:r w:rsidRPr="00A260BB">
        <w:rPr>
          <w:lang w:eastAsia="ja-JP"/>
        </w:rPr>
        <w:t>,</w:t>
      </w:r>
      <w:r w:rsidRPr="00A260BB">
        <w:t xml:space="preserve"> Fahmi Yunisa</w:t>
      </w:r>
      <w:r w:rsidRPr="00A260BB">
        <w:rPr>
          <w:vertAlign w:val="superscript"/>
        </w:rPr>
        <w:t>1</w:t>
      </w:r>
      <w:r w:rsidR="00707109" w:rsidRPr="00A260BB">
        <w:rPr>
          <w:vertAlign w:val="superscript"/>
        </w:rPr>
        <w:t>,</w:t>
      </w:r>
      <w:r w:rsidR="00807CA3">
        <w:rPr>
          <w:vertAlign w:val="superscript"/>
        </w:rPr>
        <w:t xml:space="preserve"> </w:t>
      </w:r>
      <w:r w:rsidR="00D455B2" w:rsidRPr="00A260BB">
        <w:rPr>
          <w:vertAlign w:val="superscript"/>
        </w:rPr>
        <w:t>b</w:t>
      </w:r>
      <w:r w:rsidR="00807CA3">
        <w:rPr>
          <w:vertAlign w:val="superscript"/>
        </w:rPr>
        <w:t>)</w:t>
      </w:r>
      <w:r w:rsidRPr="00A260BB">
        <w:t xml:space="preserve">, </w:t>
      </w:r>
      <w:proofErr w:type="spellStart"/>
      <w:r w:rsidRPr="00A260BB">
        <w:t>Widyapramana</w:t>
      </w:r>
      <w:proofErr w:type="spellEnd"/>
      <w:r w:rsidRPr="00A260BB">
        <w:t xml:space="preserve"> Dwi Atmaja</w:t>
      </w:r>
      <w:r w:rsidRPr="00A260BB">
        <w:rPr>
          <w:vertAlign w:val="superscript"/>
        </w:rPr>
        <w:t>2</w:t>
      </w:r>
      <w:r w:rsidR="00707109" w:rsidRPr="00A260BB">
        <w:rPr>
          <w:vertAlign w:val="superscript"/>
        </w:rPr>
        <w:t>,</w:t>
      </w:r>
      <w:r w:rsidR="00807CA3">
        <w:rPr>
          <w:vertAlign w:val="superscript"/>
        </w:rPr>
        <w:t xml:space="preserve"> </w:t>
      </w:r>
      <w:r w:rsidR="00D455B2" w:rsidRPr="00A260BB">
        <w:rPr>
          <w:vertAlign w:val="superscript"/>
        </w:rPr>
        <w:t>c</w:t>
      </w:r>
      <w:r w:rsidR="00807CA3">
        <w:rPr>
          <w:vertAlign w:val="superscript"/>
        </w:rPr>
        <w:t>)</w:t>
      </w:r>
      <w:r w:rsidRPr="00A260BB">
        <w:t>, Zuhri Nurisna</w:t>
      </w:r>
      <w:r w:rsidRPr="00A260BB">
        <w:rPr>
          <w:vertAlign w:val="superscript"/>
        </w:rPr>
        <w:t>3</w:t>
      </w:r>
      <w:r w:rsidR="00707109" w:rsidRPr="00A260BB">
        <w:rPr>
          <w:vertAlign w:val="superscript"/>
        </w:rPr>
        <w:t>,</w:t>
      </w:r>
      <w:r w:rsidR="00807CA3">
        <w:rPr>
          <w:vertAlign w:val="superscript"/>
        </w:rPr>
        <w:t xml:space="preserve"> </w:t>
      </w:r>
      <w:r w:rsidR="00D455B2" w:rsidRPr="00A260BB">
        <w:rPr>
          <w:vertAlign w:val="superscript"/>
        </w:rPr>
        <w:t>d</w:t>
      </w:r>
      <w:r w:rsidR="00807CA3">
        <w:rPr>
          <w:vertAlign w:val="superscript"/>
        </w:rPr>
        <w:t>)</w:t>
      </w:r>
      <w:r w:rsidRPr="00A260BB">
        <w:t>, Muhammad Rizky Syuhada</w:t>
      </w:r>
      <w:r w:rsidRPr="00A260BB">
        <w:rPr>
          <w:vertAlign w:val="superscript"/>
        </w:rPr>
        <w:t>4</w:t>
      </w:r>
      <w:r w:rsidR="00707109" w:rsidRPr="00A260BB">
        <w:rPr>
          <w:vertAlign w:val="superscript"/>
        </w:rPr>
        <w:t>,</w:t>
      </w:r>
      <w:r w:rsidR="00807CA3">
        <w:rPr>
          <w:vertAlign w:val="superscript"/>
        </w:rPr>
        <w:t xml:space="preserve"> </w:t>
      </w:r>
      <w:r w:rsidR="00D455B2" w:rsidRPr="00A260BB">
        <w:rPr>
          <w:vertAlign w:val="superscript"/>
        </w:rPr>
        <w:t>e</w:t>
      </w:r>
      <w:r w:rsidR="00807CA3">
        <w:rPr>
          <w:vertAlign w:val="superscript"/>
        </w:rPr>
        <w:t>)</w:t>
      </w:r>
      <w:r w:rsidRPr="00A260BB">
        <w:t>, and Arsyad Cahya Subrata</w:t>
      </w:r>
      <w:r w:rsidRPr="00A260BB">
        <w:rPr>
          <w:vertAlign w:val="superscript"/>
        </w:rPr>
        <w:t>5</w:t>
      </w:r>
      <w:r w:rsidR="00707109" w:rsidRPr="00A260BB">
        <w:rPr>
          <w:vertAlign w:val="superscript"/>
        </w:rPr>
        <w:t>,</w:t>
      </w:r>
      <w:r w:rsidR="00807CA3">
        <w:rPr>
          <w:vertAlign w:val="superscript"/>
        </w:rPr>
        <w:t xml:space="preserve"> </w:t>
      </w:r>
      <w:r w:rsidR="00D455B2" w:rsidRPr="00A260BB">
        <w:rPr>
          <w:vertAlign w:val="superscript"/>
        </w:rPr>
        <w:t>f</w:t>
      </w:r>
      <w:r w:rsidR="00807CA3">
        <w:rPr>
          <w:vertAlign w:val="superscript"/>
        </w:rPr>
        <w:t>)</w:t>
      </w:r>
    </w:p>
    <w:p w14:paraId="56D8C2E1" w14:textId="77777777" w:rsidR="00C14B14" w:rsidRPr="00807CA3" w:rsidRDefault="00C14B14" w:rsidP="003B0050">
      <w:pPr>
        <w:pStyle w:val="AuthorName"/>
        <w:spacing w:before="0" w:after="0"/>
        <w:rPr>
          <w:sz w:val="20"/>
          <w:lang w:eastAsia="en-GB"/>
        </w:rPr>
      </w:pPr>
      <w:r w:rsidRPr="00807CA3">
        <w:rPr>
          <w:sz w:val="20"/>
          <w:lang w:eastAsia="en-GB"/>
        </w:rPr>
        <w:t xml:space="preserve">Author Affiliations </w:t>
      </w:r>
    </w:p>
    <w:p w14:paraId="4FDEE3BD" w14:textId="77777777" w:rsidR="00B82B10" w:rsidRPr="00807CA3" w:rsidRDefault="00027428" w:rsidP="00B82B10">
      <w:pPr>
        <w:pStyle w:val="AuthorAffiliation"/>
        <w:rPr>
          <w:bCs/>
          <w:iCs/>
        </w:rPr>
      </w:pPr>
      <w:r w:rsidRPr="00807CA3">
        <w:rPr>
          <w:i w:val="0"/>
          <w:vertAlign w:val="superscript"/>
        </w:rPr>
        <w:t xml:space="preserve"> </w:t>
      </w:r>
      <w:r w:rsidR="00B82B10" w:rsidRPr="00807CA3">
        <w:rPr>
          <w:bCs/>
          <w:iCs/>
          <w:vertAlign w:val="superscript"/>
        </w:rPr>
        <w:t xml:space="preserve">1 </w:t>
      </w:r>
      <w:r w:rsidR="00B82B10" w:rsidRPr="00807CA3">
        <w:rPr>
          <w:bCs/>
          <w:iCs/>
        </w:rPr>
        <w:t>Department of Prosthodontics, 55183 Universitas Muhammadiyah Yogyakarta, Indonesia</w:t>
      </w:r>
    </w:p>
    <w:p w14:paraId="34D3BC14" w14:textId="77777777" w:rsidR="00B82B10" w:rsidRPr="00807CA3" w:rsidRDefault="00B82B10" w:rsidP="00B82B10">
      <w:pPr>
        <w:pStyle w:val="AuthorAffiliation"/>
        <w:rPr>
          <w:bCs/>
          <w:iCs/>
        </w:rPr>
      </w:pPr>
      <w:r w:rsidRPr="00807CA3">
        <w:rPr>
          <w:bCs/>
          <w:iCs/>
          <w:vertAlign w:val="superscript"/>
        </w:rPr>
        <w:t xml:space="preserve">2 </w:t>
      </w:r>
      <w:r w:rsidRPr="00807CA3">
        <w:rPr>
          <w:rFonts w:ascii="Tahoma" w:hAnsi="Tahoma" w:cs="Tahoma"/>
          <w:bCs/>
          <w:iCs/>
          <w:vertAlign w:val="superscript"/>
        </w:rPr>
        <w:t>﻿</w:t>
      </w:r>
      <w:r w:rsidRPr="00807CA3">
        <w:rPr>
          <w:bCs/>
          <w:iCs/>
        </w:rPr>
        <w:t>Department of Dental Material, 55183 Universitas Muhammadiyah Yogyakarta, Indonesia</w:t>
      </w:r>
    </w:p>
    <w:p w14:paraId="39E30CC1" w14:textId="77777777" w:rsidR="00B82B10" w:rsidRPr="00807CA3" w:rsidRDefault="00B82B10" w:rsidP="00B82B10">
      <w:pPr>
        <w:pStyle w:val="AuthorAffiliation"/>
        <w:rPr>
          <w:bCs/>
          <w:iCs/>
        </w:rPr>
      </w:pPr>
      <w:r w:rsidRPr="00807CA3">
        <w:rPr>
          <w:bCs/>
          <w:iCs/>
          <w:vertAlign w:val="superscript"/>
        </w:rPr>
        <w:t>3</w:t>
      </w:r>
      <w:r w:rsidRPr="00807CA3">
        <w:rPr>
          <w:bCs/>
          <w:iCs/>
        </w:rPr>
        <w:t xml:space="preserve"> </w:t>
      </w:r>
      <w:r w:rsidRPr="00807CA3">
        <w:rPr>
          <w:rFonts w:ascii="Tahoma" w:hAnsi="Tahoma" w:cs="Tahoma"/>
          <w:bCs/>
          <w:iCs/>
        </w:rPr>
        <w:t>﻿</w:t>
      </w:r>
      <w:r w:rsidRPr="00807CA3">
        <w:rPr>
          <w:bCs/>
          <w:iCs/>
        </w:rPr>
        <w:t>Department of Automotive Engineering Technology, 55183 Universitas Muhammadiyah Yogyakarta, Indonesia</w:t>
      </w:r>
    </w:p>
    <w:p w14:paraId="566D1883" w14:textId="381BE48B" w:rsidR="00B82B10" w:rsidRPr="00807CA3" w:rsidRDefault="00B82B10" w:rsidP="00B82B10">
      <w:pPr>
        <w:pStyle w:val="AuthorAffiliation"/>
        <w:rPr>
          <w:bCs/>
          <w:iCs/>
        </w:rPr>
      </w:pPr>
      <w:r w:rsidRPr="00807CA3">
        <w:rPr>
          <w:bCs/>
          <w:iCs/>
          <w:vertAlign w:val="superscript"/>
        </w:rPr>
        <w:t xml:space="preserve">4 </w:t>
      </w:r>
      <w:r w:rsidR="00707109" w:rsidRPr="00807CA3">
        <w:rPr>
          <w:bCs/>
          <w:iCs/>
        </w:rPr>
        <w:t>Undergraduate Study Program</w:t>
      </w:r>
      <w:r w:rsidRPr="00807CA3">
        <w:rPr>
          <w:bCs/>
          <w:iCs/>
        </w:rPr>
        <w:t xml:space="preserve">, 55183 Universitas Muhammadiyah Yogyakarta, Indonesia </w:t>
      </w:r>
    </w:p>
    <w:p w14:paraId="771D6B6C" w14:textId="4350DF24" w:rsidR="00C14B14" w:rsidRPr="00807CA3" w:rsidRDefault="00B82B10" w:rsidP="00B82B10">
      <w:pPr>
        <w:pStyle w:val="AuthorAffiliation"/>
      </w:pPr>
      <w:r w:rsidRPr="00807CA3">
        <w:rPr>
          <w:i w:val="0"/>
          <w:iCs/>
          <w:vertAlign w:val="superscript"/>
        </w:rPr>
        <w:t>5</w:t>
      </w:r>
      <w:r w:rsidRPr="00807CA3">
        <w:rPr>
          <w:i w:val="0"/>
          <w:iCs/>
        </w:rPr>
        <w:t>Department of Electrical Engineering, 55191 Universitas Ahmad Dahlan Yogyakarta, Indonesia</w:t>
      </w:r>
      <w:r w:rsidR="0016385D" w:rsidRPr="00807CA3">
        <w:t xml:space="preserve"> </w:t>
      </w:r>
    </w:p>
    <w:p w14:paraId="0C9BD375" w14:textId="26A1FFF0" w:rsidR="00D455B2" w:rsidRPr="00807CA3" w:rsidRDefault="00C14B14" w:rsidP="00707109">
      <w:pPr>
        <w:pStyle w:val="AuthorAffiliation"/>
      </w:pPr>
      <w:r w:rsidRPr="00A260BB">
        <w:br/>
      </w:r>
      <w:r w:rsidRPr="00807CA3">
        <w:t>Author Emails</w:t>
      </w:r>
      <w:r w:rsidR="00ED4A2C" w:rsidRPr="00807CA3">
        <w:br/>
      </w:r>
      <w:r w:rsidR="00003D7C" w:rsidRPr="00807CA3">
        <w:rPr>
          <w:szCs w:val="28"/>
          <w:vertAlign w:val="superscript"/>
        </w:rPr>
        <w:t>a)</w:t>
      </w:r>
      <w:r w:rsidR="00003D7C" w:rsidRPr="00807CA3">
        <w:t xml:space="preserve"> Corresponding</w:t>
      </w:r>
      <w:r w:rsidR="004E3CB2" w:rsidRPr="00807CA3">
        <w:t xml:space="preserve"> author: </w:t>
      </w:r>
      <w:r w:rsidR="00D455B2" w:rsidRPr="00807CA3">
        <w:t>arief.waskitho@umy.ac.id</w:t>
      </w:r>
      <w:r w:rsidR="001D469C" w:rsidRPr="00807CA3">
        <w:br/>
      </w:r>
      <w:r w:rsidR="003A5C85" w:rsidRPr="00807CA3">
        <w:rPr>
          <w:szCs w:val="28"/>
          <w:vertAlign w:val="superscript"/>
        </w:rPr>
        <w:t>b)</w:t>
      </w:r>
      <w:r w:rsidR="00D455B2" w:rsidRPr="00807CA3">
        <w:t xml:space="preserve"> </w:t>
      </w:r>
      <w:hyperlink r:id="rId11" w:history="1">
        <w:r w:rsidR="00D455B2" w:rsidRPr="00807CA3">
          <w:rPr>
            <w:rStyle w:val="Hyperlink"/>
            <w:color w:val="auto"/>
            <w:u w:val="none"/>
          </w:rPr>
          <w:t>fahmi_yunisa@umy.ac.id</w:t>
        </w:r>
      </w:hyperlink>
    </w:p>
    <w:p w14:paraId="0A685D05" w14:textId="7C1003E9" w:rsidR="00D455B2" w:rsidRPr="00807CA3" w:rsidRDefault="00D455B2">
      <w:pPr>
        <w:pStyle w:val="AuthorEmail"/>
      </w:pPr>
      <w:r w:rsidRPr="00807CA3">
        <w:rPr>
          <w:szCs w:val="28"/>
          <w:vertAlign w:val="superscript"/>
        </w:rPr>
        <w:t>c)</w:t>
      </w:r>
      <w:r w:rsidRPr="00807CA3">
        <w:t xml:space="preserve"> </w:t>
      </w:r>
      <w:hyperlink r:id="rId12" w:history="1">
        <w:r w:rsidRPr="00807CA3">
          <w:rPr>
            <w:rStyle w:val="Hyperlink"/>
            <w:color w:val="auto"/>
            <w:u w:val="none"/>
          </w:rPr>
          <w:t>widyapramana.dwi@umy.ac.id</w:t>
        </w:r>
      </w:hyperlink>
    </w:p>
    <w:p w14:paraId="60E1F95B" w14:textId="2031A6B0" w:rsidR="00707109" w:rsidRPr="00807CA3" w:rsidRDefault="00D455B2" w:rsidP="00707109">
      <w:pPr>
        <w:pStyle w:val="AuthorEmail"/>
      </w:pPr>
      <w:r w:rsidRPr="00807CA3">
        <w:rPr>
          <w:szCs w:val="28"/>
          <w:vertAlign w:val="superscript"/>
        </w:rPr>
        <w:t>d)</w:t>
      </w:r>
      <w:r w:rsidRPr="00807CA3">
        <w:t xml:space="preserve"> </w:t>
      </w:r>
      <w:hyperlink r:id="rId13" w:history="1">
        <w:r w:rsidR="003562A3" w:rsidRPr="00807CA3">
          <w:rPr>
            <w:rStyle w:val="Hyperlink"/>
            <w:color w:val="auto"/>
            <w:u w:val="none"/>
          </w:rPr>
          <w:t>zuhrinurisna@umy.ac.id</w:t>
        </w:r>
      </w:hyperlink>
    </w:p>
    <w:p w14:paraId="2F30CDCD" w14:textId="77777777" w:rsidR="001A02CF" w:rsidRPr="00807CA3" w:rsidRDefault="00707109" w:rsidP="001A02CF">
      <w:pPr>
        <w:pStyle w:val="AuthorEmail"/>
      </w:pPr>
      <w:r w:rsidRPr="00807CA3">
        <w:rPr>
          <w:vertAlign w:val="superscript"/>
        </w:rPr>
        <w:t>e</w:t>
      </w:r>
      <w:r w:rsidR="00D455B2" w:rsidRPr="00807CA3">
        <w:rPr>
          <w:szCs w:val="28"/>
          <w:vertAlign w:val="superscript"/>
        </w:rPr>
        <w:t>)</w:t>
      </w:r>
      <w:r w:rsidR="00D455B2" w:rsidRPr="00807CA3">
        <w:t xml:space="preserve"> </w:t>
      </w:r>
      <w:r w:rsidR="001A02CF" w:rsidRPr="00807CA3">
        <w:t xml:space="preserve">rizkysyuhada216@gmail.com </w:t>
      </w:r>
    </w:p>
    <w:p w14:paraId="771D7E1D" w14:textId="128FBC20" w:rsidR="00D455B2" w:rsidRPr="00A260BB" w:rsidRDefault="00707109" w:rsidP="001A02CF">
      <w:pPr>
        <w:pStyle w:val="AuthorEmail"/>
      </w:pPr>
      <w:r w:rsidRPr="00807CA3">
        <w:rPr>
          <w:szCs w:val="28"/>
          <w:vertAlign w:val="superscript"/>
        </w:rPr>
        <w:t>f</w:t>
      </w:r>
      <w:r w:rsidR="00D455B2" w:rsidRPr="00807CA3">
        <w:rPr>
          <w:szCs w:val="28"/>
          <w:vertAlign w:val="superscript"/>
        </w:rPr>
        <w:t>)</w:t>
      </w:r>
      <w:r w:rsidR="00D455B2" w:rsidRPr="00807CA3">
        <w:t xml:space="preserve"> </w:t>
      </w:r>
      <w:hyperlink r:id="rId14" w:history="1">
        <w:r w:rsidRPr="00807CA3">
          <w:rPr>
            <w:rStyle w:val="Hyperlink"/>
            <w:color w:val="auto"/>
            <w:u w:val="none"/>
          </w:rPr>
          <w:t>arsyad.subrata@te.uad.ac.id</w:t>
        </w:r>
      </w:hyperlink>
    </w:p>
    <w:p w14:paraId="2892852A" w14:textId="77777777" w:rsidR="00D455B2" w:rsidRPr="00A260BB" w:rsidRDefault="00D455B2" w:rsidP="00D455B2">
      <w:pPr>
        <w:pStyle w:val="AuthorAffiliation"/>
        <w:ind w:left="360"/>
        <w:rPr>
          <w:rStyle w:val="Hyperlink"/>
        </w:rPr>
      </w:pPr>
    </w:p>
    <w:p w14:paraId="029F699D" w14:textId="77777777" w:rsidR="00D455B2" w:rsidRPr="00A260BB" w:rsidRDefault="00D455B2">
      <w:pPr>
        <w:pStyle w:val="AuthorEmail"/>
        <w:rPr>
          <w:highlight w:val="yellow"/>
        </w:rPr>
      </w:pPr>
    </w:p>
    <w:p w14:paraId="5E05E235" w14:textId="1AA8CE4E" w:rsidR="003A5C85" w:rsidRPr="00A260BB" w:rsidRDefault="003A5C85">
      <w:pPr>
        <w:pStyle w:val="AuthorEmail"/>
      </w:pPr>
    </w:p>
    <w:p w14:paraId="182EEEA3" w14:textId="2DD8B45C" w:rsidR="00B82B10" w:rsidRPr="00A260BB" w:rsidRDefault="0016385D" w:rsidP="003339C9">
      <w:pPr>
        <w:pStyle w:val="Abstract"/>
      </w:pPr>
      <w:r w:rsidRPr="00A260BB">
        <w:rPr>
          <w:b/>
          <w:bCs/>
        </w:rPr>
        <w:t>Abstract.</w:t>
      </w:r>
      <w:r w:rsidRPr="00A260BB">
        <w:t xml:space="preserve"> </w:t>
      </w:r>
      <w:r w:rsidR="00B82B10" w:rsidRPr="00A260BB">
        <w:t>Heat-activated acrylic denture base</w:t>
      </w:r>
      <w:r w:rsidR="00BC07E4">
        <w:t>s (HAADBs) are</w:t>
      </w:r>
      <w:r w:rsidR="00B82B10" w:rsidRPr="00A260BB">
        <w:t xml:space="preserve"> still commonly used in Indonesia. However, this material has several drawbacks, such as porosity and water sorption. Insufficient pressure during packing could lead to porosity. The fabrication method related to pressure during packing shows a relation between porosity and water sorption. This study reports the relation between pressure during packing and material water sorption. As a result, there </w:t>
      </w:r>
      <w:r w:rsidR="003339C9">
        <w:t>wa</w:t>
      </w:r>
      <w:r w:rsidR="003339C9" w:rsidRPr="00A260BB">
        <w:t xml:space="preserve">s </w:t>
      </w:r>
      <w:r w:rsidR="00B82B10" w:rsidRPr="00A260BB">
        <w:t xml:space="preserve">no significant difference between the </w:t>
      </w:r>
      <w:r w:rsidR="00045083" w:rsidRPr="00A260BB">
        <w:t>higher-pressure</w:t>
      </w:r>
      <w:r w:rsidR="00B82B10" w:rsidRPr="00A260BB">
        <w:t xml:space="preserve"> method and the other </w:t>
      </w:r>
      <w:r w:rsidR="00BC07E4" w:rsidRPr="00A260BB">
        <w:t>lower</w:t>
      </w:r>
      <w:r w:rsidR="00BC07E4">
        <w:t>-</w:t>
      </w:r>
      <w:r w:rsidR="00B82B10" w:rsidRPr="00A260BB">
        <w:t xml:space="preserve">pressure method. </w:t>
      </w:r>
      <w:r w:rsidR="00120913">
        <w:t>Meanwhile</w:t>
      </w:r>
      <w:r w:rsidR="00B82B10" w:rsidRPr="00A260BB">
        <w:t xml:space="preserve">, the higher-pressure method </w:t>
      </w:r>
      <w:r w:rsidR="00120913">
        <w:t xml:space="preserve">exhibited </w:t>
      </w:r>
      <w:r w:rsidR="00B82B10" w:rsidRPr="00A260BB">
        <w:t>lower water sorption, probably due to an indirect relationship between lower porosity and water sorption.</w:t>
      </w:r>
    </w:p>
    <w:p w14:paraId="22C3F2A8" w14:textId="1A57F6DE" w:rsidR="0016385D" w:rsidRPr="00A260BB" w:rsidRDefault="00B82B10" w:rsidP="00B82B10">
      <w:pPr>
        <w:pStyle w:val="Abstract"/>
      </w:pPr>
      <w:r w:rsidRPr="00EC15E9">
        <w:t>Keywords:</w:t>
      </w:r>
      <w:r w:rsidR="001B7DA2" w:rsidRPr="00A260BB">
        <w:t xml:space="preserve"> Acrylic resin, Denture, Pressure, Water</w:t>
      </w:r>
      <w:r w:rsidR="00925D0A" w:rsidRPr="00A260BB">
        <w:t xml:space="preserve"> </w:t>
      </w:r>
      <w:r w:rsidR="001B7DA2" w:rsidRPr="00A260BB">
        <w:t>sorption</w:t>
      </w:r>
    </w:p>
    <w:p w14:paraId="5240E3FB" w14:textId="677B60B4" w:rsidR="003A287B" w:rsidRPr="00A260BB" w:rsidRDefault="005D4B95" w:rsidP="00003D7C">
      <w:pPr>
        <w:pStyle w:val="Heading1"/>
        <w:rPr>
          <w:b w:val="0"/>
          <w:caps w:val="0"/>
          <w:sz w:val="20"/>
        </w:rPr>
      </w:pPr>
      <w:r w:rsidRPr="00A260BB">
        <w:t>introduction</w:t>
      </w:r>
    </w:p>
    <w:p w14:paraId="6CABC399" w14:textId="6D8BF6ED" w:rsidR="005D4B95" w:rsidRPr="00A260BB" w:rsidRDefault="005D4B95" w:rsidP="005D4B95">
      <w:pPr>
        <w:pStyle w:val="Paragraph"/>
      </w:pPr>
      <w:r w:rsidRPr="00A260BB">
        <w:t>Acrylic denture base has been utilized for denture fabrication for more than 85 years [1]. The utilization of heat-activated acrylic denture base (HAADB) as a material for denture fabrication remains prevalent in Indonesia [2]. HAADB, as a denture base material, presents multiple drawbacks, including porosity, water absorption, and solubility [3]. Pressures are related to the fabrication of dentures using HAADB during resin packing, and pressure is applied to insert resin into the mold as precisely as possible. The related pressure techniques</w:t>
      </w:r>
      <w:r w:rsidR="00661F42">
        <w:t xml:space="preserve"> include</w:t>
      </w:r>
      <w:r w:rsidRPr="00A260BB">
        <w:t xml:space="preserve"> compression molding and injection molding [4].</w:t>
      </w:r>
    </w:p>
    <w:p w14:paraId="7883AA9D" w14:textId="30D26BB5" w:rsidR="005D4B95" w:rsidRPr="00A260BB" w:rsidRDefault="005D4B95" w:rsidP="005D4B95">
      <w:pPr>
        <w:pStyle w:val="Paragraph"/>
      </w:pPr>
      <w:r w:rsidRPr="00A260BB">
        <w:t xml:space="preserve">Porosity arises from the vaporization of unreacted monomers and low-molecular-weight polymers when the resin temperature hits or exceeds the boiling temperatures of these substances [1]. Porosity is associated with the processing of HAADB, necessitating appropriate trial pressure during packing to eliminate porosity [5]. Insufficient </w:t>
      </w:r>
      <w:r w:rsidRPr="00A260BB">
        <w:lastRenderedPageBreak/>
        <w:t xml:space="preserve">pressure during polymerization may result in porosity within the mold. The extensive presence of these voids can render the resultant resin significantly lighter and </w:t>
      </w:r>
      <w:proofErr w:type="gramStart"/>
      <w:r w:rsidR="004069A0">
        <w:t>more opaque</w:t>
      </w:r>
      <w:proofErr w:type="gramEnd"/>
      <w:r w:rsidR="004069A0">
        <w:t xml:space="preserve"> </w:t>
      </w:r>
      <w:r w:rsidRPr="00A260BB">
        <w:t xml:space="preserve">than its desired </w:t>
      </w:r>
      <w:r w:rsidR="00045083" w:rsidRPr="00A260BB">
        <w:t>color</w:t>
      </w:r>
      <w:r w:rsidRPr="00A260BB">
        <w:t xml:space="preserve"> [1].</w:t>
      </w:r>
    </w:p>
    <w:p w14:paraId="6E353BD3" w14:textId="68C8E86D" w:rsidR="005D4B95" w:rsidRPr="00A260BB" w:rsidRDefault="005D4B95" w:rsidP="005D4B95">
      <w:pPr>
        <w:pStyle w:val="Paragraph"/>
      </w:pPr>
      <w:r w:rsidRPr="00A260BB">
        <w:t xml:space="preserve">The water sorption of HAADB mostly results from the polar characteristics of resin macromolecules via a diffusion mechanism [1,6]. Water absorption can disrupt the adhesion of the polymer, </w:t>
      </w:r>
      <w:r w:rsidR="001C4480">
        <w:t>leading to dimensional changes in</w:t>
      </w:r>
      <w:r w:rsidRPr="00A260BB">
        <w:t xml:space="preserve"> the denture base. Water absorption may marginally enlarge the polymerized mass; nevertheless, it could also function as a plasticizer [1,7]. Moreover, expansion due to water sorption m</w:t>
      </w:r>
      <w:r w:rsidR="001C4480">
        <w:t xml:space="preserve">ay influence the dimensional stability of acrylic resins and the functionality of dentures within the oral cavity </w:t>
      </w:r>
      <w:r w:rsidRPr="00A260BB">
        <w:t xml:space="preserve">[7,8]. </w:t>
      </w:r>
    </w:p>
    <w:p w14:paraId="1DCC8354" w14:textId="486D9B7F" w:rsidR="002941DA" w:rsidRPr="00A260BB" w:rsidRDefault="005D4B95" w:rsidP="005D4B95">
      <w:pPr>
        <w:pStyle w:val="Paragraph"/>
      </w:pPr>
      <w:r w:rsidRPr="00A260BB">
        <w:t xml:space="preserve">The fabrication method related to the pressure during processing of HAADB </w:t>
      </w:r>
      <w:r w:rsidR="001C4480">
        <w:t>may be linked</w:t>
      </w:r>
      <w:r w:rsidRPr="00A260BB">
        <w:t xml:space="preserve"> to water sorption [7,8]. However, the relationship between pressure during </w:t>
      </w:r>
      <w:r w:rsidR="004D64CB">
        <w:t>HAADB packing</w:t>
      </w:r>
      <w:r w:rsidRPr="00A260BB">
        <w:t xml:space="preserve"> and water sorption </w:t>
      </w:r>
      <w:r w:rsidR="001C4480">
        <w:t>remains unclear</w:t>
      </w:r>
      <w:r w:rsidRPr="00A260BB">
        <w:t xml:space="preserve">. This </w:t>
      </w:r>
      <w:r w:rsidR="0048700D" w:rsidRPr="00A260BB">
        <w:t>research</w:t>
      </w:r>
      <w:r w:rsidR="0048700D">
        <w:t xml:space="preserve">, therefore, </w:t>
      </w:r>
      <w:r w:rsidRPr="00A260BB">
        <w:t xml:space="preserve">aims to find the relationship between pressure during the packing of HAADB and </w:t>
      </w:r>
      <w:r w:rsidR="00F14655" w:rsidRPr="00A260BB">
        <w:t>water</w:t>
      </w:r>
      <w:r w:rsidRPr="00A260BB">
        <w:t xml:space="preserve"> sorption.</w:t>
      </w:r>
    </w:p>
    <w:p w14:paraId="49D6FBD1" w14:textId="43EC6AE8" w:rsidR="00725861" w:rsidRPr="00A260BB" w:rsidRDefault="005D4B95" w:rsidP="00725861">
      <w:pPr>
        <w:pStyle w:val="Heading2"/>
      </w:pPr>
      <w:r w:rsidRPr="00A260BB">
        <w:t>METHODOLOGY</w:t>
      </w:r>
    </w:p>
    <w:p w14:paraId="112F62F2" w14:textId="6D4D2964" w:rsidR="00B93D85" w:rsidRPr="00A260BB" w:rsidRDefault="005D4B95" w:rsidP="00060D0A">
      <w:pPr>
        <w:pStyle w:val="Paragraph"/>
      </w:pPr>
      <w:r w:rsidRPr="00A260BB">
        <w:t>For water sorption analysis, specimens (n</w:t>
      </w:r>
      <w:r w:rsidR="007E7A2F">
        <w:t xml:space="preserve"> = 8) were prepared using the pressure method, with dimensions of 50 x 4 x 2 ± </w:t>
      </w:r>
      <w:r w:rsidRPr="00A260BB">
        <w:t xml:space="preserve">0.1 mm [9]. Laboratory wax with an extra 5 mm over the dimensions was molded using laboratory silicone and embedded into the </w:t>
      </w:r>
      <w:r w:rsidR="00045083" w:rsidRPr="00A260BB">
        <w:t>gaps</w:t>
      </w:r>
      <w:r w:rsidRPr="00A260BB">
        <w:t xml:space="preserve"> inside the metal flask. After boiling out, the HADDB plate (Basis, </w:t>
      </w:r>
      <w:proofErr w:type="spellStart"/>
      <w:r w:rsidRPr="00A260BB">
        <w:t>Yamahachi</w:t>
      </w:r>
      <w:proofErr w:type="spellEnd"/>
      <w:r w:rsidRPr="00A260BB">
        <w:t xml:space="preserve"> Dental MFG. Co.) was ma</w:t>
      </w:r>
      <w:r w:rsidR="007E7A2F">
        <w:t>nufactured according to the manufacturer's specifications</w:t>
      </w:r>
      <w:r w:rsidRPr="00A260BB">
        <w:t>. The powder</w:t>
      </w:r>
      <w:r w:rsidR="007E7A2F">
        <w:t xml:space="preserve">-to-liquid mixing ratio was 100 g to </w:t>
      </w:r>
      <w:r w:rsidRPr="00A260BB">
        <w:t xml:space="preserve">43 </w:t>
      </w:r>
      <w:proofErr w:type="spellStart"/>
      <w:r w:rsidRPr="00A260BB">
        <w:t>mL.</w:t>
      </w:r>
      <w:proofErr w:type="spellEnd"/>
      <w:r w:rsidRPr="00A260BB">
        <w:t xml:space="preserve"> The pressure methods during packing are described as follows:</w:t>
      </w:r>
    </w:p>
    <w:p w14:paraId="3F2C0EF6" w14:textId="4C90DED6" w:rsidR="005D4B95" w:rsidRPr="00060D0A" w:rsidRDefault="00B93D85" w:rsidP="00060D0A">
      <w:pPr>
        <w:pStyle w:val="Paragraph"/>
        <w:spacing w:before="120" w:after="200"/>
        <w:ind w:firstLine="288"/>
        <w:jc w:val="center"/>
        <w:rPr>
          <w:sz w:val="18"/>
          <w:szCs w:val="18"/>
        </w:rPr>
      </w:pPr>
      <w:r w:rsidRPr="00060D0A">
        <w:rPr>
          <w:b/>
          <w:sz w:val="18"/>
          <w:szCs w:val="18"/>
        </w:rPr>
        <w:t xml:space="preserve">TABLE 1. </w:t>
      </w:r>
      <w:r w:rsidRPr="00060D0A">
        <w:rPr>
          <w:sz w:val="18"/>
          <w:szCs w:val="18"/>
        </w:rPr>
        <w:t>Pressure methods of HAADB during packing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699"/>
        <w:gridCol w:w="1981"/>
        <w:gridCol w:w="1841"/>
      </w:tblGrid>
      <w:tr w:rsidR="005D4B95" w:rsidRPr="00060D0A" w14:paraId="2554E7B1" w14:textId="77777777" w:rsidTr="005D4B95">
        <w:trPr>
          <w:jc w:val="center"/>
        </w:trPr>
        <w:tc>
          <w:tcPr>
            <w:tcW w:w="1840" w:type="dxa"/>
            <w:tcBorders>
              <w:top w:val="single" w:sz="4" w:space="0" w:color="auto"/>
              <w:bottom w:val="single" w:sz="4" w:space="0" w:color="auto"/>
            </w:tcBorders>
          </w:tcPr>
          <w:p w14:paraId="38DD1D2B" w14:textId="77777777" w:rsidR="005D4B95" w:rsidRPr="00060D0A" w:rsidRDefault="005D4B95" w:rsidP="0047610D">
            <w:pPr>
              <w:pStyle w:val="Paragraph"/>
              <w:ind w:firstLine="0"/>
              <w:rPr>
                <w:b/>
                <w:bCs/>
                <w:sz w:val="18"/>
                <w:szCs w:val="18"/>
              </w:rPr>
            </w:pPr>
            <w:r w:rsidRPr="00060D0A">
              <w:rPr>
                <w:b/>
                <w:bCs/>
                <w:sz w:val="18"/>
                <w:szCs w:val="18"/>
              </w:rPr>
              <w:t>Pressure method</w:t>
            </w:r>
          </w:p>
        </w:tc>
        <w:tc>
          <w:tcPr>
            <w:tcW w:w="1699" w:type="dxa"/>
            <w:tcBorders>
              <w:top w:val="single" w:sz="4" w:space="0" w:color="auto"/>
              <w:bottom w:val="single" w:sz="4" w:space="0" w:color="auto"/>
            </w:tcBorders>
          </w:tcPr>
          <w:p w14:paraId="15B4D463" w14:textId="77777777" w:rsidR="005D4B95" w:rsidRPr="00060D0A" w:rsidRDefault="005D4B95" w:rsidP="0047610D">
            <w:pPr>
              <w:pStyle w:val="Paragraph"/>
              <w:ind w:firstLine="0"/>
              <w:jc w:val="center"/>
              <w:rPr>
                <w:b/>
                <w:bCs/>
                <w:sz w:val="18"/>
                <w:szCs w:val="18"/>
              </w:rPr>
            </w:pPr>
            <w:r w:rsidRPr="00060D0A">
              <w:rPr>
                <w:b/>
                <w:bCs/>
                <w:sz w:val="18"/>
                <w:szCs w:val="18"/>
              </w:rPr>
              <w:t>First trial pressure</w:t>
            </w:r>
          </w:p>
          <w:p w14:paraId="5544A4AB" w14:textId="77777777" w:rsidR="005D4B95" w:rsidRPr="00060D0A" w:rsidRDefault="005D4B95" w:rsidP="0047610D">
            <w:pPr>
              <w:pStyle w:val="Paragraph"/>
              <w:ind w:firstLine="0"/>
              <w:jc w:val="center"/>
              <w:rPr>
                <w:b/>
                <w:bCs/>
                <w:sz w:val="18"/>
                <w:szCs w:val="18"/>
              </w:rPr>
            </w:pPr>
            <w:r w:rsidRPr="00060D0A">
              <w:rPr>
                <w:b/>
                <w:bCs/>
                <w:sz w:val="18"/>
                <w:szCs w:val="18"/>
              </w:rPr>
              <w:t>(kg/cm</w:t>
            </w:r>
            <w:r w:rsidRPr="00060D0A">
              <w:rPr>
                <w:b/>
                <w:bCs/>
                <w:sz w:val="18"/>
                <w:szCs w:val="18"/>
                <w:vertAlign w:val="superscript"/>
              </w:rPr>
              <w:t>2</w:t>
            </w:r>
            <w:r w:rsidRPr="00060D0A">
              <w:rPr>
                <w:b/>
                <w:bCs/>
                <w:sz w:val="18"/>
                <w:szCs w:val="18"/>
              </w:rPr>
              <w:t>)</w:t>
            </w:r>
          </w:p>
        </w:tc>
        <w:tc>
          <w:tcPr>
            <w:tcW w:w="1981" w:type="dxa"/>
            <w:tcBorders>
              <w:top w:val="single" w:sz="4" w:space="0" w:color="auto"/>
              <w:bottom w:val="single" w:sz="4" w:space="0" w:color="auto"/>
            </w:tcBorders>
          </w:tcPr>
          <w:p w14:paraId="456E11A2" w14:textId="77777777" w:rsidR="005D4B95" w:rsidRPr="00060D0A" w:rsidRDefault="005D4B95" w:rsidP="0047610D">
            <w:pPr>
              <w:pStyle w:val="Paragraph"/>
              <w:ind w:firstLine="0"/>
              <w:jc w:val="center"/>
              <w:rPr>
                <w:b/>
                <w:bCs/>
                <w:sz w:val="18"/>
                <w:szCs w:val="18"/>
              </w:rPr>
            </w:pPr>
            <w:r w:rsidRPr="00060D0A">
              <w:rPr>
                <w:b/>
                <w:bCs/>
                <w:sz w:val="18"/>
                <w:szCs w:val="18"/>
              </w:rPr>
              <w:t>Second trial pressure</w:t>
            </w:r>
          </w:p>
          <w:p w14:paraId="2AA741B4" w14:textId="77777777" w:rsidR="005D4B95" w:rsidRPr="00060D0A" w:rsidRDefault="005D4B95" w:rsidP="0047610D">
            <w:pPr>
              <w:pStyle w:val="Paragraph"/>
              <w:ind w:firstLine="0"/>
              <w:jc w:val="center"/>
              <w:rPr>
                <w:b/>
                <w:bCs/>
                <w:sz w:val="18"/>
                <w:szCs w:val="18"/>
              </w:rPr>
            </w:pPr>
            <w:r w:rsidRPr="00060D0A">
              <w:rPr>
                <w:b/>
                <w:bCs/>
                <w:sz w:val="18"/>
                <w:szCs w:val="18"/>
              </w:rPr>
              <w:t>(kg/cm</w:t>
            </w:r>
            <w:r w:rsidRPr="00060D0A">
              <w:rPr>
                <w:b/>
                <w:bCs/>
                <w:sz w:val="18"/>
                <w:szCs w:val="18"/>
                <w:vertAlign w:val="superscript"/>
              </w:rPr>
              <w:t>2</w:t>
            </w:r>
            <w:r w:rsidRPr="00060D0A">
              <w:rPr>
                <w:b/>
                <w:bCs/>
                <w:sz w:val="18"/>
                <w:szCs w:val="18"/>
              </w:rPr>
              <w:t>)</w:t>
            </w:r>
          </w:p>
        </w:tc>
        <w:tc>
          <w:tcPr>
            <w:tcW w:w="1841" w:type="dxa"/>
            <w:tcBorders>
              <w:top w:val="single" w:sz="4" w:space="0" w:color="auto"/>
              <w:bottom w:val="single" w:sz="4" w:space="0" w:color="auto"/>
            </w:tcBorders>
          </w:tcPr>
          <w:p w14:paraId="6D9065AA" w14:textId="77777777" w:rsidR="005D4B95" w:rsidRPr="00060D0A" w:rsidRDefault="005D4B95" w:rsidP="0047610D">
            <w:pPr>
              <w:pStyle w:val="Paragraph"/>
              <w:ind w:firstLine="0"/>
              <w:jc w:val="center"/>
              <w:rPr>
                <w:b/>
                <w:bCs/>
                <w:sz w:val="18"/>
                <w:szCs w:val="18"/>
              </w:rPr>
            </w:pPr>
            <w:r w:rsidRPr="00060D0A">
              <w:rPr>
                <w:b/>
                <w:bCs/>
                <w:sz w:val="18"/>
                <w:szCs w:val="18"/>
              </w:rPr>
              <w:t>Final pressure</w:t>
            </w:r>
          </w:p>
          <w:p w14:paraId="57990B57" w14:textId="77777777" w:rsidR="005D4B95" w:rsidRPr="00060D0A" w:rsidRDefault="005D4B95" w:rsidP="0047610D">
            <w:pPr>
              <w:pStyle w:val="Paragraph"/>
              <w:ind w:firstLine="0"/>
              <w:jc w:val="center"/>
              <w:rPr>
                <w:b/>
                <w:bCs/>
                <w:sz w:val="18"/>
                <w:szCs w:val="18"/>
              </w:rPr>
            </w:pPr>
            <w:r w:rsidRPr="00060D0A">
              <w:rPr>
                <w:b/>
                <w:bCs/>
                <w:sz w:val="18"/>
                <w:szCs w:val="18"/>
              </w:rPr>
              <w:t>(kg/cm</w:t>
            </w:r>
            <w:r w:rsidRPr="00060D0A">
              <w:rPr>
                <w:b/>
                <w:bCs/>
                <w:sz w:val="18"/>
                <w:szCs w:val="18"/>
                <w:vertAlign w:val="superscript"/>
              </w:rPr>
              <w:t>2</w:t>
            </w:r>
            <w:r w:rsidRPr="00060D0A">
              <w:rPr>
                <w:b/>
                <w:bCs/>
                <w:sz w:val="18"/>
                <w:szCs w:val="18"/>
              </w:rPr>
              <w:t>)</w:t>
            </w:r>
          </w:p>
        </w:tc>
      </w:tr>
      <w:tr w:rsidR="005D4B95" w:rsidRPr="00060D0A" w14:paraId="6AAF9BFE" w14:textId="77777777" w:rsidTr="005D4B95">
        <w:trPr>
          <w:jc w:val="center"/>
        </w:trPr>
        <w:tc>
          <w:tcPr>
            <w:tcW w:w="1840" w:type="dxa"/>
            <w:tcBorders>
              <w:top w:val="single" w:sz="4" w:space="0" w:color="auto"/>
            </w:tcBorders>
          </w:tcPr>
          <w:p w14:paraId="45493808" w14:textId="77777777" w:rsidR="005D4B95" w:rsidRPr="00060D0A" w:rsidRDefault="005D4B95" w:rsidP="0047610D">
            <w:pPr>
              <w:pStyle w:val="Paragraph"/>
              <w:ind w:firstLine="0"/>
            </w:pPr>
            <w:r w:rsidRPr="00060D0A">
              <w:t>Hand press</w:t>
            </w:r>
          </w:p>
        </w:tc>
        <w:tc>
          <w:tcPr>
            <w:tcW w:w="1699" w:type="dxa"/>
            <w:tcBorders>
              <w:top w:val="single" w:sz="4" w:space="0" w:color="auto"/>
            </w:tcBorders>
          </w:tcPr>
          <w:p w14:paraId="24F776BB" w14:textId="77777777" w:rsidR="005D4B95" w:rsidRPr="00060D0A" w:rsidRDefault="005D4B95" w:rsidP="0047610D">
            <w:pPr>
              <w:pStyle w:val="Paragraph"/>
              <w:ind w:firstLine="0"/>
              <w:jc w:val="center"/>
            </w:pPr>
            <w:r w:rsidRPr="00060D0A">
              <w:t>Hand pressure</w:t>
            </w:r>
          </w:p>
        </w:tc>
        <w:tc>
          <w:tcPr>
            <w:tcW w:w="1981" w:type="dxa"/>
            <w:tcBorders>
              <w:top w:val="single" w:sz="4" w:space="0" w:color="auto"/>
            </w:tcBorders>
          </w:tcPr>
          <w:p w14:paraId="4492A605" w14:textId="77777777" w:rsidR="005D4B95" w:rsidRPr="00060D0A" w:rsidRDefault="005D4B95" w:rsidP="0047610D">
            <w:pPr>
              <w:pStyle w:val="Paragraph"/>
              <w:ind w:firstLine="0"/>
              <w:jc w:val="center"/>
            </w:pPr>
            <w:r w:rsidRPr="00060D0A">
              <w:t>Hand pressure</w:t>
            </w:r>
          </w:p>
        </w:tc>
        <w:tc>
          <w:tcPr>
            <w:tcW w:w="1841" w:type="dxa"/>
            <w:tcBorders>
              <w:top w:val="single" w:sz="4" w:space="0" w:color="auto"/>
            </w:tcBorders>
          </w:tcPr>
          <w:p w14:paraId="48F7EF99" w14:textId="77777777" w:rsidR="005D4B95" w:rsidRPr="00060D0A" w:rsidRDefault="005D4B95" w:rsidP="0047610D">
            <w:pPr>
              <w:pStyle w:val="Paragraph"/>
              <w:ind w:firstLine="0"/>
              <w:jc w:val="center"/>
            </w:pPr>
            <w:r w:rsidRPr="00060D0A">
              <w:t>Hand pressure</w:t>
            </w:r>
          </w:p>
        </w:tc>
      </w:tr>
      <w:tr w:rsidR="005D4B95" w:rsidRPr="00060D0A" w14:paraId="45AD8BCE" w14:textId="77777777" w:rsidTr="005D4B95">
        <w:trPr>
          <w:jc w:val="center"/>
        </w:trPr>
        <w:tc>
          <w:tcPr>
            <w:tcW w:w="1840" w:type="dxa"/>
          </w:tcPr>
          <w:p w14:paraId="6E005030" w14:textId="77777777" w:rsidR="005D4B95" w:rsidRPr="00060D0A" w:rsidRDefault="005D4B95" w:rsidP="0047610D">
            <w:pPr>
              <w:pStyle w:val="Paragraph"/>
              <w:ind w:firstLine="0"/>
            </w:pPr>
            <w:r w:rsidRPr="00060D0A">
              <w:t>Hydraulic press 1</w:t>
            </w:r>
          </w:p>
        </w:tc>
        <w:tc>
          <w:tcPr>
            <w:tcW w:w="1699" w:type="dxa"/>
          </w:tcPr>
          <w:p w14:paraId="1D113761" w14:textId="77777777" w:rsidR="005D4B95" w:rsidRPr="00060D0A" w:rsidRDefault="005D4B95" w:rsidP="0047610D">
            <w:pPr>
              <w:pStyle w:val="Paragraph"/>
              <w:ind w:firstLine="0"/>
              <w:jc w:val="center"/>
            </w:pPr>
            <w:r w:rsidRPr="00060D0A">
              <w:t>80</w:t>
            </w:r>
          </w:p>
        </w:tc>
        <w:tc>
          <w:tcPr>
            <w:tcW w:w="1981" w:type="dxa"/>
          </w:tcPr>
          <w:p w14:paraId="3886341E" w14:textId="77777777" w:rsidR="005D4B95" w:rsidRPr="00060D0A" w:rsidRDefault="005D4B95" w:rsidP="0047610D">
            <w:pPr>
              <w:pStyle w:val="Paragraph"/>
              <w:ind w:firstLine="0"/>
              <w:jc w:val="center"/>
            </w:pPr>
            <w:r w:rsidRPr="00060D0A">
              <w:t>100</w:t>
            </w:r>
          </w:p>
        </w:tc>
        <w:tc>
          <w:tcPr>
            <w:tcW w:w="1841" w:type="dxa"/>
          </w:tcPr>
          <w:p w14:paraId="0F8A3F5D" w14:textId="77777777" w:rsidR="005D4B95" w:rsidRPr="00060D0A" w:rsidRDefault="005D4B95" w:rsidP="0047610D">
            <w:pPr>
              <w:pStyle w:val="Paragraph"/>
              <w:ind w:firstLine="0"/>
              <w:jc w:val="center"/>
            </w:pPr>
            <w:r w:rsidRPr="00060D0A">
              <w:t>120</w:t>
            </w:r>
          </w:p>
        </w:tc>
      </w:tr>
      <w:tr w:rsidR="005D4B95" w:rsidRPr="00A260BB" w14:paraId="7FB3E319" w14:textId="77777777" w:rsidTr="005D4B95">
        <w:trPr>
          <w:jc w:val="center"/>
        </w:trPr>
        <w:tc>
          <w:tcPr>
            <w:tcW w:w="1840" w:type="dxa"/>
          </w:tcPr>
          <w:p w14:paraId="2DD94071" w14:textId="77777777" w:rsidR="005D4B95" w:rsidRPr="00060D0A" w:rsidRDefault="005D4B95" w:rsidP="0047610D">
            <w:pPr>
              <w:pStyle w:val="Paragraph"/>
              <w:ind w:firstLine="0"/>
            </w:pPr>
            <w:r w:rsidRPr="00060D0A">
              <w:t>Hydraulic press 2</w:t>
            </w:r>
          </w:p>
        </w:tc>
        <w:tc>
          <w:tcPr>
            <w:tcW w:w="1699" w:type="dxa"/>
          </w:tcPr>
          <w:p w14:paraId="028A0A64" w14:textId="77777777" w:rsidR="005D4B95" w:rsidRPr="00060D0A" w:rsidRDefault="005D4B95" w:rsidP="0047610D">
            <w:pPr>
              <w:pStyle w:val="Paragraph"/>
              <w:ind w:firstLine="0"/>
              <w:jc w:val="center"/>
            </w:pPr>
            <w:r w:rsidRPr="00060D0A">
              <w:t>100</w:t>
            </w:r>
          </w:p>
        </w:tc>
        <w:tc>
          <w:tcPr>
            <w:tcW w:w="1981" w:type="dxa"/>
          </w:tcPr>
          <w:p w14:paraId="04BD61EB" w14:textId="77777777" w:rsidR="005D4B95" w:rsidRPr="00060D0A" w:rsidRDefault="005D4B95" w:rsidP="0047610D">
            <w:pPr>
              <w:pStyle w:val="Paragraph"/>
              <w:ind w:firstLine="0"/>
              <w:jc w:val="center"/>
            </w:pPr>
            <w:r w:rsidRPr="00060D0A">
              <w:t>150</w:t>
            </w:r>
          </w:p>
        </w:tc>
        <w:tc>
          <w:tcPr>
            <w:tcW w:w="1841" w:type="dxa"/>
          </w:tcPr>
          <w:p w14:paraId="706221B4" w14:textId="77777777" w:rsidR="005D4B95" w:rsidRPr="00060D0A" w:rsidRDefault="005D4B95" w:rsidP="0047610D">
            <w:pPr>
              <w:pStyle w:val="Paragraph"/>
              <w:ind w:firstLine="0"/>
              <w:jc w:val="center"/>
            </w:pPr>
            <w:r w:rsidRPr="00060D0A">
              <w:t>240</w:t>
            </w:r>
          </w:p>
        </w:tc>
      </w:tr>
    </w:tbl>
    <w:p w14:paraId="14595143" w14:textId="70380535" w:rsidR="005D4B95" w:rsidRPr="00A260BB" w:rsidRDefault="005D4B95" w:rsidP="005D4B95">
      <w:pPr>
        <w:pStyle w:val="Paragraph"/>
        <w:jc w:val="center"/>
      </w:pPr>
    </w:p>
    <w:p w14:paraId="55D601C0" w14:textId="5F065903" w:rsidR="005D4B95" w:rsidRPr="00A260BB" w:rsidRDefault="005D4B95" w:rsidP="005D4B95">
      <w:pPr>
        <w:pStyle w:val="Paragraph"/>
      </w:pPr>
      <w:r w:rsidRPr="00A260BB">
        <w:t xml:space="preserve">The hand press was </w:t>
      </w:r>
      <w:r w:rsidR="00D75A9C">
        <w:t>operated using a custom-made hand rotary press, and the hydraulic press was a similarly custom-made devic</w:t>
      </w:r>
      <w:r w:rsidRPr="00A260BB">
        <w:t xml:space="preserve">e that measured pressure using a pressure gauge. After the final pressure was </w:t>
      </w:r>
      <w:r w:rsidR="00D75A9C">
        <w:t>applied, the clamped flask was cured by immersing it in water and gradually applying heat for about 30 minutes,</w:t>
      </w:r>
      <w:r w:rsidRPr="00A260BB">
        <w:t xml:space="preserve"> until it boiled, then letting the resin cure for approximately</w:t>
      </w:r>
      <w:r w:rsidR="00FB45D4">
        <w:t xml:space="preserve"> </w:t>
      </w:r>
      <w:r w:rsidRPr="00A260BB">
        <w:t xml:space="preserve">30-40 minutes in boiling water. </w:t>
      </w:r>
      <w:r w:rsidR="00FB45D4">
        <w:t>T</w:t>
      </w:r>
      <w:r w:rsidRPr="00A260BB">
        <w:t xml:space="preserve">he flask </w:t>
      </w:r>
      <w:r w:rsidR="00FB45D4">
        <w:t>was c</w:t>
      </w:r>
      <w:r w:rsidR="00FB45D4" w:rsidRPr="00A260BB">
        <w:t>ool</w:t>
      </w:r>
      <w:r w:rsidR="00FB45D4">
        <w:t xml:space="preserve">ed </w:t>
      </w:r>
      <w:r w:rsidRPr="00A260BB">
        <w:t xml:space="preserve">naturally until the water temperature </w:t>
      </w:r>
      <w:r w:rsidR="004D64CB">
        <w:t>reached</w:t>
      </w:r>
      <w:r w:rsidRPr="00A260BB">
        <w:t xml:space="preserve"> room temperature.</w:t>
      </w:r>
    </w:p>
    <w:p w14:paraId="070FCAB6" w14:textId="2E75345F" w:rsidR="005D4B95" w:rsidRPr="00A260BB" w:rsidRDefault="005D4B95" w:rsidP="005D4B95">
      <w:pPr>
        <w:pStyle w:val="Paragraph"/>
      </w:pPr>
      <w:r w:rsidRPr="00A260BB">
        <w:t xml:space="preserve">The HAADB plates were finished using an Arkansas </w:t>
      </w:r>
      <w:r w:rsidR="00C74D73">
        <w:t>stone and a carbide bur, then polished with 320</w:t>
      </w:r>
      <w:r w:rsidR="00181722">
        <w:t>-</w:t>
      </w:r>
      <w:r w:rsidR="00C74D73">
        <w:t>grit sandpaper until the desired dimension was achieved</w:t>
      </w:r>
      <w:r w:rsidR="0035602F">
        <w:t>. The plates were</w:t>
      </w:r>
      <w:r w:rsidRPr="00A260BB">
        <w:t xml:space="preserve"> measured using a digital sliding caliper (</w:t>
      </w:r>
      <w:proofErr w:type="spellStart"/>
      <w:r w:rsidRPr="00A260BB">
        <w:t>Digimatic</w:t>
      </w:r>
      <w:proofErr w:type="spellEnd"/>
      <w:r w:rsidRPr="00A260BB">
        <w:t xml:space="preserve">, Mitutoyo Corp.). The plates were divided into groups, inserted into </w:t>
      </w:r>
      <w:r w:rsidR="00925D0A" w:rsidRPr="00A260BB">
        <w:t xml:space="preserve">a </w:t>
      </w:r>
      <w:r w:rsidRPr="00A260BB">
        <w:t>vacuum</w:t>
      </w:r>
      <w:r w:rsidR="008135C7">
        <w:t>-sealed plastic bag with desiccant, and weighed using an electronic balance (accuracy of 1 mg) (JM-B, Hanyu Co., Ltd.</w:t>
      </w:r>
      <w:r w:rsidRPr="00A260BB">
        <w:t xml:space="preserve">) until a stable weight was achieved. After that, the plates were immersed in distilled water (Waterone, </w:t>
      </w:r>
      <w:proofErr w:type="spellStart"/>
      <w:r w:rsidRPr="00A260BB">
        <w:t>Onemed</w:t>
      </w:r>
      <w:proofErr w:type="spellEnd"/>
      <w:r w:rsidRPr="00A260BB">
        <w:t xml:space="preserve">) for 30 days. Before weighing, the plates were dried </w:t>
      </w:r>
      <w:r w:rsidR="00257058">
        <w:t>with a paper towel until all moisture had</w:t>
      </w:r>
      <w:r w:rsidRPr="00A260BB">
        <w:t xml:space="preserve"> disappeared. The water sorption was calculated with the following formula [10]:</w:t>
      </w:r>
    </w:p>
    <w:p w14:paraId="03E0559A" w14:textId="77777777" w:rsidR="005D4B95" w:rsidRPr="00A260BB" w:rsidRDefault="005D4B95" w:rsidP="005D4B95">
      <w:pPr>
        <w:pStyle w:val="Paragraph"/>
      </w:pPr>
    </w:p>
    <w:p w14:paraId="5040B23C" w14:textId="77777777" w:rsidR="005D4B95" w:rsidRPr="00A260BB" w:rsidRDefault="005D4B95" w:rsidP="005D4B95">
      <w:pPr>
        <w:pStyle w:val="Paragraphfirst"/>
        <w:jc w:val="center"/>
        <w:rPr>
          <w:rFonts w:ascii="Times New Roman" w:hAnsi="Times New Roman" w:cs="Times New Roman"/>
          <w:color w:val="000000" w:themeColor="text1"/>
          <w:lang w:val="en-US"/>
        </w:rPr>
      </w:pPr>
      <m:oMath>
        <m:r>
          <w:rPr>
            <w:rFonts w:ascii="Cambria Math" w:hAnsi="Cambria Math" w:cs="Times New Roman"/>
            <w:color w:val="000000" w:themeColor="text1"/>
            <w:lang w:val="en-US"/>
          </w:rPr>
          <m:t xml:space="preserve">Water sorption </m:t>
        </m:r>
        <m:d>
          <m:dPr>
            <m:ctrlPr>
              <w:rPr>
                <w:rFonts w:ascii="Cambria Math" w:hAnsi="Cambria Math" w:cs="Times New Roman"/>
                <w:i/>
                <w:color w:val="000000" w:themeColor="text1"/>
                <w:lang w:val="en-US"/>
              </w:rPr>
            </m:ctrlPr>
          </m:dPr>
          <m:e>
            <m:f>
              <m:fPr>
                <m:ctrlPr>
                  <w:rPr>
                    <w:rFonts w:ascii="Cambria Math" w:hAnsi="Cambria Math" w:cs="Times New Roman"/>
                    <w:i/>
                    <w:color w:val="000000" w:themeColor="text1"/>
                    <w:lang w:val="en-US"/>
                  </w:rPr>
                </m:ctrlPr>
              </m:fPr>
              <m:num>
                <m:r>
                  <w:rPr>
                    <w:rFonts w:ascii="Cambria Math" w:hAnsi="Cambria Math" w:cs="Times New Roman"/>
                    <w:color w:val="000000" w:themeColor="text1"/>
                    <w:lang w:val="en-US"/>
                  </w:rPr>
                  <m:t>mg</m:t>
                </m:r>
              </m:num>
              <m:den>
                <m:sSup>
                  <m:sSupPr>
                    <m:ctrlPr>
                      <w:rPr>
                        <w:rFonts w:ascii="Cambria Math" w:hAnsi="Cambria Math" w:cs="Times New Roman"/>
                        <w:i/>
                        <w:color w:val="000000" w:themeColor="text1"/>
                        <w:lang w:val="en-US"/>
                      </w:rPr>
                    </m:ctrlPr>
                  </m:sSupPr>
                  <m:e>
                    <m:r>
                      <w:rPr>
                        <w:rFonts w:ascii="Cambria Math" w:hAnsi="Cambria Math" w:cs="Times New Roman"/>
                        <w:color w:val="000000" w:themeColor="text1"/>
                        <w:lang w:val="en-US"/>
                      </w:rPr>
                      <m:t>cm</m:t>
                    </m:r>
                  </m:e>
                  <m:sup>
                    <m:r>
                      <w:rPr>
                        <w:rFonts w:ascii="Cambria Math" w:hAnsi="Cambria Math" w:cs="Times New Roman"/>
                        <w:color w:val="000000" w:themeColor="text1"/>
                        <w:lang w:val="en-US"/>
                      </w:rPr>
                      <m:t>2</m:t>
                    </m:r>
                  </m:sup>
                </m:sSup>
              </m:den>
            </m:f>
          </m:e>
        </m:d>
        <m:r>
          <w:rPr>
            <w:rFonts w:ascii="Cambria Math" w:hAnsi="Cambria Math" w:cs="Times New Roman"/>
            <w:color w:val="000000" w:themeColor="text1"/>
            <w:lang w:val="en-US"/>
          </w:rPr>
          <m:t>=</m:t>
        </m:r>
        <m:r>
          <m:rPr>
            <m:sty m:val="p"/>
          </m:rPr>
          <w:rPr>
            <w:rFonts w:ascii="Cambria Math" w:hAnsi="Cambria Math" w:cs="Times New Roman"/>
            <w:color w:val="000000" w:themeColor="text1"/>
            <w:lang w:val="en-US"/>
          </w:rPr>
          <m:t xml:space="preserve"> </m:t>
        </m:r>
        <m:f>
          <m:fPr>
            <m:ctrlPr>
              <w:rPr>
                <w:rFonts w:ascii="Cambria Math" w:hAnsi="Cambria Math" w:cs="Times New Roman"/>
                <w:i/>
                <w:color w:val="000000" w:themeColor="text1"/>
                <w:lang w:val="en-US"/>
              </w:rPr>
            </m:ctrlPr>
          </m:fPr>
          <m:num>
            <m:r>
              <w:rPr>
                <w:rFonts w:ascii="Cambria Math" w:hAnsi="Cambria Math" w:cs="Times New Roman"/>
                <w:color w:val="000000" w:themeColor="text1"/>
                <w:lang w:val="en-US"/>
              </w:rPr>
              <m:t>Final weight-Initial weight (mg)</m:t>
            </m:r>
          </m:num>
          <m:den>
            <m:r>
              <w:rPr>
                <w:rFonts w:ascii="Cambria Math" w:hAnsi="Cambria Math" w:cs="Times New Roman"/>
                <w:color w:val="000000" w:themeColor="text1"/>
                <w:lang w:val="en-US"/>
              </w:rPr>
              <m:t>Superficial area (</m:t>
            </m:r>
            <m:sSup>
              <m:sSupPr>
                <m:ctrlPr>
                  <w:rPr>
                    <w:rFonts w:ascii="Cambria Math" w:hAnsi="Cambria Math" w:cs="Times New Roman"/>
                    <w:i/>
                    <w:color w:val="000000" w:themeColor="text1"/>
                    <w:lang w:val="en-US"/>
                  </w:rPr>
                </m:ctrlPr>
              </m:sSupPr>
              <m:e>
                <m:r>
                  <w:rPr>
                    <w:rFonts w:ascii="Cambria Math" w:hAnsi="Cambria Math" w:cs="Times New Roman"/>
                    <w:color w:val="000000" w:themeColor="text1"/>
                    <w:lang w:val="en-US"/>
                  </w:rPr>
                  <m:t>cm</m:t>
                </m:r>
              </m:e>
              <m:sup>
                <m:r>
                  <w:rPr>
                    <w:rFonts w:ascii="Cambria Math" w:hAnsi="Cambria Math" w:cs="Times New Roman"/>
                    <w:color w:val="000000" w:themeColor="text1"/>
                    <w:lang w:val="en-US"/>
                  </w:rPr>
                  <m:t>2</m:t>
                </m:r>
              </m:sup>
            </m:sSup>
            <m:r>
              <w:rPr>
                <w:rFonts w:ascii="Cambria Math" w:hAnsi="Cambria Math" w:cs="Times New Roman"/>
                <w:color w:val="000000" w:themeColor="text1"/>
                <w:lang w:val="en-US"/>
              </w:rPr>
              <m:t>)</m:t>
            </m:r>
          </m:den>
        </m:f>
      </m:oMath>
      <w:r w:rsidRPr="00A260BB">
        <w:rPr>
          <w:rFonts w:ascii="Times New Roman" w:hAnsi="Times New Roman" w:cs="Times New Roman"/>
          <w:color w:val="000000" w:themeColor="text1"/>
          <w:lang w:val="en-US"/>
        </w:rPr>
        <w:t xml:space="preserve">                 (1)</w:t>
      </w:r>
    </w:p>
    <w:p w14:paraId="4D880230" w14:textId="70725F1C" w:rsidR="005D4B95" w:rsidRPr="00A260BB" w:rsidRDefault="00725861" w:rsidP="005D4B95">
      <w:pPr>
        <w:pStyle w:val="Paragraph"/>
        <w:ind w:firstLine="0"/>
      </w:pPr>
      <w:r w:rsidRPr="00A260BB">
        <w:t xml:space="preserve"> </w:t>
      </w:r>
    </w:p>
    <w:p w14:paraId="26A9C346" w14:textId="15AA1C72" w:rsidR="005D4B95" w:rsidRPr="00A260BB" w:rsidRDefault="005D4B95" w:rsidP="00725861">
      <w:pPr>
        <w:pStyle w:val="Paragraph"/>
      </w:pPr>
      <w:r w:rsidRPr="00A260BB">
        <w:t>One-way ANOVA was used for statistical analysis</w:t>
      </w:r>
      <w:r w:rsidR="00880D94">
        <w:t>, utilizing the Statistical Package for the Social Sciences (SPSS) version 29,</w:t>
      </w:r>
      <w:r w:rsidRPr="00A260BB">
        <w:t xml:space="preserve"> to analyze the data. A probability value of less than 0.05 was considered statistically significant.</w:t>
      </w:r>
      <w:r w:rsidR="00725861" w:rsidRPr="00A260BB">
        <w:t xml:space="preserve"> </w:t>
      </w:r>
    </w:p>
    <w:p w14:paraId="4024EC21" w14:textId="66AF29E7" w:rsidR="00155B67" w:rsidRPr="00A260BB" w:rsidRDefault="005D4B95" w:rsidP="00274622">
      <w:pPr>
        <w:pStyle w:val="Heading2"/>
      </w:pPr>
      <w:r w:rsidRPr="00A260BB">
        <w:t>RESULTS AND DISCUSSION</w:t>
      </w:r>
    </w:p>
    <w:p w14:paraId="6088966D" w14:textId="5959B376" w:rsidR="005D4B95" w:rsidRPr="00A260BB" w:rsidRDefault="005D4B95" w:rsidP="005D4B95">
      <w:pPr>
        <w:pStyle w:val="Paragraph"/>
      </w:pPr>
      <w:r w:rsidRPr="00A260BB">
        <w:t>The HAADB plates</w:t>
      </w:r>
      <w:r w:rsidR="00880D94">
        <w:t>' weights after drying with desiccant are as follows: the hand press group with a mean of 433</w:t>
      </w:r>
      <w:r w:rsidR="004B69AD">
        <w:t>.</w:t>
      </w:r>
      <w:r w:rsidR="00880D94">
        <w:t>875±5</w:t>
      </w:r>
      <w:r w:rsidR="004B69AD">
        <w:t>.</w:t>
      </w:r>
      <w:r w:rsidR="00880D94">
        <w:t>396, the hydraulic press 1 group with a mean of 430.25±4</w:t>
      </w:r>
      <w:r w:rsidR="004B69AD">
        <w:t>.</w:t>
      </w:r>
      <w:r w:rsidR="00880D94">
        <w:t>300, and the hydraulic press 2 group with a mean of 436.625±</w:t>
      </w:r>
      <w:r w:rsidRPr="00A260BB">
        <w:t>6</w:t>
      </w:r>
      <w:r w:rsidR="004B69AD">
        <w:t>.</w:t>
      </w:r>
      <w:r w:rsidRPr="00A260BB">
        <w:t>120. The HAADB plates</w:t>
      </w:r>
      <w:r w:rsidR="0040100C">
        <w:t>' weights after soaking in distilled water for 30 days were the hand press group with a mean of 438± 5</w:t>
      </w:r>
      <w:r w:rsidR="00CC7E03">
        <w:t>.</w:t>
      </w:r>
      <w:r w:rsidR="0040100C">
        <w:t>510, the hydraulic press 1 group with a mean of 434± 4</w:t>
      </w:r>
      <w:r w:rsidR="00CC7E03">
        <w:t>.</w:t>
      </w:r>
      <w:r w:rsidR="0040100C">
        <w:t>3752, and the hydraulic press 2 group with a mean of 439.25± 6</w:t>
      </w:r>
      <w:r w:rsidR="00CC7E03">
        <w:t>.</w:t>
      </w:r>
      <w:r w:rsidR="0040100C">
        <w:t xml:space="preserve">4358 (Fig. </w:t>
      </w:r>
      <w:r w:rsidRPr="00A260BB">
        <w:t>1).</w:t>
      </w:r>
    </w:p>
    <w:p w14:paraId="1167F2ED" w14:textId="639A44A4" w:rsidR="005D4B95" w:rsidRPr="00A260BB" w:rsidRDefault="005D4B95" w:rsidP="005D4B95">
      <w:pPr>
        <w:pStyle w:val="Paragraph"/>
        <w:jc w:val="center"/>
      </w:pPr>
      <w:r w:rsidRPr="00A260BB">
        <w:rPr>
          <w:noProof/>
        </w:rPr>
        <w:lastRenderedPageBreak/>
        <w:drawing>
          <wp:inline distT="0" distB="0" distL="0" distR="0" wp14:anchorId="30483B7E" wp14:editId="5E1F2A89">
            <wp:extent cx="3606581" cy="2043289"/>
            <wp:effectExtent l="0" t="0" r="635" b="1905"/>
            <wp:docPr id="1624705178" name="Picture 1" descr="A graph of different sizes of pla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05178" name="Picture 1" descr="A graph of different sizes of plates&#10;&#10;Description automatically generated with medium confidence"/>
                    <pic:cNvPicPr/>
                  </pic:nvPicPr>
                  <pic:blipFill>
                    <a:blip r:embed="rId15"/>
                    <a:stretch>
                      <a:fillRect/>
                    </a:stretch>
                  </pic:blipFill>
                  <pic:spPr>
                    <a:xfrm>
                      <a:off x="0" y="0"/>
                      <a:ext cx="3621807" cy="2051915"/>
                    </a:xfrm>
                    <a:prstGeom prst="rect">
                      <a:avLst/>
                    </a:prstGeom>
                  </pic:spPr>
                </pic:pic>
              </a:graphicData>
            </a:graphic>
          </wp:inline>
        </w:drawing>
      </w:r>
    </w:p>
    <w:p w14:paraId="0D65A311" w14:textId="2CB90A7D" w:rsidR="005D4B95" w:rsidRPr="00A260BB" w:rsidRDefault="00B8065B" w:rsidP="005D4B95">
      <w:pPr>
        <w:pStyle w:val="Paragraph"/>
        <w:jc w:val="center"/>
        <w:rPr>
          <w:sz w:val="18"/>
          <w:szCs w:val="18"/>
        </w:rPr>
      </w:pPr>
      <w:r w:rsidRPr="00A260BB">
        <w:rPr>
          <w:b/>
          <w:bCs/>
          <w:sz w:val="18"/>
          <w:szCs w:val="18"/>
        </w:rPr>
        <w:t xml:space="preserve">FIGURE </w:t>
      </w:r>
      <w:r w:rsidR="005D4B95" w:rsidRPr="00A260BB">
        <w:rPr>
          <w:b/>
          <w:bCs/>
          <w:sz w:val="18"/>
          <w:szCs w:val="18"/>
        </w:rPr>
        <w:t xml:space="preserve">1. </w:t>
      </w:r>
      <w:r w:rsidR="005D4B95" w:rsidRPr="00A260BB">
        <w:rPr>
          <w:sz w:val="18"/>
          <w:szCs w:val="18"/>
        </w:rPr>
        <w:t xml:space="preserve">HAADB plates were weighed before (Day 0) and after immersion in distilled water (Day 30) (mg) (data presented </w:t>
      </w:r>
      <w:r w:rsidR="00183EDA" w:rsidRPr="00A260BB">
        <w:rPr>
          <w:sz w:val="18"/>
          <w:szCs w:val="18"/>
        </w:rPr>
        <w:t>as mean ± standard</w:t>
      </w:r>
      <w:r w:rsidR="005D4B95" w:rsidRPr="00A260BB">
        <w:rPr>
          <w:sz w:val="18"/>
          <w:szCs w:val="18"/>
        </w:rPr>
        <w:t xml:space="preserve"> error of mean) (n=8)</w:t>
      </w:r>
    </w:p>
    <w:p w14:paraId="7292CC86" w14:textId="0F2D7708" w:rsidR="005D4B95" w:rsidRPr="00A260BB" w:rsidRDefault="005D4B95" w:rsidP="005D4B95">
      <w:pPr>
        <w:pStyle w:val="Paragraph"/>
        <w:jc w:val="center"/>
        <w:rPr>
          <w:sz w:val="18"/>
          <w:szCs w:val="18"/>
        </w:rPr>
      </w:pPr>
    </w:p>
    <w:p w14:paraId="0590CA11" w14:textId="1A4E009C" w:rsidR="00183EDA" w:rsidRPr="00A260BB" w:rsidRDefault="00183EDA" w:rsidP="00183EDA">
      <w:pPr>
        <w:pStyle w:val="Paragraph"/>
        <w:spacing w:after="120"/>
        <w:ind w:firstLine="288"/>
      </w:pPr>
      <w:r w:rsidRPr="00A260BB">
        <w:t>The water sorption data shown in the hand press group were 0</w:t>
      </w:r>
      <w:r w:rsidR="00B02D36">
        <w:t>.6696 ± 0.1205, Hydraulic press 1: 0.6087 ± 0.0797, and Hydraulic press 2: 0.4261 ± 0.</w:t>
      </w:r>
      <w:r w:rsidRPr="00A260BB">
        <w:t>0917. The water sorption data w</w:t>
      </w:r>
      <w:r w:rsidR="001A02CF" w:rsidRPr="00A260BB">
        <w:t>ere</w:t>
      </w:r>
      <w:r w:rsidRPr="00A260BB">
        <w:t xml:space="preserve"> analy</w:t>
      </w:r>
      <w:r w:rsidR="001A02CF" w:rsidRPr="00A260BB">
        <w:t>z</w:t>
      </w:r>
      <w:r w:rsidRPr="00A260BB">
        <w:t>ed for normality (p-value &gt; 0.05) and homogeneity (p-value &gt; 0.05), show</w:t>
      </w:r>
      <w:r w:rsidR="00965DC2">
        <w:t xml:space="preserve">ing </w:t>
      </w:r>
      <w:r w:rsidRPr="00A260BB">
        <w:t>that the data w</w:t>
      </w:r>
      <w:r w:rsidR="001A02CF" w:rsidRPr="00A260BB">
        <w:t>ere</w:t>
      </w:r>
      <w:r w:rsidRPr="00A260BB">
        <w:t xml:space="preserve"> normal and homogeneous. The </w:t>
      </w:r>
      <w:r w:rsidR="00D21C80" w:rsidRPr="00A260BB">
        <w:t xml:space="preserve">One-Way </w:t>
      </w:r>
      <w:r w:rsidRPr="00A260BB">
        <w:t xml:space="preserve">ANOVA </w:t>
      </w:r>
      <w:r w:rsidR="00E80690">
        <w:t>revealed no significant difference among the groups, with a p-value of 0.217 (p</w:t>
      </w:r>
      <w:r w:rsidR="00400302">
        <w:t xml:space="preserve">&gt; 0.05) (Fig. </w:t>
      </w:r>
      <w:r w:rsidRPr="00A260BB">
        <w:t>2).</w:t>
      </w:r>
    </w:p>
    <w:p w14:paraId="4035031D" w14:textId="711592E4" w:rsidR="00183EDA" w:rsidRPr="00A260BB" w:rsidRDefault="00183EDA" w:rsidP="00183EDA">
      <w:pPr>
        <w:pStyle w:val="Paragraph"/>
        <w:jc w:val="center"/>
      </w:pPr>
      <w:r w:rsidRPr="00A260BB">
        <w:rPr>
          <w:noProof/>
        </w:rPr>
        <w:drawing>
          <wp:inline distT="0" distB="0" distL="0" distR="0" wp14:anchorId="63B11782" wp14:editId="1BDFB89C">
            <wp:extent cx="3522133" cy="2070214"/>
            <wp:effectExtent l="0" t="0" r="0" b="0"/>
            <wp:docPr id="1800826044" name="Picture 1" descr="A graph of water sorb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26044" name="Picture 1" descr="A graph of water sorbtion&#10;&#10;Description automatically generated"/>
                    <pic:cNvPicPr/>
                  </pic:nvPicPr>
                  <pic:blipFill rotWithShape="1">
                    <a:blip r:embed="rId16"/>
                    <a:srcRect l="1073" t="2141" r="1110" b="2211"/>
                    <a:stretch/>
                  </pic:blipFill>
                  <pic:spPr bwMode="auto">
                    <a:xfrm>
                      <a:off x="0" y="0"/>
                      <a:ext cx="3565781" cy="2095869"/>
                    </a:xfrm>
                    <a:prstGeom prst="rect">
                      <a:avLst/>
                    </a:prstGeom>
                    <a:ln>
                      <a:noFill/>
                    </a:ln>
                    <a:extLst>
                      <a:ext uri="{53640926-AAD7-44D8-BBD7-CCE9431645EC}">
                        <a14:shadowObscured xmlns:a14="http://schemas.microsoft.com/office/drawing/2010/main"/>
                      </a:ext>
                    </a:extLst>
                  </pic:spPr>
                </pic:pic>
              </a:graphicData>
            </a:graphic>
          </wp:inline>
        </w:drawing>
      </w:r>
    </w:p>
    <w:p w14:paraId="5F0A2433" w14:textId="51F72AD9" w:rsidR="00183EDA" w:rsidRPr="00A260BB" w:rsidRDefault="00B8065B" w:rsidP="00183EDA">
      <w:pPr>
        <w:pStyle w:val="Paragraph"/>
        <w:spacing w:before="120" w:after="200"/>
        <w:ind w:firstLine="288"/>
        <w:jc w:val="center"/>
        <w:rPr>
          <w:sz w:val="18"/>
          <w:szCs w:val="18"/>
        </w:rPr>
      </w:pPr>
      <w:r w:rsidRPr="00A260BB">
        <w:rPr>
          <w:b/>
          <w:bCs/>
          <w:sz w:val="18"/>
          <w:szCs w:val="18"/>
        </w:rPr>
        <w:t xml:space="preserve">FIGURE </w:t>
      </w:r>
      <w:r w:rsidR="00183EDA" w:rsidRPr="00A260BB">
        <w:rPr>
          <w:b/>
          <w:bCs/>
          <w:sz w:val="18"/>
          <w:szCs w:val="18"/>
        </w:rPr>
        <w:t xml:space="preserve">2. </w:t>
      </w:r>
      <w:r w:rsidR="00183EDA" w:rsidRPr="00A260BB">
        <w:rPr>
          <w:sz w:val="18"/>
          <w:szCs w:val="18"/>
        </w:rPr>
        <w:t>HAADB plates’ water sorption (mg/cm</w:t>
      </w:r>
      <w:r w:rsidR="00183EDA" w:rsidRPr="00A260BB">
        <w:rPr>
          <w:sz w:val="18"/>
          <w:szCs w:val="18"/>
          <w:vertAlign w:val="superscript"/>
        </w:rPr>
        <w:t>2</w:t>
      </w:r>
      <w:r w:rsidR="00183EDA" w:rsidRPr="00A260BB">
        <w:rPr>
          <w:sz w:val="18"/>
          <w:szCs w:val="18"/>
        </w:rPr>
        <w:t>) (data presented in mean</w:t>
      </w:r>
      <w:r w:rsidR="00183EDA" w:rsidRPr="00A260BB">
        <w:rPr>
          <w:sz w:val="18"/>
          <w:szCs w:val="18"/>
        </w:rPr>
        <w:sym w:font="Symbol" w:char="F0B1"/>
      </w:r>
      <w:r w:rsidR="00183EDA" w:rsidRPr="00A260BB">
        <w:rPr>
          <w:sz w:val="18"/>
          <w:szCs w:val="18"/>
        </w:rPr>
        <w:t xml:space="preserve"> standard error of mean) (n=8)</w:t>
      </w:r>
    </w:p>
    <w:p w14:paraId="5A73B264" w14:textId="5C873944" w:rsidR="003E7C74" w:rsidRPr="00A260BB" w:rsidRDefault="00183EDA" w:rsidP="00183EDA">
      <w:pPr>
        <w:pStyle w:val="Paragraph"/>
      </w:pPr>
      <w:r w:rsidRPr="00A260BB">
        <w:t xml:space="preserve">As a result, there </w:t>
      </w:r>
      <w:r w:rsidR="00C03E94">
        <w:t>wa</w:t>
      </w:r>
      <w:r w:rsidR="00C03E94" w:rsidRPr="00A260BB">
        <w:t xml:space="preserve">s </w:t>
      </w:r>
      <w:r w:rsidRPr="00A260BB">
        <w:t xml:space="preserve">a slight difference in </w:t>
      </w:r>
      <w:r w:rsidR="00296BC0">
        <w:t>water sorption among the higher-pressure group compared to the two lower-pressure groups; however, this</w:t>
      </w:r>
      <w:r w:rsidRPr="00A260BB">
        <w:t xml:space="preserve"> difference </w:t>
      </w:r>
      <w:r w:rsidR="008F0CAE">
        <w:t>wa</w:t>
      </w:r>
      <w:r w:rsidR="008F0CAE" w:rsidRPr="00A260BB">
        <w:t xml:space="preserve">s </w:t>
      </w:r>
      <w:r w:rsidRPr="00A260BB">
        <w:t xml:space="preserve">insignificant. Presumably, the difference </w:t>
      </w:r>
      <w:r w:rsidR="004E1A99">
        <w:t>wa</w:t>
      </w:r>
      <w:r w:rsidR="004E1A99" w:rsidRPr="00A260BB">
        <w:t xml:space="preserve">s </w:t>
      </w:r>
      <w:r w:rsidRPr="00A260BB">
        <w:t xml:space="preserve">indirectly a product of the lower porosity of the higher-pressure group. There are correlations between lower porosity and lower water sorption, even though it is also related to the composition of the resin material [3]. In </w:t>
      </w:r>
      <w:r w:rsidR="00C30B90" w:rsidRPr="00A260BB">
        <w:t>other</w:t>
      </w:r>
      <w:r w:rsidRPr="00A260BB">
        <w:t xml:space="preserve"> research, residual monomers can increase porosity, as incomplete polymerization leaves voids within the resin matrix [11,12]. Due to incomplete polymerization, higher levels of residual monomer can also lead to increased water absorption because the unreacted monomer is hydrophilic and attracts water [13].</w:t>
      </w:r>
      <w:r w:rsidR="00BE3A0F">
        <w:t xml:space="preserve"> </w:t>
      </w:r>
      <w:r w:rsidRPr="00A260BB">
        <w:t xml:space="preserve">Despite the difference in water sorption between groups, the values </w:t>
      </w:r>
      <w:r w:rsidR="005811E3">
        <w:t xml:space="preserve">did </w:t>
      </w:r>
      <w:r w:rsidRPr="00A260BB">
        <w:t>not exceed the standard</w:t>
      </w:r>
      <w:r w:rsidR="00296BC0">
        <w:t xml:space="preserve">s from Phillips (&lt; 0.69 mg/cm²) and ADA (&lt; 0.8 mg/cm²) </w:t>
      </w:r>
      <w:r w:rsidRPr="00A260BB">
        <w:t>[1].</w:t>
      </w:r>
    </w:p>
    <w:p w14:paraId="238F91B4" w14:textId="4606EFDD" w:rsidR="00D87E2A" w:rsidRPr="00A260BB" w:rsidRDefault="00D87E2A" w:rsidP="00D87E2A">
      <w:pPr>
        <w:pStyle w:val="Heading1"/>
        <w:rPr>
          <w:b w:val="0"/>
          <w:caps w:val="0"/>
          <w:sz w:val="20"/>
        </w:rPr>
      </w:pPr>
      <w:r w:rsidRPr="00A260BB">
        <w:rPr>
          <w:rFonts w:asciiTheme="majorBidi" w:hAnsiTheme="majorBidi" w:cstheme="majorBidi"/>
        </w:rPr>
        <w:t>CONCLUSION</w:t>
      </w:r>
    </w:p>
    <w:p w14:paraId="38AA3A19" w14:textId="6139FDC9" w:rsidR="00183EDA" w:rsidRPr="00A260BB" w:rsidRDefault="00183EDA" w:rsidP="003B0050">
      <w:pPr>
        <w:pStyle w:val="Paragraph"/>
        <w:rPr>
          <w:rFonts w:asciiTheme="majorBidi" w:hAnsiTheme="majorBidi" w:cstheme="majorBidi"/>
        </w:rPr>
      </w:pPr>
      <w:r w:rsidRPr="00A260BB">
        <w:rPr>
          <w:rFonts w:asciiTheme="majorBidi" w:hAnsiTheme="majorBidi" w:cstheme="majorBidi"/>
        </w:rPr>
        <w:t xml:space="preserve">Higher pressure during the packing of HAADB </w:t>
      </w:r>
      <w:r w:rsidR="00287082">
        <w:rPr>
          <w:rFonts w:asciiTheme="majorBidi" w:hAnsiTheme="majorBidi" w:cstheme="majorBidi"/>
        </w:rPr>
        <w:t>may lower water sorption compared to lower pressure, al</w:t>
      </w:r>
      <w:r w:rsidRPr="00A260BB">
        <w:rPr>
          <w:rFonts w:asciiTheme="majorBidi" w:hAnsiTheme="majorBidi" w:cstheme="majorBidi"/>
        </w:rPr>
        <w:t xml:space="preserve">though the difference was insignificant. Probably, the difference is indirectly </w:t>
      </w:r>
      <w:r w:rsidR="00287082">
        <w:rPr>
          <w:rFonts w:asciiTheme="majorBidi" w:hAnsiTheme="majorBidi" w:cstheme="majorBidi"/>
        </w:rPr>
        <w:t>due to lower porosity resulting from</w:t>
      </w:r>
      <w:r w:rsidRPr="00A260BB">
        <w:rPr>
          <w:rFonts w:asciiTheme="majorBidi" w:hAnsiTheme="majorBidi" w:cstheme="majorBidi"/>
        </w:rPr>
        <w:t xml:space="preserve"> higher pressure packing.</w:t>
      </w:r>
      <w:r w:rsidR="00D87E2A" w:rsidRPr="00A260BB">
        <w:rPr>
          <w:rFonts w:asciiTheme="majorBidi" w:hAnsiTheme="majorBidi" w:cstheme="majorBidi"/>
        </w:rPr>
        <w:t xml:space="preserve"> </w:t>
      </w:r>
    </w:p>
    <w:p w14:paraId="55D56508" w14:textId="66C17743" w:rsidR="00D87E2A" w:rsidRPr="00A260BB" w:rsidRDefault="00D87E2A" w:rsidP="003B0050">
      <w:pPr>
        <w:pStyle w:val="Paragraph"/>
      </w:pPr>
    </w:p>
    <w:p w14:paraId="7691B80C" w14:textId="2681DC6A" w:rsidR="00613B4D" w:rsidRPr="00A260BB" w:rsidRDefault="0016385D" w:rsidP="00613B4D">
      <w:pPr>
        <w:pStyle w:val="Heading1"/>
      </w:pPr>
      <w:r w:rsidRPr="00A260BB">
        <w:rPr>
          <w:rFonts w:asciiTheme="majorBidi" w:hAnsiTheme="majorBidi" w:cstheme="majorBidi"/>
        </w:rPr>
        <w:lastRenderedPageBreak/>
        <w:t>Acknowledgments</w:t>
      </w:r>
    </w:p>
    <w:p w14:paraId="5D64293C" w14:textId="68ABBA69" w:rsidR="00183EDA" w:rsidRPr="00A260BB" w:rsidRDefault="00E80690" w:rsidP="000B3A2D">
      <w:pPr>
        <w:pStyle w:val="Paragraph"/>
        <w:rPr>
          <w:rFonts w:asciiTheme="majorBidi" w:hAnsiTheme="majorBidi" w:cstheme="majorBidi"/>
        </w:rPr>
      </w:pPr>
      <w:r>
        <w:rPr>
          <w:rFonts w:asciiTheme="majorBidi" w:hAnsiTheme="majorBidi" w:cstheme="majorBidi"/>
        </w:rPr>
        <w:t>The authors would like to thank the Directorate of Research and Community Service, Universitas Muhammadiyah Yogyakarta, and RSGM, Universitas Muhammadiyah Yogyakarta, for their</w:t>
      </w:r>
      <w:r w:rsidR="00183EDA" w:rsidRPr="00A260BB">
        <w:rPr>
          <w:rFonts w:asciiTheme="majorBidi" w:hAnsiTheme="majorBidi" w:cstheme="majorBidi"/>
        </w:rPr>
        <w:t xml:space="preserve"> invaluable support of this research.</w:t>
      </w:r>
    </w:p>
    <w:p w14:paraId="74D4F45E" w14:textId="5E48260B" w:rsidR="00613B4D" w:rsidRPr="00A260BB" w:rsidRDefault="0016385D" w:rsidP="00183EDA">
      <w:pPr>
        <w:pStyle w:val="Heading1"/>
        <w:rPr>
          <w:b w:val="0"/>
          <w:caps w:val="0"/>
          <w:sz w:val="20"/>
        </w:rPr>
      </w:pPr>
      <w:r w:rsidRPr="00A260BB">
        <w:rPr>
          <w:rFonts w:asciiTheme="majorBidi" w:hAnsiTheme="majorBidi" w:cstheme="majorBidi"/>
        </w:rPr>
        <w:t>References</w:t>
      </w:r>
    </w:p>
    <w:p w14:paraId="15FAE509" w14:textId="7FA3A652" w:rsidR="00183EDA" w:rsidRPr="00B8065B" w:rsidRDefault="00183EDA" w:rsidP="00183EDA">
      <w:pPr>
        <w:pStyle w:val="Reference"/>
      </w:pPr>
      <w:r w:rsidRPr="00B8065B">
        <w:t xml:space="preserve">K.J. </w:t>
      </w:r>
      <w:proofErr w:type="spellStart"/>
      <w:r w:rsidRPr="00B8065B">
        <w:t>Anusavice</w:t>
      </w:r>
      <w:proofErr w:type="spellEnd"/>
      <w:r w:rsidRPr="00B8065B">
        <w:t xml:space="preserve">, C. Shen, H.R. Rawls, </w:t>
      </w:r>
      <w:r w:rsidRPr="00B8065B">
        <w:rPr>
          <w:i/>
          <w:iCs/>
        </w:rPr>
        <w:t>Phillips’ science of dental materials</w:t>
      </w:r>
      <w:r w:rsidR="005770F7" w:rsidRPr="00B8065B">
        <w:rPr>
          <w:i/>
          <w:iCs/>
        </w:rPr>
        <w:t>,</w:t>
      </w:r>
      <w:r w:rsidRPr="00B8065B">
        <w:rPr>
          <w:i/>
          <w:iCs/>
        </w:rPr>
        <w:t xml:space="preserve"> 12th ed.</w:t>
      </w:r>
      <w:r w:rsidRPr="00B8065B">
        <w:t xml:space="preserve"> (Elsevier Saunders, USA,2013) pp. 475-490.</w:t>
      </w:r>
    </w:p>
    <w:p w14:paraId="55314E3B" w14:textId="467B1AF9" w:rsidR="00183EDA" w:rsidRPr="00B8065B" w:rsidRDefault="00183EDA" w:rsidP="00183EDA">
      <w:pPr>
        <w:pStyle w:val="Reference"/>
      </w:pPr>
      <w:r w:rsidRPr="00B8065B">
        <w:t>N. Zakiyah, N. F. N. Hanifah, A.</w:t>
      </w:r>
      <w:r w:rsidR="005770F7" w:rsidRPr="00B8065B">
        <w:t xml:space="preserve"> </w:t>
      </w:r>
      <w:proofErr w:type="spellStart"/>
      <w:r w:rsidRPr="00B8065B">
        <w:t>Waskitho</w:t>
      </w:r>
      <w:proofErr w:type="spellEnd"/>
      <w:r w:rsidRPr="00B8065B">
        <w:t xml:space="preserve">, J. </w:t>
      </w:r>
      <w:proofErr w:type="spellStart"/>
      <w:r w:rsidRPr="00B8065B">
        <w:t>Dalanon</w:t>
      </w:r>
      <w:proofErr w:type="spellEnd"/>
      <w:r w:rsidRPr="00B8065B">
        <w:t xml:space="preserve">, </w:t>
      </w:r>
      <w:r w:rsidR="007144FF" w:rsidRPr="00B8065B">
        <w:t>“</w:t>
      </w:r>
      <w:r w:rsidRPr="00B8065B">
        <w:t>Non-invasive management of maxillary labial undercuts in complete removable dentures using soft liners in a patient with maxillary labial undercut: A case report</w:t>
      </w:r>
      <w:r w:rsidR="007144FF" w:rsidRPr="00B8065B">
        <w:t>,”</w:t>
      </w:r>
      <w:r w:rsidRPr="00B8065B">
        <w:t xml:space="preserve"> </w:t>
      </w:r>
      <w:proofErr w:type="spellStart"/>
      <w:r w:rsidRPr="00B8065B">
        <w:t>Padjadjaran</w:t>
      </w:r>
      <w:proofErr w:type="spellEnd"/>
      <w:r w:rsidRPr="00B8065B">
        <w:t xml:space="preserve"> J</w:t>
      </w:r>
      <w:r w:rsidR="00D25F6D" w:rsidRPr="00B8065B">
        <w:t>.</w:t>
      </w:r>
      <w:r w:rsidRPr="00B8065B">
        <w:t xml:space="preserve"> Dent</w:t>
      </w:r>
      <w:r w:rsidR="00D25F6D" w:rsidRPr="00B8065B">
        <w:t xml:space="preserve">. </w:t>
      </w:r>
      <w:r w:rsidRPr="00B8065B">
        <w:t>37</w:t>
      </w:r>
      <w:r w:rsidR="00FA72AF" w:rsidRPr="00B8065B">
        <w:t xml:space="preserve">, </w:t>
      </w:r>
      <w:r w:rsidRPr="00B8065B">
        <w:t>1–9 (2025).</w:t>
      </w:r>
    </w:p>
    <w:p w14:paraId="5F92FD9B" w14:textId="0A254142" w:rsidR="00183EDA" w:rsidRPr="00B8065B" w:rsidRDefault="00183EDA" w:rsidP="00183EDA">
      <w:pPr>
        <w:pStyle w:val="Reference"/>
      </w:pPr>
      <w:r w:rsidRPr="00B8065B">
        <w:t xml:space="preserve">R. H. Hasan, R. R. Aziz, M. M. Shehab, J. Abduo, </w:t>
      </w:r>
      <w:r w:rsidR="007144FF" w:rsidRPr="00B8065B">
        <w:t>“</w:t>
      </w:r>
      <w:r w:rsidRPr="00B8065B">
        <w:t>Evaluating the physical properties of microwave-cured and heat-cured acrylic denture base materials after the addition of ZrO2 nanoparticles</w:t>
      </w:r>
      <w:r w:rsidR="007144FF" w:rsidRPr="00B8065B">
        <w:t>,”</w:t>
      </w:r>
      <w:r w:rsidRPr="00B8065B">
        <w:t xml:space="preserve"> J</w:t>
      </w:r>
      <w:r w:rsidR="00F87A35" w:rsidRPr="00B8065B">
        <w:t xml:space="preserve">. </w:t>
      </w:r>
      <w:r w:rsidRPr="00B8065B">
        <w:t>Bagh</w:t>
      </w:r>
      <w:r w:rsidR="00F87A35" w:rsidRPr="00B8065B">
        <w:t>.</w:t>
      </w:r>
      <w:r w:rsidRPr="00B8065B">
        <w:t xml:space="preserve"> Coll</w:t>
      </w:r>
      <w:r w:rsidR="00F87A35" w:rsidRPr="00B8065B">
        <w:t>.</w:t>
      </w:r>
      <w:r w:rsidRPr="00B8065B">
        <w:t xml:space="preserve"> Dent</w:t>
      </w:r>
      <w:r w:rsidR="00F87A35" w:rsidRPr="00B8065B">
        <w:t>.</w:t>
      </w:r>
      <w:r w:rsidR="00C57F85" w:rsidRPr="00B8065B">
        <w:t xml:space="preserve"> </w:t>
      </w:r>
      <w:r w:rsidRPr="00B8065B">
        <w:t>36</w:t>
      </w:r>
      <w:r w:rsidR="00FA72AF" w:rsidRPr="00B8065B">
        <w:t>,</w:t>
      </w:r>
      <w:r w:rsidR="00C57F85" w:rsidRPr="00B8065B">
        <w:t xml:space="preserve"> </w:t>
      </w:r>
      <w:r w:rsidRPr="00B8065B">
        <w:t xml:space="preserve">Article 3 (2024). </w:t>
      </w:r>
    </w:p>
    <w:p w14:paraId="25180AC9" w14:textId="3A2912B9" w:rsidR="00183EDA" w:rsidRPr="00B8065B" w:rsidRDefault="00183EDA" w:rsidP="00183EDA">
      <w:pPr>
        <w:pStyle w:val="Reference"/>
      </w:pPr>
      <w:r w:rsidRPr="00B8065B">
        <w:t xml:space="preserve">A. </w:t>
      </w:r>
      <w:proofErr w:type="spellStart"/>
      <w:r w:rsidRPr="00B8065B">
        <w:t>Waskitho</w:t>
      </w:r>
      <w:proofErr w:type="spellEnd"/>
      <w:r w:rsidRPr="00B8065B">
        <w:t xml:space="preserve">, F. </w:t>
      </w:r>
      <w:proofErr w:type="spellStart"/>
      <w:r w:rsidRPr="00B8065B">
        <w:t>Yunisa</w:t>
      </w:r>
      <w:proofErr w:type="spellEnd"/>
      <w:r w:rsidRPr="00B8065B">
        <w:t xml:space="preserve">, D. </w:t>
      </w:r>
      <w:proofErr w:type="spellStart"/>
      <w:r w:rsidRPr="00B8065B">
        <w:t>Triswari</w:t>
      </w:r>
      <w:proofErr w:type="spellEnd"/>
      <w:r w:rsidRPr="00B8065B">
        <w:t xml:space="preserve">, Z. </w:t>
      </w:r>
      <w:proofErr w:type="spellStart"/>
      <w:r w:rsidRPr="00B8065B">
        <w:t>Nurisna</w:t>
      </w:r>
      <w:proofErr w:type="spellEnd"/>
      <w:r w:rsidRPr="00B8065B">
        <w:t xml:space="preserve">, W.D. Atmaja, </w:t>
      </w:r>
      <w:r w:rsidR="007144FF" w:rsidRPr="00B8065B">
        <w:t>“</w:t>
      </w:r>
      <w:r w:rsidRPr="00B8065B">
        <w:t>An Overview of Pressure Effect on Heat</w:t>
      </w:r>
      <w:r w:rsidR="0036535E" w:rsidRPr="00B8065B">
        <w:t>-</w:t>
      </w:r>
      <w:r w:rsidRPr="00B8065B">
        <w:t>Activated Acrylic Denture Base Processing Techniques</w:t>
      </w:r>
      <w:r w:rsidR="007144FF" w:rsidRPr="00B8065B">
        <w:t>"</w:t>
      </w:r>
      <w:r w:rsidRPr="00B8065B">
        <w:t xml:space="preserve"> in </w:t>
      </w:r>
      <w:r w:rsidRPr="00B8065B">
        <w:rPr>
          <w:i/>
          <w:iCs/>
        </w:rPr>
        <w:t xml:space="preserve">Proceedings of the 2nd New Dental Research Exhibition </w:t>
      </w:r>
      <w:r w:rsidR="0036535E" w:rsidRPr="00B8065B">
        <w:rPr>
          <w:i/>
          <w:iCs/>
        </w:rPr>
        <w:t>and</w:t>
      </w:r>
      <w:r w:rsidRPr="00B8065B">
        <w:rPr>
          <w:i/>
          <w:iCs/>
        </w:rPr>
        <w:t xml:space="preserve"> Meeting (New Dream) 2024,</w:t>
      </w:r>
      <w:r w:rsidR="007144FF" w:rsidRPr="00B8065B">
        <w:t xml:space="preserve"> (AIP Publishing,</w:t>
      </w:r>
      <w:r w:rsidRPr="00B8065B">
        <w:t xml:space="preserve"> Yogyakarta, Indonesia, August 2024</w:t>
      </w:r>
      <w:r w:rsidR="007144FF" w:rsidRPr="00B8065B">
        <w:t>)</w:t>
      </w:r>
      <w:r w:rsidRPr="00B8065B">
        <w:t>.</w:t>
      </w:r>
    </w:p>
    <w:p w14:paraId="266294F1" w14:textId="1897FC5E" w:rsidR="00183EDA" w:rsidRPr="00B8065B" w:rsidRDefault="00183EDA" w:rsidP="00183EDA">
      <w:pPr>
        <w:pStyle w:val="Reference"/>
      </w:pPr>
      <w:r w:rsidRPr="00B8065B">
        <w:t xml:space="preserve">W.F. Yau, Y.Y. Cheng, R.K. Clark, T.W. Chow, </w:t>
      </w:r>
      <w:r w:rsidR="007144FF" w:rsidRPr="00B8065B">
        <w:t>“</w:t>
      </w:r>
      <w:r w:rsidRPr="00B8065B">
        <w:t>Pressure and temperature changes in heat-cured acrylic resin during processing</w:t>
      </w:r>
      <w:r w:rsidR="007144FF" w:rsidRPr="00B8065B">
        <w:t>,”</w:t>
      </w:r>
      <w:r w:rsidRPr="00B8065B">
        <w:t xml:space="preserve"> Dent. Mater.</w:t>
      </w:r>
      <w:r w:rsidR="00C57F85" w:rsidRPr="00B8065B">
        <w:t xml:space="preserve"> </w:t>
      </w:r>
      <w:r w:rsidRPr="00B8065B">
        <w:t>18</w:t>
      </w:r>
      <w:r w:rsidR="005770F7" w:rsidRPr="00B8065B">
        <w:t xml:space="preserve">, </w:t>
      </w:r>
      <w:r w:rsidRPr="00B8065B">
        <w:t xml:space="preserve">622-9 (2002). </w:t>
      </w:r>
    </w:p>
    <w:p w14:paraId="2EF8A5D0" w14:textId="6064ACB2" w:rsidR="00183EDA" w:rsidRPr="00B8065B" w:rsidRDefault="00183EDA" w:rsidP="00183EDA">
      <w:pPr>
        <w:pStyle w:val="Reference"/>
      </w:pPr>
      <w:r w:rsidRPr="00B8065B">
        <w:t xml:space="preserve">C. M. Rizzatti- Barbosa, M. A. Fraga, T. de M. Gonçalves, </w:t>
      </w:r>
      <w:r w:rsidR="00E93FAB" w:rsidRPr="00B8065B">
        <w:t>“</w:t>
      </w:r>
      <w:r w:rsidRPr="00B8065B">
        <w:t>Acrylic resin water sorption under different pressure, temperature and time conditions</w:t>
      </w:r>
      <w:r w:rsidR="00E93FAB" w:rsidRPr="00B8065B">
        <w:t>,”</w:t>
      </w:r>
      <w:r w:rsidRPr="00B8065B">
        <w:t xml:space="preserve"> Mater</w:t>
      </w:r>
      <w:r w:rsidR="00FA72AF" w:rsidRPr="00B8065B">
        <w:t>.</w:t>
      </w:r>
      <w:r w:rsidRPr="00B8065B">
        <w:t xml:space="preserve"> Res</w:t>
      </w:r>
      <w:r w:rsidR="00FA72AF" w:rsidRPr="00B8065B">
        <w:t>.</w:t>
      </w:r>
      <w:r w:rsidRPr="00B8065B">
        <w:t xml:space="preserve"> 4, 01–06, (2001).</w:t>
      </w:r>
    </w:p>
    <w:p w14:paraId="13FDE240" w14:textId="0B4CD664" w:rsidR="00183EDA" w:rsidRPr="00B8065B" w:rsidRDefault="00183EDA" w:rsidP="00183EDA">
      <w:pPr>
        <w:pStyle w:val="Reference"/>
      </w:pPr>
      <w:r w:rsidRPr="00B8065B">
        <w:t xml:space="preserve">E. Ghasemi, R. Mosharraf, S. Mirzaei, </w:t>
      </w:r>
      <w:r w:rsidR="00E93FAB" w:rsidRPr="00B8065B">
        <w:t>“</w:t>
      </w:r>
      <w:r w:rsidRPr="00B8065B">
        <w:t>Comparison of Water Sorption of Two Injection Acrylic Resins with a Conventional Pressure-Packed Acrylic Resin</w:t>
      </w:r>
      <w:r w:rsidR="00E93FAB" w:rsidRPr="00B8065B">
        <w:t>,”</w:t>
      </w:r>
      <w:r w:rsidRPr="00B8065B">
        <w:t xml:space="preserve"> J Iran Dent Assoc 31, 177–181 (2019). </w:t>
      </w:r>
    </w:p>
    <w:p w14:paraId="0100CA29" w14:textId="449F1A09" w:rsidR="00183EDA" w:rsidRPr="00B8065B" w:rsidRDefault="00183EDA" w:rsidP="00183EDA">
      <w:pPr>
        <w:pStyle w:val="Reference"/>
      </w:pPr>
      <w:r w:rsidRPr="00B8065B">
        <w:t xml:space="preserve">E. </w:t>
      </w:r>
      <w:proofErr w:type="spellStart"/>
      <w:r w:rsidRPr="00B8065B">
        <w:t>Moslehifard</w:t>
      </w:r>
      <w:proofErr w:type="spellEnd"/>
      <w:r w:rsidRPr="00B8065B">
        <w:t xml:space="preserve">, T. Ghaffari, H. </w:t>
      </w:r>
      <w:proofErr w:type="spellStart"/>
      <w:r w:rsidRPr="00B8065B">
        <w:t>Abolghasemi</w:t>
      </w:r>
      <w:proofErr w:type="spellEnd"/>
      <w:r w:rsidRPr="00B8065B">
        <w:t xml:space="preserve">, S. Maleki Dizaj, </w:t>
      </w:r>
      <w:r w:rsidR="00E93FAB" w:rsidRPr="00B8065B">
        <w:t>“</w:t>
      </w:r>
      <w:r w:rsidRPr="00B8065B">
        <w:t>Comparison of Conventional Pressure-packed and Injection Molding Processing Methods for an Acrylic Resin Denture based on Microhardness, Surface Roughness, and Water Sorption</w:t>
      </w:r>
      <w:r w:rsidR="00E93FAB" w:rsidRPr="00B8065B">
        <w:t>,”</w:t>
      </w:r>
      <w:r w:rsidRPr="00B8065B">
        <w:t xml:space="preserve"> Int</w:t>
      </w:r>
      <w:r w:rsidR="008C1B4E" w:rsidRPr="00B8065B">
        <w:t xml:space="preserve">. </w:t>
      </w:r>
      <w:r w:rsidRPr="00B8065B">
        <w:t>J</w:t>
      </w:r>
      <w:r w:rsidR="008C1B4E" w:rsidRPr="00B8065B">
        <w:t>.</w:t>
      </w:r>
      <w:r w:rsidRPr="00B8065B">
        <w:t xml:space="preserve"> Dent</w:t>
      </w:r>
      <w:r w:rsidR="008C1B4E" w:rsidRPr="00B8065B">
        <w:t>.</w:t>
      </w:r>
      <w:r w:rsidRPr="00B8065B">
        <w:t xml:space="preserve"> 2022, 7069507 (2022). </w:t>
      </w:r>
    </w:p>
    <w:p w14:paraId="16583D12" w14:textId="10D454CA" w:rsidR="00183EDA" w:rsidRPr="00B8065B" w:rsidRDefault="00183EDA" w:rsidP="00183EDA">
      <w:pPr>
        <w:pStyle w:val="Reference"/>
      </w:pPr>
      <w:r w:rsidRPr="00B8065B">
        <w:t xml:space="preserve">R. M. S. </w:t>
      </w:r>
      <w:proofErr w:type="spellStart"/>
      <w:r w:rsidRPr="00B8065B">
        <w:t>Figuerôa</w:t>
      </w:r>
      <w:proofErr w:type="spellEnd"/>
      <w:r w:rsidRPr="00B8065B">
        <w:t xml:space="preserve">, B. </w:t>
      </w:r>
      <w:proofErr w:type="spellStart"/>
      <w:r w:rsidRPr="00B8065B">
        <w:t>Conterno</w:t>
      </w:r>
      <w:proofErr w:type="spellEnd"/>
      <w:r w:rsidRPr="00B8065B">
        <w:t xml:space="preserve">, C. A. G. </w:t>
      </w:r>
      <w:proofErr w:type="spellStart"/>
      <w:r w:rsidRPr="00B8065B">
        <w:t>Arrais</w:t>
      </w:r>
      <w:proofErr w:type="spellEnd"/>
      <w:r w:rsidRPr="00B8065B">
        <w:t xml:space="preserve">, C. Y. C. </w:t>
      </w:r>
      <w:proofErr w:type="spellStart"/>
      <w:r w:rsidRPr="00B8065B">
        <w:t>Sugio</w:t>
      </w:r>
      <w:proofErr w:type="spellEnd"/>
      <w:r w:rsidRPr="00B8065B">
        <w:t xml:space="preserve">, V. M. Urban, K. H., </w:t>
      </w:r>
      <w:r w:rsidR="00E93FAB" w:rsidRPr="00B8065B">
        <w:t>“</w:t>
      </w:r>
      <w:r w:rsidRPr="00B8065B">
        <w:t>Porosity, water sorption and solubility of denture base acrylic resins polymerized conventionally or in microwave</w:t>
      </w:r>
      <w:r w:rsidR="00E93FAB" w:rsidRPr="00B8065B">
        <w:t>,”</w:t>
      </w:r>
      <w:r w:rsidRPr="00B8065B">
        <w:t xml:space="preserve"> J</w:t>
      </w:r>
      <w:r w:rsidR="00F93E0A" w:rsidRPr="00B8065B">
        <w:t>.</w:t>
      </w:r>
      <w:r w:rsidRPr="00B8065B">
        <w:t xml:space="preserve"> Appl</w:t>
      </w:r>
      <w:r w:rsidR="00F93E0A" w:rsidRPr="00B8065B">
        <w:t xml:space="preserve">. </w:t>
      </w:r>
      <w:r w:rsidRPr="00B8065B">
        <w:t>Oral Sci</w:t>
      </w:r>
      <w:r w:rsidR="00F93E0A" w:rsidRPr="00B8065B">
        <w:rPr>
          <w:lang w:eastAsia="ja-JP"/>
        </w:rPr>
        <w:t>.</w:t>
      </w:r>
      <w:r w:rsidRPr="00B8065B">
        <w:rPr>
          <w:rFonts w:hint="eastAsia"/>
          <w:lang w:eastAsia="ja-JP"/>
        </w:rPr>
        <w:t xml:space="preserve"> </w:t>
      </w:r>
      <w:r w:rsidRPr="00B8065B">
        <w:t xml:space="preserve">26, e20170383 (2018). </w:t>
      </w:r>
    </w:p>
    <w:p w14:paraId="522B9B87" w14:textId="412F9D8B" w:rsidR="00183EDA" w:rsidRPr="00B8065B" w:rsidRDefault="00183EDA" w:rsidP="00183EDA">
      <w:pPr>
        <w:pStyle w:val="Reference"/>
      </w:pPr>
      <w:r w:rsidRPr="00B8065B">
        <w:t xml:space="preserve"> Council on Dental Materials and Devices</w:t>
      </w:r>
      <w:r w:rsidR="00B5656F" w:rsidRPr="00B8065B">
        <w:t>,</w:t>
      </w:r>
      <w:r w:rsidRPr="00B8065B">
        <w:t xml:space="preserve"> </w:t>
      </w:r>
      <w:r w:rsidR="00B5656F" w:rsidRPr="00B8065B">
        <w:t>“</w:t>
      </w:r>
      <w:r w:rsidRPr="00B8065B">
        <w:t>Revised American Dental Association Specifications No. 12 for denture base polymers</w:t>
      </w:r>
      <w:r w:rsidR="00B5656F" w:rsidRPr="00B8065B">
        <w:t>,”</w:t>
      </w:r>
      <w:r w:rsidRPr="00B8065B">
        <w:t xml:space="preserve"> J. Am. Dent. Ass.</w:t>
      </w:r>
      <w:r w:rsidR="00F93E0A" w:rsidRPr="00B8065B">
        <w:t xml:space="preserve"> </w:t>
      </w:r>
      <w:r w:rsidRPr="00B8065B">
        <w:t>90, n. 2, p. 451-458 (1975).</w:t>
      </w:r>
    </w:p>
    <w:p w14:paraId="6DFA7407" w14:textId="2A18B854" w:rsidR="00183EDA" w:rsidRPr="00B8065B" w:rsidRDefault="00183EDA" w:rsidP="00183EDA">
      <w:pPr>
        <w:pStyle w:val="Reference"/>
      </w:pPr>
      <w:r w:rsidRPr="00B8065B">
        <w:t xml:space="preserve">H. Yilmaz, C. Aydin, A. </w:t>
      </w:r>
      <w:proofErr w:type="spellStart"/>
      <w:r w:rsidRPr="00B8065B">
        <w:t>Cağlar</w:t>
      </w:r>
      <w:proofErr w:type="spellEnd"/>
      <w:r w:rsidRPr="00B8065B">
        <w:t xml:space="preserve">, A. Yaşar T, </w:t>
      </w:r>
      <w:r w:rsidR="00B5656F" w:rsidRPr="00B8065B">
        <w:t>“</w:t>
      </w:r>
      <w:r w:rsidRPr="00B8065B">
        <w:t>The effect of glass fiber reinforcement on the residual monomer content of two denture base resins</w:t>
      </w:r>
      <w:r w:rsidR="00B5656F" w:rsidRPr="00B8065B">
        <w:t>,”</w:t>
      </w:r>
      <w:r w:rsidRPr="00B8065B">
        <w:t xml:space="preserve"> Quintessence Int. 34</w:t>
      </w:r>
      <w:r w:rsidR="00F93E0A" w:rsidRPr="00B8065B">
        <w:t xml:space="preserve">, </w:t>
      </w:r>
      <w:r w:rsidRPr="00B8065B">
        <w:t>148-53. (2003)</w:t>
      </w:r>
      <w:r w:rsidR="00F93E0A" w:rsidRPr="00B8065B">
        <w:t>.</w:t>
      </w:r>
    </w:p>
    <w:p w14:paraId="3C421AF1" w14:textId="2980658F" w:rsidR="00183EDA" w:rsidRPr="00B8065B" w:rsidRDefault="00183EDA" w:rsidP="0011166C">
      <w:pPr>
        <w:pStyle w:val="Reference"/>
      </w:pPr>
      <w:r w:rsidRPr="00B8065B">
        <w:t xml:space="preserve">A. </w:t>
      </w:r>
      <w:proofErr w:type="spellStart"/>
      <w:r w:rsidRPr="00B8065B">
        <w:t>Köroǧlu</w:t>
      </w:r>
      <w:proofErr w:type="spellEnd"/>
      <w:r w:rsidRPr="00B8065B">
        <w:t xml:space="preserve">, T. Özdemir, A. Duru Pamir, A. </w:t>
      </w:r>
      <w:proofErr w:type="spellStart"/>
      <w:r w:rsidRPr="00B8065B">
        <w:t>Usanmaz</w:t>
      </w:r>
      <w:proofErr w:type="spellEnd"/>
      <w:r w:rsidRPr="00B8065B">
        <w:t xml:space="preserve">, </w:t>
      </w:r>
      <w:r w:rsidR="00B5656F" w:rsidRPr="00B8065B">
        <w:t>“</w:t>
      </w:r>
      <w:r w:rsidRPr="00B8065B">
        <w:t>Residual acrylic monomer content of denture base resins with different fiber systems</w:t>
      </w:r>
      <w:r w:rsidR="00B5656F" w:rsidRPr="00B8065B">
        <w:t>,”</w:t>
      </w:r>
      <w:r w:rsidRPr="00B8065B">
        <w:t xml:space="preserve"> J. Appl. </w:t>
      </w:r>
      <w:proofErr w:type="spellStart"/>
      <w:r w:rsidRPr="00B8065B">
        <w:t>Polym</w:t>
      </w:r>
      <w:proofErr w:type="spellEnd"/>
      <w:r w:rsidRPr="00B8065B">
        <w:t>. Sci. 125</w:t>
      </w:r>
      <w:r w:rsidR="0011166C" w:rsidRPr="00B8065B">
        <w:t xml:space="preserve">, 471-476 </w:t>
      </w:r>
      <w:r w:rsidRPr="00B8065B">
        <w:t>(2012).</w:t>
      </w:r>
    </w:p>
    <w:p w14:paraId="4F1066B1" w14:textId="32AA2D10" w:rsidR="00183EDA" w:rsidRPr="00B8065B" w:rsidRDefault="00183EDA" w:rsidP="00183EDA">
      <w:pPr>
        <w:pStyle w:val="Reference"/>
      </w:pPr>
      <w:r w:rsidRPr="00B8065B">
        <w:t xml:space="preserve">M.M. Gad, S. Z. Alshehri, S.A. </w:t>
      </w:r>
      <w:proofErr w:type="spellStart"/>
      <w:r w:rsidRPr="00B8065B">
        <w:t>Alhamid</w:t>
      </w:r>
      <w:proofErr w:type="spellEnd"/>
      <w:r w:rsidRPr="00B8065B">
        <w:t xml:space="preserve">, A. Albarrak, S.Q. Khan, F.A. Alshahrani, F.K. </w:t>
      </w:r>
      <w:proofErr w:type="spellStart"/>
      <w:r w:rsidRPr="00B8065B">
        <w:t>Alqarawi</w:t>
      </w:r>
      <w:proofErr w:type="spellEnd"/>
      <w:r w:rsidRPr="00B8065B">
        <w:t>, Water Sorption, Solubility, and Translucency of 3D-Printed Denture Base Resins, Dent J. 10</w:t>
      </w:r>
      <w:r w:rsidR="0011166C" w:rsidRPr="00B8065B">
        <w:t>, 42</w:t>
      </w:r>
      <w:r w:rsidRPr="00B8065B">
        <w:t xml:space="preserve"> (2022). </w:t>
      </w:r>
    </w:p>
    <w:p w14:paraId="4DE91CCB" w14:textId="14ED3148" w:rsidR="00326AE0" w:rsidRPr="00B8065B" w:rsidRDefault="003A61B1" w:rsidP="00183EDA">
      <w:pPr>
        <w:pStyle w:val="Reference"/>
        <w:numPr>
          <w:ilvl w:val="0"/>
          <w:numId w:val="0"/>
        </w:numPr>
        <w:ind w:left="426" w:hanging="426"/>
      </w:pPr>
      <w:r w:rsidRPr="00B8065B">
        <w:t xml:space="preserve"> </w:t>
      </w:r>
    </w:p>
    <w:sectPr w:rsidR="00326AE0" w:rsidRPr="00B8065B"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0FA9" w14:textId="77777777" w:rsidR="008F7B6B" w:rsidRPr="00A260BB" w:rsidRDefault="008F7B6B" w:rsidP="00B82B10">
      <w:r w:rsidRPr="00A260BB">
        <w:separator/>
      </w:r>
    </w:p>
  </w:endnote>
  <w:endnote w:type="continuationSeparator" w:id="0">
    <w:p w14:paraId="6B7B6AB3" w14:textId="77777777" w:rsidR="008F7B6B" w:rsidRPr="00A260BB" w:rsidRDefault="008F7B6B" w:rsidP="00B82B10">
      <w:r w:rsidRPr="00A26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DDC1" w14:textId="77777777" w:rsidR="008F7B6B" w:rsidRPr="00A260BB" w:rsidRDefault="008F7B6B" w:rsidP="00B82B10">
      <w:r w:rsidRPr="00A260BB">
        <w:separator/>
      </w:r>
    </w:p>
  </w:footnote>
  <w:footnote w:type="continuationSeparator" w:id="0">
    <w:p w14:paraId="73D92FA9" w14:textId="77777777" w:rsidR="008F7B6B" w:rsidRPr="00A260BB" w:rsidRDefault="008F7B6B" w:rsidP="00B82B10">
      <w:r w:rsidRPr="00A260B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1DC67589"/>
    <w:multiLevelType w:val="multilevel"/>
    <w:tmpl w:val="CF2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743CA96C"/>
    <w:lvl w:ilvl="0" w:tplc="0ACEF27E">
      <w:start w:val="1"/>
      <w:numFmt w:val="decimal"/>
      <w:pStyle w:val="Reference"/>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327779940">
    <w:abstractNumId w:val="16"/>
  </w:num>
  <w:num w:numId="2" w16cid:durableId="1589196032">
    <w:abstractNumId w:val="3"/>
  </w:num>
  <w:num w:numId="3" w16cid:durableId="1698307854">
    <w:abstractNumId w:val="13"/>
  </w:num>
  <w:num w:numId="4" w16cid:durableId="1810047124">
    <w:abstractNumId w:val="8"/>
  </w:num>
  <w:num w:numId="5" w16cid:durableId="1855193780">
    <w:abstractNumId w:val="12"/>
  </w:num>
  <w:num w:numId="6" w16cid:durableId="48456724">
    <w:abstractNumId w:val="5"/>
  </w:num>
  <w:num w:numId="7" w16cid:durableId="1523202857">
    <w:abstractNumId w:val="7"/>
  </w:num>
  <w:num w:numId="8" w16cid:durableId="2091075438">
    <w:abstractNumId w:val="1"/>
  </w:num>
  <w:num w:numId="9" w16cid:durableId="629366084">
    <w:abstractNumId w:val="15"/>
  </w:num>
  <w:num w:numId="10" w16cid:durableId="1980767923">
    <w:abstractNumId w:val="10"/>
  </w:num>
  <w:num w:numId="11" w16cid:durableId="1857114420">
    <w:abstractNumId w:val="14"/>
  </w:num>
  <w:num w:numId="12" w16cid:durableId="1756435358">
    <w:abstractNumId w:val="11"/>
  </w:num>
  <w:num w:numId="13" w16cid:durableId="741294556">
    <w:abstractNumId w:val="6"/>
  </w:num>
  <w:num w:numId="14" w16cid:durableId="1221134309">
    <w:abstractNumId w:val="15"/>
  </w:num>
  <w:num w:numId="15" w16cid:durableId="1651329786">
    <w:abstractNumId w:val="9"/>
  </w:num>
  <w:num w:numId="16" w16cid:durableId="1411463044">
    <w:abstractNumId w:val="6"/>
  </w:num>
  <w:num w:numId="17" w16cid:durableId="418603519">
    <w:abstractNumId w:val="6"/>
  </w:num>
  <w:num w:numId="18" w16cid:durableId="285360125">
    <w:abstractNumId w:val="6"/>
  </w:num>
  <w:num w:numId="19" w16cid:durableId="423305473">
    <w:abstractNumId w:val="6"/>
  </w:num>
  <w:num w:numId="20" w16cid:durableId="1563246909">
    <w:abstractNumId w:val="6"/>
  </w:num>
  <w:num w:numId="21" w16cid:durableId="726341387">
    <w:abstractNumId w:val="6"/>
  </w:num>
  <w:num w:numId="22" w16cid:durableId="1108961362">
    <w:abstractNumId w:val="6"/>
  </w:num>
  <w:num w:numId="23" w16cid:durableId="1464470437">
    <w:abstractNumId w:val="6"/>
  </w:num>
  <w:num w:numId="24" w16cid:durableId="1597058907">
    <w:abstractNumId w:val="6"/>
  </w:num>
  <w:num w:numId="25" w16cid:durableId="819082996">
    <w:abstractNumId w:val="6"/>
  </w:num>
  <w:num w:numId="26" w16cid:durableId="790900635">
    <w:abstractNumId w:val="6"/>
  </w:num>
  <w:num w:numId="27" w16cid:durableId="348339467">
    <w:abstractNumId w:val="6"/>
  </w:num>
  <w:num w:numId="28" w16cid:durableId="1575628830">
    <w:abstractNumId w:val="6"/>
  </w:num>
  <w:num w:numId="29" w16cid:durableId="42415707">
    <w:abstractNumId w:val="12"/>
  </w:num>
  <w:num w:numId="30" w16cid:durableId="1457412201">
    <w:abstractNumId w:val="12"/>
  </w:num>
  <w:num w:numId="31" w16cid:durableId="2040742672">
    <w:abstractNumId w:val="12"/>
    <w:lvlOverride w:ilvl="0">
      <w:startOverride w:val="1"/>
    </w:lvlOverride>
  </w:num>
  <w:num w:numId="32" w16cid:durableId="2133204714">
    <w:abstractNumId w:val="12"/>
  </w:num>
  <w:num w:numId="33" w16cid:durableId="456679762">
    <w:abstractNumId w:val="12"/>
    <w:lvlOverride w:ilvl="0">
      <w:startOverride w:val="1"/>
    </w:lvlOverride>
  </w:num>
  <w:num w:numId="34" w16cid:durableId="1988851095">
    <w:abstractNumId w:val="12"/>
    <w:lvlOverride w:ilvl="0">
      <w:startOverride w:val="1"/>
    </w:lvlOverride>
  </w:num>
  <w:num w:numId="35" w16cid:durableId="1625848308">
    <w:abstractNumId w:val="13"/>
    <w:lvlOverride w:ilvl="0">
      <w:startOverride w:val="1"/>
    </w:lvlOverride>
  </w:num>
  <w:num w:numId="36" w16cid:durableId="448165215">
    <w:abstractNumId w:val="13"/>
  </w:num>
  <w:num w:numId="37" w16cid:durableId="200242202">
    <w:abstractNumId w:val="13"/>
    <w:lvlOverride w:ilvl="0">
      <w:startOverride w:val="1"/>
    </w:lvlOverride>
  </w:num>
  <w:num w:numId="38" w16cid:durableId="1583173059">
    <w:abstractNumId w:val="13"/>
  </w:num>
  <w:num w:numId="39" w16cid:durableId="1602032685">
    <w:abstractNumId w:val="13"/>
    <w:lvlOverride w:ilvl="0">
      <w:startOverride w:val="1"/>
    </w:lvlOverride>
  </w:num>
  <w:num w:numId="40" w16cid:durableId="1788893307">
    <w:abstractNumId w:val="13"/>
    <w:lvlOverride w:ilvl="0">
      <w:startOverride w:val="1"/>
    </w:lvlOverride>
  </w:num>
  <w:num w:numId="41" w16cid:durableId="766342044">
    <w:abstractNumId w:val="13"/>
    <w:lvlOverride w:ilvl="0">
      <w:startOverride w:val="1"/>
    </w:lvlOverride>
  </w:num>
  <w:num w:numId="42" w16cid:durableId="1519003018">
    <w:abstractNumId w:val="13"/>
  </w:num>
  <w:num w:numId="43" w16cid:durableId="764495306">
    <w:abstractNumId w:val="13"/>
  </w:num>
  <w:num w:numId="44" w16cid:durableId="49034428">
    <w:abstractNumId w:val="2"/>
  </w:num>
  <w:num w:numId="45" w16cid:durableId="1792093249">
    <w:abstractNumId w:val="0"/>
  </w:num>
  <w:num w:numId="46" w16cid:durableId="114335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jMzNjMxMDY1MjZQ0lEKTi0uzszPAykwqgUAmFHEeiwAAAA="/>
  </w:docVars>
  <w:rsids>
    <w:rsidRoot w:val="00C14B14"/>
    <w:rsid w:val="00003D7C"/>
    <w:rsid w:val="00014140"/>
    <w:rsid w:val="00027428"/>
    <w:rsid w:val="00031EC9"/>
    <w:rsid w:val="0004059B"/>
    <w:rsid w:val="00045083"/>
    <w:rsid w:val="00060D0A"/>
    <w:rsid w:val="00066FED"/>
    <w:rsid w:val="00075EA6"/>
    <w:rsid w:val="0007709F"/>
    <w:rsid w:val="00086F62"/>
    <w:rsid w:val="00090674"/>
    <w:rsid w:val="0009320B"/>
    <w:rsid w:val="00096225"/>
    <w:rsid w:val="00096AE0"/>
    <w:rsid w:val="000B1B74"/>
    <w:rsid w:val="000B3A2D"/>
    <w:rsid w:val="000B49C0"/>
    <w:rsid w:val="000D68B7"/>
    <w:rsid w:val="000E382F"/>
    <w:rsid w:val="000E75CD"/>
    <w:rsid w:val="001036BA"/>
    <w:rsid w:val="001064B2"/>
    <w:rsid w:val="0011166C"/>
    <w:rsid w:val="0011296C"/>
    <w:rsid w:val="00113962"/>
    <w:rsid w:val="001146DC"/>
    <w:rsid w:val="00114AB1"/>
    <w:rsid w:val="00120913"/>
    <w:rsid w:val="001230FF"/>
    <w:rsid w:val="00130BD7"/>
    <w:rsid w:val="00155B67"/>
    <w:rsid w:val="001562AF"/>
    <w:rsid w:val="00161A5B"/>
    <w:rsid w:val="0016385D"/>
    <w:rsid w:val="0016782F"/>
    <w:rsid w:val="00181722"/>
    <w:rsid w:val="00183EDA"/>
    <w:rsid w:val="001937E9"/>
    <w:rsid w:val="001964E5"/>
    <w:rsid w:val="001974D3"/>
    <w:rsid w:val="001976B6"/>
    <w:rsid w:val="001A02CF"/>
    <w:rsid w:val="001A1AB1"/>
    <w:rsid w:val="001B263B"/>
    <w:rsid w:val="001B476A"/>
    <w:rsid w:val="001B7DA2"/>
    <w:rsid w:val="001C257A"/>
    <w:rsid w:val="001C4480"/>
    <w:rsid w:val="001C764F"/>
    <w:rsid w:val="001C7BB3"/>
    <w:rsid w:val="001D469C"/>
    <w:rsid w:val="0021619E"/>
    <w:rsid w:val="00223BBD"/>
    <w:rsid w:val="0023171B"/>
    <w:rsid w:val="00236BFC"/>
    <w:rsid w:val="00237437"/>
    <w:rsid w:val="00245FE6"/>
    <w:rsid w:val="002502FD"/>
    <w:rsid w:val="00257058"/>
    <w:rsid w:val="00274622"/>
    <w:rsid w:val="00285D24"/>
    <w:rsid w:val="00287082"/>
    <w:rsid w:val="00290390"/>
    <w:rsid w:val="002915D3"/>
    <w:rsid w:val="002924DB"/>
    <w:rsid w:val="002941DA"/>
    <w:rsid w:val="00296BC0"/>
    <w:rsid w:val="002B5648"/>
    <w:rsid w:val="002E3C35"/>
    <w:rsid w:val="002F5298"/>
    <w:rsid w:val="00326AE0"/>
    <w:rsid w:val="003339C9"/>
    <w:rsid w:val="00337E4F"/>
    <w:rsid w:val="00340C36"/>
    <w:rsid w:val="00346A9D"/>
    <w:rsid w:val="0035602F"/>
    <w:rsid w:val="003562A3"/>
    <w:rsid w:val="0036535E"/>
    <w:rsid w:val="0039376F"/>
    <w:rsid w:val="003A287B"/>
    <w:rsid w:val="003A5C85"/>
    <w:rsid w:val="003A61B1"/>
    <w:rsid w:val="003B0050"/>
    <w:rsid w:val="003D6312"/>
    <w:rsid w:val="003E7C74"/>
    <w:rsid w:val="003F31C6"/>
    <w:rsid w:val="00400302"/>
    <w:rsid w:val="0040100C"/>
    <w:rsid w:val="0040225B"/>
    <w:rsid w:val="00402DA2"/>
    <w:rsid w:val="004069A0"/>
    <w:rsid w:val="00425AC2"/>
    <w:rsid w:val="0044771F"/>
    <w:rsid w:val="0048700D"/>
    <w:rsid w:val="004B151D"/>
    <w:rsid w:val="004B69AD"/>
    <w:rsid w:val="004C7243"/>
    <w:rsid w:val="004C76D9"/>
    <w:rsid w:val="004D64CB"/>
    <w:rsid w:val="004E1A99"/>
    <w:rsid w:val="004E21DE"/>
    <w:rsid w:val="004E3C57"/>
    <w:rsid w:val="004E3CB2"/>
    <w:rsid w:val="00525813"/>
    <w:rsid w:val="0053513F"/>
    <w:rsid w:val="005452DD"/>
    <w:rsid w:val="0055422B"/>
    <w:rsid w:val="00572955"/>
    <w:rsid w:val="00574405"/>
    <w:rsid w:val="005770F7"/>
    <w:rsid w:val="005811E3"/>
    <w:rsid w:val="005854B0"/>
    <w:rsid w:val="005A0E21"/>
    <w:rsid w:val="005B3A34"/>
    <w:rsid w:val="005D49AF"/>
    <w:rsid w:val="005D4B95"/>
    <w:rsid w:val="005E415C"/>
    <w:rsid w:val="005E71ED"/>
    <w:rsid w:val="005E7946"/>
    <w:rsid w:val="005F7475"/>
    <w:rsid w:val="00611299"/>
    <w:rsid w:val="00613B4D"/>
    <w:rsid w:val="00616365"/>
    <w:rsid w:val="00616F3B"/>
    <w:rsid w:val="006249A7"/>
    <w:rsid w:val="00636405"/>
    <w:rsid w:val="0064225B"/>
    <w:rsid w:val="00645050"/>
    <w:rsid w:val="00661F42"/>
    <w:rsid w:val="006763F9"/>
    <w:rsid w:val="006949BC"/>
    <w:rsid w:val="006D1229"/>
    <w:rsid w:val="006D372F"/>
    <w:rsid w:val="006D7A18"/>
    <w:rsid w:val="006E1610"/>
    <w:rsid w:val="006E4474"/>
    <w:rsid w:val="00701388"/>
    <w:rsid w:val="00707109"/>
    <w:rsid w:val="007144FF"/>
    <w:rsid w:val="00723B7F"/>
    <w:rsid w:val="00725861"/>
    <w:rsid w:val="0073393A"/>
    <w:rsid w:val="0073539D"/>
    <w:rsid w:val="0075250D"/>
    <w:rsid w:val="00767B8A"/>
    <w:rsid w:val="0077230A"/>
    <w:rsid w:val="00775481"/>
    <w:rsid w:val="007A233B"/>
    <w:rsid w:val="007B4863"/>
    <w:rsid w:val="007C65E6"/>
    <w:rsid w:val="007D406B"/>
    <w:rsid w:val="007D4407"/>
    <w:rsid w:val="007E1CA3"/>
    <w:rsid w:val="007E7A2F"/>
    <w:rsid w:val="00803046"/>
    <w:rsid w:val="00807CA3"/>
    <w:rsid w:val="00812D62"/>
    <w:rsid w:val="00812F29"/>
    <w:rsid w:val="008135C7"/>
    <w:rsid w:val="00821629"/>
    <w:rsid w:val="00821713"/>
    <w:rsid w:val="00827050"/>
    <w:rsid w:val="0083278B"/>
    <w:rsid w:val="00834538"/>
    <w:rsid w:val="00850E89"/>
    <w:rsid w:val="00880D94"/>
    <w:rsid w:val="008930E4"/>
    <w:rsid w:val="00893821"/>
    <w:rsid w:val="008A7B9C"/>
    <w:rsid w:val="008B39FA"/>
    <w:rsid w:val="008B4754"/>
    <w:rsid w:val="008B52F9"/>
    <w:rsid w:val="008C1B4E"/>
    <w:rsid w:val="008E6A7A"/>
    <w:rsid w:val="008F0CAE"/>
    <w:rsid w:val="008F1038"/>
    <w:rsid w:val="008F7046"/>
    <w:rsid w:val="008F7B6B"/>
    <w:rsid w:val="009005FC"/>
    <w:rsid w:val="00902AD4"/>
    <w:rsid w:val="00922E5A"/>
    <w:rsid w:val="00925D0A"/>
    <w:rsid w:val="00943315"/>
    <w:rsid w:val="00946C27"/>
    <w:rsid w:val="00965DC2"/>
    <w:rsid w:val="009A4F3D"/>
    <w:rsid w:val="009B696B"/>
    <w:rsid w:val="009B7671"/>
    <w:rsid w:val="009C70AB"/>
    <w:rsid w:val="009E5BA1"/>
    <w:rsid w:val="009F056E"/>
    <w:rsid w:val="00A24F3D"/>
    <w:rsid w:val="00A260BB"/>
    <w:rsid w:val="00A26DCD"/>
    <w:rsid w:val="00A314BB"/>
    <w:rsid w:val="00A32B7D"/>
    <w:rsid w:val="00A5596B"/>
    <w:rsid w:val="00A646B3"/>
    <w:rsid w:val="00A67049"/>
    <w:rsid w:val="00A6739B"/>
    <w:rsid w:val="00A90413"/>
    <w:rsid w:val="00AA728C"/>
    <w:rsid w:val="00AB0A9C"/>
    <w:rsid w:val="00AB7119"/>
    <w:rsid w:val="00AD5855"/>
    <w:rsid w:val="00AE7500"/>
    <w:rsid w:val="00AE7F87"/>
    <w:rsid w:val="00AF3542"/>
    <w:rsid w:val="00AF5ABE"/>
    <w:rsid w:val="00B00415"/>
    <w:rsid w:val="00B02D36"/>
    <w:rsid w:val="00B03C2A"/>
    <w:rsid w:val="00B1000D"/>
    <w:rsid w:val="00B10134"/>
    <w:rsid w:val="00B16BFE"/>
    <w:rsid w:val="00B500E5"/>
    <w:rsid w:val="00B5656F"/>
    <w:rsid w:val="00B8065B"/>
    <w:rsid w:val="00B82B10"/>
    <w:rsid w:val="00B90042"/>
    <w:rsid w:val="00B93D85"/>
    <w:rsid w:val="00BA39BB"/>
    <w:rsid w:val="00BA3B3D"/>
    <w:rsid w:val="00BB7EEA"/>
    <w:rsid w:val="00BC07E4"/>
    <w:rsid w:val="00BD1909"/>
    <w:rsid w:val="00BE3A0F"/>
    <w:rsid w:val="00BE5E16"/>
    <w:rsid w:val="00BE5FD1"/>
    <w:rsid w:val="00C03E94"/>
    <w:rsid w:val="00C06E05"/>
    <w:rsid w:val="00C14B14"/>
    <w:rsid w:val="00C17370"/>
    <w:rsid w:val="00C2054D"/>
    <w:rsid w:val="00C252EB"/>
    <w:rsid w:val="00C26EC0"/>
    <w:rsid w:val="00C30B90"/>
    <w:rsid w:val="00C56C77"/>
    <w:rsid w:val="00C57F85"/>
    <w:rsid w:val="00C74D73"/>
    <w:rsid w:val="00C76BC2"/>
    <w:rsid w:val="00C84923"/>
    <w:rsid w:val="00CB7B3E"/>
    <w:rsid w:val="00CC739D"/>
    <w:rsid w:val="00CC7E03"/>
    <w:rsid w:val="00D04468"/>
    <w:rsid w:val="00D21C80"/>
    <w:rsid w:val="00D2395E"/>
    <w:rsid w:val="00D25F6D"/>
    <w:rsid w:val="00D36257"/>
    <w:rsid w:val="00D455B2"/>
    <w:rsid w:val="00D4687E"/>
    <w:rsid w:val="00D53A12"/>
    <w:rsid w:val="00D74AB8"/>
    <w:rsid w:val="00D75A9C"/>
    <w:rsid w:val="00D87E2A"/>
    <w:rsid w:val="00D9733C"/>
    <w:rsid w:val="00DB0C43"/>
    <w:rsid w:val="00DC7EC4"/>
    <w:rsid w:val="00DE3354"/>
    <w:rsid w:val="00DE4C97"/>
    <w:rsid w:val="00DF7DCD"/>
    <w:rsid w:val="00E50B7D"/>
    <w:rsid w:val="00E63F5F"/>
    <w:rsid w:val="00E80690"/>
    <w:rsid w:val="00E904A1"/>
    <w:rsid w:val="00E93FAB"/>
    <w:rsid w:val="00EB7D28"/>
    <w:rsid w:val="00EC0D0C"/>
    <w:rsid w:val="00EC15E9"/>
    <w:rsid w:val="00ED4A2C"/>
    <w:rsid w:val="00ED4FEB"/>
    <w:rsid w:val="00EF6940"/>
    <w:rsid w:val="00F14655"/>
    <w:rsid w:val="00F2044A"/>
    <w:rsid w:val="00F20BFC"/>
    <w:rsid w:val="00F24D5F"/>
    <w:rsid w:val="00F726C3"/>
    <w:rsid w:val="00F820CA"/>
    <w:rsid w:val="00F8554C"/>
    <w:rsid w:val="00F87A35"/>
    <w:rsid w:val="00F93E0A"/>
    <w:rsid w:val="00F95F82"/>
    <w:rsid w:val="00F97A90"/>
    <w:rsid w:val="00FA72AF"/>
    <w:rsid w:val="00FB45D4"/>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qFormat/>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aliases w:val="Hypertext 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Paragraphfirst">
    <w:name w:val="Paragraph_first"/>
    <w:basedOn w:val="Paragraph"/>
    <w:next w:val="Paragraph"/>
    <w:qFormat/>
    <w:rsid w:val="005D4B95"/>
    <w:pPr>
      <w:tabs>
        <w:tab w:val="left" w:pos="340"/>
      </w:tabs>
      <w:suppressAutoHyphens/>
      <w:ind w:firstLine="0"/>
    </w:pPr>
    <w:rPr>
      <w:rFonts w:ascii="Times" w:hAnsi="Times" w:cs="New York"/>
      <w:lang w:val="en-GB" w:eastAsia="ar-SA"/>
    </w:rPr>
  </w:style>
  <w:style w:type="paragraph" w:styleId="Revision">
    <w:name w:val="Revision"/>
    <w:hidden/>
    <w:uiPriority w:val="99"/>
    <w:semiHidden/>
    <w:rsid w:val="0004508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500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814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hrinurisna@umy.ac.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dyapramana.dwi@umy.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hmi_yunisa@umy.ac.i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syad.subrata@te.uad.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4</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2025-11-20T16:11:00Z</dcterms:created>
  <dcterms:modified xsi:type="dcterms:W3CDTF">2025-11-20T16:11:00Z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143d497f-521a-4f9c-b4a8-fe9764424811</vt:lpwstr>
  </property>
</Properties>
</file>