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18E4" w14:textId="77777777" w:rsidR="005A3A07" w:rsidRDefault="003B184F" w:rsidP="00264031">
      <w:pPr>
        <w:pStyle w:val="PaperTitle"/>
      </w:pPr>
      <w:r>
        <w:t>Simulation Model of Precast Building Structure</w:t>
      </w:r>
      <w:r>
        <w:br/>
        <w:t>(Case Study on the Indonesian Building Competition 2024)</w:t>
      </w:r>
    </w:p>
    <w:p w14:paraId="2441A2D2" w14:textId="77777777" w:rsidR="005A3A07" w:rsidRDefault="003B184F" w:rsidP="00264031">
      <w:pPr>
        <w:pStyle w:val="AuthorName"/>
        <w:rPr>
          <w:vertAlign w:val="superscript"/>
        </w:rPr>
      </w:pPr>
      <w:r>
        <w:t xml:space="preserve">Muhammad </w:t>
      </w:r>
      <w:proofErr w:type="spellStart"/>
      <w:r>
        <w:t>Ibnu</w:t>
      </w:r>
      <w:proofErr w:type="spellEnd"/>
      <w:r>
        <w:t xml:space="preserve"> </w:t>
      </w:r>
      <w:proofErr w:type="spellStart"/>
      <w:r>
        <w:t>Nursholeh</w:t>
      </w:r>
      <w:r>
        <w:rPr>
          <w:vertAlign w:val="superscript"/>
        </w:rPr>
        <w:t>a</w:t>
      </w:r>
      <w:proofErr w:type="spellEnd"/>
      <w:r>
        <w:rPr>
          <w:vertAlign w:val="superscript"/>
        </w:rPr>
        <w:t>)</w:t>
      </w:r>
      <w:r>
        <w:t xml:space="preserve">, Fikri </w:t>
      </w:r>
      <w:proofErr w:type="spellStart"/>
      <w:r>
        <w:t>Haiqal</w:t>
      </w:r>
      <w:proofErr w:type="spellEnd"/>
      <w:r>
        <w:t xml:space="preserve"> </w:t>
      </w:r>
      <w:proofErr w:type="spellStart"/>
      <w:r>
        <w:t>Febrian</w:t>
      </w:r>
      <w:proofErr w:type="spellEnd"/>
      <w:r>
        <w:t xml:space="preserve"> </w:t>
      </w:r>
      <w:proofErr w:type="spellStart"/>
      <w:r>
        <w:t>Adha</w:t>
      </w:r>
      <w:r>
        <w:rPr>
          <w:vertAlign w:val="superscript"/>
        </w:rPr>
        <w:t>b</w:t>
      </w:r>
      <w:proofErr w:type="spellEnd"/>
      <w:r>
        <w:rPr>
          <w:vertAlign w:val="superscript"/>
        </w:rPr>
        <w:t>)</w:t>
      </w:r>
      <w:r>
        <w:t xml:space="preserve">, </w:t>
      </w:r>
      <w:proofErr w:type="spellStart"/>
      <w:r>
        <w:t>Moh</w:t>
      </w:r>
      <w:proofErr w:type="spellEnd"/>
      <w:r>
        <w:t xml:space="preserve">. </w:t>
      </w:r>
      <w:proofErr w:type="spellStart"/>
      <w:r>
        <w:t>Abduh</w:t>
      </w:r>
      <w:r>
        <w:rPr>
          <w:vertAlign w:val="superscript"/>
        </w:rPr>
        <w:t>c</w:t>
      </w:r>
      <w:proofErr w:type="spellEnd"/>
      <w:r>
        <w:rPr>
          <w:vertAlign w:val="superscript"/>
        </w:rPr>
        <w:t>)</w:t>
      </w:r>
      <w:r>
        <w:t xml:space="preserve">, Lintang </w:t>
      </w:r>
      <w:proofErr w:type="spellStart"/>
      <w:r>
        <w:t>Satiti</w:t>
      </w:r>
      <w:proofErr w:type="spellEnd"/>
      <w:r>
        <w:t xml:space="preserve"> </w:t>
      </w:r>
      <w:proofErr w:type="spellStart"/>
      <w:r>
        <w:t>Mahabella</w:t>
      </w:r>
      <w:r>
        <w:rPr>
          <w:vertAlign w:val="superscript"/>
        </w:rPr>
        <w:t>d</w:t>
      </w:r>
      <w:proofErr w:type="spellEnd"/>
      <w:r>
        <w:rPr>
          <w:vertAlign w:val="superscript"/>
        </w:rPr>
        <w:t>)</w:t>
      </w:r>
      <w:r>
        <w:t xml:space="preserve">, </w:t>
      </w:r>
      <w:r w:rsidR="00264031">
        <w:t xml:space="preserve">and </w:t>
      </w:r>
      <w:r>
        <w:t xml:space="preserve">Zamzami </w:t>
      </w:r>
      <w:proofErr w:type="spellStart"/>
      <w:r>
        <w:t>Septiropa</w:t>
      </w:r>
      <w:r>
        <w:rPr>
          <w:vertAlign w:val="superscript"/>
        </w:rPr>
        <w:t>e</w:t>
      </w:r>
      <w:proofErr w:type="spellEnd"/>
      <w:r>
        <w:rPr>
          <w:vertAlign w:val="superscript"/>
        </w:rPr>
        <w:t>)</w:t>
      </w:r>
    </w:p>
    <w:p w14:paraId="05100A6A" w14:textId="77777777" w:rsidR="005A3A07" w:rsidRDefault="003B184F" w:rsidP="00264031">
      <w:pPr>
        <w:pStyle w:val="AuthorAffiliation"/>
      </w:pPr>
      <w:r>
        <w:t>Department of Civil Engineering, Universitas Muhammadiyah Malang,</w:t>
      </w:r>
      <w:r w:rsidR="00264031">
        <w:t xml:space="preserve"> Malang,</w:t>
      </w:r>
      <w:r>
        <w:t xml:space="preserve"> Indonesia</w:t>
      </w:r>
    </w:p>
    <w:p w14:paraId="536C39DB" w14:textId="77777777" w:rsidR="005A3A07" w:rsidRDefault="005A3A07">
      <w:pPr>
        <w:pBdr>
          <w:top w:val="nil"/>
          <w:left w:val="nil"/>
          <w:bottom w:val="nil"/>
          <w:right w:val="nil"/>
          <w:between w:val="nil"/>
        </w:pBdr>
        <w:jc w:val="center"/>
        <w:rPr>
          <w:i/>
          <w:color w:val="000000"/>
          <w:sz w:val="20"/>
        </w:rPr>
      </w:pPr>
    </w:p>
    <w:p w14:paraId="79F46CFB" w14:textId="77777777" w:rsidR="005A3A07" w:rsidRPr="00264031" w:rsidRDefault="003B184F" w:rsidP="00264031">
      <w:pPr>
        <w:pStyle w:val="AuthorEmail"/>
        <w:rPr>
          <w:highlight w:val="white"/>
        </w:rPr>
      </w:pPr>
      <w:r w:rsidRPr="00264031">
        <w:rPr>
          <w:highlight w:val="white"/>
          <w:vertAlign w:val="superscript"/>
        </w:rPr>
        <w:t>c)</w:t>
      </w:r>
      <w:r w:rsidRPr="00264031">
        <w:rPr>
          <w:highlight w:val="white"/>
        </w:rPr>
        <w:t xml:space="preserve"> Corresponding author: </w:t>
      </w:r>
      <w:hyperlink r:id="rId5">
        <w:r w:rsidRPr="00264031">
          <w:t>abduh@umm.ac.id</w:t>
        </w:r>
      </w:hyperlink>
      <w:r w:rsidRPr="00264031">
        <w:t xml:space="preserve"> </w:t>
      </w:r>
    </w:p>
    <w:p w14:paraId="3105E500" w14:textId="77777777" w:rsidR="005A3A07" w:rsidRPr="00264031" w:rsidRDefault="003B184F" w:rsidP="00264031">
      <w:pPr>
        <w:pStyle w:val="AuthorEmail"/>
      </w:pPr>
      <w:r w:rsidRPr="00264031">
        <w:rPr>
          <w:vertAlign w:val="superscript"/>
        </w:rPr>
        <w:t>a)</w:t>
      </w:r>
      <w:r w:rsidRPr="00264031">
        <w:t xml:space="preserve"> </w:t>
      </w:r>
      <w:hyperlink r:id="rId6">
        <w:r w:rsidRPr="00264031">
          <w:t>mohamadibnu475@gmail.com</w:t>
        </w:r>
      </w:hyperlink>
      <w:r w:rsidRPr="00264031">
        <w:t xml:space="preserve"> </w:t>
      </w:r>
    </w:p>
    <w:p w14:paraId="4A2F08BE" w14:textId="77777777" w:rsidR="005A3A07" w:rsidRPr="00264031" w:rsidRDefault="003B184F" w:rsidP="00264031">
      <w:pPr>
        <w:pStyle w:val="AuthorEmail"/>
      </w:pPr>
      <w:r w:rsidRPr="00264031">
        <w:rPr>
          <w:vertAlign w:val="superscript"/>
        </w:rPr>
        <w:t>b)</w:t>
      </w:r>
      <w:r w:rsidRPr="00264031">
        <w:t xml:space="preserve"> </w:t>
      </w:r>
      <w:hyperlink r:id="rId7">
        <w:r w:rsidRPr="00264031">
          <w:t>hakermy1234@gmail.com</w:t>
        </w:r>
      </w:hyperlink>
    </w:p>
    <w:p w14:paraId="096F2F67" w14:textId="77777777" w:rsidR="005A3A07" w:rsidRPr="00264031" w:rsidRDefault="003B184F" w:rsidP="00264031">
      <w:pPr>
        <w:pStyle w:val="AuthorEmail"/>
      </w:pPr>
      <w:r w:rsidRPr="00264031">
        <w:rPr>
          <w:vertAlign w:val="superscript"/>
        </w:rPr>
        <w:t>d)</w:t>
      </w:r>
      <w:r w:rsidRPr="00264031">
        <w:t xml:space="preserve"> </w:t>
      </w:r>
      <w:hyperlink r:id="rId8">
        <w:r w:rsidRPr="00264031">
          <w:t>lintangsmahabella@umm.ac.id</w:t>
        </w:r>
      </w:hyperlink>
    </w:p>
    <w:p w14:paraId="097A35BF" w14:textId="77777777" w:rsidR="005A3A07" w:rsidRPr="00264031" w:rsidRDefault="003B184F" w:rsidP="00264031">
      <w:pPr>
        <w:pStyle w:val="AuthorEmail"/>
      </w:pPr>
      <w:r w:rsidRPr="00264031">
        <w:rPr>
          <w:vertAlign w:val="superscript"/>
        </w:rPr>
        <w:t>e)</w:t>
      </w:r>
      <w:r w:rsidRPr="00264031">
        <w:t xml:space="preserve"> </w:t>
      </w:r>
      <w:hyperlink r:id="rId9">
        <w:r w:rsidRPr="00264031">
          <w:t>zamseptiropa@umm.ac.id</w:t>
        </w:r>
      </w:hyperlink>
    </w:p>
    <w:p w14:paraId="306CA420" w14:textId="77777777" w:rsidR="005A3A07" w:rsidRDefault="003B184F">
      <w:pPr>
        <w:pBdr>
          <w:top w:val="nil"/>
          <w:left w:val="nil"/>
          <w:bottom w:val="nil"/>
          <w:right w:val="nil"/>
          <w:between w:val="nil"/>
        </w:pBdr>
        <w:spacing w:before="240" w:after="200"/>
        <w:ind w:left="288" w:right="288"/>
        <w:jc w:val="both"/>
        <w:rPr>
          <w:b/>
          <w:color w:val="000000"/>
          <w:sz w:val="18"/>
          <w:szCs w:val="18"/>
        </w:rPr>
      </w:pPr>
      <w:r>
        <w:rPr>
          <w:b/>
          <w:color w:val="000000"/>
          <w:sz w:val="18"/>
          <w:szCs w:val="18"/>
        </w:rPr>
        <w:t xml:space="preserve">Abstract. </w:t>
      </w:r>
      <w:r>
        <w:rPr>
          <w:color w:val="000000"/>
          <w:sz w:val="18"/>
          <w:szCs w:val="18"/>
        </w:rPr>
        <w:t xml:space="preserve"> This study discusses the design of a 10-story building structure developed by “</w:t>
      </w:r>
      <w:proofErr w:type="spellStart"/>
      <w:r>
        <w:rPr>
          <w:i/>
          <w:color w:val="000000"/>
          <w:sz w:val="18"/>
          <w:szCs w:val="18"/>
        </w:rPr>
        <w:t>Nusatech</w:t>
      </w:r>
      <w:proofErr w:type="spellEnd"/>
      <w:r>
        <w:rPr>
          <w:i/>
          <w:color w:val="000000"/>
          <w:sz w:val="18"/>
          <w:szCs w:val="18"/>
        </w:rPr>
        <w:t xml:space="preserve"> </w:t>
      </w:r>
      <w:proofErr w:type="spellStart"/>
      <w:r>
        <w:rPr>
          <w:i/>
          <w:color w:val="000000"/>
          <w:sz w:val="18"/>
          <w:szCs w:val="18"/>
        </w:rPr>
        <w:t>Stiratva</w:t>
      </w:r>
      <w:proofErr w:type="spellEnd"/>
      <w:r>
        <w:rPr>
          <w:color w:val="000000"/>
          <w:sz w:val="18"/>
          <w:szCs w:val="18"/>
        </w:rPr>
        <w:t>” using an open frame structural system based on the strong column weak beam concept for earthquake resistance. The columns used have dimensions of 15 mm × 13 mm and the beams are 8 mm × 12 mm with concrete quality fc' 40 MPa, optimized for earthquake resistance on the weak axis and reduction of building weight. Concepts of durability and rapid construction are applied in the design of weather-resistant and easily executed connections. Bolt and plate connections with holes larger than the bolt diameter are chosen to create optimal deformation. The total weight of the building is 12,778 kg, including precast reinforced concrete structure, plywood on the base slab, plywood as floor slabs, connection weight, as well as paper walls and additional accessories. The maximum deflection recorded is 0.166 mm at a frequency of 5.5 Hz on the 10th floor, which meets the allowable deflection requirements.</w:t>
      </w:r>
    </w:p>
    <w:p w14:paraId="52E11AE4" w14:textId="77777777" w:rsidR="005A3A07" w:rsidRDefault="003B184F">
      <w:pPr>
        <w:pBdr>
          <w:top w:val="nil"/>
          <w:left w:val="nil"/>
          <w:bottom w:val="nil"/>
          <w:right w:val="nil"/>
          <w:between w:val="nil"/>
        </w:pBdr>
        <w:spacing w:after="360"/>
        <w:ind w:left="288" w:right="288"/>
        <w:jc w:val="both"/>
        <w:rPr>
          <w:color w:val="000000"/>
          <w:sz w:val="18"/>
          <w:szCs w:val="18"/>
        </w:rPr>
      </w:pPr>
      <w:r>
        <w:rPr>
          <w:b/>
          <w:color w:val="000000"/>
          <w:sz w:val="18"/>
          <w:szCs w:val="18"/>
        </w:rPr>
        <w:t xml:space="preserve">Keywords: </w:t>
      </w:r>
      <w:r>
        <w:rPr>
          <w:color w:val="000000"/>
          <w:sz w:val="18"/>
          <w:szCs w:val="18"/>
        </w:rPr>
        <w:t xml:space="preserve">Structure, Building, Precast-concrete, Model. </w:t>
      </w:r>
    </w:p>
    <w:p w14:paraId="20D190AB" w14:textId="77777777" w:rsidR="005A3A07" w:rsidRDefault="003B184F">
      <w:pPr>
        <w:pStyle w:val="Heading1"/>
      </w:pPr>
      <w:r>
        <w:t>INTRODUCTION</w:t>
      </w:r>
    </w:p>
    <w:p w14:paraId="22A7C2EB" w14:textId="77777777" w:rsidR="005A3A07" w:rsidRPr="001361A0" w:rsidRDefault="003B184F" w:rsidP="00264031">
      <w:pPr>
        <w:pStyle w:val="Paragraph"/>
        <w:rPr>
          <w:rStyle w:val="Emphasis"/>
        </w:rPr>
      </w:pPr>
      <w:r w:rsidRPr="001361A0">
        <w:rPr>
          <w:rStyle w:val="Emphasis"/>
        </w:rPr>
        <w:t>Infrastructure development is a vital element in supporting the progress of a country. In Indonesia, to promote equitable development, various new areas and regions are being developed, including the construction of the National Capital City (IKN) in East Kalimantan. The development of the IKN area requires various supporting infrastructures, including buildings that function as facilities for office activities and new residential areas. The challenge for engineers in this context is to design buildings that can be constructed quickly, be strong, efficient, and earthquake-resistant, in line with the acceleration of development in Indonesia.</w:t>
      </w:r>
    </w:p>
    <w:p w14:paraId="18ED8033" w14:textId="1E8B975E" w:rsidR="005A3A07" w:rsidRPr="001361A0" w:rsidRDefault="003B184F" w:rsidP="00264031">
      <w:pPr>
        <w:pStyle w:val="Paragraph"/>
        <w:rPr>
          <w:rStyle w:val="Emphasis"/>
        </w:rPr>
      </w:pPr>
      <w:r w:rsidRPr="001361A0">
        <w:rPr>
          <w:rStyle w:val="Emphasis"/>
        </w:rPr>
        <w:t xml:space="preserve">Indonesia is a region with a high risk of earthquakes, including areas such as </w:t>
      </w:r>
      <w:proofErr w:type="spellStart"/>
      <w:r w:rsidRPr="001361A0">
        <w:rPr>
          <w:rStyle w:val="Emphasis"/>
        </w:rPr>
        <w:t>Kutai</w:t>
      </w:r>
      <w:proofErr w:type="spellEnd"/>
      <w:r w:rsidRPr="001361A0">
        <w:rPr>
          <w:rStyle w:val="Emphasis"/>
        </w:rPr>
        <w:t xml:space="preserve"> </w:t>
      </w:r>
      <w:proofErr w:type="spellStart"/>
      <w:r w:rsidRPr="001361A0">
        <w:rPr>
          <w:rStyle w:val="Emphasis"/>
        </w:rPr>
        <w:t>Kartanegara</w:t>
      </w:r>
      <w:proofErr w:type="spellEnd"/>
      <w:r w:rsidRPr="001361A0">
        <w:rPr>
          <w:rStyle w:val="Emphasis"/>
        </w:rPr>
        <w:t xml:space="preserve"> and </w:t>
      </w:r>
      <w:proofErr w:type="spellStart"/>
      <w:r w:rsidRPr="001361A0">
        <w:rPr>
          <w:rStyle w:val="Emphasis"/>
        </w:rPr>
        <w:t>Penajam</w:t>
      </w:r>
      <w:proofErr w:type="spellEnd"/>
      <w:r w:rsidRPr="001361A0">
        <w:rPr>
          <w:rStyle w:val="Emphasis"/>
        </w:rPr>
        <w:t xml:space="preserve"> Paser Utara in East Kalimantan Province, which will become the location for the new IKN area. Although Kalimantan Island is not traversed by volcanic mountain ranges, there are currently several earthquake sources such as the </w:t>
      </w:r>
      <w:proofErr w:type="spellStart"/>
      <w:r w:rsidRPr="001361A0">
        <w:rPr>
          <w:rStyle w:val="Emphasis"/>
        </w:rPr>
        <w:t>Maratus</w:t>
      </w:r>
      <w:proofErr w:type="spellEnd"/>
      <w:r w:rsidRPr="001361A0">
        <w:rPr>
          <w:rStyle w:val="Emphasis"/>
        </w:rPr>
        <w:t xml:space="preserve"> Fault, </w:t>
      </w:r>
      <w:proofErr w:type="spellStart"/>
      <w:r w:rsidRPr="001361A0">
        <w:rPr>
          <w:rStyle w:val="Emphasis"/>
        </w:rPr>
        <w:t>Mangkalihat</w:t>
      </w:r>
      <w:proofErr w:type="spellEnd"/>
      <w:r w:rsidRPr="001361A0">
        <w:rPr>
          <w:rStyle w:val="Emphasis"/>
        </w:rPr>
        <w:t xml:space="preserve"> Fault, Tarakan Fault, </w:t>
      </w:r>
      <w:proofErr w:type="spellStart"/>
      <w:r w:rsidRPr="001361A0">
        <w:rPr>
          <w:rStyle w:val="Emphasis"/>
        </w:rPr>
        <w:t>Maratua</w:t>
      </w:r>
      <w:proofErr w:type="spellEnd"/>
      <w:r w:rsidRPr="001361A0">
        <w:rPr>
          <w:rStyle w:val="Emphasis"/>
        </w:rPr>
        <w:t xml:space="preserve"> Fault, Sampurna Fault, and Paternoster Fault </w:t>
      </w:r>
      <w:r w:rsidR="000064FB" w:rsidRPr="001361A0">
        <w:rPr>
          <w:rStyle w:val="Emphasis"/>
        </w:rPr>
        <w:fldChar w:fldCharType="begin"/>
      </w:r>
      <w:r w:rsidR="000064FB" w:rsidRPr="001361A0">
        <w:rPr>
          <w:rStyle w:val="Emphasis"/>
        </w:rPr>
        <w:instrText xml:space="preserve"> ADDIN EN.CITE &lt;EndNote&gt;&lt;Cite&gt;&lt;Author&gt;Rusmilawati&lt;/Author&gt;&lt;Year&gt;2019&lt;/Year&gt;&lt;RecNum&gt;517&lt;/RecNum&gt;&lt;DisplayText&gt;[1]&lt;/DisplayText&gt;&lt;record&gt;&lt;rec-number&gt;517&lt;/rec-number&gt;&lt;foreign-keys&gt;&lt;key app="EN" db-id="eeaa0dra9wezd8e95xt5v2pu0r5t9erwz9a2" timestamp="1729894923"&gt;517&lt;/key&gt;&lt;/foreign-keys&gt;&lt;ref-type name="Journal Article"&gt;17&lt;/ref-type&gt;&lt;contributors&gt;&lt;authors&gt;&lt;author&gt;Rusmilawati, Depi&lt;/author&gt;&lt;author&gt;Djayus, Djayus&lt;/author&gt;&lt;author&gt;Lepong, Piter&lt;/author&gt;&lt;/authors&gt;&lt;/contributors&gt;&lt;titles&gt;&lt;title&gt;Studi Mekanisme Sumber Gempabumi di Wilayah Kalimantan Berdasarkan Gerak Awal Gelombang P&lt;/title&gt;&lt;secondary-title&gt;Geosains Kutai Basin&lt;/secondary-title&gt;&lt;/titles&gt;&lt;periodical&gt;&lt;full-title&gt;Geosains Kutai Basin&lt;/full-title&gt;&lt;/periodical&gt;&lt;volume&gt;2&lt;/volume&gt;&lt;number&gt;2&lt;/number&gt;&lt;dates&gt;&lt;year&gt;2019&lt;/year&gt;&lt;/dates&gt;&lt;isbn&gt;2615-5176&lt;/isbn&gt;&lt;urls&gt;&lt;/urls&gt;&lt;/record&gt;&lt;/Cite&gt;&lt;/EndNote&gt;</w:instrText>
      </w:r>
      <w:r w:rsidR="000064FB" w:rsidRPr="001361A0">
        <w:rPr>
          <w:rStyle w:val="Emphasis"/>
        </w:rPr>
        <w:fldChar w:fldCharType="separate"/>
      </w:r>
      <w:r w:rsidR="000064FB" w:rsidRPr="001361A0">
        <w:rPr>
          <w:rStyle w:val="Emphasis"/>
          <w:noProof/>
        </w:rPr>
        <w:t>[1]</w:t>
      </w:r>
      <w:r w:rsidR="000064FB" w:rsidRPr="001361A0">
        <w:rPr>
          <w:rStyle w:val="Emphasis"/>
        </w:rPr>
        <w:fldChar w:fldCharType="end"/>
      </w:r>
      <w:r w:rsidRPr="001361A0">
        <w:rPr>
          <w:rStyle w:val="Emphasis"/>
        </w:rPr>
        <w:t>. This condition requires that building designs be earthquake-resistant, and to anticipate the possibility of an earthquake, buildings need to be robust and capable of remaining standing without experiencing damage or collapse during an earthquake.</w:t>
      </w:r>
    </w:p>
    <w:p w14:paraId="6A5BDB4C" w14:textId="77777777" w:rsidR="005A3A07" w:rsidRPr="001361A0" w:rsidRDefault="003B184F" w:rsidP="00264031">
      <w:pPr>
        <w:pStyle w:val="Paragraph"/>
        <w:rPr>
          <w:rStyle w:val="Emphasis"/>
        </w:rPr>
      </w:pPr>
      <w:r w:rsidRPr="001361A0">
        <w:rPr>
          <w:rStyle w:val="Emphasis"/>
        </w:rPr>
        <w:t>The risk of earthquake damage to buildings can be minimized through earthquake-resistant structural planning using precast reinforced concrete. The use of precast concrete allows for better connection detail control and concrete quality that meets these needs. By leveraging the advantages of precast concrete, the design of connections must be capable of reducing the rigidity of the structural frame and combining high-quality reinforced concrete with additional elements that function to reduce and minimize potential tensile and compressive forces.</w:t>
      </w:r>
    </w:p>
    <w:p w14:paraId="60F8EA58" w14:textId="77777777" w:rsidR="005A3A07" w:rsidRPr="001361A0" w:rsidRDefault="003B184F" w:rsidP="00264031">
      <w:pPr>
        <w:pStyle w:val="Paragraph"/>
        <w:rPr>
          <w:rStyle w:val="Emphasis"/>
        </w:rPr>
      </w:pPr>
      <w:r w:rsidRPr="001361A0">
        <w:rPr>
          <w:rStyle w:val="Emphasis"/>
        </w:rPr>
        <w:t xml:space="preserve">In order to develop and innovate earthquake-resistant precast building structures, the government, through the Indonesian Talent Development Center, National Achievement Center, Ministry of Education, Culture, Research, and </w:t>
      </w:r>
      <w:r w:rsidRPr="001361A0">
        <w:rPr>
          <w:rStyle w:val="Emphasis"/>
        </w:rPr>
        <w:lastRenderedPageBreak/>
        <w:t xml:space="preserve">Technology, is organizing the Indonesian Building Competition (KBGI) XV in 2024. This competition focuses on the planning of earthquake-resistant multi-story buildings with the theme </w:t>
      </w:r>
      <w:r w:rsidRPr="001361A0">
        <w:rPr>
          <w:rStyle w:val="Emphasis"/>
          <w:b/>
          <w:bCs/>
        </w:rPr>
        <w:t>'Fast, Strong, Durable, and Earthquake-Resistant Buildings for Accelerating National Development</w:t>
      </w:r>
      <w:r w:rsidRPr="001361A0">
        <w:rPr>
          <w:rStyle w:val="Emphasis"/>
        </w:rPr>
        <w:t>'. The innovation of connection models in precast concrete continues to evolve in order to provide technological ease for fast and high-quality construction implementation.</w:t>
      </w:r>
    </w:p>
    <w:p w14:paraId="484315D9" w14:textId="77777777" w:rsidR="005A3A07" w:rsidRDefault="003B184F">
      <w:pPr>
        <w:pStyle w:val="Heading1"/>
        <w:spacing w:before="360"/>
      </w:pPr>
      <w:r>
        <w:t>METHODS</w:t>
      </w:r>
    </w:p>
    <w:p w14:paraId="50AA048A" w14:textId="77777777" w:rsidR="005A3A07" w:rsidRPr="00264031" w:rsidRDefault="003B184F" w:rsidP="00264031">
      <w:pPr>
        <w:pStyle w:val="Paragraph"/>
        <w:rPr>
          <w:rStyle w:val="Emphasis"/>
        </w:rPr>
      </w:pPr>
      <w:r w:rsidRPr="00264031">
        <w:rPr>
          <w:rStyle w:val="Emphasis"/>
        </w:rPr>
        <w:t>The building model with a precast concrete structure must adhere to concepts that align with the existing guidelines, including earthquake resistance, quick construction, and durability of the precast concrete building model. The design model includes the number of floors, concrete quality, reinforcement quality, and connection models with steel plates and bolts as per the competition requirements. The chosen model and methods prioritize environmental friendliness and sustainability in line with the theme of the competition.</w:t>
      </w:r>
    </w:p>
    <w:p w14:paraId="257D12C1" w14:textId="7D2CDFAC" w:rsidR="005A3A07" w:rsidRPr="00264031" w:rsidRDefault="003B184F" w:rsidP="00264031">
      <w:pPr>
        <w:pStyle w:val="Paragraph"/>
        <w:rPr>
          <w:rStyle w:val="Emphasis"/>
        </w:rPr>
      </w:pPr>
      <w:r w:rsidRPr="00264031">
        <w:rPr>
          <w:rStyle w:val="Emphasis"/>
        </w:rPr>
        <w:t xml:space="preserve">In this model, the earthquake-resistant building is designed with the Strong Column Weak Beam concept, where columns are designed to be stronger than the beams </w:t>
      </w:r>
      <w:r w:rsidR="000064FB">
        <w:rPr>
          <w:rStyle w:val="Emphasis"/>
        </w:rPr>
        <w:fldChar w:fldCharType="begin"/>
      </w:r>
      <w:r w:rsidR="000064FB">
        <w:rPr>
          <w:rStyle w:val="Emphasis"/>
        </w:rPr>
        <w:instrText xml:space="preserve"> ADDIN EN.CITE &lt;EndNote&gt;&lt;Cite&gt;&lt;Author&gt;Indonesia&lt;/Author&gt;&lt;Year&gt;2013&lt;/Year&gt;&lt;RecNum&gt;518&lt;/RecNum&gt;&lt;DisplayText&gt;[2]&lt;/DisplayText&gt;&lt;record&gt;&lt;rec-number&gt;518&lt;/rec-number&gt;&lt;foreign-keys&gt;&lt;key app="EN" db-id="eeaa0dra9wezd8e95xt5v2pu0r5t9erwz9a2" timestamp="1729895128"&gt;518&lt;/key&gt;&lt;/foreign-keys&gt;&lt;ref-type name="Journal Article"&gt;17&lt;/ref-type&gt;&lt;contributors&gt;&lt;authors&gt;&lt;author&gt;Indonesia, Standar Nasional&lt;/author&gt;&lt;/authors&gt;&lt;/contributors&gt;&lt;titles&gt;&lt;title&gt;Persyaratan beton struktural untuk bangunan gedung&lt;/title&gt;&lt;secondary-title&gt;SNI&lt;/secondary-title&gt;&lt;/titles&gt;&lt;periodical&gt;&lt;full-title&gt;SNI&lt;/full-title&gt;&lt;/periodical&gt;&lt;pages&gt;91-080&lt;/pages&gt;&lt;volume&gt;2847&lt;/volume&gt;&lt;number&gt;2013&lt;/number&gt;&lt;dates&gt;&lt;year&gt;2013&lt;/year&gt;&lt;/dates&gt;&lt;urls&gt;&lt;/urls&gt;&lt;/record&gt;&lt;/Cite&gt;&lt;/EndNote&gt;</w:instrText>
      </w:r>
      <w:r w:rsidR="000064FB">
        <w:rPr>
          <w:rStyle w:val="Emphasis"/>
        </w:rPr>
        <w:fldChar w:fldCharType="separate"/>
      </w:r>
      <w:r w:rsidR="000064FB">
        <w:rPr>
          <w:rStyle w:val="Emphasis"/>
          <w:noProof/>
        </w:rPr>
        <w:t>[2]</w:t>
      </w:r>
      <w:r w:rsidR="000064FB">
        <w:rPr>
          <w:rStyle w:val="Emphasis"/>
        </w:rPr>
        <w:fldChar w:fldCharType="end"/>
      </w:r>
      <w:r w:rsidRPr="00264031">
        <w:rPr>
          <w:rStyle w:val="Emphasis"/>
        </w:rPr>
        <w:t xml:space="preserve">. This concept is a structural engineering approach intended so that during an earthquake, the beams are flexible enough to deflect and absorb stress, while the columns are capable of supporting the loads above </w:t>
      </w:r>
      <w:r w:rsidR="000064FB">
        <w:rPr>
          <w:rStyle w:val="Emphasis"/>
        </w:rPr>
        <w:fldChar w:fldCharType="begin"/>
      </w:r>
      <w:r w:rsidR="000064FB">
        <w:rPr>
          <w:rStyle w:val="Emphasis"/>
        </w:rPr>
        <w:instrText xml:space="preserve"> ADDIN EN.CITE &lt;EndNote&gt;&lt;Cite&gt;&lt;Author&gt;Surana&lt;/Author&gt;&lt;Year&gt;2018&lt;/Year&gt;&lt;RecNum&gt;519&lt;/RecNum&gt;&lt;DisplayText&gt;[3]&lt;/DisplayText&gt;&lt;record&gt;&lt;rec-number&gt;519&lt;/rec-number&gt;&lt;foreign-keys&gt;&lt;key app="EN" db-id="eeaa0dra9wezd8e95xt5v2pu0r5t9erwz9a2" timestamp="1729895151"&gt;519&lt;/key&gt;&lt;/foreign-keys&gt;&lt;ref-type name="Journal Article"&gt;17&lt;/ref-type&gt;&lt;contributors&gt;&lt;authors&gt;&lt;author&gt;Surana, Mitesh&lt;/author&gt;&lt;author&gt;Singh, Yogendra&lt;/author&gt;&lt;author&gt;Lang, Dominik H.&lt;/author&gt;&lt;/authors&gt;&lt;/contributors&gt;&lt;titles&gt;&lt;title&gt;Effect of strong-column weak-beam design provision on the seismic fragility of RC frame buildings&lt;/title&gt;&lt;secondary-title&gt;International Journal of Advanced Structural Engineering&lt;/secondary-title&gt;&lt;/titles&gt;&lt;periodical&gt;&lt;full-title&gt;International Journal of Advanced Structural Engineering&lt;/full-title&gt;&lt;/periodical&gt;&lt;pages&gt;131-141&lt;/pages&gt;&lt;volume&gt;10&lt;/volume&gt;&lt;dates&gt;&lt;year&gt;2018&lt;/year&gt;&lt;/dates&gt;&lt;publisher&gt;Springer&lt;/publisher&gt;&lt;isbn&gt;2008-3556&lt;/isbn&gt;&lt;urls&gt;&lt;/urls&gt;&lt;/record&gt;&lt;/Cite&gt;&lt;/EndNote&gt;</w:instrText>
      </w:r>
      <w:r w:rsidR="000064FB">
        <w:rPr>
          <w:rStyle w:val="Emphasis"/>
        </w:rPr>
        <w:fldChar w:fldCharType="separate"/>
      </w:r>
      <w:r w:rsidR="000064FB">
        <w:rPr>
          <w:rStyle w:val="Emphasis"/>
          <w:noProof/>
        </w:rPr>
        <w:t>[3]</w:t>
      </w:r>
      <w:r w:rsidR="000064FB">
        <w:rPr>
          <w:rStyle w:val="Emphasis"/>
        </w:rPr>
        <w:fldChar w:fldCharType="end"/>
      </w:r>
      <w:r w:rsidRPr="00264031">
        <w:rPr>
          <w:rStyle w:val="Emphasis"/>
        </w:rPr>
        <w:t xml:space="preserve">. The design of the structural components in the frame uses reinforced concrete, with structural dimensions following the guidelines of this competition. The study process flow is outlined as shown in </w:t>
      </w:r>
      <w:r w:rsidRPr="00264031">
        <w:rPr>
          <w:rStyle w:val="Emphasis"/>
          <w:b/>
          <w:bCs/>
        </w:rPr>
        <w:t>FIGURE 1</w:t>
      </w:r>
      <w:r w:rsidRPr="00264031">
        <w:rPr>
          <w:rStyle w:val="Emphasis"/>
        </w:rPr>
        <w:t xml:space="preserve"> below.</w:t>
      </w:r>
    </w:p>
    <w:p w14:paraId="4A4529D0" w14:textId="77777777" w:rsidR="005A3A07" w:rsidRDefault="003B184F">
      <w:pPr>
        <w:keepNext/>
        <w:pBdr>
          <w:top w:val="nil"/>
          <w:left w:val="nil"/>
          <w:bottom w:val="nil"/>
          <w:right w:val="nil"/>
          <w:between w:val="nil"/>
        </w:pBdr>
        <w:jc w:val="center"/>
        <w:rPr>
          <w:b/>
          <w:color w:val="000000"/>
          <w:sz w:val="20"/>
        </w:rPr>
      </w:pPr>
      <w:r>
        <w:rPr>
          <w:color w:val="000000"/>
          <w:sz w:val="20"/>
        </w:rPr>
        <w:object w:dxaOrig="2916" w:dyaOrig="5664" w14:anchorId="7E165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83.5pt" o:ole="">
            <v:imagedata r:id="rId10" o:title=""/>
          </v:shape>
          <o:OLEObject Type="Embed" ProgID="Visio.Drawing.15" ShapeID="_x0000_i1025" DrawAspect="Content" ObjectID="_1792583985" r:id="rId11"/>
        </w:object>
      </w:r>
    </w:p>
    <w:p w14:paraId="5A61F723" w14:textId="77777777" w:rsidR="005A3A07" w:rsidRDefault="003B184F" w:rsidP="00264031">
      <w:pPr>
        <w:pStyle w:val="FigureCaption"/>
      </w:pPr>
      <w:r>
        <w:rPr>
          <w:b/>
        </w:rPr>
        <w:t>FIGURE 1.</w:t>
      </w:r>
      <w:r>
        <w:t xml:space="preserve"> Research flowchart</w:t>
      </w:r>
    </w:p>
    <w:p w14:paraId="7B52ED1A" w14:textId="77777777" w:rsidR="00264031" w:rsidRDefault="00264031">
      <w:pPr>
        <w:pBdr>
          <w:top w:val="nil"/>
          <w:left w:val="nil"/>
          <w:bottom w:val="nil"/>
          <w:right w:val="nil"/>
          <w:between w:val="nil"/>
        </w:pBdr>
        <w:spacing w:after="80"/>
        <w:ind w:firstLine="288"/>
        <w:jc w:val="both"/>
        <w:rPr>
          <w:color w:val="000000"/>
          <w:sz w:val="20"/>
        </w:rPr>
      </w:pPr>
    </w:p>
    <w:p w14:paraId="375EF429" w14:textId="1AB3B450" w:rsidR="005A3A07" w:rsidRPr="00264031" w:rsidRDefault="003B184F" w:rsidP="00264031">
      <w:pPr>
        <w:pStyle w:val="Paragraph"/>
        <w:rPr>
          <w:rStyle w:val="Emphasis"/>
        </w:rPr>
      </w:pPr>
      <w:r w:rsidRPr="00264031">
        <w:rPr>
          <w:rStyle w:val="Emphasis"/>
        </w:rPr>
        <w:t xml:space="preserve">The composition of the main structural materials, columns, and beams in the precast reinforced concrete building model is designed using a concrete mix intended to withstand high compressive forces, thereby also being capable of withstanding tensile and compressive forces due to loading </w:t>
      </w:r>
      <w:r w:rsidR="000064FB">
        <w:rPr>
          <w:rStyle w:val="Emphasis"/>
        </w:rPr>
        <w:fldChar w:fldCharType="begin"/>
      </w:r>
      <w:r w:rsidR="000064FB">
        <w:rPr>
          <w:rStyle w:val="Emphasis"/>
        </w:rPr>
        <w:instrText xml:space="preserve"> ADDIN EN.CITE &lt;EndNote&gt;&lt;Cite&gt;&lt;Author&gt;Ximenes&lt;/Author&gt;&lt;Year&gt;2021&lt;/Year&gt;&lt;RecNum&gt;520&lt;/RecNum&gt;&lt;DisplayText&gt;[4]&lt;/DisplayText&gt;&lt;record&gt;&lt;rec-number&gt;520&lt;/rec-number&gt;&lt;foreign-keys&gt;&lt;key app="EN" db-id="eeaa0dra9wezd8e95xt5v2pu0r5t9erwz9a2" timestamp="1729895176"&gt;520&lt;/key&gt;&lt;/foreign-keys&gt;&lt;ref-type name="Conference Proceedings"&gt;10&lt;/ref-type&gt;&lt;contributors&gt;&lt;authors&gt;&lt;author&gt;Ximenes, Amds&lt;/author&gt;&lt;author&gt;Halim, Abdul&lt;/author&gt;&lt;author&gt;Suraji, Aji&lt;/author&gt;&lt;/authors&gt;&lt;/contributors&gt;&lt;titles&gt;&lt;title&gt;Pengaruh komposisi campuran beton dan jenis semen terhadap kelecakan (concrete workability) dan kuat tekan beton&lt;/title&gt;&lt;secondary-title&gt;The 4th Conference on Innovation and Application of Science and Technology (CIASTECH 2021)&lt;/secondary-title&gt;&lt;alt-title&gt;The 4th Conference on Innovation and Application of Science and Technology (CIASTECH 2021), Ciastech&lt;/alt-title&gt;&lt;/titles&gt;&lt;pages&gt;529-538&lt;/pages&gt;&lt;dates&gt;&lt;year&gt;2021&lt;/year&gt;&lt;pub-dates&gt;&lt;date&gt;2021&lt;/date&gt;&lt;/pub-dates&gt;&lt;/dates&gt;&lt;pub-location&gt;Ciastech&lt;/pub-location&gt;&lt;urls&gt;&lt;/urls&gt;&lt;/record&gt;&lt;/Cite&gt;&lt;/EndNote&gt;</w:instrText>
      </w:r>
      <w:r w:rsidR="000064FB">
        <w:rPr>
          <w:rStyle w:val="Emphasis"/>
        </w:rPr>
        <w:fldChar w:fldCharType="separate"/>
      </w:r>
      <w:r w:rsidR="000064FB">
        <w:rPr>
          <w:rStyle w:val="Emphasis"/>
          <w:noProof/>
        </w:rPr>
        <w:t>[4]</w:t>
      </w:r>
      <w:r w:rsidR="000064FB">
        <w:rPr>
          <w:rStyle w:val="Emphasis"/>
        </w:rPr>
        <w:fldChar w:fldCharType="end"/>
      </w:r>
      <w:r w:rsidRPr="00264031">
        <w:rPr>
          <w:rStyle w:val="Emphasis"/>
        </w:rPr>
        <w:t>. The quality of the concrete is designed to meet the standards and requirements specified to ensure safety, strength, and durability, using concrete quality (fc') of 40 MPa. The building dimensions used refer to the guidelines in the KBGI 2024.</w:t>
      </w:r>
    </w:p>
    <w:p w14:paraId="50C98A28" w14:textId="6B4CF0B4" w:rsidR="005A3A07" w:rsidRDefault="003B184F" w:rsidP="00264031">
      <w:pPr>
        <w:pStyle w:val="Paragraph"/>
        <w:rPr>
          <w:rStyle w:val="Emphasis"/>
        </w:rPr>
      </w:pPr>
      <w:r w:rsidRPr="00264031">
        <w:rPr>
          <w:rStyle w:val="Emphasis"/>
        </w:rPr>
        <w:t xml:space="preserve">The connection devices in precast concrete use connection plates and bolts, which function to join structural components into a cohesive and secure unit. The steel connection plates serve as the linking medium between main structural elements, such as columns and beams </w:t>
      </w:r>
      <w:r w:rsidR="000064FB">
        <w:rPr>
          <w:rStyle w:val="Emphasis"/>
        </w:rPr>
        <w:fldChar w:fldCharType="begin"/>
      </w:r>
      <w:r w:rsidR="000064FB">
        <w:rPr>
          <w:rStyle w:val="Emphasis"/>
        </w:rPr>
        <w:instrText xml:space="preserve"> ADDIN EN.CITE &lt;EndNote&gt;&lt;Cite&gt;&lt;Author&gt;Da Conceição&lt;/Author&gt;&lt;Year&gt;2019&lt;/Year&gt;&lt;RecNum&gt;521&lt;/RecNum&gt;&lt;DisplayText&gt;[5]&lt;/DisplayText&gt;&lt;record&gt;&lt;rec-number&gt;521&lt;/rec-number&gt;&lt;foreign-keys&gt;&lt;key app="EN" db-id="eeaa0dra9wezd8e95xt5v2pu0r5t9erwz9a2" timestamp="1729895661"&gt;521&lt;/key&gt;&lt;/foreign-keys&gt;&lt;ref-type name="Journal Article"&gt;17&lt;/ref-type&gt;&lt;contributors&gt;&lt;authors&gt;&lt;author&gt;Da Conceição, Gilberto De Carvalho&lt;/author&gt;&lt;author&gt;Lisantono, Ade&lt;/author&gt;&lt;/authors&gt;&lt;/contributors&gt;&lt;titles&gt;&lt;title&gt;SAMBUNGAN BALOK BETON BERTULANG PRACETAK DENGAN LAPISAN CFRP DAN PLAT BAJA&lt;/title&gt;&lt;secondary-title&gt;Jurnal Teknik Sipil&lt;/secondary-title&gt;&lt;/titles&gt;&lt;periodical&gt;&lt;full-title&gt;Jurnal Teknik Sipil&lt;/full-title&gt;&lt;/periodical&gt;&lt;pages&gt;124-132&lt;/pages&gt;&lt;volume&gt;15&lt;/volume&gt;&lt;number&gt;2&lt;/number&gt;&lt;dates&gt;&lt;year&gt;2019&lt;/year&gt;&lt;/dates&gt;&lt;isbn&gt;2549-2918&lt;/isbn&gt;&lt;urls&gt;&lt;/urls&gt;&lt;/record&gt;&lt;/Cite&gt;&lt;/EndNote&gt;</w:instrText>
      </w:r>
      <w:r w:rsidR="000064FB">
        <w:rPr>
          <w:rStyle w:val="Emphasis"/>
        </w:rPr>
        <w:fldChar w:fldCharType="separate"/>
      </w:r>
      <w:r w:rsidR="000064FB">
        <w:rPr>
          <w:rStyle w:val="Emphasis"/>
          <w:noProof/>
        </w:rPr>
        <w:t>[5]</w:t>
      </w:r>
      <w:r w:rsidR="000064FB">
        <w:rPr>
          <w:rStyle w:val="Emphasis"/>
        </w:rPr>
        <w:fldChar w:fldCharType="end"/>
      </w:r>
      <w:r w:rsidRPr="00264031">
        <w:rPr>
          <w:rStyle w:val="Emphasis"/>
        </w:rPr>
        <w:t xml:space="preserve">. The plates are designed to withstand tensile, compressive, and shear forces occurring at the connections as shown in </w:t>
      </w:r>
      <w:r w:rsidRPr="00264031">
        <w:rPr>
          <w:rStyle w:val="Emphasis"/>
          <w:b/>
          <w:bCs/>
        </w:rPr>
        <w:t>FIGURE 2</w:t>
      </w:r>
      <w:r w:rsidRPr="00264031">
        <w:rPr>
          <w:rStyle w:val="Emphasis"/>
        </w:rPr>
        <w:t xml:space="preserve">. The bolts used to fasten the connection plates and </w:t>
      </w:r>
      <w:r w:rsidRPr="00264031">
        <w:rPr>
          <w:rStyle w:val="Emphasis"/>
        </w:rPr>
        <w:lastRenderedPageBreak/>
        <w:t>other precast concrete components are designed to resist tensile, shear, support, and other forces caused by various vibration frequencies experienced by this building model.</w:t>
      </w:r>
    </w:p>
    <w:p w14:paraId="5EC60263" w14:textId="77777777" w:rsidR="00264031" w:rsidRPr="00264031" w:rsidRDefault="00264031" w:rsidP="00264031">
      <w:pPr>
        <w:pStyle w:val="Paragraph"/>
        <w:rPr>
          <w:rStyle w:val="Emphasis"/>
        </w:rPr>
      </w:pP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5A3A07" w14:paraId="0CD279F2" w14:textId="77777777">
        <w:tc>
          <w:tcPr>
            <w:tcW w:w="4675" w:type="dxa"/>
          </w:tcPr>
          <w:p w14:paraId="6D567258" w14:textId="77777777" w:rsidR="005A3A07" w:rsidRDefault="003B184F">
            <w:pPr>
              <w:keepNext/>
              <w:pBdr>
                <w:top w:val="nil"/>
                <w:left w:val="nil"/>
                <w:bottom w:val="nil"/>
                <w:right w:val="nil"/>
                <w:between w:val="nil"/>
              </w:pBdr>
              <w:jc w:val="center"/>
              <w:rPr>
                <w:color w:val="000000"/>
              </w:rPr>
            </w:pPr>
            <w:r>
              <w:rPr>
                <w:noProof/>
                <w:color w:val="000000"/>
              </w:rPr>
              <w:drawing>
                <wp:inline distT="0" distB="0" distL="0" distR="0" wp14:anchorId="3A67FF2C" wp14:editId="42B4FD25">
                  <wp:extent cx="2598827" cy="1775652"/>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598827" cy="1775652"/>
                          </a:xfrm>
                          <a:prstGeom prst="rect">
                            <a:avLst/>
                          </a:prstGeom>
                          <a:ln/>
                        </pic:spPr>
                      </pic:pic>
                    </a:graphicData>
                  </a:graphic>
                </wp:inline>
              </w:drawing>
            </w:r>
          </w:p>
          <w:p w14:paraId="286D86C4" w14:textId="77777777" w:rsidR="005A3A07" w:rsidRDefault="003B184F">
            <w:pPr>
              <w:pBdr>
                <w:top w:val="nil"/>
                <w:left w:val="nil"/>
                <w:bottom w:val="nil"/>
                <w:right w:val="nil"/>
                <w:between w:val="nil"/>
              </w:pBdr>
              <w:ind w:left="429"/>
              <w:jc w:val="center"/>
              <w:rPr>
                <w:color w:val="333333"/>
              </w:rPr>
            </w:pPr>
            <w:r>
              <w:rPr>
                <w:color w:val="333333"/>
              </w:rPr>
              <w:t>(a)</w:t>
            </w:r>
          </w:p>
        </w:tc>
        <w:tc>
          <w:tcPr>
            <w:tcW w:w="4675" w:type="dxa"/>
          </w:tcPr>
          <w:p w14:paraId="0CD7DD28" w14:textId="77777777" w:rsidR="005A3A07" w:rsidRDefault="003B184F">
            <w:pPr>
              <w:keepNext/>
              <w:pBdr>
                <w:top w:val="nil"/>
                <w:left w:val="nil"/>
                <w:bottom w:val="nil"/>
                <w:right w:val="nil"/>
                <w:between w:val="nil"/>
              </w:pBdr>
              <w:jc w:val="center"/>
              <w:rPr>
                <w:color w:val="000000"/>
              </w:rPr>
            </w:pPr>
            <w:r>
              <w:rPr>
                <w:noProof/>
                <w:color w:val="000000"/>
              </w:rPr>
              <w:drawing>
                <wp:inline distT="0" distB="0" distL="0" distR="0" wp14:anchorId="34605D31" wp14:editId="6FE3F817">
                  <wp:extent cx="2598332" cy="1775314"/>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98332" cy="1775314"/>
                          </a:xfrm>
                          <a:prstGeom prst="rect">
                            <a:avLst/>
                          </a:prstGeom>
                          <a:ln/>
                        </pic:spPr>
                      </pic:pic>
                    </a:graphicData>
                  </a:graphic>
                </wp:inline>
              </w:drawing>
            </w:r>
          </w:p>
          <w:p w14:paraId="504BF3BD" w14:textId="77777777" w:rsidR="005A3A07" w:rsidRDefault="003B184F">
            <w:pPr>
              <w:pBdr>
                <w:top w:val="nil"/>
                <w:left w:val="nil"/>
                <w:bottom w:val="nil"/>
                <w:right w:val="nil"/>
                <w:between w:val="nil"/>
              </w:pBdr>
              <w:ind w:right="340"/>
              <w:jc w:val="center"/>
              <w:rPr>
                <w:color w:val="333333"/>
              </w:rPr>
            </w:pPr>
            <w:r>
              <w:rPr>
                <w:color w:val="333333"/>
              </w:rPr>
              <w:t>(b)</w:t>
            </w:r>
          </w:p>
        </w:tc>
      </w:tr>
    </w:tbl>
    <w:p w14:paraId="019CFC0E" w14:textId="77777777" w:rsidR="005A3A07" w:rsidRDefault="003B184F" w:rsidP="00264031">
      <w:pPr>
        <w:pStyle w:val="FigureCaption"/>
      </w:pPr>
      <w:r>
        <w:rPr>
          <w:b/>
        </w:rPr>
        <w:t>FIGURE 2</w:t>
      </w:r>
      <w:r>
        <w:t>. Model of connection (a) connection system, (b) column-beam connected</w:t>
      </w:r>
    </w:p>
    <w:p w14:paraId="7E7E4EF8" w14:textId="77777777" w:rsidR="00264031" w:rsidRDefault="00264031">
      <w:pPr>
        <w:pBdr>
          <w:top w:val="nil"/>
          <w:left w:val="nil"/>
          <w:bottom w:val="nil"/>
          <w:right w:val="nil"/>
          <w:between w:val="nil"/>
        </w:pBdr>
        <w:spacing w:after="80"/>
        <w:ind w:firstLine="360"/>
        <w:jc w:val="both"/>
        <w:rPr>
          <w:color w:val="000000"/>
          <w:sz w:val="20"/>
        </w:rPr>
      </w:pPr>
    </w:p>
    <w:p w14:paraId="4EA86E8A" w14:textId="77777777" w:rsidR="005A3A07" w:rsidRPr="00264031" w:rsidRDefault="003B184F" w:rsidP="00264031">
      <w:pPr>
        <w:pStyle w:val="Paragraph"/>
        <w:rPr>
          <w:rStyle w:val="Emphasis"/>
        </w:rPr>
      </w:pPr>
      <w:r w:rsidRPr="00264031">
        <w:rPr>
          <w:rStyle w:val="Emphasis"/>
        </w:rPr>
        <w:t>The connection model consists of structural elements in the form of columns and beams. The connection system includes a plate complete with locking bolts on the beam. The connecting plate is installed as one unit when the column is cast, creating a bond between the beam and the plate. The design of the plate must meet the capacity of the internal forces acting on it and is simulated during structural analysis. This method offers a simple connection model and allows for ease of implementation.</w:t>
      </w:r>
    </w:p>
    <w:p w14:paraId="2EA57F79" w14:textId="5D7C5DC1" w:rsidR="005A3A07" w:rsidRPr="00264031" w:rsidRDefault="003B184F" w:rsidP="00264031">
      <w:pPr>
        <w:pStyle w:val="Paragraph"/>
        <w:rPr>
          <w:rStyle w:val="Emphasis"/>
        </w:rPr>
      </w:pPr>
      <w:r w:rsidRPr="00264031">
        <w:rPr>
          <w:rStyle w:val="Emphasis"/>
        </w:rPr>
        <w:t xml:space="preserve">Structural analysis and load simulation are conducted to ensure the safety of the building structure against earthquakes. This process involves a detailed assessment of the building's structural elements, including materials, design, and component interactions. By performing load simulations, we can predict the building's response to various conditions and loads, both static and dynamic. This allows for the identification of potential weak points and optimization of the design to ensure optimal performance of the building </w:t>
      </w:r>
      <w:r w:rsidR="0021793C">
        <w:rPr>
          <w:rStyle w:val="Emphasis"/>
        </w:rPr>
        <w:fldChar w:fldCharType="begin"/>
      </w:r>
      <w:r w:rsidR="0021793C">
        <w:rPr>
          <w:rStyle w:val="Emphasis"/>
        </w:rPr>
        <w:instrText xml:space="preserve"> ADDIN EN.CITE &lt;EndNote&gt;&lt;Cite&gt;&lt;Author&gt;Firdha&lt;/Author&gt;&lt;Year&gt;2021&lt;/Year&gt;&lt;RecNum&gt;522&lt;/RecNum&gt;&lt;DisplayText&gt;[6]&lt;/DisplayText&gt;&lt;record&gt;&lt;rec-number&gt;522&lt;/rec-number&gt;&lt;foreign-keys&gt;&lt;key app="EN" db-id="eeaa0dra9wezd8e95xt5v2pu0r5t9erwz9a2" timestamp="1729895693"&gt;522&lt;/key&gt;&lt;/foreign-keys&gt;&lt;ref-type name="Journal Article"&gt;17&lt;/ref-type&gt;&lt;contributors&gt;&lt;authors&gt;&lt;author&gt;Firdha, Risty Amelia&lt;/author&gt;&lt;author&gt;Isneini, Mohd&lt;/author&gt;&lt;author&gt;Husni, Hasti Riakara&lt;/author&gt;&lt;author&gt;Widyawati, Ratna&lt;/author&gt;&lt;/authors&gt;&lt;/contributors&gt;&lt;titles&gt;&lt;title&gt;Analisis Kinerja Struktur Gedung Bertingkat Terhadap Beban Gempa Dengan Metode Pushover Analysis (Studi Kasus: Gedung Rawat Inap Non–Bedah Rumah Sakit Umum Daerah Dr. H. Abdul Moeloek)&lt;/title&gt;&lt;secondary-title&gt;Jurnal Rekayasa Sipil dan Desain&lt;/secondary-title&gt;&lt;/titles&gt;&lt;periodical&gt;&lt;full-title&gt;Jurnal Rekayasa Sipil dan Desain&lt;/full-title&gt;&lt;/periodical&gt;&lt;pages&gt;486195&lt;/pages&gt;&lt;volume&gt;9&lt;/volume&gt;&lt;number&gt;4&lt;/number&gt;&lt;dates&gt;&lt;year&gt;2021&lt;/year&gt;&lt;/dates&gt;&lt;publisher&gt;Lampung University&lt;/publisher&gt;&lt;isbn&gt;2303-0011&lt;/isbn&gt;&lt;urls&gt;&lt;/urls&gt;&lt;/record&gt;&lt;/Cite&gt;&lt;/EndNote&gt;</w:instrText>
      </w:r>
      <w:r w:rsidR="0021793C">
        <w:rPr>
          <w:rStyle w:val="Emphasis"/>
        </w:rPr>
        <w:fldChar w:fldCharType="separate"/>
      </w:r>
      <w:r w:rsidR="0021793C">
        <w:rPr>
          <w:rStyle w:val="Emphasis"/>
          <w:noProof/>
        </w:rPr>
        <w:t>[6]</w:t>
      </w:r>
      <w:r w:rsidR="0021793C">
        <w:rPr>
          <w:rStyle w:val="Emphasis"/>
        </w:rPr>
        <w:fldChar w:fldCharType="end"/>
      </w:r>
      <w:r w:rsidRPr="00264031">
        <w:rPr>
          <w:rStyle w:val="Emphasis"/>
        </w:rPr>
        <w:t>. Through careful analysis, the risk of structural failure and damage can be reduced.</w:t>
      </w:r>
    </w:p>
    <w:p w14:paraId="1E18088B" w14:textId="179FEF16" w:rsidR="005A3A07" w:rsidRPr="00264031" w:rsidRDefault="003B184F" w:rsidP="00264031">
      <w:pPr>
        <w:pStyle w:val="Paragraph"/>
        <w:rPr>
          <w:rStyle w:val="Emphasis"/>
        </w:rPr>
      </w:pPr>
      <w:r w:rsidRPr="00264031">
        <w:rPr>
          <w:rStyle w:val="Emphasis"/>
        </w:rPr>
        <w:t xml:space="preserve">Cross-sectional capacity control and analysis of the special moment-resisting frame refer to SNI 2847:2019 </w:t>
      </w:r>
      <w:r w:rsidR="0021793C">
        <w:rPr>
          <w:rStyle w:val="Emphasis"/>
        </w:rPr>
        <w:fldChar w:fldCharType="begin"/>
      </w:r>
      <w:r w:rsidR="0021793C">
        <w:rPr>
          <w:rStyle w:val="Emphasis"/>
        </w:rPr>
        <w:instrText xml:space="preserve"> ADDIN EN.CITE &lt;EndNote&gt;&lt;Cite&gt;&lt;Author&gt;Indonesia&lt;/Author&gt;&lt;Year&gt;2013&lt;/Year&gt;&lt;RecNum&gt;518&lt;/RecNum&gt;&lt;DisplayText&gt;[2]&lt;/DisplayText&gt;&lt;record&gt;&lt;rec-number&gt;518&lt;/rec-number&gt;&lt;foreign-keys&gt;&lt;key app="EN" db-id="eeaa0dra9wezd8e95xt5v2pu0r5t9erwz9a2" timestamp="1729895128"&gt;518&lt;/key&gt;&lt;/foreign-keys&gt;&lt;ref-type name="Journal Article"&gt;17&lt;/ref-type&gt;&lt;contributors&gt;&lt;authors&gt;&lt;author&gt;Indonesia, Standar Nasional&lt;/author&gt;&lt;/authors&gt;&lt;/contributors&gt;&lt;titles&gt;&lt;title&gt;Persyaratan beton struktural untuk bangunan gedung&lt;/title&gt;&lt;secondary-title&gt;SNI&lt;/secondary-title&gt;&lt;/titles&gt;&lt;periodical&gt;&lt;full-title&gt;SNI&lt;/full-title&gt;&lt;/periodical&gt;&lt;pages&gt;91-080&lt;/pages&gt;&lt;volume&gt;2847&lt;/volume&gt;&lt;number&gt;2013&lt;/number&gt;&lt;dates&gt;&lt;year&gt;2013&lt;/year&gt;&lt;/dates&gt;&lt;urls&gt;&lt;/urls&gt;&lt;/record&gt;&lt;/Cite&gt;&lt;/EndNote&gt;</w:instrText>
      </w:r>
      <w:r w:rsidR="0021793C">
        <w:rPr>
          <w:rStyle w:val="Emphasis"/>
        </w:rPr>
        <w:fldChar w:fldCharType="separate"/>
      </w:r>
      <w:r w:rsidR="0021793C">
        <w:rPr>
          <w:rStyle w:val="Emphasis"/>
          <w:noProof/>
        </w:rPr>
        <w:t>[2]</w:t>
      </w:r>
      <w:r w:rsidR="0021793C">
        <w:rPr>
          <w:rStyle w:val="Emphasis"/>
        </w:rPr>
        <w:fldChar w:fldCharType="end"/>
      </w:r>
      <w:r w:rsidRPr="00264031">
        <w:rPr>
          <w:rStyle w:val="Emphasis"/>
        </w:rPr>
        <w:t xml:space="preserve">. Meanwhile, maximum deflection control due to earthquakes refers to SNI 1726:2019 </w:t>
      </w:r>
      <w:r w:rsidR="0021793C">
        <w:rPr>
          <w:rStyle w:val="Emphasis"/>
        </w:rPr>
        <w:fldChar w:fldCharType="begin"/>
      </w:r>
      <w:r w:rsidR="0021793C">
        <w:rPr>
          <w:rStyle w:val="Emphasis"/>
        </w:rPr>
        <w:instrText xml:space="preserve"> ADDIN EN.CITE &lt;EndNote&gt;&lt;Cite&gt;&lt;Author&gt;Nasional&lt;/Author&gt;&lt;Year&gt;2012&lt;/Year&gt;&lt;RecNum&gt;523&lt;/RecNum&gt;&lt;DisplayText&gt;[7]&lt;/DisplayText&gt;&lt;record&gt;&lt;rec-number&gt;523&lt;/rec-number&gt;&lt;foreign-keys&gt;&lt;key app="EN" db-id="eeaa0dra9wezd8e95xt5v2pu0r5t9erwz9a2" timestamp="1729895762"&gt;523&lt;/key&gt;&lt;/foreign-keys&gt;&lt;ref-type name="Journal Article"&gt;17&lt;/ref-type&gt;&lt;contributors&gt;&lt;authors&gt;&lt;author&gt;Nasional, Badan Standarisasi&lt;/author&gt;&lt;/authors&gt;&lt;/contributors&gt;&lt;titles&gt;&lt;title&gt;Tata cara perencanaan ketahanan gempa untuk struktur bangunan gedung dan non gedung&lt;/title&gt;&lt;secondary-title&gt;Sni&lt;/secondary-title&gt;&lt;/titles&gt;&lt;periodical&gt;&lt;full-title&gt;SNI&lt;/full-title&gt;&lt;/periodical&gt;&lt;pages&gt;2012&lt;/pages&gt;&lt;volume&gt;1726&lt;/volume&gt;&lt;dates&gt;&lt;year&gt;2012&lt;/year&gt;&lt;/dates&gt;&lt;urls&gt;&lt;/urls&gt;&lt;/record&gt;&lt;/Cite&gt;&lt;/EndNote&gt;</w:instrText>
      </w:r>
      <w:r w:rsidR="0021793C">
        <w:rPr>
          <w:rStyle w:val="Emphasis"/>
        </w:rPr>
        <w:fldChar w:fldCharType="separate"/>
      </w:r>
      <w:r w:rsidR="0021793C">
        <w:rPr>
          <w:rStyle w:val="Emphasis"/>
          <w:noProof/>
        </w:rPr>
        <w:t>[7]</w:t>
      </w:r>
      <w:r w:rsidR="0021793C">
        <w:rPr>
          <w:rStyle w:val="Emphasis"/>
        </w:rPr>
        <w:fldChar w:fldCharType="end"/>
      </w:r>
      <w:r w:rsidRPr="00264031">
        <w:rPr>
          <w:rStyle w:val="Emphasis"/>
        </w:rPr>
        <w:t>. The cross-sectional capacity control includes several reviews as outlined in Eq. 1 and Eq. 2.</w:t>
      </w:r>
    </w:p>
    <w:p w14:paraId="1B0C9032" w14:textId="77777777" w:rsidR="00264031" w:rsidRDefault="00264031">
      <w:pPr>
        <w:pBdr>
          <w:top w:val="nil"/>
          <w:left w:val="nil"/>
          <w:bottom w:val="nil"/>
          <w:right w:val="nil"/>
          <w:between w:val="nil"/>
        </w:pBdr>
        <w:tabs>
          <w:tab w:val="right" w:pos="8910"/>
        </w:tabs>
        <w:ind w:left="4320" w:hanging="3960"/>
        <w:jc w:val="both"/>
        <w:rPr>
          <w:color w:val="000000"/>
          <w:sz w:val="20"/>
        </w:rPr>
      </w:pPr>
      <w:bookmarkStart w:id="0" w:name="_heading=h.gjdgxs" w:colFirst="0" w:colLast="0"/>
      <w:bookmarkEnd w:id="0"/>
    </w:p>
    <w:p w14:paraId="4C047D85" w14:textId="77777777" w:rsidR="005A3A07" w:rsidRDefault="003B184F">
      <w:pPr>
        <w:pBdr>
          <w:top w:val="nil"/>
          <w:left w:val="nil"/>
          <w:bottom w:val="nil"/>
          <w:right w:val="nil"/>
          <w:between w:val="nil"/>
        </w:pBdr>
        <w:tabs>
          <w:tab w:val="right" w:pos="8910"/>
        </w:tabs>
        <w:ind w:left="4320" w:hanging="3960"/>
        <w:jc w:val="both"/>
        <w:rPr>
          <w:color w:val="333333"/>
          <w:sz w:val="20"/>
        </w:rPr>
      </w:pPr>
      <w:r>
        <w:rPr>
          <w:color w:val="000000"/>
          <w:sz w:val="20"/>
        </w:rPr>
        <w:t>Planned balk strength</w:t>
      </w:r>
      <w:r>
        <w:rPr>
          <w:color w:val="333333"/>
          <w:sz w:val="20"/>
        </w:rPr>
        <w:t xml:space="preserve"> SNI 2847:2019 9.5 </w:t>
      </w:r>
      <w:r>
        <w:rPr>
          <w:color w:val="333333"/>
          <w:sz w:val="20"/>
        </w:rPr>
        <w:tab/>
      </w:r>
      <m:oMath>
        <m:r>
          <w:rPr>
            <w:rFonts w:ascii="Cambria Math" w:eastAsia="Cambria Math" w:hAnsi="Cambria Math" w:cs="Cambria Math"/>
            <w:color w:val="333333"/>
            <w:sz w:val="20"/>
          </w:rPr>
          <m:t>ϕ Mn Mu</m:t>
        </m:r>
      </m:oMath>
    </w:p>
    <w:p w14:paraId="6350295C" w14:textId="77777777" w:rsidR="005A3A07" w:rsidRDefault="003B184F">
      <w:pPr>
        <w:rPr>
          <w:rFonts w:ascii="Cambria Math" w:eastAsia="Cambria Math" w:hAnsi="Cambria Math" w:cs="Cambria Math"/>
          <w:color w:val="333333"/>
          <w:sz w:val="20"/>
        </w:rPr>
      </w:pPr>
      <m:oMathPara>
        <m:oMath>
          <m:r>
            <w:rPr>
              <w:rFonts w:ascii="Cambria Math" w:eastAsia="Cambria Math" w:hAnsi="Cambria Math" w:cs="Cambria Math"/>
              <w:color w:val="333333"/>
              <w:sz w:val="20"/>
            </w:rPr>
            <m:t>ϕ Vn Vu</m:t>
          </m:r>
        </m:oMath>
      </m:oMathPara>
    </w:p>
    <w:p w14:paraId="154FAAA8" w14:textId="77777777" w:rsidR="005A3A07" w:rsidRDefault="003B184F">
      <w:pPr>
        <w:rPr>
          <w:rFonts w:ascii="Cambria Math" w:eastAsia="Cambria Math" w:hAnsi="Cambria Math" w:cs="Cambria Math"/>
          <w:color w:val="333333"/>
          <w:sz w:val="20"/>
        </w:rPr>
      </w:pPr>
      <m:oMathPara>
        <m:oMath>
          <m:r>
            <w:rPr>
              <w:rFonts w:ascii="Cambria Math" w:eastAsia="Cambria Math" w:hAnsi="Cambria Math" w:cs="Cambria Math"/>
              <w:color w:val="333333"/>
              <w:sz w:val="20"/>
            </w:rPr>
            <m:t>ϕ Tn Tu</m:t>
          </m:r>
        </m:oMath>
      </m:oMathPara>
    </w:p>
    <w:p w14:paraId="2C52A8A7" w14:textId="77777777" w:rsidR="005A3A07" w:rsidRDefault="003B184F">
      <w:pPr>
        <w:pBdr>
          <w:top w:val="nil"/>
          <w:left w:val="nil"/>
          <w:bottom w:val="nil"/>
          <w:right w:val="nil"/>
          <w:between w:val="nil"/>
        </w:pBdr>
        <w:tabs>
          <w:tab w:val="center" w:pos="4770"/>
          <w:tab w:val="right" w:pos="8910"/>
        </w:tabs>
        <w:spacing w:after="120"/>
        <w:jc w:val="both"/>
        <w:rPr>
          <w:color w:val="333333"/>
          <w:sz w:val="20"/>
        </w:rPr>
      </w:pPr>
      <w:r>
        <w:rPr>
          <w:color w:val="333333"/>
          <w:sz w:val="20"/>
        </w:rPr>
        <w:tab/>
      </w:r>
      <m:oMath>
        <m:r>
          <w:rPr>
            <w:rFonts w:ascii="Cambria Math" w:eastAsia="Cambria Math" w:hAnsi="Cambria Math" w:cs="Cambria Math"/>
            <w:color w:val="333333"/>
            <w:sz w:val="20"/>
          </w:rPr>
          <m:t xml:space="preserve">ϕ Pn Pu </m:t>
        </m:r>
      </m:oMath>
      <w:r>
        <w:rPr>
          <w:color w:val="333333"/>
          <w:sz w:val="20"/>
        </w:rPr>
        <w:t xml:space="preserve"> </w:t>
      </w:r>
      <w:r>
        <w:rPr>
          <w:color w:val="333333"/>
          <w:sz w:val="20"/>
        </w:rPr>
        <w:tab/>
        <w:t>(1)</w:t>
      </w:r>
    </w:p>
    <w:p w14:paraId="7A1CDC4A" w14:textId="77777777" w:rsidR="005A3A07" w:rsidRDefault="003B184F">
      <w:pPr>
        <w:pBdr>
          <w:top w:val="nil"/>
          <w:left w:val="nil"/>
          <w:bottom w:val="nil"/>
          <w:right w:val="nil"/>
          <w:between w:val="nil"/>
        </w:pBdr>
        <w:tabs>
          <w:tab w:val="left" w:pos="4320"/>
        </w:tabs>
        <w:ind w:left="360"/>
        <w:rPr>
          <w:color w:val="333333"/>
          <w:sz w:val="20"/>
        </w:rPr>
      </w:pPr>
      <w:r>
        <w:rPr>
          <w:color w:val="000000"/>
          <w:sz w:val="20"/>
        </w:rPr>
        <w:t>Planned column strength</w:t>
      </w:r>
      <w:r>
        <w:rPr>
          <w:color w:val="333333"/>
          <w:sz w:val="20"/>
        </w:rPr>
        <w:t xml:space="preserve"> SNI 2847:2019 10.5 </w:t>
      </w:r>
      <w:r>
        <w:rPr>
          <w:color w:val="333333"/>
          <w:sz w:val="20"/>
        </w:rPr>
        <w:tab/>
      </w:r>
      <m:oMath>
        <m:r>
          <w:rPr>
            <w:rFonts w:ascii="Cambria Math" w:eastAsia="Cambria Math" w:hAnsi="Cambria Math" w:cs="Cambria Math"/>
            <w:color w:val="333333"/>
            <w:sz w:val="20"/>
          </w:rPr>
          <m:t>ϕ Mn Mu</m:t>
        </m:r>
      </m:oMath>
    </w:p>
    <w:p w14:paraId="403C09FB" w14:textId="77777777" w:rsidR="005A3A07" w:rsidRDefault="003B184F">
      <w:pPr>
        <w:rPr>
          <w:rFonts w:ascii="Cambria Math" w:eastAsia="Cambria Math" w:hAnsi="Cambria Math" w:cs="Cambria Math"/>
          <w:color w:val="333333"/>
          <w:sz w:val="20"/>
        </w:rPr>
      </w:pPr>
      <m:oMathPara>
        <m:oMath>
          <m:r>
            <w:rPr>
              <w:rFonts w:ascii="Cambria Math" w:eastAsia="Cambria Math" w:hAnsi="Cambria Math" w:cs="Cambria Math"/>
              <w:color w:val="333333"/>
              <w:sz w:val="20"/>
            </w:rPr>
            <m:t>ϕ Vn Vu</m:t>
          </m:r>
        </m:oMath>
      </m:oMathPara>
    </w:p>
    <w:p w14:paraId="5A57A8D7" w14:textId="77777777" w:rsidR="005A3A07" w:rsidRDefault="003B184F">
      <w:pPr>
        <w:rPr>
          <w:rFonts w:ascii="Cambria Math" w:eastAsia="Cambria Math" w:hAnsi="Cambria Math" w:cs="Cambria Math"/>
          <w:color w:val="333333"/>
          <w:sz w:val="20"/>
        </w:rPr>
      </w:pPr>
      <m:oMathPara>
        <m:oMath>
          <m:r>
            <w:rPr>
              <w:rFonts w:ascii="Cambria Math" w:eastAsia="Cambria Math" w:hAnsi="Cambria Math" w:cs="Cambria Math"/>
              <w:color w:val="333333"/>
              <w:sz w:val="20"/>
            </w:rPr>
            <m:t>ϕ Tn Tu</m:t>
          </m:r>
        </m:oMath>
      </m:oMathPara>
    </w:p>
    <w:p w14:paraId="6FF524F5" w14:textId="77777777" w:rsidR="005A3A07" w:rsidRDefault="003B184F">
      <w:pPr>
        <w:pBdr>
          <w:top w:val="nil"/>
          <w:left w:val="nil"/>
          <w:bottom w:val="nil"/>
          <w:right w:val="nil"/>
          <w:between w:val="nil"/>
        </w:pBdr>
        <w:tabs>
          <w:tab w:val="center" w:pos="4770"/>
          <w:tab w:val="right" w:pos="8910"/>
        </w:tabs>
        <w:spacing w:after="80"/>
        <w:jc w:val="both"/>
        <w:rPr>
          <w:color w:val="333333"/>
          <w:sz w:val="20"/>
        </w:rPr>
      </w:pPr>
      <w:r>
        <w:rPr>
          <w:color w:val="333333"/>
          <w:sz w:val="20"/>
        </w:rPr>
        <w:tab/>
      </w:r>
      <m:oMath>
        <m:r>
          <w:rPr>
            <w:rFonts w:ascii="Cambria Math" w:eastAsia="Cambria Math" w:hAnsi="Cambria Math" w:cs="Cambria Math"/>
            <w:color w:val="333333"/>
            <w:sz w:val="20"/>
          </w:rPr>
          <m:t xml:space="preserve">ϕ Pn Pu </m:t>
        </m:r>
      </m:oMath>
      <w:r>
        <w:rPr>
          <w:color w:val="333333"/>
          <w:sz w:val="20"/>
        </w:rPr>
        <w:t xml:space="preserve"> </w:t>
      </w:r>
      <w:r>
        <w:rPr>
          <w:color w:val="333333"/>
          <w:sz w:val="20"/>
        </w:rPr>
        <w:tab/>
        <w:t>(2)</w:t>
      </w:r>
    </w:p>
    <w:p w14:paraId="2A97B794" w14:textId="77777777" w:rsidR="00264031" w:rsidRDefault="00264031">
      <w:pPr>
        <w:pBdr>
          <w:top w:val="nil"/>
          <w:left w:val="nil"/>
          <w:bottom w:val="nil"/>
          <w:right w:val="nil"/>
          <w:between w:val="nil"/>
        </w:pBdr>
        <w:jc w:val="both"/>
        <w:rPr>
          <w:color w:val="000000"/>
          <w:sz w:val="20"/>
        </w:rPr>
      </w:pPr>
    </w:p>
    <w:p w14:paraId="196A63E3" w14:textId="77777777" w:rsidR="005A3A07" w:rsidRPr="00264031" w:rsidRDefault="003B184F">
      <w:pPr>
        <w:pBdr>
          <w:top w:val="nil"/>
          <w:left w:val="nil"/>
          <w:bottom w:val="nil"/>
          <w:right w:val="nil"/>
          <w:between w:val="nil"/>
        </w:pBdr>
        <w:jc w:val="both"/>
        <w:rPr>
          <w:rStyle w:val="Emphasis"/>
        </w:rPr>
      </w:pPr>
      <w:r w:rsidRPr="00264031">
        <w:rPr>
          <w:rStyle w:val="Emphasis"/>
        </w:rPr>
        <w:t>Special Moment-Resisting Frame (SMRF) shown in Eq. 3 and Eq. 4.</w:t>
      </w:r>
    </w:p>
    <w:p w14:paraId="2186BB02" w14:textId="77777777" w:rsidR="00264031" w:rsidRDefault="00264031">
      <w:pPr>
        <w:pBdr>
          <w:top w:val="nil"/>
          <w:left w:val="nil"/>
          <w:bottom w:val="nil"/>
          <w:right w:val="nil"/>
          <w:between w:val="nil"/>
        </w:pBdr>
        <w:ind w:left="270"/>
        <w:jc w:val="both"/>
        <w:rPr>
          <w:color w:val="000000"/>
          <w:sz w:val="20"/>
        </w:rPr>
      </w:pPr>
    </w:p>
    <w:p w14:paraId="48C0F067" w14:textId="77777777" w:rsidR="005A3A07" w:rsidRDefault="003B184F">
      <w:pPr>
        <w:pBdr>
          <w:top w:val="nil"/>
          <w:left w:val="nil"/>
          <w:bottom w:val="nil"/>
          <w:right w:val="nil"/>
          <w:between w:val="nil"/>
        </w:pBdr>
        <w:ind w:left="270"/>
        <w:jc w:val="both"/>
        <w:rPr>
          <w:color w:val="333333"/>
          <w:sz w:val="20"/>
        </w:rPr>
      </w:pPr>
      <w:r>
        <w:rPr>
          <w:color w:val="000000"/>
          <w:sz w:val="20"/>
        </w:rPr>
        <w:t>Minimum bending strength of columns based on</w:t>
      </w:r>
      <w:r>
        <w:rPr>
          <w:color w:val="333333"/>
          <w:sz w:val="20"/>
        </w:rPr>
        <w:t xml:space="preserve"> SNI 2847:2019 10.5</w:t>
      </w:r>
    </w:p>
    <w:p w14:paraId="2CD36D7F" w14:textId="77777777" w:rsidR="005A3A07" w:rsidRDefault="003B184F">
      <w:pPr>
        <w:pBdr>
          <w:top w:val="nil"/>
          <w:left w:val="nil"/>
          <w:bottom w:val="nil"/>
          <w:right w:val="nil"/>
          <w:between w:val="nil"/>
        </w:pBdr>
        <w:tabs>
          <w:tab w:val="left" w:pos="3780"/>
          <w:tab w:val="right" w:pos="8910"/>
        </w:tabs>
        <w:spacing w:after="120"/>
        <w:jc w:val="both"/>
        <w:rPr>
          <w:color w:val="333333"/>
          <w:sz w:val="20"/>
        </w:rPr>
      </w:pPr>
      <w:r>
        <w:rPr>
          <w:color w:val="333333"/>
          <w:sz w:val="20"/>
        </w:rPr>
        <w:tab/>
      </w:r>
      <m:oMath>
        <m:r>
          <w:rPr>
            <w:rFonts w:ascii="Cambria Math" w:eastAsia="Cambria Math" w:hAnsi="Cambria Math" w:cs="Cambria Math"/>
            <w:color w:val="333333"/>
            <w:sz w:val="20"/>
          </w:rPr>
          <m:t>∑Mnc≥(1,2)∑Mnb</m:t>
        </m:r>
      </m:oMath>
      <w:r>
        <w:rPr>
          <w:color w:val="333333"/>
          <w:sz w:val="20"/>
        </w:rPr>
        <w:tab/>
        <w:t xml:space="preserve"> (3)</w:t>
      </w:r>
    </w:p>
    <w:p w14:paraId="461C5EF4" w14:textId="77777777" w:rsidR="005A3A07" w:rsidRDefault="003B184F">
      <w:pPr>
        <w:pBdr>
          <w:top w:val="nil"/>
          <w:left w:val="nil"/>
          <w:bottom w:val="nil"/>
          <w:right w:val="nil"/>
          <w:between w:val="nil"/>
        </w:pBdr>
        <w:ind w:left="270"/>
        <w:jc w:val="both"/>
        <w:rPr>
          <w:color w:val="333333"/>
          <w:sz w:val="20"/>
        </w:rPr>
      </w:pPr>
      <w:r>
        <w:rPr>
          <w:color w:val="000000"/>
          <w:sz w:val="20"/>
        </w:rPr>
        <w:t>Maximum Deflection Control based on</w:t>
      </w:r>
      <w:r>
        <w:rPr>
          <w:color w:val="333333"/>
          <w:sz w:val="20"/>
        </w:rPr>
        <w:t xml:space="preserve"> SNI 1726:2019 17.12.1</w:t>
      </w:r>
    </w:p>
    <w:p w14:paraId="49738ADC" w14:textId="77777777" w:rsidR="005A3A07" w:rsidRDefault="003B184F">
      <w:pPr>
        <w:pBdr>
          <w:top w:val="nil"/>
          <w:left w:val="nil"/>
          <w:bottom w:val="nil"/>
          <w:right w:val="nil"/>
          <w:between w:val="nil"/>
        </w:pBdr>
        <w:tabs>
          <w:tab w:val="right" w:pos="8910"/>
        </w:tabs>
        <w:jc w:val="both"/>
        <w:rPr>
          <w:color w:val="333333"/>
          <w:sz w:val="20"/>
        </w:rPr>
      </w:pPr>
      <w:r>
        <w:rPr>
          <w:color w:val="333333"/>
          <w:sz w:val="20"/>
        </w:rPr>
        <w:tab/>
      </w:r>
      <m:oMath>
        <m:r>
          <w:rPr>
            <w:rFonts w:ascii="Cambria Math" w:eastAsia="Cambria Math" w:hAnsi="Cambria Math" w:cs="Cambria Math"/>
            <w:color w:val="333333"/>
            <w:sz w:val="20"/>
          </w:rPr>
          <m:t>0,02</m:t>
        </m:r>
        <m:r>
          <w:rPr>
            <w:rFonts w:ascii="Cambria Math" w:eastAsia="Cambria Math" w:hAnsi="Cambria Math" w:cs="Cambria Math"/>
            <w:color w:val="333333"/>
            <w:sz w:val="20"/>
          </w:rPr>
          <m:t>h</m:t>
        </m:r>
      </m:oMath>
      <w:r>
        <w:rPr>
          <w:color w:val="333333"/>
          <w:sz w:val="20"/>
        </w:rPr>
        <w:tab/>
        <w:t>(4)</w:t>
      </w:r>
    </w:p>
    <w:p w14:paraId="70A2FA0D" w14:textId="77777777" w:rsidR="005A3A07" w:rsidRPr="00264031" w:rsidRDefault="003B184F" w:rsidP="00264031">
      <w:pPr>
        <w:pStyle w:val="Paragraph"/>
        <w:rPr>
          <w:rStyle w:val="Emphasis"/>
        </w:rPr>
      </w:pPr>
      <w:r w:rsidRPr="00264031">
        <w:rPr>
          <w:rStyle w:val="Emphasis"/>
        </w:rPr>
        <w:t>In designing connections, it is important to perform strength control of the connection plates. Eq. 5, Eq. 6, Eq. 7, and Eq. 8 is the connection strength control and bolt requirement analysis according to SNI 1729:2020.</w:t>
      </w:r>
    </w:p>
    <w:p w14:paraId="375FC6A6" w14:textId="77777777" w:rsidR="005A3A07" w:rsidRDefault="003B184F">
      <w:pPr>
        <w:pBdr>
          <w:top w:val="nil"/>
          <w:left w:val="nil"/>
          <w:bottom w:val="nil"/>
          <w:right w:val="nil"/>
          <w:between w:val="nil"/>
        </w:pBdr>
        <w:ind w:left="360"/>
        <w:rPr>
          <w:color w:val="333333"/>
          <w:sz w:val="20"/>
        </w:rPr>
      </w:pPr>
      <w:r>
        <w:rPr>
          <w:color w:val="000000"/>
          <w:sz w:val="20"/>
        </w:rPr>
        <w:t>Tensile Capacity using</w:t>
      </w:r>
      <w:r>
        <w:rPr>
          <w:color w:val="333333"/>
          <w:sz w:val="20"/>
        </w:rPr>
        <w:t xml:space="preserve"> </w:t>
      </w:r>
      <w:r>
        <w:rPr>
          <w:color w:val="000000"/>
          <w:sz w:val="20"/>
        </w:rPr>
        <w:t xml:space="preserve">SNI 1729: 2020 J3.6 </w:t>
      </w:r>
    </w:p>
    <w:p w14:paraId="7054A6F1" w14:textId="77777777" w:rsidR="005A3A07" w:rsidRDefault="003B184F">
      <w:pPr>
        <w:pBdr>
          <w:top w:val="nil"/>
          <w:left w:val="nil"/>
          <w:bottom w:val="nil"/>
          <w:right w:val="nil"/>
          <w:between w:val="nil"/>
        </w:pBdr>
        <w:tabs>
          <w:tab w:val="left" w:pos="3960"/>
          <w:tab w:val="right" w:pos="8910"/>
        </w:tabs>
        <w:spacing w:after="120"/>
        <w:jc w:val="both"/>
        <w:rPr>
          <w:rFonts w:ascii="Cambria Math" w:eastAsia="Cambria Math" w:hAnsi="Cambria Math" w:cs="Cambria Math"/>
          <w:color w:val="000000"/>
          <w:sz w:val="20"/>
        </w:rPr>
      </w:pPr>
      <w:r>
        <w:rPr>
          <w:rFonts w:ascii="Cambria Math" w:eastAsia="Cambria Math" w:hAnsi="Cambria Math" w:cs="Cambria Math"/>
          <w:color w:val="000000"/>
          <w:sz w:val="20"/>
        </w:rPr>
        <w:tab/>
        <w:t>∅Rn = ∅ Fnt Ab</w:t>
      </w:r>
      <w:r>
        <w:rPr>
          <w:rFonts w:ascii="Cambria Math" w:eastAsia="Cambria Math" w:hAnsi="Cambria Math" w:cs="Cambria Math"/>
          <w:color w:val="000000"/>
          <w:sz w:val="20"/>
        </w:rPr>
        <w:tab/>
        <w:t>(5)</w:t>
      </w:r>
    </w:p>
    <w:p w14:paraId="7A95672E" w14:textId="77777777" w:rsidR="005A3A07" w:rsidRDefault="003B184F">
      <w:pPr>
        <w:pBdr>
          <w:top w:val="nil"/>
          <w:left w:val="nil"/>
          <w:bottom w:val="nil"/>
          <w:right w:val="nil"/>
          <w:between w:val="nil"/>
        </w:pBdr>
        <w:ind w:left="360"/>
        <w:rPr>
          <w:rFonts w:ascii="Cambria Math" w:eastAsia="Cambria Math" w:hAnsi="Cambria Math" w:cs="Cambria Math"/>
          <w:color w:val="000000"/>
          <w:sz w:val="20"/>
        </w:rPr>
      </w:pPr>
      <w:r>
        <w:rPr>
          <w:color w:val="000000"/>
          <w:sz w:val="20"/>
        </w:rPr>
        <w:lastRenderedPageBreak/>
        <w:t>Shear Capacity using</w:t>
      </w:r>
      <w:r>
        <w:rPr>
          <w:rFonts w:ascii="Cambria Math" w:eastAsia="Cambria Math" w:hAnsi="Cambria Math" w:cs="Cambria Math"/>
          <w:color w:val="000000"/>
          <w:sz w:val="20"/>
        </w:rPr>
        <w:t xml:space="preserve"> SNI 1729:2020 J3.6</w:t>
      </w:r>
    </w:p>
    <w:p w14:paraId="50A444D3" w14:textId="77777777" w:rsidR="005A3A07" w:rsidRDefault="003B184F">
      <w:pPr>
        <w:pBdr>
          <w:top w:val="nil"/>
          <w:left w:val="nil"/>
          <w:bottom w:val="nil"/>
          <w:right w:val="nil"/>
          <w:between w:val="nil"/>
        </w:pBdr>
        <w:tabs>
          <w:tab w:val="right" w:pos="8910"/>
        </w:tabs>
        <w:spacing w:after="120"/>
        <w:ind w:left="3960"/>
        <w:jc w:val="both"/>
        <w:rPr>
          <w:color w:val="333333"/>
          <w:sz w:val="20"/>
        </w:rPr>
      </w:pPr>
      <w:r>
        <w:rPr>
          <w:rFonts w:ascii="Cambria Math" w:eastAsia="Cambria Math" w:hAnsi="Cambria Math" w:cs="Cambria Math"/>
          <w:color w:val="333333"/>
          <w:sz w:val="20"/>
        </w:rPr>
        <w:t>∅</w:t>
      </w:r>
      <w:r>
        <w:rPr>
          <w:color w:val="333333"/>
          <w:sz w:val="20"/>
        </w:rPr>
        <w:t xml:space="preserve">Rn = </w:t>
      </w:r>
      <w:r>
        <w:rPr>
          <w:rFonts w:ascii="Cambria Math" w:eastAsia="Cambria Math" w:hAnsi="Cambria Math" w:cs="Cambria Math"/>
          <w:color w:val="333333"/>
          <w:sz w:val="20"/>
        </w:rPr>
        <w:t>∅</w:t>
      </w:r>
      <w:r>
        <w:rPr>
          <w:color w:val="333333"/>
          <w:sz w:val="20"/>
        </w:rPr>
        <w:t xml:space="preserve"> Fnv Ab</w:t>
      </w:r>
      <w:r>
        <w:rPr>
          <w:color w:val="333333"/>
          <w:sz w:val="20"/>
        </w:rPr>
        <w:tab/>
        <w:t xml:space="preserve"> (6)</w:t>
      </w:r>
    </w:p>
    <w:p w14:paraId="48F128E5" w14:textId="77777777" w:rsidR="005A3A07" w:rsidRDefault="003B184F">
      <w:pPr>
        <w:pBdr>
          <w:top w:val="nil"/>
          <w:left w:val="nil"/>
          <w:bottom w:val="nil"/>
          <w:right w:val="nil"/>
          <w:between w:val="nil"/>
        </w:pBdr>
        <w:ind w:left="360"/>
        <w:rPr>
          <w:color w:val="333333"/>
          <w:sz w:val="20"/>
        </w:rPr>
      </w:pPr>
      <w:r>
        <w:rPr>
          <w:color w:val="000000"/>
          <w:sz w:val="20"/>
        </w:rPr>
        <w:t>Tear Capacity using</w:t>
      </w:r>
      <w:r>
        <w:rPr>
          <w:color w:val="333333"/>
          <w:sz w:val="20"/>
        </w:rPr>
        <w:t xml:space="preserve"> SNI 1729:2020 J3.10</w:t>
      </w:r>
    </w:p>
    <w:p w14:paraId="66BAB5A7" w14:textId="77777777" w:rsidR="005A3A07" w:rsidRDefault="003B184F">
      <w:pPr>
        <w:pBdr>
          <w:top w:val="nil"/>
          <w:left w:val="nil"/>
          <w:bottom w:val="nil"/>
          <w:right w:val="nil"/>
          <w:between w:val="nil"/>
        </w:pBdr>
        <w:tabs>
          <w:tab w:val="left" w:pos="3960"/>
          <w:tab w:val="right" w:pos="8910"/>
        </w:tabs>
        <w:spacing w:after="120"/>
        <w:ind w:firstLine="288"/>
        <w:rPr>
          <w:color w:val="333333"/>
          <w:sz w:val="20"/>
        </w:rPr>
      </w:pPr>
      <w:r>
        <w:rPr>
          <w:rFonts w:ascii="Cambria Math" w:eastAsia="Cambria Math" w:hAnsi="Cambria Math" w:cs="Cambria Math"/>
          <w:color w:val="333333"/>
          <w:sz w:val="20"/>
        </w:rPr>
        <w:tab/>
        <w:t>∅</w:t>
      </w:r>
      <w:r>
        <w:rPr>
          <w:color w:val="333333"/>
          <w:sz w:val="20"/>
        </w:rPr>
        <w:t xml:space="preserve">Rn= </w:t>
      </w:r>
      <w:r>
        <w:rPr>
          <w:rFonts w:ascii="Cambria Math" w:eastAsia="Cambria Math" w:hAnsi="Cambria Math" w:cs="Cambria Math"/>
          <w:color w:val="333333"/>
          <w:sz w:val="20"/>
        </w:rPr>
        <w:t>∅</w:t>
      </w:r>
      <w:r>
        <w:rPr>
          <w:color w:val="333333"/>
          <w:sz w:val="20"/>
        </w:rPr>
        <w:t xml:space="preserve">1,2 </w:t>
      </w:r>
      <w:r>
        <w:rPr>
          <w:rFonts w:ascii="Cambria Math" w:eastAsia="Cambria Math" w:hAnsi="Cambria Math" w:cs="Cambria Math"/>
          <w:color w:val="333333"/>
          <w:sz w:val="20"/>
        </w:rPr>
        <w:t>𝑙</w:t>
      </w:r>
      <w:r>
        <w:rPr>
          <w:color w:val="333333"/>
          <w:sz w:val="20"/>
        </w:rPr>
        <w:t xml:space="preserve">ct Fu </w:t>
      </w:r>
      <w:r>
        <w:rPr>
          <w:color w:val="333333"/>
          <w:sz w:val="20"/>
        </w:rPr>
        <w:tab/>
        <w:t>(7)</w:t>
      </w:r>
    </w:p>
    <w:p w14:paraId="23D7A70E" w14:textId="77777777" w:rsidR="005A3A07" w:rsidRDefault="003B184F">
      <w:pPr>
        <w:pBdr>
          <w:top w:val="nil"/>
          <w:left w:val="nil"/>
          <w:bottom w:val="nil"/>
          <w:right w:val="nil"/>
          <w:between w:val="nil"/>
        </w:pBdr>
        <w:ind w:left="360"/>
        <w:rPr>
          <w:color w:val="333333"/>
          <w:sz w:val="20"/>
        </w:rPr>
      </w:pPr>
      <w:r>
        <w:rPr>
          <w:color w:val="000000"/>
          <w:sz w:val="20"/>
        </w:rPr>
        <w:t>Support Capacity using</w:t>
      </w:r>
      <w:r>
        <w:rPr>
          <w:color w:val="333333"/>
          <w:sz w:val="20"/>
        </w:rPr>
        <w:t xml:space="preserve"> SNI 1729:2020 J3.10</w:t>
      </w:r>
    </w:p>
    <w:p w14:paraId="23308055" w14:textId="77777777" w:rsidR="005A3A07" w:rsidRDefault="003B184F">
      <w:pPr>
        <w:pBdr>
          <w:top w:val="nil"/>
          <w:left w:val="nil"/>
          <w:bottom w:val="nil"/>
          <w:right w:val="nil"/>
          <w:between w:val="nil"/>
        </w:pBdr>
        <w:tabs>
          <w:tab w:val="right" w:pos="8910"/>
        </w:tabs>
        <w:ind w:left="3960"/>
        <w:rPr>
          <w:color w:val="333333"/>
          <w:sz w:val="20"/>
        </w:rPr>
      </w:pPr>
      <w:r>
        <w:rPr>
          <w:rFonts w:ascii="Cambria Math" w:eastAsia="Cambria Math" w:hAnsi="Cambria Math" w:cs="Cambria Math"/>
          <w:color w:val="333333"/>
          <w:sz w:val="20"/>
        </w:rPr>
        <w:t>∅</w:t>
      </w:r>
      <w:r>
        <w:rPr>
          <w:color w:val="333333"/>
          <w:sz w:val="20"/>
        </w:rPr>
        <w:t xml:space="preserve">Rn= </w:t>
      </w:r>
      <w:r>
        <w:rPr>
          <w:rFonts w:ascii="Cambria Math" w:eastAsia="Cambria Math" w:hAnsi="Cambria Math" w:cs="Cambria Math"/>
          <w:color w:val="333333"/>
          <w:sz w:val="20"/>
        </w:rPr>
        <w:t>∅</w:t>
      </w:r>
      <w:r>
        <w:rPr>
          <w:color w:val="333333"/>
          <w:sz w:val="20"/>
        </w:rPr>
        <w:t xml:space="preserve"> 2,4 d t Fu</w:t>
      </w:r>
      <w:r>
        <w:rPr>
          <w:color w:val="333333"/>
          <w:sz w:val="20"/>
        </w:rPr>
        <w:tab/>
        <w:t>(8)</w:t>
      </w:r>
    </w:p>
    <w:p w14:paraId="16B7F1DB" w14:textId="77777777" w:rsidR="005A3A07" w:rsidRDefault="003B184F">
      <w:pPr>
        <w:pStyle w:val="Heading1"/>
        <w:spacing w:before="360"/>
      </w:pPr>
      <w:r>
        <w:t>RESULTS AND DISCUSSION</w:t>
      </w:r>
    </w:p>
    <w:p w14:paraId="29C62225" w14:textId="77777777" w:rsidR="005A3A07" w:rsidRPr="00264031" w:rsidRDefault="003B184F">
      <w:pPr>
        <w:pStyle w:val="Heading2"/>
        <w:rPr>
          <w:bCs/>
        </w:rPr>
      </w:pPr>
      <w:r w:rsidRPr="00264031">
        <w:rPr>
          <w:bCs/>
        </w:rPr>
        <w:t>SYSTEM OF STRUCTURE</w:t>
      </w:r>
    </w:p>
    <w:p w14:paraId="3118B923" w14:textId="2C8F1FA4" w:rsidR="005A3A07" w:rsidRPr="00264031" w:rsidRDefault="003B184F" w:rsidP="00264031">
      <w:pPr>
        <w:pStyle w:val="Paragraph"/>
        <w:rPr>
          <w:rStyle w:val="Emphasis"/>
        </w:rPr>
      </w:pPr>
      <w:r w:rsidRPr="00264031">
        <w:rPr>
          <w:rStyle w:val="Emphasis"/>
        </w:rPr>
        <w:t xml:space="preserve">The earthquake-resistant design principle for this building employs an open frame structural system </w:t>
      </w:r>
      <w:r w:rsidR="0021793C">
        <w:rPr>
          <w:rStyle w:val="Emphasis"/>
        </w:rPr>
        <w:fldChar w:fldCharType="begin"/>
      </w:r>
      <w:r w:rsidR="0021793C">
        <w:rPr>
          <w:rStyle w:val="Emphasis"/>
        </w:rPr>
        <w:instrText xml:space="preserve"> ADDIN EN.CITE &lt;EndNote&gt;&lt;Cite&gt;&lt;Author&gt;Fujii&lt;/Author&gt;&lt;Year&gt;2022&lt;/Year&gt;&lt;RecNum&gt;524&lt;/RecNum&gt;&lt;DisplayText&gt;[8]&lt;/DisplayText&gt;&lt;record&gt;&lt;rec-number&gt;524&lt;/rec-number&gt;&lt;foreign-keys&gt;&lt;key app="EN" db-id="eeaa0dra9wezd8e95xt5v2pu0r5t9erwz9a2" timestamp="1729895791"&gt;524&lt;/key&gt;&lt;/foreign-keys&gt;&lt;ref-type name="Journal Article"&gt;17&lt;/ref-type&gt;&lt;contributors&gt;&lt;authors&gt;&lt;author&gt;Fujii, Kenji&lt;/author&gt;&lt;/authors&gt;&lt;/contributors&gt;&lt;titles&gt;&lt;title&gt;Peak and cumulative response of reinforced concrete frames with steel damper columns under seismic sequences&lt;/title&gt;&lt;secondary-title&gt;Buildings&lt;/secondary-title&gt;&lt;/titles&gt;&lt;periodical&gt;&lt;full-title&gt;Buildings&lt;/full-title&gt;&lt;/periodical&gt;&lt;pages&gt;275&lt;/pages&gt;&lt;volume&gt;12&lt;/volume&gt;&lt;number&gt;3&lt;/number&gt;&lt;dates&gt;&lt;year&gt;2022&lt;/year&gt;&lt;/dates&gt;&lt;publisher&gt;MDPI&lt;/publisher&gt;&lt;isbn&gt;2075-5309&lt;/isbn&gt;&lt;urls&gt;&lt;/urls&gt;&lt;/record&gt;&lt;/Cite&gt;&lt;/EndNote&gt;</w:instrText>
      </w:r>
      <w:r w:rsidR="0021793C">
        <w:rPr>
          <w:rStyle w:val="Emphasis"/>
        </w:rPr>
        <w:fldChar w:fldCharType="separate"/>
      </w:r>
      <w:r w:rsidR="0021793C">
        <w:rPr>
          <w:rStyle w:val="Emphasis"/>
          <w:noProof/>
        </w:rPr>
        <w:t>[8]</w:t>
      </w:r>
      <w:r w:rsidR="0021793C">
        <w:rPr>
          <w:rStyle w:val="Emphasis"/>
        </w:rPr>
        <w:fldChar w:fldCharType="end"/>
      </w:r>
      <w:r w:rsidRPr="00264031">
        <w:rPr>
          <w:rStyle w:val="Emphasis"/>
        </w:rPr>
        <w:t xml:space="preserve">. An open frame structure consists of columns and beams connected with moment-resisting joints, without using shear walls or bracing. In designing an earthquake-resistant building, the main components (beams and columns) are designed to withstand seismic loads by applying the Strong Column Weak Beam concept </w:t>
      </w:r>
      <w:r w:rsidR="0021793C">
        <w:rPr>
          <w:rStyle w:val="Emphasis"/>
        </w:rPr>
        <w:fldChar w:fldCharType="begin"/>
      </w:r>
      <w:r w:rsidR="0021793C">
        <w:rPr>
          <w:rStyle w:val="Emphasis"/>
        </w:rPr>
        <w:instrText xml:space="preserve"> ADDIN EN.CITE &lt;EndNote&gt;&lt;Cite&gt;&lt;Author&gt;Ying-nan&lt;/Author&gt;&lt;Year&gt;2024&lt;/Year&gt;&lt;RecNum&gt;525&lt;/RecNum&gt;&lt;DisplayText&gt;[9, 10]&lt;/DisplayText&gt;&lt;record&gt;&lt;rec-number&gt;525&lt;/rec-number&gt;&lt;foreign-keys&gt;&lt;key app="EN" db-id="eeaa0dra9wezd8e95xt5v2pu0r5t9erwz9a2" timestamp="1729895820"&gt;525&lt;/key&gt;&lt;/foreign-keys&gt;&lt;ref-type name="Conference Proceedings"&gt;10&lt;/ref-type&gt;&lt;contributors&gt;&lt;authors&gt;&lt;author&gt;Ying-nan, Su&lt;/author&gt;&lt;author&gt;Wei-guo, Yang&lt;/author&gt;&lt;author&gt;Jian-qiang, Zou&lt;/author&gt;&lt;author&gt;Ruo-chen, Ma&lt;/author&gt;&lt;author&gt;Qing-liang, Zhang&lt;/author&gt;&lt;author&gt;You-hong, Gao&lt;/author&gt;&lt;/authors&gt;&lt;/contributors&gt;&lt;titles&gt;&lt;title&gt;Seismic performance of the ST-RC columns to RC beams exterior joint with assembled connection details&lt;/title&gt;&lt;alt-title&gt;Structures&lt;/alt-title&gt;&lt;/titles&gt;&lt;pages&gt;107139&lt;/pages&gt;&lt;volume&gt;68&lt;/volume&gt;&lt;dates&gt;&lt;year&gt;2024&lt;/year&gt;&lt;pub-dates&gt;&lt;date&gt;2024&lt;/date&gt;&lt;/pub-dates&gt;&lt;/dates&gt;&lt;pub-location&gt;Structures&lt;/pub-location&gt;&lt;publisher&gt;Elsevier&lt;/publisher&gt;&lt;isbn&gt;2352-0124&lt;/isbn&gt;&lt;urls&gt;&lt;/urls&gt;&lt;/record&gt;&lt;/Cite&gt;&lt;Cite&gt;&lt;Author&gt;Dong&lt;/Author&gt;&lt;Year&gt;2024&lt;/Year&gt;&lt;RecNum&gt;526&lt;/RecNum&gt;&lt;record&gt;&lt;rec-number&gt;526&lt;/rec-number&gt;&lt;foreign-keys&gt;&lt;key app="EN" db-id="eeaa0dra9wezd8e95xt5v2pu0r5t9erwz9a2" timestamp="1729895901"&gt;526&lt;/key&gt;&lt;/foreign-keys&gt;&lt;ref-type name="Journal Article"&gt;17&lt;/ref-type&gt;&lt;contributors&gt;&lt;authors&gt;&lt;author&gt;Dong, Jinqi&lt;/author&gt;&lt;author&gt;Zheng, Shansuo&lt;/author&gt;&lt;author&gt;Zhang, Zhiwei&lt;/author&gt;&lt;author&gt;Liu, Hao&lt;/author&gt;&lt;author&gt;Li, Yalin&lt;/author&gt;&lt;/authors&gt;&lt;/contributors&gt;&lt;titles&gt;&lt;title&gt;Experimental study on seismic performance of RC beam-CFST column joint combination using ECC&lt;/title&gt;&lt;secondary-title&gt;Engineering Structures&lt;/secondary-title&gt;&lt;/titles&gt;&lt;periodical&gt;&lt;full-title&gt;Engineering Structures&lt;/full-title&gt;&lt;/periodical&gt;&lt;pages&gt;118188&lt;/pages&gt;&lt;volume&gt;312&lt;/volume&gt;&lt;dates&gt;&lt;year&gt;2024&lt;/year&gt;&lt;/dates&gt;&lt;publisher&gt;Elsevier&lt;/publisher&gt;&lt;isbn&gt;0141-0296&lt;/isbn&gt;&lt;urls&gt;&lt;/urls&gt;&lt;/record&gt;&lt;/Cite&gt;&lt;/EndNote&gt;</w:instrText>
      </w:r>
      <w:r w:rsidR="0021793C">
        <w:rPr>
          <w:rStyle w:val="Emphasis"/>
        </w:rPr>
        <w:fldChar w:fldCharType="separate"/>
      </w:r>
      <w:r w:rsidR="0021793C">
        <w:rPr>
          <w:rStyle w:val="Emphasis"/>
          <w:noProof/>
        </w:rPr>
        <w:t>[9, 10]</w:t>
      </w:r>
      <w:r w:rsidR="0021793C">
        <w:rPr>
          <w:rStyle w:val="Emphasis"/>
        </w:rPr>
        <w:fldChar w:fldCharType="end"/>
      </w:r>
      <w:r w:rsidRPr="00264031">
        <w:rPr>
          <w:rStyle w:val="Emphasis"/>
        </w:rPr>
        <w:t xml:space="preserve"> with a special moment-resisting frame approach </w:t>
      </w:r>
      <w:r w:rsidR="0021793C">
        <w:rPr>
          <w:rStyle w:val="Emphasis"/>
        </w:rPr>
        <w:fldChar w:fldCharType="begin"/>
      </w:r>
      <w:r w:rsidR="0021793C">
        <w:rPr>
          <w:rStyle w:val="Emphasis"/>
        </w:rPr>
        <w:instrText xml:space="preserve"> ADDIN EN.CITE &lt;EndNote&gt;&lt;Cite&gt;&lt;Author&gt;Irawan&lt;/Author&gt;&lt;Year&gt;2024&lt;/Year&gt;&lt;RecNum&gt;527&lt;/RecNum&gt;&lt;DisplayText&gt;[11]&lt;/DisplayText&gt;&lt;record&gt;&lt;rec-number&gt;527&lt;/rec-number&gt;&lt;foreign-keys&gt;&lt;key app="EN" db-id="eeaa0dra9wezd8e95xt5v2pu0r5t9erwz9a2" timestamp="1729895925"&gt;527&lt;/key&gt;&lt;/foreign-keys&gt;&lt;ref-type name="Journal Article"&gt;17&lt;/ref-type&gt;&lt;contributors&gt;&lt;authors&gt;&lt;author&gt;Irawan, Dimas&lt;/author&gt;&lt;author&gt;Machmoed, Soerjandani Priantoro&lt;/author&gt;&lt;/authors&gt;&lt;/contributors&gt;&lt;titles&gt;&lt;title&gt;Perencanaan struktur beton bertulang gedung perkantoran dira 10 lantai dengan metode sistem rangka pemikul momen khusus di Kabupaten Ende&lt;/title&gt;&lt;secondary-title&gt;axial: jurnal rekayasa dan manajemen konstruksi&lt;/secondary-title&gt;&lt;/titles&gt;&lt;periodical&gt;&lt;full-title&gt;axial: jurnal rekayasa dan manajemen konstruksi&lt;/full-title&gt;&lt;/periodical&gt;&lt;pages&gt;083-092&lt;/pages&gt;&lt;volume&gt;12&lt;/volume&gt;&lt;number&gt;2&lt;/number&gt;&lt;dates&gt;&lt;year&gt;2024&lt;/year&gt;&lt;/dates&gt;&lt;isbn&gt;2615-0824&lt;/isbn&gt;&lt;urls&gt;&lt;/urls&gt;&lt;/record&gt;&lt;/Cite&gt;&lt;/EndNote&gt;</w:instrText>
      </w:r>
      <w:r w:rsidR="0021793C">
        <w:rPr>
          <w:rStyle w:val="Emphasis"/>
        </w:rPr>
        <w:fldChar w:fldCharType="separate"/>
      </w:r>
      <w:r w:rsidR="0021793C">
        <w:rPr>
          <w:rStyle w:val="Emphasis"/>
          <w:noProof/>
        </w:rPr>
        <w:t>[11]</w:t>
      </w:r>
      <w:r w:rsidR="0021793C">
        <w:rPr>
          <w:rStyle w:val="Emphasis"/>
        </w:rPr>
        <w:fldChar w:fldCharType="end"/>
      </w:r>
      <w:r w:rsidRPr="00264031">
        <w:rPr>
          <w:rStyle w:val="Emphasis"/>
        </w:rPr>
        <w:t xml:space="preserve">. The structural system chosen for this model study is an open frame system as described above, shown in </w:t>
      </w:r>
      <w:r w:rsidRPr="00264031">
        <w:rPr>
          <w:rStyle w:val="Emphasis"/>
          <w:b/>
          <w:bCs/>
        </w:rPr>
        <w:t>FIGURE 3</w:t>
      </w:r>
      <w:r w:rsidRPr="00264031">
        <w:rPr>
          <w:rStyle w:val="Emphasis"/>
        </w:rPr>
        <w:t>.</w:t>
      </w:r>
    </w:p>
    <w:p w14:paraId="1C83496F" w14:textId="77777777" w:rsidR="005A3A07" w:rsidRDefault="003B184F">
      <w:pPr>
        <w:keepNext/>
        <w:pBdr>
          <w:top w:val="nil"/>
          <w:left w:val="nil"/>
          <w:bottom w:val="nil"/>
          <w:right w:val="nil"/>
          <w:between w:val="nil"/>
        </w:pBdr>
        <w:jc w:val="center"/>
        <w:rPr>
          <w:b/>
          <w:color w:val="000000"/>
          <w:sz w:val="20"/>
        </w:rPr>
      </w:pPr>
      <w:r>
        <w:rPr>
          <w:noProof/>
          <w:color w:val="000000"/>
          <w:sz w:val="20"/>
        </w:rPr>
        <w:drawing>
          <wp:inline distT="0" distB="0" distL="0" distR="0" wp14:anchorId="17B17BA6" wp14:editId="0EE15B5C">
            <wp:extent cx="1085639" cy="160319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4116" t="50120" r="61754" b="11537"/>
                    <a:stretch>
                      <a:fillRect/>
                    </a:stretch>
                  </pic:blipFill>
                  <pic:spPr>
                    <a:xfrm>
                      <a:off x="0" y="0"/>
                      <a:ext cx="1085639" cy="1603195"/>
                    </a:xfrm>
                    <a:prstGeom prst="rect">
                      <a:avLst/>
                    </a:prstGeom>
                    <a:ln/>
                  </pic:spPr>
                </pic:pic>
              </a:graphicData>
            </a:graphic>
          </wp:inline>
        </w:drawing>
      </w:r>
    </w:p>
    <w:p w14:paraId="73A4F95E" w14:textId="77777777" w:rsidR="005A3A07" w:rsidRDefault="003B184F" w:rsidP="00264031">
      <w:pPr>
        <w:pStyle w:val="FigureCaption"/>
      </w:pPr>
      <w:r>
        <w:rPr>
          <w:b/>
        </w:rPr>
        <w:t>FIGURE 3.</w:t>
      </w:r>
      <w:r>
        <w:t xml:space="preserve"> Open Frame Structural System</w:t>
      </w:r>
    </w:p>
    <w:p w14:paraId="1AFF8762" w14:textId="77777777" w:rsidR="00264031" w:rsidRDefault="00264031">
      <w:pPr>
        <w:pBdr>
          <w:top w:val="nil"/>
          <w:left w:val="nil"/>
          <w:bottom w:val="nil"/>
          <w:right w:val="nil"/>
          <w:between w:val="nil"/>
        </w:pBdr>
        <w:ind w:firstLine="270"/>
        <w:jc w:val="both"/>
        <w:rPr>
          <w:color w:val="000000"/>
          <w:sz w:val="20"/>
        </w:rPr>
      </w:pPr>
    </w:p>
    <w:p w14:paraId="57F9745F" w14:textId="32E88CA0" w:rsidR="005A3A07" w:rsidRPr="00264031" w:rsidRDefault="003B184F" w:rsidP="00264031">
      <w:pPr>
        <w:pStyle w:val="Paragraph"/>
        <w:rPr>
          <w:rStyle w:val="Emphasis"/>
        </w:rPr>
      </w:pPr>
      <w:r w:rsidRPr="00264031">
        <w:rPr>
          <w:rStyle w:val="Emphasis"/>
        </w:rPr>
        <w:t xml:space="preserve">In this study, the selection of the model and structural system follows the guidelines outlined in the Indonesian Building Competition 2024. The chosen structural system model is an open frame system </w:t>
      </w:r>
      <w:r w:rsidR="0021793C">
        <w:rPr>
          <w:rStyle w:val="Emphasis"/>
        </w:rPr>
        <w:fldChar w:fldCharType="begin"/>
      </w:r>
      <w:r w:rsidR="0021793C">
        <w:rPr>
          <w:rStyle w:val="Emphasis"/>
        </w:rPr>
        <w:instrText xml:space="preserve"> ADDIN EN.CITE &lt;EndNote&gt;&lt;Cite&gt;&lt;Author&gt;Peng&lt;/Author&gt;&lt;Year&gt;2024&lt;/Year&gt;&lt;RecNum&gt;528&lt;/RecNum&gt;&lt;DisplayText&gt;[12]&lt;/DisplayText&gt;&lt;record&gt;&lt;rec-number&gt;528&lt;/rec-number&gt;&lt;foreign-keys&gt;&lt;key app="EN" db-id="eeaa0dra9wezd8e95xt5v2pu0r5t9erwz9a2" timestamp="1729895954"&gt;528&lt;/key&gt;&lt;/foreign-keys&gt;&lt;ref-type name="Journal Article"&gt;17&lt;/ref-type&gt;&lt;contributors&gt;&lt;authors&gt;&lt;author&gt;Peng, Wei-Jie&lt;/author&gt;&lt;author&gt;Tao, Mu-Xuan&lt;/author&gt;&lt;/authors&gt;&lt;/contributors&gt;&lt;titles&gt;&lt;title&gt;Column-to-beam flexural strength ratio for rigorous strong-column–weak-beam design for steel–concrete composite frames&lt;/title&gt;&lt;secondary-title&gt;Journal of Building Engineering&lt;/secondary-title&gt;&lt;/titles&gt;&lt;periodical&gt;&lt;full-title&gt;Journal of Building Engineering&lt;/full-title&gt;&lt;/periodical&gt;&lt;pages&gt;110669&lt;/pages&gt;&lt;volume&gt;96&lt;/volume&gt;&lt;dates&gt;&lt;year&gt;2024&lt;/year&gt;&lt;/dates&gt;&lt;publisher&gt;Elsevier&lt;/publisher&gt;&lt;isbn&gt;2352-7102&lt;/isbn&gt;&lt;urls&gt;&lt;/urls&gt;&lt;/record&gt;&lt;/Cite&gt;&lt;/EndNote&gt;</w:instrText>
      </w:r>
      <w:r w:rsidR="0021793C">
        <w:rPr>
          <w:rStyle w:val="Emphasis"/>
        </w:rPr>
        <w:fldChar w:fldCharType="separate"/>
      </w:r>
      <w:r w:rsidR="0021793C">
        <w:rPr>
          <w:rStyle w:val="Emphasis"/>
          <w:noProof/>
        </w:rPr>
        <w:t>[12]</w:t>
      </w:r>
      <w:r w:rsidR="0021793C">
        <w:rPr>
          <w:rStyle w:val="Emphasis"/>
        </w:rPr>
        <w:fldChar w:fldCharType="end"/>
      </w:r>
      <w:r w:rsidRPr="00264031">
        <w:rPr>
          <w:rStyle w:val="Emphasis"/>
        </w:rPr>
        <w:t>, which is suitable for application because this model building is designed with a precast system. This choice is intended for a quick and sturdy structural model, allowing for rapid on-site implementation and reducing the negative environmental impact.</w:t>
      </w:r>
    </w:p>
    <w:p w14:paraId="17F23C14" w14:textId="77777777" w:rsidR="005A3A07" w:rsidRPr="00264031" w:rsidRDefault="003B184F" w:rsidP="00264031">
      <w:pPr>
        <w:pStyle w:val="Heading2"/>
      </w:pPr>
      <w:r w:rsidRPr="00264031">
        <w:t>MODEL OF STRUCTURE</w:t>
      </w:r>
    </w:p>
    <w:p w14:paraId="42F77D65" w14:textId="29EE1DBF" w:rsidR="005A3A07" w:rsidRPr="00264031" w:rsidRDefault="003B184F" w:rsidP="00264031">
      <w:pPr>
        <w:pStyle w:val="Paragraph"/>
        <w:rPr>
          <w:rStyle w:val="Emphasis"/>
        </w:rPr>
      </w:pPr>
      <w:r w:rsidRPr="00264031">
        <w:rPr>
          <w:rStyle w:val="Emphasis"/>
        </w:rPr>
        <w:t xml:space="preserve">In structural modeling, the elements of the structural system (such as columns and beams) are modeled using structural analysis software to determine the capacity to withstand loads on the designed structural cross-sections </w:t>
      </w:r>
      <w:r w:rsidR="0021793C" w:rsidRPr="00264031">
        <w:rPr>
          <w:rStyle w:val="Emphasis"/>
        </w:rPr>
        <w:t xml:space="preserve"> </w:t>
      </w:r>
      <w:r w:rsidR="0021793C">
        <w:rPr>
          <w:rStyle w:val="Emphasis"/>
        </w:rPr>
        <w:fldChar w:fldCharType="begin"/>
      </w:r>
      <w:r w:rsidR="0021793C">
        <w:rPr>
          <w:rStyle w:val="Emphasis"/>
        </w:rPr>
        <w:instrText xml:space="preserve"> ADDIN EN.CITE &lt;EndNote&gt;&lt;Cite&gt;&lt;Author&gt;Nasional&lt;/Author&gt;&lt;Year&gt;2012&lt;/Year&gt;&lt;RecNum&gt;523&lt;/RecNum&gt;&lt;DisplayText&gt;[7, 13]&lt;/DisplayText&gt;&lt;record&gt;&lt;rec-number&gt;523&lt;/rec-number&gt;&lt;foreign-keys&gt;&lt;key app="EN" db-id="eeaa0dra9wezd8e95xt5v2pu0r5t9erwz9a2" timestamp="1729895762"&gt;523&lt;/key&gt;&lt;/foreign-keys&gt;&lt;ref-type name="Journal Article"&gt;17&lt;/ref-type&gt;&lt;contributors&gt;&lt;authors&gt;&lt;author&gt;Nasional, Badan Standarisasi&lt;/author&gt;&lt;/authors&gt;&lt;/contributors&gt;&lt;titles&gt;&lt;title&gt;Tata cara perencanaan ketahanan gempa untuk struktur bangunan gedung dan non gedung&lt;/title&gt;&lt;secondary-title&gt;Sni&lt;/secondary-title&gt;&lt;/titles&gt;&lt;periodical&gt;&lt;full-title&gt;SNI&lt;/full-title&gt;&lt;/periodical&gt;&lt;pages&gt;2012&lt;/pages&gt;&lt;volume&gt;1726&lt;/volume&gt;&lt;dates&gt;&lt;year&gt;2012&lt;/year&gt;&lt;/dates&gt;&lt;urls&gt;&lt;/urls&gt;&lt;/record&gt;&lt;/Cite&gt;&lt;Cite&gt;&lt;Author&gt;Hasibuan&lt;/Author&gt;&lt;Year&gt;2023&lt;/Year&gt;&lt;RecNum&gt;529&lt;/RecNum&gt;&lt;record&gt;&lt;rec-number&gt;529&lt;/rec-number&gt;&lt;foreign-keys&gt;&lt;key app="EN" db-id="eeaa0dra9wezd8e95xt5v2pu0r5t9erwz9a2" timestamp="1729896003"&gt;529&lt;/key&gt;&lt;/foreign-keys&gt;&lt;ref-type name="Journal Article"&gt;17&lt;/ref-type&gt;&lt;contributors&gt;&lt;authors&gt;&lt;author&gt;Hasibuan, Samsul A. Rahman Sidik&lt;/author&gt;&lt;author&gt;Qolby, Annisa Adika&lt;/author&gt;&lt;/authors&gt;&lt;/contributors&gt;&lt;titles&gt;&lt;title&gt;Solution of Beam Structure Analysis Using SAP2000&lt;/title&gt;&lt;secondary-title&gt;International Journal of Innovative Research in Computer Science &amp;amp; Technology&lt;/secondary-title&gt;&lt;/titles&gt;&lt;periodical&gt;&lt;full-title&gt;International Journal of Innovative Research in Computer Science &amp;amp; Technology&lt;/full-title&gt;&lt;/periodical&gt;&lt;volume&gt;11&lt;/volume&gt;&lt;number&gt;1&lt;/number&gt;&lt;dates&gt;&lt;year&gt;2023&lt;/year&gt;&lt;/dates&gt;&lt;urls&gt;&lt;/urls&gt;&lt;/record&gt;&lt;/Cite&gt;&lt;/EndNote&gt;</w:instrText>
      </w:r>
      <w:r w:rsidR="0021793C">
        <w:rPr>
          <w:rStyle w:val="Emphasis"/>
        </w:rPr>
        <w:fldChar w:fldCharType="separate"/>
      </w:r>
      <w:r w:rsidR="0021793C">
        <w:rPr>
          <w:rStyle w:val="Emphasis"/>
          <w:noProof/>
        </w:rPr>
        <w:t>[7, 13]</w:t>
      </w:r>
      <w:r w:rsidR="0021793C">
        <w:rPr>
          <w:rStyle w:val="Emphasis"/>
        </w:rPr>
        <w:fldChar w:fldCharType="end"/>
      </w:r>
      <w:r w:rsidRPr="00264031">
        <w:rPr>
          <w:rStyle w:val="Emphasis"/>
        </w:rPr>
        <w:t xml:space="preserve">. The configuration of the model building, named “Nusatech Stiratva”, is modeled in three dimensions (3D). The model specifications include reinforced concrete with a concrete strength of fc' 40 MPa and reinforcement steel with fy 340 MPa. Other material specifications are in accordance with guidelines and regulations applicable to building construction. The choice of shape in a building, in addition to its aesthetic appeal, also needs to consider ease of construction as well as the rigidity and durability of the structure against seismic effects, shown in </w:t>
      </w:r>
      <w:r w:rsidRPr="00264031">
        <w:rPr>
          <w:rStyle w:val="Emphasis"/>
          <w:b/>
          <w:bCs/>
        </w:rPr>
        <w:t>FIGURE 4</w:t>
      </w:r>
      <w:r w:rsidRPr="00264031">
        <w:rPr>
          <w:rStyle w:val="Emphasis"/>
        </w:rPr>
        <w:t>.</w:t>
      </w:r>
    </w:p>
    <w:p w14:paraId="2B925306" w14:textId="77777777" w:rsidR="005A3A07" w:rsidRDefault="003B184F">
      <w:pPr>
        <w:keepNext/>
        <w:pBdr>
          <w:top w:val="nil"/>
          <w:left w:val="nil"/>
          <w:bottom w:val="nil"/>
          <w:right w:val="nil"/>
          <w:between w:val="nil"/>
        </w:pBdr>
        <w:jc w:val="center"/>
        <w:rPr>
          <w:color w:val="000000"/>
          <w:sz w:val="20"/>
        </w:rPr>
      </w:pPr>
      <w:r>
        <w:rPr>
          <w:noProof/>
          <w:color w:val="000000"/>
          <w:sz w:val="20"/>
        </w:rPr>
        <w:lastRenderedPageBreak/>
        <w:drawing>
          <wp:inline distT="0" distB="0" distL="0" distR="0" wp14:anchorId="767A99E8" wp14:editId="586F500B">
            <wp:extent cx="2154374" cy="263665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51437" t="22156" r="21942" b="18088"/>
                    <a:stretch>
                      <a:fillRect/>
                    </a:stretch>
                  </pic:blipFill>
                  <pic:spPr>
                    <a:xfrm>
                      <a:off x="0" y="0"/>
                      <a:ext cx="2154374" cy="2636654"/>
                    </a:xfrm>
                    <a:prstGeom prst="rect">
                      <a:avLst/>
                    </a:prstGeom>
                    <a:ln/>
                  </pic:spPr>
                </pic:pic>
              </a:graphicData>
            </a:graphic>
          </wp:inline>
        </w:drawing>
      </w:r>
    </w:p>
    <w:p w14:paraId="2787E406" w14:textId="77777777" w:rsidR="005A3A07" w:rsidRDefault="003B184F" w:rsidP="00264031">
      <w:pPr>
        <w:pStyle w:val="FigureCaption"/>
        <w:rPr>
          <w:i/>
        </w:rPr>
      </w:pPr>
      <w:r>
        <w:rPr>
          <w:b/>
        </w:rPr>
        <w:t>FIGURE 4.</w:t>
      </w:r>
      <w:r>
        <w:t xml:space="preserve"> 3D Model Based on Structural Analysis</w:t>
      </w:r>
    </w:p>
    <w:p w14:paraId="234381AA" w14:textId="77777777" w:rsidR="005A3A07" w:rsidRPr="00264031" w:rsidRDefault="003B184F" w:rsidP="00264031">
      <w:pPr>
        <w:pStyle w:val="Heading2"/>
      </w:pPr>
      <w:r w:rsidRPr="00264031">
        <w:t>LOADING SYSTEM</w:t>
      </w:r>
    </w:p>
    <w:p w14:paraId="6FD2152C" w14:textId="77777777" w:rsidR="005A3A07" w:rsidRPr="00264031" w:rsidRDefault="003B184F">
      <w:pPr>
        <w:pBdr>
          <w:top w:val="nil"/>
          <w:left w:val="nil"/>
          <w:bottom w:val="nil"/>
          <w:right w:val="nil"/>
          <w:between w:val="nil"/>
        </w:pBdr>
        <w:ind w:firstLine="284"/>
        <w:jc w:val="both"/>
        <w:rPr>
          <w:rStyle w:val="Emphasis"/>
        </w:rPr>
      </w:pPr>
      <w:r w:rsidRPr="00264031">
        <w:rPr>
          <w:rStyle w:val="Emphasis"/>
        </w:rPr>
        <w:t xml:space="preserve">The model building design was created with reference to the specifications outlined in the Indonesian Building Competition 2024. The structural dimension design began with a preliminary design to achieve an optimal cross-section that can withstand loads and seismic forces with safe deflections. The loads acting on this building model include live loads, dead loads, and seismic loads. The live load consists of a 1.5 kg slab placed on each floor, shown in </w:t>
      </w:r>
      <w:r w:rsidRPr="00264031">
        <w:rPr>
          <w:rStyle w:val="Emphasis"/>
          <w:b/>
          <w:bCs/>
        </w:rPr>
        <w:t>TABLE 1</w:t>
      </w:r>
      <w:r w:rsidRPr="00264031">
        <w:rPr>
          <w:rStyle w:val="Emphasis"/>
        </w:rPr>
        <w:t>.</w:t>
      </w:r>
    </w:p>
    <w:p w14:paraId="69831E96" w14:textId="77777777" w:rsidR="005A3A07" w:rsidRDefault="003B184F" w:rsidP="00264031">
      <w:pPr>
        <w:pStyle w:val="TableCaption"/>
        <w:rPr>
          <w:i/>
        </w:rPr>
      </w:pPr>
      <w:r>
        <w:rPr>
          <w:b/>
        </w:rPr>
        <w:t>TABLE 1.</w:t>
      </w:r>
      <w:r>
        <w:t xml:space="preserve"> Load Distribution </w:t>
      </w:r>
    </w:p>
    <w:tbl>
      <w:tblPr>
        <w:tblStyle w:val="a0"/>
        <w:tblW w:w="4409" w:type="dxa"/>
        <w:tblInd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3141"/>
      </w:tblGrid>
      <w:tr w:rsidR="005A3A07" w14:paraId="3A27A18E" w14:textId="77777777">
        <w:tc>
          <w:tcPr>
            <w:tcW w:w="1268" w:type="dxa"/>
          </w:tcPr>
          <w:p w14:paraId="66394605" w14:textId="77777777" w:rsidR="005A3A07" w:rsidRDefault="003B184F">
            <w:pPr>
              <w:pBdr>
                <w:top w:val="nil"/>
                <w:left w:val="nil"/>
                <w:bottom w:val="nil"/>
                <w:right w:val="nil"/>
                <w:between w:val="nil"/>
              </w:pBdr>
              <w:spacing w:before="40" w:after="40"/>
              <w:ind w:left="-109" w:right="-103"/>
              <w:jc w:val="center"/>
              <w:rPr>
                <w:color w:val="000000"/>
              </w:rPr>
            </w:pPr>
            <w:r>
              <w:rPr>
                <w:color w:val="000000"/>
              </w:rPr>
              <w:t>Load</w:t>
            </w:r>
          </w:p>
        </w:tc>
        <w:tc>
          <w:tcPr>
            <w:tcW w:w="3141" w:type="dxa"/>
          </w:tcPr>
          <w:p w14:paraId="3E400C60" w14:textId="77777777" w:rsidR="005A3A07" w:rsidRDefault="003B184F">
            <w:pPr>
              <w:pBdr>
                <w:top w:val="nil"/>
                <w:left w:val="nil"/>
                <w:bottom w:val="nil"/>
                <w:right w:val="nil"/>
                <w:between w:val="nil"/>
              </w:pBdr>
              <w:spacing w:before="40" w:after="40"/>
              <w:jc w:val="center"/>
              <w:rPr>
                <w:color w:val="000000"/>
              </w:rPr>
            </w:pPr>
            <w:r>
              <w:rPr>
                <w:color w:val="000000"/>
              </w:rPr>
              <w:t>Description</w:t>
            </w:r>
          </w:p>
        </w:tc>
      </w:tr>
      <w:tr w:rsidR="005A3A07" w14:paraId="60442719" w14:textId="77777777">
        <w:tc>
          <w:tcPr>
            <w:tcW w:w="1268" w:type="dxa"/>
          </w:tcPr>
          <w:p w14:paraId="1D6DA6E5" w14:textId="77777777" w:rsidR="005A3A07" w:rsidRDefault="003B184F">
            <w:pPr>
              <w:pBdr>
                <w:top w:val="nil"/>
                <w:left w:val="nil"/>
                <w:bottom w:val="nil"/>
                <w:right w:val="nil"/>
                <w:between w:val="nil"/>
              </w:pBdr>
              <w:ind w:left="-19" w:right="-103"/>
              <w:rPr>
                <w:color w:val="000000"/>
              </w:rPr>
            </w:pPr>
            <w:r>
              <w:rPr>
                <w:color w:val="000000"/>
              </w:rPr>
              <w:t>Dead load</w:t>
            </w:r>
          </w:p>
        </w:tc>
        <w:tc>
          <w:tcPr>
            <w:tcW w:w="3141" w:type="dxa"/>
          </w:tcPr>
          <w:p w14:paraId="12A85EA9" w14:textId="77777777" w:rsidR="005A3A07" w:rsidRDefault="003B184F">
            <w:pPr>
              <w:pBdr>
                <w:top w:val="nil"/>
                <w:left w:val="nil"/>
                <w:bottom w:val="nil"/>
                <w:right w:val="nil"/>
                <w:between w:val="nil"/>
              </w:pBdr>
              <w:ind w:right="-106"/>
              <w:jc w:val="both"/>
              <w:rPr>
                <w:color w:val="000000"/>
              </w:rPr>
            </w:pPr>
            <w:r>
              <w:rPr>
                <w:color w:val="000000"/>
              </w:rPr>
              <w:t>Self-weight of structure 12.778 kg</w:t>
            </w:r>
          </w:p>
        </w:tc>
      </w:tr>
      <w:tr w:rsidR="005A3A07" w14:paraId="6C693457" w14:textId="77777777">
        <w:tc>
          <w:tcPr>
            <w:tcW w:w="1268" w:type="dxa"/>
          </w:tcPr>
          <w:p w14:paraId="319CE2A5" w14:textId="77777777" w:rsidR="005A3A07" w:rsidRDefault="003B184F">
            <w:pPr>
              <w:pBdr>
                <w:top w:val="nil"/>
                <w:left w:val="nil"/>
                <w:bottom w:val="nil"/>
                <w:right w:val="nil"/>
                <w:between w:val="nil"/>
              </w:pBdr>
              <w:ind w:left="-19" w:right="-103"/>
              <w:rPr>
                <w:color w:val="000000"/>
              </w:rPr>
            </w:pPr>
            <w:r>
              <w:rPr>
                <w:color w:val="000000"/>
              </w:rPr>
              <w:t>Live Load</w:t>
            </w:r>
          </w:p>
        </w:tc>
        <w:tc>
          <w:tcPr>
            <w:tcW w:w="3141" w:type="dxa"/>
          </w:tcPr>
          <w:p w14:paraId="6AAF9161" w14:textId="77777777" w:rsidR="005A3A07" w:rsidRDefault="003B184F">
            <w:pPr>
              <w:pBdr>
                <w:top w:val="nil"/>
                <w:left w:val="nil"/>
                <w:bottom w:val="nil"/>
                <w:right w:val="nil"/>
                <w:between w:val="nil"/>
              </w:pBdr>
              <w:jc w:val="both"/>
              <w:rPr>
                <w:color w:val="000000"/>
              </w:rPr>
            </w:pPr>
            <w:r>
              <w:rPr>
                <w:color w:val="000000"/>
              </w:rPr>
              <w:t>Steel plate 1.5 kg/floor</w:t>
            </w:r>
          </w:p>
        </w:tc>
      </w:tr>
      <w:tr w:rsidR="005A3A07" w14:paraId="513A8988" w14:textId="77777777">
        <w:tc>
          <w:tcPr>
            <w:tcW w:w="1268" w:type="dxa"/>
            <w:vAlign w:val="center"/>
          </w:tcPr>
          <w:p w14:paraId="1B09E259" w14:textId="77777777" w:rsidR="005A3A07" w:rsidRDefault="003B184F">
            <w:pPr>
              <w:pBdr>
                <w:top w:val="nil"/>
                <w:left w:val="nil"/>
                <w:bottom w:val="nil"/>
                <w:right w:val="nil"/>
                <w:between w:val="nil"/>
              </w:pBdr>
              <w:ind w:left="-19" w:right="-103"/>
              <w:rPr>
                <w:color w:val="000000"/>
              </w:rPr>
            </w:pPr>
            <w:r>
              <w:rPr>
                <w:color w:val="000000"/>
              </w:rPr>
              <w:t>Earthquake</w:t>
            </w:r>
          </w:p>
        </w:tc>
        <w:tc>
          <w:tcPr>
            <w:tcW w:w="3141" w:type="dxa"/>
          </w:tcPr>
          <w:p w14:paraId="653D23CE" w14:textId="77777777" w:rsidR="005A3A07" w:rsidRDefault="003B184F">
            <w:pPr>
              <w:pBdr>
                <w:top w:val="nil"/>
                <w:left w:val="nil"/>
                <w:bottom w:val="nil"/>
                <w:right w:val="nil"/>
                <w:between w:val="nil"/>
              </w:pBdr>
              <w:jc w:val="both"/>
              <w:rPr>
                <w:color w:val="000000"/>
              </w:rPr>
            </w:pPr>
            <w:r>
              <w:rPr>
                <w:color w:val="000000"/>
              </w:rPr>
              <w:t>Earthquake - 1.5 Hz</w:t>
            </w:r>
          </w:p>
          <w:p w14:paraId="75938DDE" w14:textId="77777777" w:rsidR="005A3A07" w:rsidRDefault="003B184F">
            <w:pPr>
              <w:pBdr>
                <w:top w:val="nil"/>
                <w:left w:val="nil"/>
                <w:bottom w:val="nil"/>
                <w:right w:val="nil"/>
                <w:between w:val="nil"/>
              </w:pBdr>
              <w:jc w:val="both"/>
              <w:rPr>
                <w:color w:val="000000"/>
              </w:rPr>
            </w:pPr>
            <w:r>
              <w:rPr>
                <w:color w:val="000000"/>
              </w:rPr>
              <w:t>Earthquake - 2.5 Hz</w:t>
            </w:r>
          </w:p>
          <w:p w14:paraId="38B67D67" w14:textId="77777777" w:rsidR="005A3A07" w:rsidRDefault="003B184F">
            <w:pPr>
              <w:pBdr>
                <w:top w:val="nil"/>
                <w:left w:val="nil"/>
                <w:bottom w:val="nil"/>
                <w:right w:val="nil"/>
                <w:between w:val="nil"/>
              </w:pBdr>
              <w:jc w:val="both"/>
              <w:rPr>
                <w:color w:val="000000"/>
              </w:rPr>
            </w:pPr>
            <w:r>
              <w:rPr>
                <w:color w:val="000000"/>
              </w:rPr>
              <w:t>Earthquake - 3.5 Hz</w:t>
            </w:r>
          </w:p>
          <w:p w14:paraId="4BF5A6B8" w14:textId="77777777" w:rsidR="005A3A07" w:rsidRDefault="003B184F">
            <w:pPr>
              <w:pBdr>
                <w:top w:val="nil"/>
                <w:left w:val="nil"/>
                <w:bottom w:val="nil"/>
                <w:right w:val="nil"/>
                <w:between w:val="nil"/>
              </w:pBdr>
              <w:jc w:val="both"/>
              <w:rPr>
                <w:color w:val="000000"/>
              </w:rPr>
            </w:pPr>
            <w:r>
              <w:rPr>
                <w:color w:val="000000"/>
              </w:rPr>
              <w:t>Earthquake - 4.5 Hz</w:t>
            </w:r>
          </w:p>
          <w:p w14:paraId="2A09B391" w14:textId="77777777" w:rsidR="005A3A07" w:rsidRDefault="003B184F">
            <w:pPr>
              <w:pBdr>
                <w:top w:val="nil"/>
                <w:left w:val="nil"/>
                <w:bottom w:val="nil"/>
                <w:right w:val="nil"/>
                <w:between w:val="nil"/>
              </w:pBdr>
              <w:jc w:val="both"/>
              <w:rPr>
                <w:color w:val="000000"/>
              </w:rPr>
            </w:pPr>
            <w:r>
              <w:rPr>
                <w:color w:val="000000"/>
              </w:rPr>
              <w:t>Earthquake - 5.5 Hz</w:t>
            </w:r>
          </w:p>
        </w:tc>
      </w:tr>
    </w:tbl>
    <w:p w14:paraId="4DBB07AA" w14:textId="77777777" w:rsidR="005A3A07" w:rsidRPr="00264031" w:rsidRDefault="003B184F" w:rsidP="00264031">
      <w:pPr>
        <w:pStyle w:val="Heading2"/>
      </w:pPr>
      <w:r w:rsidRPr="00264031">
        <w:t>ANALYSIS OF STRUCTURE</w:t>
      </w:r>
    </w:p>
    <w:p w14:paraId="1B21D5C2" w14:textId="6BF4C8D8" w:rsidR="005A3A07" w:rsidRPr="00264031" w:rsidRDefault="003B184F">
      <w:pPr>
        <w:pBdr>
          <w:top w:val="nil"/>
          <w:left w:val="nil"/>
          <w:bottom w:val="nil"/>
          <w:right w:val="nil"/>
          <w:between w:val="nil"/>
        </w:pBdr>
        <w:ind w:firstLine="284"/>
        <w:jc w:val="both"/>
        <w:rPr>
          <w:rStyle w:val="Emphasis"/>
        </w:rPr>
      </w:pPr>
      <w:r w:rsidRPr="00264031">
        <w:rPr>
          <w:rStyle w:val="Emphasis"/>
        </w:rPr>
        <w:t xml:space="preserve">The determined configuration is then analyzed to determine the strength of the building to be designed. The analysis includes cross-sectional capacity control, bending strength control, deflection control, and earthquake load determination using the equivalent static method </w:t>
      </w:r>
      <w:r w:rsidR="0021793C">
        <w:rPr>
          <w:rStyle w:val="Emphasis"/>
        </w:rPr>
        <w:fldChar w:fldCharType="begin"/>
      </w:r>
      <w:r w:rsidR="0021793C">
        <w:rPr>
          <w:rStyle w:val="Emphasis"/>
        </w:rPr>
        <w:instrText xml:space="preserve"> ADDIN EN.CITE &lt;EndNote&gt;&lt;Cite&gt;&lt;Author&gt;Rifandi&lt;/Author&gt;&lt;Year&gt;2020&lt;/Year&gt;&lt;RecNum&gt;530&lt;/RecNum&gt;&lt;DisplayText&gt;[14]&lt;/DisplayText&gt;&lt;record&gt;&lt;rec-number&gt;530&lt;/rec-number&gt;&lt;foreign-keys&gt;&lt;key app="EN" db-id="eeaa0dra9wezd8e95xt5v2pu0r5t9erwz9a2" timestamp="1729896038"&gt;530&lt;/key&gt;&lt;/foreign-keys&gt;&lt;ref-type name="Journal Article"&gt;17&lt;/ref-type&gt;&lt;contributors&gt;&lt;authors&gt;&lt;author&gt;Rifandi, Irpan&lt;/author&gt;&lt;/authors&gt;&lt;/contributors&gt;&lt;titles&gt;&lt;title&gt;Analisis Beban Gempa dengan Metode Statik Ekuivalen Berdasarkan SNI 1726-2019 pada Gedung IPAL&lt;/title&gt;&lt;secondary-title&gt;Jurnal Konstruksi&lt;/secondary-title&gt;&lt;/titles&gt;&lt;periodical&gt;&lt;full-title&gt;Jurnal Konstruksi&lt;/full-title&gt;&lt;/periodical&gt;&lt;pages&gt;72-82&lt;/pages&gt;&lt;volume&gt;18&lt;/volume&gt;&lt;number&gt;2&lt;/number&gt;&lt;dates&gt;&lt;year&gt;2020&lt;/year&gt;&lt;/dates&gt;&lt;isbn&gt;2302-7312&lt;/isbn&gt;&lt;urls&gt;&lt;/urls&gt;&lt;/record&gt;&lt;/Cite&gt;&lt;/EndNote&gt;</w:instrText>
      </w:r>
      <w:r w:rsidR="0021793C">
        <w:rPr>
          <w:rStyle w:val="Emphasis"/>
        </w:rPr>
        <w:fldChar w:fldCharType="separate"/>
      </w:r>
      <w:r w:rsidR="0021793C">
        <w:rPr>
          <w:rStyle w:val="Emphasis"/>
          <w:noProof/>
        </w:rPr>
        <w:t>[14]</w:t>
      </w:r>
      <w:r w:rsidR="0021793C">
        <w:rPr>
          <w:rStyle w:val="Emphasis"/>
        </w:rPr>
        <w:fldChar w:fldCharType="end"/>
      </w:r>
      <w:r w:rsidRPr="00264031">
        <w:rPr>
          <w:rStyle w:val="Emphasis"/>
        </w:rPr>
        <w:t xml:space="preserve">. The equivalent static method converts vibrations due to frequency into acceleration values, which are then converted into base seismic loads and horizontal loads distributed to the outermost frame on the weak axis, as described in </w:t>
      </w:r>
      <w:r w:rsidRPr="00264031">
        <w:rPr>
          <w:rStyle w:val="Emphasis"/>
          <w:b/>
          <w:bCs/>
        </w:rPr>
        <w:t>TABLE 2</w:t>
      </w:r>
      <w:r w:rsidRPr="00264031">
        <w:rPr>
          <w:rStyle w:val="Emphasis"/>
        </w:rPr>
        <w:t xml:space="preserve"> below.</w:t>
      </w:r>
    </w:p>
    <w:p w14:paraId="7C123483" w14:textId="77777777" w:rsidR="005A3A07" w:rsidRDefault="003B184F" w:rsidP="003B184F">
      <w:pPr>
        <w:pStyle w:val="TableCaption"/>
        <w:rPr>
          <w:i/>
        </w:rPr>
      </w:pPr>
      <w:r>
        <w:rPr>
          <w:b/>
        </w:rPr>
        <w:t>TABLE 2.</w:t>
      </w:r>
      <w:r>
        <w:t xml:space="preserve"> Cross-section Analysis (Beam)</w:t>
      </w:r>
    </w:p>
    <w:tbl>
      <w:tblPr>
        <w:tblStyle w:val="a1"/>
        <w:tblW w:w="7381"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988"/>
        <w:gridCol w:w="1709"/>
        <w:gridCol w:w="1801"/>
        <w:gridCol w:w="1259"/>
      </w:tblGrid>
      <w:tr w:rsidR="005A3A07" w14:paraId="1EDC9D2F" w14:textId="77777777">
        <w:trPr>
          <w:trHeight w:val="183"/>
        </w:trPr>
        <w:tc>
          <w:tcPr>
            <w:tcW w:w="1624" w:type="dxa"/>
          </w:tcPr>
          <w:p w14:paraId="617578E7" w14:textId="77777777" w:rsidR="005A3A07" w:rsidRDefault="003B184F">
            <w:pPr>
              <w:pBdr>
                <w:top w:val="nil"/>
                <w:left w:val="nil"/>
                <w:bottom w:val="nil"/>
                <w:right w:val="nil"/>
                <w:between w:val="nil"/>
              </w:pBdr>
              <w:spacing w:before="40" w:after="40"/>
              <w:jc w:val="center"/>
              <w:rPr>
                <w:color w:val="000000"/>
              </w:rPr>
            </w:pPr>
            <w:r>
              <w:rPr>
                <w:color w:val="000000"/>
              </w:rPr>
              <w:t>Beam analysis</w:t>
            </w:r>
          </w:p>
        </w:tc>
        <w:tc>
          <w:tcPr>
            <w:tcW w:w="988" w:type="dxa"/>
          </w:tcPr>
          <w:p w14:paraId="72AC24BC" w14:textId="77777777" w:rsidR="005A3A07" w:rsidRDefault="003B184F">
            <w:pPr>
              <w:pBdr>
                <w:top w:val="nil"/>
                <w:left w:val="nil"/>
                <w:bottom w:val="nil"/>
                <w:right w:val="nil"/>
                <w:between w:val="nil"/>
              </w:pBdr>
              <w:spacing w:before="40" w:after="40"/>
              <w:jc w:val="center"/>
              <w:rPr>
                <w:color w:val="000000"/>
              </w:rPr>
            </w:pPr>
            <w:r>
              <w:rPr>
                <w:color w:val="000000"/>
              </w:rPr>
              <w:t>Control</w:t>
            </w:r>
          </w:p>
        </w:tc>
        <w:tc>
          <w:tcPr>
            <w:tcW w:w="1709" w:type="dxa"/>
          </w:tcPr>
          <w:p w14:paraId="510A32F0" w14:textId="77777777" w:rsidR="005A3A07" w:rsidRDefault="003B184F">
            <w:pPr>
              <w:pBdr>
                <w:top w:val="nil"/>
                <w:left w:val="nil"/>
                <w:bottom w:val="nil"/>
                <w:right w:val="nil"/>
                <w:between w:val="nil"/>
              </w:pBdr>
              <w:spacing w:before="40" w:after="40"/>
              <w:jc w:val="center"/>
              <w:rPr>
                <w:color w:val="000000"/>
              </w:rPr>
            </w:pPr>
            <w:r>
              <w:rPr>
                <w:color w:val="000000"/>
              </w:rPr>
              <w:t>Nominal result</w:t>
            </w:r>
          </w:p>
        </w:tc>
        <w:tc>
          <w:tcPr>
            <w:tcW w:w="1801" w:type="dxa"/>
          </w:tcPr>
          <w:p w14:paraId="0F50F7BC" w14:textId="77777777" w:rsidR="005A3A07" w:rsidRDefault="003B184F">
            <w:pPr>
              <w:pBdr>
                <w:top w:val="nil"/>
                <w:left w:val="nil"/>
                <w:bottom w:val="nil"/>
                <w:right w:val="nil"/>
                <w:between w:val="nil"/>
              </w:pBdr>
              <w:spacing w:before="40" w:after="40"/>
              <w:jc w:val="center"/>
              <w:rPr>
                <w:color w:val="000000"/>
              </w:rPr>
            </w:pPr>
            <w:r>
              <w:rPr>
                <w:color w:val="000000"/>
              </w:rPr>
              <w:t>Ultimate Beam</w:t>
            </w:r>
            <w:r>
              <w:rPr>
                <w:i/>
                <w:color w:val="000000"/>
              </w:rPr>
              <w:t xml:space="preserve"> </w:t>
            </w:r>
          </w:p>
        </w:tc>
        <w:tc>
          <w:tcPr>
            <w:tcW w:w="1259" w:type="dxa"/>
          </w:tcPr>
          <w:p w14:paraId="303C92E8" w14:textId="77777777" w:rsidR="005A3A07" w:rsidRDefault="003B184F">
            <w:pPr>
              <w:pBdr>
                <w:top w:val="nil"/>
                <w:left w:val="nil"/>
                <w:bottom w:val="nil"/>
                <w:right w:val="nil"/>
                <w:between w:val="nil"/>
              </w:pBdr>
              <w:spacing w:before="40" w:after="40"/>
              <w:jc w:val="center"/>
              <w:rPr>
                <w:color w:val="000000"/>
              </w:rPr>
            </w:pPr>
            <w:r>
              <w:rPr>
                <w:color w:val="000000"/>
              </w:rPr>
              <w:t>Description</w:t>
            </w:r>
          </w:p>
        </w:tc>
      </w:tr>
      <w:tr w:rsidR="005A3A07" w14:paraId="5240EC98" w14:textId="77777777">
        <w:tc>
          <w:tcPr>
            <w:tcW w:w="1624" w:type="dxa"/>
          </w:tcPr>
          <w:p w14:paraId="1086D1D1" w14:textId="77777777" w:rsidR="005A3A07" w:rsidRDefault="003B184F">
            <w:pPr>
              <w:pBdr>
                <w:top w:val="nil"/>
                <w:left w:val="nil"/>
                <w:bottom w:val="nil"/>
                <w:right w:val="nil"/>
                <w:between w:val="nil"/>
              </w:pBdr>
              <w:jc w:val="center"/>
              <w:rPr>
                <w:color w:val="000000"/>
              </w:rPr>
            </w:pPr>
            <w:r>
              <w:rPr>
                <w:color w:val="000000"/>
              </w:rPr>
              <w:t>Moment (kgm)</w:t>
            </w:r>
          </w:p>
        </w:tc>
        <w:tc>
          <w:tcPr>
            <w:tcW w:w="988" w:type="dxa"/>
          </w:tcPr>
          <w:p w14:paraId="1F2C0C2E" w14:textId="77777777" w:rsidR="005A3A07" w:rsidRDefault="003B184F">
            <w:pPr>
              <w:pBdr>
                <w:top w:val="nil"/>
                <w:left w:val="nil"/>
                <w:bottom w:val="nil"/>
                <w:right w:val="nil"/>
                <w:between w:val="nil"/>
              </w:pBdr>
              <w:jc w:val="center"/>
              <w:rPr>
                <w:color w:val="000000"/>
              </w:rPr>
            </w:pPr>
            <w:r>
              <w:rPr>
                <w:color w:val="000000"/>
              </w:rPr>
              <w:t>Mn &gt; Mu</w:t>
            </w:r>
          </w:p>
        </w:tc>
        <w:tc>
          <w:tcPr>
            <w:tcW w:w="1709" w:type="dxa"/>
          </w:tcPr>
          <w:p w14:paraId="77DBFE99" w14:textId="77777777" w:rsidR="005A3A07" w:rsidRDefault="003B184F">
            <w:pPr>
              <w:pBdr>
                <w:top w:val="nil"/>
                <w:left w:val="nil"/>
                <w:bottom w:val="nil"/>
                <w:right w:val="nil"/>
                <w:between w:val="nil"/>
              </w:pBdr>
              <w:jc w:val="center"/>
              <w:rPr>
                <w:color w:val="000000"/>
              </w:rPr>
            </w:pPr>
            <w:r>
              <w:rPr>
                <w:color w:val="000000"/>
              </w:rPr>
              <w:t>0,00384</w:t>
            </w:r>
          </w:p>
        </w:tc>
        <w:tc>
          <w:tcPr>
            <w:tcW w:w="1801" w:type="dxa"/>
          </w:tcPr>
          <w:p w14:paraId="4DC33522" w14:textId="77777777" w:rsidR="005A3A07" w:rsidRDefault="003B184F">
            <w:pPr>
              <w:pBdr>
                <w:top w:val="nil"/>
                <w:left w:val="nil"/>
                <w:bottom w:val="nil"/>
                <w:right w:val="nil"/>
                <w:between w:val="nil"/>
              </w:pBdr>
              <w:jc w:val="center"/>
              <w:rPr>
                <w:color w:val="000000"/>
              </w:rPr>
            </w:pPr>
            <w:r>
              <w:rPr>
                <w:color w:val="000000"/>
              </w:rPr>
              <w:t>0,00198</w:t>
            </w:r>
          </w:p>
        </w:tc>
        <w:tc>
          <w:tcPr>
            <w:tcW w:w="1259" w:type="dxa"/>
          </w:tcPr>
          <w:p w14:paraId="54DA3570" w14:textId="77777777" w:rsidR="005A3A07" w:rsidRDefault="003B184F">
            <w:pPr>
              <w:pBdr>
                <w:top w:val="nil"/>
                <w:left w:val="nil"/>
                <w:bottom w:val="nil"/>
                <w:right w:val="nil"/>
                <w:between w:val="nil"/>
              </w:pBdr>
              <w:jc w:val="center"/>
              <w:rPr>
                <w:color w:val="000000"/>
              </w:rPr>
            </w:pPr>
            <w:r>
              <w:rPr>
                <w:color w:val="000000"/>
              </w:rPr>
              <w:t>Safe</w:t>
            </w:r>
          </w:p>
        </w:tc>
      </w:tr>
      <w:tr w:rsidR="005A3A07" w14:paraId="62F8C31E" w14:textId="77777777">
        <w:tc>
          <w:tcPr>
            <w:tcW w:w="1624" w:type="dxa"/>
          </w:tcPr>
          <w:p w14:paraId="1FC15412" w14:textId="77777777" w:rsidR="005A3A07" w:rsidRDefault="003B184F">
            <w:pPr>
              <w:pBdr>
                <w:top w:val="nil"/>
                <w:left w:val="nil"/>
                <w:bottom w:val="nil"/>
                <w:right w:val="nil"/>
                <w:between w:val="nil"/>
              </w:pBdr>
              <w:jc w:val="center"/>
              <w:rPr>
                <w:color w:val="000000"/>
              </w:rPr>
            </w:pPr>
            <w:r>
              <w:rPr>
                <w:color w:val="000000"/>
              </w:rPr>
              <w:t>Shear (kg)</w:t>
            </w:r>
          </w:p>
        </w:tc>
        <w:tc>
          <w:tcPr>
            <w:tcW w:w="988" w:type="dxa"/>
          </w:tcPr>
          <w:p w14:paraId="56C2E9A4" w14:textId="77777777" w:rsidR="005A3A07" w:rsidRDefault="003B184F">
            <w:pPr>
              <w:pBdr>
                <w:top w:val="nil"/>
                <w:left w:val="nil"/>
                <w:bottom w:val="nil"/>
                <w:right w:val="nil"/>
                <w:between w:val="nil"/>
              </w:pBdr>
              <w:jc w:val="center"/>
              <w:rPr>
                <w:color w:val="000000"/>
              </w:rPr>
            </w:pPr>
            <w:r>
              <w:rPr>
                <w:color w:val="000000"/>
              </w:rPr>
              <w:t>Vn &gt; Vu</w:t>
            </w:r>
          </w:p>
        </w:tc>
        <w:tc>
          <w:tcPr>
            <w:tcW w:w="1709" w:type="dxa"/>
          </w:tcPr>
          <w:p w14:paraId="0E8A0DC6" w14:textId="77777777" w:rsidR="005A3A07" w:rsidRDefault="003B184F">
            <w:pPr>
              <w:pBdr>
                <w:top w:val="nil"/>
                <w:left w:val="nil"/>
                <w:bottom w:val="nil"/>
                <w:right w:val="nil"/>
                <w:between w:val="nil"/>
              </w:pBdr>
              <w:jc w:val="center"/>
              <w:rPr>
                <w:color w:val="000000"/>
              </w:rPr>
            </w:pPr>
            <w:r>
              <w:rPr>
                <w:color w:val="000000"/>
              </w:rPr>
              <w:t>0,32600</w:t>
            </w:r>
          </w:p>
        </w:tc>
        <w:tc>
          <w:tcPr>
            <w:tcW w:w="1801" w:type="dxa"/>
          </w:tcPr>
          <w:p w14:paraId="613F2C8F" w14:textId="77777777" w:rsidR="005A3A07" w:rsidRDefault="003B184F">
            <w:pPr>
              <w:pBdr>
                <w:top w:val="nil"/>
                <w:left w:val="nil"/>
                <w:bottom w:val="nil"/>
                <w:right w:val="nil"/>
                <w:between w:val="nil"/>
              </w:pBdr>
              <w:jc w:val="center"/>
              <w:rPr>
                <w:color w:val="000000"/>
              </w:rPr>
            </w:pPr>
            <w:r>
              <w:rPr>
                <w:color w:val="000000"/>
              </w:rPr>
              <w:t>0,03650</w:t>
            </w:r>
          </w:p>
        </w:tc>
        <w:tc>
          <w:tcPr>
            <w:tcW w:w="1259" w:type="dxa"/>
          </w:tcPr>
          <w:p w14:paraId="4F9D5CAA" w14:textId="77777777" w:rsidR="005A3A07" w:rsidRDefault="003B184F">
            <w:pPr>
              <w:pBdr>
                <w:top w:val="nil"/>
                <w:left w:val="nil"/>
                <w:bottom w:val="nil"/>
                <w:right w:val="nil"/>
                <w:between w:val="nil"/>
              </w:pBdr>
              <w:jc w:val="center"/>
              <w:rPr>
                <w:color w:val="000000"/>
              </w:rPr>
            </w:pPr>
            <w:r>
              <w:rPr>
                <w:color w:val="000000"/>
              </w:rPr>
              <w:t>Safe</w:t>
            </w:r>
          </w:p>
        </w:tc>
      </w:tr>
      <w:tr w:rsidR="005A3A07" w14:paraId="01165573" w14:textId="77777777">
        <w:tc>
          <w:tcPr>
            <w:tcW w:w="1624" w:type="dxa"/>
          </w:tcPr>
          <w:p w14:paraId="7C623C2C" w14:textId="77777777" w:rsidR="005A3A07" w:rsidRDefault="003B184F">
            <w:pPr>
              <w:pBdr>
                <w:top w:val="nil"/>
                <w:left w:val="nil"/>
                <w:bottom w:val="nil"/>
                <w:right w:val="nil"/>
                <w:between w:val="nil"/>
              </w:pBdr>
              <w:jc w:val="center"/>
              <w:rPr>
                <w:color w:val="000000"/>
              </w:rPr>
            </w:pPr>
            <w:r>
              <w:rPr>
                <w:color w:val="000000"/>
              </w:rPr>
              <w:t>Axial (kg)</w:t>
            </w:r>
          </w:p>
        </w:tc>
        <w:tc>
          <w:tcPr>
            <w:tcW w:w="988" w:type="dxa"/>
          </w:tcPr>
          <w:p w14:paraId="5FAB61DD" w14:textId="77777777" w:rsidR="005A3A07" w:rsidRDefault="003B184F">
            <w:pPr>
              <w:pBdr>
                <w:top w:val="nil"/>
                <w:left w:val="nil"/>
                <w:bottom w:val="nil"/>
                <w:right w:val="nil"/>
                <w:between w:val="nil"/>
              </w:pBdr>
              <w:jc w:val="center"/>
              <w:rPr>
                <w:color w:val="000000"/>
              </w:rPr>
            </w:pPr>
            <w:r>
              <w:rPr>
                <w:color w:val="000000"/>
              </w:rPr>
              <w:t>Pn &gt; Pu</w:t>
            </w:r>
          </w:p>
        </w:tc>
        <w:tc>
          <w:tcPr>
            <w:tcW w:w="1709" w:type="dxa"/>
          </w:tcPr>
          <w:p w14:paraId="4CD63B1E" w14:textId="77777777" w:rsidR="005A3A07" w:rsidRDefault="003B184F">
            <w:pPr>
              <w:pBdr>
                <w:top w:val="nil"/>
                <w:left w:val="nil"/>
                <w:bottom w:val="nil"/>
                <w:right w:val="nil"/>
                <w:between w:val="nil"/>
              </w:pBdr>
              <w:jc w:val="center"/>
              <w:rPr>
                <w:color w:val="000000"/>
              </w:rPr>
            </w:pPr>
            <w:r>
              <w:rPr>
                <w:color w:val="000000"/>
              </w:rPr>
              <w:t>2,48900</w:t>
            </w:r>
          </w:p>
        </w:tc>
        <w:tc>
          <w:tcPr>
            <w:tcW w:w="1801" w:type="dxa"/>
          </w:tcPr>
          <w:p w14:paraId="51A6D3F3" w14:textId="77777777" w:rsidR="005A3A07" w:rsidRDefault="003B184F">
            <w:pPr>
              <w:pBdr>
                <w:top w:val="nil"/>
                <w:left w:val="nil"/>
                <w:bottom w:val="nil"/>
                <w:right w:val="nil"/>
                <w:between w:val="nil"/>
              </w:pBdr>
              <w:jc w:val="center"/>
              <w:rPr>
                <w:color w:val="000000"/>
              </w:rPr>
            </w:pPr>
            <w:r>
              <w:rPr>
                <w:color w:val="000000"/>
              </w:rPr>
              <w:t>0,02150</w:t>
            </w:r>
          </w:p>
        </w:tc>
        <w:tc>
          <w:tcPr>
            <w:tcW w:w="1259" w:type="dxa"/>
          </w:tcPr>
          <w:p w14:paraId="081DFA41" w14:textId="77777777" w:rsidR="005A3A07" w:rsidRDefault="003B184F">
            <w:pPr>
              <w:pBdr>
                <w:top w:val="nil"/>
                <w:left w:val="nil"/>
                <w:bottom w:val="nil"/>
                <w:right w:val="nil"/>
                <w:between w:val="nil"/>
              </w:pBdr>
              <w:jc w:val="center"/>
              <w:rPr>
                <w:color w:val="000000"/>
              </w:rPr>
            </w:pPr>
            <w:r>
              <w:rPr>
                <w:color w:val="000000"/>
              </w:rPr>
              <w:t>Safe</w:t>
            </w:r>
          </w:p>
        </w:tc>
      </w:tr>
      <w:tr w:rsidR="005A3A07" w14:paraId="4FED1A5B" w14:textId="77777777">
        <w:tc>
          <w:tcPr>
            <w:tcW w:w="1624" w:type="dxa"/>
          </w:tcPr>
          <w:p w14:paraId="50D8DB57" w14:textId="77777777" w:rsidR="005A3A07" w:rsidRDefault="003B184F">
            <w:pPr>
              <w:pBdr>
                <w:top w:val="nil"/>
                <w:left w:val="nil"/>
                <w:bottom w:val="nil"/>
                <w:right w:val="nil"/>
                <w:between w:val="nil"/>
              </w:pBdr>
              <w:jc w:val="center"/>
              <w:rPr>
                <w:color w:val="000000"/>
              </w:rPr>
            </w:pPr>
            <w:r>
              <w:rPr>
                <w:color w:val="000000"/>
              </w:rPr>
              <w:t>Torque (kgm</w:t>
            </w:r>
          </w:p>
        </w:tc>
        <w:tc>
          <w:tcPr>
            <w:tcW w:w="988" w:type="dxa"/>
          </w:tcPr>
          <w:p w14:paraId="2A638C26" w14:textId="77777777" w:rsidR="005A3A07" w:rsidRDefault="003B184F">
            <w:pPr>
              <w:pBdr>
                <w:top w:val="nil"/>
                <w:left w:val="nil"/>
                <w:bottom w:val="nil"/>
                <w:right w:val="nil"/>
                <w:between w:val="nil"/>
              </w:pBdr>
              <w:jc w:val="center"/>
              <w:rPr>
                <w:color w:val="000000"/>
              </w:rPr>
            </w:pPr>
            <w:r>
              <w:rPr>
                <w:color w:val="000000"/>
              </w:rPr>
              <w:t>Tn &gt; Tu</w:t>
            </w:r>
          </w:p>
        </w:tc>
        <w:tc>
          <w:tcPr>
            <w:tcW w:w="1709" w:type="dxa"/>
          </w:tcPr>
          <w:p w14:paraId="48045031" w14:textId="77777777" w:rsidR="005A3A07" w:rsidRDefault="003B184F">
            <w:pPr>
              <w:pBdr>
                <w:top w:val="nil"/>
                <w:left w:val="nil"/>
                <w:bottom w:val="nil"/>
                <w:right w:val="nil"/>
                <w:between w:val="nil"/>
              </w:pBdr>
              <w:jc w:val="center"/>
              <w:rPr>
                <w:color w:val="000000"/>
              </w:rPr>
            </w:pPr>
            <w:r>
              <w:rPr>
                <w:color w:val="000000"/>
              </w:rPr>
              <w:t>0,00287</w:t>
            </w:r>
          </w:p>
        </w:tc>
        <w:tc>
          <w:tcPr>
            <w:tcW w:w="1801" w:type="dxa"/>
          </w:tcPr>
          <w:p w14:paraId="68853F17" w14:textId="77777777" w:rsidR="005A3A07" w:rsidRDefault="003B184F">
            <w:pPr>
              <w:pBdr>
                <w:top w:val="nil"/>
                <w:left w:val="nil"/>
                <w:bottom w:val="nil"/>
                <w:right w:val="nil"/>
                <w:between w:val="nil"/>
              </w:pBdr>
              <w:jc w:val="center"/>
              <w:rPr>
                <w:color w:val="000000"/>
              </w:rPr>
            </w:pPr>
            <w:r>
              <w:rPr>
                <w:color w:val="000000"/>
              </w:rPr>
              <w:t>0,00012</w:t>
            </w:r>
          </w:p>
        </w:tc>
        <w:tc>
          <w:tcPr>
            <w:tcW w:w="1259" w:type="dxa"/>
          </w:tcPr>
          <w:p w14:paraId="5AD246A5" w14:textId="77777777" w:rsidR="005A3A07" w:rsidRDefault="003B184F">
            <w:pPr>
              <w:pBdr>
                <w:top w:val="nil"/>
                <w:left w:val="nil"/>
                <w:bottom w:val="nil"/>
                <w:right w:val="nil"/>
                <w:between w:val="nil"/>
              </w:pBdr>
              <w:jc w:val="center"/>
              <w:rPr>
                <w:color w:val="000000"/>
              </w:rPr>
            </w:pPr>
            <w:r>
              <w:rPr>
                <w:color w:val="000000"/>
              </w:rPr>
              <w:t>Safe</w:t>
            </w:r>
          </w:p>
        </w:tc>
      </w:tr>
    </w:tbl>
    <w:p w14:paraId="5618FCE8" w14:textId="77777777" w:rsidR="003B184F" w:rsidRDefault="003B184F">
      <w:pPr>
        <w:pBdr>
          <w:top w:val="nil"/>
          <w:left w:val="nil"/>
          <w:bottom w:val="nil"/>
          <w:right w:val="nil"/>
          <w:between w:val="nil"/>
        </w:pBdr>
        <w:spacing w:before="120"/>
        <w:jc w:val="center"/>
        <w:rPr>
          <w:b/>
          <w:color w:val="000000"/>
          <w:sz w:val="18"/>
          <w:szCs w:val="18"/>
        </w:rPr>
      </w:pPr>
    </w:p>
    <w:p w14:paraId="17AB470C" w14:textId="77777777" w:rsidR="003B184F" w:rsidRDefault="003B184F">
      <w:pPr>
        <w:pBdr>
          <w:top w:val="nil"/>
          <w:left w:val="nil"/>
          <w:bottom w:val="nil"/>
          <w:right w:val="nil"/>
          <w:between w:val="nil"/>
        </w:pBdr>
        <w:spacing w:before="120"/>
        <w:jc w:val="center"/>
        <w:rPr>
          <w:b/>
          <w:color w:val="000000"/>
          <w:sz w:val="18"/>
          <w:szCs w:val="18"/>
        </w:rPr>
      </w:pPr>
    </w:p>
    <w:p w14:paraId="20D14704" w14:textId="77777777" w:rsidR="005A3A07" w:rsidRDefault="003B184F" w:rsidP="003B184F">
      <w:pPr>
        <w:pStyle w:val="TableCaption"/>
        <w:rPr>
          <w:i/>
        </w:rPr>
      </w:pPr>
      <w:r>
        <w:rPr>
          <w:b/>
        </w:rPr>
        <w:lastRenderedPageBreak/>
        <w:t>TABLE 3.</w:t>
      </w:r>
      <w:r>
        <w:t xml:space="preserve"> Cross-section Analysis (Column)</w:t>
      </w:r>
    </w:p>
    <w:tbl>
      <w:tblPr>
        <w:tblStyle w:val="a2"/>
        <w:tblW w:w="7381"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2"/>
        <w:gridCol w:w="988"/>
        <w:gridCol w:w="1621"/>
        <w:gridCol w:w="1709"/>
        <w:gridCol w:w="1171"/>
      </w:tblGrid>
      <w:tr w:rsidR="005A3A07" w14:paraId="511CEF44" w14:textId="77777777">
        <w:tc>
          <w:tcPr>
            <w:tcW w:w="1892" w:type="dxa"/>
            <w:vAlign w:val="center"/>
          </w:tcPr>
          <w:p w14:paraId="179E2C03" w14:textId="77777777" w:rsidR="005A3A07" w:rsidRDefault="003B184F">
            <w:pPr>
              <w:pBdr>
                <w:top w:val="nil"/>
                <w:left w:val="nil"/>
                <w:bottom w:val="nil"/>
                <w:right w:val="nil"/>
                <w:between w:val="nil"/>
              </w:pBdr>
              <w:spacing w:before="40" w:after="40"/>
              <w:jc w:val="center"/>
              <w:rPr>
                <w:b/>
                <w:color w:val="000000"/>
              </w:rPr>
            </w:pPr>
            <w:r>
              <w:rPr>
                <w:color w:val="000000"/>
              </w:rPr>
              <w:t>Column analysis</w:t>
            </w:r>
          </w:p>
        </w:tc>
        <w:tc>
          <w:tcPr>
            <w:tcW w:w="988" w:type="dxa"/>
            <w:vAlign w:val="center"/>
          </w:tcPr>
          <w:p w14:paraId="2A0B347A" w14:textId="77777777" w:rsidR="005A3A07" w:rsidRDefault="003B184F">
            <w:pPr>
              <w:pBdr>
                <w:top w:val="nil"/>
                <w:left w:val="nil"/>
                <w:bottom w:val="nil"/>
                <w:right w:val="nil"/>
                <w:between w:val="nil"/>
              </w:pBdr>
              <w:spacing w:before="40" w:after="40"/>
              <w:jc w:val="center"/>
              <w:rPr>
                <w:b/>
                <w:color w:val="000000"/>
              </w:rPr>
            </w:pPr>
            <w:r>
              <w:rPr>
                <w:color w:val="000000"/>
              </w:rPr>
              <w:t>Control</w:t>
            </w:r>
          </w:p>
        </w:tc>
        <w:tc>
          <w:tcPr>
            <w:tcW w:w="1621" w:type="dxa"/>
            <w:vAlign w:val="center"/>
          </w:tcPr>
          <w:p w14:paraId="0AE8E771" w14:textId="77777777" w:rsidR="005A3A07" w:rsidRDefault="003B184F">
            <w:pPr>
              <w:pBdr>
                <w:top w:val="nil"/>
                <w:left w:val="nil"/>
                <w:bottom w:val="nil"/>
                <w:right w:val="nil"/>
                <w:between w:val="nil"/>
              </w:pBdr>
              <w:spacing w:before="40" w:after="40"/>
              <w:jc w:val="center"/>
              <w:rPr>
                <w:b/>
                <w:color w:val="000000"/>
              </w:rPr>
            </w:pPr>
            <w:r>
              <w:rPr>
                <w:color w:val="000000"/>
              </w:rPr>
              <w:t>Nominal result</w:t>
            </w:r>
          </w:p>
        </w:tc>
        <w:tc>
          <w:tcPr>
            <w:tcW w:w="1709" w:type="dxa"/>
          </w:tcPr>
          <w:p w14:paraId="24039998" w14:textId="77777777" w:rsidR="005A3A07" w:rsidRDefault="003B184F">
            <w:pPr>
              <w:pBdr>
                <w:top w:val="nil"/>
                <w:left w:val="nil"/>
                <w:bottom w:val="nil"/>
                <w:right w:val="nil"/>
                <w:between w:val="nil"/>
              </w:pBdr>
              <w:spacing w:before="40" w:after="40"/>
              <w:ind w:left="-110" w:right="-18"/>
              <w:jc w:val="center"/>
              <w:rPr>
                <w:b/>
                <w:color w:val="000000"/>
              </w:rPr>
            </w:pPr>
            <w:r>
              <w:rPr>
                <w:color w:val="000000"/>
              </w:rPr>
              <w:t>Ultimate Column</w:t>
            </w:r>
          </w:p>
        </w:tc>
        <w:tc>
          <w:tcPr>
            <w:tcW w:w="1171" w:type="dxa"/>
            <w:vAlign w:val="center"/>
          </w:tcPr>
          <w:p w14:paraId="392810E5" w14:textId="77777777" w:rsidR="005A3A07" w:rsidRDefault="003B184F">
            <w:pPr>
              <w:pBdr>
                <w:top w:val="nil"/>
                <w:left w:val="nil"/>
                <w:bottom w:val="nil"/>
                <w:right w:val="nil"/>
                <w:between w:val="nil"/>
              </w:pBdr>
              <w:spacing w:before="40" w:after="40"/>
              <w:jc w:val="center"/>
              <w:rPr>
                <w:b/>
                <w:color w:val="000000"/>
              </w:rPr>
            </w:pPr>
            <w:r>
              <w:rPr>
                <w:color w:val="000000"/>
              </w:rPr>
              <w:t>Description</w:t>
            </w:r>
          </w:p>
        </w:tc>
      </w:tr>
      <w:tr w:rsidR="005A3A07" w14:paraId="730C33C6" w14:textId="77777777">
        <w:tc>
          <w:tcPr>
            <w:tcW w:w="1892" w:type="dxa"/>
          </w:tcPr>
          <w:p w14:paraId="5E13E7E1" w14:textId="77777777" w:rsidR="005A3A07" w:rsidRDefault="003B184F">
            <w:pPr>
              <w:pBdr>
                <w:top w:val="nil"/>
                <w:left w:val="nil"/>
                <w:bottom w:val="nil"/>
                <w:right w:val="nil"/>
                <w:between w:val="nil"/>
              </w:pBdr>
              <w:jc w:val="center"/>
              <w:rPr>
                <w:color w:val="000000"/>
              </w:rPr>
            </w:pPr>
            <w:r>
              <w:rPr>
                <w:color w:val="000000"/>
              </w:rPr>
              <w:t>Moment (kgm)</w:t>
            </w:r>
          </w:p>
        </w:tc>
        <w:tc>
          <w:tcPr>
            <w:tcW w:w="988" w:type="dxa"/>
          </w:tcPr>
          <w:p w14:paraId="3CB39D52" w14:textId="77777777" w:rsidR="005A3A07" w:rsidRDefault="003B184F">
            <w:pPr>
              <w:pBdr>
                <w:top w:val="nil"/>
                <w:left w:val="nil"/>
                <w:bottom w:val="nil"/>
                <w:right w:val="nil"/>
                <w:between w:val="nil"/>
              </w:pBdr>
              <w:jc w:val="center"/>
              <w:rPr>
                <w:color w:val="000000"/>
              </w:rPr>
            </w:pPr>
            <w:r>
              <w:rPr>
                <w:color w:val="000000"/>
              </w:rPr>
              <w:t>Mn &gt; Mu</w:t>
            </w:r>
          </w:p>
        </w:tc>
        <w:tc>
          <w:tcPr>
            <w:tcW w:w="1621" w:type="dxa"/>
          </w:tcPr>
          <w:p w14:paraId="51A732EC" w14:textId="77777777" w:rsidR="005A3A07" w:rsidRDefault="003B184F">
            <w:pPr>
              <w:pBdr>
                <w:top w:val="nil"/>
                <w:left w:val="nil"/>
                <w:bottom w:val="nil"/>
                <w:right w:val="nil"/>
                <w:between w:val="nil"/>
              </w:pBdr>
              <w:jc w:val="center"/>
              <w:rPr>
                <w:color w:val="000000"/>
              </w:rPr>
            </w:pPr>
            <w:r>
              <w:rPr>
                <w:color w:val="000000"/>
              </w:rPr>
              <w:t>0,00489</w:t>
            </w:r>
          </w:p>
        </w:tc>
        <w:tc>
          <w:tcPr>
            <w:tcW w:w="1709" w:type="dxa"/>
          </w:tcPr>
          <w:p w14:paraId="1659634D" w14:textId="77777777" w:rsidR="005A3A07" w:rsidRDefault="003B184F">
            <w:pPr>
              <w:pBdr>
                <w:top w:val="nil"/>
                <w:left w:val="nil"/>
                <w:bottom w:val="nil"/>
                <w:right w:val="nil"/>
                <w:between w:val="nil"/>
              </w:pBdr>
              <w:ind w:right="430"/>
              <w:jc w:val="right"/>
              <w:rPr>
                <w:color w:val="000000"/>
              </w:rPr>
            </w:pPr>
            <w:r>
              <w:rPr>
                <w:color w:val="000000"/>
              </w:rPr>
              <w:t>0,00235</w:t>
            </w:r>
          </w:p>
        </w:tc>
        <w:tc>
          <w:tcPr>
            <w:tcW w:w="1171" w:type="dxa"/>
          </w:tcPr>
          <w:p w14:paraId="7E433319" w14:textId="77777777" w:rsidR="005A3A07" w:rsidRDefault="003B184F">
            <w:pPr>
              <w:pBdr>
                <w:top w:val="nil"/>
                <w:left w:val="nil"/>
                <w:bottom w:val="nil"/>
                <w:right w:val="nil"/>
                <w:between w:val="nil"/>
              </w:pBdr>
              <w:jc w:val="center"/>
              <w:rPr>
                <w:color w:val="000000"/>
              </w:rPr>
            </w:pPr>
            <w:r>
              <w:rPr>
                <w:color w:val="000000"/>
              </w:rPr>
              <w:t>Safe</w:t>
            </w:r>
          </w:p>
        </w:tc>
      </w:tr>
      <w:tr w:rsidR="005A3A07" w14:paraId="56A9A697" w14:textId="77777777">
        <w:tc>
          <w:tcPr>
            <w:tcW w:w="1892" w:type="dxa"/>
          </w:tcPr>
          <w:p w14:paraId="362B3023" w14:textId="77777777" w:rsidR="005A3A07" w:rsidRDefault="003B184F">
            <w:pPr>
              <w:pBdr>
                <w:top w:val="nil"/>
                <w:left w:val="nil"/>
                <w:bottom w:val="nil"/>
                <w:right w:val="nil"/>
                <w:between w:val="nil"/>
              </w:pBdr>
              <w:jc w:val="center"/>
              <w:rPr>
                <w:color w:val="000000"/>
              </w:rPr>
            </w:pPr>
            <w:r>
              <w:rPr>
                <w:color w:val="000000"/>
              </w:rPr>
              <w:t>Shear (kg)</w:t>
            </w:r>
          </w:p>
        </w:tc>
        <w:tc>
          <w:tcPr>
            <w:tcW w:w="988" w:type="dxa"/>
          </w:tcPr>
          <w:p w14:paraId="31E27646" w14:textId="77777777" w:rsidR="005A3A07" w:rsidRDefault="003B184F">
            <w:pPr>
              <w:pBdr>
                <w:top w:val="nil"/>
                <w:left w:val="nil"/>
                <w:bottom w:val="nil"/>
                <w:right w:val="nil"/>
                <w:between w:val="nil"/>
              </w:pBdr>
              <w:jc w:val="center"/>
              <w:rPr>
                <w:color w:val="000000"/>
              </w:rPr>
            </w:pPr>
            <w:r>
              <w:rPr>
                <w:color w:val="000000"/>
              </w:rPr>
              <w:t>Vn &gt; Vu</w:t>
            </w:r>
          </w:p>
        </w:tc>
        <w:tc>
          <w:tcPr>
            <w:tcW w:w="1621" w:type="dxa"/>
          </w:tcPr>
          <w:p w14:paraId="57E020D0" w14:textId="77777777" w:rsidR="005A3A07" w:rsidRDefault="003B184F">
            <w:pPr>
              <w:pBdr>
                <w:top w:val="nil"/>
                <w:left w:val="nil"/>
                <w:bottom w:val="nil"/>
                <w:right w:val="nil"/>
                <w:between w:val="nil"/>
              </w:pBdr>
              <w:jc w:val="center"/>
              <w:rPr>
                <w:color w:val="000000"/>
              </w:rPr>
            </w:pPr>
            <w:r>
              <w:rPr>
                <w:color w:val="000000"/>
              </w:rPr>
              <w:t>0,86100</w:t>
            </w:r>
          </w:p>
        </w:tc>
        <w:tc>
          <w:tcPr>
            <w:tcW w:w="1709" w:type="dxa"/>
          </w:tcPr>
          <w:p w14:paraId="4C57AD0B" w14:textId="77777777" w:rsidR="005A3A07" w:rsidRDefault="003B184F">
            <w:pPr>
              <w:pBdr>
                <w:top w:val="nil"/>
                <w:left w:val="nil"/>
                <w:bottom w:val="nil"/>
                <w:right w:val="nil"/>
                <w:between w:val="nil"/>
              </w:pBdr>
              <w:ind w:right="430"/>
              <w:jc w:val="right"/>
              <w:rPr>
                <w:color w:val="000000"/>
              </w:rPr>
            </w:pPr>
            <w:r>
              <w:rPr>
                <w:color w:val="000000"/>
              </w:rPr>
              <w:t>0,07706</w:t>
            </w:r>
          </w:p>
        </w:tc>
        <w:tc>
          <w:tcPr>
            <w:tcW w:w="1171" w:type="dxa"/>
          </w:tcPr>
          <w:p w14:paraId="5A9664E6" w14:textId="77777777" w:rsidR="005A3A07" w:rsidRDefault="003B184F">
            <w:pPr>
              <w:pBdr>
                <w:top w:val="nil"/>
                <w:left w:val="nil"/>
                <w:bottom w:val="nil"/>
                <w:right w:val="nil"/>
                <w:between w:val="nil"/>
              </w:pBdr>
              <w:jc w:val="center"/>
              <w:rPr>
                <w:color w:val="000000"/>
              </w:rPr>
            </w:pPr>
            <w:r>
              <w:rPr>
                <w:color w:val="000000"/>
              </w:rPr>
              <w:t>Safe</w:t>
            </w:r>
          </w:p>
        </w:tc>
      </w:tr>
      <w:tr w:rsidR="005A3A07" w14:paraId="138B4195" w14:textId="77777777">
        <w:tc>
          <w:tcPr>
            <w:tcW w:w="1892" w:type="dxa"/>
          </w:tcPr>
          <w:p w14:paraId="4568E34B" w14:textId="77777777" w:rsidR="005A3A07" w:rsidRDefault="003B184F">
            <w:pPr>
              <w:pBdr>
                <w:top w:val="nil"/>
                <w:left w:val="nil"/>
                <w:bottom w:val="nil"/>
                <w:right w:val="nil"/>
                <w:between w:val="nil"/>
              </w:pBdr>
              <w:jc w:val="center"/>
              <w:rPr>
                <w:color w:val="000000"/>
              </w:rPr>
            </w:pPr>
            <w:r>
              <w:rPr>
                <w:color w:val="000000"/>
              </w:rPr>
              <w:t>Axial (kg)</w:t>
            </w:r>
          </w:p>
        </w:tc>
        <w:tc>
          <w:tcPr>
            <w:tcW w:w="988" w:type="dxa"/>
          </w:tcPr>
          <w:p w14:paraId="63E4986C" w14:textId="77777777" w:rsidR="005A3A07" w:rsidRDefault="003B184F">
            <w:pPr>
              <w:pBdr>
                <w:top w:val="nil"/>
                <w:left w:val="nil"/>
                <w:bottom w:val="nil"/>
                <w:right w:val="nil"/>
                <w:between w:val="nil"/>
              </w:pBdr>
              <w:jc w:val="center"/>
              <w:rPr>
                <w:color w:val="000000"/>
              </w:rPr>
            </w:pPr>
            <w:r>
              <w:rPr>
                <w:color w:val="000000"/>
              </w:rPr>
              <w:t>Pn &gt; Pu</w:t>
            </w:r>
          </w:p>
        </w:tc>
        <w:tc>
          <w:tcPr>
            <w:tcW w:w="1621" w:type="dxa"/>
          </w:tcPr>
          <w:p w14:paraId="53B861D1" w14:textId="77777777" w:rsidR="005A3A07" w:rsidRDefault="003B184F">
            <w:pPr>
              <w:pBdr>
                <w:top w:val="nil"/>
                <w:left w:val="nil"/>
                <w:bottom w:val="nil"/>
                <w:right w:val="nil"/>
                <w:between w:val="nil"/>
              </w:pBdr>
              <w:jc w:val="center"/>
              <w:rPr>
                <w:color w:val="000000"/>
              </w:rPr>
            </w:pPr>
            <w:r>
              <w:rPr>
                <w:color w:val="000000"/>
              </w:rPr>
              <w:t>2,94800</w:t>
            </w:r>
          </w:p>
        </w:tc>
        <w:tc>
          <w:tcPr>
            <w:tcW w:w="1709" w:type="dxa"/>
          </w:tcPr>
          <w:p w14:paraId="638D6F0F" w14:textId="77777777" w:rsidR="005A3A07" w:rsidRDefault="003B184F">
            <w:pPr>
              <w:pBdr>
                <w:top w:val="nil"/>
                <w:left w:val="nil"/>
                <w:bottom w:val="nil"/>
                <w:right w:val="nil"/>
                <w:between w:val="nil"/>
              </w:pBdr>
              <w:ind w:right="430"/>
              <w:jc w:val="right"/>
              <w:rPr>
                <w:color w:val="000000"/>
              </w:rPr>
            </w:pPr>
            <w:r>
              <w:rPr>
                <w:color w:val="000000"/>
              </w:rPr>
              <w:t>2,40500</w:t>
            </w:r>
          </w:p>
        </w:tc>
        <w:tc>
          <w:tcPr>
            <w:tcW w:w="1171" w:type="dxa"/>
          </w:tcPr>
          <w:p w14:paraId="43EA6E03" w14:textId="77777777" w:rsidR="005A3A07" w:rsidRDefault="003B184F">
            <w:pPr>
              <w:pBdr>
                <w:top w:val="nil"/>
                <w:left w:val="nil"/>
                <w:bottom w:val="nil"/>
                <w:right w:val="nil"/>
                <w:between w:val="nil"/>
              </w:pBdr>
              <w:jc w:val="center"/>
              <w:rPr>
                <w:color w:val="000000"/>
              </w:rPr>
            </w:pPr>
            <w:r>
              <w:rPr>
                <w:color w:val="000000"/>
              </w:rPr>
              <w:t>Safe</w:t>
            </w:r>
          </w:p>
        </w:tc>
      </w:tr>
      <w:tr w:rsidR="005A3A07" w14:paraId="00FE6EB6" w14:textId="77777777">
        <w:tc>
          <w:tcPr>
            <w:tcW w:w="1892" w:type="dxa"/>
          </w:tcPr>
          <w:p w14:paraId="605FB876" w14:textId="77777777" w:rsidR="005A3A07" w:rsidRDefault="003B184F">
            <w:pPr>
              <w:pBdr>
                <w:top w:val="nil"/>
                <w:left w:val="nil"/>
                <w:bottom w:val="nil"/>
                <w:right w:val="nil"/>
                <w:between w:val="nil"/>
              </w:pBdr>
              <w:jc w:val="center"/>
              <w:rPr>
                <w:color w:val="000000"/>
              </w:rPr>
            </w:pPr>
            <w:r>
              <w:rPr>
                <w:color w:val="000000"/>
              </w:rPr>
              <w:t>Torque (kgm</w:t>
            </w:r>
          </w:p>
        </w:tc>
        <w:tc>
          <w:tcPr>
            <w:tcW w:w="988" w:type="dxa"/>
          </w:tcPr>
          <w:p w14:paraId="53345DB5" w14:textId="77777777" w:rsidR="005A3A07" w:rsidRDefault="003B184F">
            <w:pPr>
              <w:pBdr>
                <w:top w:val="nil"/>
                <w:left w:val="nil"/>
                <w:bottom w:val="nil"/>
                <w:right w:val="nil"/>
                <w:between w:val="nil"/>
              </w:pBdr>
              <w:jc w:val="center"/>
              <w:rPr>
                <w:color w:val="000000"/>
              </w:rPr>
            </w:pPr>
            <w:r>
              <w:rPr>
                <w:color w:val="000000"/>
              </w:rPr>
              <w:t>Tn &gt; Tu</w:t>
            </w:r>
          </w:p>
        </w:tc>
        <w:tc>
          <w:tcPr>
            <w:tcW w:w="1621" w:type="dxa"/>
          </w:tcPr>
          <w:p w14:paraId="1AFBD69A" w14:textId="77777777" w:rsidR="005A3A07" w:rsidRDefault="003B184F">
            <w:pPr>
              <w:pBdr>
                <w:top w:val="nil"/>
                <w:left w:val="nil"/>
                <w:bottom w:val="nil"/>
                <w:right w:val="nil"/>
                <w:between w:val="nil"/>
              </w:pBdr>
              <w:jc w:val="center"/>
              <w:rPr>
                <w:color w:val="000000"/>
              </w:rPr>
            </w:pPr>
            <w:r>
              <w:rPr>
                <w:color w:val="000000"/>
              </w:rPr>
              <w:t>0,00845</w:t>
            </w:r>
          </w:p>
        </w:tc>
        <w:tc>
          <w:tcPr>
            <w:tcW w:w="1709" w:type="dxa"/>
          </w:tcPr>
          <w:p w14:paraId="4A64905C" w14:textId="77777777" w:rsidR="005A3A07" w:rsidRDefault="003B184F">
            <w:pPr>
              <w:pBdr>
                <w:top w:val="nil"/>
                <w:left w:val="nil"/>
                <w:bottom w:val="nil"/>
                <w:right w:val="nil"/>
                <w:between w:val="nil"/>
              </w:pBdr>
              <w:ind w:right="430"/>
              <w:jc w:val="right"/>
              <w:rPr>
                <w:color w:val="000000"/>
              </w:rPr>
            </w:pPr>
            <w:r>
              <w:rPr>
                <w:color w:val="000000"/>
              </w:rPr>
              <w:t>0,00091</w:t>
            </w:r>
          </w:p>
        </w:tc>
        <w:tc>
          <w:tcPr>
            <w:tcW w:w="1171" w:type="dxa"/>
          </w:tcPr>
          <w:p w14:paraId="0F02FF07" w14:textId="77777777" w:rsidR="005A3A07" w:rsidRDefault="003B184F">
            <w:pPr>
              <w:pBdr>
                <w:top w:val="nil"/>
                <w:left w:val="nil"/>
                <w:bottom w:val="nil"/>
                <w:right w:val="nil"/>
                <w:between w:val="nil"/>
              </w:pBdr>
              <w:jc w:val="center"/>
              <w:rPr>
                <w:color w:val="000000"/>
              </w:rPr>
            </w:pPr>
            <w:r>
              <w:rPr>
                <w:color w:val="000000"/>
              </w:rPr>
              <w:t xml:space="preserve">Safe </w:t>
            </w:r>
          </w:p>
        </w:tc>
      </w:tr>
    </w:tbl>
    <w:p w14:paraId="3BE9F450" w14:textId="77777777" w:rsidR="003B184F" w:rsidRDefault="003B184F">
      <w:pPr>
        <w:spacing w:before="120"/>
        <w:ind w:firstLine="274"/>
        <w:jc w:val="both"/>
        <w:rPr>
          <w:sz w:val="20"/>
        </w:rPr>
      </w:pPr>
    </w:p>
    <w:p w14:paraId="194E83BF" w14:textId="77777777" w:rsidR="005A3A07" w:rsidRPr="003B184F" w:rsidRDefault="003B184F" w:rsidP="003B184F">
      <w:pPr>
        <w:pBdr>
          <w:top w:val="nil"/>
          <w:left w:val="nil"/>
          <w:bottom w:val="nil"/>
          <w:right w:val="nil"/>
          <w:between w:val="nil"/>
        </w:pBdr>
        <w:ind w:firstLine="284"/>
        <w:jc w:val="both"/>
        <w:rPr>
          <w:rStyle w:val="Emphasis"/>
        </w:rPr>
      </w:pPr>
      <w:r w:rsidRPr="003B184F">
        <w:rPr>
          <w:rStyle w:val="Emphasis"/>
        </w:rPr>
        <w:t xml:space="preserve">Based on the analysis results shown in </w:t>
      </w:r>
      <w:r w:rsidRPr="003B184F">
        <w:rPr>
          <w:rStyle w:val="Emphasis"/>
          <w:b/>
          <w:bCs/>
        </w:rPr>
        <w:t>TABLE 2</w:t>
      </w:r>
      <w:r w:rsidRPr="003B184F">
        <w:rPr>
          <w:rStyle w:val="Emphasis"/>
        </w:rPr>
        <w:t xml:space="preserve"> and </w:t>
      </w:r>
      <w:r w:rsidRPr="003B184F">
        <w:rPr>
          <w:rStyle w:val="Emphasis"/>
          <w:b/>
          <w:bCs/>
        </w:rPr>
        <w:t>TABLE 3</w:t>
      </w:r>
      <w:r w:rsidRPr="003B184F">
        <w:rPr>
          <w:rStyle w:val="Emphasis"/>
        </w:rPr>
        <w:t>, the capacity of the forces acting on the columns and beams has achieved values greater than the ultimate forces generated from the loading process on the building model. Although the capacity values are still too large compared to the ultimate values, ideally the analysis results would show a balance between working loads and capacity. This means that the capacity should always be greater than the ultimate, but the difference should not be too wide or should be closer to the capacity. Therefore, in reality, the dimensions of the columns and beams could still be reduced, but since this design concept is a model, it is not possible to reduce those dimensions further.</w:t>
      </w:r>
    </w:p>
    <w:p w14:paraId="7420FDCA" w14:textId="77777777" w:rsidR="005A3A07" w:rsidRDefault="003B184F" w:rsidP="003B184F">
      <w:pPr>
        <w:pStyle w:val="TableCaption"/>
        <w:rPr>
          <w:i/>
        </w:rPr>
      </w:pPr>
      <w:r>
        <w:rPr>
          <w:b/>
        </w:rPr>
        <w:t>TABLE 4.</w:t>
      </w:r>
      <w:r>
        <w:t xml:space="preserve"> Bending Strength Control</w:t>
      </w:r>
    </w:p>
    <w:tbl>
      <w:tblPr>
        <w:tblStyle w:val="a3"/>
        <w:tblW w:w="6659"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8"/>
        <w:gridCol w:w="992"/>
        <w:gridCol w:w="3330"/>
        <w:gridCol w:w="1169"/>
      </w:tblGrid>
      <w:tr w:rsidR="005A3A07" w14:paraId="728AEF46" w14:textId="77777777">
        <w:tc>
          <w:tcPr>
            <w:tcW w:w="2160" w:type="dxa"/>
            <w:gridSpan w:val="2"/>
          </w:tcPr>
          <w:p w14:paraId="30B5328F" w14:textId="77777777" w:rsidR="005A3A07" w:rsidRDefault="003B184F">
            <w:pPr>
              <w:pBdr>
                <w:top w:val="nil"/>
                <w:left w:val="nil"/>
                <w:bottom w:val="nil"/>
                <w:right w:val="nil"/>
                <w:between w:val="nil"/>
              </w:pBdr>
              <w:spacing w:before="40" w:after="40"/>
              <w:ind w:left="-104" w:right="-108"/>
              <w:jc w:val="center"/>
              <w:rPr>
                <w:color w:val="000000"/>
              </w:rPr>
            </w:pPr>
            <w:r>
              <w:rPr>
                <w:color w:val="000000"/>
              </w:rPr>
              <w:t>Total Moment [kg.mm]</w:t>
            </w:r>
          </w:p>
        </w:tc>
        <w:tc>
          <w:tcPr>
            <w:tcW w:w="3330" w:type="dxa"/>
            <w:vMerge w:val="restart"/>
            <w:vAlign w:val="center"/>
          </w:tcPr>
          <w:p w14:paraId="32615B50" w14:textId="77777777" w:rsidR="005A3A07" w:rsidRDefault="003B184F">
            <w:pPr>
              <w:pBdr>
                <w:top w:val="nil"/>
                <w:left w:val="nil"/>
                <w:bottom w:val="nil"/>
                <w:right w:val="nil"/>
                <w:between w:val="nil"/>
              </w:pBdr>
              <w:spacing w:before="40" w:after="40"/>
              <w:ind w:left="-105" w:right="-97"/>
              <w:jc w:val="center"/>
              <w:rPr>
                <w:color w:val="000000"/>
              </w:rPr>
            </w:pPr>
            <w:r>
              <w:rPr>
                <w:color w:val="000000"/>
              </w:rPr>
              <w:t>Equation</w:t>
            </w:r>
          </w:p>
        </w:tc>
        <w:tc>
          <w:tcPr>
            <w:tcW w:w="1169" w:type="dxa"/>
            <w:vMerge w:val="restart"/>
            <w:vAlign w:val="center"/>
          </w:tcPr>
          <w:p w14:paraId="5BF8CADA" w14:textId="77777777" w:rsidR="005A3A07" w:rsidRDefault="003B184F">
            <w:pPr>
              <w:pBdr>
                <w:top w:val="nil"/>
                <w:left w:val="nil"/>
                <w:bottom w:val="nil"/>
                <w:right w:val="nil"/>
                <w:between w:val="nil"/>
              </w:pBdr>
              <w:spacing w:before="40" w:after="40"/>
              <w:jc w:val="center"/>
              <w:rPr>
                <w:color w:val="000000"/>
              </w:rPr>
            </w:pPr>
            <w:r>
              <w:rPr>
                <w:color w:val="000000"/>
              </w:rPr>
              <w:t>Description</w:t>
            </w:r>
          </w:p>
        </w:tc>
      </w:tr>
      <w:tr w:rsidR="005A3A07" w14:paraId="56AD340B" w14:textId="77777777">
        <w:tc>
          <w:tcPr>
            <w:tcW w:w="1168" w:type="dxa"/>
          </w:tcPr>
          <w:p w14:paraId="570A47B7" w14:textId="77777777" w:rsidR="005A3A07" w:rsidRDefault="003B184F">
            <w:pPr>
              <w:pBdr>
                <w:top w:val="nil"/>
                <w:left w:val="nil"/>
                <w:bottom w:val="nil"/>
                <w:right w:val="nil"/>
                <w:between w:val="nil"/>
              </w:pBdr>
              <w:ind w:left="-116" w:right="-109"/>
              <w:jc w:val="center"/>
              <w:rPr>
                <w:color w:val="000000"/>
              </w:rPr>
            </w:pPr>
            <w:r>
              <w:rPr>
                <w:color w:val="000000"/>
              </w:rPr>
              <w:t>Column</w:t>
            </w:r>
          </w:p>
        </w:tc>
        <w:tc>
          <w:tcPr>
            <w:tcW w:w="992" w:type="dxa"/>
          </w:tcPr>
          <w:p w14:paraId="406E17EA" w14:textId="77777777" w:rsidR="005A3A07" w:rsidRDefault="003B184F">
            <w:pPr>
              <w:pBdr>
                <w:top w:val="nil"/>
                <w:left w:val="nil"/>
                <w:bottom w:val="nil"/>
                <w:right w:val="nil"/>
                <w:between w:val="nil"/>
              </w:pBdr>
              <w:ind w:left="-104" w:right="-108"/>
              <w:jc w:val="center"/>
              <w:rPr>
                <w:color w:val="000000"/>
              </w:rPr>
            </w:pPr>
            <w:r>
              <w:rPr>
                <w:color w:val="000000"/>
              </w:rPr>
              <w:t>Beam</w:t>
            </w:r>
          </w:p>
        </w:tc>
        <w:tc>
          <w:tcPr>
            <w:tcW w:w="3330" w:type="dxa"/>
            <w:vMerge/>
            <w:vAlign w:val="center"/>
          </w:tcPr>
          <w:p w14:paraId="5A983D14" w14:textId="77777777" w:rsidR="005A3A07" w:rsidRDefault="005A3A07">
            <w:pPr>
              <w:widowControl w:val="0"/>
              <w:pBdr>
                <w:top w:val="nil"/>
                <w:left w:val="nil"/>
                <w:bottom w:val="nil"/>
                <w:right w:val="nil"/>
                <w:between w:val="nil"/>
              </w:pBdr>
              <w:spacing w:line="276" w:lineRule="auto"/>
              <w:rPr>
                <w:color w:val="000000"/>
              </w:rPr>
            </w:pPr>
          </w:p>
        </w:tc>
        <w:tc>
          <w:tcPr>
            <w:tcW w:w="1169" w:type="dxa"/>
            <w:vMerge/>
            <w:vAlign w:val="center"/>
          </w:tcPr>
          <w:p w14:paraId="1D6C16A3" w14:textId="77777777" w:rsidR="005A3A07" w:rsidRDefault="005A3A07">
            <w:pPr>
              <w:widowControl w:val="0"/>
              <w:pBdr>
                <w:top w:val="nil"/>
                <w:left w:val="nil"/>
                <w:bottom w:val="nil"/>
                <w:right w:val="nil"/>
                <w:between w:val="nil"/>
              </w:pBdr>
              <w:spacing w:line="276" w:lineRule="auto"/>
              <w:rPr>
                <w:color w:val="000000"/>
              </w:rPr>
            </w:pPr>
          </w:p>
        </w:tc>
      </w:tr>
      <w:tr w:rsidR="005A3A07" w14:paraId="2551D735" w14:textId="77777777">
        <w:tc>
          <w:tcPr>
            <w:tcW w:w="1168" w:type="dxa"/>
            <w:vAlign w:val="center"/>
          </w:tcPr>
          <w:p w14:paraId="4DB2791D" w14:textId="77777777" w:rsidR="005A3A07" w:rsidRDefault="003B184F">
            <w:pPr>
              <w:pBdr>
                <w:top w:val="nil"/>
                <w:left w:val="nil"/>
                <w:bottom w:val="nil"/>
                <w:right w:val="nil"/>
                <w:between w:val="nil"/>
              </w:pBdr>
              <w:ind w:left="-116" w:right="-109"/>
              <w:jc w:val="center"/>
              <w:rPr>
                <w:color w:val="000000"/>
              </w:rPr>
            </w:pPr>
            <w:r>
              <w:rPr>
                <w:color w:val="000000"/>
              </w:rPr>
              <w:t>229.46</w:t>
            </w:r>
          </w:p>
        </w:tc>
        <w:tc>
          <w:tcPr>
            <w:tcW w:w="992" w:type="dxa"/>
            <w:vAlign w:val="center"/>
          </w:tcPr>
          <w:p w14:paraId="52DD35AF" w14:textId="77777777" w:rsidR="005A3A07" w:rsidRDefault="003B184F">
            <w:pPr>
              <w:pBdr>
                <w:top w:val="nil"/>
                <w:left w:val="nil"/>
                <w:bottom w:val="nil"/>
                <w:right w:val="nil"/>
                <w:between w:val="nil"/>
              </w:pBdr>
              <w:ind w:left="-104" w:right="-108"/>
              <w:jc w:val="center"/>
              <w:rPr>
                <w:color w:val="000000"/>
              </w:rPr>
            </w:pPr>
            <w:r>
              <w:rPr>
                <w:color w:val="000000"/>
              </w:rPr>
              <w:t>98.95</w:t>
            </w:r>
          </w:p>
        </w:tc>
        <w:tc>
          <w:tcPr>
            <w:tcW w:w="3330" w:type="dxa"/>
          </w:tcPr>
          <w:p w14:paraId="0B6166D9" w14:textId="77777777" w:rsidR="005A3A07" w:rsidRDefault="003B184F">
            <w:pPr>
              <w:pBdr>
                <w:top w:val="nil"/>
                <w:left w:val="nil"/>
                <w:bottom w:val="nil"/>
                <w:right w:val="nil"/>
                <w:between w:val="nil"/>
              </w:pBdr>
              <w:ind w:left="-101" w:right="-101"/>
              <w:jc w:val="center"/>
              <w:rPr>
                <w:color w:val="000000"/>
              </w:rPr>
            </w:pPr>
            <w:r>
              <w:rPr>
                <w:rFonts w:ascii="Symbol" w:eastAsia="Symbol" w:hAnsi="Symbol" w:cs="Symbol"/>
                <w:b/>
                <w:color w:val="000000"/>
              </w:rPr>
              <w:t>Σ</w:t>
            </w:r>
            <w:sdt>
              <w:sdtPr>
                <w:tag w:val="goog_rdk_0"/>
                <w:id w:val="-1378006009"/>
              </w:sdtPr>
              <w:sdtEndPr/>
              <w:sdtContent>
                <w:r>
                  <w:rPr>
                    <w:rFonts w:ascii="Gungsuh" w:eastAsia="Gungsuh" w:hAnsi="Gungsuh" w:cs="Gungsuh"/>
                    <w:color w:val="000000"/>
                  </w:rPr>
                  <w:t xml:space="preserve">Moment Kolom ≥ </w:t>
                </w:r>
              </w:sdtContent>
            </w:sdt>
            <w:r>
              <w:rPr>
                <w:rFonts w:ascii="Symbol" w:eastAsia="Symbol" w:hAnsi="Symbol" w:cs="Symbol"/>
                <w:b/>
                <w:color w:val="000000"/>
              </w:rPr>
              <w:t>Σ</w:t>
            </w:r>
            <w:r>
              <w:rPr>
                <w:color w:val="000000"/>
              </w:rPr>
              <w:t xml:space="preserve">Moment Balok + 20% </w:t>
            </w:r>
            <w:r>
              <w:rPr>
                <w:rFonts w:ascii="Symbol" w:eastAsia="Symbol" w:hAnsi="Symbol" w:cs="Symbol"/>
                <w:b/>
                <w:color w:val="000000"/>
              </w:rPr>
              <w:t>Σ</w:t>
            </w:r>
            <w:r>
              <w:rPr>
                <w:color w:val="000000"/>
              </w:rPr>
              <w:t>Moment Balok</w:t>
            </w:r>
          </w:p>
        </w:tc>
        <w:tc>
          <w:tcPr>
            <w:tcW w:w="1169" w:type="dxa"/>
            <w:vAlign w:val="center"/>
          </w:tcPr>
          <w:p w14:paraId="32B3585E" w14:textId="77777777" w:rsidR="005A3A07" w:rsidRDefault="003B184F">
            <w:pPr>
              <w:pBdr>
                <w:top w:val="nil"/>
                <w:left w:val="nil"/>
                <w:bottom w:val="nil"/>
                <w:right w:val="nil"/>
                <w:between w:val="nil"/>
              </w:pBdr>
              <w:jc w:val="center"/>
              <w:rPr>
                <w:color w:val="000000"/>
              </w:rPr>
            </w:pPr>
            <w:r>
              <w:rPr>
                <w:color w:val="000000"/>
              </w:rPr>
              <w:t>Satisfied</w:t>
            </w:r>
          </w:p>
        </w:tc>
      </w:tr>
    </w:tbl>
    <w:p w14:paraId="4FB9C38D" w14:textId="77777777" w:rsidR="003B184F" w:rsidRDefault="003B184F">
      <w:pPr>
        <w:spacing w:before="120"/>
        <w:ind w:firstLine="274"/>
        <w:jc w:val="both"/>
        <w:rPr>
          <w:rStyle w:val="Emphasis"/>
        </w:rPr>
      </w:pPr>
    </w:p>
    <w:p w14:paraId="248FD403" w14:textId="77777777" w:rsidR="005A3A07" w:rsidRPr="003B184F" w:rsidRDefault="003B184F">
      <w:pPr>
        <w:spacing w:before="120"/>
        <w:ind w:firstLine="274"/>
        <w:jc w:val="both"/>
        <w:rPr>
          <w:rStyle w:val="Emphasis"/>
        </w:rPr>
      </w:pPr>
      <w:r w:rsidRPr="003B184F">
        <w:rPr>
          <w:rStyle w:val="Emphasis"/>
        </w:rPr>
        <w:t xml:space="preserve">Based on </w:t>
      </w:r>
      <w:r w:rsidRPr="003B184F">
        <w:rPr>
          <w:rStyle w:val="Emphasis"/>
          <w:b/>
          <w:bCs/>
        </w:rPr>
        <w:t>TABLE 4</w:t>
      </w:r>
      <w:r w:rsidRPr="003B184F">
        <w:rPr>
          <w:rStyle w:val="Emphasis"/>
        </w:rPr>
        <w:t xml:space="preserve"> above, the strong column-weak beam concept in this design has been fulfilled, as shown by the results in the table. This concept was chosen with the intention that, in the event of an earthquake exceeding the building's design capacity, the beams will be the first to suffer damage, such as cracking, allowing the occupants to evacuate according to the earthquake mitigation guidelines for buildings. The goal is to minimize casualties during an earthquake, especially for the occupants of tall buildings like the one in this model design.</w:t>
      </w:r>
    </w:p>
    <w:p w14:paraId="3CC53E1F" w14:textId="77777777" w:rsidR="003B184F" w:rsidRDefault="003B184F">
      <w:pPr>
        <w:pBdr>
          <w:top w:val="nil"/>
          <w:left w:val="nil"/>
          <w:bottom w:val="nil"/>
          <w:right w:val="nil"/>
          <w:between w:val="nil"/>
        </w:pBdr>
        <w:spacing w:before="120"/>
        <w:jc w:val="center"/>
        <w:rPr>
          <w:b/>
          <w:color w:val="000000"/>
          <w:sz w:val="18"/>
          <w:szCs w:val="18"/>
        </w:rPr>
      </w:pPr>
    </w:p>
    <w:p w14:paraId="75ED0C97" w14:textId="77777777" w:rsidR="005A3A07" w:rsidRDefault="003B184F" w:rsidP="003B184F">
      <w:pPr>
        <w:pStyle w:val="TableCaption"/>
        <w:rPr>
          <w:i/>
        </w:rPr>
      </w:pPr>
      <w:r>
        <w:rPr>
          <w:b/>
        </w:rPr>
        <w:t>TABLE 5.</w:t>
      </w:r>
      <w:r>
        <w:t xml:space="preserve"> Results of Deflection Analysis </w:t>
      </w:r>
    </w:p>
    <w:tbl>
      <w:tblPr>
        <w:tblStyle w:val="a4"/>
        <w:tblW w:w="62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
        <w:gridCol w:w="987"/>
        <w:gridCol w:w="1081"/>
        <w:gridCol w:w="1081"/>
        <w:gridCol w:w="1081"/>
        <w:gridCol w:w="1087"/>
      </w:tblGrid>
      <w:tr w:rsidR="005A3A07" w14:paraId="060DB921" w14:textId="77777777">
        <w:trPr>
          <w:trHeight w:val="215"/>
        </w:trPr>
        <w:tc>
          <w:tcPr>
            <w:tcW w:w="893" w:type="dxa"/>
            <w:vMerge w:val="restart"/>
            <w:vAlign w:val="center"/>
          </w:tcPr>
          <w:p w14:paraId="2208FB30" w14:textId="77777777" w:rsidR="005A3A07" w:rsidRDefault="003B184F">
            <w:pPr>
              <w:pBdr>
                <w:top w:val="nil"/>
                <w:left w:val="nil"/>
                <w:bottom w:val="nil"/>
                <w:right w:val="nil"/>
                <w:between w:val="nil"/>
              </w:pBdr>
              <w:ind w:left="-110" w:right="-108"/>
              <w:jc w:val="center"/>
              <w:rPr>
                <w:color w:val="000000"/>
              </w:rPr>
            </w:pPr>
            <w:r>
              <w:rPr>
                <w:color w:val="000000"/>
              </w:rPr>
              <w:t>Floor Loading</w:t>
            </w:r>
          </w:p>
        </w:tc>
        <w:tc>
          <w:tcPr>
            <w:tcW w:w="5317" w:type="dxa"/>
            <w:gridSpan w:val="5"/>
          </w:tcPr>
          <w:p w14:paraId="4D991D81" w14:textId="77777777" w:rsidR="005A3A07" w:rsidRDefault="003B184F">
            <w:pPr>
              <w:pBdr>
                <w:top w:val="nil"/>
                <w:left w:val="nil"/>
                <w:bottom w:val="nil"/>
                <w:right w:val="nil"/>
                <w:between w:val="nil"/>
              </w:pBdr>
              <w:jc w:val="center"/>
              <w:rPr>
                <w:color w:val="000000"/>
              </w:rPr>
            </w:pPr>
            <w:r>
              <w:rPr>
                <w:color w:val="000000"/>
              </w:rPr>
              <w:t>Deflection (mm)</w:t>
            </w:r>
          </w:p>
        </w:tc>
      </w:tr>
      <w:tr w:rsidR="005A3A07" w14:paraId="5836F0FD" w14:textId="77777777">
        <w:trPr>
          <w:trHeight w:val="215"/>
        </w:trPr>
        <w:tc>
          <w:tcPr>
            <w:tcW w:w="893" w:type="dxa"/>
            <w:vMerge/>
            <w:vAlign w:val="center"/>
          </w:tcPr>
          <w:p w14:paraId="5783E39B" w14:textId="77777777" w:rsidR="005A3A07" w:rsidRDefault="005A3A07">
            <w:pPr>
              <w:widowControl w:val="0"/>
              <w:pBdr>
                <w:top w:val="nil"/>
                <w:left w:val="nil"/>
                <w:bottom w:val="nil"/>
                <w:right w:val="nil"/>
                <w:between w:val="nil"/>
              </w:pBdr>
              <w:spacing w:line="276" w:lineRule="auto"/>
              <w:rPr>
                <w:color w:val="000000"/>
              </w:rPr>
            </w:pPr>
          </w:p>
        </w:tc>
        <w:tc>
          <w:tcPr>
            <w:tcW w:w="987" w:type="dxa"/>
          </w:tcPr>
          <w:p w14:paraId="79BF891F" w14:textId="77777777" w:rsidR="005A3A07" w:rsidRDefault="003B184F">
            <w:pPr>
              <w:pBdr>
                <w:top w:val="nil"/>
                <w:left w:val="nil"/>
                <w:bottom w:val="nil"/>
                <w:right w:val="nil"/>
                <w:between w:val="nil"/>
              </w:pBdr>
              <w:ind w:left="-100" w:right="-116"/>
              <w:jc w:val="center"/>
              <w:rPr>
                <w:color w:val="000000"/>
              </w:rPr>
            </w:pPr>
            <w:r>
              <w:rPr>
                <w:color w:val="000000"/>
                <w:sz w:val="18"/>
                <w:szCs w:val="18"/>
              </w:rPr>
              <w:t>1,5 Hz (N)</w:t>
            </w:r>
          </w:p>
        </w:tc>
        <w:tc>
          <w:tcPr>
            <w:tcW w:w="1081" w:type="dxa"/>
          </w:tcPr>
          <w:p w14:paraId="43FC65F8" w14:textId="77777777" w:rsidR="005A3A07" w:rsidRDefault="003B184F">
            <w:pPr>
              <w:pBdr>
                <w:top w:val="nil"/>
                <w:left w:val="nil"/>
                <w:bottom w:val="nil"/>
                <w:right w:val="nil"/>
                <w:between w:val="nil"/>
              </w:pBdr>
              <w:jc w:val="center"/>
              <w:rPr>
                <w:color w:val="000000"/>
              </w:rPr>
            </w:pPr>
            <w:r>
              <w:rPr>
                <w:color w:val="000000"/>
                <w:sz w:val="18"/>
                <w:szCs w:val="18"/>
              </w:rPr>
              <w:t>2,5 Hz (N)</w:t>
            </w:r>
          </w:p>
        </w:tc>
        <w:tc>
          <w:tcPr>
            <w:tcW w:w="1081" w:type="dxa"/>
          </w:tcPr>
          <w:p w14:paraId="44E0B0BD" w14:textId="77777777" w:rsidR="005A3A07" w:rsidRDefault="003B184F">
            <w:pPr>
              <w:pBdr>
                <w:top w:val="nil"/>
                <w:left w:val="nil"/>
                <w:bottom w:val="nil"/>
                <w:right w:val="nil"/>
                <w:between w:val="nil"/>
              </w:pBdr>
              <w:jc w:val="center"/>
              <w:rPr>
                <w:color w:val="000000"/>
              </w:rPr>
            </w:pPr>
            <w:r>
              <w:rPr>
                <w:color w:val="000000"/>
                <w:sz w:val="18"/>
                <w:szCs w:val="18"/>
              </w:rPr>
              <w:t>3,5 Hz (N)</w:t>
            </w:r>
          </w:p>
        </w:tc>
        <w:tc>
          <w:tcPr>
            <w:tcW w:w="1081" w:type="dxa"/>
          </w:tcPr>
          <w:p w14:paraId="7AE90DBC" w14:textId="77777777" w:rsidR="005A3A07" w:rsidRDefault="003B184F">
            <w:pPr>
              <w:pBdr>
                <w:top w:val="nil"/>
                <w:left w:val="nil"/>
                <w:bottom w:val="nil"/>
                <w:right w:val="nil"/>
                <w:between w:val="nil"/>
              </w:pBdr>
              <w:jc w:val="center"/>
              <w:rPr>
                <w:color w:val="000000"/>
              </w:rPr>
            </w:pPr>
            <w:r>
              <w:rPr>
                <w:color w:val="000000"/>
                <w:sz w:val="18"/>
                <w:szCs w:val="18"/>
              </w:rPr>
              <w:t>4,5 Hz (N)</w:t>
            </w:r>
          </w:p>
        </w:tc>
        <w:tc>
          <w:tcPr>
            <w:tcW w:w="1087" w:type="dxa"/>
          </w:tcPr>
          <w:p w14:paraId="59C0E5A6" w14:textId="77777777" w:rsidR="005A3A07" w:rsidRDefault="003B184F">
            <w:pPr>
              <w:pBdr>
                <w:top w:val="nil"/>
                <w:left w:val="nil"/>
                <w:bottom w:val="nil"/>
                <w:right w:val="nil"/>
                <w:between w:val="nil"/>
              </w:pBdr>
              <w:jc w:val="center"/>
              <w:rPr>
                <w:color w:val="000000"/>
              </w:rPr>
            </w:pPr>
            <w:r>
              <w:rPr>
                <w:color w:val="000000"/>
                <w:sz w:val="18"/>
                <w:szCs w:val="18"/>
              </w:rPr>
              <w:t>5,5 Hz (N)</w:t>
            </w:r>
          </w:p>
        </w:tc>
      </w:tr>
      <w:tr w:rsidR="005A3A07" w14:paraId="67489271" w14:textId="77777777">
        <w:trPr>
          <w:trHeight w:val="215"/>
        </w:trPr>
        <w:tc>
          <w:tcPr>
            <w:tcW w:w="893" w:type="dxa"/>
          </w:tcPr>
          <w:p w14:paraId="4EC7F206" w14:textId="77777777" w:rsidR="005A3A07" w:rsidRDefault="003B184F">
            <w:pPr>
              <w:pBdr>
                <w:top w:val="nil"/>
                <w:left w:val="nil"/>
                <w:bottom w:val="nil"/>
                <w:right w:val="nil"/>
                <w:between w:val="nil"/>
              </w:pBdr>
              <w:jc w:val="center"/>
              <w:rPr>
                <w:color w:val="000000"/>
              </w:rPr>
            </w:pPr>
            <w:r>
              <w:rPr>
                <w:color w:val="000000"/>
              </w:rPr>
              <w:t>1</w:t>
            </w:r>
          </w:p>
        </w:tc>
        <w:tc>
          <w:tcPr>
            <w:tcW w:w="987" w:type="dxa"/>
          </w:tcPr>
          <w:p w14:paraId="679CC165" w14:textId="77777777" w:rsidR="005A3A07" w:rsidRDefault="003B184F">
            <w:pPr>
              <w:pBdr>
                <w:top w:val="nil"/>
                <w:left w:val="nil"/>
                <w:bottom w:val="nil"/>
                <w:right w:val="nil"/>
                <w:between w:val="nil"/>
              </w:pBdr>
              <w:jc w:val="center"/>
              <w:rPr>
                <w:color w:val="000000"/>
              </w:rPr>
            </w:pPr>
            <w:r>
              <w:rPr>
                <w:color w:val="000000"/>
              </w:rPr>
              <w:t>0.0008</w:t>
            </w:r>
          </w:p>
        </w:tc>
        <w:tc>
          <w:tcPr>
            <w:tcW w:w="1081" w:type="dxa"/>
          </w:tcPr>
          <w:p w14:paraId="03B42B25" w14:textId="77777777" w:rsidR="005A3A07" w:rsidRDefault="003B184F">
            <w:pPr>
              <w:pBdr>
                <w:top w:val="nil"/>
                <w:left w:val="nil"/>
                <w:bottom w:val="nil"/>
                <w:right w:val="nil"/>
                <w:between w:val="nil"/>
              </w:pBdr>
              <w:jc w:val="center"/>
              <w:rPr>
                <w:color w:val="000000"/>
              </w:rPr>
            </w:pPr>
            <w:r>
              <w:rPr>
                <w:color w:val="000000"/>
              </w:rPr>
              <w:t>0.0023</w:t>
            </w:r>
          </w:p>
        </w:tc>
        <w:tc>
          <w:tcPr>
            <w:tcW w:w="1081" w:type="dxa"/>
          </w:tcPr>
          <w:p w14:paraId="31E7C9B0" w14:textId="77777777" w:rsidR="005A3A07" w:rsidRDefault="003B184F">
            <w:pPr>
              <w:pBdr>
                <w:top w:val="nil"/>
                <w:left w:val="nil"/>
                <w:bottom w:val="nil"/>
                <w:right w:val="nil"/>
                <w:between w:val="nil"/>
              </w:pBdr>
              <w:jc w:val="center"/>
              <w:rPr>
                <w:color w:val="000000"/>
              </w:rPr>
            </w:pPr>
            <w:r>
              <w:rPr>
                <w:color w:val="000000"/>
              </w:rPr>
              <w:t>0.0046</w:t>
            </w:r>
          </w:p>
        </w:tc>
        <w:tc>
          <w:tcPr>
            <w:tcW w:w="1081" w:type="dxa"/>
          </w:tcPr>
          <w:p w14:paraId="243134F7" w14:textId="77777777" w:rsidR="005A3A07" w:rsidRDefault="003B184F">
            <w:pPr>
              <w:pBdr>
                <w:top w:val="nil"/>
                <w:left w:val="nil"/>
                <w:bottom w:val="nil"/>
                <w:right w:val="nil"/>
                <w:between w:val="nil"/>
              </w:pBdr>
              <w:jc w:val="center"/>
              <w:rPr>
                <w:color w:val="000000"/>
              </w:rPr>
            </w:pPr>
            <w:r>
              <w:rPr>
                <w:color w:val="000000"/>
              </w:rPr>
              <w:t>0.0076</w:t>
            </w:r>
          </w:p>
        </w:tc>
        <w:tc>
          <w:tcPr>
            <w:tcW w:w="1087" w:type="dxa"/>
          </w:tcPr>
          <w:p w14:paraId="0EC99AE9" w14:textId="77777777" w:rsidR="005A3A07" w:rsidRDefault="003B184F">
            <w:pPr>
              <w:pBdr>
                <w:top w:val="nil"/>
                <w:left w:val="nil"/>
                <w:bottom w:val="nil"/>
                <w:right w:val="nil"/>
                <w:between w:val="nil"/>
              </w:pBdr>
              <w:jc w:val="center"/>
              <w:rPr>
                <w:color w:val="000000"/>
              </w:rPr>
            </w:pPr>
            <w:r>
              <w:rPr>
                <w:color w:val="000000"/>
              </w:rPr>
              <w:t>0.0114</w:t>
            </w:r>
          </w:p>
        </w:tc>
      </w:tr>
      <w:tr w:rsidR="005A3A07" w14:paraId="58159182" w14:textId="77777777">
        <w:trPr>
          <w:trHeight w:val="251"/>
        </w:trPr>
        <w:tc>
          <w:tcPr>
            <w:tcW w:w="893" w:type="dxa"/>
          </w:tcPr>
          <w:p w14:paraId="6626E2EC" w14:textId="77777777" w:rsidR="005A3A07" w:rsidRDefault="003B184F">
            <w:pPr>
              <w:pBdr>
                <w:top w:val="nil"/>
                <w:left w:val="nil"/>
                <w:bottom w:val="nil"/>
                <w:right w:val="nil"/>
                <w:between w:val="nil"/>
              </w:pBdr>
              <w:jc w:val="center"/>
              <w:rPr>
                <w:color w:val="000000"/>
              </w:rPr>
            </w:pPr>
            <w:r>
              <w:rPr>
                <w:color w:val="000000"/>
              </w:rPr>
              <w:t>2</w:t>
            </w:r>
          </w:p>
        </w:tc>
        <w:tc>
          <w:tcPr>
            <w:tcW w:w="987" w:type="dxa"/>
          </w:tcPr>
          <w:p w14:paraId="7CDC6AD2" w14:textId="77777777" w:rsidR="005A3A07" w:rsidRDefault="003B184F">
            <w:pPr>
              <w:pBdr>
                <w:top w:val="nil"/>
                <w:left w:val="nil"/>
                <w:bottom w:val="nil"/>
                <w:right w:val="nil"/>
                <w:between w:val="nil"/>
              </w:pBdr>
              <w:jc w:val="center"/>
              <w:rPr>
                <w:color w:val="000000"/>
              </w:rPr>
            </w:pPr>
            <w:r>
              <w:rPr>
                <w:color w:val="000000"/>
              </w:rPr>
              <w:t>0.0024</w:t>
            </w:r>
          </w:p>
        </w:tc>
        <w:tc>
          <w:tcPr>
            <w:tcW w:w="1081" w:type="dxa"/>
          </w:tcPr>
          <w:p w14:paraId="2EFAFA7E" w14:textId="77777777" w:rsidR="005A3A07" w:rsidRDefault="003B184F">
            <w:pPr>
              <w:pBdr>
                <w:top w:val="nil"/>
                <w:left w:val="nil"/>
                <w:bottom w:val="nil"/>
                <w:right w:val="nil"/>
                <w:between w:val="nil"/>
              </w:pBdr>
              <w:jc w:val="center"/>
              <w:rPr>
                <w:color w:val="000000"/>
              </w:rPr>
            </w:pPr>
            <w:r>
              <w:rPr>
                <w:color w:val="000000"/>
              </w:rPr>
              <w:t>0.0067</w:t>
            </w:r>
          </w:p>
        </w:tc>
        <w:tc>
          <w:tcPr>
            <w:tcW w:w="1081" w:type="dxa"/>
          </w:tcPr>
          <w:p w14:paraId="6D688585" w14:textId="77777777" w:rsidR="005A3A07" w:rsidRDefault="003B184F">
            <w:pPr>
              <w:pBdr>
                <w:top w:val="nil"/>
                <w:left w:val="nil"/>
                <w:bottom w:val="nil"/>
                <w:right w:val="nil"/>
                <w:between w:val="nil"/>
              </w:pBdr>
              <w:jc w:val="center"/>
              <w:rPr>
                <w:color w:val="000000"/>
              </w:rPr>
            </w:pPr>
            <w:r>
              <w:rPr>
                <w:color w:val="000000"/>
              </w:rPr>
              <w:t>0.013</w:t>
            </w:r>
          </w:p>
        </w:tc>
        <w:tc>
          <w:tcPr>
            <w:tcW w:w="1081" w:type="dxa"/>
          </w:tcPr>
          <w:p w14:paraId="5DD71FAC" w14:textId="77777777" w:rsidR="005A3A07" w:rsidRDefault="003B184F">
            <w:pPr>
              <w:pBdr>
                <w:top w:val="nil"/>
                <w:left w:val="nil"/>
                <w:bottom w:val="nil"/>
                <w:right w:val="nil"/>
                <w:between w:val="nil"/>
              </w:pBdr>
              <w:jc w:val="center"/>
              <w:rPr>
                <w:color w:val="000000"/>
              </w:rPr>
            </w:pPr>
            <w:r>
              <w:rPr>
                <w:color w:val="000000"/>
              </w:rPr>
              <w:t>0.020</w:t>
            </w:r>
          </w:p>
        </w:tc>
        <w:tc>
          <w:tcPr>
            <w:tcW w:w="1087" w:type="dxa"/>
          </w:tcPr>
          <w:p w14:paraId="20E6FA1B" w14:textId="77777777" w:rsidR="005A3A07" w:rsidRDefault="003B184F">
            <w:pPr>
              <w:pBdr>
                <w:top w:val="nil"/>
                <w:left w:val="nil"/>
                <w:bottom w:val="nil"/>
                <w:right w:val="nil"/>
                <w:between w:val="nil"/>
              </w:pBdr>
              <w:jc w:val="center"/>
              <w:rPr>
                <w:color w:val="000000"/>
              </w:rPr>
            </w:pPr>
            <w:r>
              <w:rPr>
                <w:color w:val="000000"/>
              </w:rPr>
              <w:t>0.032</w:t>
            </w:r>
          </w:p>
        </w:tc>
      </w:tr>
      <w:tr w:rsidR="005A3A07" w14:paraId="723C8608" w14:textId="77777777">
        <w:trPr>
          <w:trHeight w:val="251"/>
        </w:trPr>
        <w:tc>
          <w:tcPr>
            <w:tcW w:w="893" w:type="dxa"/>
          </w:tcPr>
          <w:p w14:paraId="4E7C0ECE" w14:textId="77777777" w:rsidR="005A3A07" w:rsidRDefault="003B184F">
            <w:pPr>
              <w:pBdr>
                <w:top w:val="nil"/>
                <w:left w:val="nil"/>
                <w:bottom w:val="nil"/>
                <w:right w:val="nil"/>
                <w:between w:val="nil"/>
              </w:pBdr>
              <w:jc w:val="center"/>
              <w:rPr>
                <w:color w:val="000000"/>
              </w:rPr>
            </w:pPr>
            <w:r>
              <w:rPr>
                <w:color w:val="000000"/>
              </w:rPr>
              <w:t>3</w:t>
            </w:r>
          </w:p>
        </w:tc>
        <w:tc>
          <w:tcPr>
            <w:tcW w:w="987" w:type="dxa"/>
          </w:tcPr>
          <w:p w14:paraId="0850C1DE" w14:textId="77777777" w:rsidR="005A3A07" w:rsidRDefault="003B184F">
            <w:pPr>
              <w:pBdr>
                <w:top w:val="nil"/>
                <w:left w:val="nil"/>
                <w:bottom w:val="nil"/>
                <w:right w:val="nil"/>
                <w:between w:val="nil"/>
              </w:pBdr>
              <w:jc w:val="center"/>
              <w:rPr>
                <w:color w:val="000000"/>
              </w:rPr>
            </w:pPr>
            <w:r>
              <w:rPr>
                <w:color w:val="000000"/>
              </w:rPr>
              <w:t>0.0041</w:t>
            </w:r>
          </w:p>
        </w:tc>
        <w:tc>
          <w:tcPr>
            <w:tcW w:w="1081" w:type="dxa"/>
          </w:tcPr>
          <w:p w14:paraId="1D2A0AA3" w14:textId="77777777" w:rsidR="005A3A07" w:rsidRDefault="003B184F">
            <w:pPr>
              <w:pBdr>
                <w:top w:val="nil"/>
                <w:left w:val="nil"/>
                <w:bottom w:val="nil"/>
                <w:right w:val="nil"/>
                <w:between w:val="nil"/>
              </w:pBdr>
              <w:jc w:val="center"/>
              <w:rPr>
                <w:color w:val="000000"/>
              </w:rPr>
            </w:pPr>
            <w:r>
              <w:rPr>
                <w:color w:val="000000"/>
              </w:rPr>
              <w:t>0.0113</w:t>
            </w:r>
          </w:p>
        </w:tc>
        <w:tc>
          <w:tcPr>
            <w:tcW w:w="1081" w:type="dxa"/>
          </w:tcPr>
          <w:p w14:paraId="70E6D066" w14:textId="77777777" w:rsidR="005A3A07" w:rsidRDefault="003B184F">
            <w:pPr>
              <w:pBdr>
                <w:top w:val="nil"/>
                <w:left w:val="nil"/>
                <w:bottom w:val="nil"/>
                <w:right w:val="nil"/>
                <w:between w:val="nil"/>
              </w:pBdr>
              <w:jc w:val="center"/>
              <w:rPr>
                <w:color w:val="000000"/>
              </w:rPr>
            </w:pPr>
            <w:r>
              <w:rPr>
                <w:color w:val="000000"/>
              </w:rPr>
              <w:t>0.022</w:t>
            </w:r>
          </w:p>
        </w:tc>
        <w:tc>
          <w:tcPr>
            <w:tcW w:w="1081" w:type="dxa"/>
          </w:tcPr>
          <w:p w14:paraId="61D5DA4E" w14:textId="77777777" w:rsidR="005A3A07" w:rsidRDefault="003B184F">
            <w:pPr>
              <w:pBdr>
                <w:top w:val="nil"/>
                <w:left w:val="nil"/>
                <w:bottom w:val="nil"/>
                <w:right w:val="nil"/>
                <w:between w:val="nil"/>
              </w:pBdr>
              <w:jc w:val="center"/>
              <w:rPr>
                <w:color w:val="000000"/>
              </w:rPr>
            </w:pPr>
            <w:r>
              <w:rPr>
                <w:color w:val="000000"/>
              </w:rPr>
              <w:t>0.036</w:t>
            </w:r>
          </w:p>
        </w:tc>
        <w:tc>
          <w:tcPr>
            <w:tcW w:w="1087" w:type="dxa"/>
          </w:tcPr>
          <w:p w14:paraId="6424C8E9" w14:textId="77777777" w:rsidR="005A3A07" w:rsidRDefault="003B184F">
            <w:pPr>
              <w:pBdr>
                <w:top w:val="nil"/>
                <w:left w:val="nil"/>
                <w:bottom w:val="nil"/>
                <w:right w:val="nil"/>
                <w:between w:val="nil"/>
              </w:pBdr>
              <w:jc w:val="center"/>
              <w:rPr>
                <w:color w:val="000000"/>
              </w:rPr>
            </w:pPr>
            <w:r>
              <w:rPr>
                <w:color w:val="000000"/>
              </w:rPr>
              <w:t>0.055</w:t>
            </w:r>
          </w:p>
        </w:tc>
      </w:tr>
      <w:tr w:rsidR="005A3A07" w14:paraId="3CA6F143" w14:textId="77777777">
        <w:trPr>
          <w:trHeight w:val="215"/>
        </w:trPr>
        <w:tc>
          <w:tcPr>
            <w:tcW w:w="893" w:type="dxa"/>
          </w:tcPr>
          <w:p w14:paraId="16EED69F" w14:textId="77777777" w:rsidR="005A3A07" w:rsidRDefault="003B184F">
            <w:pPr>
              <w:pBdr>
                <w:top w:val="nil"/>
                <w:left w:val="nil"/>
                <w:bottom w:val="nil"/>
                <w:right w:val="nil"/>
                <w:between w:val="nil"/>
              </w:pBdr>
              <w:jc w:val="center"/>
              <w:rPr>
                <w:color w:val="000000"/>
              </w:rPr>
            </w:pPr>
            <w:r>
              <w:rPr>
                <w:color w:val="000000"/>
              </w:rPr>
              <w:t>4</w:t>
            </w:r>
          </w:p>
        </w:tc>
        <w:tc>
          <w:tcPr>
            <w:tcW w:w="987" w:type="dxa"/>
          </w:tcPr>
          <w:p w14:paraId="63AC5306" w14:textId="77777777" w:rsidR="005A3A07" w:rsidRDefault="003B184F">
            <w:pPr>
              <w:pBdr>
                <w:top w:val="nil"/>
                <w:left w:val="nil"/>
                <w:bottom w:val="nil"/>
                <w:right w:val="nil"/>
                <w:between w:val="nil"/>
              </w:pBdr>
              <w:jc w:val="center"/>
              <w:rPr>
                <w:color w:val="000000"/>
              </w:rPr>
            </w:pPr>
            <w:r>
              <w:rPr>
                <w:color w:val="000000"/>
              </w:rPr>
              <w:t>0.0057</w:t>
            </w:r>
          </w:p>
        </w:tc>
        <w:tc>
          <w:tcPr>
            <w:tcW w:w="1081" w:type="dxa"/>
          </w:tcPr>
          <w:p w14:paraId="64F9EF09" w14:textId="77777777" w:rsidR="005A3A07" w:rsidRDefault="003B184F">
            <w:pPr>
              <w:pBdr>
                <w:top w:val="nil"/>
                <w:left w:val="nil"/>
                <w:bottom w:val="nil"/>
                <w:right w:val="nil"/>
                <w:between w:val="nil"/>
              </w:pBdr>
              <w:jc w:val="center"/>
              <w:rPr>
                <w:color w:val="000000"/>
              </w:rPr>
            </w:pPr>
            <w:r>
              <w:rPr>
                <w:color w:val="000000"/>
              </w:rPr>
              <w:t>0.0158</w:t>
            </w:r>
          </w:p>
        </w:tc>
        <w:tc>
          <w:tcPr>
            <w:tcW w:w="1081" w:type="dxa"/>
          </w:tcPr>
          <w:p w14:paraId="63540EA6" w14:textId="77777777" w:rsidR="005A3A07" w:rsidRDefault="003B184F">
            <w:pPr>
              <w:pBdr>
                <w:top w:val="nil"/>
                <w:left w:val="nil"/>
                <w:bottom w:val="nil"/>
                <w:right w:val="nil"/>
                <w:between w:val="nil"/>
              </w:pBdr>
              <w:jc w:val="center"/>
              <w:rPr>
                <w:color w:val="000000"/>
              </w:rPr>
            </w:pPr>
            <w:r>
              <w:rPr>
                <w:color w:val="000000"/>
              </w:rPr>
              <w:t>0.0309</w:t>
            </w:r>
          </w:p>
        </w:tc>
        <w:tc>
          <w:tcPr>
            <w:tcW w:w="1081" w:type="dxa"/>
          </w:tcPr>
          <w:p w14:paraId="2AC2E31A" w14:textId="77777777" w:rsidR="005A3A07" w:rsidRDefault="003B184F">
            <w:pPr>
              <w:pBdr>
                <w:top w:val="nil"/>
                <w:left w:val="nil"/>
                <w:bottom w:val="nil"/>
                <w:right w:val="nil"/>
                <w:between w:val="nil"/>
              </w:pBdr>
              <w:jc w:val="center"/>
              <w:rPr>
                <w:color w:val="000000"/>
              </w:rPr>
            </w:pPr>
            <w:r>
              <w:rPr>
                <w:color w:val="000000"/>
              </w:rPr>
              <w:t>0.051</w:t>
            </w:r>
          </w:p>
        </w:tc>
        <w:tc>
          <w:tcPr>
            <w:tcW w:w="1087" w:type="dxa"/>
          </w:tcPr>
          <w:p w14:paraId="118F2C66" w14:textId="77777777" w:rsidR="005A3A07" w:rsidRDefault="003B184F">
            <w:pPr>
              <w:pBdr>
                <w:top w:val="nil"/>
                <w:left w:val="nil"/>
                <w:bottom w:val="nil"/>
                <w:right w:val="nil"/>
                <w:between w:val="nil"/>
              </w:pBdr>
              <w:jc w:val="center"/>
              <w:rPr>
                <w:color w:val="000000"/>
              </w:rPr>
            </w:pPr>
            <w:r>
              <w:rPr>
                <w:color w:val="000000"/>
              </w:rPr>
              <w:t>0.076</w:t>
            </w:r>
          </w:p>
        </w:tc>
      </w:tr>
      <w:tr w:rsidR="005A3A07" w14:paraId="51F0D6CD" w14:textId="77777777">
        <w:trPr>
          <w:trHeight w:val="161"/>
        </w:trPr>
        <w:tc>
          <w:tcPr>
            <w:tcW w:w="893" w:type="dxa"/>
          </w:tcPr>
          <w:p w14:paraId="6B82779F" w14:textId="77777777" w:rsidR="005A3A07" w:rsidRDefault="003B184F">
            <w:pPr>
              <w:pBdr>
                <w:top w:val="nil"/>
                <w:left w:val="nil"/>
                <w:bottom w:val="nil"/>
                <w:right w:val="nil"/>
                <w:between w:val="nil"/>
              </w:pBdr>
              <w:jc w:val="center"/>
              <w:rPr>
                <w:color w:val="000000"/>
              </w:rPr>
            </w:pPr>
            <w:r>
              <w:rPr>
                <w:color w:val="000000"/>
              </w:rPr>
              <w:t>5</w:t>
            </w:r>
          </w:p>
        </w:tc>
        <w:tc>
          <w:tcPr>
            <w:tcW w:w="987" w:type="dxa"/>
          </w:tcPr>
          <w:p w14:paraId="0733F844" w14:textId="77777777" w:rsidR="005A3A07" w:rsidRDefault="003B184F">
            <w:pPr>
              <w:pBdr>
                <w:top w:val="nil"/>
                <w:left w:val="nil"/>
                <w:bottom w:val="nil"/>
                <w:right w:val="nil"/>
                <w:between w:val="nil"/>
              </w:pBdr>
              <w:jc w:val="center"/>
              <w:rPr>
                <w:color w:val="000000"/>
              </w:rPr>
            </w:pPr>
            <w:r>
              <w:rPr>
                <w:color w:val="000000"/>
              </w:rPr>
              <w:t>0.0072</w:t>
            </w:r>
          </w:p>
        </w:tc>
        <w:tc>
          <w:tcPr>
            <w:tcW w:w="1081" w:type="dxa"/>
          </w:tcPr>
          <w:p w14:paraId="6FC7F296" w14:textId="77777777" w:rsidR="005A3A07" w:rsidRDefault="003B184F">
            <w:pPr>
              <w:pBdr>
                <w:top w:val="nil"/>
                <w:left w:val="nil"/>
                <w:bottom w:val="nil"/>
                <w:right w:val="nil"/>
                <w:between w:val="nil"/>
              </w:pBdr>
              <w:jc w:val="center"/>
              <w:rPr>
                <w:color w:val="000000"/>
              </w:rPr>
            </w:pPr>
            <w:r>
              <w:rPr>
                <w:color w:val="000000"/>
              </w:rPr>
              <w:t>0.020</w:t>
            </w:r>
          </w:p>
        </w:tc>
        <w:tc>
          <w:tcPr>
            <w:tcW w:w="1081" w:type="dxa"/>
          </w:tcPr>
          <w:p w14:paraId="64B252EF" w14:textId="77777777" w:rsidR="005A3A07" w:rsidRDefault="003B184F">
            <w:pPr>
              <w:pBdr>
                <w:top w:val="nil"/>
                <w:left w:val="nil"/>
                <w:bottom w:val="nil"/>
                <w:right w:val="nil"/>
                <w:between w:val="nil"/>
              </w:pBdr>
              <w:jc w:val="center"/>
              <w:rPr>
                <w:color w:val="000000"/>
              </w:rPr>
            </w:pPr>
            <w:r>
              <w:rPr>
                <w:color w:val="000000"/>
              </w:rPr>
              <w:t>0.0393</w:t>
            </w:r>
          </w:p>
        </w:tc>
        <w:tc>
          <w:tcPr>
            <w:tcW w:w="1081" w:type="dxa"/>
          </w:tcPr>
          <w:p w14:paraId="28249123" w14:textId="77777777" w:rsidR="005A3A07" w:rsidRDefault="003B184F">
            <w:pPr>
              <w:pBdr>
                <w:top w:val="nil"/>
                <w:left w:val="nil"/>
                <w:bottom w:val="nil"/>
                <w:right w:val="nil"/>
                <w:between w:val="nil"/>
              </w:pBdr>
              <w:jc w:val="center"/>
              <w:rPr>
                <w:color w:val="000000"/>
              </w:rPr>
            </w:pPr>
            <w:r>
              <w:rPr>
                <w:color w:val="000000"/>
              </w:rPr>
              <w:t>0.065</w:t>
            </w:r>
          </w:p>
        </w:tc>
        <w:tc>
          <w:tcPr>
            <w:tcW w:w="1087" w:type="dxa"/>
          </w:tcPr>
          <w:p w14:paraId="1DE0BE4A" w14:textId="77777777" w:rsidR="005A3A07" w:rsidRDefault="003B184F">
            <w:pPr>
              <w:pBdr>
                <w:top w:val="nil"/>
                <w:left w:val="nil"/>
                <w:bottom w:val="nil"/>
                <w:right w:val="nil"/>
                <w:between w:val="nil"/>
              </w:pBdr>
              <w:jc w:val="center"/>
              <w:rPr>
                <w:color w:val="000000"/>
              </w:rPr>
            </w:pPr>
            <w:r>
              <w:rPr>
                <w:color w:val="000000"/>
              </w:rPr>
              <w:t>0.097</w:t>
            </w:r>
          </w:p>
        </w:tc>
      </w:tr>
      <w:tr w:rsidR="005A3A07" w14:paraId="0441C058" w14:textId="77777777">
        <w:trPr>
          <w:trHeight w:val="188"/>
        </w:trPr>
        <w:tc>
          <w:tcPr>
            <w:tcW w:w="893" w:type="dxa"/>
          </w:tcPr>
          <w:p w14:paraId="1F6D5FF9" w14:textId="77777777" w:rsidR="005A3A07" w:rsidRDefault="003B184F">
            <w:pPr>
              <w:pBdr>
                <w:top w:val="nil"/>
                <w:left w:val="nil"/>
                <w:bottom w:val="nil"/>
                <w:right w:val="nil"/>
                <w:between w:val="nil"/>
              </w:pBdr>
              <w:jc w:val="center"/>
              <w:rPr>
                <w:color w:val="000000"/>
              </w:rPr>
            </w:pPr>
            <w:r>
              <w:rPr>
                <w:color w:val="000000"/>
              </w:rPr>
              <w:t>6</w:t>
            </w:r>
          </w:p>
        </w:tc>
        <w:tc>
          <w:tcPr>
            <w:tcW w:w="987" w:type="dxa"/>
          </w:tcPr>
          <w:p w14:paraId="4207A3B5" w14:textId="77777777" w:rsidR="005A3A07" w:rsidRDefault="003B184F">
            <w:pPr>
              <w:pBdr>
                <w:top w:val="nil"/>
                <w:left w:val="nil"/>
                <w:bottom w:val="nil"/>
                <w:right w:val="nil"/>
                <w:between w:val="nil"/>
              </w:pBdr>
              <w:jc w:val="center"/>
              <w:rPr>
                <w:color w:val="000000"/>
              </w:rPr>
            </w:pPr>
            <w:r>
              <w:rPr>
                <w:color w:val="000000"/>
              </w:rPr>
              <w:t>0.0086</w:t>
            </w:r>
          </w:p>
        </w:tc>
        <w:tc>
          <w:tcPr>
            <w:tcW w:w="1081" w:type="dxa"/>
          </w:tcPr>
          <w:p w14:paraId="3A201ED6" w14:textId="77777777" w:rsidR="005A3A07" w:rsidRDefault="003B184F">
            <w:pPr>
              <w:pBdr>
                <w:top w:val="nil"/>
                <w:left w:val="nil"/>
                <w:bottom w:val="nil"/>
                <w:right w:val="nil"/>
                <w:between w:val="nil"/>
              </w:pBdr>
              <w:jc w:val="center"/>
              <w:rPr>
                <w:color w:val="000000"/>
              </w:rPr>
            </w:pPr>
            <w:r>
              <w:rPr>
                <w:color w:val="000000"/>
              </w:rPr>
              <w:t>0.024</w:t>
            </w:r>
          </w:p>
        </w:tc>
        <w:tc>
          <w:tcPr>
            <w:tcW w:w="1081" w:type="dxa"/>
          </w:tcPr>
          <w:p w14:paraId="7D4BC78A" w14:textId="77777777" w:rsidR="005A3A07" w:rsidRDefault="003B184F">
            <w:pPr>
              <w:pBdr>
                <w:top w:val="nil"/>
                <w:left w:val="nil"/>
                <w:bottom w:val="nil"/>
                <w:right w:val="nil"/>
                <w:between w:val="nil"/>
              </w:pBdr>
              <w:jc w:val="center"/>
              <w:rPr>
                <w:color w:val="000000"/>
              </w:rPr>
            </w:pPr>
            <w:r>
              <w:rPr>
                <w:color w:val="000000"/>
              </w:rPr>
              <w:t>0.0469</w:t>
            </w:r>
          </w:p>
        </w:tc>
        <w:tc>
          <w:tcPr>
            <w:tcW w:w="1081" w:type="dxa"/>
          </w:tcPr>
          <w:p w14:paraId="5F32E421" w14:textId="77777777" w:rsidR="005A3A07" w:rsidRDefault="003B184F">
            <w:pPr>
              <w:pBdr>
                <w:top w:val="nil"/>
                <w:left w:val="nil"/>
                <w:bottom w:val="nil"/>
                <w:right w:val="nil"/>
                <w:between w:val="nil"/>
              </w:pBdr>
              <w:jc w:val="center"/>
              <w:rPr>
                <w:color w:val="000000"/>
              </w:rPr>
            </w:pPr>
            <w:r>
              <w:rPr>
                <w:color w:val="000000"/>
              </w:rPr>
              <w:t>0.0775</w:t>
            </w:r>
          </w:p>
        </w:tc>
        <w:tc>
          <w:tcPr>
            <w:tcW w:w="1087" w:type="dxa"/>
          </w:tcPr>
          <w:p w14:paraId="3E66AE83" w14:textId="77777777" w:rsidR="005A3A07" w:rsidRDefault="003B184F">
            <w:pPr>
              <w:pBdr>
                <w:top w:val="nil"/>
                <w:left w:val="nil"/>
                <w:bottom w:val="nil"/>
                <w:right w:val="nil"/>
                <w:between w:val="nil"/>
              </w:pBdr>
              <w:jc w:val="center"/>
              <w:rPr>
                <w:color w:val="000000"/>
              </w:rPr>
            </w:pPr>
            <w:r>
              <w:rPr>
                <w:color w:val="000000"/>
              </w:rPr>
              <w:t>0.116</w:t>
            </w:r>
          </w:p>
        </w:tc>
      </w:tr>
      <w:tr w:rsidR="005A3A07" w14:paraId="2A906955" w14:textId="77777777">
        <w:trPr>
          <w:trHeight w:val="215"/>
        </w:trPr>
        <w:tc>
          <w:tcPr>
            <w:tcW w:w="893" w:type="dxa"/>
          </w:tcPr>
          <w:p w14:paraId="697CA0E5" w14:textId="77777777" w:rsidR="005A3A07" w:rsidRDefault="003B184F">
            <w:pPr>
              <w:pBdr>
                <w:top w:val="nil"/>
                <w:left w:val="nil"/>
                <w:bottom w:val="nil"/>
                <w:right w:val="nil"/>
                <w:between w:val="nil"/>
              </w:pBdr>
              <w:jc w:val="center"/>
              <w:rPr>
                <w:color w:val="000000"/>
              </w:rPr>
            </w:pPr>
            <w:r>
              <w:rPr>
                <w:color w:val="000000"/>
              </w:rPr>
              <w:t>7</w:t>
            </w:r>
          </w:p>
        </w:tc>
        <w:tc>
          <w:tcPr>
            <w:tcW w:w="987" w:type="dxa"/>
          </w:tcPr>
          <w:p w14:paraId="6D35627B" w14:textId="77777777" w:rsidR="005A3A07" w:rsidRDefault="003B184F">
            <w:pPr>
              <w:pBdr>
                <w:top w:val="nil"/>
                <w:left w:val="nil"/>
                <w:bottom w:val="nil"/>
                <w:right w:val="nil"/>
                <w:between w:val="nil"/>
              </w:pBdr>
              <w:jc w:val="center"/>
              <w:rPr>
                <w:color w:val="000000"/>
              </w:rPr>
            </w:pPr>
            <w:r>
              <w:rPr>
                <w:color w:val="000000"/>
              </w:rPr>
              <w:t>0.010</w:t>
            </w:r>
          </w:p>
        </w:tc>
        <w:tc>
          <w:tcPr>
            <w:tcW w:w="1081" w:type="dxa"/>
          </w:tcPr>
          <w:p w14:paraId="340FFB1A" w14:textId="77777777" w:rsidR="005A3A07" w:rsidRDefault="003B184F">
            <w:pPr>
              <w:pBdr>
                <w:top w:val="nil"/>
                <w:left w:val="nil"/>
                <w:bottom w:val="nil"/>
                <w:right w:val="nil"/>
                <w:between w:val="nil"/>
              </w:pBdr>
              <w:jc w:val="center"/>
              <w:rPr>
                <w:color w:val="000000"/>
              </w:rPr>
            </w:pPr>
            <w:r>
              <w:rPr>
                <w:color w:val="000000"/>
              </w:rPr>
              <w:t>0.0273</w:t>
            </w:r>
          </w:p>
        </w:tc>
        <w:tc>
          <w:tcPr>
            <w:tcW w:w="1081" w:type="dxa"/>
          </w:tcPr>
          <w:p w14:paraId="6420D601" w14:textId="77777777" w:rsidR="005A3A07" w:rsidRDefault="003B184F">
            <w:pPr>
              <w:pBdr>
                <w:top w:val="nil"/>
                <w:left w:val="nil"/>
                <w:bottom w:val="nil"/>
                <w:right w:val="nil"/>
                <w:between w:val="nil"/>
              </w:pBdr>
              <w:jc w:val="center"/>
              <w:rPr>
                <w:color w:val="000000"/>
              </w:rPr>
            </w:pPr>
            <w:r>
              <w:rPr>
                <w:color w:val="000000"/>
              </w:rPr>
              <w:t>0.0537</w:t>
            </w:r>
          </w:p>
        </w:tc>
        <w:tc>
          <w:tcPr>
            <w:tcW w:w="1081" w:type="dxa"/>
          </w:tcPr>
          <w:p w14:paraId="5ABEE217" w14:textId="77777777" w:rsidR="005A3A07" w:rsidRDefault="003B184F">
            <w:pPr>
              <w:pBdr>
                <w:top w:val="nil"/>
                <w:left w:val="nil"/>
                <w:bottom w:val="nil"/>
                <w:right w:val="nil"/>
                <w:between w:val="nil"/>
              </w:pBdr>
              <w:jc w:val="center"/>
              <w:rPr>
                <w:color w:val="000000"/>
              </w:rPr>
            </w:pPr>
            <w:r>
              <w:rPr>
                <w:color w:val="000000"/>
              </w:rPr>
              <w:t>0.089</w:t>
            </w:r>
          </w:p>
        </w:tc>
        <w:tc>
          <w:tcPr>
            <w:tcW w:w="1087" w:type="dxa"/>
          </w:tcPr>
          <w:p w14:paraId="67F4849D" w14:textId="77777777" w:rsidR="005A3A07" w:rsidRDefault="003B184F">
            <w:pPr>
              <w:pBdr>
                <w:top w:val="nil"/>
                <w:left w:val="nil"/>
                <w:bottom w:val="nil"/>
                <w:right w:val="nil"/>
                <w:between w:val="nil"/>
              </w:pBdr>
              <w:jc w:val="center"/>
              <w:rPr>
                <w:color w:val="000000"/>
              </w:rPr>
            </w:pPr>
            <w:r>
              <w:rPr>
                <w:color w:val="000000"/>
              </w:rPr>
              <w:t>0.133</w:t>
            </w:r>
          </w:p>
        </w:tc>
      </w:tr>
      <w:tr w:rsidR="005A3A07" w14:paraId="40CE8DF8" w14:textId="77777777">
        <w:trPr>
          <w:trHeight w:val="161"/>
        </w:trPr>
        <w:tc>
          <w:tcPr>
            <w:tcW w:w="893" w:type="dxa"/>
          </w:tcPr>
          <w:p w14:paraId="0125A3BF" w14:textId="77777777" w:rsidR="005A3A07" w:rsidRDefault="003B184F">
            <w:pPr>
              <w:pBdr>
                <w:top w:val="nil"/>
                <w:left w:val="nil"/>
                <w:bottom w:val="nil"/>
                <w:right w:val="nil"/>
                <w:between w:val="nil"/>
              </w:pBdr>
              <w:jc w:val="center"/>
              <w:rPr>
                <w:color w:val="000000"/>
              </w:rPr>
            </w:pPr>
            <w:r>
              <w:rPr>
                <w:color w:val="000000"/>
              </w:rPr>
              <w:t>8</w:t>
            </w:r>
          </w:p>
        </w:tc>
        <w:tc>
          <w:tcPr>
            <w:tcW w:w="987" w:type="dxa"/>
          </w:tcPr>
          <w:p w14:paraId="1C077CE7" w14:textId="77777777" w:rsidR="005A3A07" w:rsidRDefault="003B184F">
            <w:pPr>
              <w:pBdr>
                <w:top w:val="nil"/>
                <w:left w:val="nil"/>
                <w:bottom w:val="nil"/>
                <w:right w:val="nil"/>
                <w:between w:val="nil"/>
              </w:pBdr>
              <w:jc w:val="center"/>
              <w:rPr>
                <w:color w:val="000000"/>
              </w:rPr>
            </w:pPr>
            <w:r>
              <w:rPr>
                <w:color w:val="000000"/>
              </w:rPr>
              <w:t>0.011</w:t>
            </w:r>
          </w:p>
        </w:tc>
        <w:tc>
          <w:tcPr>
            <w:tcW w:w="1081" w:type="dxa"/>
          </w:tcPr>
          <w:p w14:paraId="664F6B54" w14:textId="77777777" w:rsidR="005A3A07" w:rsidRDefault="003B184F">
            <w:pPr>
              <w:pBdr>
                <w:top w:val="nil"/>
                <w:left w:val="nil"/>
                <w:bottom w:val="nil"/>
                <w:right w:val="nil"/>
                <w:between w:val="nil"/>
              </w:pBdr>
              <w:jc w:val="center"/>
              <w:rPr>
                <w:color w:val="000000"/>
              </w:rPr>
            </w:pPr>
            <w:r>
              <w:rPr>
                <w:color w:val="000000"/>
              </w:rPr>
              <w:t>0.0302</w:t>
            </w:r>
          </w:p>
        </w:tc>
        <w:tc>
          <w:tcPr>
            <w:tcW w:w="1081" w:type="dxa"/>
          </w:tcPr>
          <w:p w14:paraId="0FD570D0" w14:textId="77777777" w:rsidR="005A3A07" w:rsidRDefault="003B184F">
            <w:pPr>
              <w:pBdr>
                <w:top w:val="nil"/>
                <w:left w:val="nil"/>
                <w:bottom w:val="nil"/>
                <w:right w:val="nil"/>
                <w:between w:val="nil"/>
              </w:pBdr>
              <w:jc w:val="center"/>
              <w:rPr>
                <w:color w:val="000000"/>
              </w:rPr>
            </w:pPr>
            <w:r>
              <w:rPr>
                <w:color w:val="000000"/>
              </w:rPr>
              <w:t>0.059</w:t>
            </w:r>
          </w:p>
        </w:tc>
        <w:tc>
          <w:tcPr>
            <w:tcW w:w="1081" w:type="dxa"/>
          </w:tcPr>
          <w:p w14:paraId="0A559DF4" w14:textId="77777777" w:rsidR="005A3A07" w:rsidRDefault="003B184F">
            <w:pPr>
              <w:pBdr>
                <w:top w:val="nil"/>
                <w:left w:val="nil"/>
                <w:bottom w:val="nil"/>
                <w:right w:val="nil"/>
                <w:between w:val="nil"/>
              </w:pBdr>
              <w:jc w:val="center"/>
              <w:rPr>
                <w:color w:val="000000"/>
              </w:rPr>
            </w:pPr>
            <w:r>
              <w:rPr>
                <w:color w:val="000000"/>
              </w:rPr>
              <w:t>0.098</w:t>
            </w:r>
          </w:p>
        </w:tc>
        <w:tc>
          <w:tcPr>
            <w:tcW w:w="1087" w:type="dxa"/>
          </w:tcPr>
          <w:p w14:paraId="11994A92" w14:textId="77777777" w:rsidR="005A3A07" w:rsidRDefault="003B184F">
            <w:pPr>
              <w:pBdr>
                <w:top w:val="nil"/>
                <w:left w:val="nil"/>
                <w:bottom w:val="nil"/>
                <w:right w:val="nil"/>
                <w:between w:val="nil"/>
              </w:pBdr>
              <w:jc w:val="center"/>
              <w:rPr>
                <w:color w:val="000000"/>
              </w:rPr>
            </w:pPr>
            <w:r>
              <w:rPr>
                <w:color w:val="000000"/>
              </w:rPr>
              <w:t>0.146</w:t>
            </w:r>
          </w:p>
        </w:tc>
      </w:tr>
      <w:tr w:rsidR="005A3A07" w14:paraId="10E95F5F" w14:textId="77777777">
        <w:trPr>
          <w:trHeight w:val="188"/>
        </w:trPr>
        <w:tc>
          <w:tcPr>
            <w:tcW w:w="893" w:type="dxa"/>
          </w:tcPr>
          <w:p w14:paraId="4F292F25" w14:textId="77777777" w:rsidR="005A3A07" w:rsidRDefault="003B184F">
            <w:pPr>
              <w:pBdr>
                <w:top w:val="nil"/>
                <w:left w:val="nil"/>
                <w:bottom w:val="nil"/>
                <w:right w:val="nil"/>
                <w:between w:val="nil"/>
              </w:pBdr>
              <w:jc w:val="center"/>
              <w:rPr>
                <w:color w:val="000000"/>
              </w:rPr>
            </w:pPr>
            <w:r>
              <w:rPr>
                <w:color w:val="000000"/>
              </w:rPr>
              <w:t>9</w:t>
            </w:r>
          </w:p>
        </w:tc>
        <w:tc>
          <w:tcPr>
            <w:tcW w:w="987" w:type="dxa"/>
          </w:tcPr>
          <w:p w14:paraId="7A02864A" w14:textId="77777777" w:rsidR="005A3A07" w:rsidRDefault="003B184F">
            <w:pPr>
              <w:pBdr>
                <w:top w:val="nil"/>
                <w:left w:val="nil"/>
                <w:bottom w:val="nil"/>
                <w:right w:val="nil"/>
                <w:between w:val="nil"/>
              </w:pBdr>
              <w:jc w:val="center"/>
              <w:rPr>
                <w:color w:val="000000"/>
              </w:rPr>
            </w:pPr>
            <w:r>
              <w:rPr>
                <w:color w:val="000000"/>
              </w:rPr>
              <w:t>0.012</w:t>
            </w:r>
          </w:p>
        </w:tc>
        <w:tc>
          <w:tcPr>
            <w:tcW w:w="1081" w:type="dxa"/>
          </w:tcPr>
          <w:p w14:paraId="4DE6BBA5" w14:textId="77777777" w:rsidR="005A3A07" w:rsidRDefault="003B184F">
            <w:pPr>
              <w:pBdr>
                <w:top w:val="nil"/>
                <w:left w:val="nil"/>
                <w:bottom w:val="nil"/>
                <w:right w:val="nil"/>
                <w:between w:val="nil"/>
              </w:pBdr>
              <w:jc w:val="center"/>
              <w:rPr>
                <w:color w:val="000000"/>
              </w:rPr>
            </w:pPr>
            <w:r>
              <w:rPr>
                <w:color w:val="000000"/>
              </w:rPr>
              <w:t>0.0324</w:t>
            </w:r>
          </w:p>
        </w:tc>
        <w:tc>
          <w:tcPr>
            <w:tcW w:w="1081" w:type="dxa"/>
          </w:tcPr>
          <w:p w14:paraId="27B97F09" w14:textId="77777777" w:rsidR="005A3A07" w:rsidRDefault="003B184F">
            <w:pPr>
              <w:pBdr>
                <w:top w:val="nil"/>
                <w:left w:val="nil"/>
                <w:bottom w:val="nil"/>
                <w:right w:val="nil"/>
                <w:between w:val="nil"/>
              </w:pBdr>
              <w:jc w:val="center"/>
              <w:rPr>
                <w:color w:val="000000"/>
              </w:rPr>
            </w:pPr>
            <w:r>
              <w:rPr>
                <w:color w:val="000000"/>
              </w:rPr>
              <w:t>0.064</w:t>
            </w:r>
          </w:p>
        </w:tc>
        <w:tc>
          <w:tcPr>
            <w:tcW w:w="1081" w:type="dxa"/>
          </w:tcPr>
          <w:p w14:paraId="124B4ACC" w14:textId="77777777" w:rsidR="005A3A07" w:rsidRDefault="003B184F">
            <w:pPr>
              <w:pBdr>
                <w:top w:val="nil"/>
                <w:left w:val="nil"/>
                <w:bottom w:val="nil"/>
                <w:right w:val="nil"/>
                <w:between w:val="nil"/>
              </w:pBdr>
              <w:jc w:val="center"/>
              <w:rPr>
                <w:color w:val="000000"/>
              </w:rPr>
            </w:pPr>
            <w:r>
              <w:rPr>
                <w:color w:val="000000"/>
              </w:rPr>
              <w:t>0.105</w:t>
            </w:r>
          </w:p>
        </w:tc>
        <w:tc>
          <w:tcPr>
            <w:tcW w:w="1087" w:type="dxa"/>
          </w:tcPr>
          <w:p w14:paraId="6D81355F" w14:textId="77777777" w:rsidR="005A3A07" w:rsidRDefault="003B184F">
            <w:pPr>
              <w:pBdr>
                <w:top w:val="nil"/>
                <w:left w:val="nil"/>
                <w:bottom w:val="nil"/>
                <w:right w:val="nil"/>
                <w:between w:val="nil"/>
              </w:pBdr>
              <w:jc w:val="center"/>
              <w:rPr>
                <w:color w:val="000000"/>
              </w:rPr>
            </w:pPr>
            <w:r>
              <w:rPr>
                <w:color w:val="000000"/>
              </w:rPr>
              <w:t>0.157</w:t>
            </w:r>
          </w:p>
        </w:tc>
      </w:tr>
      <w:tr w:rsidR="005A3A07" w14:paraId="2BBFE4DF" w14:textId="77777777">
        <w:trPr>
          <w:trHeight w:val="251"/>
        </w:trPr>
        <w:tc>
          <w:tcPr>
            <w:tcW w:w="893" w:type="dxa"/>
          </w:tcPr>
          <w:p w14:paraId="63FC7BAD" w14:textId="77777777" w:rsidR="005A3A07" w:rsidRDefault="003B184F">
            <w:pPr>
              <w:pBdr>
                <w:top w:val="nil"/>
                <w:left w:val="nil"/>
                <w:bottom w:val="nil"/>
                <w:right w:val="nil"/>
                <w:between w:val="nil"/>
              </w:pBdr>
              <w:jc w:val="center"/>
              <w:rPr>
                <w:color w:val="000000"/>
              </w:rPr>
            </w:pPr>
            <w:r>
              <w:rPr>
                <w:color w:val="000000"/>
              </w:rPr>
              <w:t>10</w:t>
            </w:r>
          </w:p>
        </w:tc>
        <w:tc>
          <w:tcPr>
            <w:tcW w:w="987" w:type="dxa"/>
          </w:tcPr>
          <w:p w14:paraId="68219694" w14:textId="77777777" w:rsidR="005A3A07" w:rsidRDefault="003B184F">
            <w:pPr>
              <w:pBdr>
                <w:top w:val="nil"/>
                <w:left w:val="nil"/>
                <w:bottom w:val="nil"/>
                <w:right w:val="nil"/>
                <w:between w:val="nil"/>
              </w:pBdr>
              <w:jc w:val="center"/>
              <w:rPr>
                <w:color w:val="000000"/>
              </w:rPr>
            </w:pPr>
            <w:r>
              <w:rPr>
                <w:color w:val="000000"/>
              </w:rPr>
              <w:t>0.0123</w:t>
            </w:r>
          </w:p>
        </w:tc>
        <w:tc>
          <w:tcPr>
            <w:tcW w:w="1081" w:type="dxa"/>
          </w:tcPr>
          <w:p w14:paraId="6B9A99D5" w14:textId="77777777" w:rsidR="005A3A07" w:rsidRDefault="003B184F">
            <w:pPr>
              <w:pBdr>
                <w:top w:val="nil"/>
                <w:left w:val="nil"/>
                <w:bottom w:val="nil"/>
                <w:right w:val="nil"/>
                <w:between w:val="nil"/>
              </w:pBdr>
              <w:jc w:val="center"/>
              <w:rPr>
                <w:color w:val="000000"/>
              </w:rPr>
            </w:pPr>
            <w:r>
              <w:rPr>
                <w:color w:val="000000"/>
              </w:rPr>
              <w:t>0.034</w:t>
            </w:r>
          </w:p>
        </w:tc>
        <w:tc>
          <w:tcPr>
            <w:tcW w:w="1081" w:type="dxa"/>
          </w:tcPr>
          <w:p w14:paraId="250C7A10" w14:textId="77777777" w:rsidR="005A3A07" w:rsidRDefault="003B184F">
            <w:pPr>
              <w:pBdr>
                <w:top w:val="nil"/>
                <w:left w:val="nil"/>
                <w:bottom w:val="nil"/>
                <w:right w:val="nil"/>
                <w:between w:val="nil"/>
              </w:pBdr>
              <w:jc w:val="center"/>
              <w:rPr>
                <w:color w:val="000000"/>
              </w:rPr>
            </w:pPr>
            <w:r>
              <w:rPr>
                <w:color w:val="000000"/>
              </w:rPr>
              <w:t>0.067</w:t>
            </w:r>
          </w:p>
        </w:tc>
        <w:tc>
          <w:tcPr>
            <w:tcW w:w="1081" w:type="dxa"/>
          </w:tcPr>
          <w:p w14:paraId="6AB3910D" w14:textId="77777777" w:rsidR="005A3A07" w:rsidRDefault="003B184F">
            <w:pPr>
              <w:pBdr>
                <w:top w:val="nil"/>
                <w:left w:val="nil"/>
                <w:bottom w:val="nil"/>
                <w:right w:val="nil"/>
                <w:between w:val="nil"/>
              </w:pBdr>
              <w:jc w:val="center"/>
              <w:rPr>
                <w:color w:val="000000"/>
              </w:rPr>
            </w:pPr>
            <w:r>
              <w:rPr>
                <w:color w:val="000000"/>
              </w:rPr>
              <w:t>0.110</w:t>
            </w:r>
          </w:p>
        </w:tc>
        <w:tc>
          <w:tcPr>
            <w:tcW w:w="1087" w:type="dxa"/>
          </w:tcPr>
          <w:p w14:paraId="05D08661" w14:textId="77777777" w:rsidR="005A3A07" w:rsidRDefault="003B184F">
            <w:pPr>
              <w:pBdr>
                <w:top w:val="nil"/>
                <w:left w:val="nil"/>
                <w:bottom w:val="nil"/>
                <w:right w:val="nil"/>
                <w:between w:val="nil"/>
              </w:pBdr>
              <w:jc w:val="center"/>
              <w:rPr>
                <w:color w:val="000000"/>
              </w:rPr>
            </w:pPr>
            <w:r>
              <w:rPr>
                <w:color w:val="000000"/>
              </w:rPr>
              <w:t>0.166</w:t>
            </w:r>
          </w:p>
        </w:tc>
      </w:tr>
    </w:tbl>
    <w:p w14:paraId="7BBC0A3D" w14:textId="77777777" w:rsidR="005A3A07" w:rsidRDefault="005A3A07">
      <w:pPr>
        <w:pBdr>
          <w:top w:val="nil"/>
          <w:left w:val="nil"/>
          <w:bottom w:val="nil"/>
          <w:right w:val="nil"/>
          <w:between w:val="nil"/>
        </w:pBdr>
        <w:jc w:val="center"/>
        <w:rPr>
          <w:b/>
          <w:color w:val="000000"/>
          <w:sz w:val="12"/>
          <w:szCs w:val="12"/>
          <w:highlight w:val="yellow"/>
        </w:rPr>
      </w:pPr>
    </w:p>
    <w:p w14:paraId="77E1AE15" w14:textId="77777777" w:rsidR="005A3A07" w:rsidRDefault="003B184F" w:rsidP="003B184F">
      <w:pPr>
        <w:pStyle w:val="TableCaption"/>
        <w:rPr>
          <w:i/>
        </w:rPr>
      </w:pPr>
      <w:r>
        <w:rPr>
          <w:b/>
        </w:rPr>
        <w:t>TABLE 6.</w:t>
      </w:r>
      <w:r>
        <w:t xml:space="preserve"> Deflection Control</w:t>
      </w:r>
    </w:p>
    <w:tbl>
      <w:tblPr>
        <w:tblStyle w:val="a5"/>
        <w:tblW w:w="7281"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9"/>
        <w:gridCol w:w="899"/>
        <w:gridCol w:w="2157"/>
        <w:gridCol w:w="1887"/>
        <w:gridCol w:w="989"/>
      </w:tblGrid>
      <w:tr w:rsidR="005A3A07" w14:paraId="051FDF90" w14:textId="77777777">
        <w:tc>
          <w:tcPr>
            <w:tcW w:w="1350" w:type="dxa"/>
          </w:tcPr>
          <w:p w14:paraId="27E0596F" w14:textId="77777777" w:rsidR="005A3A07" w:rsidRDefault="003B184F">
            <w:pPr>
              <w:pBdr>
                <w:top w:val="nil"/>
                <w:left w:val="nil"/>
                <w:bottom w:val="nil"/>
                <w:right w:val="nil"/>
                <w:between w:val="nil"/>
              </w:pBdr>
              <w:jc w:val="center"/>
              <w:rPr>
                <w:color w:val="000000"/>
              </w:rPr>
            </w:pPr>
            <w:r>
              <w:rPr>
                <w:color w:val="000000"/>
              </w:rPr>
              <w:t>Node number</w:t>
            </w:r>
          </w:p>
        </w:tc>
        <w:tc>
          <w:tcPr>
            <w:tcW w:w="899" w:type="dxa"/>
          </w:tcPr>
          <w:p w14:paraId="64D3D043" w14:textId="77777777" w:rsidR="005A3A07" w:rsidRDefault="003B184F">
            <w:pPr>
              <w:pBdr>
                <w:top w:val="nil"/>
                <w:left w:val="nil"/>
                <w:bottom w:val="nil"/>
                <w:right w:val="nil"/>
                <w:between w:val="nil"/>
              </w:pBdr>
              <w:jc w:val="center"/>
              <w:rPr>
                <w:color w:val="000000"/>
              </w:rPr>
            </w:pPr>
            <w:r>
              <w:rPr>
                <w:color w:val="000000"/>
              </w:rPr>
              <w:t>Δ (mm)</w:t>
            </w:r>
          </w:p>
        </w:tc>
        <w:tc>
          <w:tcPr>
            <w:tcW w:w="2157" w:type="dxa"/>
          </w:tcPr>
          <w:p w14:paraId="2CE98B7C" w14:textId="77777777" w:rsidR="005A3A07" w:rsidRDefault="003B184F">
            <w:pPr>
              <w:pBdr>
                <w:top w:val="nil"/>
                <w:left w:val="nil"/>
                <w:bottom w:val="nil"/>
                <w:right w:val="nil"/>
                <w:between w:val="nil"/>
              </w:pBdr>
              <w:jc w:val="center"/>
              <w:rPr>
                <w:color w:val="000000"/>
              </w:rPr>
            </w:pPr>
            <w:r>
              <w:rPr>
                <w:color w:val="000000"/>
              </w:rPr>
              <w:t>Δ limit capacity (mm)</w:t>
            </w:r>
          </w:p>
        </w:tc>
        <w:tc>
          <w:tcPr>
            <w:tcW w:w="1887" w:type="dxa"/>
          </w:tcPr>
          <w:p w14:paraId="1698D22A" w14:textId="77777777" w:rsidR="005A3A07" w:rsidRDefault="003B184F">
            <w:pPr>
              <w:pBdr>
                <w:top w:val="nil"/>
                <w:left w:val="nil"/>
                <w:bottom w:val="nil"/>
                <w:right w:val="nil"/>
                <w:between w:val="nil"/>
              </w:pBdr>
              <w:jc w:val="center"/>
              <w:rPr>
                <w:color w:val="000000"/>
              </w:rPr>
            </w:pPr>
            <w:r>
              <w:rPr>
                <w:color w:val="000000"/>
              </w:rPr>
              <w:t>Control</w:t>
            </w:r>
          </w:p>
        </w:tc>
        <w:tc>
          <w:tcPr>
            <w:tcW w:w="989" w:type="dxa"/>
          </w:tcPr>
          <w:p w14:paraId="7FC35EFC" w14:textId="77777777" w:rsidR="005A3A07" w:rsidRDefault="003B184F">
            <w:pPr>
              <w:pBdr>
                <w:top w:val="nil"/>
                <w:left w:val="nil"/>
                <w:bottom w:val="nil"/>
                <w:right w:val="nil"/>
                <w:between w:val="nil"/>
              </w:pBdr>
              <w:jc w:val="center"/>
              <w:rPr>
                <w:color w:val="000000"/>
              </w:rPr>
            </w:pPr>
            <w:r>
              <w:rPr>
                <w:color w:val="000000"/>
              </w:rPr>
              <w:t>Status</w:t>
            </w:r>
          </w:p>
        </w:tc>
      </w:tr>
      <w:tr w:rsidR="005A3A07" w14:paraId="5E4373C9" w14:textId="77777777">
        <w:tc>
          <w:tcPr>
            <w:tcW w:w="1350" w:type="dxa"/>
          </w:tcPr>
          <w:p w14:paraId="32D04E16" w14:textId="77777777" w:rsidR="005A3A07" w:rsidRDefault="003B184F">
            <w:pPr>
              <w:pBdr>
                <w:top w:val="nil"/>
                <w:left w:val="nil"/>
                <w:bottom w:val="nil"/>
                <w:right w:val="nil"/>
                <w:between w:val="nil"/>
              </w:pBdr>
              <w:jc w:val="center"/>
              <w:rPr>
                <w:color w:val="000000"/>
              </w:rPr>
            </w:pPr>
            <w:r>
              <w:rPr>
                <w:color w:val="000000"/>
              </w:rPr>
              <w:t>27</w:t>
            </w:r>
          </w:p>
        </w:tc>
        <w:tc>
          <w:tcPr>
            <w:tcW w:w="899" w:type="dxa"/>
          </w:tcPr>
          <w:p w14:paraId="7C50735C" w14:textId="77777777" w:rsidR="005A3A07" w:rsidRDefault="003B184F">
            <w:pPr>
              <w:pBdr>
                <w:top w:val="nil"/>
                <w:left w:val="nil"/>
                <w:bottom w:val="nil"/>
                <w:right w:val="nil"/>
                <w:between w:val="nil"/>
              </w:pBdr>
              <w:jc w:val="center"/>
              <w:rPr>
                <w:color w:val="000000"/>
              </w:rPr>
            </w:pPr>
            <w:r>
              <w:rPr>
                <w:color w:val="000000"/>
              </w:rPr>
              <w:t>0.17</w:t>
            </w:r>
          </w:p>
        </w:tc>
        <w:tc>
          <w:tcPr>
            <w:tcW w:w="2157" w:type="dxa"/>
          </w:tcPr>
          <w:p w14:paraId="35669AAA" w14:textId="77777777" w:rsidR="005A3A07" w:rsidRDefault="003B184F">
            <w:pPr>
              <w:pBdr>
                <w:top w:val="nil"/>
                <w:left w:val="nil"/>
                <w:bottom w:val="nil"/>
                <w:right w:val="nil"/>
                <w:between w:val="nil"/>
              </w:pBdr>
              <w:jc w:val="center"/>
              <w:rPr>
                <w:color w:val="000000"/>
              </w:rPr>
            </w:pPr>
            <w:r>
              <w:rPr>
                <w:color w:val="000000"/>
              </w:rPr>
              <w:t>1.40</w:t>
            </w:r>
          </w:p>
        </w:tc>
        <w:tc>
          <w:tcPr>
            <w:tcW w:w="1887" w:type="dxa"/>
          </w:tcPr>
          <w:p w14:paraId="3C484A8B" w14:textId="77777777" w:rsidR="005A3A07" w:rsidRDefault="003B184F">
            <w:pPr>
              <w:pBdr>
                <w:top w:val="nil"/>
                <w:left w:val="nil"/>
                <w:bottom w:val="nil"/>
                <w:right w:val="nil"/>
                <w:between w:val="nil"/>
              </w:pBdr>
              <w:jc w:val="center"/>
              <w:rPr>
                <w:color w:val="000000"/>
              </w:rPr>
            </w:pPr>
            <w:r>
              <w:rPr>
                <w:color w:val="000000"/>
              </w:rPr>
              <w:t>Δ &lt; Δ limit capacity</w:t>
            </w:r>
          </w:p>
        </w:tc>
        <w:tc>
          <w:tcPr>
            <w:tcW w:w="989" w:type="dxa"/>
          </w:tcPr>
          <w:p w14:paraId="3C6087B8" w14:textId="77777777" w:rsidR="005A3A07" w:rsidRDefault="003B184F">
            <w:pPr>
              <w:pBdr>
                <w:top w:val="nil"/>
                <w:left w:val="nil"/>
                <w:bottom w:val="nil"/>
                <w:right w:val="nil"/>
                <w:between w:val="nil"/>
              </w:pBdr>
              <w:jc w:val="center"/>
              <w:rPr>
                <w:color w:val="000000"/>
              </w:rPr>
            </w:pPr>
            <w:r>
              <w:rPr>
                <w:color w:val="000000"/>
              </w:rPr>
              <w:t>Satisfied</w:t>
            </w:r>
          </w:p>
        </w:tc>
      </w:tr>
    </w:tbl>
    <w:p w14:paraId="5CBDCCF8" w14:textId="77777777" w:rsidR="003B184F" w:rsidRDefault="003B184F">
      <w:pPr>
        <w:pBdr>
          <w:top w:val="nil"/>
          <w:left w:val="nil"/>
          <w:bottom w:val="nil"/>
          <w:right w:val="nil"/>
          <w:between w:val="nil"/>
        </w:pBdr>
        <w:spacing w:before="80"/>
        <w:ind w:firstLine="288"/>
        <w:jc w:val="both"/>
        <w:rPr>
          <w:color w:val="000000"/>
          <w:sz w:val="20"/>
        </w:rPr>
      </w:pPr>
    </w:p>
    <w:p w14:paraId="786D35F5" w14:textId="77777777" w:rsidR="005A3A07" w:rsidRPr="003B184F" w:rsidRDefault="003B184F" w:rsidP="003B184F">
      <w:pPr>
        <w:spacing w:before="120"/>
        <w:ind w:firstLine="274"/>
        <w:jc w:val="both"/>
        <w:rPr>
          <w:rStyle w:val="Emphasis"/>
        </w:rPr>
      </w:pPr>
      <w:r w:rsidRPr="003B184F">
        <w:rPr>
          <w:rStyle w:val="Emphasis"/>
        </w:rPr>
        <w:t xml:space="preserve">Referring to the analysis results shown in </w:t>
      </w:r>
      <w:r w:rsidRPr="003B184F">
        <w:rPr>
          <w:rStyle w:val="Emphasis"/>
          <w:b/>
          <w:bCs/>
        </w:rPr>
        <w:t xml:space="preserve">TABLE 5 </w:t>
      </w:r>
      <w:r w:rsidRPr="003B184F">
        <w:rPr>
          <w:rStyle w:val="Emphasis"/>
        </w:rPr>
        <w:t xml:space="preserve">and </w:t>
      </w:r>
      <w:r w:rsidRPr="003B184F">
        <w:rPr>
          <w:rStyle w:val="Emphasis"/>
          <w:b/>
          <w:bCs/>
        </w:rPr>
        <w:t>TABLE 6</w:t>
      </w:r>
      <w:r w:rsidRPr="003B184F">
        <w:rPr>
          <w:rStyle w:val="Emphasis"/>
        </w:rPr>
        <w:t>, using equivalent static earthquake analysis and conducting simulations with the existing loads as well as frequency testing from 1.5 Hz to 5.5 Hz, the maximum deflection obtained from the earthquake simulation is 0.17 mm, while the deflection capacity that can be provided by the building model is 1.40 mm. This means that the building model is still very safe from the risk of collapse, as indicated by the deflection safety values from the applied earthquake behavior simulation.</w:t>
      </w:r>
    </w:p>
    <w:p w14:paraId="10BBFF7A" w14:textId="77777777" w:rsidR="005A3A07" w:rsidRPr="003B184F" w:rsidRDefault="003B184F" w:rsidP="003B184F">
      <w:pPr>
        <w:pStyle w:val="Heading2"/>
      </w:pPr>
      <w:r w:rsidRPr="003B184F">
        <w:lastRenderedPageBreak/>
        <w:t>DESIGN OF CONNECTION</w:t>
      </w:r>
    </w:p>
    <w:p w14:paraId="1744AE62" w14:textId="77777777" w:rsidR="005A3A07" w:rsidRPr="003B184F" w:rsidRDefault="003B184F" w:rsidP="003B184F">
      <w:pPr>
        <w:spacing w:before="120"/>
        <w:ind w:firstLine="274"/>
        <w:jc w:val="both"/>
        <w:rPr>
          <w:rStyle w:val="Emphasis"/>
        </w:rPr>
      </w:pPr>
      <w:r w:rsidRPr="003B184F">
        <w:rPr>
          <w:rStyle w:val="Emphasis"/>
        </w:rPr>
        <w:t>In designing connections, important factors to consider include the forces acting, the connection model, stability control of the connection model, and the connecting devices. A good connection is one where the control results in a balanced (optimal) ratio between the acting forces and the connection capacity. This means the capacity provided by the connection is not excessive but remains safe. Below is the strength control of the connection against the acting forces.</w:t>
      </w:r>
    </w:p>
    <w:p w14:paraId="40E2AEE2" w14:textId="77777777" w:rsidR="005A3A07" w:rsidRDefault="003B184F" w:rsidP="003B184F">
      <w:pPr>
        <w:pStyle w:val="TableCaption"/>
        <w:rPr>
          <w:sz w:val="20"/>
        </w:rPr>
      </w:pPr>
      <w:r>
        <w:rPr>
          <w:b/>
        </w:rPr>
        <w:t xml:space="preserve">TABLE 7. </w:t>
      </w:r>
      <w:r>
        <w:t>Connection Control</w:t>
      </w:r>
    </w:p>
    <w:tbl>
      <w:tblPr>
        <w:tblStyle w:val="a6"/>
        <w:tblW w:w="6569"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349"/>
        <w:gridCol w:w="1079"/>
        <w:gridCol w:w="1800"/>
        <w:gridCol w:w="1169"/>
      </w:tblGrid>
      <w:tr w:rsidR="005A3A07" w14:paraId="7E5467E2" w14:textId="77777777">
        <w:tc>
          <w:tcPr>
            <w:tcW w:w="1172" w:type="dxa"/>
            <w:shd w:val="clear" w:color="auto" w:fill="auto"/>
            <w:vAlign w:val="center"/>
          </w:tcPr>
          <w:p w14:paraId="535BE04E" w14:textId="77777777" w:rsidR="005A3A07" w:rsidRDefault="003B184F">
            <w:pPr>
              <w:pBdr>
                <w:top w:val="nil"/>
                <w:left w:val="nil"/>
                <w:bottom w:val="nil"/>
                <w:right w:val="nil"/>
                <w:between w:val="nil"/>
              </w:pBdr>
              <w:jc w:val="center"/>
              <w:rPr>
                <w:color w:val="000000"/>
              </w:rPr>
            </w:pPr>
            <w:r>
              <w:rPr>
                <w:color w:val="000000"/>
              </w:rPr>
              <w:t>Control</w:t>
            </w:r>
          </w:p>
        </w:tc>
        <w:tc>
          <w:tcPr>
            <w:tcW w:w="1349" w:type="dxa"/>
          </w:tcPr>
          <w:p w14:paraId="06B8DFC4" w14:textId="77777777" w:rsidR="005A3A07" w:rsidRDefault="003B184F">
            <w:pPr>
              <w:pBdr>
                <w:top w:val="nil"/>
                <w:left w:val="nil"/>
                <w:bottom w:val="nil"/>
                <w:right w:val="nil"/>
                <w:between w:val="nil"/>
              </w:pBdr>
              <w:ind w:left="-110" w:right="-110"/>
              <w:jc w:val="center"/>
              <w:rPr>
                <w:color w:val="000000"/>
              </w:rPr>
            </w:pPr>
            <w:r>
              <w:rPr>
                <w:color w:val="000000"/>
              </w:rPr>
              <w:t>Equation</w:t>
            </w:r>
          </w:p>
        </w:tc>
        <w:tc>
          <w:tcPr>
            <w:tcW w:w="1079" w:type="dxa"/>
          </w:tcPr>
          <w:p w14:paraId="7D6D03FE" w14:textId="77777777" w:rsidR="005A3A07" w:rsidRDefault="003B184F">
            <w:pPr>
              <w:pBdr>
                <w:top w:val="nil"/>
                <w:left w:val="nil"/>
                <w:bottom w:val="nil"/>
                <w:right w:val="nil"/>
                <w:between w:val="nil"/>
              </w:pBdr>
              <w:ind w:left="-110" w:right="-20"/>
              <w:jc w:val="center"/>
              <w:rPr>
                <w:color w:val="000000"/>
              </w:rPr>
            </w:pPr>
            <w:r>
              <w:rPr>
                <w:color w:val="000000"/>
              </w:rPr>
              <w:t>Loads (kg)</w:t>
            </w:r>
          </w:p>
        </w:tc>
        <w:tc>
          <w:tcPr>
            <w:tcW w:w="1800" w:type="dxa"/>
          </w:tcPr>
          <w:p w14:paraId="5A3F2467" w14:textId="77777777" w:rsidR="005A3A07" w:rsidRDefault="003B184F">
            <w:pPr>
              <w:pBdr>
                <w:top w:val="nil"/>
                <w:left w:val="nil"/>
                <w:bottom w:val="nil"/>
                <w:right w:val="nil"/>
                <w:between w:val="nil"/>
              </w:pBdr>
              <w:ind w:left="-110" w:right="-110"/>
              <w:jc w:val="center"/>
              <w:rPr>
                <w:color w:val="000000"/>
              </w:rPr>
            </w:pPr>
            <w:r>
              <w:rPr>
                <w:color w:val="000000"/>
              </w:rPr>
              <w:t>Design Capacity (kg)</w:t>
            </w:r>
          </w:p>
        </w:tc>
        <w:tc>
          <w:tcPr>
            <w:tcW w:w="1169" w:type="dxa"/>
          </w:tcPr>
          <w:p w14:paraId="43646A72" w14:textId="77777777" w:rsidR="005A3A07" w:rsidRDefault="003B184F">
            <w:pPr>
              <w:pBdr>
                <w:top w:val="nil"/>
                <w:left w:val="nil"/>
                <w:bottom w:val="nil"/>
                <w:right w:val="nil"/>
                <w:between w:val="nil"/>
              </w:pBdr>
              <w:jc w:val="center"/>
              <w:rPr>
                <w:color w:val="000000"/>
              </w:rPr>
            </w:pPr>
            <w:r>
              <w:rPr>
                <w:color w:val="000000"/>
              </w:rPr>
              <w:t>Description</w:t>
            </w:r>
          </w:p>
        </w:tc>
      </w:tr>
      <w:tr w:rsidR="005A3A07" w14:paraId="2E5AEBA8" w14:textId="77777777">
        <w:tc>
          <w:tcPr>
            <w:tcW w:w="1172" w:type="dxa"/>
          </w:tcPr>
          <w:p w14:paraId="07224C74" w14:textId="77777777" w:rsidR="005A3A07" w:rsidRDefault="003B184F">
            <w:pPr>
              <w:pBdr>
                <w:top w:val="nil"/>
                <w:left w:val="nil"/>
                <w:bottom w:val="nil"/>
                <w:right w:val="nil"/>
                <w:between w:val="nil"/>
              </w:pBdr>
              <w:jc w:val="center"/>
              <w:rPr>
                <w:color w:val="000000"/>
              </w:rPr>
            </w:pPr>
            <w:r>
              <w:rPr>
                <w:color w:val="000000"/>
              </w:rPr>
              <w:t>Tension</w:t>
            </w:r>
          </w:p>
        </w:tc>
        <w:tc>
          <w:tcPr>
            <w:tcW w:w="1349" w:type="dxa"/>
          </w:tcPr>
          <w:p w14:paraId="49DBC1A7" w14:textId="77777777" w:rsidR="005A3A07" w:rsidRDefault="003B184F">
            <w:pPr>
              <w:pBdr>
                <w:top w:val="nil"/>
                <w:left w:val="nil"/>
                <w:bottom w:val="nil"/>
                <w:right w:val="nil"/>
                <w:between w:val="nil"/>
              </w:pBdr>
              <w:ind w:left="-110" w:right="-110"/>
              <w:jc w:val="center"/>
              <w:rPr>
                <w:color w:val="000000"/>
              </w:rPr>
            </w:pPr>
            <w:r>
              <w:rPr>
                <w:color w:val="000000"/>
              </w:rPr>
              <w:t>F’nt×Ab</w:t>
            </w:r>
          </w:p>
        </w:tc>
        <w:tc>
          <w:tcPr>
            <w:tcW w:w="1079" w:type="dxa"/>
          </w:tcPr>
          <w:p w14:paraId="0EA0F066" w14:textId="77777777" w:rsidR="005A3A07" w:rsidRDefault="003B184F">
            <w:pPr>
              <w:pBdr>
                <w:top w:val="nil"/>
                <w:left w:val="nil"/>
                <w:bottom w:val="nil"/>
                <w:right w:val="nil"/>
                <w:between w:val="nil"/>
              </w:pBdr>
              <w:ind w:left="-110" w:right="-20"/>
              <w:jc w:val="center"/>
              <w:rPr>
                <w:color w:val="000000"/>
              </w:rPr>
            </w:pPr>
            <w:r>
              <w:rPr>
                <w:color w:val="000000"/>
              </w:rPr>
              <w:t>4.48</w:t>
            </w:r>
          </w:p>
        </w:tc>
        <w:tc>
          <w:tcPr>
            <w:tcW w:w="1800" w:type="dxa"/>
          </w:tcPr>
          <w:p w14:paraId="4F332C88" w14:textId="77777777" w:rsidR="005A3A07" w:rsidRDefault="003B184F">
            <w:pPr>
              <w:pBdr>
                <w:top w:val="nil"/>
                <w:left w:val="nil"/>
                <w:bottom w:val="nil"/>
                <w:right w:val="nil"/>
                <w:between w:val="nil"/>
              </w:pBdr>
              <w:ind w:left="-110" w:right="430"/>
              <w:jc w:val="right"/>
              <w:rPr>
                <w:color w:val="000000"/>
              </w:rPr>
            </w:pPr>
            <w:r>
              <w:rPr>
                <w:color w:val="000000"/>
              </w:rPr>
              <w:t>408.08</w:t>
            </w:r>
          </w:p>
        </w:tc>
        <w:tc>
          <w:tcPr>
            <w:tcW w:w="1169" w:type="dxa"/>
          </w:tcPr>
          <w:p w14:paraId="79402F13" w14:textId="77777777" w:rsidR="005A3A07" w:rsidRDefault="003B184F">
            <w:pPr>
              <w:pBdr>
                <w:top w:val="nil"/>
                <w:left w:val="nil"/>
                <w:bottom w:val="nil"/>
                <w:right w:val="nil"/>
                <w:between w:val="nil"/>
              </w:pBdr>
              <w:jc w:val="center"/>
              <w:rPr>
                <w:color w:val="000000"/>
              </w:rPr>
            </w:pPr>
            <w:r>
              <w:rPr>
                <w:color w:val="000000"/>
              </w:rPr>
              <w:t>Satisfied</w:t>
            </w:r>
          </w:p>
        </w:tc>
      </w:tr>
      <w:tr w:rsidR="005A3A07" w14:paraId="14C412A1" w14:textId="77777777">
        <w:tc>
          <w:tcPr>
            <w:tcW w:w="1172" w:type="dxa"/>
          </w:tcPr>
          <w:p w14:paraId="710F5A54" w14:textId="77777777" w:rsidR="005A3A07" w:rsidRDefault="003B184F">
            <w:pPr>
              <w:pBdr>
                <w:top w:val="nil"/>
                <w:left w:val="nil"/>
                <w:bottom w:val="nil"/>
                <w:right w:val="nil"/>
                <w:between w:val="nil"/>
              </w:pBdr>
              <w:jc w:val="center"/>
              <w:rPr>
                <w:color w:val="000000"/>
              </w:rPr>
            </w:pPr>
            <w:r>
              <w:rPr>
                <w:color w:val="000000"/>
              </w:rPr>
              <w:t>Shear</w:t>
            </w:r>
          </w:p>
        </w:tc>
        <w:tc>
          <w:tcPr>
            <w:tcW w:w="1349" w:type="dxa"/>
          </w:tcPr>
          <w:p w14:paraId="75094199" w14:textId="77777777" w:rsidR="005A3A07" w:rsidRDefault="003B184F">
            <w:pPr>
              <w:pBdr>
                <w:top w:val="nil"/>
                <w:left w:val="nil"/>
                <w:bottom w:val="nil"/>
                <w:right w:val="nil"/>
                <w:between w:val="nil"/>
              </w:pBdr>
              <w:ind w:left="-110" w:right="-110"/>
              <w:jc w:val="center"/>
              <w:rPr>
                <w:color w:val="000000"/>
              </w:rPr>
            </w:pPr>
            <w:r>
              <w:rPr>
                <w:color w:val="000000"/>
              </w:rPr>
              <w:t>F’nv×Ab</w:t>
            </w:r>
          </w:p>
        </w:tc>
        <w:tc>
          <w:tcPr>
            <w:tcW w:w="1079" w:type="dxa"/>
          </w:tcPr>
          <w:p w14:paraId="7F2678CC" w14:textId="77777777" w:rsidR="005A3A07" w:rsidRDefault="003B184F">
            <w:pPr>
              <w:pBdr>
                <w:top w:val="nil"/>
                <w:left w:val="nil"/>
                <w:bottom w:val="nil"/>
                <w:right w:val="nil"/>
                <w:between w:val="nil"/>
              </w:pBdr>
              <w:ind w:left="-110" w:right="-20"/>
              <w:jc w:val="center"/>
              <w:rPr>
                <w:color w:val="000000"/>
              </w:rPr>
            </w:pPr>
            <w:r>
              <w:rPr>
                <w:color w:val="000000"/>
              </w:rPr>
              <w:t>2.27</w:t>
            </w:r>
          </w:p>
        </w:tc>
        <w:tc>
          <w:tcPr>
            <w:tcW w:w="1800" w:type="dxa"/>
          </w:tcPr>
          <w:p w14:paraId="01F531CF" w14:textId="77777777" w:rsidR="005A3A07" w:rsidRDefault="003B184F">
            <w:pPr>
              <w:pBdr>
                <w:top w:val="nil"/>
                <w:left w:val="nil"/>
                <w:bottom w:val="nil"/>
                <w:right w:val="nil"/>
                <w:between w:val="nil"/>
              </w:pBdr>
              <w:ind w:left="-110" w:right="430"/>
              <w:jc w:val="right"/>
              <w:rPr>
                <w:color w:val="000000"/>
              </w:rPr>
            </w:pPr>
            <w:r>
              <w:rPr>
                <w:color w:val="000000"/>
              </w:rPr>
              <w:t>244.85</w:t>
            </w:r>
          </w:p>
        </w:tc>
        <w:tc>
          <w:tcPr>
            <w:tcW w:w="1169" w:type="dxa"/>
          </w:tcPr>
          <w:p w14:paraId="368483E1" w14:textId="77777777" w:rsidR="005A3A07" w:rsidRDefault="003B184F">
            <w:pPr>
              <w:pBdr>
                <w:top w:val="nil"/>
                <w:left w:val="nil"/>
                <w:bottom w:val="nil"/>
                <w:right w:val="nil"/>
                <w:between w:val="nil"/>
              </w:pBdr>
              <w:jc w:val="center"/>
              <w:rPr>
                <w:color w:val="000000"/>
              </w:rPr>
            </w:pPr>
            <w:r>
              <w:rPr>
                <w:color w:val="000000"/>
              </w:rPr>
              <w:t>Satisfied</w:t>
            </w:r>
          </w:p>
        </w:tc>
      </w:tr>
      <w:tr w:rsidR="005A3A07" w14:paraId="69466180" w14:textId="77777777">
        <w:tc>
          <w:tcPr>
            <w:tcW w:w="1172" w:type="dxa"/>
          </w:tcPr>
          <w:p w14:paraId="410B6455" w14:textId="77777777" w:rsidR="005A3A07" w:rsidRDefault="003B184F">
            <w:pPr>
              <w:pBdr>
                <w:top w:val="nil"/>
                <w:left w:val="nil"/>
                <w:bottom w:val="nil"/>
                <w:right w:val="nil"/>
                <w:between w:val="nil"/>
              </w:pBdr>
              <w:jc w:val="center"/>
              <w:rPr>
                <w:color w:val="000000"/>
              </w:rPr>
            </w:pPr>
            <w:r>
              <w:rPr>
                <w:color w:val="000000"/>
              </w:rPr>
              <w:t>Support</w:t>
            </w:r>
          </w:p>
        </w:tc>
        <w:tc>
          <w:tcPr>
            <w:tcW w:w="1349" w:type="dxa"/>
          </w:tcPr>
          <w:p w14:paraId="6D14F368" w14:textId="77777777" w:rsidR="005A3A07" w:rsidRDefault="003B184F">
            <w:pPr>
              <w:pBdr>
                <w:top w:val="nil"/>
                <w:left w:val="nil"/>
                <w:bottom w:val="nil"/>
                <w:right w:val="nil"/>
                <w:between w:val="nil"/>
              </w:pBdr>
              <w:ind w:left="-110" w:right="-110"/>
              <w:jc w:val="center"/>
              <w:rPr>
                <w:color w:val="000000"/>
              </w:rPr>
            </w:pPr>
            <w:r>
              <w:rPr>
                <w:color w:val="000000"/>
              </w:rPr>
              <w:t>2,4×d×t×Fu</w:t>
            </w:r>
          </w:p>
        </w:tc>
        <w:tc>
          <w:tcPr>
            <w:tcW w:w="1079" w:type="dxa"/>
          </w:tcPr>
          <w:p w14:paraId="57CAD783" w14:textId="77777777" w:rsidR="005A3A07" w:rsidRDefault="003B184F">
            <w:pPr>
              <w:pBdr>
                <w:top w:val="nil"/>
                <w:left w:val="nil"/>
                <w:bottom w:val="nil"/>
                <w:right w:val="nil"/>
                <w:between w:val="nil"/>
              </w:pBdr>
              <w:ind w:left="-110" w:right="-20"/>
              <w:jc w:val="center"/>
              <w:rPr>
                <w:color w:val="000000"/>
              </w:rPr>
            </w:pPr>
            <w:r>
              <w:rPr>
                <w:color w:val="000000"/>
              </w:rPr>
              <w:t>3.53</w:t>
            </w:r>
          </w:p>
        </w:tc>
        <w:tc>
          <w:tcPr>
            <w:tcW w:w="1800" w:type="dxa"/>
          </w:tcPr>
          <w:p w14:paraId="1BBAAAD0" w14:textId="77777777" w:rsidR="005A3A07" w:rsidRDefault="003B184F">
            <w:pPr>
              <w:pBdr>
                <w:top w:val="nil"/>
                <w:left w:val="nil"/>
                <w:bottom w:val="nil"/>
                <w:right w:val="nil"/>
                <w:between w:val="nil"/>
              </w:pBdr>
              <w:ind w:left="-110" w:right="430"/>
              <w:jc w:val="right"/>
              <w:rPr>
                <w:color w:val="000000"/>
              </w:rPr>
            </w:pPr>
            <w:r>
              <w:rPr>
                <w:color w:val="000000"/>
              </w:rPr>
              <w:t>179.03</w:t>
            </w:r>
          </w:p>
        </w:tc>
        <w:tc>
          <w:tcPr>
            <w:tcW w:w="1169" w:type="dxa"/>
          </w:tcPr>
          <w:p w14:paraId="6337A874" w14:textId="77777777" w:rsidR="005A3A07" w:rsidRDefault="003B184F">
            <w:pPr>
              <w:pBdr>
                <w:top w:val="nil"/>
                <w:left w:val="nil"/>
                <w:bottom w:val="nil"/>
                <w:right w:val="nil"/>
                <w:between w:val="nil"/>
              </w:pBdr>
              <w:jc w:val="center"/>
              <w:rPr>
                <w:color w:val="000000"/>
              </w:rPr>
            </w:pPr>
            <w:r>
              <w:rPr>
                <w:color w:val="000000"/>
              </w:rPr>
              <w:t>Satisfied</w:t>
            </w:r>
          </w:p>
        </w:tc>
      </w:tr>
      <w:tr w:rsidR="005A3A07" w14:paraId="4E42589D" w14:textId="77777777">
        <w:tc>
          <w:tcPr>
            <w:tcW w:w="1172" w:type="dxa"/>
          </w:tcPr>
          <w:p w14:paraId="4C1752E7" w14:textId="77777777" w:rsidR="005A3A07" w:rsidRDefault="003B184F">
            <w:pPr>
              <w:pBdr>
                <w:top w:val="nil"/>
                <w:left w:val="nil"/>
                <w:bottom w:val="nil"/>
                <w:right w:val="nil"/>
                <w:between w:val="nil"/>
              </w:pBdr>
              <w:jc w:val="center"/>
              <w:rPr>
                <w:color w:val="000000"/>
              </w:rPr>
            </w:pPr>
            <w:r>
              <w:rPr>
                <w:color w:val="000000"/>
              </w:rPr>
              <w:t>Tear</w:t>
            </w:r>
          </w:p>
        </w:tc>
        <w:tc>
          <w:tcPr>
            <w:tcW w:w="1349" w:type="dxa"/>
          </w:tcPr>
          <w:p w14:paraId="35D434DF" w14:textId="77777777" w:rsidR="005A3A07" w:rsidRDefault="003B184F">
            <w:pPr>
              <w:pBdr>
                <w:top w:val="nil"/>
                <w:left w:val="nil"/>
                <w:bottom w:val="nil"/>
                <w:right w:val="nil"/>
                <w:between w:val="nil"/>
              </w:pBdr>
              <w:ind w:left="-110" w:right="-110"/>
              <w:jc w:val="center"/>
              <w:rPr>
                <w:color w:val="000000"/>
              </w:rPr>
            </w:pPr>
            <w:r>
              <w:rPr>
                <w:color w:val="000000"/>
              </w:rPr>
              <w:t>1,2×d×t×Fu</w:t>
            </w:r>
          </w:p>
        </w:tc>
        <w:tc>
          <w:tcPr>
            <w:tcW w:w="1079" w:type="dxa"/>
          </w:tcPr>
          <w:p w14:paraId="28FD1765" w14:textId="77777777" w:rsidR="005A3A07" w:rsidRDefault="003B184F">
            <w:pPr>
              <w:pBdr>
                <w:top w:val="nil"/>
                <w:left w:val="nil"/>
                <w:bottom w:val="nil"/>
                <w:right w:val="nil"/>
                <w:between w:val="nil"/>
              </w:pBdr>
              <w:ind w:left="-110" w:right="-20"/>
              <w:jc w:val="center"/>
              <w:rPr>
                <w:color w:val="000000"/>
              </w:rPr>
            </w:pPr>
            <w:r>
              <w:rPr>
                <w:color w:val="000000"/>
              </w:rPr>
              <w:t>4.55</w:t>
            </w:r>
          </w:p>
        </w:tc>
        <w:tc>
          <w:tcPr>
            <w:tcW w:w="1800" w:type="dxa"/>
          </w:tcPr>
          <w:p w14:paraId="10774301" w14:textId="77777777" w:rsidR="005A3A07" w:rsidRDefault="003B184F">
            <w:pPr>
              <w:pBdr>
                <w:top w:val="nil"/>
                <w:left w:val="nil"/>
                <w:bottom w:val="nil"/>
                <w:right w:val="nil"/>
                <w:between w:val="nil"/>
              </w:pBdr>
              <w:ind w:left="-110" w:right="430"/>
              <w:jc w:val="right"/>
              <w:rPr>
                <w:color w:val="000000"/>
              </w:rPr>
            </w:pPr>
            <w:r>
              <w:rPr>
                <w:color w:val="000000"/>
              </w:rPr>
              <w:t>89.50</w:t>
            </w:r>
          </w:p>
        </w:tc>
        <w:tc>
          <w:tcPr>
            <w:tcW w:w="1169" w:type="dxa"/>
          </w:tcPr>
          <w:p w14:paraId="4A523183" w14:textId="77777777" w:rsidR="005A3A07" w:rsidRDefault="003B184F">
            <w:pPr>
              <w:pBdr>
                <w:top w:val="nil"/>
                <w:left w:val="nil"/>
                <w:bottom w:val="nil"/>
                <w:right w:val="nil"/>
                <w:between w:val="nil"/>
              </w:pBdr>
              <w:jc w:val="center"/>
              <w:rPr>
                <w:color w:val="000000"/>
              </w:rPr>
            </w:pPr>
            <w:r>
              <w:rPr>
                <w:color w:val="000000"/>
              </w:rPr>
              <w:t>Satisfied</w:t>
            </w:r>
          </w:p>
        </w:tc>
      </w:tr>
    </w:tbl>
    <w:p w14:paraId="624E59B2" w14:textId="77777777" w:rsidR="003B184F" w:rsidRDefault="003B184F">
      <w:pPr>
        <w:pBdr>
          <w:top w:val="nil"/>
          <w:left w:val="nil"/>
          <w:bottom w:val="nil"/>
          <w:right w:val="nil"/>
          <w:between w:val="nil"/>
        </w:pBdr>
        <w:spacing w:before="60" w:after="40"/>
        <w:ind w:firstLine="274"/>
        <w:jc w:val="both"/>
        <w:rPr>
          <w:color w:val="000000"/>
          <w:sz w:val="20"/>
        </w:rPr>
      </w:pPr>
    </w:p>
    <w:p w14:paraId="72D3F99F" w14:textId="77777777" w:rsidR="005A3A07" w:rsidRPr="003B184F" w:rsidRDefault="003B184F" w:rsidP="003B184F">
      <w:pPr>
        <w:ind w:firstLine="274"/>
        <w:jc w:val="both"/>
        <w:rPr>
          <w:rStyle w:val="Emphasis"/>
        </w:rPr>
      </w:pPr>
      <w:r w:rsidRPr="003B184F">
        <w:rPr>
          <w:rStyle w:val="Emphasis"/>
        </w:rPr>
        <w:t xml:space="preserve">Based on the results of the analysis in </w:t>
      </w:r>
      <w:r w:rsidRPr="003B184F">
        <w:rPr>
          <w:rStyle w:val="Emphasis"/>
          <w:b/>
          <w:bCs/>
        </w:rPr>
        <w:t>TABLE 7</w:t>
      </w:r>
      <w:r w:rsidRPr="003B184F">
        <w:rPr>
          <w:rStyle w:val="Emphasis"/>
        </w:rPr>
        <w:t>, it shows that the values obtained from the load calculations are quite low and far below the capacity. In this simulation case, because the dimensions of the building analyzed are of the actual model, the cross-sections still need to be reduced as the capacity obtained is still too large, which can be considered wasteful. However, since this study is a model, the dimensions cannot be reduced or minimized further. Based on the analysis results above, the innovation of precast concrete connection models used provides sufficient support to withstand loads and seismic forces occurring in this building model study.</w:t>
      </w:r>
    </w:p>
    <w:p w14:paraId="491C418C" w14:textId="77777777" w:rsidR="005A3A07" w:rsidRPr="003B184F" w:rsidRDefault="003B184F" w:rsidP="003B184F">
      <w:pPr>
        <w:ind w:firstLine="274"/>
        <w:jc w:val="both"/>
        <w:rPr>
          <w:rStyle w:val="Emphasis"/>
        </w:rPr>
      </w:pPr>
      <w:r w:rsidRPr="003B184F">
        <w:rPr>
          <w:rStyle w:val="Emphasis"/>
        </w:rPr>
        <w:t>Overall, the results of the analysis and model simulation conducted on the building model with up to 10 floors demonstrate the reliability achieved from the design and model simulation. This provides a good representation in the selection of the form and structural system chosen, ensuring that each planned and constructed building, whether for residential or office facilities, offers a sense of security to its occupants. This activity is also beneficial in providing insight into selecting the model and construction system for building design, contributing to the acceleration of development and meeting the needs for residential and office buildings, especially in urban areas that require infrastructure for housing and offices.</w:t>
      </w:r>
    </w:p>
    <w:p w14:paraId="5C0B6A34" w14:textId="77777777" w:rsidR="005A3A07" w:rsidRDefault="003B184F">
      <w:pPr>
        <w:pStyle w:val="Heading1"/>
        <w:rPr>
          <w:color w:val="FF0000"/>
          <w:sz w:val="20"/>
        </w:rPr>
      </w:pPr>
      <w:r>
        <w:t>CONCLUSIONS</w:t>
      </w:r>
    </w:p>
    <w:p w14:paraId="3CF63EA2" w14:textId="77777777" w:rsidR="005A3A07" w:rsidRPr="003B184F" w:rsidRDefault="003B184F">
      <w:pPr>
        <w:pBdr>
          <w:top w:val="nil"/>
          <w:left w:val="nil"/>
          <w:bottom w:val="nil"/>
          <w:right w:val="nil"/>
          <w:between w:val="nil"/>
        </w:pBdr>
        <w:spacing w:after="80"/>
        <w:ind w:firstLine="284"/>
        <w:jc w:val="both"/>
        <w:rPr>
          <w:rStyle w:val="Emphasis"/>
        </w:rPr>
      </w:pPr>
      <w:r w:rsidRPr="003B184F">
        <w:rPr>
          <w:rStyle w:val="Emphasis"/>
        </w:rPr>
        <w:t>The 10-story reinforced concrete precast building model named “</w:t>
      </w:r>
      <w:proofErr w:type="spellStart"/>
      <w:r w:rsidRPr="003B184F">
        <w:rPr>
          <w:rStyle w:val="Emphasis"/>
        </w:rPr>
        <w:t>Nusatech-Stiratva</w:t>
      </w:r>
      <w:proofErr w:type="spellEnd"/>
      <w:r w:rsidRPr="003B184F">
        <w:rPr>
          <w:rStyle w:val="Emphasis"/>
        </w:rPr>
        <w:t>” is designed with reference to the theme of the Indonesian Building Competition 2024, namely 'Fast-Built, Strong, Durable, and Earthquake-Resistant Buildings for Accelerating the Development of Nusantara.' The design of this building model uses an open frame structural system with a strong column-weak beam concept as an earthquake-resistant structure. The concrete quality of fc' 40 MPa is intended to optimize earthquake resistance along the weak axis and reduce the building’s weight. The chosen precast connection system includes nut-bolt (m2) and plate connections, with the bolt hole size being larger than the bolt diameter, aimed at providing a damping system. The self-weight of the building model is 12,778 kg, which includes the precast structure, connections, and other accessories used. The maximum deflection occurring in “</w:t>
      </w:r>
      <w:proofErr w:type="spellStart"/>
      <w:r w:rsidRPr="003B184F">
        <w:rPr>
          <w:rStyle w:val="Emphasis"/>
        </w:rPr>
        <w:t>Nusatech-Stiratva</w:t>
      </w:r>
      <w:proofErr w:type="spellEnd"/>
      <w:r w:rsidRPr="003B184F">
        <w:rPr>
          <w:rStyle w:val="Emphasis"/>
        </w:rPr>
        <w:t>” is 0.17 mm at a frequency of 5.5 Hz, happening on the 10th floor. This deflection is smaller than the allowable deflection capacity or its permitted limit. Based on the analysis results above, the innovation of precast concrete connection models used provides sufficient support to withstand loads and seismic forces occurring in this building model study. This connection method offers a simple connection model and allows for ease of implementation.</w:t>
      </w:r>
    </w:p>
    <w:p w14:paraId="4DCD9C5A" w14:textId="77777777" w:rsidR="005A3A07" w:rsidRDefault="003B184F">
      <w:pPr>
        <w:pStyle w:val="Heading1"/>
        <w:rPr>
          <w:color w:val="FF0000"/>
        </w:rPr>
      </w:pPr>
      <w:r>
        <w:t>Acknowledgments</w:t>
      </w:r>
    </w:p>
    <w:p w14:paraId="63F3F7D1" w14:textId="77777777" w:rsidR="005A3A07" w:rsidRPr="003B184F" w:rsidRDefault="003B184F">
      <w:pPr>
        <w:pBdr>
          <w:top w:val="nil"/>
          <w:left w:val="nil"/>
          <w:bottom w:val="nil"/>
          <w:right w:val="nil"/>
          <w:between w:val="nil"/>
        </w:pBdr>
        <w:ind w:firstLine="284"/>
        <w:jc w:val="both"/>
        <w:rPr>
          <w:rStyle w:val="Emphasis"/>
        </w:rPr>
      </w:pPr>
      <w:r w:rsidRPr="003B184F">
        <w:rPr>
          <w:rStyle w:val="Emphasis"/>
        </w:rPr>
        <w:t>With deep gratitude, the author wishes to thank all parties who have provided support and facilities in the completion of this work, especially to the university and faculty leaders, the lecturers in the Civil Engineering Program, and all members of the Surya Team at Muhammadiyah University of Malang for their support and cooperation during the research process, as well as the mentors for their guidance, motivation, and invaluable support in completing this work in a better and more meaningful way.</w:t>
      </w:r>
    </w:p>
    <w:p w14:paraId="217705F0" w14:textId="77777777" w:rsidR="005A3A07" w:rsidRDefault="003B184F">
      <w:pPr>
        <w:pStyle w:val="Heading1"/>
      </w:pPr>
      <w:r>
        <w:lastRenderedPageBreak/>
        <w:t>References</w:t>
      </w:r>
    </w:p>
    <w:p w14:paraId="01B348C9" w14:textId="77777777" w:rsidR="0021793C" w:rsidRPr="00EF23F4" w:rsidRDefault="000064FB" w:rsidP="009C0763">
      <w:pPr>
        <w:pStyle w:val="EndNoteBibliography"/>
        <w:ind w:left="714" w:hanging="357"/>
        <w:jc w:val="both"/>
        <w:rPr>
          <w:sz w:val="20"/>
        </w:rPr>
      </w:pPr>
      <w:r w:rsidRPr="00EF23F4">
        <w:rPr>
          <w:sz w:val="20"/>
        </w:rPr>
        <w:fldChar w:fldCharType="begin"/>
      </w:r>
      <w:r w:rsidRPr="00EF23F4">
        <w:rPr>
          <w:sz w:val="20"/>
        </w:rPr>
        <w:instrText xml:space="preserve"> ADDIN EN.REFLIST </w:instrText>
      </w:r>
      <w:r w:rsidRPr="00EF23F4">
        <w:rPr>
          <w:sz w:val="20"/>
        </w:rPr>
        <w:fldChar w:fldCharType="separate"/>
      </w:r>
      <w:r w:rsidR="0021793C" w:rsidRPr="00EF23F4">
        <w:rPr>
          <w:sz w:val="20"/>
        </w:rPr>
        <w:t>1.</w:t>
      </w:r>
      <w:r w:rsidR="0021793C" w:rsidRPr="00EF23F4">
        <w:rPr>
          <w:sz w:val="20"/>
        </w:rPr>
        <w:tab/>
        <w:t xml:space="preserve">Rusmilawati, D., D. Djayus, and P. Lepong, </w:t>
      </w:r>
      <w:r w:rsidR="0021793C" w:rsidRPr="00EF23F4">
        <w:rPr>
          <w:i/>
          <w:sz w:val="20"/>
        </w:rPr>
        <w:t>Studi Mekanisme Sumber Gempabumi di Wilayah Kalimantan Berdasarkan Gerak Awal Gelombang P.</w:t>
      </w:r>
      <w:r w:rsidR="0021793C" w:rsidRPr="00EF23F4">
        <w:rPr>
          <w:sz w:val="20"/>
        </w:rPr>
        <w:t xml:space="preserve"> Geosains Kutai Basin, 2019. </w:t>
      </w:r>
      <w:r w:rsidR="0021793C" w:rsidRPr="00EF23F4">
        <w:rPr>
          <w:b/>
          <w:sz w:val="20"/>
        </w:rPr>
        <w:t>2</w:t>
      </w:r>
      <w:r w:rsidR="0021793C" w:rsidRPr="00EF23F4">
        <w:rPr>
          <w:sz w:val="20"/>
        </w:rPr>
        <w:t>(2).</w:t>
      </w:r>
    </w:p>
    <w:p w14:paraId="38FFBE8D" w14:textId="77777777" w:rsidR="0021793C" w:rsidRPr="00EF23F4" w:rsidRDefault="0021793C" w:rsidP="009C0763">
      <w:pPr>
        <w:pStyle w:val="EndNoteBibliography"/>
        <w:ind w:left="714" w:hanging="357"/>
        <w:jc w:val="both"/>
        <w:rPr>
          <w:sz w:val="20"/>
        </w:rPr>
      </w:pPr>
      <w:r w:rsidRPr="00EF23F4">
        <w:rPr>
          <w:sz w:val="20"/>
        </w:rPr>
        <w:t>2.</w:t>
      </w:r>
      <w:r w:rsidRPr="00EF23F4">
        <w:rPr>
          <w:sz w:val="20"/>
        </w:rPr>
        <w:tab/>
        <w:t xml:space="preserve">Indonesia, S.N., </w:t>
      </w:r>
      <w:r w:rsidRPr="00EF23F4">
        <w:rPr>
          <w:i/>
          <w:sz w:val="20"/>
        </w:rPr>
        <w:t>Persyaratan beton struktural untuk bangunan gedung.</w:t>
      </w:r>
      <w:r w:rsidRPr="00EF23F4">
        <w:rPr>
          <w:sz w:val="20"/>
        </w:rPr>
        <w:t xml:space="preserve"> SNI, 2013. </w:t>
      </w:r>
      <w:r w:rsidRPr="00EF23F4">
        <w:rPr>
          <w:b/>
          <w:sz w:val="20"/>
        </w:rPr>
        <w:t>2847</w:t>
      </w:r>
      <w:r w:rsidRPr="00EF23F4">
        <w:rPr>
          <w:sz w:val="20"/>
        </w:rPr>
        <w:t>(2013): p. 91-080.</w:t>
      </w:r>
    </w:p>
    <w:p w14:paraId="527F62B6" w14:textId="77777777" w:rsidR="0021793C" w:rsidRPr="00EF23F4" w:rsidRDefault="0021793C" w:rsidP="009C0763">
      <w:pPr>
        <w:pStyle w:val="EndNoteBibliography"/>
        <w:ind w:left="714" w:hanging="357"/>
        <w:jc w:val="both"/>
        <w:rPr>
          <w:sz w:val="20"/>
        </w:rPr>
      </w:pPr>
      <w:r w:rsidRPr="00EF23F4">
        <w:rPr>
          <w:sz w:val="20"/>
        </w:rPr>
        <w:t>3.</w:t>
      </w:r>
      <w:r w:rsidRPr="00EF23F4">
        <w:rPr>
          <w:sz w:val="20"/>
        </w:rPr>
        <w:tab/>
        <w:t xml:space="preserve">Surana, M., Y. Singh, and D.H. Lang, </w:t>
      </w:r>
      <w:r w:rsidRPr="00EF23F4">
        <w:rPr>
          <w:i/>
          <w:sz w:val="20"/>
        </w:rPr>
        <w:t>Effect of strong-column weak-beam design provision on the seismic fragility of RC frame buildings.</w:t>
      </w:r>
      <w:r w:rsidRPr="00EF23F4">
        <w:rPr>
          <w:sz w:val="20"/>
        </w:rPr>
        <w:t xml:space="preserve"> International Journal of Advanced Structural Engineering, 2018. </w:t>
      </w:r>
      <w:r w:rsidRPr="00EF23F4">
        <w:rPr>
          <w:b/>
          <w:sz w:val="20"/>
        </w:rPr>
        <w:t>10</w:t>
      </w:r>
      <w:r w:rsidRPr="00EF23F4">
        <w:rPr>
          <w:sz w:val="20"/>
        </w:rPr>
        <w:t>: p. 131-141.</w:t>
      </w:r>
    </w:p>
    <w:p w14:paraId="3C441252" w14:textId="77777777" w:rsidR="0021793C" w:rsidRPr="00EF23F4" w:rsidRDefault="0021793C" w:rsidP="009C0763">
      <w:pPr>
        <w:pStyle w:val="EndNoteBibliography"/>
        <w:ind w:left="714" w:hanging="357"/>
        <w:jc w:val="both"/>
        <w:rPr>
          <w:sz w:val="20"/>
        </w:rPr>
      </w:pPr>
      <w:r w:rsidRPr="00EF23F4">
        <w:rPr>
          <w:sz w:val="20"/>
        </w:rPr>
        <w:t>4.</w:t>
      </w:r>
      <w:r w:rsidRPr="00EF23F4">
        <w:rPr>
          <w:sz w:val="20"/>
        </w:rPr>
        <w:tab/>
        <w:t xml:space="preserve">Ximenes, A., A. Halim, and A. Suraji. </w:t>
      </w:r>
      <w:r w:rsidRPr="00EF23F4">
        <w:rPr>
          <w:i/>
          <w:sz w:val="20"/>
        </w:rPr>
        <w:t>Pengaruh komposisi campuran beton dan jenis semen terhadap kelecakan (concrete workability) dan kuat tekan beton</w:t>
      </w:r>
      <w:r w:rsidRPr="00EF23F4">
        <w:rPr>
          <w:sz w:val="20"/>
        </w:rPr>
        <w:t xml:space="preserve">. in </w:t>
      </w:r>
      <w:r w:rsidRPr="00EF23F4">
        <w:rPr>
          <w:i/>
          <w:sz w:val="20"/>
        </w:rPr>
        <w:t>The 4th Conference on Innovation and Application of Science and Technology (CIASTECH 2021)</w:t>
      </w:r>
      <w:r w:rsidRPr="00EF23F4">
        <w:rPr>
          <w:sz w:val="20"/>
        </w:rPr>
        <w:t>. 2021. Ciastech.</w:t>
      </w:r>
    </w:p>
    <w:p w14:paraId="1D368696" w14:textId="77777777" w:rsidR="0021793C" w:rsidRPr="00EF23F4" w:rsidRDefault="0021793C" w:rsidP="009C0763">
      <w:pPr>
        <w:pStyle w:val="EndNoteBibliography"/>
        <w:ind w:left="714" w:hanging="357"/>
        <w:jc w:val="both"/>
        <w:rPr>
          <w:sz w:val="20"/>
        </w:rPr>
      </w:pPr>
      <w:r w:rsidRPr="00EF23F4">
        <w:rPr>
          <w:sz w:val="20"/>
        </w:rPr>
        <w:t>5.</w:t>
      </w:r>
      <w:r w:rsidRPr="00EF23F4">
        <w:rPr>
          <w:sz w:val="20"/>
        </w:rPr>
        <w:tab/>
        <w:t xml:space="preserve">Da Conceição, G.D.C. and A. Lisantono, </w:t>
      </w:r>
      <w:r w:rsidRPr="00EF23F4">
        <w:rPr>
          <w:i/>
          <w:sz w:val="20"/>
        </w:rPr>
        <w:t>SAMBUNGAN BALOK BETON BERTULANG PRACETAK DENGAN LAPISAN CFRP DAN PLAT BAJA.</w:t>
      </w:r>
      <w:r w:rsidRPr="00EF23F4">
        <w:rPr>
          <w:sz w:val="20"/>
        </w:rPr>
        <w:t xml:space="preserve"> Jurnal Teknik Sipil, 2019. </w:t>
      </w:r>
      <w:r w:rsidRPr="00EF23F4">
        <w:rPr>
          <w:b/>
          <w:sz w:val="20"/>
        </w:rPr>
        <w:t>15</w:t>
      </w:r>
      <w:r w:rsidRPr="00EF23F4">
        <w:rPr>
          <w:sz w:val="20"/>
        </w:rPr>
        <w:t>(2): p. 124-132.</w:t>
      </w:r>
    </w:p>
    <w:p w14:paraId="36AD2C09" w14:textId="77777777" w:rsidR="0021793C" w:rsidRPr="00EF23F4" w:rsidRDefault="0021793C" w:rsidP="009C0763">
      <w:pPr>
        <w:pStyle w:val="EndNoteBibliography"/>
        <w:ind w:left="714" w:hanging="357"/>
        <w:jc w:val="both"/>
        <w:rPr>
          <w:sz w:val="20"/>
        </w:rPr>
      </w:pPr>
      <w:r w:rsidRPr="00EF23F4">
        <w:rPr>
          <w:sz w:val="20"/>
        </w:rPr>
        <w:t>6.</w:t>
      </w:r>
      <w:r w:rsidRPr="00EF23F4">
        <w:rPr>
          <w:sz w:val="20"/>
        </w:rPr>
        <w:tab/>
        <w:t xml:space="preserve">Firdha, R.A., et al., </w:t>
      </w:r>
      <w:r w:rsidRPr="00EF23F4">
        <w:rPr>
          <w:i/>
          <w:sz w:val="20"/>
        </w:rPr>
        <w:t>Analisis Kinerja Struktur Gedung Bertingkat Terhadap Beban Gempa Dengan Metode Pushover Analysis (Studi Kasus: Gedung Rawat Inap Non–Bedah Rumah Sakit Umum Daerah Dr. H. Abdul Moeloek).</w:t>
      </w:r>
      <w:r w:rsidRPr="00EF23F4">
        <w:rPr>
          <w:sz w:val="20"/>
        </w:rPr>
        <w:t xml:space="preserve"> Jurnal Rekayasa Sipil dan Desain, 2021. </w:t>
      </w:r>
      <w:r w:rsidRPr="00EF23F4">
        <w:rPr>
          <w:b/>
          <w:sz w:val="20"/>
        </w:rPr>
        <w:t>9</w:t>
      </w:r>
      <w:r w:rsidRPr="00EF23F4">
        <w:rPr>
          <w:sz w:val="20"/>
        </w:rPr>
        <w:t>(4): p. 486195.</w:t>
      </w:r>
    </w:p>
    <w:p w14:paraId="466A67FC" w14:textId="77777777" w:rsidR="0021793C" w:rsidRPr="00EF23F4" w:rsidRDefault="0021793C" w:rsidP="009C0763">
      <w:pPr>
        <w:pStyle w:val="EndNoteBibliography"/>
        <w:ind w:left="714" w:hanging="357"/>
        <w:jc w:val="both"/>
        <w:rPr>
          <w:sz w:val="20"/>
        </w:rPr>
      </w:pPr>
      <w:r w:rsidRPr="00EF23F4">
        <w:rPr>
          <w:sz w:val="20"/>
        </w:rPr>
        <w:t>7.</w:t>
      </w:r>
      <w:r w:rsidRPr="00EF23F4">
        <w:rPr>
          <w:sz w:val="20"/>
        </w:rPr>
        <w:tab/>
        <w:t xml:space="preserve">Nasional, B.S., </w:t>
      </w:r>
      <w:r w:rsidRPr="00EF23F4">
        <w:rPr>
          <w:i/>
          <w:sz w:val="20"/>
        </w:rPr>
        <w:t>Tata cara perencanaan ketahanan gempa untuk struktur bangunan gedung dan non gedung.</w:t>
      </w:r>
      <w:r w:rsidRPr="00EF23F4">
        <w:rPr>
          <w:sz w:val="20"/>
        </w:rPr>
        <w:t xml:space="preserve"> Sni, 2012. </w:t>
      </w:r>
      <w:r w:rsidRPr="00EF23F4">
        <w:rPr>
          <w:b/>
          <w:sz w:val="20"/>
        </w:rPr>
        <w:t>1726</w:t>
      </w:r>
      <w:r w:rsidRPr="00EF23F4">
        <w:rPr>
          <w:sz w:val="20"/>
        </w:rPr>
        <w:t>: p. 2012.</w:t>
      </w:r>
    </w:p>
    <w:p w14:paraId="31094823" w14:textId="77777777" w:rsidR="0021793C" w:rsidRPr="00EF23F4" w:rsidRDefault="0021793C" w:rsidP="009C0763">
      <w:pPr>
        <w:pStyle w:val="EndNoteBibliography"/>
        <w:ind w:left="714" w:hanging="357"/>
        <w:jc w:val="both"/>
        <w:rPr>
          <w:sz w:val="20"/>
        </w:rPr>
      </w:pPr>
      <w:r w:rsidRPr="00EF23F4">
        <w:rPr>
          <w:sz w:val="20"/>
        </w:rPr>
        <w:t>8.</w:t>
      </w:r>
      <w:r w:rsidRPr="00EF23F4">
        <w:rPr>
          <w:sz w:val="20"/>
        </w:rPr>
        <w:tab/>
        <w:t xml:space="preserve">Fujii, K., </w:t>
      </w:r>
      <w:r w:rsidRPr="00EF23F4">
        <w:rPr>
          <w:i/>
          <w:sz w:val="20"/>
        </w:rPr>
        <w:t>Peak and cumulative response of reinforced concrete frames with steel damper columns under seismic sequences.</w:t>
      </w:r>
      <w:r w:rsidRPr="00EF23F4">
        <w:rPr>
          <w:sz w:val="20"/>
        </w:rPr>
        <w:t xml:space="preserve"> Buildings, 2022. </w:t>
      </w:r>
      <w:r w:rsidRPr="00EF23F4">
        <w:rPr>
          <w:b/>
          <w:sz w:val="20"/>
        </w:rPr>
        <w:t>12</w:t>
      </w:r>
      <w:r w:rsidRPr="00EF23F4">
        <w:rPr>
          <w:sz w:val="20"/>
        </w:rPr>
        <w:t>(3): p. 275.</w:t>
      </w:r>
    </w:p>
    <w:p w14:paraId="2E6FC7ED" w14:textId="77777777" w:rsidR="0021793C" w:rsidRPr="00EF23F4" w:rsidRDefault="0021793C" w:rsidP="009C0763">
      <w:pPr>
        <w:pStyle w:val="EndNoteBibliography"/>
        <w:ind w:left="714" w:hanging="357"/>
        <w:jc w:val="both"/>
        <w:rPr>
          <w:sz w:val="20"/>
        </w:rPr>
      </w:pPr>
      <w:r w:rsidRPr="00EF23F4">
        <w:rPr>
          <w:sz w:val="20"/>
        </w:rPr>
        <w:t>9.</w:t>
      </w:r>
      <w:r w:rsidRPr="00EF23F4">
        <w:rPr>
          <w:sz w:val="20"/>
        </w:rPr>
        <w:tab/>
        <w:t xml:space="preserve">Ying-nan, S., et al. </w:t>
      </w:r>
      <w:r w:rsidRPr="00EF23F4">
        <w:rPr>
          <w:i/>
          <w:sz w:val="20"/>
        </w:rPr>
        <w:t>Seismic performance of the ST-RC columns to RC beams exterior joint with assembled connection details</w:t>
      </w:r>
      <w:r w:rsidRPr="00EF23F4">
        <w:rPr>
          <w:sz w:val="20"/>
        </w:rPr>
        <w:t>. 2024. Structures: Elsevier.</w:t>
      </w:r>
    </w:p>
    <w:p w14:paraId="20889812" w14:textId="77777777" w:rsidR="0021793C" w:rsidRPr="00EF23F4" w:rsidRDefault="0021793C" w:rsidP="009C0763">
      <w:pPr>
        <w:pStyle w:val="EndNoteBibliography"/>
        <w:ind w:left="714" w:hanging="357"/>
        <w:jc w:val="both"/>
        <w:rPr>
          <w:sz w:val="20"/>
        </w:rPr>
      </w:pPr>
      <w:r w:rsidRPr="00EF23F4">
        <w:rPr>
          <w:sz w:val="20"/>
        </w:rPr>
        <w:t>10.</w:t>
      </w:r>
      <w:r w:rsidRPr="00EF23F4">
        <w:rPr>
          <w:sz w:val="20"/>
        </w:rPr>
        <w:tab/>
        <w:t xml:space="preserve">Dong, J., et al., </w:t>
      </w:r>
      <w:r w:rsidRPr="00EF23F4">
        <w:rPr>
          <w:i/>
          <w:sz w:val="20"/>
        </w:rPr>
        <w:t>Experimental study on seismic performance of RC beam-CFST column joint combination using ECC.</w:t>
      </w:r>
      <w:r w:rsidRPr="00EF23F4">
        <w:rPr>
          <w:sz w:val="20"/>
        </w:rPr>
        <w:t xml:space="preserve"> Engineering Structures, 2024. </w:t>
      </w:r>
      <w:r w:rsidRPr="00EF23F4">
        <w:rPr>
          <w:b/>
          <w:sz w:val="20"/>
        </w:rPr>
        <w:t>312</w:t>
      </w:r>
      <w:r w:rsidRPr="00EF23F4">
        <w:rPr>
          <w:sz w:val="20"/>
        </w:rPr>
        <w:t>: p. 118188.</w:t>
      </w:r>
    </w:p>
    <w:p w14:paraId="33CADECD" w14:textId="77777777" w:rsidR="0021793C" w:rsidRPr="00EF23F4" w:rsidRDefault="0021793C" w:rsidP="009C0763">
      <w:pPr>
        <w:pStyle w:val="EndNoteBibliography"/>
        <w:ind w:left="714" w:hanging="357"/>
        <w:jc w:val="both"/>
        <w:rPr>
          <w:sz w:val="20"/>
        </w:rPr>
      </w:pPr>
      <w:r w:rsidRPr="00EF23F4">
        <w:rPr>
          <w:sz w:val="20"/>
        </w:rPr>
        <w:t>11.</w:t>
      </w:r>
      <w:r w:rsidRPr="00EF23F4">
        <w:rPr>
          <w:sz w:val="20"/>
        </w:rPr>
        <w:tab/>
        <w:t xml:space="preserve">Irawan, D. and S.P. Machmoed, </w:t>
      </w:r>
      <w:r w:rsidRPr="00EF23F4">
        <w:rPr>
          <w:i/>
          <w:sz w:val="20"/>
        </w:rPr>
        <w:t>Perencanaan struktur beton bertulang gedung perkantoran dira 10 lantai dengan metode sistem rangka pemikul momen khusus di Kabupaten Ende.</w:t>
      </w:r>
      <w:r w:rsidRPr="00EF23F4">
        <w:rPr>
          <w:sz w:val="20"/>
        </w:rPr>
        <w:t xml:space="preserve"> axial: jurnal rekayasa dan manajemen konstruksi, 2024. </w:t>
      </w:r>
      <w:r w:rsidRPr="00EF23F4">
        <w:rPr>
          <w:b/>
          <w:sz w:val="20"/>
        </w:rPr>
        <w:t>12</w:t>
      </w:r>
      <w:r w:rsidRPr="00EF23F4">
        <w:rPr>
          <w:sz w:val="20"/>
        </w:rPr>
        <w:t>(2): p. 083-092.</w:t>
      </w:r>
    </w:p>
    <w:p w14:paraId="7FFE7250" w14:textId="77777777" w:rsidR="0021793C" w:rsidRPr="00EF23F4" w:rsidRDefault="0021793C" w:rsidP="009C0763">
      <w:pPr>
        <w:pStyle w:val="EndNoteBibliography"/>
        <w:ind w:left="714" w:hanging="357"/>
        <w:jc w:val="both"/>
        <w:rPr>
          <w:sz w:val="20"/>
        </w:rPr>
      </w:pPr>
      <w:r w:rsidRPr="00EF23F4">
        <w:rPr>
          <w:sz w:val="20"/>
        </w:rPr>
        <w:t>12.</w:t>
      </w:r>
      <w:r w:rsidRPr="00EF23F4">
        <w:rPr>
          <w:sz w:val="20"/>
        </w:rPr>
        <w:tab/>
        <w:t xml:space="preserve">Peng, W.-J. and M.-X. Tao, </w:t>
      </w:r>
      <w:r w:rsidRPr="00EF23F4">
        <w:rPr>
          <w:i/>
          <w:sz w:val="20"/>
        </w:rPr>
        <w:t>Column-to-beam flexural strength ratio for rigorous strong-column–weak-beam design for steel–concrete composite frames.</w:t>
      </w:r>
      <w:r w:rsidRPr="00EF23F4">
        <w:rPr>
          <w:sz w:val="20"/>
        </w:rPr>
        <w:t xml:space="preserve"> Journal of Building Engineering, 2024. </w:t>
      </w:r>
      <w:r w:rsidRPr="00EF23F4">
        <w:rPr>
          <w:b/>
          <w:sz w:val="20"/>
        </w:rPr>
        <w:t>96</w:t>
      </w:r>
      <w:r w:rsidRPr="00EF23F4">
        <w:rPr>
          <w:sz w:val="20"/>
        </w:rPr>
        <w:t>: p. 110669.</w:t>
      </w:r>
    </w:p>
    <w:p w14:paraId="60E0F4A8" w14:textId="77777777" w:rsidR="0021793C" w:rsidRPr="00EF23F4" w:rsidRDefault="0021793C" w:rsidP="009C0763">
      <w:pPr>
        <w:pStyle w:val="EndNoteBibliography"/>
        <w:ind w:left="714" w:hanging="357"/>
        <w:jc w:val="both"/>
        <w:rPr>
          <w:sz w:val="20"/>
        </w:rPr>
      </w:pPr>
      <w:r w:rsidRPr="00EF23F4">
        <w:rPr>
          <w:sz w:val="20"/>
        </w:rPr>
        <w:t>13.</w:t>
      </w:r>
      <w:r w:rsidRPr="00EF23F4">
        <w:rPr>
          <w:sz w:val="20"/>
        </w:rPr>
        <w:tab/>
        <w:t xml:space="preserve">Hasibuan, S.A.R.S. and A.A. Qolby, </w:t>
      </w:r>
      <w:r w:rsidRPr="00EF23F4">
        <w:rPr>
          <w:i/>
          <w:sz w:val="20"/>
        </w:rPr>
        <w:t>Solution of Beam Structure Analysis Using SAP2000.</w:t>
      </w:r>
      <w:r w:rsidRPr="00EF23F4">
        <w:rPr>
          <w:sz w:val="20"/>
        </w:rPr>
        <w:t xml:space="preserve"> International Journal of Innovative Research in Computer Science &amp; Technology, 2023. </w:t>
      </w:r>
      <w:r w:rsidRPr="00EF23F4">
        <w:rPr>
          <w:b/>
          <w:sz w:val="20"/>
        </w:rPr>
        <w:t>11</w:t>
      </w:r>
      <w:r w:rsidRPr="00EF23F4">
        <w:rPr>
          <w:sz w:val="20"/>
        </w:rPr>
        <w:t>(1).</w:t>
      </w:r>
    </w:p>
    <w:p w14:paraId="1AECD8E3" w14:textId="77777777" w:rsidR="0021793C" w:rsidRPr="00EF23F4" w:rsidRDefault="0021793C" w:rsidP="009C0763">
      <w:pPr>
        <w:pStyle w:val="EndNoteBibliography"/>
        <w:ind w:left="714" w:hanging="357"/>
        <w:jc w:val="both"/>
        <w:rPr>
          <w:sz w:val="20"/>
        </w:rPr>
      </w:pPr>
      <w:r w:rsidRPr="00EF23F4">
        <w:rPr>
          <w:sz w:val="20"/>
        </w:rPr>
        <w:t>14.</w:t>
      </w:r>
      <w:r w:rsidRPr="00EF23F4">
        <w:rPr>
          <w:sz w:val="20"/>
        </w:rPr>
        <w:tab/>
        <w:t xml:space="preserve">Rifandi, I., </w:t>
      </w:r>
      <w:r w:rsidRPr="00EF23F4">
        <w:rPr>
          <w:i/>
          <w:sz w:val="20"/>
        </w:rPr>
        <w:t>Analisis Beban Gempa dengan Metode Statik Ekuivalen Berdasarkan SNI 1726-2019 pada Gedung IPAL.</w:t>
      </w:r>
      <w:r w:rsidRPr="00EF23F4">
        <w:rPr>
          <w:sz w:val="20"/>
        </w:rPr>
        <w:t xml:space="preserve"> Jurnal Konstruksi, 2020. </w:t>
      </w:r>
      <w:r w:rsidRPr="00EF23F4">
        <w:rPr>
          <w:b/>
          <w:sz w:val="20"/>
        </w:rPr>
        <w:t>18</w:t>
      </w:r>
      <w:r w:rsidRPr="00EF23F4">
        <w:rPr>
          <w:sz w:val="20"/>
        </w:rPr>
        <w:t>(2): p. 72-82.</w:t>
      </w:r>
    </w:p>
    <w:p w14:paraId="7173AF3B" w14:textId="614328DE" w:rsidR="005A3A07" w:rsidRPr="00EF23F4" w:rsidRDefault="000064FB" w:rsidP="009C0763">
      <w:pPr>
        <w:ind w:left="714" w:hanging="357"/>
        <w:jc w:val="both"/>
        <w:rPr>
          <w:sz w:val="20"/>
        </w:rPr>
      </w:pPr>
      <w:r w:rsidRPr="00EF23F4">
        <w:rPr>
          <w:sz w:val="20"/>
        </w:rPr>
        <w:fldChar w:fldCharType="end"/>
      </w:r>
    </w:p>
    <w:sectPr w:rsidR="005A3A07" w:rsidRPr="00EF23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ungsuh">
    <w:altName w:val="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aa0dra9wezd8e95xt5v2pu0r5t9erwz9a2&quot;&gt;My EndNote Library&lt;record-ids&gt;&lt;item&gt;517&lt;/item&gt;&lt;item&gt;518&lt;/item&gt;&lt;item&gt;519&lt;/item&gt;&lt;item&gt;520&lt;/item&gt;&lt;item&gt;521&lt;/item&gt;&lt;item&gt;522&lt;/item&gt;&lt;item&gt;523&lt;/item&gt;&lt;item&gt;524&lt;/item&gt;&lt;item&gt;525&lt;/item&gt;&lt;item&gt;526&lt;/item&gt;&lt;item&gt;527&lt;/item&gt;&lt;item&gt;528&lt;/item&gt;&lt;item&gt;529&lt;/item&gt;&lt;item&gt;530&lt;/item&gt;&lt;/record-ids&gt;&lt;/item&gt;&lt;/Libraries&gt;"/>
  </w:docVars>
  <w:rsids>
    <w:rsidRoot w:val="005A3A07"/>
    <w:rsid w:val="000064FB"/>
    <w:rsid w:val="001361A0"/>
    <w:rsid w:val="0021793C"/>
    <w:rsid w:val="00264031"/>
    <w:rsid w:val="002A635B"/>
    <w:rsid w:val="003B184F"/>
    <w:rsid w:val="005A3A07"/>
    <w:rsid w:val="007B730D"/>
    <w:rsid w:val="008E4733"/>
    <w:rsid w:val="009C0763"/>
    <w:rsid w:val="00D524A0"/>
    <w:rsid w:val="00EF2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CB5D"/>
  <w15:docId w15:val="{D57BC62B-B65C-4C1E-A47D-EBFB7F85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6AF"/>
    <w:rPr>
      <w:szCs w:val="20"/>
    </w:rPr>
  </w:style>
  <w:style w:type="paragraph" w:styleId="Heading1">
    <w:name w:val="heading 1"/>
    <w:basedOn w:val="Normal"/>
    <w:next w:val="Paragraph"/>
    <w:link w:val="Heading1Char"/>
    <w:uiPriority w:val="9"/>
    <w:qFormat/>
    <w:rsid w:val="009C46AF"/>
    <w:pPr>
      <w:keepNext/>
      <w:spacing w:before="240" w:after="240"/>
      <w:jc w:val="center"/>
      <w:outlineLvl w:val="0"/>
    </w:pPr>
    <w:rPr>
      <w:b/>
      <w:caps/>
    </w:rPr>
  </w:style>
  <w:style w:type="paragraph" w:styleId="Heading2">
    <w:name w:val="heading 2"/>
    <w:basedOn w:val="Normal"/>
    <w:next w:val="Paragraph"/>
    <w:link w:val="Heading2Char"/>
    <w:uiPriority w:val="9"/>
    <w:unhideWhenUsed/>
    <w:qFormat/>
    <w:rsid w:val="009C46AF"/>
    <w:pPr>
      <w:keepNext/>
      <w:spacing w:before="240" w:after="240"/>
      <w:jc w:val="cente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9C46AF"/>
    <w:rPr>
      <w:rFonts w:ascii="Times New Roman" w:eastAsia="Times New Roman" w:hAnsi="Times New Roman" w:cs="Times New Roman"/>
      <w:b/>
      <w:caps/>
      <w:kern w:val="0"/>
      <w:sz w:val="24"/>
      <w:szCs w:val="20"/>
      <w:lang w:val="en-US"/>
    </w:rPr>
  </w:style>
  <w:style w:type="character" w:customStyle="1" w:styleId="Heading2Char">
    <w:name w:val="Heading 2 Char"/>
    <w:basedOn w:val="DefaultParagraphFont"/>
    <w:link w:val="Heading2"/>
    <w:rsid w:val="009C46AF"/>
    <w:rPr>
      <w:rFonts w:ascii="Times New Roman" w:eastAsia="Times New Roman" w:hAnsi="Times New Roman" w:cs="Times New Roman"/>
      <w:b/>
      <w:kern w:val="0"/>
      <w:sz w:val="24"/>
      <w:szCs w:val="20"/>
      <w:lang w:val="en-US"/>
    </w:rPr>
  </w:style>
  <w:style w:type="paragraph" w:customStyle="1" w:styleId="Abstract">
    <w:name w:val="Abstract"/>
    <w:basedOn w:val="Normal"/>
    <w:next w:val="Heading1"/>
    <w:rsid w:val="009C46AF"/>
    <w:pPr>
      <w:spacing w:before="360" w:after="360"/>
      <w:ind w:left="289" w:right="289"/>
      <w:jc w:val="both"/>
    </w:pPr>
    <w:rPr>
      <w:sz w:val="18"/>
    </w:rPr>
  </w:style>
  <w:style w:type="paragraph" w:customStyle="1" w:styleId="AuthorAffiliation">
    <w:name w:val="Author Affiliation"/>
    <w:basedOn w:val="Normal"/>
    <w:rsid w:val="009C46AF"/>
    <w:pPr>
      <w:jc w:val="center"/>
    </w:pPr>
    <w:rPr>
      <w:i/>
      <w:sz w:val="20"/>
    </w:rPr>
  </w:style>
  <w:style w:type="paragraph" w:customStyle="1" w:styleId="AuthorEmail">
    <w:name w:val="Author Email"/>
    <w:basedOn w:val="Normal"/>
    <w:qFormat/>
    <w:rsid w:val="009C46AF"/>
    <w:pPr>
      <w:jc w:val="center"/>
    </w:pPr>
    <w:rPr>
      <w:sz w:val="20"/>
    </w:rPr>
  </w:style>
  <w:style w:type="paragraph" w:customStyle="1" w:styleId="AuthorName">
    <w:name w:val="Author Name"/>
    <w:basedOn w:val="Normal"/>
    <w:next w:val="AuthorAffiliation"/>
    <w:rsid w:val="009C46AF"/>
    <w:pPr>
      <w:spacing w:before="360" w:after="360"/>
      <w:jc w:val="center"/>
    </w:pPr>
    <w:rPr>
      <w:sz w:val="28"/>
    </w:rPr>
  </w:style>
  <w:style w:type="character" w:styleId="Emphasis">
    <w:name w:val="Emphasis"/>
    <w:basedOn w:val="DefaultParagraphFont"/>
    <w:uiPriority w:val="20"/>
    <w:qFormat/>
    <w:rsid w:val="003B184F"/>
    <w:rPr>
      <w:color w:val="333333"/>
      <w:sz w:val="20"/>
    </w:rPr>
  </w:style>
  <w:style w:type="paragraph" w:customStyle="1" w:styleId="Paragraph">
    <w:name w:val="Paragraph"/>
    <w:basedOn w:val="Normal"/>
    <w:link w:val="ParagraphChar"/>
    <w:rsid w:val="009C46AF"/>
    <w:pPr>
      <w:ind w:firstLine="284"/>
      <w:jc w:val="both"/>
    </w:pPr>
    <w:rPr>
      <w:sz w:val="20"/>
    </w:rPr>
  </w:style>
  <w:style w:type="paragraph" w:customStyle="1" w:styleId="Figure">
    <w:name w:val="Figure"/>
    <w:basedOn w:val="Paragraph"/>
    <w:rsid w:val="009C46AF"/>
    <w:pPr>
      <w:keepNext/>
      <w:ind w:firstLine="0"/>
      <w:jc w:val="center"/>
    </w:pPr>
  </w:style>
  <w:style w:type="paragraph" w:customStyle="1" w:styleId="FigureCaption">
    <w:name w:val="Figure Caption"/>
    <w:next w:val="Paragraph"/>
    <w:rsid w:val="009C46AF"/>
    <w:pPr>
      <w:spacing w:before="120"/>
      <w:jc w:val="center"/>
    </w:pPr>
    <w:rPr>
      <w:sz w:val="18"/>
      <w:szCs w:val="20"/>
    </w:rPr>
  </w:style>
  <w:style w:type="character" w:styleId="Hyperlink">
    <w:name w:val="Hyperlink"/>
    <w:rsid w:val="009C46AF"/>
    <w:rPr>
      <w:color w:val="0000FF"/>
      <w:u w:val="single"/>
    </w:rPr>
  </w:style>
  <w:style w:type="paragraph" w:customStyle="1" w:styleId="PaperTitle">
    <w:name w:val="Paper Title"/>
    <w:basedOn w:val="Normal"/>
    <w:next w:val="AuthorName"/>
    <w:rsid w:val="009C46AF"/>
    <w:pPr>
      <w:spacing w:before="1200"/>
      <w:jc w:val="center"/>
    </w:pPr>
    <w:rPr>
      <w:b/>
      <w:sz w:val="36"/>
    </w:rPr>
  </w:style>
  <w:style w:type="paragraph" w:customStyle="1" w:styleId="TableCaption">
    <w:name w:val="Table Caption"/>
    <w:basedOn w:val="FigureCaption"/>
    <w:qFormat/>
    <w:rsid w:val="009C46AF"/>
    <w:rPr>
      <w:szCs w:val="18"/>
    </w:rPr>
  </w:style>
  <w:style w:type="table" w:styleId="TableGrid">
    <w:name w:val="Table Grid"/>
    <w:basedOn w:val="TableNormal"/>
    <w:uiPriority w:val="39"/>
    <w:rsid w:val="009C46AF"/>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6AF"/>
    <w:pPr>
      <w:spacing w:after="200"/>
    </w:pPr>
    <w:rPr>
      <w:i/>
      <w:iCs/>
      <w:color w:val="44546A" w:themeColor="text2"/>
      <w:sz w:val="18"/>
      <w:szCs w:val="18"/>
    </w:rPr>
  </w:style>
  <w:style w:type="paragraph" w:customStyle="1" w:styleId="isitabel">
    <w:name w:val="isi tabel"/>
    <w:basedOn w:val="Normal"/>
    <w:link w:val="isitabelChar"/>
    <w:qFormat/>
    <w:rsid w:val="009C46AF"/>
    <w:pPr>
      <w:jc w:val="both"/>
    </w:pPr>
    <w:rPr>
      <w:rFonts w:eastAsiaTheme="minorHAnsi" w:cstheme="minorBidi"/>
      <w:sz w:val="20"/>
      <w:szCs w:val="22"/>
      <w:lang w:val="en-ID"/>
    </w:rPr>
  </w:style>
  <w:style w:type="character" w:customStyle="1" w:styleId="isitabelChar">
    <w:name w:val="isi tabel Char"/>
    <w:basedOn w:val="DefaultParagraphFont"/>
    <w:link w:val="isitabel"/>
    <w:rsid w:val="009C46AF"/>
    <w:rPr>
      <w:rFonts w:ascii="Times New Roman" w:hAnsi="Times New Roman"/>
      <w:kern w:val="0"/>
      <w:sz w:val="20"/>
    </w:rPr>
  </w:style>
  <w:style w:type="paragraph" w:customStyle="1" w:styleId="kepalatabel">
    <w:name w:val="kepala tabel"/>
    <w:basedOn w:val="isitabel"/>
    <w:next w:val="Normal"/>
    <w:link w:val="kepalatabelChar"/>
    <w:qFormat/>
    <w:rsid w:val="009C46AF"/>
    <w:rPr>
      <w:b/>
    </w:rPr>
  </w:style>
  <w:style w:type="character" w:customStyle="1" w:styleId="kepalatabelChar">
    <w:name w:val="kepala tabel Char"/>
    <w:basedOn w:val="isitabelChar"/>
    <w:link w:val="kepalatabel"/>
    <w:rsid w:val="009C46AF"/>
    <w:rPr>
      <w:rFonts w:ascii="Times New Roman" w:hAnsi="Times New Roman"/>
      <w:b/>
      <w:kern w:val="0"/>
      <w:sz w:val="20"/>
    </w:rPr>
  </w:style>
  <w:style w:type="paragraph" w:customStyle="1" w:styleId="EndNoteBibliographyTitle">
    <w:name w:val="EndNote Bibliography Title"/>
    <w:basedOn w:val="Normal"/>
    <w:link w:val="EndNoteBibliographyTitleChar"/>
    <w:rsid w:val="009C46AF"/>
    <w:pPr>
      <w:jc w:val="center"/>
    </w:pPr>
    <w:rPr>
      <w:noProof/>
    </w:rPr>
  </w:style>
  <w:style w:type="character" w:customStyle="1" w:styleId="ParagraphChar">
    <w:name w:val="Paragraph Char"/>
    <w:basedOn w:val="DefaultParagraphFont"/>
    <w:link w:val="Paragraph"/>
    <w:rsid w:val="009C46AF"/>
    <w:rPr>
      <w:rFonts w:ascii="Times New Roman" w:eastAsia="Times New Roman" w:hAnsi="Times New Roman" w:cs="Times New Roman"/>
      <w:kern w:val="0"/>
      <w:sz w:val="20"/>
      <w:szCs w:val="20"/>
      <w:lang w:val="en-US"/>
    </w:rPr>
  </w:style>
  <w:style w:type="character" w:customStyle="1" w:styleId="EndNoteBibliographyTitleChar">
    <w:name w:val="EndNote Bibliography Title Char"/>
    <w:basedOn w:val="ParagraphChar"/>
    <w:link w:val="EndNoteBibliographyTitle"/>
    <w:rsid w:val="009C46AF"/>
    <w:rPr>
      <w:rFonts w:ascii="Times New Roman" w:eastAsia="Times New Roman" w:hAnsi="Times New Roman" w:cs="Times New Roman"/>
      <w:noProof/>
      <w:kern w:val="0"/>
      <w:sz w:val="20"/>
      <w:szCs w:val="20"/>
      <w:lang w:val="en-US"/>
    </w:rPr>
  </w:style>
  <w:style w:type="paragraph" w:customStyle="1" w:styleId="EndNoteBibliography">
    <w:name w:val="EndNote Bibliography"/>
    <w:basedOn w:val="Normal"/>
    <w:link w:val="EndNoteBibliographyChar"/>
    <w:rsid w:val="009C46AF"/>
    <w:rPr>
      <w:noProof/>
    </w:rPr>
  </w:style>
  <w:style w:type="character" w:customStyle="1" w:styleId="EndNoteBibliographyChar">
    <w:name w:val="EndNote Bibliography Char"/>
    <w:basedOn w:val="ParagraphChar"/>
    <w:link w:val="EndNoteBibliography"/>
    <w:rsid w:val="009C46AF"/>
    <w:rPr>
      <w:rFonts w:ascii="Times New Roman" w:eastAsia="Times New Roman" w:hAnsi="Times New Roman" w:cs="Times New Roman"/>
      <w:noProof/>
      <w:kern w:val="0"/>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tangsmahabella@umm.ac.id"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hakermy1234@gmail.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ohamadibnu475@gmail.com" TargetMode="External"/><Relationship Id="rId11" Type="http://schemas.openxmlformats.org/officeDocument/2006/relationships/package" Target="embeddings/Microsoft_Visio_Drawing.vsdx"/><Relationship Id="rId5" Type="http://schemas.openxmlformats.org/officeDocument/2006/relationships/hyperlink" Target="mailto:abduh@umm.ac.id" TargetMode="External"/><Relationship Id="rId15" Type="http://schemas.openxmlformats.org/officeDocument/2006/relationships/image" Target="media/image5.png"/><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zamseptiropa@umm.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gZvBP3NOwMKAjQiOkaXnLWGfw==">CgMxLjAaJQoBMBIgCh4IB0IaCg9UaW1lcyBOZXcgUm9tYW4SB0d1bmdzdWgyCGguZ2pkZ3hzOAByITE5ZklSRFNlT08wMGxrOEFtQ3lxeVQydldpODdXcmZ4MA==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5382</Words>
  <Characters>30679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 Rafika</dc:creator>
  <cp:lastModifiedBy>Andinusa</cp:lastModifiedBy>
  <cp:revision>8</cp:revision>
  <dcterms:created xsi:type="dcterms:W3CDTF">2024-10-04T13:27:00Z</dcterms:created>
  <dcterms:modified xsi:type="dcterms:W3CDTF">2024-11-08T08:13:00Z</dcterms:modified>
</cp:coreProperties>
</file>