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7E74301B" w:rsidR="00EA50A7" w:rsidRPr="005C4D11" w:rsidRDefault="00935C90" w:rsidP="00784F94">
      <w:pPr>
        <w:pStyle w:val="PaperTitle"/>
        <w:rPr>
          <w:sz w:val="24"/>
          <w:szCs w:val="24"/>
        </w:rPr>
      </w:pPr>
      <w:r w:rsidRPr="00935C90">
        <w:t>Integrated Inventory Model for Single Producer and Multi Buyers to Determine the Optimal Production Quantity</w:t>
      </w:r>
    </w:p>
    <w:p w14:paraId="50BF688B" w14:textId="1D7C67E5" w:rsidR="00EA50A7" w:rsidRPr="00F350C5" w:rsidRDefault="00615E23" w:rsidP="00784F94">
      <w:pPr>
        <w:pStyle w:val="AuthorName"/>
        <w:rPr>
          <w:b/>
          <w:szCs w:val="28"/>
        </w:rPr>
      </w:pPr>
      <w:r w:rsidRPr="00615E23">
        <w:rPr>
          <w:lang w:val="id-ID"/>
        </w:rPr>
        <w:t>Ilyas Masudin</w:t>
      </w:r>
      <w:r w:rsidR="005C2B16">
        <w:rPr>
          <w:vertAlign w:val="superscript"/>
        </w:rPr>
        <w:t>a</w:t>
      </w:r>
      <w:r w:rsidR="00EA50A7">
        <w:rPr>
          <w:vertAlign w:val="superscript"/>
        </w:rPr>
        <w:t>)</w:t>
      </w:r>
      <w:r w:rsidR="00EA50A7" w:rsidRPr="00F350C5">
        <w:t xml:space="preserve">, </w:t>
      </w:r>
      <w:r w:rsidRPr="00615E23">
        <w:t>Moh. Ifkar Awallilhad</w:t>
      </w:r>
      <w:r w:rsidR="005C2B16">
        <w:rPr>
          <w:vertAlign w:val="superscript"/>
        </w:rPr>
        <w:t>b</w:t>
      </w:r>
      <w:r w:rsidR="00DA6D7D" w:rsidRPr="00DA6D7D">
        <w:rPr>
          <w:vertAlign w:val="superscript"/>
        </w:rPr>
        <w:t>)</w:t>
      </w:r>
      <w:r w:rsidR="00EA50A7" w:rsidRPr="00F350C5">
        <w:t xml:space="preserve">, </w:t>
      </w:r>
      <w:r w:rsidR="00CF7753">
        <w:t xml:space="preserve">and </w:t>
      </w:r>
      <w:r>
        <w:t>Dian Palupi Restuputri</w:t>
      </w:r>
      <w:r w:rsidR="00300407">
        <w:rPr>
          <w:vertAlign w:val="superscript"/>
        </w:rPr>
        <w:t>c</w:t>
      </w:r>
      <w:r w:rsidR="00C4673B">
        <w:rPr>
          <w:vertAlign w:val="superscript"/>
        </w:rPr>
        <w:t>)</w:t>
      </w:r>
    </w:p>
    <w:p w14:paraId="61FB8619" w14:textId="6BA66EB8" w:rsidR="00B6146E" w:rsidRPr="00B6146E" w:rsidRDefault="00615E23" w:rsidP="00615E23">
      <w:pPr>
        <w:pStyle w:val="AuthorAffiliation"/>
      </w:pPr>
      <w:r>
        <w:rPr>
          <w:rFonts w:asciiTheme="majorBidi" w:hAnsiTheme="majorBidi" w:cstheme="majorBidi"/>
          <w:bCs/>
          <w:lang w:val="en-GB"/>
        </w:rPr>
        <w:t>Industrial Engineering,</w:t>
      </w:r>
      <w:r w:rsidRPr="009430D6">
        <w:rPr>
          <w:rFonts w:asciiTheme="majorBidi" w:hAnsiTheme="majorBidi" w:cstheme="majorBidi"/>
          <w:bCs/>
        </w:rPr>
        <w:t xml:space="preserve"> Universitas Muhammadiyah Malang</w:t>
      </w:r>
      <w:r>
        <w:rPr>
          <w:rFonts w:asciiTheme="majorBidi" w:hAnsiTheme="majorBidi" w:cstheme="majorBidi"/>
          <w:bCs/>
        </w:rPr>
        <w:t>, Malang, Indonesia</w:t>
      </w:r>
    </w:p>
    <w:p w14:paraId="2F3BAB1C" w14:textId="77777777" w:rsidR="005649A6" w:rsidRPr="002E09EC" w:rsidRDefault="005649A6" w:rsidP="005649A6">
      <w:pPr>
        <w:pStyle w:val="AuthorAffiliation"/>
      </w:pPr>
    </w:p>
    <w:p w14:paraId="43014103" w14:textId="31EF3F50" w:rsidR="00EA50A7" w:rsidRPr="002E09EC" w:rsidRDefault="005C2B16" w:rsidP="005649A6">
      <w:pPr>
        <w:pStyle w:val="AuthorEmail"/>
        <w:rPr>
          <w:shd w:val="clear" w:color="auto" w:fill="FFFFFF"/>
        </w:rPr>
      </w:pPr>
      <w:r>
        <w:rPr>
          <w:shd w:val="clear" w:color="auto" w:fill="FFFFFF"/>
          <w:vertAlign w:val="superscript"/>
        </w:rPr>
        <w:t>a)</w:t>
      </w:r>
      <w:r w:rsidR="00E75DBF">
        <w:rPr>
          <w:shd w:val="clear" w:color="auto" w:fill="FFFFFF"/>
          <w:vertAlign w:val="superscript"/>
        </w:rPr>
        <w:t xml:space="preserve"> </w:t>
      </w:r>
      <w:r w:rsidR="00EA50A7" w:rsidRPr="002E09EC">
        <w:rPr>
          <w:shd w:val="clear" w:color="auto" w:fill="FFFFFF"/>
          <w:lang w:val="id-ID"/>
        </w:rPr>
        <w:t xml:space="preserve">Corresponding author: </w:t>
      </w:r>
      <w:hyperlink r:id="rId6" w:history="1">
        <w:r w:rsidR="00615E23" w:rsidRPr="00E75DBF">
          <w:t>masudin@umm.ac.id</w:t>
        </w:r>
      </w:hyperlink>
    </w:p>
    <w:p w14:paraId="6E88952D" w14:textId="76A00F44" w:rsidR="00EA50A7" w:rsidRDefault="005C2B16" w:rsidP="005649A6">
      <w:pPr>
        <w:pStyle w:val="AuthorEmail"/>
      </w:pPr>
      <w:r>
        <w:rPr>
          <w:vertAlign w:val="superscript"/>
        </w:rPr>
        <w:t>b)</w:t>
      </w:r>
      <w:r w:rsidR="00E75DBF">
        <w:rPr>
          <w:vertAlign w:val="superscript"/>
        </w:rPr>
        <w:t xml:space="preserve"> </w:t>
      </w:r>
      <w:hyperlink r:id="rId7" w:history="1">
        <w:r w:rsidR="00615E23" w:rsidRPr="00E75DBF">
          <w:t>ifkar170@gmail.com</w:t>
        </w:r>
      </w:hyperlink>
      <w:r w:rsidR="00615E23">
        <w:t xml:space="preserve"> </w:t>
      </w:r>
    </w:p>
    <w:p w14:paraId="2BCC3E37" w14:textId="425CA12D" w:rsidR="00300407" w:rsidRPr="005C4D11" w:rsidRDefault="00300407" w:rsidP="005649A6">
      <w:pPr>
        <w:pStyle w:val="AuthorEmail"/>
        <w:rPr>
          <w:sz w:val="24"/>
          <w:szCs w:val="24"/>
        </w:rPr>
      </w:pPr>
      <w:r>
        <w:rPr>
          <w:vertAlign w:val="superscript"/>
        </w:rPr>
        <w:t>c)</w:t>
      </w:r>
      <w:r w:rsidR="00E75DBF">
        <w:rPr>
          <w:vertAlign w:val="superscript"/>
        </w:rPr>
        <w:t xml:space="preserve"> </w:t>
      </w:r>
      <w:hyperlink r:id="rId8" w:history="1">
        <w:r w:rsidR="00615E23" w:rsidRPr="00E75DBF">
          <w:t>restuputri@umm.ac.id</w:t>
        </w:r>
      </w:hyperlink>
      <w:r w:rsidR="00615E23">
        <w:t xml:space="preserve"> </w:t>
      </w:r>
    </w:p>
    <w:p w14:paraId="128B343A" w14:textId="63834806" w:rsidR="00CA3BBC" w:rsidRPr="00CA3BBC" w:rsidRDefault="00EA50A7" w:rsidP="00CA3BBC">
      <w:pPr>
        <w:pStyle w:val="Abstract"/>
        <w:rPr>
          <w:color w:val="333333"/>
          <w:szCs w:val="18"/>
        </w:rPr>
      </w:pPr>
      <w:r w:rsidRPr="002E09EC">
        <w:rPr>
          <w:b/>
        </w:rPr>
        <w:t>Abstract</w:t>
      </w:r>
      <w:r w:rsidR="00784F94">
        <w:rPr>
          <w:b/>
        </w:rPr>
        <w:t xml:space="preserve">. </w:t>
      </w:r>
      <w:r w:rsidR="00935C90" w:rsidRPr="00935C90">
        <w:rPr>
          <w:rStyle w:val="Emphasis"/>
          <w:szCs w:val="18"/>
        </w:rPr>
        <w:t>An integrated inventory model for determining production quantity can yield optimal outcomes for stakeholders within the supply chain network. This study develops a supply chain network model involving one manufacturer and two buyers, aimed at minimizing inventory costs. The manufacturer alternately delivers products to each buyer, who then sells them in the market until they reach the final consumers. The annual demand for each buyer is assumed to be identical, as is their inventory cycle time. The optimal production quantity for the manufacturer in a single production cycle is determined using a straightforward algorithm. Numerical examples are employed to test the modified algorithm. The experimental results indicate a delivery frequency of nine times per production cycle, with an optimal production quantity of 1,565 units per cycle. The optimal quantity per delivery to each buyer is 174 units, resulting in a minimum total inventory costs in the one-manufacturer-two-buyers inventory model.</w:t>
      </w:r>
      <w:r w:rsidR="00935C90">
        <w:rPr>
          <w:rStyle w:val="Emphasis"/>
          <w:szCs w:val="18"/>
        </w:rPr>
        <w:t xml:space="preserve"> </w:t>
      </w:r>
    </w:p>
    <w:p w14:paraId="282ACB97" w14:textId="0D1ECAA6" w:rsidR="00EA50A7" w:rsidRDefault="00EA50A7" w:rsidP="00784F94">
      <w:pPr>
        <w:pStyle w:val="Abstract"/>
      </w:pPr>
      <w:r w:rsidRPr="002E09EC">
        <w:rPr>
          <w:b/>
        </w:rPr>
        <w:t xml:space="preserve">Keywords: </w:t>
      </w:r>
      <w:r w:rsidR="00DB714D" w:rsidRPr="00DB714D">
        <w:t xml:space="preserve">Integrated inventory model, Single producer, </w:t>
      </w:r>
      <w:r w:rsidR="00A147CC">
        <w:t>M</w:t>
      </w:r>
      <w:r w:rsidR="00DB714D" w:rsidRPr="00DB714D">
        <w:t>ulti buyer, EPQ</w:t>
      </w:r>
      <w:r w:rsidR="00DB714D">
        <w:t xml:space="preserve"> </w:t>
      </w:r>
    </w:p>
    <w:p w14:paraId="0CD11642" w14:textId="11C772BC" w:rsidR="00EA50A7" w:rsidRPr="00784F94" w:rsidRDefault="00EA50A7" w:rsidP="00784F94">
      <w:pPr>
        <w:pStyle w:val="Heading1"/>
      </w:pPr>
      <w:r w:rsidRPr="00784F94">
        <w:t>INTRODUCTION</w:t>
      </w:r>
    </w:p>
    <w:p w14:paraId="4E6388DB" w14:textId="7D14F741" w:rsidR="00DB714D" w:rsidRPr="00E75DBF" w:rsidRDefault="00DB714D" w:rsidP="00DB714D">
      <w:pPr>
        <w:pStyle w:val="Paragraph"/>
        <w:rPr>
          <w:rStyle w:val="Emphasis"/>
        </w:rPr>
      </w:pPr>
      <w:r w:rsidRPr="00E75DBF">
        <w:rPr>
          <w:rStyle w:val="Emphasis"/>
        </w:rPr>
        <w:t xml:space="preserve">Inventory management is a critical aspect of supply chain operations, as it directly impacts production efficiency, cost reduction, and customer satisfaction. In a competitive market environment, businesses strive to optimize their inventory levels to balance production and demand while minimizing holding and shortage costs. Integrated inventory models have gained attention as they offer a collaborative approach, enabling producers and buyers to align their strategies for mutual benefit. Specifically, models that involve one producer and multiple buyers are crucial for understanding the dynamics of multi-echelon supply chains, where coordination between parties can lead to significant cost savings and improved service levels </w:t>
      </w:r>
      <w:r w:rsidR="004F481F" w:rsidRPr="00E75DBF">
        <w:rPr>
          <w:rStyle w:val="Emphasis"/>
        </w:rPr>
        <w:fldChar w:fldCharType="begin"/>
      </w:r>
      <w:r w:rsidR="004F481F" w:rsidRPr="00E75DBF">
        <w:rPr>
          <w:rStyle w:val="Emphasis"/>
        </w:rPr>
        <w:instrText xml:space="preserve"> ADDIN EN.CITE &lt;EndNote&gt;&lt;Cite&gt;&lt;Author&gt;Liu&lt;/Author&gt;&lt;Year&gt;2022&lt;/Year&gt;&lt;RecNum&gt;1&lt;/RecNum&gt;&lt;DisplayText&gt;[1]&lt;/DisplayText&gt;&lt;record&gt;&lt;rec-number&gt;1&lt;/rec-number&gt;&lt;foreign-keys&gt;&lt;key app="EN" db-id="t9e25azaiapx9vev0rkxazfl2dar5xra0s0f" timestamp="1727955138"&gt;1&lt;/key&gt;&lt;/foreign-keys&gt;&lt;ref-type name="Journal Article"&gt;17&lt;/ref-type&gt;&lt;contributors&gt;&lt;authors&gt;&lt;author&gt;Liu, Peide&lt;/author&gt;&lt;author&gt;Hendalianpour, Ayad&lt;/author&gt;&lt;author&gt;Hamzehlou, Mohammad&lt;/author&gt;&lt;author&gt;Feylizadeh, Mohammadreza&lt;/author&gt;&lt;/authors&gt;&lt;/contributors&gt;&lt;titles&gt;&lt;title&gt;Cost reduction of inventory-production-system in multi-echelon supply chain using game theory and fuzzy demand forecasting&lt;/title&gt;&lt;secondary-title&gt;International journal of fuzzy systems&lt;/secondary-title&gt;&lt;/titles&gt;&lt;periodical&gt;&lt;full-title&gt;International journal of fuzzy systems&lt;/full-title&gt;&lt;/periodical&gt;&lt;pages&gt;1793-1813&lt;/pages&gt;&lt;volume&gt;24&lt;/volume&gt;&lt;number&gt;4&lt;/number&gt;&lt;dates&gt;&lt;year&gt;2022&lt;/year&gt;&lt;/dates&gt;&lt;publisher&gt;Springer&lt;/publisher&gt;&lt;isbn&gt;1562-2479&lt;/isbn&gt;&lt;urls&gt;&lt;/urls&gt;&lt;/record&gt;&lt;/Cite&gt;&lt;/EndNote&gt;</w:instrText>
      </w:r>
      <w:r w:rsidR="004F481F" w:rsidRPr="00E75DBF">
        <w:rPr>
          <w:rStyle w:val="Emphasis"/>
        </w:rPr>
        <w:fldChar w:fldCharType="separate"/>
      </w:r>
      <w:r w:rsidR="004F481F" w:rsidRPr="00E75DBF">
        <w:rPr>
          <w:rStyle w:val="Emphasis"/>
        </w:rPr>
        <w:t>[1]</w:t>
      </w:r>
      <w:r w:rsidR="004F481F" w:rsidRPr="00E75DBF">
        <w:rPr>
          <w:rStyle w:val="Emphasis"/>
        </w:rPr>
        <w:fldChar w:fldCharType="end"/>
      </w:r>
      <w:r w:rsidRPr="00E75DBF">
        <w:rPr>
          <w:rStyle w:val="Emphasis"/>
        </w:rPr>
        <w:fldChar w:fldCharType="begin"/>
      </w:r>
      <w:r w:rsidRPr="00E75DBF">
        <w:rPr>
          <w:rStyle w:val="Emphasis"/>
        </w:rPr>
        <w:fldChar w:fldCharType="separate"/>
      </w:r>
      <w:r w:rsidRPr="00E75DBF">
        <w:rPr>
          <w:rStyle w:val="Emphasis"/>
        </w:rPr>
        <w:t>{Liu, 2022 #97}</w:t>
      </w:r>
      <w:r w:rsidRPr="00E75DBF">
        <w:rPr>
          <w:rStyle w:val="Emphasis"/>
        </w:rPr>
        <w:fldChar w:fldCharType="end"/>
      </w:r>
      <w:r w:rsidRPr="00E75DBF">
        <w:rPr>
          <w:rStyle w:val="Emphasis"/>
        </w:rPr>
        <w:fldChar w:fldCharType="begin"/>
      </w:r>
      <w:r w:rsidRPr="00E75DBF">
        <w:rPr>
          <w:rStyle w:val="Emphasis"/>
        </w:rPr>
        <w:fldChar w:fldCharType="separate"/>
      </w:r>
      <w:r w:rsidRPr="00E75DBF">
        <w:rPr>
          <w:rStyle w:val="Emphasis"/>
        </w:rPr>
        <w:t>{Liu, 2022 #237}</w:t>
      </w:r>
      <w:r w:rsidRPr="00E75DBF">
        <w:rPr>
          <w:rStyle w:val="Emphasis"/>
        </w:rPr>
        <w:fldChar w:fldCharType="end"/>
      </w:r>
      <w:r w:rsidRPr="00E75DBF">
        <w:rPr>
          <w:rStyle w:val="Emphasis"/>
        </w:rPr>
        <w:fldChar w:fldCharType="begin"/>
      </w:r>
      <w:r w:rsidRPr="00E75DBF">
        <w:rPr>
          <w:rStyle w:val="Emphasis"/>
        </w:rPr>
        <w:fldChar w:fldCharType="separate"/>
      </w:r>
      <w:r w:rsidRPr="00E75DBF">
        <w:rPr>
          <w:rStyle w:val="Emphasis"/>
        </w:rPr>
        <w:t>{Liu, 2022 #237}</w:t>
      </w:r>
      <w:r w:rsidRPr="00E75DBF">
        <w:rPr>
          <w:rStyle w:val="Emphasis"/>
        </w:rPr>
        <w:fldChar w:fldCharType="end"/>
      </w:r>
      <w:r w:rsidRPr="00E75DBF">
        <w:rPr>
          <w:rStyle w:val="Emphasis"/>
        </w:rPr>
        <w:fldChar w:fldCharType="begin"/>
      </w:r>
      <w:r w:rsidRPr="00E75DBF">
        <w:rPr>
          <w:rStyle w:val="Emphasis"/>
        </w:rPr>
        <w:fldChar w:fldCharType="separate"/>
      </w:r>
      <w:r w:rsidRPr="00E75DBF">
        <w:rPr>
          <w:rStyle w:val="Emphasis"/>
        </w:rPr>
        <w:t>{Liu, 2022 #97}</w:t>
      </w:r>
      <w:r w:rsidRPr="00E75DBF">
        <w:rPr>
          <w:rStyle w:val="Emphasis"/>
        </w:rPr>
        <w:fldChar w:fldCharType="end"/>
      </w:r>
      <w:r w:rsidRPr="00E75DBF">
        <w:rPr>
          <w:rStyle w:val="Emphasis"/>
        </w:rPr>
        <w:t>.The focus of this study is on an integrated inventory model involving one producer and two buyers, aiming to determine the optimal production quantity that meets demand while minimizing total supply chain costs.</w:t>
      </w:r>
    </w:p>
    <w:p w14:paraId="5B862814" w14:textId="3EDB9D75" w:rsidR="00DB714D" w:rsidRPr="00C4673B" w:rsidRDefault="00DB714D" w:rsidP="00DB714D">
      <w:pPr>
        <w:pStyle w:val="Paragraph"/>
        <w:rPr>
          <w:rStyle w:val="Emphasis"/>
        </w:rPr>
      </w:pPr>
      <w:r w:rsidRPr="00C4673B">
        <w:rPr>
          <w:rStyle w:val="Emphasis"/>
        </w:rPr>
        <w:t xml:space="preserve">Previous studies have extensively explored integrated inventory models, highlighting various approaches to optimize production and inventory decisions. For instance, </w:t>
      </w:r>
      <w:r w:rsidR="004F481F">
        <w:rPr>
          <w:rStyle w:val="Emphasis"/>
        </w:rPr>
        <w:t xml:space="preserve">Jauhari </w:t>
      </w:r>
      <w:r w:rsidR="004F481F">
        <w:rPr>
          <w:rStyle w:val="Emphasis"/>
        </w:rPr>
        <w:fldChar w:fldCharType="begin"/>
      </w:r>
      <w:r w:rsidR="004F481F">
        <w:rPr>
          <w:rStyle w:val="Emphasis"/>
        </w:rPr>
        <w:instrText xml:space="preserve"> ADDIN EN.CITE &lt;EndNote&gt;&lt;Cite&gt;&lt;Author&gt;Jauhari&lt;/Author&gt;&lt;Year&gt;2014&lt;/Year&gt;&lt;RecNum&gt;2&lt;/RecNum&gt;&lt;DisplayText&gt;[2]&lt;/DisplayText&gt;&lt;record&gt;&lt;rec-number&gt;2&lt;/rec-number&gt;&lt;foreign-keys&gt;&lt;key app="EN" db-id="t9e25azaiapx9vev0rkxazfl2dar5xra0s0f" timestamp="1727955167"&gt;2&lt;/key&gt;&lt;/foreign-keys&gt;&lt;ref-type name="Journal Article"&gt;17&lt;/ref-type&gt;&lt;contributors&gt;&lt;authors&gt;&lt;author&gt;Jauhari, Wakhid Ahmad&lt;/author&gt;&lt;/authors&gt;&lt;/contributors&gt;&lt;titles&gt;&lt;title&gt;Integrated inventory model for single-vendor single-buyer with imperfect production process&lt;/title&gt;&lt;secondary-title&gt;International Journal of Operational Research&lt;/secondary-title&gt;&lt;/titles&gt;&lt;periodical&gt;&lt;full-title&gt;International Journal of Operational Research&lt;/full-title&gt;&lt;/periodical&gt;&lt;pages&gt;283-300&lt;/pages&gt;&lt;volume&gt;20&lt;/volume&gt;&lt;number&gt;3&lt;/number&gt;&lt;dates&gt;&lt;year&gt;2014&lt;/year&gt;&lt;/dates&gt;&lt;publisher&gt;Inderscience Publishers Ltd&lt;/publisher&gt;&lt;isbn&gt;1745-7645&lt;/isbn&gt;&lt;urls&gt;&lt;/urls&gt;&lt;/record&gt;&lt;/Cite&gt;&lt;/EndNote&gt;</w:instrText>
      </w:r>
      <w:r w:rsidR="004F481F">
        <w:rPr>
          <w:rStyle w:val="Emphasis"/>
        </w:rPr>
        <w:fldChar w:fldCharType="separate"/>
      </w:r>
      <w:r w:rsidR="004F481F">
        <w:rPr>
          <w:rStyle w:val="Emphasis"/>
          <w:noProof/>
        </w:rPr>
        <w:t>[2]</w:t>
      </w:r>
      <w:r w:rsidR="004F481F">
        <w:rPr>
          <w:rStyle w:val="Emphasis"/>
        </w:rPr>
        <w:fldChar w:fldCharType="end"/>
      </w:r>
      <w:r w:rsidR="004F481F">
        <w:rPr>
          <w:rStyle w:val="Emphasis"/>
        </w:rPr>
        <w:t xml:space="preserve"> </w:t>
      </w:r>
      <w:r w:rsidRPr="00C4673B">
        <w:rPr>
          <w:rStyle w:val="Emphasis"/>
        </w:rPr>
        <w:t xml:space="preserve">developed an economic production quantity (EPQ) model that integrates the buyer-supplier relationship to minimize total costs across the supply chain. Similarly, </w:t>
      </w:r>
      <w:r w:rsidRPr="00C4673B">
        <w:rPr>
          <w:rStyle w:val="Emphasis"/>
        </w:rPr>
        <w:fldChar w:fldCharType="begin"/>
      </w:r>
      <w:r w:rsidR="004F481F">
        <w:rPr>
          <w:rStyle w:val="Emphasis"/>
        </w:rPr>
        <w:instrText xml:space="preserve"> ADDIN EN.CITE &lt;EndNote&gt;&lt;Cite AuthorYear="1"&gt;&lt;Author&gt;Jauhari&lt;/Author&gt;&lt;Year&gt;2014&lt;/Year&gt;&lt;RecNum&gt;3&lt;/RecNum&gt;&lt;DisplayText&gt;Jauhari and Pujawan [3]&lt;/DisplayText&gt;&lt;record&gt;&lt;rec-number&gt;3&lt;/rec-number&gt;&lt;foreign-keys&gt;&lt;key app="EN" db-id="t9e25azaiapx9vev0rkxazfl2dar5xra0s0f" timestamp="1727955198"&gt;3&lt;/key&gt;&lt;/foreign-keys&gt;&lt;ref-type name="Journal Article"&gt;17&lt;/ref-type&gt;&lt;contributors&gt;&lt;authors&gt;&lt;author&gt;Jauhari, Wakhid Ahmad&lt;/author&gt;&lt;author&gt;Pujawan, I. Nyoman&lt;/author&gt;&lt;/authors&gt;&lt;/contributors&gt;&lt;titles&gt;&lt;title&gt;Joint economic lot size (JELS) model for single-vendor single-buyer with variable production rate and partial backorder&lt;/title&gt;&lt;secondary-title&gt;International Journal of Operational Research&lt;/secondary-title&gt;&lt;/titles&gt;&lt;periodical&gt;&lt;full-title&gt;International Journal of Operational Research&lt;/full-title&gt;&lt;/periodical&gt;&lt;pages&gt;91-108&lt;/pages&gt;&lt;volume&gt;20&lt;/volume&gt;&lt;number&gt;1&lt;/number&gt;&lt;dates&gt;&lt;year&gt;2014&lt;/year&gt;&lt;/dates&gt;&lt;publisher&gt;Inderscience Publishers Ltd&lt;/publisher&gt;&lt;isbn&gt;1745-7645&lt;/isbn&gt;&lt;urls&gt;&lt;/urls&gt;&lt;/record&gt;&lt;/Cite&gt;&lt;/EndNote&gt;</w:instrText>
      </w:r>
      <w:r w:rsidRPr="00C4673B">
        <w:rPr>
          <w:rStyle w:val="Emphasis"/>
        </w:rPr>
        <w:fldChar w:fldCharType="separate"/>
      </w:r>
      <w:r w:rsidR="004F481F">
        <w:rPr>
          <w:rStyle w:val="Emphasis"/>
          <w:noProof/>
        </w:rPr>
        <w:t>Jauhari and Pujawan [3]</w:t>
      </w:r>
      <w:r w:rsidRPr="00C4673B">
        <w:rPr>
          <w:rStyle w:val="Emphasis"/>
        </w:rPr>
        <w:fldChar w:fldCharType="end"/>
      </w:r>
      <w:r w:rsidRPr="00C4673B">
        <w:rPr>
          <w:rStyle w:val="Emphasis"/>
        </w:rPr>
        <w:t xml:space="preserve"> introduced a joint economic lot size model that coordinates the production and ordering policies between a single producer and a single buyer. These foundational works laid the groundwork for further research into more complex models that involve multiple buyers and more intricate supply chain relationships.</w:t>
      </w:r>
    </w:p>
    <w:p w14:paraId="44BC5E08" w14:textId="1B78D9E8" w:rsidR="00DB714D" w:rsidRPr="00C4673B" w:rsidRDefault="00DB714D" w:rsidP="00DB714D">
      <w:pPr>
        <w:pStyle w:val="Paragraph"/>
        <w:rPr>
          <w:rStyle w:val="Emphasis"/>
        </w:rPr>
      </w:pPr>
      <w:r w:rsidRPr="00C4673B">
        <w:rPr>
          <w:rStyle w:val="Emphasis"/>
        </w:rPr>
        <w:t xml:space="preserve">In recent years, researchers have expanded on these earlier models by incorporating more realistic assumptions and constraints. </w:t>
      </w:r>
      <w:r w:rsidRPr="00C4673B">
        <w:rPr>
          <w:rStyle w:val="Emphasis"/>
        </w:rPr>
        <w:fldChar w:fldCharType="begin"/>
      </w:r>
      <w:r w:rsidR="004F481F">
        <w:rPr>
          <w:rStyle w:val="Emphasis"/>
        </w:rPr>
        <w:instrText xml:space="preserve"> ADDIN EN.CITE &lt;EndNote&gt;&lt;Cite AuthorYear="1"&gt;&lt;Author&gt;Sarker&lt;/Author&gt;&lt;Year&gt;2016&lt;/Year&gt;&lt;RecNum&gt;100&lt;/RecNum&gt;&lt;DisplayText&gt;Sarker and Wu [4]&lt;/DisplayText&gt;&lt;record&gt;&lt;rec-number&gt;100&lt;/rec-number&gt;&lt;foreign-keys&gt;&lt;key app="EN" db-id="0xdfzszdm90frmeaddtvxvxaw29p5wz2pv9z" timestamp="1723936845"&gt;100&lt;/key&gt;&lt;/foreign-keys&gt;&lt;ref-type name="Journal Article"&gt;17&lt;/ref-type&gt;&lt;contributors&gt;&lt;authors&gt;&lt;author&gt;Sarker, Bhaba R.&lt;/author&gt;&lt;author&gt;Wu, Bingqing&lt;/author&gt;&lt;/authors&gt;&lt;/contributors&gt;&lt;titles&gt;&lt;title&gt;Optimal models for a single-producer multi-buyer integrated system of deteriorating items with raw materials storage costs&lt;/title&gt;&lt;secondary-title&gt;The International Journal of Advanced Manufacturing Technology&lt;/secondary-title&gt;&lt;/titles&gt;&lt;periodical&gt;&lt;full-title&gt;The International Journal of Advanced Manufacturing Technology&lt;/full-title&gt;&lt;/periodical&gt;&lt;pages&gt;49-63&lt;/pages&gt;&lt;volume&gt;82&lt;/volume&gt;&lt;number&gt;1&lt;/number&gt;&lt;dates&gt;&lt;year&gt;2016&lt;/year&gt;&lt;pub-dates&gt;&lt;date&gt;2016/01/01&lt;/date&gt;&lt;/pub-dates&gt;&lt;/dates&gt;&lt;isbn&gt;1433-3015&lt;/isbn&gt;&lt;urls&gt;&lt;related-urls&gt;&lt;url&gt;https://doi.org/10.1007/s00170-015-7340-7&lt;/url&gt;&lt;/related-urls&gt;&lt;/urls&gt;&lt;electronic-resource-num&gt;10.1007/s00170-015-7340-7&lt;/electronic-resource-num&gt;&lt;/record&gt;&lt;/Cite&gt;&lt;/EndNote&gt;</w:instrText>
      </w:r>
      <w:r w:rsidRPr="00C4673B">
        <w:rPr>
          <w:rStyle w:val="Emphasis"/>
        </w:rPr>
        <w:fldChar w:fldCharType="separate"/>
      </w:r>
      <w:r w:rsidR="004F481F">
        <w:rPr>
          <w:rStyle w:val="Emphasis"/>
          <w:noProof/>
        </w:rPr>
        <w:t>Sarker and Wu [4]</w:t>
      </w:r>
      <w:r w:rsidRPr="00C4673B">
        <w:rPr>
          <w:rStyle w:val="Emphasis"/>
        </w:rPr>
        <w:fldChar w:fldCharType="end"/>
      </w:r>
      <w:r w:rsidRPr="00C4673B">
        <w:rPr>
          <w:rStyle w:val="Emphasis"/>
        </w:rPr>
        <w:t xml:space="preserve"> extended the joint economic lot size model to include scenarios where multiple buyers are involved, focusing on how coordination can reduce overall costs in the supply chain. Additionally</w:t>
      </w:r>
      <w:r w:rsidR="00841C92">
        <w:rPr>
          <w:rStyle w:val="Emphasis"/>
        </w:rPr>
        <w:t xml:space="preserve">, </w:t>
      </w:r>
      <w:r w:rsidR="007F2A85">
        <w:rPr>
          <w:rStyle w:val="Emphasis"/>
        </w:rPr>
        <w:t xml:space="preserve">Handayani, et al </w:t>
      </w:r>
      <w:r w:rsidR="00841C92">
        <w:rPr>
          <w:rStyle w:val="Emphasis"/>
        </w:rPr>
        <w:fldChar w:fldCharType="begin"/>
      </w:r>
      <w:r w:rsidR="00841C92">
        <w:rPr>
          <w:rStyle w:val="Emphasis"/>
        </w:rPr>
        <w:instrText xml:space="preserve"> ADDIN EN.CITE &lt;EndNote&gt;&lt;Cite&gt;&lt;Author&gt;Handayani&lt;/Author&gt;&lt;Year&gt;2021&lt;/Year&gt;&lt;RecNum&gt;5&lt;/RecNum&gt;&lt;DisplayText&gt;[5]&lt;/DisplayText&gt;&lt;record&gt;&lt;rec-number&gt;5&lt;/rec-number&gt;&lt;foreign-keys&gt;&lt;key app="EN" db-id="t9e25azaiapx9vev0rkxazfl2dar5xra0s0f" timestamp="1727955260"&gt;5&lt;/key&gt;&lt;/foreign-keys&gt;&lt;ref-type name="Journal Article"&gt;17&lt;/ref-type&gt;&lt;contributors&gt;&lt;authors&gt;&lt;author&gt;Handayani, Dwi Iryaning&lt;/author&gt;&lt;author&gt;Masudin, Ilyas&lt;/author&gt;&lt;author&gt;Rusdiansyah, Ahmad&lt;/author&gt;&lt;author&gt;Suharsono, Judi&lt;/author&gt;&lt;/authors&gt;&lt;/contributors&gt;&lt;titles&gt;&lt;title&gt;Production-distribution model considering traceability and carbon emission: a case study of the Indonesian canned fish food industry&lt;/title&gt;&lt;secondary-title&gt;Logistics&lt;/secondary-title&gt;&lt;/titles&gt;&lt;periodical&gt;&lt;full-title&gt;Logistics&lt;/full-title&gt;&lt;/periodical&gt;&lt;pages&gt;59&lt;/pages&gt;&lt;volume&gt;5&lt;/volume&gt;&lt;number&gt;3&lt;/number&gt;&lt;dates&gt;&lt;year&gt;2021&lt;/year&gt;&lt;/dates&gt;&lt;publisher&gt;MDPI&lt;/publisher&gt;&lt;isbn&gt;2305-6290&lt;/isbn&gt;&lt;urls&gt;&lt;/urls&gt;&lt;/record&gt;&lt;/Cite&gt;&lt;/EndNote&gt;</w:instrText>
      </w:r>
      <w:r w:rsidR="00841C92">
        <w:rPr>
          <w:rStyle w:val="Emphasis"/>
        </w:rPr>
        <w:fldChar w:fldCharType="separate"/>
      </w:r>
      <w:r w:rsidR="00841C92">
        <w:rPr>
          <w:rStyle w:val="Emphasis"/>
          <w:noProof/>
        </w:rPr>
        <w:t>[5]</w:t>
      </w:r>
      <w:r w:rsidR="00841C92">
        <w:rPr>
          <w:rStyle w:val="Emphasis"/>
        </w:rPr>
        <w:fldChar w:fldCharType="end"/>
      </w:r>
      <w:r w:rsidR="00841C92">
        <w:rPr>
          <w:rStyle w:val="Emphasis"/>
        </w:rPr>
        <w:t xml:space="preserve"> </w:t>
      </w:r>
      <w:r w:rsidRPr="00C4673B">
        <w:rPr>
          <w:rStyle w:val="Emphasis"/>
        </w:rPr>
        <w:t xml:space="preserve">and </w:t>
      </w:r>
      <w:r w:rsidRPr="00C4673B">
        <w:rPr>
          <w:rStyle w:val="Emphasis"/>
        </w:rPr>
        <w:fldChar w:fldCharType="begin"/>
      </w:r>
      <w:r w:rsidR="00F72169">
        <w:rPr>
          <w:rStyle w:val="Emphasis"/>
        </w:rPr>
        <w:instrText xml:space="preserve"> ADDIN EN.CITE &lt;EndNote&gt;&lt;Cite AuthorYear="1"&gt;&lt;Author&gt;Yuniarti&lt;/Author&gt;&lt;Year&gt;2023&lt;/Year&gt;&lt;RecNum&gt;6&lt;/RecNum&gt;&lt;DisplayText&gt;Yuniarti, Masudin [6]&lt;/DisplayText&gt;&lt;record&gt;&lt;rec-number&gt;6&lt;/rec-number&gt;&lt;foreign-keys&gt;&lt;key app="EN" db-id="t9e25azaiapx9vev0rkxazfl2dar5xra0s0f" timestamp="1727955293"&gt;6&lt;/key&gt;&lt;/foreign-keys&gt;&lt;ref-type name="Journal Article"&gt;17&lt;/ref-type&gt;&lt;contributors&gt;&lt;authors&gt;&lt;author&gt;Yuniarti, Rahmi&lt;/author&gt;&lt;author&gt;Masudin, Ilyas&lt;/author&gt;&lt;author&gt;Rusdiansyah, Ahmad&lt;/author&gt;&lt;author&gt;Handayani, Dwi Iryaning&lt;/author&gt;&lt;/authors&gt;&lt;/contributors&gt;&lt;titles&gt;&lt;title&gt;Model of multiperiod production-distribution for closed-loop supply chain considering carbon emission and traceability for agri-food products&lt;/title&gt;&lt;secondary-title&gt;International Journal of Industrial Engineering and Operations Management&lt;/secondary-title&gt;&lt;/titles&gt;&lt;periodical&gt;&lt;full-title&gt;International Journal of Industrial Engineering and Operations Management&lt;/full-title&gt;&lt;/periodical&gt;&lt;pages&gt;240-263&lt;/pages&gt;&lt;volume&gt;5&lt;/volume&gt;&lt;number&gt;3&lt;/number&gt;&lt;dates&gt;&lt;year&gt;2023&lt;/year&gt;&lt;/dates&gt;&lt;publisher&gt;Emerald Publishing Limited&lt;/publisher&gt;&lt;isbn&gt;2690-6090&lt;/isbn&gt;&lt;urls&gt;&lt;/urls&gt;&lt;/record&gt;&lt;/Cite&gt;&lt;/EndNote&gt;</w:instrText>
      </w:r>
      <w:r w:rsidRPr="00C4673B">
        <w:rPr>
          <w:rStyle w:val="Emphasis"/>
        </w:rPr>
        <w:fldChar w:fldCharType="separate"/>
      </w:r>
      <w:r w:rsidR="00F72169">
        <w:rPr>
          <w:rStyle w:val="Emphasis"/>
          <w:noProof/>
        </w:rPr>
        <w:t>Yuniarti, Masudin [6]</w:t>
      </w:r>
      <w:r w:rsidRPr="00C4673B">
        <w:rPr>
          <w:rStyle w:val="Emphasis"/>
        </w:rPr>
        <w:fldChar w:fldCharType="end"/>
      </w:r>
      <w:r w:rsidRPr="00C4673B">
        <w:rPr>
          <w:rStyle w:val="Emphasis"/>
        </w:rPr>
        <w:t xml:space="preserve"> explored an integrated production-inventory model for a vendor and multiple buyers, considering issues such as lead time, batch production, and quantity discounts. These studies </w:t>
      </w:r>
      <w:r w:rsidRPr="00C4673B">
        <w:rPr>
          <w:rStyle w:val="Emphasis"/>
        </w:rPr>
        <w:lastRenderedPageBreak/>
        <w:t>underscore the importance of integrating production and inventory decisions in multi-echelon supply chains, yet they also reveal the complexity that arises when multiple buyers are involved.</w:t>
      </w:r>
    </w:p>
    <w:p w14:paraId="09703FC9" w14:textId="77777777" w:rsidR="00DB714D" w:rsidRPr="00C4673B" w:rsidRDefault="00DB714D" w:rsidP="00DB714D">
      <w:pPr>
        <w:pStyle w:val="Paragraph"/>
        <w:rPr>
          <w:rStyle w:val="Emphasis"/>
        </w:rPr>
      </w:pPr>
      <w:r w:rsidRPr="00C4673B">
        <w:rPr>
          <w:rStyle w:val="Emphasis"/>
        </w:rPr>
        <w:t>Despite the advancements in integrated inventory modeling, a research gap remains in the context of models that specifically address the interaction between one producer and two buyers. Most existing models either focus on a single buyer or involve a larger network of buyers without addressing the unique challenges posed by a two-buyer scenario. This study seeks to fill this gap by developing an integrated inventory model that optimizes production quantity in a supply chain consisting of one producer and two buyers. The proposed model provides insights into how such a configuration can be managed effectively to minimize costs and enhance supply chain performance, contributing to the broader understanding of inventory management in multi-echelon supply chains.</w:t>
      </w:r>
    </w:p>
    <w:p w14:paraId="5642AD9B" w14:textId="1C80A28D" w:rsidR="00615E23" w:rsidRDefault="00615E23" w:rsidP="00615E23">
      <w:pPr>
        <w:pStyle w:val="Heading1"/>
      </w:pPr>
      <w:r>
        <w:t>LITERATURE REVIEW</w:t>
      </w:r>
    </w:p>
    <w:p w14:paraId="1CD5B9AF" w14:textId="23E24C43" w:rsidR="00615E23" w:rsidRPr="00C4673B" w:rsidRDefault="00615E23" w:rsidP="00615E23">
      <w:pPr>
        <w:pStyle w:val="Paragraph"/>
        <w:rPr>
          <w:rStyle w:val="Emphasis"/>
        </w:rPr>
      </w:pPr>
      <w:r w:rsidRPr="00C4673B">
        <w:rPr>
          <w:rStyle w:val="Emphasis"/>
        </w:rPr>
        <w:t xml:space="preserve">Raw material inventory management is a crucial element in running a successful business. Research conducted by </w:t>
      </w:r>
      <w:r w:rsidRPr="00C4673B">
        <w:rPr>
          <w:rStyle w:val="Emphasis"/>
        </w:rPr>
        <w:fldChar w:fldCharType="begin"/>
      </w:r>
      <w:r w:rsidR="00F72169">
        <w:rPr>
          <w:rStyle w:val="Emphasis"/>
        </w:rPr>
        <w:instrText xml:space="preserve"> ADDIN EN.CITE &lt;EndNote&gt;&lt;Cite AuthorYear="1"&gt;&lt;Author&gt;Gao&lt;/Author&gt;&lt;Year&gt;2020&lt;/Year&gt;&lt;RecNum&gt;7&lt;/RecNum&gt;&lt;DisplayText&gt;Gao, Chen [7]&lt;/DisplayText&gt;&lt;record&gt;&lt;rec-number&gt;7&lt;/rec-number&gt;&lt;foreign-keys&gt;&lt;key app="EN" db-id="t9e25azaiapx9vev0rkxazfl2dar5xra0s0f" timestamp="1727955321"&gt;7&lt;/key&gt;&lt;/foreign-keys&gt;&lt;ref-type name="Journal Article"&gt;17&lt;/ref-type&gt;&lt;contributors&gt;&lt;authors&gt;&lt;author&gt;Gao, Xiaoling&lt;/author&gt;&lt;author&gt;Chen, Shiyi&lt;/author&gt;&lt;author&gt;Tang, Hongtao&lt;/author&gt;&lt;author&gt;Zhang, Haitao&lt;/author&gt;&lt;/authors&gt;&lt;/contributors&gt;&lt;titles&gt;&lt;title&gt;Study of optimal order policy for a multi-period multi-raw material inventory management problem under carbon emission constraint&lt;/title&gt;&lt;secondary-title&gt;Computers &amp;amp; Industrial Engineering&lt;/secondary-title&gt;&lt;/titles&gt;&lt;periodical&gt;&lt;full-title&gt;Computers &amp;amp; Industrial Engineering&lt;/full-title&gt;&lt;/periodical&gt;&lt;pages&gt;106693&lt;/pages&gt;&lt;volume&gt;148&lt;/volume&gt;&lt;dates&gt;&lt;year&gt;2020&lt;/year&gt;&lt;/dates&gt;&lt;publisher&gt;Elsevier&lt;/publisher&gt;&lt;isbn&gt;0360-8352&lt;/isbn&gt;&lt;urls&gt;&lt;/urls&gt;&lt;/record&gt;&lt;/Cite&gt;&lt;/EndNote&gt;</w:instrText>
      </w:r>
      <w:r w:rsidRPr="00C4673B">
        <w:rPr>
          <w:rStyle w:val="Emphasis"/>
        </w:rPr>
        <w:fldChar w:fldCharType="separate"/>
      </w:r>
      <w:r w:rsidR="00F72169">
        <w:rPr>
          <w:rStyle w:val="Emphasis"/>
          <w:noProof/>
        </w:rPr>
        <w:t>Gao, Chen [7]</w:t>
      </w:r>
      <w:r w:rsidRPr="00C4673B">
        <w:rPr>
          <w:rStyle w:val="Emphasis"/>
        </w:rPr>
        <w:fldChar w:fldCharType="end"/>
      </w:r>
      <w:r w:rsidRPr="00C4673B">
        <w:rPr>
          <w:rStyle w:val="Emphasis"/>
        </w:rPr>
        <w:t xml:space="preserve"> emphasizes the importance of raw material inventory management strategies. They stress that business owners must understand how much raw material is needed in the production process and when is the most appropriate time to reorder. Furthermore, research by </w:t>
      </w:r>
      <w:r w:rsidRPr="00C4673B">
        <w:rPr>
          <w:rStyle w:val="Emphasis"/>
        </w:rPr>
        <w:fldChar w:fldCharType="begin"/>
      </w:r>
      <w:r w:rsidR="00841C92">
        <w:rPr>
          <w:rStyle w:val="Emphasis"/>
        </w:rPr>
        <w:instrText xml:space="preserve"> ADDIN EN.CITE &lt;EndNote&gt;&lt;Cite AuthorYear="1"&gt;&lt;Author&gt;Taleizadeh&lt;/Author&gt;&lt;Year&gt;2017&lt;/Year&gt;&lt;RecNum&gt;103&lt;/RecNum&gt;&lt;DisplayText&gt;Taleizadeh [8]&lt;/DisplayText&gt;&lt;record&gt;&lt;rec-number&gt;103&lt;/rec-number&gt;&lt;foreign-keys&gt;&lt;key app="EN" db-id="0xdfzszdm90frmeaddtvxvxaw29p5wz2pv9z" timestamp="1723937387"&gt;103&lt;/key&gt;&lt;/foreign-keys&gt;&lt;ref-type name="Journal Article"&gt;17&lt;/ref-type&gt;&lt;contributors&gt;&lt;authors&gt;&lt;author&gt;Taleizadeh, Ata Allah&lt;/author&gt;&lt;/authors&gt;&lt;/contributors&gt;&lt;titles&gt;&lt;title&gt;Lot-sizing model with advance payment pricing and disruption in supply under planned partial backordering&lt;/title&gt;&lt;secondary-title&gt;International Transactions in Operational Research&lt;/secondary-title&gt;&lt;/titles&gt;&lt;periodical&gt;&lt;full-title&gt;International Transactions in Operational Research&lt;/full-title&gt;&lt;/periodical&gt;&lt;pages&gt;783-800&lt;/pages&gt;&lt;volume&gt;24&lt;/volume&gt;&lt;number&gt;4&lt;/number&gt;&lt;keywords&gt;&lt;keyword&gt;interruption&lt;/keyword&gt;&lt;keyword&gt;advance payment&lt;/keyword&gt;&lt;keyword&gt;price&lt;/keyword&gt;&lt;keyword&gt;partial backordering&lt;/keyword&gt;&lt;keyword&gt;lot sizing&lt;/keyword&gt;&lt;/keywords&gt;&lt;dates&gt;&lt;year&gt;2017&lt;/year&gt;&lt;pub-dates&gt;&lt;date&gt;2017/07/01&lt;/date&gt;&lt;/pub-dates&gt;&lt;/dates&gt;&lt;publisher&gt;John Wiley &amp;amp; Sons, Ltd&lt;/publisher&gt;&lt;isbn&gt;0969-6016&lt;/isbn&gt;&lt;urls&gt;&lt;related-urls&gt;&lt;url&gt;https://doi.org/10.1111/itor.12297&lt;/url&gt;&lt;/related-urls&gt;&lt;/urls&gt;&lt;electronic-resource-num&gt;https://doi.org/10.1111/itor.12297&lt;/electronic-resource-num&gt;&lt;access-date&gt;2024/08/17&lt;/access-date&gt;&lt;/record&gt;&lt;/Cite&gt;&lt;/EndNote&gt;</w:instrText>
      </w:r>
      <w:r w:rsidRPr="00C4673B">
        <w:rPr>
          <w:rStyle w:val="Emphasis"/>
        </w:rPr>
        <w:fldChar w:fldCharType="separate"/>
      </w:r>
      <w:r w:rsidR="00841C92">
        <w:rPr>
          <w:rStyle w:val="Emphasis"/>
          <w:noProof/>
        </w:rPr>
        <w:t>Taleizadeh [8]</w:t>
      </w:r>
      <w:r w:rsidRPr="00C4673B">
        <w:rPr>
          <w:rStyle w:val="Emphasis"/>
        </w:rPr>
        <w:fldChar w:fldCharType="end"/>
      </w:r>
      <w:r w:rsidRPr="00C4673B">
        <w:rPr>
          <w:rStyle w:val="Emphasis"/>
        </w:rPr>
        <w:t xml:space="preserve"> highlights the aspect of advance payment policies in inventory management. They formulated models that consider important aspects such as demand levels that evolve over time and time-related damage. In the real world, this becomes key in facing inventory management challenges.</w:t>
      </w:r>
    </w:p>
    <w:p w14:paraId="4E41384E" w14:textId="39035366" w:rsidR="00615E23" w:rsidRPr="00C4673B" w:rsidRDefault="00615E23" w:rsidP="00615E23">
      <w:pPr>
        <w:pStyle w:val="Paragraph"/>
        <w:rPr>
          <w:rStyle w:val="Emphasis"/>
        </w:rPr>
      </w:pPr>
      <w:r w:rsidRPr="00C4673B">
        <w:rPr>
          <w:rStyle w:val="Emphasis"/>
        </w:rPr>
        <w:t xml:space="preserve">Research by </w:t>
      </w:r>
      <w:r w:rsidR="004F481F">
        <w:rPr>
          <w:rStyle w:val="Emphasis"/>
        </w:rPr>
        <w:fldChar w:fldCharType="begin"/>
      </w:r>
      <w:r w:rsidR="00841C92">
        <w:rPr>
          <w:rStyle w:val="Emphasis"/>
        </w:rPr>
        <w:instrText xml:space="preserve"> ADDIN EN.CITE &lt;EndNote&gt;&lt;Cite&gt;&lt;Author&gt;Ravinder&lt;/Author&gt;&lt;Year&gt;2014&lt;/Year&gt;&lt;RecNum&gt;9&lt;/RecNum&gt;&lt;DisplayText&gt;[9]&lt;/DisplayText&gt;&lt;record&gt;&lt;rec-number&gt;9&lt;/rec-number&gt;&lt;foreign-keys&gt;&lt;key app="EN" db-id="t9e25azaiapx9vev0rkxazfl2dar5xra0s0f" timestamp="1727955400"&gt;9&lt;/key&gt;&lt;/foreign-keys&gt;&lt;ref-type name="Journal Article"&gt;17&lt;/ref-type&gt;&lt;contributors&gt;&lt;authors&gt;&lt;author&gt;Ravinder, Handanhal&lt;/author&gt;&lt;author&gt;Misra, Ram B.&lt;/author&gt;&lt;/authors&gt;&lt;/contributors&gt;&lt;titles&gt;&lt;title&gt;ABC analysis for inventory management: Bridging the gap between research and classroom&lt;/title&gt;&lt;secondary-title&gt;American journal of business education&lt;/secondary-title&gt;&lt;/titles&gt;&lt;periodical&gt;&lt;full-title&gt;American journal of business education&lt;/full-title&gt;&lt;/periodical&gt;&lt;pages&gt;257-263&lt;/pages&gt;&lt;volume&gt;7&lt;/volume&gt;&lt;number&gt;3&lt;/number&gt;&lt;dates&gt;&lt;year&gt;2014&lt;/year&gt;&lt;/dates&gt;&lt;urls&gt;&lt;/urls&gt;&lt;/record&gt;&lt;/Cite&gt;&lt;/EndNote&gt;</w:instrText>
      </w:r>
      <w:r w:rsidR="004F481F">
        <w:rPr>
          <w:rStyle w:val="Emphasis"/>
        </w:rPr>
        <w:fldChar w:fldCharType="separate"/>
      </w:r>
      <w:r w:rsidR="00841C92">
        <w:rPr>
          <w:rStyle w:val="Emphasis"/>
          <w:noProof/>
        </w:rPr>
        <w:t>[9]</w:t>
      </w:r>
      <w:r w:rsidR="004F481F">
        <w:rPr>
          <w:rStyle w:val="Emphasis"/>
        </w:rPr>
        <w:fldChar w:fldCharType="end"/>
      </w:r>
      <w:r w:rsidRPr="00C4673B">
        <w:rPr>
          <w:rStyle w:val="Emphasis"/>
        </w:rPr>
        <w:t xml:space="preserve"> highlights the role of ABC Analysis in inventory management. The conclusion from this research is that ABC Analysis is an essential tool for classifying inventory based on specific criteria</w:t>
      </w:r>
      <w:r w:rsidR="004F481F">
        <w:rPr>
          <w:rStyle w:val="Emphasis"/>
        </w:rPr>
        <w:t xml:space="preserve"> </w:t>
      </w:r>
      <w:r w:rsidR="004F481F">
        <w:rPr>
          <w:rStyle w:val="Emphasis"/>
        </w:rPr>
        <w:fldChar w:fldCharType="begin"/>
      </w:r>
      <w:r w:rsidR="00841C92">
        <w:rPr>
          <w:rStyle w:val="Emphasis"/>
        </w:rPr>
        <w:instrText xml:space="preserve"> ADDIN EN.CITE &lt;EndNote&gt;&lt;Cite&gt;&lt;Author&gt;Flores&lt;/Author&gt;&lt;Year&gt;1986&lt;/Year&gt;&lt;RecNum&gt;10&lt;/RecNum&gt;&lt;DisplayText&gt;[10]&lt;/DisplayText&gt;&lt;record&gt;&lt;rec-number&gt;10&lt;/rec-number&gt;&lt;foreign-keys&gt;&lt;key app="EN" db-id="t9e25azaiapx9vev0rkxazfl2dar5xra0s0f" timestamp="1727955544"&gt;10&lt;/key&gt;&lt;/foreign-keys&gt;&lt;ref-type name="Journal Article"&gt;17&lt;/ref-type&gt;&lt;contributors&gt;&lt;authors&gt;&lt;author&gt;Flores, Benito E.&lt;/author&gt;&lt;author&gt;Clay Whybark, Djijoo&lt;/author&gt;&lt;/authors&gt;&lt;/contributors&gt;&lt;titles&gt;&lt;title&gt;Multiple criteria ABC analysis&lt;/title&gt;&lt;secondary-title&gt;International Journal of Operations &amp;amp; Production Management&lt;/secondary-title&gt;&lt;/titles&gt;&lt;periodical&gt;&lt;full-title&gt;International Journal of Operations &amp;amp; Production Management&lt;/full-title&gt;&lt;/periodical&gt;&lt;pages&gt;38-46&lt;/pages&gt;&lt;volume&gt;6&lt;/volume&gt;&lt;number&gt;3&lt;/number&gt;&lt;dates&gt;&lt;year&gt;1986&lt;/year&gt;&lt;/dates&gt;&lt;publisher&gt;MCB UP Ltd&lt;/publisher&gt;&lt;isbn&gt;0144-3577&lt;/isbn&gt;&lt;urls&gt;&lt;/urls&gt;&lt;/record&gt;&lt;/Cite&gt;&lt;/EndNote&gt;</w:instrText>
      </w:r>
      <w:r w:rsidR="004F481F">
        <w:rPr>
          <w:rStyle w:val="Emphasis"/>
        </w:rPr>
        <w:fldChar w:fldCharType="separate"/>
      </w:r>
      <w:r w:rsidR="00841C92">
        <w:rPr>
          <w:rStyle w:val="Emphasis"/>
          <w:noProof/>
        </w:rPr>
        <w:t>[10]</w:t>
      </w:r>
      <w:r w:rsidR="004F481F">
        <w:rPr>
          <w:rStyle w:val="Emphasis"/>
        </w:rPr>
        <w:fldChar w:fldCharType="end"/>
      </w:r>
      <w:r w:rsidRPr="00C4673B">
        <w:rPr>
          <w:rStyle w:val="Emphasis"/>
        </w:rPr>
        <w:t>. Proper implementation of ABC Analysis helps business owners be more efficient in inventory planning and forecasting, minimizing the risk of raw material shortages, and improving the effectiveness of their supply chain. This conclusion underscores the importance of inventory management in a competitive and ever-changing business world.</w:t>
      </w:r>
    </w:p>
    <w:p w14:paraId="3719D7FC" w14:textId="4C21956A" w:rsidR="00615E23" w:rsidRPr="00615E23" w:rsidRDefault="00615E23" w:rsidP="00615E23">
      <w:pPr>
        <w:pStyle w:val="Paragraph"/>
      </w:pPr>
      <w:r w:rsidRPr="00C4673B">
        <w:rPr>
          <w:rStyle w:val="Emphasis"/>
        </w:rPr>
        <w:t xml:space="preserve">The results of </w:t>
      </w:r>
      <w:r w:rsidRPr="00C4673B">
        <w:rPr>
          <w:rStyle w:val="Emphasis"/>
        </w:rPr>
        <w:fldChar w:fldCharType="begin"/>
      </w:r>
      <w:r w:rsidR="00F72169">
        <w:rPr>
          <w:rStyle w:val="Emphasis"/>
        </w:rPr>
        <w:instrText xml:space="preserve"> ADDIN EN.CITE &lt;EndNote&gt;&lt;Cite AuthorYear="1"&gt;&lt;Author&gt;Emar&lt;/Author&gt;&lt;Year&gt;2021&lt;/Year&gt;&lt;RecNum&gt;11&lt;/RecNum&gt;&lt;DisplayText&gt;Emar, Al-Omari [11]&lt;/DisplayText&gt;&lt;record&gt;&lt;rec-number&gt;11&lt;/rec-number&gt;&lt;foreign-keys&gt;&lt;key app="EN" db-id="t9e25azaiapx9vev0rkxazfl2dar5xra0s0f" timestamp="1727955581"&gt;11&lt;/key&gt;&lt;/foreign-keys&gt;&lt;ref-type name="Journal Article"&gt;17&lt;/ref-type&gt;&lt;contributors&gt;&lt;authors&gt;&lt;author&gt;Emar, Walid&lt;/author&gt;&lt;author&gt;Al-Omari, Zakaria Anas&lt;/author&gt;&lt;author&gt;Alharbi, Sami&lt;/author&gt;&lt;/authors&gt;&lt;/contributors&gt;&lt;titles&gt;&lt;title&gt;Analysis of inventory management of slow-moving spare parts by using ABC techniques and EOQ model-a case study&lt;/title&gt;&lt;secondary-title&gt;Indonesian Journal of Electrical Engineering and Computer Science&lt;/secondary-title&gt;&lt;/titles&gt;&lt;periodical&gt;&lt;full-title&gt;Indonesian Journal of Electrical Engineering and Computer Science&lt;/full-title&gt;&lt;/periodical&gt;&lt;pages&gt;1159-1169&lt;/pages&gt;&lt;volume&gt;23&lt;/volume&gt;&lt;number&gt;2&lt;/number&gt;&lt;dates&gt;&lt;year&gt;2021&lt;/year&gt;&lt;/dates&gt;&lt;urls&gt;&lt;/urls&gt;&lt;/record&gt;&lt;/Cite&gt;&lt;/EndNote&gt;</w:instrText>
      </w:r>
      <w:r w:rsidRPr="00C4673B">
        <w:rPr>
          <w:rStyle w:val="Emphasis"/>
        </w:rPr>
        <w:fldChar w:fldCharType="separate"/>
      </w:r>
      <w:r w:rsidR="00F72169">
        <w:rPr>
          <w:rStyle w:val="Emphasis"/>
          <w:noProof/>
        </w:rPr>
        <w:t>Emar, Al-Omari [11]</w:t>
      </w:r>
      <w:r w:rsidRPr="00C4673B">
        <w:rPr>
          <w:rStyle w:val="Emphasis"/>
        </w:rPr>
        <w:fldChar w:fldCharType="end"/>
      </w:r>
      <w:r w:rsidRPr="00C4673B">
        <w:rPr>
          <w:rStyle w:val="Emphasis"/>
        </w:rPr>
        <w:t xml:space="preserve"> research indicate that the implementation of inventory policies is crucial in managing slow-moving goods, such as Continuous Slow-Moving Products (CSP). Coordination among all employees involved in the management of slow-moving CSPs is emphasized as a key factor, with special attention to addressing the failures of some CSPs that can independently affect slow sales. On the other hand, research by </w:t>
      </w:r>
      <w:r w:rsidRPr="00C4673B">
        <w:rPr>
          <w:rStyle w:val="Emphasis"/>
        </w:rPr>
        <w:fldChar w:fldCharType="begin"/>
      </w:r>
      <w:r w:rsidR="00841C92">
        <w:rPr>
          <w:rStyle w:val="Emphasis"/>
        </w:rPr>
        <w:instrText xml:space="preserve"> ADDIN EN.CITE &lt;EndNote&gt;&lt;Cite AuthorYear="1"&gt;&lt;Author&gt;Shilul Imarah&lt;/Author&gt;&lt;Year&gt;2020&lt;/Year&gt;&lt;RecNum&gt;107&lt;/RecNum&gt;&lt;DisplayText&gt;Shilul Imarah and Roni [12]&lt;/DisplayText&gt;&lt;record&gt;&lt;rec-number&gt;107&lt;/rec-number&gt;&lt;foreign-keys&gt;&lt;key app="EN" db-id="0xdfzszdm90frmeaddtvxvxaw29p5wz2pv9z" timestamp="1723937745"&gt;107&lt;/key&gt;&lt;/foreign-keys&gt;&lt;ref-type name="Journal Article"&gt;17&lt;/ref-type&gt;&lt;contributors&gt;&lt;authors&gt;&lt;author&gt;Shilul Imarah, Thukas&lt;/author&gt;&lt;author&gt;Roni, Jaelani&lt;/author&gt;&lt;/authors&gt;&lt;/contributors&gt;&lt;titles&gt;&lt;title&gt;ABC ANALYSIS, FORECASTING AND ECONOMIC ORDER QUANTITY (EOQ) IMPLEMENTATION TO IMPROVE SMOOTH OPERATION PROCESS&lt;/title&gt;&lt;secondary-title&gt;Dinasti International Journal of Education Management And Social Science&lt;/secondary-title&gt;&lt;/titles&gt;&lt;periodical&gt;&lt;full-title&gt;Dinasti International Journal of Education Management And Social Science&lt;/full-title&gt;&lt;/periodical&gt;&lt;pages&gt;319-325&lt;/pages&gt;&lt;volume&gt;1&lt;/volume&gt;&lt;number&gt;3&lt;/number&gt;&lt;section&gt;Articles&lt;/section&gt;&lt;dates&gt;&lt;year&gt;2020&lt;/year&gt;&lt;pub-dates&gt;&lt;date&gt;02/11&lt;/date&gt;&lt;/pub-dates&gt;&lt;/dates&gt;&lt;urls&gt;&lt;related-urls&gt;&lt;url&gt;https://dinastipub.org/DIJEMSS/article/view/149&lt;/url&gt;&lt;/related-urls&gt;&lt;/urls&gt;&lt;electronic-resource-num&gt;10.31933/dijemss.v1i3.149&lt;/electronic-resource-num&gt;&lt;access-date&gt;2024/08/17&lt;/access-date&gt;&lt;/record&gt;&lt;/Cite&gt;&lt;/EndNote&gt;</w:instrText>
      </w:r>
      <w:r w:rsidRPr="00C4673B">
        <w:rPr>
          <w:rStyle w:val="Emphasis"/>
        </w:rPr>
        <w:fldChar w:fldCharType="separate"/>
      </w:r>
      <w:r w:rsidR="00841C92">
        <w:rPr>
          <w:rStyle w:val="Emphasis"/>
          <w:noProof/>
        </w:rPr>
        <w:t>Shilul Imarah and Roni [12]</w:t>
      </w:r>
      <w:r w:rsidRPr="00C4673B">
        <w:rPr>
          <w:rStyle w:val="Emphasis"/>
        </w:rPr>
        <w:fldChar w:fldCharType="end"/>
      </w:r>
      <w:r w:rsidRPr="00C4673B">
        <w:rPr>
          <w:rStyle w:val="Emphasis"/>
        </w:rPr>
        <w:t xml:space="preserve"> concluded that the ABC Analysis Method is effective in reducing the difficulties of conducting periodic stock checks and improving inventory data accuracy. The effective forecasting method for inventory needs planning is Exponential Smoothing</w:t>
      </w:r>
      <w:r w:rsidR="004F481F">
        <w:rPr>
          <w:rStyle w:val="Emphasis"/>
        </w:rPr>
        <w:t xml:space="preserve"> </w:t>
      </w:r>
      <w:r w:rsidR="004F481F">
        <w:rPr>
          <w:rStyle w:val="Emphasis"/>
        </w:rPr>
        <w:fldChar w:fldCharType="begin"/>
      </w:r>
      <w:r w:rsidR="00841C92">
        <w:rPr>
          <w:rStyle w:val="Emphasis"/>
        </w:rPr>
        <w:instrText xml:space="preserve"> ADDIN EN.CITE &lt;EndNote&gt;&lt;Cite&gt;&lt;Author&gt;Harrison&lt;/Author&gt;&lt;Year&gt;1967&lt;/Year&gt;&lt;RecNum&gt;13&lt;/RecNum&gt;&lt;DisplayText&gt;[13]&lt;/DisplayText&gt;&lt;record&gt;&lt;rec-number&gt;13&lt;/rec-number&gt;&lt;foreign-keys&gt;&lt;key app="EN" db-id="t9e25azaiapx9vev0rkxazfl2dar5xra0s0f" timestamp="1727955639"&gt;13&lt;/key&gt;&lt;/foreign-keys&gt;&lt;ref-type name="Journal Article"&gt;17&lt;/ref-type&gt;&lt;contributors&gt;&lt;authors&gt;&lt;author&gt;Harrison, P. J.&lt;/author&gt;&lt;/authors&gt;&lt;/contributors&gt;&lt;titles&gt;&lt;title&gt;Exponential smoothing and short-term sales forecasting&lt;/title&gt;&lt;secondary-title&gt;Management Science&lt;/secondary-title&gt;&lt;/titles&gt;&lt;periodical&gt;&lt;full-title&gt;Management Science&lt;/full-title&gt;&lt;/periodical&gt;&lt;pages&gt;821-842&lt;/pages&gt;&lt;volume&gt;13&lt;/volume&gt;&lt;number&gt;11&lt;/number&gt;&lt;dates&gt;&lt;year&gt;1967&lt;/year&gt;&lt;/dates&gt;&lt;publisher&gt;INFORMS&lt;/publisher&gt;&lt;isbn&gt;0025-1909&lt;/isbn&gt;&lt;urls&gt;&lt;/urls&gt;&lt;/record&gt;&lt;/Cite&gt;&lt;/EndNote&gt;</w:instrText>
      </w:r>
      <w:r w:rsidR="004F481F">
        <w:rPr>
          <w:rStyle w:val="Emphasis"/>
        </w:rPr>
        <w:fldChar w:fldCharType="separate"/>
      </w:r>
      <w:r w:rsidR="00841C92">
        <w:rPr>
          <w:rStyle w:val="Emphasis"/>
          <w:noProof/>
        </w:rPr>
        <w:t>[13]</w:t>
      </w:r>
      <w:r w:rsidR="004F481F">
        <w:rPr>
          <w:rStyle w:val="Emphasis"/>
        </w:rPr>
        <w:fldChar w:fldCharType="end"/>
      </w:r>
      <w:r w:rsidRPr="00C4673B">
        <w:rPr>
          <w:rStyle w:val="Emphasis"/>
        </w:rPr>
        <w:t>, while Economic Order Quantity (EOQ) has been proven to enhance inventory purchasing planning at a higher level</w:t>
      </w:r>
      <w:r w:rsidR="004F481F">
        <w:rPr>
          <w:rStyle w:val="Emphasis"/>
        </w:rPr>
        <w:t xml:space="preserve"> </w:t>
      </w:r>
      <w:r w:rsidR="004F481F">
        <w:rPr>
          <w:rStyle w:val="Emphasis"/>
        </w:rPr>
        <w:fldChar w:fldCharType="begin"/>
      </w:r>
      <w:r w:rsidR="00841C92">
        <w:rPr>
          <w:rStyle w:val="Emphasis"/>
        </w:rPr>
        <w:instrText xml:space="preserve"> ADDIN EN.CITE &lt;EndNote&gt;&lt;Cite&gt;&lt;Author&gt;Dewi&lt;/Author&gt;&lt;Year&gt;2020&lt;/Year&gt;&lt;RecNum&gt;14&lt;/RecNum&gt;&lt;DisplayText&gt;[14]&lt;/DisplayText&gt;&lt;record&gt;&lt;rec-number&gt;14&lt;/rec-number&gt;&lt;foreign-keys&gt;&lt;key app="EN" db-id="t9e25azaiapx9vev0rkxazfl2dar5xra0s0f" timestamp="1727955670"&gt;14&lt;/key&gt;&lt;/foreign-keys&gt;&lt;ref-type name="Journal Article"&gt;17&lt;/ref-type&gt;&lt;contributors&gt;&lt;authors&gt;&lt;author&gt;Dewi, Ertha Kusuma&lt;/author&gt;&lt;author&gt;Dahlui, Maznah&lt;/author&gt;&lt;author&gt;Chalidyanto, Djazuly&lt;/author&gt;&lt;author&gt;Rochmah, Thinni Nurul&lt;/author&gt;&lt;/authors&gt;&lt;/contributors&gt;&lt;titles&gt;&lt;title&gt;Achieving cost-efficient management of drug supply via economic order quantity and minimum-maximum stock level&lt;/title&gt;&lt;secondary-title&gt;Expert Review of pharmacoeconomics &amp;amp; outcomes research&lt;/secondary-title&gt;&lt;/titles&gt;&lt;periodical&gt;&lt;full-title&gt;Expert Review of pharmacoeconomics &amp;amp; outcomes research&lt;/full-title&gt;&lt;/periodical&gt;&lt;pages&gt;289-294&lt;/pages&gt;&lt;volume&gt;20&lt;/volume&gt;&lt;number&gt;3&lt;/number&gt;&lt;dates&gt;&lt;year&gt;2020&lt;/year&gt;&lt;/dates&gt;&lt;publisher&gt;Taylor &amp;amp; Francis&lt;/publisher&gt;&lt;isbn&gt;1473-7167&lt;/isbn&gt;&lt;urls&gt;&lt;/urls&gt;&lt;/record&gt;&lt;/Cite&gt;&lt;/EndNote&gt;</w:instrText>
      </w:r>
      <w:r w:rsidR="004F481F">
        <w:rPr>
          <w:rStyle w:val="Emphasis"/>
        </w:rPr>
        <w:fldChar w:fldCharType="separate"/>
      </w:r>
      <w:r w:rsidR="00841C92">
        <w:rPr>
          <w:rStyle w:val="Emphasis"/>
          <w:noProof/>
        </w:rPr>
        <w:t>[14]</w:t>
      </w:r>
      <w:r w:rsidR="004F481F">
        <w:rPr>
          <w:rStyle w:val="Emphasis"/>
        </w:rPr>
        <w:fldChar w:fldCharType="end"/>
      </w:r>
      <w:r w:rsidRPr="00C4673B">
        <w:rPr>
          <w:rStyle w:val="Emphasis"/>
        </w:rPr>
        <w:t>. Therefore, implementing these methods can bring significant improvements in inventory management and supply planning. Previous research serves as a basis for guiding and inspiring the ongoing research, which uses an integration of the EOQ and EPQ methods that have been developed and unified into one formula in the context of one producer and two buyers to determine the optimal production quantity</w:t>
      </w:r>
      <w:r w:rsidR="004F481F">
        <w:rPr>
          <w:rStyle w:val="Emphasis"/>
        </w:rPr>
        <w:t xml:space="preserve"> </w:t>
      </w:r>
      <w:r w:rsidR="004F481F">
        <w:rPr>
          <w:rStyle w:val="Emphasis"/>
        </w:rPr>
        <w:fldChar w:fldCharType="begin"/>
      </w:r>
      <w:r w:rsidR="00841C92">
        <w:rPr>
          <w:rStyle w:val="Emphasis"/>
        </w:rPr>
        <w:instrText xml:space="preserve"> ADDIN EN.CITE &lt;EndNote&gt;&lt;Cite&gt;&lt;Author&gt;Mokhtari&lt;/Author&gt;&lt;Year&gt;2020&lt;/Year&gt;&lt;RecNum&gt;15&lt;/RecNum&gt;&lt;DisplayText&gt;[15]&lt;/DisplayText&gt;&lt;record&gt;&lt;rec-number&gt;15&lt;/rec-number&gt;&lt;foreign-keys&gt;&lt;key app="EN" db-id="t9e25azaiapx9vev0rkxazfl2dar5xra0s0f" timestamp="1727955695"&gt;15&lt;/key&gt;&lt;/foreign-keys&gt;&lt;ref-type name="Journal Article"&gt;17&lt;/ref-type&gt;&lt;contributors&gt;&lt;authors&gt;&lt;author&gt;Mokhtari, Hadi&lt;/author&gt;&lt;author&gt;Rezvan, Mohammad Taghi&lt;/author&gt;&lt;/authors&gt;&lt;/contributors&gt;&lt;titles&gt;&lt;title&gt;A single-supplier, multi-buyer, multi-product VMI production-inventory system under partial backordering&lt;/title&gt;&lt;secondary-title&gt;Operational Research&lt;/secondary-title&gt;&lt;/titles&gt;&lt;periodical&gt;&lt;full-title&gt;Operational Research&lt;/full-title&gt;&lt;/periodical&gt;&lt;pages&gt;37-57&lt;/pages&gt;&lt;volume&gt;20&lt;/volume&gt;&lt;number&gt;1&lt;/number&gt;&lt;dates&gt;&lt;year&gt;2020&lt;/year&gt;&lt;/dates&gt;&lt;publisher&gt;Springer&lt;/publisher&gt;&lt;isbn&gt;1109-2858&lt;/isbn&gt;&lt;urls&gt;&lt;/urls&gt;&lt;/record&gt;&lt;/Cite&gt;&lt;/EndNote&gt;</w:instrText>
      </w:r>
      <w:r w:rsidR="004F481F">
        <w:rPr>
          <w:rStyle w:val="Emphasis"/>
        </w:rPr>
        <w:fldChar w:fldCharType="separate"/>
      </w:r>
      <w:r w:rsidR="00841C92">
        <w:rPr>
          <w:rStyle w:val="Emphasis"/>
          <w:noProof/>
        </w:rPr>
        <w:t>[15]</w:t>
      </w:r>
      <w:r w:rsidR="004F481F">
        <w:rPr>
          <w:rStyle w:val="Emphasis"/>
        </w:rPr>
        <w:fldChar w:fldCharType="end"/>
      </w:r>
      <w:r w:rsidRPr="00C4673B">
        <w:rPr>
          <w:rStyle w:val="Emphasis"/>
        </w:rPr>
        <w:t>. This research methodology distinguishes itself from previous studies by providing new contributions to inventory analysis for situations involving two buyers with one supplier/producer</w:t>
      </w:r>
      <w:r w:rsidRPr="00615E23">
        <w:t>.</w:t>
      </w:r>
    </w:p>
    <w:p w14:paraId="4912187F" w14:textId="77777777" w:rsidR="00615E23" w:rsidRPr="00DB714D" w:rsidRDefault="00615E23" w:rsidP="00DB714D">
      <w:pPr>
        <w:pStyle w:val="Paragraph"/>
        <w:rPr>
          <w:color w:val="333333"/>
        </w:rPr>
      </w:pPr>
    </w:p>
    <w:p w14:paraId="590C3C2B" w14:textId="078523CF" w:rsidR="00EA50A7" w:rsidRDefault="00EA50A7" w:rsidP="00784F94">
      <w:pPr>
        <w:pStyle w:val="Heading1"/>
      </w:pPr>
      <w:r w:rsidRPr="000F3AAB">
        <w:t>METHODS</w:t>
      </w:r>
    </w:p>
    <w:p w14:paraId="55CCE39E" w14:textId="0E2E13C4" w:rsidR="00DB714D" w:rsidRPr="00C4673B" w:rsidRDefault="00DB714D" w:rsidP="00DB714D">
      <w:pPr>
        <w:pStyle w:val="Paragraph"/>
        <w:rPr>
          <w:rStyle w:val="Emphasis"/>
        </w:rPr>
      </w:pPr>
      <w:r w:rsidRPr="00C4673B">
        <w:rPr>
          <w:rStyle w:val="Emphasis"/>
        </w:rPr>
        <w:t xml:space="preserve">The supply chain network model between the producer and two buyers can be seen in </w:t>
      </w:r>
      <w:r w:rsidR="004F481F" w:rsidRPr="004F481F">
        <w:rPr>
          <w:rStyle w:val="Emphasis"/>
          <w:b/>
          <w:bCs/>
        </w:rPr>
        <w:t>FIGURE 1</w:t>
      </w:r>
      <w:r w:rsidRPr="00C4673B">
        <w:rPr>
          <w:rStyle w:val="Emphasis"/>
        </w:rPr>
        <w:t>. After the single product is produced consistently by the producer, it is distributed to the two buyers. The marketing of the product is carried out in collaboration between the producer and the buyers until the product reaches the consumers. Each delivery is done alternately and sequentially; for instance, the first delivery goes to the first buyer, the second delivery to the second buyer, and so on. This supply chain network model can be seen in the figure below.</w:t>
      </w:r>
    </w:p>
    <w:p w14:paraId="30450BE0" w14:textId="77777777" w:rsidR="00DB714D" w:rsidRPr="00DB714D" w:rsidRDefault="00DB714D" w:rsidP="00DB714D">
      <w:pPr>
        <w:pStyle w:val="Paragraph"/>
      </w:pPr>
    </w:p>
    <w:p w14:paraId="72457BDE" w14:textId="5E28D392" w:rsidR="00DB714D" w:rsidRPr="00DB714D" w:rsidRDefault="00DB714D" w:rsidP="00615E23">
      <w:pPr>
        <w:pStyle w:val="Paragraph"/>
        <w:jc w:val="center"/>
      </w:pPr>
      <w:r w:rsidRPr="00DB714D">
        <w:rPr>
          <w:noProof/>
        </w:rPr>
        <w:lastRenderedPageBreak/>
        <w:drawing>
          <wp:inline distT="0" distB="0" distL="0" distR="0" wp14:anchorId="06E1AE8D" wp14:editId="1AF21D82">
            <wp:extent cx="5276849" cy="2419350"/>
            <wp:effectExtent l="0" t="0" r="635" b="0"/>
            <wp:docPr id="2" name="Picture 2" descr="C:\Users\dell\AppData\Local\Packages\Microsoft.Windows.Photos_8wekyb3d8bbwe\TempState\ShareServiceTempFolder\gambar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Microsoft.Windows.Photos_8wekyb3d8bbwe\TempState\ShareServiceTempFolder\gambar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7120" cy="2419474"/>
                    </a:xfrm>
                    <a:prstGeom prst="rect">
                      <a:avLst/>
                    </a:prstGeom>
                    <a:noFill/>
                    <a:ln>
                      <a:noFill/>
                    </a:ln>
                  </pic:spPr>
                </pic:pic>
              </a:graphicData>
            </a:graphic>
          </wp:inline>
        </w:drawing>
      </w:r>
    </w:p>
    <w:p w14:paraId="6EADDFB1" w14:textId="5BB326A9" w:rsidR="00DB714D" w:rsidRDefault="00DB714D" w:rsidP="00142DEA">
      <w:pPr>
        <w:pStyle w:val="FigureCaption"/>
        <w:rPr>
          <w:lang w:val="id-ID"/>
        </w:rPr>
      </w:pPr>
      <w:r w:rsidRPr="00784F94">
        <w:rPr>
          <w:b/>
        </w:rPr>
        <w:t>FIGURE 1</w:t>
      </w:r>
      <w:r>
        <w:rPr>
          <w:lang w:val="id-ID"/>
        </w:rPr>
        <w:t>.</w:t>
      </w:r>
      <w:r w:rsidRPr="00DB714D">
        <w:rPr>
          <w:lang w:val="id-ID"/>
        </w:rPr>
        <w:t xml:space="preserve"> Supply Chain Inventory Model for One Manufacturer and Two Buyers</w:t>
      </w:r>
    </w:p>
    <w:p w14:paraId="207B4B71" w14:textId="77777777" w:rsidR="00615E23" w:rsidRPr="00DB714D" w:rsidRDefault="00615E23" w:rsidP="00DB714D">
      <w:pPr>
        <w:pStyle w:val="Paragraph"/>
        <w:rPr>
          <w:lang w:val="en-GB"/>
        </w:rPr>
      </w:pPr>
    </w:p>
    <w:p w14:paraId="5386128B" w14:textId="4DC1017D" w:rsidR="00DB714D" w:rsidRPr="00615E23" w:rsidRDefault="00DB714D" w:rsidP="00615E23">
      <w:pPr>
        <w:pStyle w:val="Paragraph"/>
        <w:rPr>
          <w:lang w:val="en-GB"/>
        </w:rPr>
      </w:pPr>
      <w:r w:rsidRPr="004F481F">
        <w:rPr>
          <w:rStyle w:val="Emphasis"/>
        </w:rPr>
        <w:t>Figure 1</w:t>
      </w:r>
      <w:r w:rsidRPr="00142DEA">
        <w:rPr>
          <w:rStyle w:val="Emphasis"/>
        </w:rPr>
        <w:t xml:space="preserve"> represents an inventory model for a supply chain involving one producer and two buyers. The top section of the figure illustrates the producer's inventory levels, which fluctuate due to production activities, leading to a step-like pattern. The two lower sections correspond to Buyer 1 and Buyer 2, showing their respective inventory levels. Both buyers experience a gradual depletion of inventory over time, represented by the downward sloping lines, which are periodically replenished by the producer. The timing of replenishment for each buyer is staggered, with Buyer 1 receiving inventory before Buyer 2, indicating a coordinated scheduling to ensure continuous supply while managing inventory levels efficiently across the supply chain</w:t>
      </w:r>
      <w:r w:rsidRPr="00DB714D">
        <w:rPr>
          <w:lang w:val="id-ID"/>
        </w:rPr>
        <w:t>.</w:t>
      </w:r>
    </w:p>
    <w:p w14:paraId="0DCBFA58" w14:textId="48A6BDCE" w:rsidR="00DB714D" w:rsidRPr="00784F94" w:rsidRDefault="00DB714D" w:rsidP="00DB714D">
      <w:pPr>
        <w:pStyle w:val="Heading2"/>
      </w:pPr>
      <w:r w:rsidRPr="00DB714D">
        <w:t>PRODUCER'S INVENTORY COSTS</w:t>
      </w:r>
    </w:p>
    <w:p w14:paraId="2395E830" w14:textId="50EBC03E" w:rsidR="00DB714D" w:rsidRPr="00142DEA" w:rsidRDefault="00DB714D" w:rsidP="00142DEA">
      <w:pPr>
        <w:pStyle w:val="Paragraph"/>
        <w:rPr>
          <w:rStyle w:val="Emphasis"/>
        </w:rPr>
      </w:pPr>
      <w:r w:rsidRPr="00142DEA">
        <w:rPr>
          <w:rStyle w:val="Emphasis"/>
        </w:rPr>
        <w:t xml:space="preserve">This study focuses on optimizing production and inventory costs within a supply chain network through a detailed model. As illustrated in </w:t>
      </w:r>
      <w:r w:rsidR="004F481F" w:rsidRPr="004F481F">
        <w:rPr>
          <w:rStyle w:val="Emphasis"/>
          <w:b/>
          <w:bCs/>
        </w:rPr>
        <w:t>FIGURE 2</w:t>
      </w:r>
      <w:r w:rsidRPr="00142DEA">
        <w:rPr>
          <w:rStyle w:val="Emphasis"/>
        </w:rPr>
        <w:t>, the model employs several equations to compute essential metrics, including production cycle time, total inventory costs, and order quantities</w:t>
      </w:r>
      <w:r w:rsidR="00841C92">
        <w:rPr>
          <w:rStyle w:val="Emphasis"/>
        </w:rPr>
        <w:t xml:space="preserve"> </w:t>
      </w:r>
      <w:r w:rsidR="00841C92">
        <w:rPr>
          <w:rStyle w:val="Emphasis"/>
        </w:rPr>
        <w:fldChar w:fldCharType="begin"/>
      </w:r>
      <w:r w:rsidR="00841C92">
        <w:rPr>
          <w:rStyle w:val="Emphasis"/>
        </w:rPr>
        <w:instrText xml:space="preserve"> ADDIN EN.CITE &lt;EndNote&gt;&lt;Cite&gt;&lt;Author&gt;Winulyo&lt;/Author&gt;&lt;Year&gt;2023&lt;/Year&gt;&lt;RecNum&gt;16&lt;/RecNum&gt;&lt;DisplayText&gt;[16]&lt;/DisplayText&gt;&lt;record&gt;&lt;rec-number&gt;16&lt;/rec-number&gt;&lt;foreign-keys&gt;&lt;key app="EN" db-id="t9e25azaiapx9vev0rkxazfl2dar5xra0s0f" timestamp="1727955723"&gt;16&lt;/key&gt;&lt;/foreign-keys&gt;&lt;ref-type name="Journal Article"&gt;17&lt;/ref-type&gt;&lt;contributors&gt;&lt;authors&gt;&lt;author&gt;Winulyo, Langgeng Eko&lt;/author&gt;&lt;author&gt;Dahda, Said Salim&lt;/author&gt;&lt;author&gt;Negoro, Yanuar Pandu&lt;/author&gt;&lt;/authors&gt;&lt;/contributors&gt;&lt;titles&gt;&lt;title&gt;Model Integrasi Sistem Produksi Single Supllier &amp;amp; Multi Buyer&lt;/title&gt;&lt;secondary-title&gt;Syntax Idea&lt;/secondary-title&gt;&lt;/titles&gt;&lt;periodical&gt;&lt;full-title&gt;Syntax Idea&lt;/full-title&gt;&lt;/periodical&gt;&lt;pages&gt;2197-2208&lt;/pages&gt;&lt;volume&gt;5&lt;/volume&gt;&lt;number&gt;11&lt;/number&gt;&lt;dates&gt;&lt;year&gt;2023&lt;/year&gt;&lt;/dates&gt;&lt;isbn&gt;2684-883X&lt;/isbn&gt;&lt;urls&gt;&lt;/urls&gt;&lt;/record&gt;&lt;/Cite&gt;&lt;/EndNote&gt;</w:instrText>
      </w:r>
      <w:r w:rsidR="00841C92">
        <w:rPr>
          <w:rStyle w:val="Emphasis"/>
        </w:rPr>
        <w:fldChar w:fldCharType="separate"/>
      </w:r>
      <w:r w:rsidR="00841C92">
        <w:rPr>
          <w:rStyle w:val="Emphasis"/>
          <w:noProof/>
        </w:rPr>
        <w:t>[16]</w:t>
      </w:r>
      <w:r w:rsidR="00841C92">
        <w:rPr>
          <w:rStyle w:val="Emphasis"/>
        </w:rPr>
        <w:fldChar w:fldCharType="end"/>
      </w:r>
      <w:r w:rsidRPr="00142DEA">
        <w:rPr>
          <w:rStyle w:val="Emphasis"/>
        </w:rPr>
        <w:t>.</w:t>
      </w:r>
    </w:p>
    <w:p w14:paraId="48F9354E" w14:textId="77777777" w:rsidR="00DB714D" w:rsidRPr="00DB714D" w:rsidRDefault="00DB714D" w:rsidP="00615E23">
      <w:pPr>
        <w:pStyle w:val="Paragraph"/>
        <w:jc w:val="center"/>
        <w:rPr>
          <w:lang w:val="id-ID"/>
        </w:rPr>
      </w:pPr>
      <w:r w:rsidRPr="00DB714D">
        <w:rPr>
          <w:noProof/>
        </w:rPr>
        <w:drawing>
          <wp:inline distT="0" distB="0" distL="0" distR="0" wp14:anchorId="5562C63D" wp14:editId="495BECF9">
            <wp:extent cx="3618146" cy="1952625"/>
            <wp:effectExtent l="0" t="0" r="1905" b="0"/>
            <wp:docPr id="3" name="image2.png"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diagram of a graph&#10;&#10;Description automatically generated"/>
                    <pic:cNvPicPr/>
                  </pic:nvPicPr>
                  <pic:blipFill>
                    <a:blip r:embed="rId10" cstate="print"/>
                    <a:stretch>
                      <a:fillRect/>
                    </a:stretch>
                  </pic:blipFill>
                  <pic:spPr>
                    <a:xfrm>
                      <a:off x="0" y="0"/>
                      <a:ext cx="3625763" cy="1956736"/>
                    </a:xfrm>
                    <a:prstGeom prst="rect">
                      <a:avLst/>
                    </a:prstGeom>
                  </pic:spPr>
                </pic:pic>
              </a:graphicData>
            </a:graphic>
          </wp:inline>
        </w:drawing>
      </w:r>
    </w:p>
    <w:p w14:paraId="1B7ED033" w14:textId="3C9926EC" w:rsidR="00DB714D" w:rsidRPr="00DB714D" w:rsidRDefault="00DB714D" w:rsidP="00142DEA">
      <w:pPr>
        <w:pStyle w:val="FigureCaption"/>
        <w:rPr>
          <w:lang w:val="en-GB"/>
        </w:rPr>
      </w:pPr>
      <w:r w:rsidRPr="00784F94">
        <w:rPr>
          <w:b/>
        </w:rPr>
        <w:t xml:space="preserve">FIGURE </w:t>
      </w:r>
      <w:r>
        <w:rPr>
          <w:b/>
        </w:rPr>
        <w:t>2</w:t>
      </w:r>
      <w:r w:rsidRPr="00DB714D">
        <w:rPr>
          <w:lang w:val="id-ID"/>
        </w:rPr>
        <w:t>. Producer Inventory Model</w:t>
      </w:r>
    </w:p>
    <w:p w14:paraId="6B05E65A" w14:textId="77777777" w:rsidR="00DB714D" w:rsidRPr="00142DEA" w:rsidRDefault="00DB714D" w:rsidP="00DB714D">
      <w:pPr>
        <w:pStyle w:val="Paragraph"/>
        <w:rPr>
          <w:rStyle w:val="Emphasis"/>
        </w:rPr>
      </w:pPr>
      <w:r w:rsidRPr="00142DEA">
        <w:rPr>
          <w:rStyle w:val="Emphasis"/>
        </w:rPr>
        <w:t>Total quantity required</w:t>
      </w:r>
    </w:p>
    <w:p w14:paraId="5C6302E1" w14:textId="18AFD885" w:rsidR="00DB714D" w:rsidRPr="00DB714D" w:rsidRDefault="00DB714D" w:rsidP="00142DEA">
      <w:pPr>
        <w:pStyle w:val="Equation"/>
        <w:rPr>
          <w:iCs/>
        </w:rPr>
      </w:pPr>
      <m:oMath>
        <m:r>
          <w:rPr>
            <w:rFonts w:ascii="Cambria Math" w:hAnsi="Cambria Math"/>
          </w:rPr>
          <m:t>Q</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q</m:t>
        </m:r>
      </m:oMath>
      <w:r w:rsidRPr="00DB714D">
        <w:rPr>
          <w:iCs/>
        </w:rPr>
        <w:tab/>
        <w:t>(1)</w:t>
      </w:r>
    </w:p>
    <w:p w14:paraId="5D725910" w14:textId="77777777" w:rsidR="00DB714D" w:rsidRPr="00142DEA" w:rsidRDefault="00DB714D" w:rsidP="00DB714D">
      <w:pPr>
        <w:pStyle w:val="Paragraph"/>
        <w:rPr>
          <w:rStyle w:val="Emphasis"/>
        </w:rPr>
      </w:pPr>
      <w:r w:rsidRPr="00142DEA">
        <w:rPr>
          <w:rStyle w:val="Emphasis"/>
        </w:rPr>
        <w:t>Production cycle time :</w:t>
      </w:r>
    </w:p>
    <w:p w14:paraId="06CFA72A" w14:textId="2B842B5A" w:rsidR="00DB714D" w:rsidRPr="00DB714D" w:rsidRDefault="00DB714D" w:rsidP="00142DEA">
      <w:pPr>
        <w:pStyle w:val="Equation"/>
        <w:rPr>
          <w:iCs/>
        </w:rPr>
      </w:pPr>
      <m:oMath>
        <m:r>
          <w:rPr>
            <w:rFonts w:ascii="Cambria Math" w:hAnsi="Cambria Math"/>
          </w:rPr>
          <m:t>T</m:t>
        </m:r>
        <m:r>
          <m:rPr>
            <m:sty m:val="p"/>
          </m:rPr>
          <w:rPr>
            <w:rFonts w:ascii="Cambria Math" w:hAnsi="Cambria Math"/>
          </w:rPr>
          <m:t>=</m:t>
        </m:r>
        <m:f>
          <m:fPr>
            <m:ctrlPr>
              <w:rPr>
                <w:rFonts w:ascii="Cambria Math" w:hAnsi="Cambria Math"/>
                <w:iCs/>
              </w:rPr>
            </m:ctrlPr>
          </m:fPr>
          <m:num>
            <m:r>
              <w:rPr>
                <w:rFonts w:ascii="Cambria Math" w:hAnsi="Cambria Math"/>
              </w:rPr>
              <m:t>n</m:t>
            </m:r>
            <m:r>
              <m:rPr>
                <m:sty m:val="p"/>
              </m:rPr>
              <w:rPr>
                <w:rFonts w:ascii="Cambria Math" w:hAnsi="Cambria Math"/>
              </w:rPr>
              <m:t>×</m:t>
            </m:r>
            <m:r>
              <w:rPr>
                <w:rFonts w:ascii="Cambria Math" w:hAnsi="Cambria Math"/>
              </w:rPr>
              <m:t>q</m:t>
            </m:r>
          </m:num>
          <m:den>
            <m:r>
              <w:rPr>
                <w:rFonts w:ascii="Cambria Math" w:hAnsi="Cambria Math"/>
              </w:rPr>
              <m:t>D</m:t>
            </m:r>
          </m:den>
        </m:f>
      </m:oMath>
      <w:r w:rsidRPr="00DB714D">
        <w:rPr>
          <w:iCs/>
        </w:rPr>
        <w:tab/>
        <w:t>(2)</w:t>
      </w:r>
    </w:p>
    <w:p w14:paraId="674C9C65" w14:textId="02B622D0" w:rsidR="00DB714D" w:rsidRPr="00142DEA" w:rsidRDefault="00DB714D" w:rsidP="00DB714D">
      <w:pPr>
        <w:pStyle w:val="Paragraph"/>
        <w:rPr>
          <w:rStyle w:val="Emphasis"/>
        </w:rPr>
      </w:pPr>
      <w:r w:rsidRPr="00142DEA">
        <w:rPr>
          <w:rStyle w:val="Emphasis"/>
        </w:rPr>
        <w:t xml:space="preserve">Based on the research by </w:t>
      </w:r>
      <w:r w:rsidRPr="00142DEA">
        <w:rPr>
          <w:rStyle w:val="Emphasis"/>
          <w:lang w:val="en-GB"/>
        </w:rPr>
        <w:fldChar w:fldCharType="begin"/>
      </w:r>
      <w:r w:rsidR="00841C92">
        <w:rPr>
          <w:rStyle w:val="Emphasis"/>
          <w:lang w:val="en-GB"/>
        </w:rPr>
        <w:instrText xml:space="preserve"> ADDIN EN.CITE &lt;EndNote&gt;&lt;Cite AuthorYear="1"&gt;&lt;Author&gt;Firmansyah&lt;/Author&gt;&lt;Year&gt;2022&lt;/Year&gt;&lt;RecNum&gt;17&lt;/RecNum&gt;&lt;DisplayText&gt;Firmansyah [17]&lt;/DisplayText&gt;&lt;record&gt;&lt;rec-number&gt;17&lt;/rec-number&gt;&lt;foreign-keys&gt;&lt;key app="EN" db-id="t9e25azaiapx9vev0rkxazfl2dar5xra0s0f" timestamp="1727955753"&gt;17&lt;/key&gt;&lt;/foreign-keys&gt;&lt;ref-type name="Journal Article"&gt;17&lt;/ref-type&gt;&lt;contributors&gt;&lt;authors&gt;&lt;author&gt;Firmansyah, Achmad Firdaus&lt;/author&gt;&lt;/authors&gt;&lt;/contributors&gt;&lt;titles&gt;&lt;title&gt;Model Persediaan Integrasi Satu Produsen Dua Buyer Untuk Menentukan Kuantitas Produksi Yang Optimal&lt;/title&gt;&lt;secondary-title&gt;SITEKIN: Jurnal Sains, Teknologi dan Industri&lt;/secondary-title&gt;&lt;/titles&gt;&lt;periodical&gt;&lt;full-title&gt;SITEKIN: Jurnal Sains, Teknologi dan Industri&lt;/full-title&gt;&lt;/periodical&gt;&lt;pages&gt;361-368&lt;/pages&gt;&lt;volume&gt;20&lt;/volume&gt;&lt;number&gt;1&lt;/number&gt;&lt;dates&gt;&lt;year&gt;2022&lt;/year&gt;&lt;/dates&gt;&lt;publisher&gt;Fakultas Sains dan Teknologi, UIN Sultan Syarif Kasim&lt;/publisher&gt;&lt;isbn&gt;2721-2041&lt;/isbn&gt;&lt;urls&gt;&lt;/urls&gt;&lt;/record&gt;&lt;/Cite&gt;&lt;/EndNote&gt;</w:instrText>
      </w:r>
      <w:r w:rsidRPr="00142DEA">
        <w:rPr>
          <w:rStyle w:val="Emphasis"/>
          <w:lang w:val="en-GB"/>
        </w:rPr>
        <w:fldChar w:fldCharType="separate"/>
      </w:r>
      <w:r w:rsidR="00841C92">
        <w:rPr>
          <w:rStyle w:val="Emphasis"/>
          <w:noProof/>
          <w:lang w:val="en-GB"/>
        </w:rPr>
        <w:t>Firmansyah [17]</w:t>
      </w:r>
      <w:r w:rsidRPr="00142DEA">
        <w:rPr>
          <w:rStyle w:val="Emphasis"/>
        </w:rPr>
        <w:fldChar w:fldCharType="end"/>
      </w:r>
      <w:r w:rsidRPr="00142DEA">
        <w:rPr>
          <w:rStyle w:val="Emphasis"/>
        </w:rPr>
        <w:t>, the formula to calculate with the model mentioned above is as follow</w:t>
      </w:r>
      <w:r w:rsidR="00E75DBF">
        <w:rPr>
          <w:rStyle w:val="Emphasis"/>
        </w:rPr>
        <w:t xml:space="preserve">ing equation (3). While the inventory model for buyer is displayed in </w:t>
      </w:r>
      <w:r w:rsidR="00E75DBF" w:rsidRPr="00E75DBF">
        <w:rPr>
          <w:rStyle w:val="Emphasis"/>
          <w:b/>
          <w:bCs/>
        </w:rPr>
        <w:t>FIGURE 3</w:t>
      </w:r>
      <w:r w:rsidR="00E75DBF">
        <w:rPr>
          <w:rStyle w:val="Emphasis"/>
        </w:rPr>
        <w:t>.</w:t>
      </w:r>
    </w:p>
    <w:p w14:paraId="0118B9FE" w14:textId="0D2B28DA" w:rsidR="00DB714D" w:rsidRDefault="00DB714D" w:rsidP="00142DEA">
      <w:pPr>
        <w:pStyle w:val="Equation"/>
      </w:pPr>
      <m:oMath>
        <m:r>
          <w:rPr>
            <w:rFonts w:ascii="Cambria Math" w:hAnsi="Cambria Math"/>
          </w:rPr>
          <m:t>TIC</m:t>
        </m:r>
        <m:r>
          <m:rPr>
            <m:sty m:val="p"/>
          </m:rPr>
          <w:rPr>
            <w:rFonts w:ascii="Cambria Math" w:hAnsi="Cambria Math"/>
          </w:rPr>
          <m:t xml:space="preserve"> </m:t>
        </m:r>
        <m:r>
          <w:rPr>
            <w:rFonts w:ascii="Cambria Math" w:hAnsi="Cambria Math"/>
          </w:rPr>
          <m:t>p</m:t>
        </m:r>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r</m:t>
            </m:r>
          </m:e>
          <m:sub>
            <m:r>
              <w:rPr>
                <w:rFonts w:ascii="Cambria Math" w:hAnsi="Cambria Math"/>
              </w:rPr>
              <m:t>p</m:t>
            </m:r>
          </m:sub>
        </m:sSub>
        <m:f>
          <m:fPr>
            <m:ctrlPr>
              <w:rPr>
                <w:rFonts w:ascii="Cambria Math" w:hAnsi="Cambria Math"/>
              </w:rPr>
            </m:ctrlPr>
          </m:fPr>
          <m:num>
            <m:r>
              <w:rPr>
                <w:rFonts w:ascii="Cambria Math" w:hAnsi="Cambria Math"/>
              </w:rPr>
              <m:t>D</m:t>
            </m:r>
          </m:num>
          <m:den>
            <m:r>
              <w:rPr>
                <w:rFonts w:ascii="Cambria Math" w:hAnsi="Cambria Math"/>
              </w:rPr>
              <m:t>Q</m:t>
            </m:r>
          </m:den>
        </m:f>
        <m:r>
          <m:rPr>
            <m:sty m:val="p"/>
          </m:rP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p</m:t>
            </m:r>
          </m:sub>
        </m:sSub>
        <m:f>
          <m:fPr>
            <m:ctrlPr>
              <w:rPr>
                <w:rFonts w:ascii="Cambria Math" w:hAnsi="Cambria Math"/>
              </w:rPr>
            </m:ctrlPr>
          </m:fPr>
          <m:num>
            <m:r>
              <w:rPr>
                <w:rFonts w:ascii="Cambria Math" w:hAnsi="Cambria Math"/>
              </w:rPr>
              <m:t>Q</m:t>
            </m:r>
          </m:num>
          <m:den>
            <m:r>
              <m:rPr>
                <m:sty m:val="p"/>
              </m:rPr>
              <w:rPr>
                <w:rFonts w:ascii="Cambria Math" w:hAnsi="Cambria Math"/>
              </w:rPr>
              <m:t>2.</m:t>
            </m:r>
            <m:r>
              <w:rPr>
                <w:rFonts w:ascii="Cambria Math" w:hAnsi="Cambria Math"/>
              </w:rPr>
              <m:t>n</m:t>
            </m:r>
          </m:den>
        </m:f>
        <m:r>
          <m:rPr>
            <m:sty m:val="p"/>
          </m:rPr>
          <w:rPr>
            <w:rFonts w:ascii="Cambria Math" w:hAnsi="Cambria Math"/>
          </w:rPr>
          <m:t>[1+</m:t>
        </m:r>
        <m:r>
          <w:rPr>
            <w:rFonts w:ascii="Cambria Math" w:hAnsi="Cambria Math"/>
          </w:rPr>
          <m:t>n</m:t>
        </m:r>
        <m:d>
          <m:dPr>
            <m:ctrlPr>
              <w:rPr>
                <w:rFonts w:ascii="Cambria Math" w:hAnsi="Cambria Math"/>
              </w:rPr>
            </m:ctrlPr>
          </m:dPr>
          <m:e>
            <m:r>
              <m:rPr>
                <m:sty m:val="p"/>
              </m:rPr>
              <w:rPr>
                <w:rFonts w:ascii="Cambria Math" w:hAnsi="Cambria Math"/>
              </w:rPr>
              <m:t>1-</m:t>
            </m:r>
            <m:f>
              <m:fPr>
                <m:type m:val="skw"/>
                <m:ctrlPr>
                  <w:rPr>
                    <w:rFonts w:ascii="Cambria Math" w:hAnsi="Cambria Math"/>
                  </w:rPr>
                </m:ctrlPr>
              </m:fPr>
              <m:num>
                <m:r>
                  <w:rPr>
                    <w:rFonts w:ascii="Cambria Math" w:hAnsi="Cambria Math"/>
                  </w:rPr>
                  <m:t>D</m:t>
                </m:r>
              </m:num>
              <m:den>
                <m:r>
                  <w:rPr>
                    <w:rFonts w:ascii="Cambria Math" w:hAnsi="Cambria Math"/>
                  </w:rPr>
                  <m:t>p</m:t>
                </m:r>
              </m:den>
            </m:f>
          </m:e>
        </m:d>
        <m:r>
          <m:rPr>
            <m:sty m:val="p"/>
          </m:rPr>
          <w:rPr>
            <w:rFonts w:ascii="Cambria Math" w:hAnsi="Cambria Math"/>
          </w:rPr>
          <m:t>]</m:t>
        </m:r>
      </m:oMath>
      <w:r w:rsidRPr="00DB714D">
        <w:tab/>
        <w:t>(3)</w:t>
      </w:r>
    </w:p>
    <w:p w14:paraId="730F4E15" w14:textId="77777777" w:rsidR="00DB714D" w:rsidRPr="00DB714D" w:rsidRDefault="00DB714D" w:rsidP="00DB714D">
      <w:pPr>
        <w:pStyle w:val="Paragraph"/>
      </w:pPr>
    </w:p>
    <w:p w14:paraId="2CA3FCF2" w14:textId="77777777" w:rsidR="00DB714D" w:rsidRPr="00DB714D" w:rsidRDefault="00DB714D" w:rsidP="00DB714D">
      <w:pPr>
        <w:pStyle w:val="Paragraph"/>
      </w:pPr>
    </w:p>
    <w:p w14:paraId="199135BA" w14:textId="5B136850" w:rsidR="00DB714D" w:rsidRDefault="00DB714D" w:rsidP="00615E23">
      <w:pPr>
        <w:pStyle w:val="Paragraph"/>
        <w:jc w:val="center"/>
      </w:pPr>
      <w:r w:rsidRPr="00DB714D">
        <w:rPr>
          <w:noProof/>
        </w:rPr>
        <w:drawing>
          <wp:inline distT="0" distB="0" distL="0" distR="0" wp14:anchorId="1E2F5FFD" wp14:editId="1C6B5067">
            <wp:extent cx="2447925" cy="1165860"/>
            <wp:effectExtent l="0" t="0" r="3175" b="2540"/>
            <wp:docPr id="5" name="image3.png" descr="A triangle with a letter d and a letter 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 triangle with a letter d and a letter d&#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925" cy="1165860"/>
                    </a:xfrm>
                    <a:prstGeom prst="rect">
                      <a:avLst/>
                    </a:prstGeom>
                  </pic:spPr>
                </pic:pic>
              </a:graphicData>
            </a:graphic>
          </wp:inline>
        </w:drawing>
      </w:r>
    </w:p>
    <w:p w14:paraId="02954018" w14:textId="7F50E35B" w:rsidR="00DB714D" w:rsidRDefault="00DB714D" w:rsidP="00142DEA">
      <w:pPr>
        <w:pStyle w:val="FigureCaption"/>
      </w:pPr>
      <w:r w:rsidRPr="00784F94">
        <w:rPr>
          <w:b/>
        </w:rPr>
        <w:t xml:space="preserve">FIGURE </w:t>
      </w:r>
      <w:r>
        <w:rPr>
          <w:b/>
        </w:rPr>
        <w:t xml:space="preserve">3. </w:t>
      </w:r>
      <w:r w:rsidRPr="00DB714D">
        <w:t>Inventory model for buyer</w:t>
      </w:r>
    </w:p>
    <w:p w14:paraId="7A5D453D" w14:textId="77777777" w:rsidR="00615E23" w:rsidRPr="00DB714D" w:rsidRDefault="00615E23" w:rsidP="00615E23">
      <w:pPr>
        <w:pStyle w:val="Paragraph"/>
        <w:jc w:val="center"/>
      </w:pPr>
    </w:p>
    <w:p w14:paraId="32C8842E" w14:textId="77777777" w:rsidR="00DB714D" w:rsidRPr="00142DEA" w:rsidRDefault="00DB714D" w:rsidP="00DB714D">
      <w:pPr>
        <w:pStyle w:val="Paragraph"/>
        <w:rPr>
          <w:rStyle w:val="Emphasis"/>
        </w:rPr>
      </w:pPr>
      <w:r w:rsidRPr="00142DEA">
        <w:rPr>
          <w:rStyle w:val="Emphasis"/>
        </w:rPr>
        <w:t>Buyer inventory costs :</w:t>
      </w:r>
    </w:p>
    <w:p w14:paraId="518399AD" w14:textId="6D85A438" w:rsidR="00DB714D" w:rsidRPr="00DB714D" w:rsidRDefault="00DB714D" w:rsidP="00142DEA">
      <w:pPr>
        <w:pStyle w:val="Equation"/>
        <w:rPr>
          <w:lang w:val="en-ID"/>
        </w:rPr>
      </w:pPr>
      <m:oMath>
        <m:r>
          <w:rPr>
            <w:rFonts w:ascii="Cambria Math" w:hAnsi="Cambria Math"/>
            <w:lang w:val="en-ID"/>
          </w:rPr>
          <m:t>TI</m:t>
        </m:r>
        <m:sSub>
          <m:sSubPr>
            <m:ctrlPr>
              <w:rPr>
                <w:rFonts w:ascii="Cambria Math" w:hAnsi="Cambria Math"/>
                <w:lang w:val="en-ID"/>
              </w:rPr>
            </m:ctrlPr>
          </m:sSubPr>
          <m:e>
            <m:r>
              <w:rPr>
                <w:rFonts w:ascii="Cambria Math" w:hAnsi="Cambria Math"/>
                <w:lang w:val="en-ID"/>
              </w:rPr>
              <m:t>C</m:t>
            </m:r>
          </m:e>
          <m:sub>
            <m:r>
              <w:rPr>
                <w:rFonts w:ascii="Cambria Math" w:hAnsi="Cambria Math"/>
                <w:lang w:val="en-ID"/>
              </w:rPr>
              <m:t>bi</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i</m:t>
            </m:r>
          </m:sub>
        </m:sSub>
        <m:f>
          <m:fPr>
            <m:ctrlPr>
              <w:rPr>
                <w:rFonts w:ascii="Cambria Math" w:hAnsi="Cambria Math"/>
                <w:lang w:val="en-ID"/>
              </w:rPr>
            </m:ctrlPr>
          </m:fPr>
          <m:num>
            <m:r>
              <w:rPr>
                <w:rFonts w:ascii="Cambria Math" w:hAnsi="Cambria Math"/>
                <w:lang w:val="en-ID"/>
              </w:rPr>
              <m:t>D</m:t>
            </m:r>
          </m:num>
          <m:den>
            <m:r>
              <m:rPr>
                <m:sty m:val="p"/>
              </m:rPr>
              <w:rPr>
                <w:rFonts w:ascii="Cambria Math" w:hAnsi="Cambria Math"/>
                <w:lang w:val="en-ID"/>
              </w:rPr>
              <m:t>2</m:t>
            </m:r>
            <m:r>
              <w:rPr>
                <w:rFonts w:ascii="Cambria Math" w:hAnsi="Cambria Math"/>
                <w:lang w:val="en-ID"/>
              </w:rPr>
              <m:t>q</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i</m:t>
            </m:r>
          </m:sub>
        </m:sSub>
        <m:f>
          <m:fPr>
            <m:ctrlPr>
              <w:rPr>
                <w:rFonts w:ascii="Cambria Math" w:hAnsi="Cambria Math"/>
                <w:lang w:val="en-ID"/>
              </w:rPr>
            </m:ctrlPr>
          </m:fPr>
          <m:num>
            <m:r>
              <w:rPr>
                <w:rFonts w:ascii="Cambria Math" w:hAnsi="Cambria Math"/>
                <w:lang w:val="en-ID"/>
              </w:rPr>
              <m:t>q</m:t>
            </m:r>
          </m:num>
          <m:den>
            <m:r>
              <m:rPr>
                <m:sty m:val="p"/>
              </m:rPr>
              <w:rPr>
                <w:rFonts w:ascii="Cambria Math" w:hAnsi="Cambria Math"/>
                <w:lang w:val="en-ID"/>
              </w:rPr>
              <m:t>2</m:t>
            </m:r>
          </m:den>
        </m:f>
      </m:oMath>
      <w:r>
        <w:rPr>
          <w:lang w:val="en-ID"/>
        </w:rPr>
        <w:tab/>
      </w:r>
      <w:r w:rsidRPr="00DB714D">
        <w:rPr>
          <w:lang w:val="en-ID"/>
        </w:rPr>
        <w:t>(4)</w:t>
      </w:r>
    </w:p>
    <w:p w14:paraId="40AB5ED5" w14:textId="0FB87A81" w:rsidR="00DB714D" w:rsidRPr="00DB714D" w:rsidRDefault="00000000" w:rsidP="00142DEA">
      <w:pPr>
        <w:pStyle w:val="Equation"/>
        <w:rPr>
          <w:lang w:val="en-ID"/>
        </w:rPr>
      </w:pPr>
      <m:oMath>
        <m:sSub>
          <m:sSubPr>
            <m:ctrlPr>
              <w:rPr>
                <w:rFonts w:ascii="Cambria Math" w:hAnsi="Cambria Math"/>
                <w:lang w:val="en-ID"/>
              </w:rPr>
            </m:ctrlPr>
          </m:sSubPr>
          <m:e>
            <m:r>
              <w:rPr>
                <w:rFonts w:ascii="Cambria Math" w:hAnsi="Cambria Math"/>
                <w:lang w:val="en-ID"/>
              </w:rPr>
              <m:t>TIC</m:t>
            </m:r>
          </m:e>
          <m:sub>
            <m:r>
              <w:rPr>
                <w:rFonts w:ascii="Cambria Math" w:hAnsi="Cambria Math"/>
                <w:lang w:val="en-ID"/>
              </w:rPr>
              <m:t>bi</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i</m:t>
            </m:r>
          </m:sub>
        </m:sSub>
        <m:f>
          <m:fPr>
            <m:ctrlPr>
              <w:rPr>
                <w:rFonts w:ascii="Cambria Math" w:hAnsi="Cambria Math"/>
                <w:lang w:val="en-ID"/>
              </w:rPr>
            </m:ctrlPr>
          </m:fPr>
          <m:num>
            <m:r>
              <w:rPr>
                <w:rFonts w:ascii="Cambria Math" w:hAnsi="Cambria Math"/>
                <w:lang w:val="en-ID"/>
              </w:rPr>
              <m:t>Dn</m:t>
            </m:r>
          </m:num>
          <m:den>
            <m:r>
              <m:rPr>
                <m:sty m:val="p"/>
              </m:rPr>
              <w:rPr>
                <w:rFonts w:ascii="Cambria Math" w:hAnsi="Cambria Math"/>
                <w:lang w:val="en-ID"/>
              </w:rPr>
              <m:t>2</m:t>
            </m:r>
            <m:r>
              <w:rPr>
                <w:rFonts w:ascii="Cambria Math" w:hAnsi="Cambria Math"/>
                <w:lang w:val="en-ID"/>
              </w:rPr>
              <m:t>Q</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i</m:t>
            </m:r>
          </m:sub>
        </m:sSub>
        <m:f>
          <m:fPr>
            <m:ctrlPr>
              <w:rPr>
                <w:rFonts w:ascii="Cambria Math" w:hAnsi="Cambria Math"/>
                <w:lang w:val="en-ID"/>
              </w:rPr>
            </m:ctrlPr>
          </m:fPr>
          <m:num>
            <m:r>
              <w:rPr>
                <w:rFonts w:ascii="Cambria Math" w:hAnsi="Cambria Math"/>
                <w:lang w:val="en-ID"/>
              </w:rPr>
              <m:t>Q</m:t>
            </m:r>
          </m:num>
          <m:den>
            <m:r>
              <m:rPr>
                <m:sty m:val="p"/>
              </m:rPr>
              <w:rPr>
                <w:rFonts w:ascii="Cambria Math" w:hAnsi="Cambria Math"/>
                <w:lang w:val="en-ID"/>
              </w:rPr>
              <m:t>2</m:t>
            </m:r>
            <m:r>
              <w:rPr>
                <w:rFonts w:ascii="Cambria Math" w:hAnsi="Cambria Math"/>
                <w:lang w:val="en-ID"/>
              </w:rPr>
              <m:t>n</m:t>
            </m:r>
          </m:den>
        </m:f>
      </m:oMath>
      <w:r w:rsidR="00DB714D" w:rsidRPr="00DB714D">
        <w:rPr>
          <w:lang w:val="en-ID"/>
        </w:rPr>
        <w:tab/>
        <w:t>(5)</w:t>
      </w:r>
    </w:p>
    <w:p w14:paraId="0961FB2E" w14:textId="059FA67D" w:rsidR="00DB714D" w:rsidRPr="00E66069" w:rsidRDefault="00E66069" w:rsidP="00DB714D">
      <w:pPr>
        <w:pStyle w:val="Paragraph"/>
        <w:rPr>
          <w:rStyle w:val="Emphasis"/>
        </w:rPr>
      </w:pPr>
      <w:r>
        <w:rPr>
          <w:rStyle w:val="Emphasis"/>
        </w:rPr>
        <w:t>O</w:t>
      </w:r>
      <w:r w:rsidR="00DB714D" w:rsidRPr="00E66069">
        <w:rPr>
          <w:rStyle w:val="Emphasis"/>
        </w:rPr>
        <w:t>rder cycle time</w:t>
      </w:r>
      <w:r>
        <w:rPr>
          <w:rStyle w:val="Emphasis"/>
        </w:rPr>
        <w:t>:</w:t>
      </w:r>
    </w:p>
    <w:p w14:paraId="0EEDD979" w14:textId="6B1825CC" w:rsidR="00DB714D" w:rsidRPr="00DB714D" w:rsidRDefault="00000000" w:rsidP="00E66069">
      <w:pPr>
        <w:pStyle w:val="Equation"/>
        <w:rPr>
          <w:lang w:val="en-ID"/>
        </w:rPr>
      </w:pPr>
      <m:oMath>
        <m:sSub>
          <m:sSubPr>
            <m:ctrlPr>
              <w:rPr>
                <w:rFonts w:ascii="Cambria Math" w:hAnsi="Cambria Math"/>
                <w:lang w:val="en-ID"/>
              </w:rPr>
            </m:ctrlPr>
          </m:sSubPr>
          <m:e>
            <m:r>
              <w:rPr>
                <w:rFonts w:ascii="Cambria Math" w:hAnsi="Cambria Math"/>
                <w:lang w:val="en-ID"/>
              </w:rPr>
              <m:t>t</m:t>
            </m:r>
          </m:e>
          <m:sub>
            <m:r>
              <w:rPr>
                <w:rFonts w:ascii="Cambria Math" w:hAnsi="Cambria Math"/>
                <w:lang w:val="en-ID"/>
              </w:rPr>
              <m:t>i</m:t>
            </m:r>
          </m:sub>
        </m:sSub>
        <m:r>
          <m:rPr>
            <m:sty m:val="p"/>
          </m:rPr>
          <w:rPr>
            <w:rFonts w:ascii="Cambria Math" w:hAnsi="Cambria Math"/>
            <w:lang w:val="en-ID"/>
          </w:rPr>
          <m:t>=</m:t>
        </m:r>
        <m:f>
          <m:fPr>
            <m:type m:val="skw"/>
            <m:ctrlPr>
              <w:rPr>
                <w:rFonts w:ascii="Cambria Math" w:hAnsi="Cambria Math"/>
                <w:lang w:val="en-ID"/>
              </w:rPr>
            </m:ctrlPr>
          </m:fPr>
          <m:num>
            <m:r>
              <m:rPr>
                <m:sty m:val="p"/>
              </m:rPr>
              <w:rPr>
                <w:rFonts w:ascii="Cambria Math" w:hAnsi="Cambria Math"/>
                <w:lang w:val="en-ID"/>
              </w:rPr>
              <m:t>2</m:t>
            </m:r>
            <m:r>
              <w:rPr>
                <w:rFonts w:ascii="Cambria Math" w:hAnsi="Cambria Math"/>
                <w:lang w:val="en-ID"/>
              </w:rPr>
              <m:t>q</m:t>
            </m:r>
          </m:num>
          <m:den>
            <m:r>
              <w:rPr>
                <w:rFonts w:ascii="Cambria Math" w:hAnsi="Cambria Math"/>
                <w:lang w:val="en-ID"/>
              </w:rPr>
              <m:t>D</m:t>
            </m:r>
          </m:den>
        </m:f>
      </m:oMath>
      <w:r w:rsidR="00DB714D" w:rsidRPr="00DB714D">
        <w:rPr>
          <w:lang w:val="en-ID"/>
        </w:rPr>
        <w:tab/>
        <w:t>(6)</w:t>
      </w:r>
    </w:p>
    <w:p w14:paraId="55BCAE8E" w14:textId="77777777" w:rsidR="00DB714D" w:rsidRPr="00E66069" w:rsidRDefault="00DB714D" w:rsidP="00DB714D">
      <w:pPr>
        <w:pStyle w:val="Paragraph"/>
        <w:rPr>
          <w:rStyle w:val="Emphasis"/>
        </w:rPr>
      </w:pPr>
      <w:r w:rsidRPr="00E66069">
        <w:rPr>
          <w:rStyle w:val="Emphasis"/>
        </w:rPr>
        <w:t>Equation for calculating total inventory cost:</w:t>
      </w:r>
    </w:p>
    <w:p w14:paraId="42814EE2" w14:textId="69CD069E" w:rsidR="00DB714D" w:rsidRPr="00DB714D" w:rsidRDefault="00DB714D" w:rsidP="00E66069">
      <w:pPr>
        <w:pStyle w:val="Equation"/>
      </w:pPr>
      <m:oMath>
        <m:r>
          <w:rPr>
            <w:rFonts w:ascii="Cambria Math" w:hAnsi="Cambria Math"/>
          </w:rPr>
          <m:t>TIC</m:t>
        </m:r>
        <m:r>
          <m:rPr>
            <m:sty m:val="p"/>
          </m:rPr>
          <w:rPr>
            <w:rFonts w:ascii="Cambria Math" w:hAnsi="Cambria Math"/>
          </w:rPr>
          <m:t>=</m:t>
        </m:r>
        <m:sSub>
          <m:sSubPr>
            <m:ctrlPr>
              <w:rPr>
                <w:rFonts w:ascii="Cambria Math" w:hAnsi="Cambria Math"/>
              </w:rPr>
            </m:ctrlPr>
          </m:sSubPr>
          <m:e>
            <m:r>
              <w:rPr>
                <w:rFonts w:ascii="Cambria Math" w:hAnsi="Cambria Math"/>
              </w:rPr>
              <m:t>TIC</m:t>
            </m:r>
          </m:e>
          <m:sub>
            <m:r>
              <w:rPr>
                <w:rFonts w:ascii="Cambria Math" w:hAnsi="Cambria Math"/>
              </w:rPr>
              <m:t>P</m:t>
            </m:r>
          </m:sub>
        </m:sSub>
        <m:r>
          <m:rPr>
            <m:sty m:val="p"/>
          </m:rPr>
          <w:rPr>
            <w:rFonts w:ascii="Cambria Math" w:hAnsi="Cambria Math"/>
          </w:rPr>
          <m:t>+</m:t>
        </m:r>
        <m:sSub>
          <m:sSubPr>
            <m:ctrlPr>
              <w:rPr>
                <w:rFonts w:ascii="Cambria Math" w:hAnsi="Cambria Math"/>
              </w:rPr>
            </m:ctrlPr>
          </m:sSubPr>
          <m:e>
            <m:r>
              <w:rPr>
                <w:rFonts w:ascii="Cambria Math" w:hAnsi="Cambria Math"/>
              </w:rPr>
              <m:t>TIC</m:t>
            </m:r>
          </m:e>
          <m:sub>
            <m:r>
              <w:rPr>
                <w:rFonts w:ascii="Cambria Math" w:hAnsi="Cambria Math"/>
              </w:rPr>
              <m:t>b</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TIC</m:t>
            </m:r>
          </m:e>
          <m:sub>
            <m:r>
              <w:rPr>
                <w:rFonts w:ascii="Cambria Math" w:hAnsi="Cambria Math"/>
              </w:rPr>
              <m:t>b</m:t>
            </m:r>
            <m:r>
              <m:rPr>
                <m:sty m:val="p"/>
              </m:rPr>
              <w:rPr>
                <w:rFonts w:ascii="Cambria Math" w:hAnsi="Cambria Math"/>
              </w:rPr>
              <m:t>2</m:t>
            </m:r>
          </m:sub>
        </m:sSub>
      </m:oMath>
      <w:r w:rsidRPr="00DB714D">
        <w:tab/>
      </w:r>
      <w:r w:rsidR="00E66069">
        <w:t>(</w:t>
      </w:r>
      <w:r w:rsidR="00D67FFB">
        <w:t>7</w:t>
      </w:r>
      <w:r w:rsidR="00E66069">
        <w:t>)</w:t>
      </w:r>
    </w:p>
    <w:p w14:paraId="75BC1102" w14:textId="55EA0395" w:rsidR="00DB714D" w:rsidRPr="00DB714D" w:rsidRDefault="00DB714D" w:rsidP="00D67FFB">
      <w:pPr>
        <w:pStyle w:val="Equation"/>
      </w:pPr>
      <m:oMath>
        <m:r>
          <w:rPr>
            <w:rFonts w:ascii="Cambria Math" w:hAnsi="Cambria Math"/>
          </w:rPr>
          <m:t>TIC</m:t>
        </m:r>
        <m:r>
          <m:rPr>
            <m:sty m:val="p"/>
          </m:rPr>
          <w:rPr>
            <w:rFonts w:ascii="Cambria Math" w:hAnsi="Cambria Math"/>
          </w:rPr>
          <m:t>=</m:t>
        </m:r>
        <m:sSub>
          <m:sSubPr>
            <m:ctrlPr>
              <w:rPr>
                <w:rFonts w:ascii="Cambria Math" w:hAnsi="Cambria Math"/>
              </w:rPr>
            </m:ctrlPr>
          </m:sSubPr>
          <m:e>
            <m:r>
              <w:rPr>
                <w:rFonts w:ascii="Cambria Math" w:hAnsi="Cambria Math"/>
              </w:rPr>
              <m:t>Cr</m:t>
            </m:r>
          </m:e>
          <m:sub>
            <m:r>
              <w:rPr>
                <w:rFonts w:ascii="Cambria Math" w:hAnsi="Cambria Math"/>
              </w:rPr>
              <m:t>p</m:t>
            </m:r>
          </m:sub>
        </m:sSub>
        <m:f>
          <m:fPr>
            <m:ctrlPr>
              <w:rPr>
                <w:rFonts w:ascii="Cambria Math" w:hAnsi="Cambria Math"/>
              </w:rPr>
            </m:ctrlPr>
          </m:fPr>
          <m:num>
            <m:r>
              <w:rPr>
                <w:rFonts w:ascii="Cambria Math" w:hAnsi="Cambria Math"/>
              </w:rPr>
              <m:t>D</m:t>
            </m:r>
          </m:num>
          <m:den>
            <m:r>
              <w:rPr>
                <w:rFonts w:ascii="Cambria Math" w:hAnsi="Cambria Math"/>
              </w:rPr>
              <m:t>Q</m:t>
            </m:r>
          </m:den>
        </m:f>
        <m:r>
          <m:rPr>
            <m:sty m:val="p"/>
          </m:rPr>
          <w:rPr>
            <w:rFonts w:ascii="Cambria Math" w:hAnsi="Cambria Math"/>
          </w:rPr>
          <m:t>+</m:t>
        </m:r>
        <m:sSub>
          <m:sSubPr>
            <m:ctrlPr>
              <w:rPr>
                <w:rFonts w:ascii="Cambria Math" w:hAnsi="Cambria Math"/>
              </w:rPr>
            </m:ctrlPr>
          </m:sSubPr>
          <m:e>
            <m:r>
              <w:rPr>
                <w:rFonts w:ascii="Cambria Math" w:hAnsi="Cambria Math"/>
              </w:rPr>
              <m:t>Ch</m:t>
            </m:r>
          </m:e>
          <m:sub>
            <m:r>
              <w:rPr>
                <w:rFonts w:ascii="Cambria Math" w:hAnsi="Cambria Math"/>
              </w:rPr>
              <m:t>p</m:t>
            </m:r>
          </m:sub>
        </m:sSub>
        <m:f>
          <m:fPr>
            <m:ctrlPr>
              <w:rPr>
                <w:rFonts w:ascii="Cambria Math" w:hAnsi="Cambria Math"/>
              </w:rPr>
            </m:ctrlPr>
          </m:fPr>
          <m:num>
            <m:r>
              <w:rPr>
                <w:rFonts w:ascii="Cambria Math" w:hAnsi="Cambria Math"/>
              </w:rPr>
              <m:t>Q</m:t>
            </m:r>
          </m:num>
          <m:den>
            <m:r>
              <m:rPr>
                <m:sty m:val="p"/>
              </m:rPr>
              <w:rPr>
                <w:rFonts w:ascii="Cambria Math" w:hAnsi="Cambria Math"/>
              </w:rPr>
              <m:t>2.</m:t>
            </m:r>
            <m:r>
              <w:rPr>
                <w:rFonts w:ascii="Cambria Math" w:hAnsi="Cambria Math"/>
              </w:rPr>
              <m:t>n</m:t>
            </m:r>
          </m:den>
        </m:f>
        <m:d>
          <m:dPr>
            <m:begChr m:val="["/>
            <m:endChr m:val="]"/>
            <m:ctrlPr>
              <w:rPr>
                <w:rFonts w:ascii="Cambria Math" w:hAnsi="Cambria Math"/>
              </w:rPr>
            </m:ctrlPr>
          </m:dPr>
          <m:e>
            <m:r>
              <m:rPr>
                <m:sty m:val="p"/>
              </m:rPr>
              <w:rPr>
                <w:rFonts w:ascii="Cambria Math" w:hAnsi="Cambria Math"/>
              </w:rPr>
              <m:t>1+</m:t>
            </m:r>
            <m:r>
              <w:rPr>
                <w:rFonts w:ascii="Cambria Math" w:hAnsi="Cambria Math"/>
              </w:rPr>
              <m:t>n</m:t>
            </m:r>
            <m:d>
              <m:dPr>
                <m:ctrlPr>
                  <w:rPr>
                    <w:rFonts w:ascii="Cambria Math" w:hAnsi="Cambria Math"/>
                  </w:rPr>
                </m:ctrlPr>
              </m:dPr>
              <m:e>
                <m:r>
                  <m:rPr>
                    <m:sty m:val="p"/>
                  </m:rPr>
                  <w:rPr>
                    <w:rFonts w:ascii="Cambria Math" w:hAnsi="Cambria Math"/>
                  </w:rPr>
                  <m:t>1-</m:t>
                </m:r>
                <m:f>
                  <m:fPr>
                    <m:type m:val="skw"/>
                    <m:ctrlPr>
                      <w:rPr>
                        <w:rFonts w:ascii="Cambria Math" w:hAnsi="Cambria Math"/>
                      </w:rPr>
                    </m:ctrlPr>
                  </m:fPr>
                  <m:num>
                    <m:r>
                      <w:rPr>
                        <w:rFonts w:ascii="Cambria Math" w:hAnsi="Cambria Math"/>
                      </w:rPr>
                      <m:t>D</m:t>
                    </m:r>
                  </m:num>
                  <m:den>
                    <m:r>
                      <w:rPr>
                        <w:rFonts w:ascii="Cambria Math" w:hAnsi="Cambria Math"/>
                      </w:rPr>
                      <m:t>P</m:t>
                    </m:r>
                  </m:den>
                </m:f>
              </m:e>
            </m:d>
          </m:e>
        </m:d>
        <m:r>
          <m:rPr>
            <m:sty m:val="p"/>
          </m:rPr>
          <w:rPr>
            <w:rFonts w:ascii="Cambria Math" w:hAnsi="Cambria Math"/>
          </w:rPr>
          <m:t>+</m:t>
        </m:r>
        <m:sSub>
          <m:sSubPr>
            <m:ctrlPr>
              <w:rPr>
                <w:rFonts w:ascii="Cambria Math" w:hAnsi="Cambria Math"/>
              </w:rPr>
            </m:ctrlPr>
          </m:sSubPr>
          <m:e>
            <m:r>
              <w:rPr>
                <w:rFonts w:ascii="Cambria Math" w:hAnsi="Cambria Math"/>
              </w:rPr>
              <m:t>Cr</m:t>
            </m:r>
          </m:e>
          <m:sub>
            <m:r>
              <m:rPr>
                <m:sty m:val="p"/>
              </m:rPr>
              <w:rPr>
                <w:rFonts w:ascii="Cambria Math" w:hAnsi="Cambria Math"/>
              </w:rPr>
              <m:t>1</m:t>
            </m:r>
          </m:sub>
        </m:sSub>
        <m:f>
          <m:fPr>
            <m:ctrlPr>
              <w:rPr>
                <w:rFonts w:ascii="Cambria Math" w:hAnsi="Cambria Math"/>
              </w:rPr>
            </m:ctrlPr>
          </m:fPr>
          <m:num>
            <m:r>
              <w:rPr>
                <w:rFonts w:ascii="Cambria Math" w:hAnsi="Cambria Math"/>
              </w:rPr>
              <m:t>Dn</m:t>
            </m:r>
          </m:num>
          <m:den>
            <m:r>
              <m:rPr>
                <m:sty m:val="p"/>
              </m:rPr>
              <w:rPr>
                <w:rFonts w:ascii="Cambria Math" w:hAnsi="Cambria Math"/>
              </w:rPr>
              <m:t>2</m:t>
            </m:r>
            <m:r>
              <w:rPr>
                <w:rFonts w:ascii="Cambria Math" w:hAnsi="Cambria Math"/>
              </w:rPr>
              <m:t>Q</m:t>
            </m:r>
          </m:den>
        </m:f>
      </m:oMath>
      <w:r w:rsidRPr="00DB714D">
        <w:tab/>
      </w:r>
    </w:p>
    <w:p w14:paraId="4AE582EC" w14:textId="4FFD121A" w:rsidR="00DB714D" w:rsidRPr="00DB714D" w:rsidRDefault="00DB714D" w:rsidP="00D67FFB">
      <w:pPr>
        <w:pStyle w:val="Equation"/>
      </w:pPr>
      <m:oMath>
        <m:r>
          <m:rPr>
            <m:sty m:val="p"/>
          </m:rPr>
          <w:rPr>
            <w:rFonts w:ascii="Cambria Math" w:hAnsi="Cambria Math"/>
          </w:rPr>
          <m:t>+</m:t>
        </m:r>
        <m:sSub>
          <m:sSubPr>
            <m:ctrlPr>
              <w:rPr>
                <w:rFonts w:ascii="Cambria Math" w:hAnsi="Cambria Math"/>
              </w:rPr>
            </m:ctrlPr>
          </m:sSubPr>
          <m:e>
            <m:r>
              <w:rPr>
                <w:rFonts w:ascii="Cambria Math" w:hAnsi="Cambria Math"/>
              </w:rPr>
              <m:t>Ch</m:t>
            </m:r>
          </m:e>
          <m:sub>
            <m:r>
              <m:rPr>
                <m:sty m:val="p"/>
              </m:rPr>
              <w:rPr>
                <w:rFonts w:ascii="Cambria Math" w:hAnsi="Cambria Math"/>
              </w:rPr>
              <m:t>1</m:t>
            </m:r>
          </m:sub>
        </m:sSub>
        <m:f>
          <m:fPr>
            <m:ctrlPr>
              <w:rPr>
                <w:rFonts w:ascii="Cambria Math" w:hAnsi="Cambria Math"/>
              </w:rPr>
            </m:ctrlPr>
          </m:fPr>
          <m:num>
            <m:r>
              <w:rPr>
                <w:rFonts w:ascii="Cambria Math" w:hAnsi="Cambria Math"/>
              </w:rPr>
              <m:t>Q</m:t>
            </m:r>
          </m:num>
          <m:den>
            <m:r>
              <m:rPr>
                <m:sty m:val="p"/>
              </m:rPr>
              <w:rPr>
                <w:rFonts w:ascii="Cambria Math" w:hAnsi="Cambria Math"/>
              </w:rPr>
              <m:t>2</m:t>
            </m:r>
            <m:r>
              <w:rPr>
                <w:rFonts w:ascii="Cambria Math" w:hAnsi="Cambria Math"/>
              </w:rPr>
              <m:t>n</m:t>
            </m:r>
          </m:den>
        </m:f>
        <m:r>
          <m:rPr>
            <m:sty m:val="p"/>
          </m:rPr>
          <w:rPr>
            <w:rFonts w:ascii="Cambria Math" w:hAnsi="Cambria Math"/>
          </w:rPr>
          <m:t>+</m:t>
        </m:r>
        <m:sSub>
          <m:sSubPr>
            <m:ctrlPr>
              <w:rPr>
                <w:rFonts w:ascii="Cambria Math" w:hAnsi="Cambria Math"/>
              </w:rPr>
            </m:ctrlPr>
          </m:sSubPr>
          <m:e>
            <m:r>
              <w:rPr>
                <w:rFonts w:ascii="Cambria Math" w:hAnsi="Cambria Math"/>
              </w:rPr>
              <m:t>Cr</m:t>
            </m:r>
          </m:e>
          <m:sub>
            <m:r>
              <m:rPr>
                <m:sty m:val="p"/>
              </m:rPr>
              <w:rPr>
                <w:rFonts w:ascii="Cambria Math" w:hAnsi="Cambria Math"/>
              </w:rPr>
              <m:t>2</m:t>
            </m:r>
          </m:sub>
        </m:sSub>
        <m:f>
          <m:fPr>
            <m:ctrlPr>
              <w:rPr>
                <w:rFonts w:ascii="Cambria Math" w:hAnsi="Cambria Math"/>
              </w:rPr>
            </m:ctrlPr>
          </m:fPr>
          <m:num>
            <m:r>
              <w:rPr>
                <w:rFonts w:ascii="Cambria Math" w:hAnsi="Cambria Math"/>
              </w:rPr>
              <m:t>Dn</m:t>
            </m:r>
          </m:num>
          <m:den>
            <m:r>
              <m:rPr>
                <m:sty m:val="p"/>
              </m:rPr>
              <w:rPr>
                <w:rFonts w:ascii="Cambria Math" w:hAnsi="Cambria Math"/>
              </w:rPr>
              <m:t>2</m:t>
            </m:r>
            <m:r>
              <w:rPr>
                <w:rFonts w:ascii="Cambria Math" w:hAnsi="Cambria Math"/>
              </w:rPr>
              <m:t>Q</m:t>
            </m:r>
          </m:den>
        </m:f>
        <m:r>
          <m:rPr>
            <m:sty m:val="p"/>
          </m:rPr>
          <w:rPr>
            <w:rFonts w:ascii="Cambria Math" w:hAnsi="Cambria Math"/>
          </w:rPr>
          <m:t>+</m:t>
        </m:r>
        <m:sSub>
          <m:sSubPr>
            <m:ctrlPr>
              <w:rPr>
                <w:rFonts w:ascii="Cambria Math" w:hAnsi="Cambria Math"/>
              </w:rPr>
            </m:ctrlPr>
          </m:sSubPr>
          <m:e>
            <m:r>
              <w:rPr>
                <w:rFonts w:ascii="Cambria Math" w:hAnsi="Cambria Math"/>
              </w:rPr>
              <m:t>Ch</m:t>
            </m:r>
          </m:e>
          <m:sub>
            <m:r>
              <m:rPr>
                <m:sty m:val="p"/>
              </m:rPr>
              <w:rPr>
                <w:rFonts w:ascii="Cambria Math" w:hAnsi="Cambria Math"/>
              </w:rPr>
              <m:t>2</m:t>
            </m:r>
          </m:sub>
        </m:sSub>
        <m:f>
          <m:fPr>
            <m:ctrlPr>
              <w:rPr>
                <w:rFonts w:ascii="Cambria Math" w:hAnsi="Cambria Math"/>
              </w:rPr>
            </m:ctrlPr>
          </m:fPr>
          <m:num>
            <m:r>
              <w:rPr>
                <w:rFonts w:ascii="Cambria Math" w:hAnsi="Cambria Math"/>
              </w:rPr>
              <m:t>Q</m:t>
            </m:r>
          </m:num>
          <m:den>
            <m:r>
              <m:rPr>
                <m:sty m:val="p"/>
              </m:rPr>
              <w:rPr>
                <w:rFonts w:ascii="Cambria Math" w:hAnsi="Cambria Math"/>
              </w:rPr>
              <m:t>2</m:t>
            </m:r>
            <m:r>
              <w:rPr>
                <w:rFonts w:ascii="Cambria Math" w:hAnsi="Cambria Math"/>
              </w:rPr>
              <m:t>n</m:t>
            </m:r>
          </m:den>
        </m:f>
      </m:oMath>
      <w:r w:rsidRPr="00DB714D">
        <w:tab/>
        <w:t>(</w:t>
      </w:r>
      <w:r w:rsidR="00D67FFB">
        <w:t>8</w:t>
      </w:r>
      <w:r w:rsidRPr="00DB714D">
        <w:t>)</w:t>
      </w:r>
    </w:p>
    <w:p w14:paraId="61DC61B0" w14:textId="77777777" w:rsidR="00DB714D" w:rsidRDefault="00DB714D" w:rsidP="00DB714D">
      <w:pPr>
        <w:pStyle w:val="Paragraph"/>
        <w:rPr>
          <w:rStyle w:val="Emphasis"/>
        </w:rPr>
      </w:pPr>
      <w:r w:rsidRPr="00D67FFB">
        <w:rPr>
          <w:rStyle w:val="Emphasis"/>
        </w:rPr>
        <w:t>Production quantity equation of products per cycle derived from TIC:</w:t>
      </w:r>
    </w:p>
    <w:p w14:paraId="5E9C817D" w14:textId="474E33FC" w:rsidR="00DB714D" w:rsidRPr="00DB714D" w:rsidRDefault="00000000" w:rsidP="00D67FFB">
      <w:pPr>
        <w:pStyle w:val="Equation"/>
        <w:rPr>
          <w:lang w:val="en-ID"/>
        </w:rPr>
      </w:pPr>
      <m:oMath>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p</m:t>
            </m:r>
          </m:sub>
        </m:sSub>
        <m:f>
          <m:fPr>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f>
          <m:fPr>
            <m:ctrlPr>
              <w:rPr>
                <w:rFonts w:ascii="Cambria Math" w:hAnsi="Cambria Math"/>
                <w:lang w:val="en-ID"/>
              </w:rPr>
            </m:ctrlPr>
          </m:fPr>
          <m:num>
            <m:r>
              <w:rPr>
                <w:rFonts w:ascii="Cambria Math" w:hAnsi="Cambria Math"/>
                <w:lang w:val="en-ID"/>
              </w:rPr>
              <m:t>Q</m:t>
            </m:r>
          </m:num>
          <m:den>
            <m:r>
              <m:rPr>
                <m:sty m:val="p"/>
              </m:rPr>
              <w:rPr>
                <w:rFonts w:ascii="Cambria Math" w:hAnsi="Cambria Math"/>
                <w:lang w:val="en-ID"/>
              </w:rPr>
              <m:t>2.</m:t>
            </m:r>
            <m:r>
              <w:rPr>
                <w:rFonts w:ascii="Cambria Math" w:hAnsi="Cambria Math"/>
                <w:lang w:val="en-ID"/>
              </w:rPr>
              <m:t>n</m:t>
            </m:r>
          </m:den>
        </m:f>
        <m:d>
          <m:dPr>
            <m:begChr m:val="["/>
            <m:endChr m:val="]"/>
            <m:ctrlPr>
              <w:rPr>
                <w:rFonts w:ascii="Cambria Math" w:hAnsi="Cambria Math"/>
                <w:lang w:val="en-ID"/>
              </w:rPr>
            </m:ctrlPr>
          </m:dPr>
          <m:e>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e>
        </m:d>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f>
          <m:fPr>
            <m:ctrlPr>
              <w:rPr>
                <w:rFonts w:ascii="Cambria Math" w:hAnsi="Cambria Math"/>
                <w:lang w:val="en-ID"/>
              </w:rPr>
            </m:ctrlPr>
          </m:fPr>
          <m:num>
            <m:r>
              <w:rPr>
                <w:rFonts w:ascii="Cambria Math" w:hAnsi="Cambria Math"/>
                <w:lang w:val="en-ID"/>
              </w:rPr>
              <m:t>Dn</m:t>
            </m:r>
          </m:num>
          <m:den>
            <m:r>
              <m:rPr>
                <m:sty m:val="p"/>
              </m:rPr>
              <w:rPr>
                <w:rFonts w:ascii="Cambria Math" w:hAnsi="Cambria Math"/>
                <w:lang w:val="en-ID"/>
              </w:rPr>
              <m:t>2</m:t>
            </m:r>
            <m:r>
              <w:rPr>
                <w:rFonts w:ascii="Cambria Math" w:hAnsi="Cambria Math"/>
                <w:lang w:val="en-ID"/>
              </w:rPr>
              <m:t>Q</m:t>
            </m:r>
          </m:den>
        </m:f>
      </m:oMath>
      <w:r w:rsidR="00DB714D" w:rsidRPr="00DB714D">
        <w:rPr>
          <w:lang w:val="en-ID"/>
        </w:rPr>
        <w:tab/>
      </w:r>
    </w:p>
    <w:p w14:paraId="35208F79" w14:textId="68653E3F" w:rsidR="00DB714D" w:rsidRPr="00DB714D" w:rsidRDefault="00DB714D" w:rsidP="00D67FFB">
      <w:pPr>
        <w:pStyle w:val="Equation"/>
        <w:rPr>
          <w:lang w:val="en-ID"/>
        </w:rPr>
      </w:pPr>
      <m:oMath>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f>
          <m:fPr>
            <m:ctrlPr>
              <w:rPr>
                <w:rFonts w:ascii="Cambria Math" w:hAnsi="Cambria Math"/>
                <w:lang w:val="en-ID"/>
              </w:rPr>
            </m:ctrlPr>
          </m:fPr>
          <m:num>
            <m:r>
              <w:rPr>
                <w:rFonts w:ascii="Cambria Math" w:hAnsi="Cambria Math"/>
                <w:lang w:val="en-ID"/>
              </w:rPr>
              <m:t>Q</m:t>
            </m:r>
          </m:num>
          <m:den>
            <m:r>
              <m:rPr>
                <m:sty m:val="p"/>
              </m:rPr>
              <w:rPr>
                <w:rFonts w:ascii="Cambria Math" w:hAnsi="Cambria Math"/>
                <w:lang w:val="en-ID"/>
              </w:rPr>
              <m:t>2</m:t>
            </m:r>
            <m:r>
              <w:rPr>
                <w:rFonts w:ascii="Cambria Math" w:hAnsi="Cambria Math"/>
                <w:lang w:val="en-ID"/>
              </w:rPr>
              <m:t>n</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f>
          <m:fPr>
            <m:ctrlPr>
              <w:rPr>
                <w:rFonts w:ascii="Cambria Math" w:hAnsi="Cambria Math"/>
                <w:lang w:val="en-ID"/>
              </w:rPr>
            </m:ctrlPr>
          </m:fPr>
          <m:num>
            <m:r>
              <w:rPr>
                <w:rFonts w:ascii="Cambria Math" w:hAnsi="Cambria Math"/>
                <w:lang w:val="en-ID"/>
              </w:rPr>
              <m:t>Dn</m:t>
            </m:r>
          </m:num>
          <m:den>
            <m:r>
              <m:rPr>
                <m:sty m:val="p"/>
              </m:rPr>
              <w:rPr>
                <w:rFonts w:ascii="Cambria Math" w:hAnsi="Cambria Math"/>
                <w:lang w:val="en-ID"/>
              </w:rPr>
              <m:t>2</m:t>
            </m:r>
            <m:r>
              <w:rPr>
                <w:rFonts w:ascii="Cambria Math" w:hAnsi="Cambria Math"/>
                <w:lang w:val="en-ID"/>
              </w:rPr>
              <m:t>Q</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f>
          <m:fPr>
            <m:ctrlPr>
              <w:rPr>
                <w:rFonts w:ascii="Cambria Math" w:hAnsi="Cambria Math"/>
                <w:lang w:val="en-ID"/>
              </w:rPr>
            </m:ctrlPr>
          </m:fPr>
          <m:num>
            <m:r>
              <w:rPr>
                <w:rFonts w:ascii="Cambria Math" w:hAnsi="Cambria Math"/>
                <w:lang w:val="en-ID"/>
              </w:rPr>
              <m:t>Q</m:t>
            </m:r>
          </m:num>
          <m:den>
            <m:r>
              <m:rPr>
                <m:sty m:val="p"/>
              </m:rPr>
              <w:rPr>
                <w:rFonts w:ascii="Cambria Math" w:hAnsi="Cambria Math"/>
                <w:lang w:val="en-ID"/>
              </w:rPr>
              <m:t>2</m:t>
            </m:r>
            <m:r>
              <w:rPr>
                <w:rFonts w:ascii="Cambria Math" w:hAnsi="Cambria Math"/>
                <w:lang w:val="en-ID"/>
              </w:rPr>
              <m:t>n</m:t>
            </m:r>
          </m:den>
        </m:f>
      </m:oMath>
      <w:r w:rsidRPr="00DB714D">
        <w:rPr>
          <w:lang w:val="en-ID"/>
        </w:rPr>
        <w:tab/>
      </w:r>
    </w:p>
    <w:p w14:paraId="3D2CE07C" w14:textId="592C2C1A" w:rsidR="00DB714D" w:rsidRPr="00DB714D" w:rsidRDefault="00DB714D" w:rsidP="00D67FFB">
      <w:pPr>
        <w:pStyle w:val="Equation"/>
        <w:rPr>
          <w:lang w:val="en-ID"/>
        </w:rPr>
      </w:pPr>
      <m:oMath>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p</m:t>
            </m:r>
          </m:sub>
        </m:sSub>
        <m:f>
          <m:fPr>
            <m:ctrlPr>
              <w:rPr>
                <w:rFonts w:ascii="Cambria Math" w:hAnsi="Cambria Math"/>
                <w:lang w:val="en-ID"/>
              </w:rPr>
            </m:ctrlPr>
          </m:fPr>
          <m:num>
            <m:r>
              <w:rPr>
                <w:rFonts w:ascii="Cambria Math" w:hAnsi="Cambria Math"/>
                <w:lang w:val="en-ID"/>
              </w:rPr>
              <m:t>D</m:t>
            </m:r>
          </m:num>
          <m:den>
            <m:sSup>
              <m:sSupPr>
                <m:ctrlPr>
                  <w:rPr>
                    <w:rFonts w:ascii="Cambria Math" w:hAnsi="Cambria Math"/>
                    <w:lang w:val="en-ID"/>
                  </w:rPr>
                </m:ctrlPr>
              </m:sSupPr>
              <m:e>
                <m:r>
                  <w:rPr>
                    <w:rFonts w:ascii="Cambria Math" w:hAnsi="Cambria Math"/>
                    <w:lang w:val="en-ID"/>
                  </w:rPr>
                  <m:t>Q</m:t>
                </m:r>
              </m:e>
              <m:sup>
                <m:r>
                  <m:rPr>
                    <m:sty m:val="p"/>
                  </m:rPr>
                  <w:rPr>
                    <w:rFonts w:ascii="Cambria Math" w:hAnsi="Cambria Math"/>
                    <w:lang w:val="en-ID"/>
                  </w:rPr>
                  <m:t>2</m:t>
                </m:r>
              </m:sup>
            </m:sSup>
          </m:den>
        </m:f>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num>
          <m:den>
            <m:r>
              <m:rPr>
                <m:sty m:val="p"/>
              </m:rPr>
              <w:rPr>
                <w:rFonts w:ascii="Cambria Math" w:hAnsi="Cambria Math"/>
                <w:lang w:val="en-ID"/>
              </w:rPr>
              <m:t>2.</m:t>
            </m:r>
            <m:r>
              <w:rPr>
                <w:rFonts w:ascii="Cambria Math" w:hAnsi="Cambria Math"/>
                <w:lang w:val="en-ID"/>
              </w:rPr>
              <m:t>n</m:t>
            </m:r>
          </m:den>
        </m:f>
        <m:d>
          <m:dPr>
            <m:begChr m:val="["/>
            <m:endChr m:val="]"/>
            <m:ctrlPr>
              <w:rPr>
                <w:rFonts w:ascii="Cambria Math" w:hAnsi="Cambria Math"/>
                <w:lang w:val="en-ID"/>
              </w:rPr>
            </m:ctrlPr>
          </m:dPr>
          <m:e>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e>
        </m:d>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f>
          <m:fPr>
            <m:ctrlPr>
              <w:rPr>
                <w:rFonts w:ascii="Cambria Math" w:hAnsi="Cambria Math"/>
                <w:lang w:val="en-ID"/>
              </w:rPr>
            </m:ctrlPr>
          </m:fPr>
          <m:num>
            <m:r>
              <w:rPr>
                <w:rFonts w:ascii="Cambria Math" w:hAnsi="Cambria Math"/>
                <w:lang w:val="en-ID"/>
              </w:rPr>
              <m:t>Dn</m:t>
            </m:r>
          </m:num>
          <m:den>
            <m:r>
              <m:rPr>
                <m:sty m:val="p"/>
              </m:rPr>
              <w:rPr>
                <w:rFonts w:ascii="Cambria Math" w:hAnsi="Cambria Math"/>
                <w:lang w:val="en-ID"/>
              </w:rPr>
              <m:t>2</m:t>
            </m:r>
            <m:sSup>
              <m:sSupPr>
                <m:ctrlPr>
                  <w:rPr>
                    <w:rFonts w:ascii="Cambria Math" w:hAnsi="Cambria Math"/>
                    <w:lang w:val="en-ID"/>
                  </w:rPr>
                </m:ctrlPr>
              </m:sSupPr>
              <m:e>
                <m:r>
                  <w:rPr>
                    <w:rFonts w:ascii="Cambria Math" w:hAnsi="Cambria Math"/>
                    <w:lang w:val="en-ID"/>
                  </w:rPr>
                  <m:t>Q</m:t>
                </m:r>
              </m:e>
              <m:sup>
                <m:r>
                  <m:rPr>
                    <m:sty m:val="p"/>
                  </m:rPr>
                  <w:rPr>
                    <w:rFonts w:ascii="Cambria Math" w:hAnsi="Cambria Math"/>
                    <w:lang w:val="en-ID"/>
                  </w:rPr>
                  <m:t>2</m:t>
                </m:r>
              </m:sup>
            </m:sSup>
          </m:den>
        </m:f>
      </m:oMath>
      <w:r w:rsidRPr="00DB714D">
        <w:rPr>
          <w:lang w:val="en-ID"/>
        </w:rPr>
        <w:tab/>
      </w:r>
    </w:p>
    <w:p w14:paraId="7DACD27B" w14:textId="0046C58A" w:rsidR="00DB714D" w:rsidRPr="00DB714D" w:rsidRDefault="00DB714D" w:rsidP="00D67FFB">
      <w:pPr>
        <w:pStyle w:val="Equation"/>
        <w:rPr>
          <w:lang w:val="en-ID"/>
        </w:rPr>
      </w:pPr>
      <m:oMath>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num>
          <m:den>
            <m:r>
              <m:rPr>
                <m:sty m:val="p"/>
              </m:rPr>
              <w:rPr>
                <w:rFonts w:ascii="Cambria Math" w:hAnsi="Cambria Math"/>
                <w:lang w:val="en-ID"/>
              </w:rPr>
              <m:t>2</m:t>
            </m:r>
            <m:r>
              <w:rPr>
                <w:rFonts w:ascii="Cambria Math" w:hAnsi="Cambria Math"/>
                <w:lang w:val="en-ID"/>
              </w:rPr>
              <m:t>n</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2</m:t>
            </m:r>
          </m:sub>
        </m:sSub>
        <m:f>
          <m:fPr>
            <m:ctrlPr>
              <w:rPr>
                <w:rFonts w:ascii="Cambria Math" w:hAnsi="Cambria Math"/>
                <w:lang w:val="en-ID"/>
              </w:rPr>
            </m:ctrlPr>
          </m:fPr>
          <m:num>
            <m:r>
              <w:rPr>
                <w:rFonts w:ascii="Cambria Math" w:hAnsi="Cambria Math"/>
                <w:lang w:val="en-ID"/>
              </w:rPr>
              <m:t>Dn</m:t>
            </m:r>
          </m:num>
          <m:den>
            <m:r>
              <m:rPr>
                <m:sty m:val="p"/>
              </m:rPr>
              <w:rPr>
                <w:rFonts w:ascii="Cambria Math" w:hAnsi="Cambria Math"/>
                <w:lang w:val="en-ID"/>
              </w:rPr>
              <m:t>2</m:t>
            </m:r>
            <m:sSup>
              <m:sSupPr>
                <m:ctrlPr>
                  <w:rPr>
                    <w:rFonts w:ascii="Cambria Math" w:hAnsi="Cambria Math"/>
                    <w:lang w:val="en-ID"/>
                  </w:rPr>
                </m:ctrlPr>
              </m:sSupPr>
              <m:e>
                <m:r>
                  <w:rPr>
                    <w:rFonts w:ascii="Cambria Math" w:hAnsi="Cambria Math"/>
                    <w:lang w:val="en-ID"/>
                  </w:rPr>
                  <m:t>Q</m:t>
                </m:r>
              </m:e>
              <m:sup>
                <m:r>
                  <m:rPr>
                    <m:sty m:val="p"/>
                  </m:rPr>
                  <w:rPr>
                    <w:rFonts w:ascii="Cambria Math" w:hAnsi="Cambria Math"/>
                    <w:lang w:val="en-ID"/>
                  </w:rPr>
                  <m:t>2</m:t>
                </m:r>
              </m:sup>
            </m:sSup>
          </m:den>
        </m:f>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2</m:t>
                </m:r>
              </m:sub>
            </m:sSub>
          </m:num>
          <m:den>
            <m:r>
              <m:rPr>
                <m:sty m:val="p"/>
              </m:rPr>
              <w:rPr>
                <w:rFonts w:ascii="Cambria Math" w:hAnsi="Cambria Math"/>
                <w:lang w:val="en-ID"/>
              </w:rPr>
              <m:t>2</m:t>
            </m:r>
            <m:r>
              <w:rPr>
                <w:rFonts w:ascii="Cambria Math" w:hAnsi="Cambria Math"/>
                <w:lang w:val="en-ID"/>
              </w:rPr>
              <m:t>n</m:t>
            </m:r>
          </m:den>
        </m:f>
      </m:oMath>
      <w:r w:rsidRPr="00DB714D">
        <w:rPr>
          <w:lang w:val="en-ID"/>
        </w:rPr>
        <w:tab/>
      </w:r>
    </w:p>
    <w:p w14:paraId="6A13A5ED" w14:textId="33D7E0D1" w:rsidR="00DB714D" w:rsidRPr="00DB714D" w:rsidRDefault="00000000" w:rsidP="00D67FFB">
      <w:pPr>
        <w:pStyle w:val="Equation"/>
        <w:rPr>
          <w:lang w:val="en-ID"/>
        </w:rPr>
      </w:pPr>
      <m:oMath>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r>
              <m:rPr>
                <m:sty m:val="p"/>
              </m:rPr>
              <w:rPr>
                <w:rFonts w:ascii="Cambria Math" w:hAnsi="Cambria Math"/>
                <w:lang w:val="en-ID"/>
              </w:rPr>
              <m:t>]</m:t>
            </m:r>
          </m:num>
          <m:den>
            <m:r>
              <m:rPr>
                <m:sty m:val="p"/>
              </m:rPr>
              <w:rPr>
                <w:rFonts w:ascii="Cambria Math" w:hAnsi="Cambria Math"/>
                <w:lang w:val="en-ID"/>
              </w:rPr>
              <m:t>2</m:t>
            </m:r>
            <m:r>
              <w:rPr>
                <w:rFonts w:ascii="Cambria Math" w:hAnsi="Cambria Math"/>
                <w:lang w:val="en-ID"/>
              </w:rPr>
              <m:t>n</m:t>
            </m:r>
          </m:den>
        </m:f>
      </m:oMath>
      <w:r w:rsidR="00DB714D" w:rsidRPr="00DB714D">
        <w:rPr>
          <w:lang w:val="en-ID"/>
        </w:rPr>
        <w:tab/>
      </w:r>
    </w:p>
    <w:p w14:paraId="0ED16EDC" w14:textId="7C513414" w:rsidR="00DB714D" w:rsidRPr="00DB714D" w:rsidRDefault="00DB714D" w:rsidP="00D67FFB">
      <w:pPr>
        <w:pStyle w:val="Equation"/>
        <w:rPr>
          <w:lang w:val="en-ID"/>
        </w:rPr>
      </w:pPr>
      <m:oMath>
        <m:r>
          <m:rPr>
            <m:sty m:val="p"/>
          </m:rPr>
          <w:rPr>
            <w:rFonts w:ascii="Cambria Math" w:hAnsi="Cambria Math"/>
            <w:lang w:val="en-ID"/>
          </w:rPr>
          <m:t>=</m:t>
        </m:r>
        <m:f>
          <m:fPr>
            <m:ctrlPr>
              <w:rPr>
                <w:rFonts w:ascii="Cambria Math" w:hAnsi="Cambria Math"/>
                <w:lang w:val="en-ID"/>
              </w:rPr>
            </m:ctrlPr>
          </m:fPr>
          <m:num>
            <m:r>
              <m:rPr>
                <m:sty m:val="p"/>
              </m:rPr>
              <w:rPr>
                <w:rFonts w:ascii="Cambria Math" w:hAnsi="Cambria Math"/>
                <w:lang w:val="en-ID"/>
              </w:rPr>
              <m:t>2</m:t>
            </m:r>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p</m:t>
                </m:r>
              </m:sub>
            </m:sSub>
            <m:r>
              <w:rPr>
                <w:rFonts w:ascii="Cambria Math" w:hAnsi="Cambria Math"/>
                <w:lang w:val="en-ID"/>
              </w:rPr>
              <m:t>D</m:t>
            </m:r>
          </m:num>
          <m:den>
            <m:r>
              <m:rPr>
                <m:sty m:val="p"/>
              </m:rPr>
              <w:rPr>
                <w:rFonts w:ascii="Cambria Math" w:hAnsi="Cambria Math"/>
                <w:lang w:val="en-ID"/>
              </w:rPr>
              <m:t>2</m:t>
            </m:r>
            <m:sSup>
              <m:sSupPr>
                <m:ctrlPr>
                  <w:rPr>
                    <w:rFonts w:ascii="Cambria Math" w:hAnsi="Cambria Math"/>
                    <w:lang w:val="en-ID"/>
                  </w:rPr>
                </m:ctrlPr>
              </m:sSupPr>
              <m:e>
                <m:r>
                  <w:rPr>
                    <w:rFonts w:ascii="Cambria Math" w:hAnsi="Cambria Math"/>
                    <w:lang w:val="en-ID"/>
                  </w:rPr>
                  <m:t>Q</m:t>
                </m:r>
              </m:e>
              <m:sup>
                <m:r>
                  <m:rPr>
                    <m:sty m:val="p"/>
                  </m:rPr>
                  <w:rPr>
                    <w:rFonts w:ascii="Cambria Math" w:hAnsi="Cambria Math"/>
                    <w:lang w:val="en-ID"/>
                  </w:rPr>
                  <m:t>2</m:t>
                </m:r>
              </m:sup>
            </m:sSup>
          </m:den>
        </m:f>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r>
              <w:rPr>
                <w:rFonts w:ascii="Cambria Math" w:hAnsi="Cambria Math"/>
                <w:lang w:val="en-ID"/>
              </w:rPr>
              <m:t>Dn</m:t>
            </m:r>
          </m:num>
          <m:den>
            <m:sSup>
              <m:sSupPr>
                <m:ctrlPr>
                  <w:rPr>
                    <w:rFonts w:ascii="Cambria Math" w:hAnsi="Cambria Math"/>
                    <w:lang w:val="en-ID"/>
                  </w:rPr>
                </m:ctrlPr>
              </m:sSupPr>
              <m:e>
                <m:r>
                  <m:rPr>
                    <m:sty m:val="p"/>
                  </m:rPr>
                  <w:rPr>
                    <w:rFonts w:ascii="Cambria Math" w:hAnsi="Cambria Math"/>
                    <w:lang w:val="en-ID"/>
                  </w:rPr>
                  <m:t>2</m:t>
                </m:r>
                <m:r>
                  <w:rPr>
                    <w:rFonts w:ascii="Cambria Math" w:hAnsi="Cambria Math"/>
                    <w:lang w:val="en-ID"/>
                  </w:rPr>
                  <m:t>Q</m:t>
                </m:r>
              </m:e>
              <m:sup>
                <m:r>
                  <m:rPr>
                    <m:sty m:val="p"/>
                  </m:rPr>
                  <w:rPr>
                    <w:rFonts w:ascii="Cambria Math" w:hAnsi="Cambria Math"/>
                    <w:lang w:val="en-ID"/>
                  </w:rPr>
                  <m:t>2</m:t>
                </m:r>
              </m:sup>
            </m:sSup>
          </m:den>
        </m:f>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2</m:t>
                </m:r>
              </m:sub>
            </m:sSub>
            <m:r>
              <w:rPr>
                <w:rFonts w:ascii="Cambria Math" w:hAnsi="Cambria Math"/>
                <w:lang w:val="en-ID"/>
              </w:rPr>
              <m:t>Dn</m:t>
            </m:r>
          </m:num>
          <m:den>
            <m:sSup>
              <m:sSupPr>
                <m:ctrlPr>
                  <w:rPr>
                    <w:rFonts w:ascii="Cambria Math" w:hAnsi="Cambria Math"/>
                    <w:lang w:val="en-ID"/>
                  </w:rPr>
                </m:ctrlPr>
              </m:sSupPr>
              <m:e>
                <m:r>
                  <m:rPr>
                    <m:sty m:val="p"/>
                  </m:rPr>
                  <w:rPr>
                    <w:rFonts w:ascii="Cambria Math" w:hAnsi="Cambria Math"/>
                    <w:lang w:val="en-ID"/>
                  </w:rPr>
                  <m:t>2</m:t>
                </m:r>
                <m:r>
                  <w:rPr>
                    <w:rFonts w:ascii="Cambria Math" w:hAnsi="Cambria Math"/>
                    <w:lang w:val="en-ID"/>
                  </w:rPr>
                  <m:t>Q</m:t>
                </m:r>
              </m:e>
              <m:sup>
                <m:r>
                  <m:rPr>
                    <m:sty m:val="p"/>
                  </m:rPr>
                  <w:rPr>
                    <w:rFonts w:ascii="Cambria Math" w:hAnsi="Cambria Math"/>
                    <w:lang w:val="en-ID"/>
                  </w:rPr>
                  <m:t>2</m:t>
                </m:r>
              </m:sup>
            </m:sSup>
          </m:den>
        </m:f>
      </m:oMath>
      <w:r w:rsidRPr="00DB714D">
        <w:rPr>
          <w:lang w:val="en-ID"/>
        </w:rPr>
        <w:tab/>
      </w:r>
    </w:p>
    <w:p w14:paraId="1396A7C5" w14:textId="078865B3" w:rsidR="00DB714D" w:rsidRPr="00DB714D" w:rsidRDefault="00000000" w:rsidP="00D67FFB">
      <w:pPr>
        <w:pStyle w:val="Equation"/>
        <w:rPr>
          <w:lang w:val="en-ID"/>
        </w:rPr>
      </w:pPr>
      <m:oMath>
        <m:f>
          <m:fPr>
            <m:ctrlPr>
              <w:rPr>
                <w:rFonts w:ascii="Cambria Math" w:hAnsi="Cambria Math"/>
                <w:lang w:val="en-ID"/>
              </w:rPr>
            </m:ctrlPr>
          </m:fPr>
          <m:num>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r>
              <m:rPr>
                <m:sty m:val="p"/>
              </m:rPr>
              <w:rPr>
                <w:rFonts w:ascii="Cambria Math" w:hAnsi="Cambria Math"/>
                <w:lang w:val="en-ID"/>
              </w:rPr>
              <m:t>]</m:t>
            </m:r>
          </m:num>
          <m:den>
            <m:r>
              <m:rPr>
                <m:sty m:val="p"/>
              </m:rPr>
              <w:rPr>
                <w:rFonts w:ascii="Cambria Math" w:hAnsi="Cambria Math"/>
                <w:lang w:val="en-ID"/>
              </w:rPr>
              <m:t>2</m:t>
            </m:r>
            <m:r>
              <w:rPr>
                <w:rFonts w:ascii="Cambria Math" w:hAnsi="Cambria Math"/>
                <w:lang w:val="en-ID"/>
              </w:rPr>
              <m:t>n</m:t>
            </m:r>
          </m:den>
        </m:f>
      </m:oMath>
      <w:r w:rsidR="00DB714D" w:rsidRPr="00DB714D">
        <w:rPr>
          <w:lang w:val="en-ID"/>
        </w:rPr>
        <w:tab/>
      </w:r>
    </w:p>
    <w:p w14:paraId="15AEECBD" w14:textId="60986C1A" w:rsidR="00DB714D" w:rsidRPr="00DB714D" w:rsidRDefault="00DB714D" w:rsidP="00D67FFB">
      <w:pPr>
        <w:pStyle w:val="Equation"/>
        <w:rPr>
          <w:lang w:val="en-ID"/>
        </w:rPr>
      </w:pPr>
      <m:oMath>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m:rPr>
                    <m:sty m:val="p"/>
                  </m:rPr>
                  <w:rPr>
                    <w:rFonts w:ascii="Cambria Math" w:hAnsi="Cambria Math"/>
                    <w:lang w:val="en-ID"/>
                  </w:rPr>
                  <m:t>2</m:t>
                </m:r>
                <m:r>
                  <w:rPr>
                    <w:rFonts w:ascii="Cambria Math" w:hAnsi="Cambria Math"/>
                    <w:lang w:val="en-ID"/>
                  </w:rPr>
                  <m:t>Cr</m:t>
                </m:r>
              </m:e>
              <m:sub>
                <m:r>
                  <w:rPr>
                    <w:rFonts w:ascii="Cambria Math" w:hAnsi="Cambria Math"/>
                    <w:lang w:val="en-ID"/>
                  </w:rPr>
                  <m:t>p</m:t>
                </m:r>
              </m:sub>
            </m:sSub>
          </m:num>
          <m:den>
            <m:r>
              <w:rPr>
                <w:rFonts w:ascii="Cambria Math" w:hAnsi="Cambria Math"/>
                <w:lang w:val="en-ID"/>
              </w:rPr>
              <m:t>n</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2</m:t>
            </m:r>
          </m:sub>
        </m:sSub>
        <m:r>
          <m:rPr>
            <m:sty m:val="p"/>
          </m:rPr>
          <w:rPr>
            <w:rFonts w:ascii="Cambria Math" w:hAnsi="Cambria Math"/>
            <w:lang w:val="en-ID"/>
          </w:rPr>
          <m:t>)(</m:t>
        </m:r>
        <m:f>
          <m:fPr>
            <m:ctrlPr>
              <w:rPr>
                <w:rFonts w:ascii="Cambria Math" w:hAnsi="Cambria Math"/>
                <w:lang w:val="en-ID"/>
              </w:rPr>
            </m:ctrlPr>
          </m:fPr>
          <m:num>
            <m:r>
              <w:rPr>
                <w:rFonts w:ascii="Cambria Math" w:hAnsi="Cambria Math"/>
                <w:lang w:val="en-ID"/>
              </w:rPr>
              <m:t>Dn</m:t>
            </m:r>
          </m:num>
          <m:den>
            <m:sSup>
              <m:sSupPr>
                <m:ctrlPr>
                  <w:rPr>
                    <w:rFonts w:ascii="Cambria Math" w:hAnsi="Cambria Math"/>
                    <w:lang w:val="en-ID"/>
                  </w:rPr>
                </m:ctrlPr>
              </m:sSupPr>
              <m:e>
                <m:r>
                  <m:rPr>
                    <m:sty m:val="p"/>
                  </m:rPr>
                  <w:rPr>
                    <w:rFonts w:ascii="Cambria Math" w:hAnsi="Cambria Math"/>
                    <w:lang w:val="en-ID"/>
                  </w:rPr>
                  <m:t>2</m:t>
                </m:r>
                <m:r>
                  <w:rPr>
                    <w:rFonts w:ascii="Cambria Math" w:hAnsi="Cambria Math"/>
                    <w:lang w:val="en-ID"/>
                  </w:rPr>
                  <m:t>Q</m:t>
                </m:r>
              </m:e>
              <m:sup>
                <m:r>
                  <m:rPr>
                    <m:sty m:val="p"/>
                  </m:rPr>
                  <w:rPr>
                    <w:rFonts w:ascii="Cambria Math" w:hAnsi="Cambria Math"/>
                    <w:lang w:val="en-ID"/>
                  </w:rPr>
                  <m:t>2</m:t>
                </m:r>
              </m:sup>
            </m:sSup>
          </m:den>
        </m:f>
        <m:r>
          <m:rPr>
            <m:sty m:val="p"/>
          </m:rPr>
          <w:rPr>
            <w:rFonts w:ascii="Cambria Math" w:hAnsi="Cambria Math"/>
            <w:lang w:val="en-ID"/>
          </w:rPr>
          <m:t>)</m:t>
        </m:r>
      </m:oMath>
      <w:r w:rsidRPr="00DB714D">
        <w:rPr>
          <w:lang w:val="en-ID"/>
        </w:rPr>
        <w:tab/>
      </w:r>
    </w:p>
    <w:p w14:paraId="72BCBCAA" w14:textId="253AE8B2" w:rsidR="00DB714D" w:rsidRPr="00DB714D" w:rsidRDefault="00000000" w:rsidP="00D67FFB">
      <w:pPr>
        <w:pStyle w:val="Equation"/>
        <w:rPr>
          <w:lang w:val="en-ID"/>
        </w:rPr>
      </w:pPr>
      <m:oMath>
        <m:sSup>
          <m:sSupPr>
            <m:ctrlPr>
              <w:rPr>
                <w:rFonts w:ascii="Cambria Math" w:hAnsi="Cambria Math"/>
                <w:lang w:val="en-ID"/>
              </w:rPr>
            </m:ctrlPr>
          </m:sSupPr>
          <m:e>
            <m:r>
              <w:rPr>
                <w:rFonts w:ascii="Cambria Math" w:hAnsi="Cambria Math"/>
                <w:lang w:val="en-ID"/>
              </w:rPr>
              <m:t>Q</m:t>
            </m:r>
          </m:e>
          <m:sup>
            <m:r>
              <m:rPr>
                <m:sty m:val="p"/>
              </m:rPr>
              <w:rPr>
                <w:rFonts w:ascii="Cambria Math" w:hAnsi="Cambria Math"/>
                <w:lang w:val="en-ID"/>
              </w:rPr>
              <m:t>2</m:t>
            </m:r>
          </m:sup>
        </m:sSup>
        <m:r>
          <m:rPr>
            <m:sty m:val="p"/>
          </m:rPr>
          <w:rPr>
            <w:rFonts w:ascii="Cambria Math" w:hAnsi="Cambria Math"/>
            <w:lang w:val="en-ID"/>
          </w:rPr>
          <m:t>=</m:t>
        </m:r>
        <m:f>
          <m:fPr>
            <m:ctrlPr>
              <w:rPr>
                <w:rFonts w:ascii="Cambria Math" w:hAnsi="Cambria Math"/>
                <w:lang w:val="en-ID"/>
              </w:rPr>
            </m:ctrlPr>
          </m:fPr>
          <m:num>
            <m:r>
              <m:rPr>
                <m:sty m:val="p"/>
              </m:rPr>
              <w:rPr>
                <w:rFonts w:ascii="Cambria Math" w:hAnsi="Cambria Math"/>
                <w:lang w:val="en-ID"/>
              </w:rPr>
              <m:t>(</m:t>
            </m:r>
            <m:f>
              <m:fPr>
                <m:ctrlPr>
                  <w:rPr>
                    <w:rFonts w:ascii="Cambria Math" w:hAnsi="Cambria Math"/>
                    <w:lang w:val="en-ID"/>
                  </w:rPr>
                </m:ctrlPr>
              </m:fPr>
              <m:num>
                <m:sSub>
                  <m:sSubPr>
                    <m:ctrlPr>
                      <w:rPr>
                        <w:rFonts w:ascii="Cambria Math" w:hAnsi="Cambria Math"/>
                        <w:lang w:val="en-ID"/>
                      </w:rPr>
                    </m:ctrlPr>
                  </m:sSubPr>
                  <m:e>
                    <m:r>
                      <m:rPr>
                        <m:sty m:val="p"/>
                      </m:rPr>
                      <w:rPr>
                        <w:rFonts w:ascii="Cambria Math" w:hAnsi="Cambria Math"/>
                        <w:lang w:val="en-ID"/>
                      </w:rPr>
                      <m:t>2</m:t>
                    </m:r>
                    <m:r>
                      <w:rPr>
                        <w:rFonts w:ascii="Cambria Math" w:hAnsi="Cambria Math"/>
                        <w:lang w:val="en-ID"/>
                      </w:rPr>
                      <m:t>Cr</m:t>
                    </m:r>
                  </m:e>
                  <m:sub>
                    <m:r>
                      <w:rPr>
                        <w:rFonts w:ascii="Cambria Math" w:hAnsi="Cambria Math"/>
                        <w:lang w:val="en-ID"/>
                      </w:rPr>
                      <m:t>p</m:t>
                    </m:r>
                  </m:sub>
                </m:sSub>
              </m:num>
              <m:den>
                <m:r>
                  <w:rPr>
                    <w:rFonts w:ascii="Cambria Math" w:hAnsi="Cambria Math"/>
                    <w:lang w:val="en-ID"/>
                  </w:rPr>
                  <m:t>n</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2</m:t>
                </m:r>
              </m:sub>
            </m:sSub>
            <m:r>
              <m:rPr>
                <m:sty m:val="p"/>
              </m:rPr>
              <w:rPr>
                <w:rFonts w:ascii="Cambria Math" w:hAnsi="Cambria Math"/>
                <w:lang w:val="en-ID"/>
              </w:rPr>
              <m:t>)(</m:t>
            </m:r>
            <m:sSup>
              <m:sSupPr>
                <m:ctrlPr>
                  <w:rPr>
                    <w:rFonts w:ascii="Cambria Math" w:hAnsi="Cambria Math"/>
                    <w:lang w:val="en-ID"/>
                  </w:rPr>
                </m:ctrlPr>
              </m:sSupPr>
              <m:e>
                <m:r>
                  <w:rPr>
                    <w:rFonts w:ascii="Cambria Math" w:hAnsi="Cambria Math"/>
                    <w:lang w:val="en-ID"/>
                  </w:rPr>
                  <m:t>Dn</m:t>
                </m:r>
              </m:e>
              <m:sup>
                <m:r>
                  <m:rPr>
                    <m:sty m:val="p"/>
                  </m:rPr>
                  <w:rPr>
                    <w:rFonts w:ascii="Cambria Math" w:hAnsi="Cambria Math"/>
                    <w:lang w:val="en-ID"/>
                  </w:rPr>
                  <m:t>2</m:t>
                </m:r>
              </m:sup>
            </m:sSup>
            <m:r>
              <m:rPr>
                <m:sty m:val="p"/>
              </m:rPr>
              <w:rPr>
                <w:rFonts w:ascii="Cambria Math" w:hAnsi="Cambria Math"/>
                <w:lang w:val="en-ID"/>
              </w:rPr>
              <m:t>)</m:t>
            </m:r>
          </m:num>
          <m:den>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r>
              <m:rPr>
                <m:sty m:val="p"/>
              </m:rPr>
              <w:rPr>
                <w:rFonts w:ascii="Cambria Math" w:hAnsi="Cambria Math"/>
                <w:lang w:val="en-ID"/>
              </w:rPr>
              <m:t>]</m:t>
            </m:r>
          </m:den>
        </m:f>
      </m:oMath>
      <w:r w:rsidR="00DB714D" w:rsidRPr="00DB714D">
        <w:rPr>
          <w:lang w:val="en-ID"/>
        </w:rPr>
        <w:tab/>
      </w:r>
    </w:p>
    <w:p w14:paraId="4D9EB3D4" w14:textId="78B74DAA" w:rsidR="00DB714D" w:rsidRPr="00DB714D" w:rsidRDefault="00DB714D" w:rsidP="00D67FFB">
      <w:pPr>
        <w:pStyle w:val="Equation"/>
        <w:rPr>
          <w:lang w:val="en-ID"/>
        </w:rPr>
      </w:pPr>
      <m:oMath>
        <m:r>
          <w:rPr>
            <w:rFonts w:ascii="Cambria Math" w:hAnsi="Cambria Math"/>
            <w:lang w:val="en-ID"/>
          </w:rPr>
          <m:t>Q</m:t>
        </m:r>
        <m:r>
          <m:rPr>
            <m:sty m:val="p"/>
          </m:rPr>
          <w:rPr>
            <w:rFonts w:ascii="Cambria Math" w:hAnsi="Cambria Math"/>
            <w:lang w:val="en-ID"/>
          </w:rPr>
          <m:t>=</m:t>
        </m:r>
        <m:rad>
          <m:radPr>
            <m:degHide m:val="1"/>
            <m:ctrlPr>
              <w:rPr>
                <w:rFonts w:ascii="Cambria Math" w:hAnsi="Cambria Math"/>
                <w:lang w:val="en-ID"/>
              </w:rPr>
            </m:ctrlPr>
          </m:radPr>
          <m:deg/>
          <m:e>
            <m:f>
              <m:fPr>
                <m:ctrlPr>
                  <w:rPr>
                    <w:rFonts w:ascii="Cambria Math" w:hAnsi="Cambria Math"/>
                    <w:lang w:val="en-ID"/>
                  </w:rPr>
                </m:ctrlPr>
              </m:fPr>
              <m:num>
                <m:r>
                  <m:rPr>
                    <m:sty m:val="p"/>
                  </m:rPr>
                  <w:rPr>
                    <w:rFonts w:ascii="Cambria Math" w:hAnsi="Cambria Math"/>
                    <w:lang w:val="en-ID"/>
                  </w:rPr>
                  <m:t>(</m:t>
                </m:r>
                <m:f>
                  <m:fPr>
                    <m:ctrlPr>
                      <w:rPr>
                        <w:rFonts w:ascii="Cambria Math" w:hAnsi="Cambria Math"/>
                        <w:lang w:val="en-ID"/>
                      </w:rPr>
                    </m:ctrlPr>
                  </m:fPr>
                  <m:num>
                    <m:r>
                      <m:rPr>
                        <m:sty m:val="p"/>
                      </m:rPr>
                      <w:rPr>
                        <w:rFonts w:ascii="Cambria Math" w:hAnsi="Cambria Math"/>
                        <w:lang w:val="en-ID"/>
                      </w:rPr>
                      <m:t>2</m:t>
                    </m:r>
                    <m:sSub>
                      <m:sSubPr>
                        <m:ctrlPr>
                          <w:rPr>
                            <w:rFonts w:ascii="Cambria Math" w:hAnsi="Cambria Math"/>
                            <w:lang w:val="en-ID"/>
                          </w:rPr>
                        </m:ctrlPr>
                      </m:sSubPr>
                      <m:e>
                        <m:r>
                          <w:rPr>
                            <w:rFonts w:ascii="Cambria Math" w:hAnsi="Cambria Math"/>
                            <w:lang w:val="en-ID"/>
                          </w:rPr>
                          <m:t>Cr</m:t>
                        </m:r>
                      </m:e>
                      <m:sub>
                        <m:r>
                          <w:rPr>
                            <w:rFonts w:ascii="Cambria Math" w:hAnsi="Cambria Math"/>
                            <w:lang w:val="en-ID"/>
                          </w:rPr>
                          <m:t>p</m:t>
                        </m:r>
                      </m:sub>
                    </m:sSub>
                  </m:num>
                  <m:den>
                    <m:r>
                      <w:rPr>
                        <w:rFonts w:ascii="Cambria Math" w:hAnsi="Cambria Math"/>
                        <w:lang w:val="en-ID"/>
                      </w:rPr>
                      <m:t>n</m:t>
                    </m:r>
                  </m:den>
                </m:f>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Cr</m:t>
                    </m:r>
                  </m:e>
                  <m:sub>
                    <m:r>
                      <m:rPr>
                        <m:sty m:val="p"/>
                      </m:rPr>
                      <w:rPr>
                        <w:rFonts w:ascii="Cambria Math" w:hAnsi="Cambria Math"/>
                        <w:lang w:val="en-ID"/>
                      </w:rPr>
                      <m:t>2</m:t>
                    </m:r>
                  </m:sub>
                </m:sSub>
                <m:r>
                  <m:rPr>
                    <m:sty m:val="p"/>
                  </m:rPr>
                  <w:rPr>
                    <w:rFonts w:ascii="Cambria Math" w:hAnsi="Cambria Math"/>
                    <w:lang w:val="en-ID"/>
                  </w:rPr>
                  <m:t>)(</m:t>
                </m:r>
                <m:sSup>
                  <m:sSupPr>
                    <m:ctrlPr>
                      <w:rPr>
                        <w:rFonts w:ascii="Cambria Math" w:hAnsi="Cambria Math"/>
                        <w:lang w:val="en-ID"/>
                      </w:rPr>
                    </m:ctrlPr>
                  </m:sSupPr>
                  <m:e>
                    <m:r>
                      <w:rPr>
                        <w:rFonts w:ascii="Cambria Math" w:hAnsi="Cambria Math"/>
                        <w:lang w:val="en-ID"/>
                      </w:rPr>
                      <m:t>Dn</m:t>
                    </m:r>
                  </m:e>
                  <m:sup>
                    <m:r>
                      <m:rPr>
                        <m:sty m:val="p"/>
                      </m:rPr>
                      <w:rPr>
                        <w:rFonts w:ascii="Cambria Math" w:hAnsi="Cambria Math"/>
                        <w:lang w:val="en-ID"/>
                      </w:rPr>
                      <m:t>2</m:t>
                    </m:r>
                  </m:sup>
                </m:sSup>
                <m:r>
                  <m:rPr>
                    <m:sty m:val="p"/>
                  </m:rPr>
                  <w:rPr>
                    <w:rFonts w:ascii="Cambria Math" w:hAnsi="Cambria Math"/>
                    <w:lang w:val="en-ID"/>
                  </w:rPr>
                  <m:t>)</m:t>
                </m:r>
              </m:num>
              <m:den>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1</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m:rPr>
                        <m:sty m:val="p"/>
                      </m:rPr>
                      <w:rPr>
                        <w:rFonts w:ascii="Cambria Math" w:hAnsi="Cambria Math"/>
                        <w:lang w:val="en-ID"/>
                      </w:rPr>
                      <m:t>2</m:t>
                    </m:r>
                  </m:sub>
                </m:sSub>
                <m:r>
                  <m:rPr>
                    <m:sty m:val="p"/>
                  </m:rPr>
                  <w:rPr>
                    <w:rFonts w:ascii="Cambria Math" w:hAnsi="Cambria Math"/>
                    <w:lang w:val="en-ID"/>
                  </w:rPr>
                  <m:t>+</m:t>
                </m:r>
                <m:sSub>
                  <m:sSubPr>
                    <m:ctrlPr>
                      <w:rPr>
                        <w:rFonts w:ascii="Cambria Math" w:hAnsi="Cambria Math"/>
                        <w:lang w:val="en-ID"/>
                      </w:rPr>
                    </m:ctrlPr>
                  </m:sSubPr>
                  <m:e>
                    <m:r>
                      <w:rPr>
                        <w:rFonts w:ascii="Cambria Math" w:hAnsi="Cambria Math"/>
                        <w:lang w:val="en-ID"/>
                      </w:rPr>
                      <m:t>Ch</m:t>
                    </m:r>
                  </m:e>
                  <m:sub>
                    <m:r>
                      <w:rPr>
                        <w:rFonts w:ascii="Cambria Math" w:hAnsi="Cambria Math"/>
                        <w:lang w:val="en-ID"/>
                      </w:rPr>
                      <m:t>p</m:t>
                    </m:r>
                  </m:sub>
                </m:sSub>
                <m:r>
                  <m:rPr>
                    <m:sty m:val="p"/>
                  </m:rPr>
                  <w:rPr>
                    <w:rFonts w:ascii="Cambria Math" w:hAnsi="Cambria Math"/>
                    <w:lang w:val="en-ID"/>
                  </w:rPr>
                  <m:t>[1+</m:t>
                </m:r>
                <m:r>
                  <w:rPr>
                    <w:rFonts w:ascii="Cambria Math" w:hAnsi="Cambria Math"/>
                    <w:lang w:val="en-ID"/>
                  </w:rPr>
                  <m:t>n</m:t>
                </m:r>
                <m:d>
                  <m:dPr>
                    <m:ctrlPr>
                      <w:rPr>
                        <w:rFonts w:ascii="Cambria Math" w:hAnsi="Cambria Math"/>
                        <w:lang w:val="en-ID"/>
                      </w:rPr>
                    </m:ctrlPr>
                  </m:dPr>
                  <m:e>
                    <m:r>
                      <m:rPr>
                        <m:sty m:val="p"/>
                      </m:rPr>
                      <w:rPr>
                        <w:rFonts w:ascii="Cambria Math" w:hAnsi="Cambria Math"/>
                        <w:lang w:val="en-ID"/>
                      </w:rPr>
                      <m:t>1-</m:t>
                    </m:r>
                    <m:f>
                      <m:fPr>
                        <m:type m:val="skw"/>
                        <m:ctrlPr>
                          <w:rPr>
                            <w:rFonts w:ascii="Cambria Math" w:hAnsi="Cambria Math"/>
                            <w:lang w:val="en-ID"/>
                          </w:rPr>
                        </m:ctrlPr>
                      </m:fPr>
                      <m:num>
                        <m:r>
                          <w:rPr>
                            <w:rFonts w:ascii="Cambria Math" w:hAnsi="Cambria Math"/>
                            <w:lang w:val="en-ID"/>
                          </w:rPr>
                          <m:t>D</m:t>
                        </m:r>
                      </m:num>
                      <m:den>
                        <m:r>
                          <w:rPr>
                            <w:rFonts w:ascii="Cambria Math" w:hAnsi="Cambria Math"/>
                            <w:lang w:val="en-ID"/>
                          </w:rPr>
                          <m:t>p</m:t>
                        </m:r>
                      </m:den>
                    </m:f>
                  </m:e>
                </m:d>
                <m:r>
                  <m:rPr>
                    <m:sty m:val="p"/>
                  </m:rPr>
                  <w:rPr>
                    <w:rFonts w:ascii="Cambria Math" w:hAnsi="Cambria Math"/>
                    <w:lang w:val="en-ID"/>
                  </w:rPr>
                  <m:t>]</m:t>
                </m:r>
              </m:den>
            </m:f>
          </m:e>
        </m:rad>
      </m:oMath>
      <w:r w:rsidRPr="00DB714D">
        <w:rPr>
          <w:lang w:val="en-ID"/>
        </w:rPr>
        <w:tab/>
        <w:t>(</w:t>
      </w:r>
      <w:r w:rsidR="00D67FFB">
        <w:rPr>
          <w:lang w:val="en-ID"/>
        </w:rPr>
        <w:t>9</w:t>
      </w:r>
      <w:r w:rsidRPr="00DB714D">
        <w:rPr>
          <w:lang w:val="en-ID"/>
        </w:rPr>
        <w:t>)</w:t>
      </w:r>
    </w:p>
    <w:p w14:paraId="5C659F69" w14:textId="77777777" w:rsidR="00DB714D" w:rsidRPr="00D67FFB" w:rsidRDefault="00DB714D" w:rsidP="00DB714D">
      <w:pPr>
        <w:pStyle w:val="Paragraph"/>
        <w:rPr>
          <w:rStyle w:val="Emphasis"/>
        </w:rPr>
      </w:pPr>
      <w:r w:rsidRPr="00D67FFB">
        <w:rPr>
          <w:rStyle w:val="Emphasis"/>
        </w:rPr>
        <w:t>Some notations used in research on supply chain network model development include:</w:t>
      </w:r>
    </w:p>
    <w:p w14:paraId="41A15F5A" w14:textId="77777777" w:rsidR="00DB714D" w:rsidRPr="00D67FFB" w:rsidRDefault="00DB714D" w:rsidP="00DB714D">
      <w:pPr>
        <w:pStyle w:val="Paragraph"/>
        <w:rPr>
          <w:rStyle w:val="Emphasis"/>
        </w:rPr>
      </w:pPr>
      <w:r w:rsidRPr="00D67FFB">
        <w:rPr>
          <w:rStyle w:val="Emphasis"/>
        </w:rPr>
        <w:t>Cr1: Cost per order for buyer 1 (Rp/Order)</w:t>
      </w:r>
    </w:p>
    <w:p w14:paraId="66D3E239" w14:textId="77777777" w:rsidR="00DB714D" w:rsidRPr="00D67FFB" w:rsidRDefault="00DB714D" w:rsidP="00DB714D">
      <w:pPr>
        <w:pStyle w:val="Paragraph"/>
        <w:rPr>
          <w:rStyle w:val="Emphasis"/>
        </w:rPr>
      </w:pPr>
      <w:r w:rsidRPr="00D67FFB">
        <w:rPr>
          <w:rStyle w:val="Emphasis"/>
        </w:rPr>
        <w:t>Cr2: Cost per order for buyer 2 (Rp/Order)</w:t>
      </w:r>
    </w:p>
    <w:p w14:paraId="699A9F70" w14:textId="77777777" w:rsidR="00DB714D" w:rsidRPr="00D67FFB" w:rsidRDefault="00DB714D" w:rsidP="00DB714D">
      <w:pPr>
        <w:pStyle w:val="Paragraph"/>
        <w:rPr>
          <w:rStyle w:val="Emphasis"/>
        </w:rPr>
      </w:pPr>
      <w:r w:rsidRPr="00D67FFB">
        <w:rPr>
          <w:rStyle w:val="Emphasis"/>
        </w:rPr>
        <w:t>Crp: Setup cost for producer (Rp/Setup)</w:t>
      </w:r>
    </w:p>
    <w:p w14:paraId="6BE379C1" w14:textId="77777777" w:rsidR="00DB714D" w:rsidRPr="00D67FFB" w:rsidRDefault="00DB714D" w:rsidP="00DB714D">
      <w:pPr>
        <w:pStyle w:val="Paragraph"/>
        <w:rPr>
          <w:rStyle w:val="Emphasis"/>
        </w:rPr>
      </w:pPr>
      <w:r w:rsidRPr="00D67FFB">
        <w:rPr>
          <w:rStyle w:val="Emphasis"/>
        </w:rPr>
        <w:t>Ch1: Holding cost for buyer 1 (Rp/Unit/Year)</w:t>
      </w:r>
    </w:p>
    <w:p w14:paraId="10C2DACD" w14:textId="77777777" w:rsidR="00DB714D" w:rsidRPr="00D67FFB" w:rsidRDefault="00DB714D" w:rsidP="00DB714D">
      <w:pPr>
        <w:pStyle w:val="Paragraph"/>
        <w:rPr>
          <w:rStyle w:val="Emphasis"/>
        </w:rPr>
      </w:pPr>
      <w:r w:rsidRPr="00D67FFB">
        <w:rPr>
          <w:rStyle w:val="Emphasis"/>
        </w:rPr>
        <w:t>Ch2: Holding cost for buyer 2 (Rp/Unit/Year)</w:t>
      </w:r>
    </w:p>
    <w:p w14:paraId="1E509D5A" w14:textId="77777777" w:rsidR="00DB714D" w:rsidRPr="00D67FFB" w:rsidRDefault="00DB714D" w:rsidP="00DB714D">
      <w:pPr>
        <w:pStyle w:val="Paragraph"/>
        <w:rPr>
          <w:rStyle w:val="Emphasis"/>
        </w:rPr>
      </w:pPr>
      <w:r w:rsidRPr="00D67FFB">
        <w:rPr>
          <w:rStyle w:val="Emphasis"/>
        </w:rPr>
        <w:t>Chp: Holding cost for producer (Rp/Unit/Year)</w:t>
      </w:r>
    </w:p>
    <w:p w14:paraId="15B145FD" w14:textId="77777777" w:rsidR="00DB714D" w:rsidRPr="00D67FFB" w:rsidRDefault="00DB714D" w:rsidP="00DB714D">
      <w:pPr>
        <w:pStyle w:val="Paragraph"/>
        <w:rPr>
          <w:rStyle w:val="Emphasis"/>
        </w:rPr>
      </w:pPr>
      <w:r w:rsidRPr="00D67FFB">
        <w:rPr>
          <w:rStyle w:val="Emphasis"/>
        </w:rPr>
        <w:t>q: Quantity per shipment to buyer (Unit)</w:t>
      </w:r>
    </w:p>
    <w:p w14:paraId="4CD6A88B" w14:textId="77777777" w:rsidR="00DB714D" w:rsidRPr="00D67FFB" w:rsidRDefault="00DB714D" w:rsidP="00DB714D">
      <w:pPr>
        <w:pStyle w:val="Paragraph"/>
        <w:rPr>
          <w:rStyle w:val="Emphasis"/>
        </w:rPr>
      </w:pPr>
      <w:r w:rsidRPr="00D67FFB">
        <w:rPr>
          <w:rStyle w:val="Emphasis"/>
        </w:rPr>
        <w:t>Q: Quantity of product per production cycle (Unit)</w:t>
      </w:r>
    </w:p>
    <w:p w14:paraId="620CA7B9" w14:textId="77777777" w:rsidR="00DB714D" w:rsidRPr="00D67FFB" w:rsidRDefault="00DB714D" w:rsidP="00DB714D">
      <w:pPr>
        <w:pStyle w:val="Paragraph"/>
        <w:rPr>
          <w:rStyle w:val="Emphasis"/>
        </w:rPr>
      </w:pPr>
      <w:r w:rsidRPr="00D67FFB">
        <w:rPr>
          <w:rStyle w:val="Emphasis"/>
        </w:rPr>
        <w:t>d: Demand at buyer (Unit/Year)</w:t>
      </w:r>
    </w:p>
    <w:p w14:paraId="1A8B4C23" w14:textId="77777777" w:rsidR="00DB714D" w:rsidRPr="00D67FFB" w:rsidRDefault="00DB714D" w:rsidP="00DB714D">
      <w:pPr>
        <w:pStyle w:val="Paragraph"/>
        <w:rPr>
          <w:rStyle w:val="Emphasis"/>
        </w:rPr>
      </w:pPr>
      <w:r w:rsidRPr="00D67FFB">
        <w:rPr>
          <w:rStyle w:val="Emphasis"/>
        </w:rPr>
        <w:t>D: Demand at producer (Unit/Year)</w:t>
      </w:r>
    </w:p>
    <w:p w14:paraId="6CF48BB7" w14:textId="77777777" w:rsidR="00DB714D" w:rsidRPr="00D67FFB" w:rsidRDefault="00DB714D" w:rsidP="00DB714D">
      <w:pPr>
        <w:pStyle w:val="Paragraph"/>
        <w:rPr>
          <w:rStyle w:val="Emphasis"/>
        </w:rPr>
      </w:pPr>
      <w:r w:rsidRPr="00D67FFB">
        <w:rPr>
          <w:rStyle w:val="Emphasis"/>
        </w:rPr>
        <w:t>P: Production rate of producer (Unit/Year)</w:t>
      </w:r>
    </w:p>
    <w:p w14:paraId="7CA0E3BD" w14:textId="77777777" w:rsidR="00DB714D" w:rsidRPr="00D67FFB" w:rsidRDefault="00DB714D" w:rsidP="00DB714D">
      <w:pPr>
        <w:pStyle w:val="Paragraph"/>
        <w:rPr>
          <w:rStyle w:val="Emphasis"/>
        </w:rPr>
      </w:pPr>
      <w:r w:rsidRPr="00D67FFB">
        <w:rPr>
          <w:rStyle w:val="Emphasis"/>
        </w:rPr>
        <w:t>T: Length of producer's production cycle (Year)</w:t>
      </w:r>
    </w:p>
    <w:p w14:paraId="434DB808" w14:textId="77777777" w:rsidR="00DB714D" w:rsidRPr="00D67FFB" w:rsidRDefault="00DB714D" w:rsidP="00DB714D">
      <w:pPr>
        <w:pStyle w:val="Paragraph"/>
        <w:rPr>
          <w:rStyle w:val="Emphasis"/>
        </w:rPr>
      </w:pPr>
      <w:r w:rsidRPr="00D67FFB">
        <w:rPr>
          <w:rStyle w:val="Emphasis"/>
        </w:rPr>
        <w:lastRenderedPageBreak/>
        <w:t>t1: Length of buyer's inventory period (Year)</w:t>
      </w:r>
    </w:p>
    <w:p w14:paraId="1799D3D0" w14:textId="77777777" w:rsidR="00DB714D" w:rsidRPr="00D67FFB" w:rsidRDefault="00DB714D" w:rsidP="00DB714D">
      <w:pPr>
        <w:pStyle w:val="Paragraph"/>
        <w:rPr>
          <w:rStyle w:val="Emphasis"/>
        </w:rPr>
      </w:pPr>
      <w:r w:rsidRPr="00D67FFB">
        <w:rPr>
          <w:rStyle w:val="Emphasis"/>
        </w:rPr>
        <w:t>n: Frequency of deliveries in one cycle</w:t>
      </w:r>
    </w:p>
    <w:p w14:paraId="035FA24A" w14:textId="04EB70A9" w:rsidR="00DB714D" w:rsidRPr="00D67FFB" w:rsidRDefault="00DB714D" w:rsidP="00DB714D">
      <w:pPr>
        <w:pStyle w:val="Paragraph"/>
        <w:rPr>
          <w:rStyle w:val="Emphasis"/>
        </w:rPr>
      </w:pPr>
      <w:r w:rsidRPr="00D67FFB">
        <w:rPr>
          <w:rStyle w:val="Emphasis"/>
        </w:rPr>
        <w:t>The model illustrated in Figure 2 addresses the optimization of production and inventory costs within a supply chain network. It utilizes several equations to determine key metrics such as production cycle time, total inventory costs, and order quantities. Equation (1) calculates the total quantity of products needed, while Equation (2) determines the production cycle time by dividing the total quantity by the demand rate. The total inventory cost (TIC) for both the producer and buyer is derived from Equations (3) through (5), incorporating setup costs, holding costs, and order quantities. The cumulative total inventory cost is given by Equation (</w:t>
      </w:r>
      <w:r w:rsidR="00841C92">
        <w:rPr>
          <w:rStyle w:val="Emphasis"/>
        </w:rPr>
        <w:t>8</w:t>
      </w:r>
      <w:r w:rsidRPr="00D67FFB">
        <w:rPr>
          <w:rStyle w:val="Emphasis"/>
        </w:rPr>
        <w:t>), which combines various cost components. The optimal order quantity for each production cycle is computed from the derivative of the TIC equation, as shown in Equation (</w:t>
      </w:r>
      <w:r w:rsidR="00841C92">
        <w:rPr>
          <w:rStyle w:val="Emphasis"/>
        </w:rPr>
        <w:t>9</w:t>
      </w:r>
      <w:r w:rsidRPr="00D67FFB">
        <w:rPr>
          <w:rStyle w:val="Emphasis"/>
        </w:rPr>
        <w:t>). This model is instrumental in managing costs and improving efficiency by analyzing the interactions between production, inventory, and order parameters within the supply chain.</w:t>
      </w:r>
    </w:p>
    <w:p w14:paraId="384519A9" w14:textId="4852B5F9" w:rsidR="00EA50A7" w:rsidRPr="00784F94" w:rsidRDefault="00EA50A7" w:rsidP="00784F94">
      <w:pPr>
        <w:pStyle w:val="Heading1"/>
      </w:pPr>
      <w:r w:rsidRPr="00784F94">
        <w:t>RESULTS AND DISCUSSION</w:t>
      </w:r>
    </w:p>
    <w:p w14:paraId="0F80B1C8" w14:textId="77777777" w:rsidR="00506CEA" w:rsidRPr="00D67FFB" w:rsidRDefault="00506CEA" w:rsidP="00506CEA">
      <w:pPr>
        <w:pStyle w:val="Paragraph"/>
        <w:rPr>
          <w:rStyle w:val="Emphasis"/>
        </w:rPr>
      </w:pPr>
      <w:r w:rsidRPr="00D67FFB">
        <w:rPr>
          <w:rStyle w:val="Emphasis"/>
        </w:rPr>
        <w:t>This study involves one producer shipping products to two buyers with the same aggregate demand. As per the assumptions previously explained, the costs that are variables in determining the total cost are known and fixed. Here are some of the known variables:</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4217"/>
      </w:tblGrid>
      <w:tr w:rsidR="00506CEA" w:rsidRPr="00D67FFB" w14:paraId="7F3CEC6A" w14:textId="77777777" w:rsidTr="00024605">
        <w:tc>
          <w:tcPr>
            <w:tcW w:w="4243" w:type="dxa"/>
          </w:tcPr>
          <w:p w14:paraId="57310592" w14:textId="77777777" w:rsidR="00506CEA" w:rsidRPr="00D67FFB" w:rsidRDefault="00506CEA" w:rsidP="00506CEA">
            <w:pPr>
              <w:pStyle w:val="Paragraph"/>
              <w:numPr>
                <w:ilvl w:val="0"/>
                <w:numId w:val="8"/>
              </w:numPr>
              <w:rPr>
                <w:rStyle w:val="Emphasis"/>
              </w:rPr>
            </w:pPr>
            <w:r w:rsidRPr="00D67FFB">
              <w:rPr>
                <w:rStyle w:val="Emphasis"/>
              </w:rPr>
              <w:t>Cr1: IDR 841,000/order</w:t>
            </w:r>
          </w:p>
        </w:tc>
        <w:tc>
          <w:tcPr>
            <w:tcW w:w="4217" w:type="dxa"/>
          </w:tcPr>
          <w:p w14:paraId="0EAF898F" w14:textId="77777777" w:rsidR="00506CEA" w:rsidRPr="00D67FFB" w:rsidRDefault="00506CEA" w:rsidP="00506CEA">
            <w:pPr>
              <w:pStyle w:val="Paragraph"/>
              <w:numPr>
                <w:ilvl w:val="0"/>
                <w:numId w:val="8"/>
              </w:numPr>
              <w:rPr>
                <w:rStyle w:val="Emphasis"/>
              </w:rPr>
            </w:pPr>
            <w:r w:rsidRPr="00D67FFB">
              <w:rPr>
                <w:rStyle w:val="Emphasis"/>
              </w:rPr>
              <w:t>Ch2: IDR 10,000 (ton/year)</w:t>
            </w:r>
          </w:p>
        </w:tc>
      </w:tr>
      <w:tr w:rsidR="00506CEA" w:rsidRPr="00D67FFB" w14:paraId="7612F3F3" w14:textId="77777777" w:rsidTr="00024605">
        <w:tc>
          <w:tcPr>
            <w:tcW w:w="4243" w:type="dxa"/>
          </w:tcPr>
          <w:p w14:paraId="5F46AAEC" w14:textId="77777777" w:rsidR="00506CEA" w:rsidRPr="00D67FFB" w:rsidRDefault="00506CEA" w:rsidP="00506CEA">
            <w:pPr>
              <w:pStyle w:val="Paragraph"/>
              <w:numPr>
                <w:ilvl w:val="0"/>
                <w:numId w:val="8"/>
              </w:numPr>
              <w:rPr>
                <w:rStyle w:val="Emphasis"/>
              </w:rPr>
            </w:pPr>
            <w:r w:rsidRPr="00D67FFB">
              <w:rPr>
                <w:rStyle w:val="Emphasis"/>
              </w:rPr>
              <w:t>Cr2: IDR 446,000/order</w:t>
            </w:r>
          </w:p>
        </w:tc>
        <w:tc>
          <w:tcPr>
            <w:tcW w:w="4217" w:type="dxa"/>
          </w:tcPr>
          <w:p w14:paraId="351808B6" w14:textId="77777777" w:rsidR="00506CEA" w:rsidRPr="00D67FFB" w:rsidRDefault="00506CEA" w:rsidP="00506CEA">
            <w:pPr>
              <w:pStyle w:val="Paragraph"/>
              <w:numPr>
                <w:ilvl w:val="0"/>
                <w:numId w:val="8"/>
              </w:numPr>
              <w:rPr>
                <w:rStyle w:val="Emphasis"/>
              </w:rPr>
            </w:pPr>
            <w:r w:rsidRPr="00D67FFB">
              <w:rPr>
                <w:rStyle w:val="Emphasis"/>
              </w:rPr>
              <w:t>Chp: IDR 20,000 (ton/year)</w:t>
            </w:r>
          </w:p>
        </w:tc>
      </w:tr>
      <w:tr w:rsidR="00506CEA" w:rsidRPr="00D67FFB" w14:paraId="1D1E051F" w14:textId="77777777" w:rsidTr="00024605">
        <w:tc>
          <w:tcPr>
            <w:tcW w:w="4243" w:type="dxa"/>
          </w:tcPr>
          <w:p w14:paraId="50259635" w14:textId="77777777" w:rsidR="00506CEA" w:rsidRPr="00D67FFB" w:rsidRDefault="00506CEA" w:rsidP="00506CEA">
            <w:pPr>
              <w:pStyle w:val="Paragraph"/>
              <w:numPr>
                <w:ilvl w:val="0"/>
                <w:numId w:val="8"/>
              </w:numPr>
              <w:rPr>
                <w:rStyle w:val="Emphasis"/>
              </w:rPr>
            </w:pPr>
            <w:r w:rsidRPr="00D67FFB">
              <w:rPr>
                <w:rStyle w:val="Emphasis"/>
              </w:rPr>
              <w:t>Crp: IDR 1,690,000/setup</w:t>
            </w:r>
          </w:p>
        </w:tc>
        <w:tc>
          <w:tcPr>
            <w:tcW w:w="4217" w:type="dxa"/>
          </w:tcPr>
          <w:p w14:paraId="4D003C81" w14:textId="77777777" w:rsidR="00506CEA" w:rsidRPr="00D67FFB" w:rsidRDefault="00506CEA" w:rsidP="00506CEA">
            <w:pPr>
              <w:pStyle w:val="Paragraph"/>
              <w:numPr>
                <w:ilvl w:val="0"/>
                <w:numId w:val="8"/>
              </w:numPr>
              <w:rPr>
                <w:rStyle w:val="Emphasis"/>
              </w:rPr>
            </w:pPr>
            <w:r w:rsidRPr="00D67FFB">
              <w:rPr>
                <w:rStyle w:val="Emphasis"/>
              </w:rPr>
              <w:t>D    : 936 (ton/year)</w:t>
            </w:r>
          </w:p>
        </w:tc>
      </w:tr>
      <w:tr w:rsidR="00506CEA" w:rsidRPr="00D67FFB" w14:paraId="306B4D4D" w14:textId="77777777" w:rsidTr="00024605">
        <w:tc>
          <w:tcPr>
            <w:tcW w:w="4243" w:type="dxa"/>
          </w:tcPr>
          <w:p w14:paraId="23B72B17" w14:textId="77777777" w:rsidR="00506CEA" w:rsidRPr="00D67FFB" w:rsidRDefault="00506CEA" w:rsidP="00506CEA">
            <w:pPr>
              <w:pStyle w:val="Paragraph"/>
              <w:numPr>
                <w:ilvl w:val="0"/>
                <w:numId w:val="8"/>
              </w:numPr>
              <w:rPr>
                <w:rStyle w:val="Emphasis"/>
              </w:rPr>
            </w:pPr>
            <w:r w:rsidRPr="00D67FFB">
              <w:rPr>
                <w:rStyle w:val="Emphasis"/>
              </w:rPr>
              <w:t>Ch1: IDR 10,000 (ton/year)</w:t>
            </w:r>
          </w:p>
        </w:tc>
        <w:tc>
          <w:tcPr>
            <w:tcW w:w="4217" w:type="dxa"/>
          </w:tcPr>
          <w:p w14:paraId="44FCC701" w14:textId="77777777" w:rsidR="00506CEA" w:rsidRPr="00D67FFB" w:rsidRDefault="00506CEA" w:rsidP="00506CEA">
            <w:pPr>
              <w:pStyle w:val="Paragraph"/>
              <w:numPr>
                <w:ilvl w:val="0"/>
                <w:numId w:val="8"/>
              </w:numPr>
              <w:rPr>
                <w:rStyle w:val="Emphasis"/>
              </w:rPr>
            </w:pPr>
            <w:r w:rsidRPr="00D67FFB">
              <w:rPr>
                <w:rStyle w:val="Emphasis"/>
              </w:rPr>
              <w:t>P     : 1000 (ton/year)</w:t>
            </w:r>
          </w:p>
        </w:tc>
      </w:tr>
    </w:tbl>
    <w:p w14:paraId="1E2F2D74" w14:textId="3612C23E" w:rsidR="00615E23" w:rsidRPr="00D67FFB" w:rsidRDefault="00506CEA" w:rsidP="00D67FFB">
      <w:pPr>
        <w:pStyle w:val="Paragraph"/>
        <w:rPr>
          <w:bCs/>
        </w:rPr>
      </w:pPr>
      <w:r w:rsidRPr="00D67FFB">
        <w:rPr>
          <w:rStyle w:val="Emphasis"/>
        </w:rPr>
        <w:t xml:space="preserve">The results of the calculations using the above data can be seen in the </w:t>
      </w:r>
      <w:r w:rsidR="00E503A0" w:rsidRPr="00E503A0">
        <w:rPr>
          <w:rStyle w:val="Emphasis"/>
          <w:b/>
          <w:bCs/>
        </w:rPr>
        <w:t>TABLE 1</w:t>
      </w:r>
      <w:r w:rsidR="00E503A0">
        <w:rPr>
          <w:rStyle w:val="Emphasis"/>
        </w:rPr>
        <w:t xml:space="preserve"> below:</w:t>
      </w:r>
    </w:p>
    <w:p w14:paraId="401791A4" w14:textId="4AB20382" w:rsidR="00506CEA" w:rsidRPr="00506CEA" w:rsidRDefault="00615E23" w:rsidP="00D67FFB">
      <w:pPr>
        <w:pStyle w:val="TableCaption"/>
      </w:pPr>
      <w:r w:rsidRPr="009A7BC2">
        <w:rPr>
          <w:rFonts w:eastAsia="Calibri"/>
          <w:b/>
        </w:rPr>
        <w:t>TAB</w:t>
      </w:r>
      <w:r w:rsidRPr="009A7BC2">
        <w:rPr>
          <w:rFonts w:eastAsia="Calibri"/>
          <w:b/>
          <w:spacing w:val="-1"/>
        </w:rPr>
        <w:t>LE</w:t>
      </w:r>
      <w:r w:rsidRPr="009A7BC2">
        <w:rPr>
          <w:rFonts w:eastAsia="Calibri"/>
          <w:b/>
          <w:spacing w:val="1"/>
        </w:rPr>
        <w:t xml:space="preserve"> </w:t>
      </w:r>
      <w:r w:rsidRPr="009A7BC2">
        <w:rPr>
          <w:rFonts w:eastAsia="Calibri"/>
          <w:b/>
        </w:rPr>
        <w:t>1</w:t>
      </w:r>
      <w:r w:rsidRPr="00A17B56">
        <w:rPr>
          <w:rFonts w:eastAsia="Calibri"/>
        </w:rPr>
        <w:t xml:space="preserve">. </w:t>
      </w:r>
      <w:r w:rsidR="00506CEA" w:rsidRPr="00506CEA">
        <w:rPr>
          <w:lang w:val="id-ID"/>
        </w:rPr>
        <w:t>Total Inventory Cost Calculation</w:t>
      </w:r>
    </w:p>
    <w:tbl>
      <w:tblPr>
        <w:tblW w:w="47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302"/>
        <w:gridCol w:w="1334"/>
        <w:gridCol w:w="2901"/>
        <w:gridCol w:w="1834"/>
        <w:gridCol w:w="1007"/>
      </w:tblGrid>
      <w:tr w:rsidR="00506CEA" w:rsidRPr="00D67FFB" w14:paraId="296F4A61" w14:textId="77777777" w:rsidTr="004246DA">
        <w:trPr>
          <w:trHeight w:val="284"/>
        </w:trPr>
        <w:tc>
          <w:tcPr>
            <w:tcW w:w="373" w:type="pct"/>
            <w:shd w:val="clear" w:color="auto" w:fill="auto"/>
            <w:noWrap/>
            <w:vAlign w:val="bottom"/>
            <w:hideMark/>
          </w:tcPr>
          <w:p w14:paraId="633B194B" w14:textId="77777777" w:rsidR="00506CEA" w:rsidRPr="00D67FFB" w:rsidRDefault="00506CEA" w:rsidP="004246DA">
            <w:pPr>
              <w:jc w:val="center"/>
              <w:rPr>
                <w:sz w:val="20"/>
                <w:lang w:val="en-ID"/>
              </w:rPr>
            </w:pPr>
            <w:r w:rsidRPr="00D67FFB">
              <w:rPr>
                <w:sz w:val="20"/>
                <w:lang w:val="en-ID"/>
              </w:rPr>
              <w:t>N</w:t>
            </w:r>
          </w:p>
        </w:tc>
        <w:tc>
          <w:tcPr>
            <w:tcW w:w="719" w:type="pct"/>
            <w:shd w:val="clear" w:color="auto" w:fill="auto"/>
            <w:noWrap/>
            <w:vAlign w:val="bottom"/>
            <w:hideMark/>
          </w:tcPr>
          <w:p w14:paraId="6D462E7B" w14:textId="77777777" w:rsidR="00506CEA" w:rsidRPr="00D67FFB" w:rsidRDefault="00506CEA" w:rsidP="004246DA">
            <w:pPr>
              <w:jc w:val="center"/>
              <w:rPr>
                <w:sz w:val="20"/>
                <w:lang w:val="en-ID"/>
              </w:rPr>
            </w:pPr>
            <w:r w:rsidRPr="00D67FFB">
              <w:rPr>
                <w:sz w:val="20"/>
                <w:lang w:val="en-ID"/>
              </w:rPr>
              <w:t>Q (ton)</w:t>
            </w:r>
          </w:p>
        </w:tc>
        <w:tc>
          <w:tcPr>
            <w:tcW w:w="737" w:type="pct"/>
            <w:shd w:val="clear" w:color="auto" w:fill="auto"/>
            <w:noWrap/>
            <w:vAlign w:val="bottom"/>
            <w:hideMark/>
          </w:tcPr>
          <w:p w14:paraId="38721587" w14:textId="77777777" w:rsidR="00506CEA" w:rsidRPr="00D67FFB" w:rsidRDefault="00506CEA" w:rsidP="004246DA">
            <w:pPr>
              <w:jc w:val="center"/>
              <w:rPr>
                <w:sz w:val="20"/>
                <w:lang w:val="en-ID"/>
              </w:rPr>
            </w:pPr>
            <w:r w:rsidRPr="00D67FFB">
              <w:rPr>
                <w:sz w:val="20"/>
                <w:lang w:val="en-ID"/>
              </w:rPr>
              <w:t>q (ton)</w:t>
            </w:r>
          </w:p>
        </w:tc>
        <w:tc>
          <w:tcPr>
            <w:tcW w:w="1602" w:type="pct"/>
            <w:shd w:val="clear" w:color="auto" w:fill="auto"/>
            <w:noWrap/>
            <w:vAlign w:val="bottom"/>
            <w:hideMark/>
          </w:tcPr>
          <w:p w14:paraId="0BB0A4A7" w14:textId="77777777" w:rsidR="00506CEA" w:rsidRPr="00D67FFB" w:rsidRDefault="00506CEA" w:rsidP="004246DA">
            <w:pPr>
              <w:jc w:val="center"/>
              <w:rPr>
                <w:sz w:val="20"/>
                <w:lang w:val="en-ID"/>
              </w:rPr>
            </w:pPr>
            <w:r w:rsidRPr="00D67FFB">
              <w:rPr>
                <w:sz w:val="20"/>
                <w:lang w:val="en-ID"/>
              </w:rPr>
              <w:t>TIC TOTAL (IDR)</w:t>
            </w:r>
          </w:p>
        </w:tc>
        <w:tc>
          <w:tcPr>
            <w:tcW w:w="1013" w:type="pct"/>
            <w:shd w:val="clear" w:color="auto" w:fill="auto"/>
            <w:noWrap/>
            <w:vAlign w:val="bottom"/>
            <w:hideMark/>
          </w:tcPr>
          <w:p w14:paraId="12A94E85" w14:textId="77777777" w:rsidR="00506CEA" w:rsidRPr="00D67FFB" w:rsidRDefault="00506CEA" w:rsidP="004246DA">
            <w:pPr>
              <w:jc w:val="center"/>
              <w:rPr>
                <w:sz w:val="20"/>
                <w:lang w:val="en-ID"/>
              </w:rPr>
            </w:pPr>
            <w:r w:rsidRPr="00D67FFB">
              <w:rPr>
                <w:sz w:val="20"/>
                <w:lang w:val="en-ID"/>
              </w:rPr>
              <w:t>T</w:t>
            </w:r>
          </w:p>
        </w:tc>
        <w:tc>
          <w:tcPr>
            <w:tcW w:w="556" w:type="pct"/>
            <w:shd w:val="clear" w:color="auto" w:fill="auto"/>
            <w:noWrap/>
            <w:vAlign w:val="bottom"/>
            <w:hideMark/>
          </w:tcPr>
          <w:p w14:paraId="04361278" w14:textId="77777777" w:rsidR="00506CEA" w:rsidRPr="00D67FFB" w:rsidRDefault="00506CEA" w:rsidP="004246DA">
            <w:pPr>
              <w:jc w:val="center"/>
              <w:rPr>
                <w:sz w:val="20"/>
                <w:vertAlign w:val="subscript"/>
                <w:lang w:val="en-ID"/>
              </w:rPr>
            </w:pPr>
            <w:r w:rsidRPr="00D67FFB">
              <w:rPr>
                <w:sz w:val="20"/>
                <w:lang w:val="en-ID"/>
              </w:rPr>
              <w:t>t</w:t>
            </w:r>
            <w:r w:rsidRPr="00D67FFB">
              <w:rPr>
                <w:sz w:val="20"/>
                <w:vertAlign w:val="subscript"/>
                <w:lang w:val="en-ID"/>
              </w:rPr>
              <w:t>1</w:t>
            </w:r>
          </w:p>
        </w:tc>
      </w:tr>
      <w:tr w:rsidR="00506CEA" w:rsidRPr="00D67FFB" w14:paraId="3C1DC353" w14:textId="77777777" w:rsidTr="004246DA">
        <w:trPr>
          <w:trHeight w:val="284"/>
        </w:trPr>
        <w:tc>
          <w:tcPr>
            <w:tcW w:w="373" w:type="pct"/>
            <w:shd w:val="clear" w:color="auto" w:fill="auto"/>
            <w:noWrap/>
            <w:vAlign w:val="bottom"/>
            <w:hideMark/>
          </w:tcPr>
          <w:p w14:paraId="2D853B57" w14:textId="77777777" w:rsidR="00506CEA" w:rsidRPr="00D67FFB" w:rsidRDefault="00506CEA" w:rsidP="004246DA">
            <w:pPr>
              <w:jc w:val="center"/>
              <w:rPr>
                <w:sz w:val="20"/>
                <w:lang w:val="en-ID"/>
              </w:rPr>
            </w:pPr>
            <w:r w:rsidRPr="00D67FFB">
              <w:rPr>
                <w:sz w:val="20"/>
                <w:lang w:val="en-ID"/>
              </w:rPr>
              <w:t>1</w:t>
            </w:r>
          </w:p>
        </w:tc>
        <w:tc>
          <w:tcPr>
            <w:tcW w:w="719" w:type="pct"/>
            <w:shd w:val="clear" w:color="auto" w:fill="auto"/>
            <w:noWrap/>
            <w:hideMark/>
          </w:tcPr>
          <w:p w14:paraId="6B4232BF" w14:textId="7C82DFF0" w:rsidR="00506CEA" w:rsidRPr="00D67FFB" w:rsidRDefault="00506CEA" w:rsidP="004246DA">
            <w:pPr>
              <w:jc w:val="center"/>
              <w:rPr>
                <w:sz w:val="20"/>
                <w:lang w:val="en-ID"/>
              </w:rPr>
            </w:pPr>
            <w:r w:rsidRPr="00D67FFB">
              <w:rPr>
                <w:sz w:val="20"/>
                <w:lang w:val="id-ID"/>
              </w:rPr>
              <w:t>325.34</w:t>
            </w:r>
          </w:p>
        </w:tc>
        <w:tc>
          <w:tcPr>
            <w:tcW w:w="737" w:type="pct"/>
            <w:shd w:val="clear" w:color="auto" w:fill="auto"/>
            <w:noWrap/>
            <w:hideMark/>
          </w:tcPr>
          <w:p w14:paraId="65A1C7CA" w14:textId="02CE41D6" w:rsidR="00506CEA" w:rsidRPr="00D67FFB" w:rsidRDefault="00506CEA" w:rsidP="004246DA">
            <w:pPr>
              <w:jc w:val="center"/>
              <w:rPr>
                <w:sz w:val="20"/>
                <w:lang w:val="en-ID"/>
              </w:rPr>
            </w:pPr>
            <w:r w:rsidRPr="00D67FFB">
              <w:rPr>
                <w:sz w:val="20"/>
                <w:lang w:val="id-ID"/>
              </w:rPr>
              <w:t>325.34</w:t>
            </w:r>
          </w:p>
        </w:tc>
        <w:tc>
          <w:tcPr>
            <w:tcW w:w="1602" w:type="pct"/>
            <w:shd w:val="clear" w:color="auto" w:fill="auto"/>
            <w:noWrap/>
            <w:hideMark/>
          </w:tcPr>
          <w:p w14:paraId="0A7A7AB6" w14:textId="171200B4" w:rsidR="00506CEA" w:rsidRPr="00D67FFB" w:rsidRDefault="00506CEA" w:rsidP="004246DA">
            <w:pPr>
              <w:jc w:val="center"/>
              <w:rPr>
                <w:sz w:val="20"/>
                <w:lang w:val="en-ID"/>
              </w:rPr>
            </w:pPr>
            <w:r w:rsidRPr="00D67FFB">
              <w:rPr>
                <w:sz w:val="20"/>
                <w:lang w:val="id-ID"/>
              </w:rPr>
              <w:t>13.430.185.83</w:t>
            </w:r>
          </w:p>
        </w:tc>
        <w:tc>
          <w:tcPr>
            <w:tcW w:w="1013" w:type="pct"/>
            <w:shd w:val="clear" w:color="auto" w:fill="auto"/>
            <w:noWrap/>
            <w:hideMark/>
          </w:tcPr>
          <w:p w14:paraId="17C241EE" w14:textId="77777777" w:rsidR="00506CEA" w:rsidRPr="00D67FFB" w:rsidRDefault="00506CEA" w:rsidP="004246DA">
            <w:pPr>
              <w:jc w:val="center"/>
              <w:rPr>
                <w:sz w:val="20"/>
                <w:lang w:val="en-ID"/>
              </w:rPr>
            </w:pPr>
            <w:r w:rsidRPr="00D67FFB">
              <w:rPr>
                <w:sz w:val="20"/>
                <w:lang w:val="id-ID"/>
              </w:rPr>
              <w:t>0.347589369</w:t>
            </w:r>
          </w:p>
        </w:tc>
        <w:tc>
          <w:tcPr>
            <w:tcW w:w="556" w:type="pct"/>
            <w:shd w:val="clear" w:color="auto" w:fill="auto"/>
            <w:noWrap/>
            <w:hideMark/>
          </w:tcPr>
          <w:p w14:paraId="12680894" w14:textId="45D0F4D5" w:rsidR="00506CEA" w:rsidRPr="00D67FFB" w:rsidRDefault="00506CEA" w:rsidP="004246DA">
            <w:pPr>
              <w:jc w:val="center"/>
              <w:rPr>
                <w:sz w:val="20"/>
                <w:lang w:val="en-ID"/>
              </w:rPr>
            </w:pPr>
            <w:r w:rsidRPr="00D67FFB">
              <w:rPr>
                <w:sz w:val="20"/>
                <w:lang w:val="id-ID"/>
              </w:rPr>
              <w:t>0.70</w:t>
            </w:r>
          </w:p>
        </w:tc>
      </w:tr>
      <w:tr w:rsidR="00506CEA" w:rsidRPr="00D67FFB" w14:paraId="5CA57491" w14:textId="77777777" w:rsidTr="004246DA">
        <w:trPr>
          <w:trHeight w:val="284"/>
        </w:trPr>
        <w:tc>
          <w:tcPr>
            <w:tcW w:w="373" w:type="pct"/>
            <w:shd w:val="clear" w:color="auto" w:fill="auto"/>
            <w:noWrap/>
            <w:vAlign w:val="bottom"/>
            <w:hideMark/>
          </w:tcPr>
          <w:p w14:paraId="5CDB0B69" w14:textId="77777777" w:rsidR="00506CEA" w:rsidRPr="00D67FFB" w:rsidRDefault="00506CEA" w:rsidP="004246DA">
            <w:pPr>
              <w:jc w:val="center"/>
              <w:rPr>
                <w:sz w:val="20"/>
                <w:lang w:val="en-ID"/>
              </w:rPr>
            </w:pPr>
            <w:r w:rsidRPr="00D67FFB">
              <w:rPr>
                <w:sz w:val="20"/>
                <w:lang w:val="en-ID"/>
              </w:rPr>
              <w:t>2</w:t>
            </w:r>
          </w:p>
        </w:tc>
        <w:tc>
          <w:tcPr>
            <w:tcW w:w="719" w:type="pct"/>
            <w:shd w:val="clear" w:color="auto" w:fill="auto"/>
            <w:noWrap/>
            <w:hideMark/>
          </w:tcPr>
          <w:p w14:paraId="5A51A731" w14:textId="43A47A2B" w:rsidR="00506CEA" w:rsidRPr="00D67FFB" w:rsidRDefault="00506CEA" w:rsidP="004246DA">
            <w:pPr>
              <w:jc w:val="center"/>
              <w:rPr>
                <w:sz w:val="20"/>
                <w:lang w:val="en-ID"/>
              </w:rPr>
            </w:pPr>
            <w:r w:rsidRPr="00D67FFB">
              <w:rPr>
                <w:sz w:val="20"/>
                <w:lang w:val="id-ID"/>
              </w:rPr>
              <w:t>511.85</w:t>
            </w:r>
          </w:p>
        </w:tc>
        <w:tc>
          <w:tcPr>
            <w:tcW w:w="737" w:type="pct"/>
            <w:shd w:val="clear" w:color="auto" w:fill="auto"/>
            <w:noWrap/>
            <w:hideMark/>
          </w:tcPr>
          <w:p w14:paraId="0987D9CC" w14:textId="5CC39D32" w:rsidR="00506CEA" w:rsidRPr="00D67FFB" w:rsidRDefault="00506CEA" w:rsidP="004246DA">
            <w:pPr>
              <w:jc w:val="center"/>
              <w:rPr>
                <w:sz w:val="20"/>
                <w:lang w:val="en-ID"/>
              </w:rPr>
            </w:pPr>
            <w:r w:rsidRPr="00D67FFB">
              <w:rPr>
                <w:sz w:val="20"/>
                <w:lang w:val="id-ID"/>
              </w:rPr>
              <w:t>255.93</w:t>
            </w:r>
          </w:p>
        </w:tc>
        <w:tc>
          <w:tcPr>
            <w:tcW w:w="1602" w:type="pct"/>
            <w:shd w:val="clear" w:color="auto" w:fill="auto"/>
            <w:noWrap/>
            <w:hideMark/>
          </w:tcPr>
          <w:p w14:paraId="3BBB162A" w14:textId="5BD1E015" w:rsidR="00506CEA" w:rsidRPr="00D67FFB" w:rsidRDefault="00506CEA" w:rsidP="004246DA">
            <w:pPr>
              <w:jc w:val="center"/>
              <w:rPr>
                <w:sz w:val="20"/>
                <w:lang w:val="en-ID"/>
              </w:rPr>
            </w:pPr>
            <w:r w:rsidRPr="00D67FFB">
              <w:rPr>
                <w:sz w:val="20"/>
                <w:lang w:val="id-ID"/>
              </w:rPr>
              <w:t>10.892.182.79</w:t>
            </w:r>
          </w:p>
        </w:tc>
        <w:tc>
          <w:tcPr>
            <w:tcW w:w="1013" w:type="pct"/>
            <w:shd w:val="clear" w:color="auto" w:fill="auto"/>
            <w:noWrap/>
            <w:hideMark/>
          </w:tcPr>
          <w:p w14:paraId="134E25CC" w14:textId="77777777" w:rsidR="00506CEA" w:rsidRPr="00D67FFB" w:rsidRDefault="00506CEA" w:rsidP="004246DA">
            <w:pPr>
              <w:jc w:val="center"/>
              <w:rPr>
                <w:sz w:val="20"/>
                <w:lang w:val="en-ID"/>
              </w:rPr>
            </w:pPr>
            <w:r w:rsidRPr="00D67FFB">
              <w:rPr>
                <w:sz w:val="20"/>
                <w:lang w:val="id-ID"/>
              </w:rPr>
              <w:t>0.546849033</w:t>
            </w:r>
          </w:p>
        </w:tc>
        <w:tc>
          <w:tcPr>
            <w:tcW w:w="556" w:type="pct"/>
            <w:shd w:val="clear" w:color="auto" w:fill="auto"/>
            <w:noWrap/>
            <w:hideMark/>
          </w:tcPr>
          <w:p w14:paraId="380CC319" w14:textId="7D4FA977" w:rsidR="00506CEA" w:rsidRPr="00D67FFB" w:rsidRDefault="00506CEA" w:rsidP="004246DA">
            <w:pPr>
              <w:jc w:val="center"/>
              <w:rPr>
                <w:sz w:val="20"/>
                <w:lang w:val="en-ID"/>
              </w:rPr>
            </w:pPr>
            <w:r w:rsidRPr="00D67FFB">
              <w:rPr>
                <w:sz w:val="20"/>
                <w:lang w:val="id-ID"/>
              </w:rPr>
              <w:t>0.55</w:t>
            </w:r>
          </w:p>
        </w:tc>
      </w:tr>
      <w:tr w:rsidR="00506CEA" w:rsidRPr="00D67FFB" w14:paraId="72913624" w14:textId="77777777" w:rsidTr="004246DA">
        <w:trPr>
          <w:trHeight w:val="284"/>
        </w:trPr>
        <w:tc>
          <w:tcPr>
            <w:tcW w:w="373" w:type="pct"/>
            <w:shd w:val="clear" w:color="auto" w:fill="auto"/>
            <w:noWrap/>
            <w:vAlign w:val="bottom"/>
            <w:hideMark/>
          </w:tcPr>
          <w:p w14:paraId="5275BA63" w14:textId="77777777" w:rsidR="00506CEA" w:rsidRPr="00D67FFB" w:rsidRDefault="00506CEA" w:rsidP="004246DA">
            <w:pPr>
              <w:jc w:val="center"/>
              <w:rPr>
                <w:sz w:val="20"/>
                <w:lang w:val="en-ID"/>
              </w:rPr>
            </w:pPr>
            <w:r w:rsidRPr="00D67FFB">
              <w:rPr>
                <w:sz w:val="20"/>
                <w:lang w:val="en-ID"/>
              </w:rPr>
              <w:t>3</w:t>
            </w:r>
          </w:p>
        </w:tc>
        <w:tc>
          <w:tcPr>
            <w:tcW w:w="719" w:type="pct"/>
            <w:shd w:val="clear" w:color="auto" w:fill="auto"/>
            <w:noWrap/>
            <w:hideMark/>
          </w:tcPr>
          <w:p w14:paraId="097C4E65" w14:textId="51E0D5D9" w:rsidR="00506CEA" w:rsidRPr="00D67FFB" w:rsidRDefault="00506CEA" w:rsidP="004246DA">
            <w:pPr>
              <w:jc w:val="center"/>
              <w:rPr>
                <w:sz w:val="20"/>
                <w:lang w:val="en-ID"/>
              </w:rPr>
            </w:pPr>
            <w:r w:rsidRPr="00D67FFB">
              <w:rPr>
                <w:sz w:val="20"/>
                <w:lang w:val="id-ID"/>
              </w:rPr>
              <w:t>681.19</w:t>
            </w:r>
          </w:p>
        </w:tc>
        <w:tc>
          <w:tcPr>
            <w:tcW w:w="737" w:type="pct"/>
            <w:shd w:val="clear" w:color="auto" w:fill="auto"/>
            <w:noWrap/>
            <w:hideMark/>
          </w:tcPr>
          <w:p w14:paraId="00D837C9" w14:textId="69F628CA" w:rsidR="00506CEA" w:rsidRPr="00D67FFB" w:rsidRDefault="00506CEA" w:rsidP="004246DA">
            <w:pPr>
              <w:jc w:val="center"/>
              <w:rPr>
                <w:sz w:val="20"/>
                <w:lang w:val="en-ID"/>
              </w:rPr>
            </w:pPr>
            <w:r w:rsidRPr="00D67FFB">
              <w:rPr>
                <w:sz w:val="20"/>
                <w:lang w:val="id-ID"/>
              </w:rPr>
              <w:t>227.06</w:t>
            </w:r>
          </w:p>
        </w:tc>
        <w:tc>
          <w:tcPr>
            <w:tcW w:w="1602" w:type="pct"/>
            <w:shd w:val="clear" w:color="auto" w:fill="auto"/>
            <w:noWrap/>
            <w:hideMark/>
          </w:tcPr>
          <w:p w14:paraId="01E0CB40" w14:textId="2A5FD6C1" w:rsidR="00506CEA" w:rsidRPr="00D67FFB" w:rsidRDefault="00506CEA" w:rsidP="004246DA">
            <w:pPr>
              <w:jc w:val="center"/>
              <w:rPr>
                <w:sz w:val="20"/>
                <w:lang w:val="en-ID"/>
              </w:rPr>
            </w:pPr>
            <w:r w:rsidRPr="00D67FFB">
              <w:rPr>
                <w:sz w:val="20"/>
                <w:lang w:val="id-ID"/>
              </w:rPr>
              <w:t>9.954.486.44</w:t>
            </w:r>
          </w:p>
        </w:tc>
        <w:tc>
          <w:tcPr>
            <w:tcW w:w="1013" w:type="pct"/>
            <w:shd w:val="clear" w:color="auto" w:fill="auto"/>
            <w:noWrap/>
            <w:hideMark/>
          </w:tcPr>
          <w:p w14:paraId="27E216B1" w14:textId="77777777" w:rsidR="00506CEA" w:rsidRPr="00D67FFB" w:rsidRDefault="00506CEA" w:rsidP="004246DA">
            <w:pPr>
              <w:jc w:val="center"/>
              <w:rPr>
                <w:sz w:val="20"/>
                <w:lang w:val="en-ID"/>
              </w:rPr>
            </w:pPr>
            <w:r w:rsidRPr="00D67FFB">
              <w:rPr>
                <w:sz w:val="20"/>
                <w:lang w:val="id-ID"/>
              </w:rPr>
              <w:t>0.72776928</w:t>
            </w:r>
          </w:p>
        </w:tc>
        <w:tc>
          <w:tcPr>
            <w:tcW w:w="556" w:type="pct"/>
            <w:shd w:val="clear" w:color="auto" w:fill="auto"/>
            <w:noWrap/>
            <w:hideMark/>
          </w:tcPr>
          <w:p w14:paraId="278D4B5F" w14:textId="5A88D3F4" w:rsidR="00506CEA" w:rsidRPr="00D67FFB" w:rsidRDefault="00506CEA" w:rsidP="004246DA">
            <w:pPr>
              <w:jc w:val="center"/>
              <w:rPr>
                <w:sz w:val="20"/>
                <w:lang w:val="en-ID"/>
              </w:rPr>
            </w:pPr>
            <w:r w:rsidRPr="00D67FFB">
              <w:rPr>
                <w:sz w:val="20"/>
                <w:lang w:val="id-ID"/>
              </w:rPr>
              <w:t>0.49</w:t>
            </w:r>
          </w:p>
        </w:tc>
      </w:tr>
      <w:tr w:rsidR="00506CEA" w:rsidRPr="00D67FFB" w14:paraId="75653ED7" w14:textId="77777777" w:rsidTr="004246DA">
        <w:trPr>
          <w:trHeight w:val="284"/>
        </w:trPr>
        <w:tc>
          <w:tcPr>
            <w:tcW w:w="373" w:type="pct"/>
            <w:shd w:val="clear" w:color="auto" w:fill="auto"/>
            <w:noWrap/>
            <w:vAlign w:val="bottom"/>
            <w:hideMark/>
          </w:tcPr>
          <w:p w14:paraId="47D6F53B" w14:textId="77777777" w:rsidR="00506CEA" w:rsidRPr="00D67FFB" w:rsidRDefault="00506CEA" w:rsidP="004246DA">
            <w:pPr>
              <w:jc w:val="center"/>
              <w:rPr>
                <w:sz w:val="20"/>
                <w:lang w:val="en-ID"/>
              </w:rPr>
            </w:pPr>
            <w:r w:rsidRPr="00D67FFB">
              <w:rPr>
                <w:sz w:val="20"/>
                <w:lang w:val="en-ID"/>
              </w:rPr>
              <w:t>4</w:t>
            </w:r>
          </w:p>
        </w:tc>
        <w:tc>
          <w:tcPr>
            <w:tcW w:w="719" w:type="pct"/>
            <w:shd w:val="clear" w:color="auto" w:fill="auto"/>
            <w:noWrap/>
            <w:hideMark/>
          </w:tcPr>
          <w:p w14:paraId="1C8ABB1E" w14:textId="58AFE598" w:rsidR="00506CEA" w:rsidRPr="00D67FFB" w:rsidRDefault="00506CEA" w:rsidP="004246DA">
            <w:pPr>
              <w:jc w:val="center"/>
              <w:rPr>
                <w:sz w:val="20"/>
                <w:lang w:val="en-ID"/>
              </w:rPr>
            </w:pPr>
            <w:r w:rsidRPr="00D67FFB">
              <w:rPr>
                <w:sz w:val="20"/>
                <w:lang w:val="id-ID"/>
              </w:rPr>
              <w:t>841.45</w:t>
            </w:r>
          </w:p>
        </w:tc>
        <w:tc>
          <w:tcPr>
            <w:tcW w:w="737" w:type="pct"/>
            <w:shd w:val="clear" w:color="auto" w:fill="auto"/>
            <w:noWrap/>
            <w:hideMark/>
          </w:tcPr>
          <w:p w14:paraId="113929D8" w14:textId="1D31772C" w:rsidR="00506CEA" w:rsidRPr="00D67FFB" w:rsidRDefault="00506CEA" w:rsidP="004246DA">
            <w:pPr>
              <w:jc w:val="center"/>
              <w:rPr>
                <w:sz w:val="20"/>
                <w:lang w:val="en-ID"/>
              </w:rPr>
            </w:pPr>
            <w:r w:rsidRPr="00D67FFB">
              <w:rPr>
                <w:sz w:val="20"/>
                <w:lang w:val="id-ID"/>
              </w:rPr>
              <w:t>210.36</w:t>
            </w:r>
          </w:p>
        </w:tc>
        <w:tc>
          <w:tcPr>
            <w:tcW w:w="1602" w:type="pct"/>
            <w:shd w:val="clear" w:color="auto" w:fill="auto"/>
            <w:noWrap/>
            <w:hideMark/>
          </w:tcPr>
          <w:p w14:paraId="590702EF" w14:textId="08AC2644" w:rsidR="00506CEA" w:rsidRPr="00D67FFB" w:rsidRDefault="00506CEA" w:rsidP="004246DA">
            <w:pPr>
              <w:jc w:val="center"/>
              <w:rPr>
                <w:sz w:val="20"/>
                <w:lang w:val="en-ID"/>
              </w:rPr>
            </w:pPr>
            <w:r w:rsidRPr="00D67FFB">
              <w:rPr>
                <w:sz w:val="20"/>
                <w:lang w:val="id-ID"/>
              </w:rPr>
              <w:t>9.491.551.76</w:t>
            </w:r>
          </w:p>
        </w:tc>
        <w:tc>
          <w:tcPr>
            <w:tcW w:w="1013" w:type="pct"/>
            <w:shd w:val="clear" w:color="auto" w:fill="auto"/>
            <w:noWrap/>
            <w:hideMark/>
          </w:tcPr>
          <w:p w14:paraId="7D085EE4" w14:textId="77777777" w:rsidR="00506CEA" w:rsidRPr="00D67FFB" w:rsidRDefault="00506CEA" w:rsidP="004246DA">
            <w:pPr>
              <w:jc w:val="center"/>
              <w:rPr>
                <w:sz w:val="20"/>
                <w:lang w:val="en-ID"/>
              </w:rPr>
            </w:pPr>
            <w:r w:rsidRPr="00D67FFB">
              <w:rPr>
                <w:sz w:val="20"/>
                <w:lang w:val="id-ID"/>
              </w:rPr>
              <w:t>0.898984641</w:t>
            </w:r>
          </w:p>
        </w:tc>
        <w:tc>
          <w:tcPr>
            <w:tcW w:w="556" w:type="pct"/>
            <w:shd w:val="clear" w:color="auto" w:fill="auto"/>
            <w:noWrap/>
            <w:hideMark/>
          </w:tcPr>
          <w:p w14:paraId="452D4963" w14:textId="1A1B18E2" w:rsidR="00506CEA" w:rsidRPr="00D67FFB" w:rsidRDefault="00506CEA" w:rsidP="004246DA">
            <w:pPr>
              <w:jc w:val="center"/>
              <w:rPr>
                <w:sz w:val="20"/>
                <w:lang w:val="en-ID"/>
              </w:rPr>
            </w:pPr>
            <w:r w:rsidRPr="00D67FFB">
              <w:rPr>
                <w:sz w:val="20"/>
                <w:lang w:val="id-ID"/>
              </w:rPr>
              <w:t>0.45</w:t>
            </w:r>
          </w:p>
        </w:tc>
      </w:tr>
      <w:tr w:rsidR="00506CEA" w:rsidRPr="00D67FFB" w14:paraId="65BD9813" w14:textId="77777777" w:rsidTr="004246DA">
        <w:trPr>
          <w:trHeight w:val="284"/>
        </w:trPr>
        <w:tc>
          <w:tcPr>
            <w:tcW w:w="373" w:type="pct"/>
            <w:shd w:val="clear" w:color="auto" w:fill="auto"/>
            <w:noWrap/>
            <w:vAlign w:val="bottom"/>
            <w:hideMark/>
          </w:tcPr>
          <w:p w14:paraId="4828C32E" w14:textId="77777777" w:rsidR="00506CEA" w:rsidRPr="00D67FFB" w:rsidRDefault="00506CEA" w:rsidP="004246DA">
            <w:pPr>
              <w:jc w:val="center"/>
              <w:rPr>
                <w:sz w:val="20"/>
                <w:lang w:val="en-ID"/>
              </w:rPr>
            </w:pPr>
            <w:r w:rsidRPr="00D67FFB">
              <w:rPr>
                <w:sz w:val="20"/>
                <w:lang w:val="en-ID"/>
              </w:rPr>
              <w:t>5</w:t>
            </w:r>
          </w:p>
        </w:tc>
        <w:tc>
          <w:tcPr>
            <w:tcW w:w="719" w:type="pct"/>
            <w:shd w:val="clear" w:color="auto" w:fill="auto"/>
            <w:noWrap/>
            <w:hideMark/>
          </w:tcPr>
          <w:p w14:paraId="5ED485F7" w14:textId="50ECD242" w:rsidR="00506CEA" w:rsidRPr="00D67FFB" w:rsidRDefault="00506CEA" w:rsidP="004246DA">
            <w:pPr>
              <w:jc w:val="center"/>
              <w:rPr>
                <w:sz w:val="20"/>
                <w:lang w:val="en-ID"/>
              </w:rPr>
            </w:pPr>
            <w:r w:rsidRPr="00D67FFB">
              <w:rPr>
                <w:sz w:val="20"/>
                <w:lang w:val="id-ID"/>
              </w:rPr>
              <w:t>995.27</w:t>
            </w:r>
          </w:p>
        </w:tc>
        <w:tc>
          <w:tcPr>
            <w:tcW w:w="737" w:type="pct"/>
            <w:shd w:val="clear" w:color="auto" w:fill="auto"/>
            <w:noWrap/>
            <w:hideMark/>
          </w:tcPr>
          <w:p w14:paraId="1A242ECC" w14:textId="633DDA2A" w:rsidR="00506CEA" w:rsidRPr="00D67FFB" w:rsidRDefault="00506CEA" w:rsidP="004246DA">
            <w:pPr>
              <w:jc w:val="center"/>
              <w:rPr>
                <w:sz w:val="20"/>
                <w:lang w:val="en-ID"/>
              </w:rPr>
            </w:pPr>
            <w:r w:rsidRPr="00D67FFB">
              <w:rPr>
                <w:sz w:val="20"/>
                <w:lang w:val="id-ID"/>
              </w:rPr>
              <w:t>199.05</w:t>
            </w:r>
          </w:p>
        </w:tc>
        <w:tc>
          <w:tcPr>
            <w:tcW w:w="1602" w:type="pct"/>
            <w:shd w:val="clear" w:color="auto" w:fill="auto"/>
            <w:noWrap/>
            <w:hideMark/>
          </w:tcPr>
          <w:p w14:paraId="79240852" w14:textId="041C2AB9" w:rsidR="00506CEA" w:rsidRPr="00D67FFB" w:rsidRDefault="00506CEA" w:rsidP="004246DA">
            <w:pPr>
              <w:jc w:val="center"/>
              <w:rPr>
                <w:sz w:val="20"/>
                <w:lang w:val="en-ID"/>
              </w:rPr>
            </w:pPr>
            <w:r w:rsidRPr="00D67FFB">
              <w:rPr>
                <w:sz w:val="20"/>
                <w:lang w:val="id-ID"/>
              </w:rPr>
              <w:t>9.236.100.32</w:t>
            </w:r>
          </w:p>
        </w:tc>
        <w:tc>
          <w:tcPr>
            <w:tcW w:w="1013" w:type="pct"/>
            <w:shd w:val="clear" w:color="auto" w:fill="auto"/>
            <w:noWrap/>
            <w:hideMark/>
          </w:tcPr>
          <w:p w14:paraId="7660252D" w14:textId="77777777" w:rsidR="00506CEA" w:rsidRPr="00D67FFB" w:rsidRDefault="00506CEA" w:rsidP="004246DA">
            <w:pPr>
              <w:jc w:val="center"/>
              <w:rPr>
                <w:sz w:val="20"/>
                <w:lang w:val="en-ID"/>
              </w:rPr>
            </w:pPr>
            <w:r w:rsidRPr="00D67FFB">
              <w:rPr>
                <w:sz w:val="20"/>
                <w:lang w:val="id-ID"/>
              </w:rPr>
              <w:t>1.063322042</w:t>
            </w:r>
          </w:p>
        </w:tc>
        <w:tc>
          <w:tcPr>
            <w:tcW w:w="556" w:type="pct"/>
            <w:shd w:val="clear" w:color="auto" w:fill="auto"/>
            <w:noWrap/>
            <w:hideMark/>
          </w:tcPr>
          <w:p w14:paraId="617F250F" w14:textId="54BAF8B6" w:rsidR="00506CEA" w:rsidRPr="00D67FFB" w:rsidRDefault="00506CEA" w:rsidP="004246DA">
            <w:pPr>
              <w:jc w:val="center"/>
              <w:rPr>
                <w:sz w:val="20"/>
                <w:lang w:val="en-ID"/>
              </w:rPr>
            </w:pPr>
            <w:r w:rsidRPr="00D67FFB">
              <w:rPr>
                <w:sz w:val="20"/>
                <w:lang w:val="id-ID"/>
              </w:rPr>
              <w:t>0.43</w:t>
            </w:r>
          </w:p>
        </w:tc>
      </w:tr>
      <w:tr w:rsidR="00506CEA" w:rsidRPr="00D67FFB" w14:paraId="226DA554" w14:textId="77777777" w:rsidTr="004246DA">
        <w:trPr>
          <w:trHeight w:val="284"/>
        </w:trPr>
        <w:tc>
          <w:tcPr>
            <w:tcW w:w="373" w:type="pct"/>
            <w:shd w:val="clear" w:color="auto" w:fill="auto"/>
            <w:noWrap/>
            <w:vAlign w:val="bottom"/>
            <w:hideMark/>
          </w:tcPr>
          <w:p w14:paraId="357FF2C2" w14:textId="77777777" w:rsidR="00506CEA" w:rsidRPr="00D67FFB" w:rsidRDefault="00506CEA" w:rsidP="004246DA">
            <w:pPr>
              <w:jc w:val="center"/>
              <w:rPr>
                <w:sz w:val="20"/>
                <w:lang w:val="en-ID"/>
              </w:rPr>
            </w:pPr>
            <w:r w:rsidRPr="00D67FFB">
              <w:rPr>
                <w:sz w:val="20"/>
                <w:lang w:val="en-ID"/>
              </w:rPr>
              <w:t>6</w:t>
            </w:r>
          </w:p>
        </w:tc>
        <w:tc>
          <w:tcPr>
            <w:tcW w:w="719" w:type="pct"/>
            <w:shd w:val="clear" w:color="auto" w:fill="auto"/>
            <w:noWrap/>
            <w:hideMark/>
          </w:tcPr>
          <w:p w14:paraId="0890DEDC" w14:textId="04AE0A68" w:rsidR="00506CEA" w:rsidRPr="00D67FFB" w:rsidRDefault="00506CEA" w:rsidP="004246DA">
            <w:pPr>
              <w:jc w:val="center"/>
              <w:rPr>
                <w:sz w:val="20"/>
                <w:lang w:val="en-ID"/>
              </w:rPr>
            </w:pPr>
            <w:r w:rsidRPr="00D67FFB">
              <w:rPr>
                <w:sz w:val="20"/>
                <w:lang w:val="id-ID"/>
              </w:rPr>
              <w:t>1.143.89</w:t>
            </w:r>
          </w:p>
        </w:tc>
        <w:tc>
          <w:tcPr>
            <w:tcW w:w="737" w:type="pct"/>
            <w:shd w:val="clear" w:color="auto" w:fill="auto"/>
            <w:noWrap/>
            <w:hideMark/>
          </w:tcPr>
          <w:p w14:paraId="38C2645B" w14:textId="44C870D7" w:rsidR="00506CEA" w:rsidRPr="00D67FFB" w:rsidRDefault="00506CEA" w:rsidP="004246DA">
            <w:pPr>
              <w:jc w:val="center"/>
              <w:rPr>
                <w:sz w:val="20"/>
                <w:lang w:val="en-ID"/>
              </w:rPr>
            </w:pPr>
            <w:r w:rsidRPr="00D67FFB">
              <w:rPr>
                <w:sz w:val="20"/>
                <w:lang w:val="id-ID"/>
              </w:rPr>
              <w:t>190.65</w:t>
            </w:r>
          </w:p>
        </w:tc>
        <w:tc>
          <w:tcPr>
            <w:tcW w:w="1602" w:type="pct"/>
            <w:shd w:val="clear" w:color="auto" w:fill="auto"/>
            <w:noWrap/>
            <w:hideMark/>
          </w:tcPr>
          <w:p w14:paraId="1490C703" w14:textId="397C17B0" w:rsidR="00506CEA" w:rsidRPr="00D67FFB" w:rsidRDefault="00506CEA" w:rsidP="004246DA">
            <w:pPr>
              <w:jc w:val="center"/>
              <w:rPr>
                <w:sz w:val="20"/>
                <w:lang w:val="en-ID"/>
              </w:rPr>
            </w:pPr>
            <w:r w:rsidRPr="00D67FFB">
              <w:rPr>
                <w:sz w:val="20"/>
                <w:lang w:val="id-ID"/>
              </w:rPr>
              <w:t>9.090.141.01</w:t>
            </w:r>
          </w:p>
        </w:tc>
        <w:tc>
          <w:tcPr>
            <w:tcW w:w="1013" w:type="pct"/>
            <w:shd w:val="clear" w:color="auto" w:fill="auto"/>
            <w:noWrap/>
            <w:hideMark/>
          </w:tcPr>
          <w:p w14:paraId="112F6A4D" w14:textId="77777777" w:rsidR="00506CEA" w:rsidRPr="00D67FFB" w:rsidRDefault="00506CEA" w:rsidP="004246DA">
            <w:pPr>
              <w:jc w:val="center"/>
              <w:rPr>
                <w:sz w:val="20"/>
                <w:lang w:val="en-ID"/>
              </w:rPr>
            </w:pPr>
            <w:r w:rsidRPr="00D67FFB">
              <w:rPr>
                <w:sz w:val="20"/>
                <w:lang w:val="id-ID"/>
              </w:rPr>
              <w:t>1.22210853</w:t>
            </w:r>
          </w:p>
        </w:tc>
        <w:tc>
          <w:tcPr>
            <w:tcW w:w="556" w:type="pct"/>
            <w:shd w:val="clear" w:color="auto" w:fill="auto"/>
            <w:noWrap/>
            <w:hideMark/>
          </w:tcPr>
          <w:p w14:paraId="630DC5E4" w14:textId="313E3F81" w:rsidR="00506CEA" w:rsidRPr="00D67FFB" w:rsidRDefault="00506CEA" w:rsidP="004246DA">
            <w:pPr>
              <w:jc w:val="center"/>
              <w:rPr>
                <w:sz w:val="20"/>
                <w:lang w:val="en-ID"/>
              </w:rPr>
            </w:pPr>
            <w:r w:rsidRPr="00D67FFB">
              <w:rPr>
                <w:sz w:val="20"/>
                <w:lang w:val="id-ID"/>
              </w:rPr>
              <w:t>0.41</w:t>
            </w:r>
          </w:p>
        </w:tc>
      </w:tr>
      <w:tr w:rsidR="00506CEA" w:rsidRPr="00D67FFB" w14:paraId="7E69665C" w14:textId="77777777" w:rsidTr="004246DA">
        <w:trPr>
          <w:trHeight w:val="284"/>
        </w:trPr>
        <w:tc>
          <w:tcPr>
            <w:tcW w:w="373" w:type="pct"/>
            <w:shd w:val="clear" w:color="auto" w:fill="auto"/>
            <w:noWrap/>
            <w:vAlign w:val="bottom"/>
            <w:hideMark/>
          </w:tcPr>
          <w:p w14:paraId="636C57C3" w14:textId="77777777" w:rsidR="00506CEA" w:rsidRPr="00D67FFB" w:rsidRDefault="00506CEA" w:rsidP="004246DA">
            <w:pPr>
              <w:jc w:val="center"/>
              <w:rPr>
                <w:sz w:val="20"/>
                <w:lang w:val="en-ID"/>
              </w:rPr>
            </w:pPr>
            <w:r w:rsidRPr="00D67FFB">
              <w:rPr>
                <w:sz w:val="20"/>
                <w:lang w:val="en-ID"/>
              </w:rPr>
              <w:t>7</w:t>
            </w:r>
          </w:p>
        </w:tc>
        <w:tc>
          <w:tcPr>
            <w:tcW w:w="719" w:type="pct"/>
            <w:shd w:val="clear" w:color="auto" w:fill="auto"/>
            <w:noWrap/>
            <w:hideMark/>
          </w:tcPr>
          <w:p w14:paraId="4E6FC249" w14:textId="59689695" w:rsidR="00506CEA" w:rsidRPr="00D67FFB" w:rsidRDefault="00506CEA" w:rsidP="004246DA">
            <w:pPr>
              <w:jc w:val="center"/>
              <w:rPr>
                <w:sz w:val="20"/>
                <w:lang w:val="en-ID"/>
              </w:rPr>
            </w:pPr>
            <w:r w:rsidRPr="00D67FFB">
              <w:rPr>
                <w:sz w:val="20"/>
                <w:lang w:val="id-ID"/>
              </w:rPr>
              <w:t>1.288.04</w:t>
            </w:r>
          </w:p>
        </w:tc>
        <w:tc>
          <w:tcPr>
            <w:tcW w:w="737" w:type="pct"/>
            <w:shd w:val="clear" w:color="auto" w:fill="auto"/>
            <w:noWrap/>
            <w:hideMark/>
          </w:tcPr>
          <w:p w14:paraId="307D3A52" w14:textId="05774444" w:rsidR="00506CEA" w:rsidRPr="00D67FFB" w:rsidRDefault="00506CEA" w:rsidP="004246DA">
            <w:pPr>
              <w:jc w:val="center"/>
              <w:rPr>
                <w:sz w:val="20"/>
                <w:lang w:val="en-ID"/>
              </w:rPr>
            </w:pPr>
            <w:r w:rsidRPr="00D67FFB">
              <w:rPr>
                <w:sz w:val="20"/>
                <w:lang w:val="id-ID"/>
              </w:rPr>
              <w:t>184.01</w:t>
            </w:r>
          </w:p>
        </w:tc>
        <w:tc>
          <w:tcPr>
            <w:tcW w:w="1602" w:type="pct"/>
            <w:shd w:val="clear" w:color="auto" w:fill="auto"/>
            <w:noWrap/>
            <w:hideMark/>
          </w:tcPr>
          <w:p w14:paraId="4F33206C" w14:textId="6DC9DAB9" w:rsidR="00506CEA" w:rsidRPr="00D67FFB" w:rsidRDefault="00506CEA" w:rsidP="004246DA">
            <w:pPr>
              <w:jc w:val="center"/>
              <w:rPr>
                <w:sz w:val="20"/>
                <w:lang w:val="en-ID"/>
              </w:rPr>
            </w:pPr>
            <w:r w:rsidRPr="00D67FFB">
              <w:rPr>
                <w:sz w:val="20"/>
                <w:lang w:val="id-ID"/>
              </w:rPr>
              <w:t>9.008.939.42</w:t>
            </w:r>
          </w:p>
        </w:tc>
        <w:tc>
          <w:tcPr>
            <w:tcW w:w="1013" w:type="pct"/>
            <w:shd w:val="clear" w:color="auto" w:fill="auto"/>
            <w:noWrap/>
            <w:hideMark/>
          </w:tcPr>
          <w:p w14:paraId="776FB7C2" w14:textId="77777777" w:rsidR="00506CEA" w:rsidRPr="00D67FFB" w:rsidRDefault="00506CEA" w:rsidP="004246DA">
            <w:pPr>
              <w:jc w:val="center"/>
              <w:rPr>
                <w:sz w:val="20"/>
                <w:lang w:val="en-ID"/>
              </w:rPr>
            </w:pPr>
            <w:r w:rsidRPr="00D67FFB">
              <w:rPr>
                <w:sz w:val="20"/>
                <w:lang w:val="id-ID"/>
              </w:rPr>
              <w:t>1.376114113</w:t>
            </w:r>
          </w:p>
        </w:tc>
        <w:tc>
          <w:tcPr>
            <w:tcW w:w="556" w:type="pct"/>
            <w:shd w:val="clear" w:color="auto" w:fill="auto"/>
            <w:noWrap/>
            <w:hideMark/>
          </w:tcPr>
          <w:p w14:paraId="13E9763B" w14:textId="61D7C364" w:rsidR="00506CEA" w:rsidRPr="00D67FFB" w:rsidRDefault="00506CEA" w:rsidP="004246DA">
            <w:pPr>
              <w:jc w:val="center"/>
              <w:rPr>
                <w:sz w:val="20"/>
                <w:lang w:val="en-ID"/>
              </w:rPr>
            </w:pPr>
            <w:r w:rsidRPr="00D67FFB">
              <w:rPr>
                <w:sz w:val="20"/>
                <w:lang w:val="id-ID"/>
              </w:rPr>
              <w:t>0.39</w:t>
            </w:r>
          </w:p>
        </w:tc>
      </w:tr>
      <w:tr w:rsidR="00506CEA" w:rsidRPr="00D67FFB" w14:paraId="0D60B823" w14:textId="77777777" w:rsidTr="004246DA">
        <w:trPr>
          <w:trHeight w:val="284"/>
        </w:trPr>
        <w:tc>
          <w:tcPr>
            <w:tcW w:w="373" w:type="pct"/>
            <w:shd w:val="clear" w:color="auto" w:fill="auto"/>
            <w:noWrap/>
            <w:vAlign w:val="bottom"/>
            <w:hideMark/>
          </w:tcPr>
          <w:p w14:paraId="2C88C8B7" w14:textId="77777777" w:rsidR="00506CEA" w:rsidRPr="00D67FFB" w:rsidRDefault="00506CEA" w:rsidP="004246DA">
            <w:pPr>
              <w:jc w:val="center"/>
              <w:rPr>
                <w:sz w:val="20"/>
                <w:lang w:val="en-ID"/>
              </w:rPr>
            </w:pPr>
            <w:r w:rsidRPr="00D67FFB">
              <w:rPr>
                <w:sz w:val="20"/>
                <w:lang w:val="en-ID"/>
              </w:rPr>
              <w:t>8</w:t>
            </w:r>
          </w:p>
        </w:tc>
        <w:tc>
          <w:tcPr>
            <w:tcW w:w="719" w:type="pct"/>
            <w:shd w:val="clear" w:color="auto" w:fill="auto"/>
            <w:noWrap/>
            <w:hideMark/>
          </w:tcPr>
          <w:p w14:paraId="1688E089" w14:textId="3549A322" w:rsidR="00506CEA" w:rsidRPr="00D67FFB" w:rsidRDefault="00506CEA" w:rsidP="004246DA">
            <w:pPr>
              <w:jc w:val="center"/>
              <w:rPr>
                <w:sz w:val="20"/>
                <w:lang w:val="en-ID"/>
              </w:rPr>
            </w:pPr>
            <w:r w:rsidRPr="00D67FFB">
              <w:rPr>
                <w:sz w:val="20"/>
                <w:lang w:val="id-ID"/>
              </w:rPr>
              <w:t>1.428.20</w:t>
            </w:r>
          </w:p>
        </w:tc>
        <w:tc>
          <w:tcPr>
            <w:tcW w:w="737" w:type="pct"/>
            <w:shd w:val="clear" w:color="auto" w:fill="auto"/>
            <w:noWrap/>
            <w:hideMark/>
          </w:tcPr>
          <w:p w14:paraId="1C1AA942" w14:textId="68D8AF10" w:rsidR="00506CEA" w:rsidRPr="00D67FFB" w:rsidRDefault="00506CEA" w:rsidP="004246DA">
            <w:pPr>
              <w:jc w:val="center"/>
              <w:rPr>
                <w:sz w:val="20"/>
                <w:lang w:val="en-ID"/>
              </w:rPr>
            </w:pPr>
            <w:r w:rsidRPr="00D67FFB">
              <w:rPr>
                <w:sz w:val="20"/>
                <w:lang w:val="id-ID"/>
              </w:rPr>
              <w:t>178.52</w:t>
            </w:r>
          </w:p>
        </w:tc>
        <w:tc>
          <w:tcPr>
            <w:tcW w:w="1602" w:type="pct"/>
            <w:shd w:val="clear" w:color="auto" w:fill="auto"/>
            <w:noWrap/>
            <w:hideMark/>
          </w:tcPr>
          <w:p w14:paraId="45DC1960" w14:textId="0FB45E77" w:rsidR="00506CEA" w:rsidRPr="00D67FFB" w:rsidRDefault="00506CEA" w:rsidP="004246DA">
            <w:pPr>
              <w:jc w:val="center"/>
              <w:rPr>
                <w:sz w:val="20"/>
                <w:lang w:val="en-ID"/>
              </w:rPr>
            </w:pPr>
            <w:r w:rsidRPr="00D67FFB">
              <w:rPr>
                <w:sz w:val="20"/>
                <w:lang w:val="id-ID"/>
              </w:rPr>
              <w:t>8.969.089.84</w:t>
            </w:r>
          </w:p>
        </w:tc>
        <w:tc>
          <w:tcPr>
            <w:tcW w:w="1013" w:type="pct"/>
            <w:shd w:val="clear" w:color="auto" w:fill="auto"/>
            <w:noWrap/>
            <w:hideMark/>
          </w:tcPr>
          <w:p w14:paraId="27C64DE5" w14:textId="77777777" w:rsidR="00506CEA" w:rsidRPr="00D67FFB" w:rsidRDefault="00506CEA" w:rsidP="004246DA">
            <w:pPr>
              <w:jc w:val="center"/>
              <w:rPr>
                <w:sz w:val="20"/>
                <w:lang w:val="en-ID"/>
              </w:rPr>
            </w:pPr>
            <w:r w:rsidRPr="00D67FFB">
              <w:rPr>
                <w:sz w:val="20"/>
                <w:lang w:val="id-ID"/>
              </w:rPr>
              <w:t>1.525853653</w:t>
            </w:r>
          </w:p>
        </w:tc>
        <w:tc>
          <w:tcPr>
            <w:tcW w:w="556" w:type="pct"/>
            <w:shd w:val="clear" w:color="auto" w:fill="auto"/>
            <w:noWrap/>
            <w:hideMark/>
          </w:tcPr>
          <w:p w14:paraId="7DA711BF" w14:textId="1C1A36F3" w:rsidR="00506CEA" w:rsidRPr="00D67FFB" w:rsidRDefault="00506CEA" w:rsidP="004246DA">
            <w:pPr>
              <w:jc w:val="center"/>
              <w:rPr>
                <w:sz w:val="20"/>
                <w:lang w:val="en-ID"/>
              </w:rPr>
            </w:pPr>
            <w:r w:rsidRPr="00D67FFB">
              <w:rPr>
                <w:sz w:val="20"/>
                <w:lang w:val="id-ID"/>
              </w:rPr>
              <w:t>0.38</w:t>
            </w:r>
          </w:p>
        </w:tc>
      </w:tr>
      <w:tr w:rsidR="00615E23" w:rsidRPr="00D67FFB" w14:paraId="40CF06A8" w14:textId="77777777" w:rsidTr="00E75DBF">
        <w:trPr>
          <w:trHeight w:val="284"/>
        </w:trPr>
        <w:tc>
          <w:tcPr>
            <w:tcW w:w="373" w:type="pct"/>
            <w:shd w:val="clear" w:color="auto" w:fill="D9D9D9" w:themeFill="background1" w:themeFillShade="D9"/>
            <w:noWrap/>
            <w:vAlign w:val="bottom"/>
            <w:hideMark/>
          </w:tcPr>
          <w:p w14:paraId="5284D1D5" w14:textId="77777777" w:rsidR="00506CEA" w:rsidRPr="00D67FFB" w:rsidRDefault="00506CEA" w:rsidP="004246DA">
            <w:pPr>
              <w:jc w:val="center"/>
              <w:rPr>
                <w:sz w:val="20"/>
                <w:lang w:val="en-ID"/>
              </w:rPr>
            </w:pPr>
            <w:r w:rsidRPr="00D67FFB">
              <w:rPr>
                <w:sz w:val="20"/>
                <w:lang w:val="en-ID"/>
              </w:rPr>
              <w:t>9</w:t>
            </w:r>
          </w:p>
        </w:tc>
        <w:tc>
          <w:tcPr>
            <w:tcW w:w="719" w:type="pct"/>
            <w:shd w:val="clear" w:color="auto" w:fill="D9D9D9" w:themeFill="background1" w:themeFillShade="D9"/>
            <w:noWrap/>
            <w:hideMark/>
          </w:tcPr>
          <w:p w14:paraId="4C72BE48" w14:textId="7A0F74CD" w:rsidR="00506CEA" w:rsidRPr="00D67FFB" w:rsidRDefault="00506CEA" w:rsidP="004246DA">
            <w:pPr>
              <w:jc w:val="center"/>
              <w:rPr>
                <w:sz w:val="20"/>
                <w:lang w:val="en-ID"/>
              </w:rPr>
            </w:pPr>
            <w:r w:rsidRPr="00D67FFB">
              <w:rPr>
                <w:sz w:val="20"/>
                <w:lang w:val="id-ID"/>
              </w:rPr>
              <w:t>1.564.72</w:t>
            </w:r>
          </w:p>
        </w:tc>
        <w:tc>
          <w:tcPr>
            <w:tcW w:w="737" w:type="pct"/>
            <w:shd w:val="clear" w:color="auto" w:fill="D9D9D9" w:themeFill="background1" w:themeFillShade="D9"/>
            <w:noWrap/>
            <w:hideMark/>
          </w:tcPr>
          <w:p w14:paraId="68FAAB31" w14:textId="401941E0" w:rsidR="00506CEA" w:rsidRPr="00D67FFB" w:rsidRDefault="00506CEA" w:rsidP="004246DA">
            <w:pPr>
              <w:jc w:val="center"/>
              <w:rPr>
                <w:sz w:val="20"/>
                <w:lang w:val="en-ID"/>
              </w:rPr>
            </w:pPr>
            <w:r w:rsidRPr="00D67FFB">
              <w:rPr>
                <w:sz w:val="20"/>
                <w:lang w:val="id-ID"/>
              </w:rPr>
              <w:t>173.86</w:t>
            </w:r>
          </w:p>
        </w:tc>
        <w:tc>
          <w:tcPr>
            <w:tcW w:w="1602" w:type="pct"/>
            <w:shd w:val="clear" w:color="auto" w:fill="D9D9D9" w:themeFill="background1" w:themeFillShade="D9"/>
            <w:noWrap/>
            <w:hideMark/>
          </w:tcPr>
          <w:p w14:paraId="73866B3D" w14:textId="53CDB85F" w:rsidR="00506CEA" w:rsidRPr="00D67FFB" w:rsidRDefault="00506CEA" w:rsidP="004246DA">
            <w:pPr>
              <w:jc w:val="center"/>
              <w:rPr>
                <w:sz w:val="20"/>
                <w:lang w:val="en-ID"/>
              </w:rPr>
            </w:pPr>
            <w:r w:rsidRPr="00D67FFB">
              <w:rPr>
                <w:sz w:val="20"/>
                <w:lang w:val="id-ID"/>
              </w:rPr>
              <w:t>8.957.138.32</w:t>
            </w:r>
          </w:p>
        </w:tc>
        <w:tc>
          <w:tcPr>
            <w:tcW w:w="1013" w:type="pct"/>
            <w:shd w:val="clear" w:color="auto" w:fill="D9D9D9" w:themeFill="background1" w:themeFillShade="D9"/>
            <w:noWrap/>
            <w:hideMark/>
          </w:tcPr>
          <w:p w14:paraId="06CCE758" w14:textId="77777777" w:rsidR="00506CEA" w:rsidRPr="00D67FFB" w:rsidRDefault="00506CEA" w:rsidP="004246DA">
            <w:pPr>
              <w:jc w:val="center"/>
              <w:rPr>
                <w:sz w:val="20"/>
                <w:lang w:val="en-ID"/>
              </w:rPr>
            </w:pPr>
            <w:r w:rsidRPr="00D67FFB">
              <w:rPr>
                <w:sz w:val="20"/>
                <w:lang w:val="id-ID"/>
              </w:rPr>
              <w:t>1.671706717</w:t>
            </w:r>
          </w:p>
        </w:tc>
        <w:tc>
          <w:tcPr>
            <w:tcW w:w="556" w:type="pct"/>
            <w:shd w:val="clear" w:color="auto" w:fill="D9D9D9" w:themeFill="background1" w:themeFillShade="D9"/>
            <w:noWrap/>
            <w:hideMark/>
          </w:tcPr>
          <w:p w14:paraId="7DD3C8E5" w14:textId="6F87195F" w:rsidR="00506CEA" w:rsidRPr="00D67FFB" w:rsidRDefault="00506CEA" w:rsidP="004246DA">
            <w:pPr>
              <w:jc w:val="center"/>
              <w:rPr>
                <w:sz w:val="20"/>
                <w:lang w:val="en-ID"/>
              </w:rPr>
            </w:pPr>
            <w:r w:rsidRPr="00D67FFB">
              <w:rPr>
                <w:sz w:val="20"/>
                <w:lang w:val="id-ID"/>
              </w:rPr>
              <w:t>0.37</w:t>
            </w:r>
          </w:p>
        </w:tc>
      </w:tr>
      <w:tr w:rsidR="00506CEA" w:rsidRPr="00D67FFB" w14:paraId="4F375D14" w14:textId="77777777" w:rsidTr="004246DA">
        <w:trPr>
          <w:trHeight w:val="284"/>
        </w:trPr>
        <w:tc>
          <w:tcPr>
            <w:tcW w:w="373" w:type="pct"/>
            <w:shd w:val="clear" w:color="auto" w:fill="auto"/>
            <w:noWrap/>
            <w:vAlign w:val="bottom"/>
            <w:hideMark/>
          </w:tcPr>
          <w:p w14:paraId="613F3279" w14:textId="77777777" w:rsidR="00506CEA" w:rsidRPr="00D67FFB" w:rsidRDefault="00506CEA" w:rsidP="004246DA">
            <w:pPr>
              <w:jc w:val="center"/>
              <w:rPr>
                <w:sz w:val="20"/>
                <w:lang w:val="en-ID"/>
              </w:rPr>
            </w:pPr>
            <w:r w:rsidRPr="00D67FFB">
              <w:rPr>
                <w:sz w:val="20"/>
                <w:lang w:val="en-ID"/>
              </w:rPr>
              <w:t>10</w:t>
            </w:r>
          </w:p>
        </w:tc>
        <w:tc>
          <w:tcPr>
            <w:tcW w:w="719" w:type="pct"/>
            <w:shd w:val="clear" w:color="auto" w:fill="auto"/>
            <w:noWrap/>
            <w:hideMark/>
          </w:tcPr>
          <w:p w14:paraId="508024D2" w14:textId="73AAD4BD" w:rsidR="00506CEA" w:rsidRPr="00D67FFB" w:rsidRDefault="00506CEA" w:rsidP="004246DA">
            <w:pPr>
              <w:jc w:val="center"/>
              <w:rPr>
                <w:sz w:val="20"/>
                <w:lang w:val="en-ID"/>
              </w:rPr>
            </w:pPr>
            <w:r w:rsidRPr="00D67FFB">
              <w:rPr>
                <w:sz w:val="20"/>
                <w:lang w:val="id-ID"/>
              </w:rPr>
              <w:t>1.697.88</w:t>
            </w:r>
          </w:p>
        </w:tc>
        <w:tc>
          <w:tcPr>
            <w:tcW w:w="737" w:type="pct"/>
            <w:shd w:val="clear" w:color="auto" w:fill="auto"/>
            <w:noWrap/>
            <w:hideMark/>
          </w:tcPr>
          <w:p w14:paraId="5F117676" w14:textId="381DC14E" w:rsidR="00506CEA" w:rsidRPr="00D67FFB" w:rsidRDefault="00506CEA" w:rsidP="004246DA">
            <w:pPr>
              <w:jc w:val="center"/>
              <w:rPr>
                <w:sz w:val="20"/>
                <w:lang w:val="en-ID"/>
              </w:rPr>
            </w:pPr>
            <w:r w:rsidRPr="00D67FFB">
              <w:rPr>
                <w:sz w:val="20"/>
                <w:lang w:val="id-ID"/>
              </w:rPr>
              <w:t>169.79</w:t>
            </w:r>
          </w:p>
        </w:tc>
        <w:tc>
          <w:tcPr>
            <w:tcW w:w="1602" w:type="pct"/>
            <w:shd w:val="clear" w:color="auto" w:fill="auto"/>
            <w:noWrap/>
            <w:hideMark/>
          </w:tcPr>
          <w:p w14:paraId="3BFA7578" w14:textId="1BB54DA5" w:rsidR="00506CEA" w:rsidRPr="00D67FFB" w:rsidRDefault="00506CEA" w:rsidP="004246DA">
            <w:pPr>
              <w:jc w:val="center"/>
              <w:rPr>
                <w:sz w:val="20"/>
                <w:lang w:val="en-ID"/>
              </w:rPr>
            </w:pPr>
            <w:r w:rsidRPr="00D67FFB">
              <w:rPr>
                <w:sz w:val="20"/>
                <w:lang w:val="id-ID"/>
              </w:rPr>
              <w:t>8.964.797.90</w:t>
            </w:r>
          </w:p>
        </w:tc>
        <w:tc>
          <w:tcPr>
            <w:tcW w:w="1013" w:type="pct"/>
            <w:shd w:val="clear" w:color="auto" w:fill="auto"/>
            <w:noWrap/>
            <w:hideMark/>
          </w:tcPr>
          <w:p w14:paraId="127945F4" w14:textId="77777777" w:rsidR="00506CEA" w:rsidRPr="00D67FFB" w:rsidRDefault="00506CEA" w:rsidP="004246DA">
            <w:pPr>
              <w:jc w:val="center"/>
              <w:rPr>
                <w:sz w:val="20"/>
                <w:lang w:val="en-ID"/>
              </w:rPr>
            </w:pPr>
            <w:r w:rsidRPr="00D67FFB">
              <w:rPr>
                <w:sz w:val="20"/>
                <w:lang w:val="id-ID"/>
              </w:rPr>
              <w:t>1.813972639</w:t>
            </w:r>
          </w:p>
        </w:tc>
        <w:tc>
          <w:tcPr>
            <w:tcW w:w="556" w:type="pct"/>
            <w:shd w:val="clear" w:color="auto" w:fill="auto"/>
            <w:noWrap/>
            <w:hideMark/>
          </w:tcPr>
          <w:p w14:paraId="517D4E72" w14:textId="16B68A49" w:rsidR="00506CEA" w:rsidRPr="00D67FFB" w:rsidRDefault="00506CEA" w:rsidP="004246DA">
            <w:pPr>
              <w:jc w:val="center"/>
              <w:rPr>
                <w:sz w:val="20"/>
                <w:lang w:val="en-ID"/>
              </w:rPr>
            </w:pPr>
            <w:r w:rsidRPr="00D67FFB">
              <w:rPr>
                <w:sz w:val="20"/>
                <w:lang w:val="id-ID"/>
              </w:rPr>
              <w:t>0.36</w:t>
            </w:r>
          </w:p>
        </w:tc>
      </w:tr>
      <w:tr w:rsidR="00506CEA" w:rsidRPr="00D67FFB" w14:paraId="2ED0B849" w14:textId="77777777" w:rsidTr="004246DA">
        <w:trPr>
          <w:trHeight w:val="284"/>
        </w:trPr>
        <w:tc>
          <w:tcPr>
            <w:tcW w:w="373" w:type="pct"/>
            <w:shd w:val="clear" w:color="auto" w:fill="auto"/>
            <w:noWrap/>
            <w:vAlign w:val="bottom"/>
            <w:hideMark/>
          </w:tcPr>
          <w:p w14:paraId="19FAB72A" w14:textId="77777777" w:rsidR="00506CEA" w:rsidRPr="00D67FFB" w:rsidRDefault="00506CEA" w:rsidP="004246DA">
            <w:pPr>
              <w:jc w:val="center"/>
              <w:rPr>
                <w:sz w:val="20"/>
                <w:lang w:val="en-ID"/>
              </w:rPr>
            </w:pPr>
            <w:r w:rsidRPr="00D67FFB">
              <w:rPr>
                <w:sz w:val="20"/>
                <w:lang w:val="en-ID"/>
              </w:rPr>
              <w:t>11</w:t>
            </w:r>
          </w:p>
        </w:tc>
        <w:tc>
          <w:tcPr>
            <w:tcW w:w="719" w:type="pct"/>
            <w:shd w:val="clear" w:color="auto" w:fill="auto"/>
            <w:noWrap/>
            <w:hideMark/>
          </w:tcPr>
          <w:p w14:paraId="42517324" w14:textId="03552324" w:rsidR="00506CEA" w:rsidRPr="00D67FFB" w:rsidRDefault="00506CEA" w:rsidP="004246DA">
            <w:pPr>
              <w:jc w:val="center"/>
              <w:rPr>
                <w:sz w:val="20"/>
                <w:lang w:val="en-ID"/>
              </w:rPr>
            </w:pPr>
            <w:r w:rsidRPr="00D67FFB">
              <w:rPr>
                <w:sz w:val="20"/>
                <w:lang w:val="id-ID"/>
              </w:rPr>
              <w:t>1.827.91</w:t>
            </w:r>
          </w:p>
        </w:tc>
        <w:tc>
          <w:tcPr>
            <w:tcW w:w="737" w:type="pct"/>
            <w:shd w:val="clear" w:color="auto" w:fill="auto"/>
            <w:noWrap/>
            <w:hideMark/>
          </w:tcPr>
          <w:p w14:paraId="49BAFE59" w14:textId="36DA41EA" w:rsidR="00506CEA" w:rsidRPr="00D67FFB" w:rsidRDefault="00506CEA" w:rsidP="004246DA">
            <w:pPr>
              <w:jc w:val="center"/>
              <w:rPr>
                <w:sz w:val="20"/>
                <w:lang w:val="en-ID"/>
              </w:rPr>
            </w:pPr>
            <w:r w:rsidRPr="00D67FFB">
              <w:rPr>
                <w:sz w:val="20"/>
                <w:lang w:val="id-ID"/>
              </w:rPr>
              <w:t>166.17</w:t>
            </w:r>
          </w:p>
        </w:tc>
        <w:tc>
          <w:tcPr>
            <w:tcW w:w="1602" w:type="pct"/>
            <w:shd w:val="clear" w:color="auto" w:fill="auto"/>
            <w:noWrap/>
            <w:hideMark/>
          </w:tcPr>
          <w:p w14:paraId="25BC871B" w14:textId="4AA5A1C3" w:rsidR="00506CEA" w:rsidRPr="00D67FFB" w:rsidRDefault="00506CEA" w:rsidP="004246DA">
            <w:pPr>
              <w:jc w:val="center"/>
              <w:rPr>
                <w:sz w:val="20"/>
                <w:lang w:val="en-ID"/>
              </w:rPr>
            </w:pPr>
            <w:r w:rsidRPr="00D67FFB">
              <w:rPr>
                <w:sz w:val="20"/>
                <w:lang w:val="id-ID"/>
              </w:rPr>
              <w:t>8.986.686.08</w:t>
            </w:r>
          </w:p>
        </w:tc>
        <w:tc>
          <w:tcPr>
            <w:tcW w:w="1013" w:type="pct"/>
            <w:shd w:val="clear" w:color="auto" w:fill="auto"/>
            <w:noWrap/>
            <w:hideMark/>
          </w:tcPr>
          <w:p w14:paraId="4C97EA6E" w14:textId="77777777" w:rsidR="00506CEA" w:rsidRPr="00D67FFB" w:rsidRDefault="00506CEA" w:rsidP="004246DA">
            <w:pPr>
              <w:jc w:val="center"/>
              <w:rPr>
                <w:sz w:val="20"/>
                <w:lang w:val="en-ID"/>
              </w:rPr>
            </w:pPr>
            <w:r w:rsidRPr="00D67FFB">
              <w:rPr>
                <w:sz w:val="20"/>
                <w:lang w:val="id-ID"/>
              </w:rPr>
              <w:t>1.952898739</w:t>
            </w:r>
          </w:p>
        </w:tc>
        <w:tc>
          <w:tcPr>
            <w:tcW w:w="556" w:type="pct"/>
            <w:shd w:val="clear" w:color="auto" w:fill="auto"/>
            <w:noWrap/>
            <w:hideMark/>
          </w:tcPr>
          <w:p w14:paraId="7B094CB5" w14:textId="3C2ECA6F" w:rsidR="00506CEA" w:rsidRPr="00D67FFB" w:rsidRDefault="00506CEA" w:rsidP="004246DA">
            <w:pPr>
              <w:jc w:val="center"/>
              <w:rPr>
                <w:sz w:val="20"/>
                <w:lang w:val="en-ID"/>
              </w:rPr>
            </w:pPr>
            <w:r w:rsidRPr="00D67FFB">
              <w:rPr>
                <w:sz w:val="20"/>
                <w:lang w:val="id-ID"/>
              </w:rPr>
              <w:t>0.36</w:t>
            </w:r>
          </w:p>
        </w:tc>
      </w:tr>
      <w:tr w:rsidR="00506CEA" w:rsidRPr="00D67FFB" w14:paraId="749025C5" w14:textId="77777777" w:rsidTr="004246DA">
        <w:trPr>
          <w:trHeight w:val="284"/>
        </w:trPr>
        <w:tc>
          <w:tcPr>
            <w:tcW w:w="373" w:type="pct"/>
            <w:shd w:val="clear" w:color="auto" w:fill="auto"/>
            <w:noWrap/>
            <w:vAlign w:val="bottom"/>
            <w:hideMark/>
          </w:tcPr>
          <w:p w14:paraId="183A9E04" w14:textId="77777777" w:rsidR="00506CEA" w:rsidRPr="00D67FFB" w:rsidRDefault="00506CEA" w:rsidP="004246DA">
            <w:pPr>
              <w:jc w:val="center"/>
              <w:rPr>
                <w:sz w:val="20"/>
                <w:lang w:val="en-ID"/>
              </w:rPr>
            </w:pPr>
            <w:r w:rsidRPr="00D67FFB">
              <w:rPr>
                <w:sz w:val="20"/>
                <w:lang w:val="en-ID"/>
              </w:rPr>
              <w:t>12</w:t>
            </w:r>
          </w:p>
        </w:tc>
        <w:tc>
          <w:tcPr>
            <w:tcW w:w="719" w:type="pct"/>
            <w:shd w:val="clear" w:color="auto" w:fill="auto"/>
            <w:noWrap/>
            <w:hideMark/>
          </w:tcPr>
          <w:p w14:paraId="1BCCBC99" w14:textId="56018F16" w:rsidR="00506CEA" w:rsidRPr="00D67FFB" w:rsidRDefault="00506CEA" w:rsidP="004246DA">
            <w:pPr>
              <w:jc w:val="center"/>
              <w:rPr>
                <w:sz w:val="20"/>
                <w:lang w:val="en-ID"/>
              </w:rPr>
            </w:pPr>
            <w:r w:rsidRPr="00D67FFB">
              <w:rPr>
                <w:sz w:val="20"/>
                <w:lang w:val="id-ID"/>
              </w:rPr>
              <w:t>1.955.02</w:t>
            </w:r>
          </w:p>
        </w:tc>
        <w:tc>
          <w:tcPr>
            <w:tcW w:w="737" w:type="pct"/>
            <w:shd w:val="clear" w:color="auto" w:fill="auto"/>
            <w:noWrap/>
            <w:hideMark/>
          </w:tcPr>
          <w:p w14:paraId="186BF574" w14:textId="34D2EF5D" w:rsidR="00506CEA" w:rsidRPr="00D67FFB" w:rsidRDefault="00506CEA" w:rsidP="004246DA">
            <w:pPr>
              <w:jc w:val="center"/>
              <w:rPr>
                <w:sz w:val="20"/>
                <w:lang w:val="en-ID"/>
              </w:rPr>
            </w:pPr>
            <w:r w:rsidRPr="00D67FFB">
              <w:rPr>
                <w:sz w:val="20"/>
                <w:lang w:val="id-ID"/>
              </w:rPr>
              <w:t>162.92</w:t>
            </w:r>
          </w:p>
        </w:tc>
        <w:tc>
          <w:tcPr>
            <w:tcW w:w="1602" w:type="pct"/>
            <w:shd w:val="clear" w:color="auto" w:fill="auto"/>
            <w:noWrap/>
            <w:hideMark/>
          </w:tcPr>
          <w:p w14:paraId="00B41BA4" w14:textId="6E87E8AE" w:rsidR="00506CEA" w:rsidRPr="00D67FFB" w:rsidRDefault="00506CEA" w:rsidP="004246DA">
            <w:pPr>
              <w:jc w:val="center"/>
              <w:rPr>
                <w:sz w:val="20"/>
                <w:lang w:val="en-ID"/>
              </w:rPr>
            </w:pPr>
            <w:r w:rsidRPr="00D67FFB">
              <w:rPr>
                <w:sz w:val="20"/>
                <w:lang w:val="id-ID"/>
              </w:rPr>
              <w:t>9.019.156.85</w:t>
            </w:r>
          </w:p>
        </w:tc>
        <w:tc>
          <w:tcPr>
            <w:tcW w:w="1013" w:type="pct"/>
            <w:shd w:val="clear" w:color="auto" w:fill="auto"/>
            <w:noWrap/>
            <w:hideMark/>
          </w:tcPr>
          <w:p w14:paraId="18951468" w14:textId="77777777" w:rsidR="00506CEA" w:rsidRPr="00D67FFB" w:rsidRDefault="00506CEA" w:rsidP="004246DA">
            <w:pPr>
              <w:jc w:val="center"/>
              <w:rPr>
                <w:sz w:val="20"/>
                <w:lang w:val="en-ID"/>
              </w:rPr>
            </w:pPr>
            <w:r w:rsidRPr="00D67FFB">
              <w:rPr>
                <w:sz w:val="20"/>
                <w:lang w:val="id-ID"/>
              </w:rPr>
              <w:t>2.088696099</w:t>
            </w:r>
          </w:p>
        </w:tc>
        <w:tc>
          <w:tcPr>
            <w:tcW w:w="556" w:type="pct"/>
            <w:shd w:val="clear" w:color="auto" w:fill="auto"/>
            <w:noWrap/>
            <w:hideMark/>
          </w:tcPr>
          <w:p w14:paraId="2A3CAB9B" w14:textId="79C7DE27" w:rsidR="00506CEA" w:rsidRPr="00D67FFB" w:rsidRDefault="00506CEA" w:rsidP="004246DA">
            <w:pPr>
              <w:jc w:val="center"/>
              <w:rPr>
                <w:sz w:val="20"/>
                <w:lang w:val="en-ID"/>
              </w:rPr>
            </w:pPr>
            <w:r w:rsidRPr="00D67FFB">
              <w:rPr>
                <w:sz w:val="20"/>
                <w:lang w:val="id-ID"/>
              </w:rPr>
              <w:t>0.35</w:t>
            </w:r>
          </w:p>
        </w:tc>
      </w:tr>
    </w:tbl>
    <w:p w14:paraId="5905F18F" w14:textId="77777777" w:rsidR="00506CEA" w:rsidRPr="00506CEA" w:rsidRDefault="00506CEA" w:rsidP="00615E23">
      <w:pPr>
        <w:pStyle w:val="Paragraph"/>
        <w:rPr>
          <w:lang w:val="id-ID"/>
        </w:rPr>
      </w:pPr>
    </w:p>
    <w:p w14:paraId="5410EE43" w14:textId="77777777" w:rsidR="00506CEA" w:rsidRPr="004246DA" w:rsidRDefault="00506CEA" w:rsidP="00506CEA">
      <w:pPr>
        <w:pStyle w:val="Paragraph"/>
        <w:rPr>
          <w:rStyle w:val="Emphasis"/>
        </w:rPr>
      </w:pPr>
      <w:r w:rsidRPr="004246DA">
        <w:rPr>
          <w:rStyle w:val="Emphasis"/>
        </w:rPr>
        <w:t>Based on the calculations above, there were 12 trials with varying values of nnn, ranging from n=1n = 1n=1 to n=12n = 12n=12. For trials 1 to 9, the TIC values consistently decreased, until trial 10, where the TIC began to increase. The optimal delivery frequency can be considered as n=9n = 9n=9, with a total TIC of IDR 8,957,138 and a production quantity of 1,565 tons per cycle. In contrast, subsequent trials continued to show increasing TIC values, such as TIC n=10n = 10n=10 at IDR 8,964,797 with a production quantity of 1,697 tons, and TIC n=11n = 11n=11 at IDR 8,986,686 with a production quantity of 1,827 tons. Adding three more values of nnn resulted in further increases in TIC. Therefore, based on the results of this calculation, the optimal delivery frequency per cycle is 9 deliveries to buyers in rotation. With a delivery frequency of 9 times per cycle, the producer requires 1.6717 years for one cycle. To meet the buyer's needs, the producer must carry out production and delivery according to the buyer's known requirements. For the quantities, deliveries to both buyer 1 and buyer 2 are the same at 174 tons, conducted 9 times each cycle in rotation. Meeting the buyer's needs is determined by the varying requirements of each buyer, calculated by comparing the percentage needs of each buyer.</w:t>
      </w:r>
    </w:p>
    <w:p w14:paraId="3DE8F587" w14:textId="77777777" w:rsidR="00506CEA" w:rsidRDefault="00506CEA" w:rsidP="00CA3BBC">
      <w:pPr>
        <w:pStyle w:val="Paragraph"/>
      </w:pPr>
    </w:p>
    <w:p w14:paraId="488462FA" w14:textId="0E1A7B8B" w:rsidR="00EA50A7" w:rsidRPr="00494005" w:rsidRDefault="00EA50A7" w:rsidP="009A7BC2">
      <w:pPr>
        <w:pStyle w:val="Heading1"/>
        <w:rPr>
          <w:color w:val="FF0000"/>
          <w:sz w:val="20"/>
        </w:rPr>
      </w:pPr>
      <w:r w:rsidRPr="009A7BC2">
        <w:lastRenderedPageBreak/>
        <w:t>CONCLUSIONS</w:t>
      </w:r>
    </w:p>
    <w:p w14:paraId="6EF72046" w14:textId="7C974A31" w:rsidR="00506CEA" w:rsidRPr="00506CEA" w:rsidRDefault="00506CEA" w:rsidP="00506CEA">
      <w:pPr>
        <w:pStyle w:val="Paragraphnumbered"/>
        <w:numPr>
          <w:ilvl w:val="0"/>
          <w:numId w:val="0"/>
        </w:numPr>
        <w:ind w:firstLine="284"/>
        <w:rPr>
          <w:color w:val="333333"/>
        </w:rPr>
      </w:pPr>
      <w:r w:rsidRPr="004246DA">
        <w:rPr>
          <w:rStyle w:val="Emphasis"/>
        </w:rPr>
        <w:t>This study employs the EOQ and EPQ methods to optimize inventory control. The EOQ method is used to determine the optimal quantity that results in minimum inventory costs for each production cycle, while the EPQ method is applied in the context of economic production to achieve greater efficiency. Thus, these methods provide in-depth insights into potential risks that may arise in the company. The study models a supply chain network involving one producer and two buyers. The inventory models for both parties are integrated to achieve the optimal total inventory cost, which is the main objective of this research. The goal is to determine the delivery frequency to each buyer within a production cycle to avoid inventory delivery delays and achieve the most efficient total inventory cost in the supply chain model. The study facilitates effective coordination between the two buyers, allowing the producer to calculate the optimal production and delivery quantities for each buyer</w:t>
      </w:r>
      <w:r w:rsidRPr="00506CEA">
        <w:t>.</w:t>
      </w:r>
    </w:p>
    <w:p w14:paraId="690C2CF7" w14:textId="77777777" w:rsidR="00506CEA" w:rsidRPr="00494005" w:rsidRDefault="00506CEA" w:rsidP="00CA3BBC">
      <w:pPr>
        <w:pStyle w:val="Paragraphnumbered"/>
        <w:numPr>
          <w:ilvl w:val="0"/>
          <w:numId w:val="0"/>
        </w:numPr>
        <w:ind w:firstLine="284"/>
      </w:pPr>
    </w:p>
    <w:p w14:paraId="29F71B7A" w14:textId="68095033" w:rsidR="00EA50A7" w:rsidRPr="00494005" w:rsidRDefault="00EA50A7" w:rsidP="009A7BC2">
      <w:pPr>
        <w:pStyle w:val="Heading1"/>
      </w:pPr>
      <w:r w:rsidRPr="009A7BC2">
        <w:t>References</w:t>
      </w:r>
    </w:p>
    <w:p w14:paraId="0820C08D" w14:textId="77777777" w:rsidR="00506CEA" w:rsidRDefault="00506CEA" w:rsidP="00615E23">
      <w:pPr>
        <w:pStyle w:val="Reference"/>
        <w:numPr>
          <w:ilvl w:val="0"/>
          <w:numId w:val="0"/>
        </w:numPr>
        <w:ind w:left="720"/>
        <w:rPr>
          <w:rFonts w:eastAsia="Calibri"/>
        </w:rPr>
      </w:pPr>
    </w:p>
    <w:bookmarkStart w:id="0" w:name="_Hlk178873397"/>
    <w:p w14:paraId="2D909F5A" w14:textId="77777777" w:rsidR="00F72169" w:rsidRPr="00F72169" w:rsidRDefault="00506CEA" w:rsidP="00F72169">
      <w:pPr>
        <w:pStyle w:val="EndNoteBibliography"/>
        <w:ind w:left="714" w:hanging="357"/>
        <w:rPr>
          <w:noProof/>
        </w:rPr>
      </w:pPr>
      <w:r>
        <w:rPr>
          <w:rFonts w:eastAsia="Calibri"/>
        </w:rPr>
        <w:fldChar w:fldCharType="begin"/>
      </w:r>
      <w:r>
        <w:rPr>
          <w:rFonts w:eastAsia="Calibri"/>
        </w:rPr>
        <w:instrText xml:space="preserve"> ADDIN EN.REFLIST </w:instrText>
      </w:r>
      <w:r>
        <w:rPr>
          <w:rFonts w:eastAsia="Calibri"/>
        </w:rPr>
        <w:fldChar w:fldCharType="separate"/>
      </w:r>
      <w:r w:rsidR="00F72169" w:rsidRPr="00F72169">
        <w:rPr>
          <w:noProof/>
        </w:rPr>
        <w:t>1.</w:t>
      </w:r>
      <w:r w:rsidR="00F72169" w:rsidRPr="00F72169">
        <w:rPr>
          <w:noProof/>
        </w:rPr>
        <w:tab/>
        <w:t xml:space="preserve">Liu, P., et al., </w:t>
      </w:r>
      <w:r w:rsidR="00F72169" w:rsidRPr="00F72169">
        <w:rPr>
          <w:i/>
          <w:noProof/>
        </w:rPr>
        <w:t>Cost reduction of inventory-production-system in multi-echelon supply chain using game theory and fuzzy demand forecasting.</w:t>
      </w:r>
      <w:r w:rsidR="00F72169" w:rsidRPr="00F72169">
        <w:rPr>
          <w:noProof/>
        </w:rPr>
        <w:t xml:space="preserve"> International journal of fuzzy systems, 2022. </w:t>
      </w:r>
      <w:r w:rsidR="00F72169" w:rsidRPr="00F72169">
        <w:rPr>
          <w:b/>
          <w:noProof/>
        </w:rPr>
        <w:t>24</w:t>
      </w:r>
      <w:r w:rsidR="00F72169" w:rsidRPr="00F72169">
        <w:rPr>
          <w:noProof/>
        </w:rPr>
        <w:t>(4): p. 1793-1813.</w:t>
      </w:r>
    </w:p>
    <w:p w14:paraId="10BE203F" w14:textId="77777777" w:rsidR="00F72169" w:rsidRPr="00F72169" w:rsidRDefault="00F72169" w:rsidP="00F72169">
      <w:pPr>
        <w:pStyle w:val="EndNoteBibliography"/>
        <w:ind w:left="714" w:hanging="357"/>
        <w:rPr>
          <w:noProof/>
        </w:rPr>
      </w:pPr>
      <w:r w:rsidRPr="00F72169">
        <w:rPr>
          <w:noProof/>
        </w:rPr>
        <w:t>2.</w:t>
      </w:r>
      <w:r w:rsidRPr="00F72169">
        <w:rPr>
          <w:noProof/>
        </w:rPr>
        <w:tab/>
        <w:t xml:space="preserve">Jauhari, W.A., </w:t>
      </w:r>
      <w:r w:rsidRPr="00F72169">
        <w:rPr>
          <w:i/>
          <w:noProof/>
        </w:rPr>
        <w:t>Integrated inventory model for single-vendor single-buyer with imperfect production process.</w:t>
      </w:r>
      <w:r w:rsidRPr="00F72169">
        <w:rPr>
          <w:noProof/>
        </w:rPr>
        <w:t xml:space="preserve"> International Journal of Operational Research, 2014. </w:t>
      </w:r>
      <w:r w:rsidRPr="00F72169">
        <w:rPr>
          <w:b/>
          <w:noProof/>
        </w:rPr>
        <w:t>20</w:t>
      </w:r>
      <w:r w:rsidRPr="00F72169">
        <w:rPr>
          <w:noProof/>
        </w:rPr>
        <w:t>(3): p. 283-300.</w:t>
      </w:r>
    </w:p>
    <w:p w14:paraId="377286EB" w14:textId="77777777" w:rsidR="00F72169" w:rsidRPr="00F72169" w:rsidRDefault="00F72169" w:rsidP="00F72169">
      <w:pPr>
        <w:pStyle w:val="EndNoteBibliography"/>
        <w:ind w:left="714" w:hanging="357"/>
        <w:rPr>
          <w:noProof/>
        </w:rPr>
      </w:pPr>
      <w:r w:rsidRPr="00F72169">
        <w:rPr>
          <w:noProof/>
        </w:rPr>
        <w:t>3.</w:t>
      </w:r>
      <w:r w:rsidRPr="00F72169">
        <w:rPr>
          <w:noProof/>
        </w:rPr>
        <w:tab/>
        <w:t xml:space="preserve">Jauhari, W.A. and I.N. Pujawan, </w:t>
      </w:r>
      <w:r w:rsidRPr="00F72169">
        <w:rPr>
          <w:i/>
          <w:noProof/>
        </w:rPr>
        <w:t>Joint economic lot size (JELS) model for single-vendor single-buyer with variable production rate and partial backorder.</w:t>
      </w:r>
      <w:r w:rsidRPr="00F72169">
        <w:rPr>
          <w:noProof/>
        </w:rPr>
        <w:t xml:space="preserve"> International Journal of Operational Research, 2014. </w:t>
      </w:r>
      <w:r w:rsidRPr="00F72169">
        <w:rPr>
          <w:b/>
          <w:noProof/>
        </w:rPr>
        <w:t>20</w:t>
      </w:r>
      <w:r w:rsidRPr="00F72169">
        <w:rPr>
          <w:noProof/>
        </w:rPr>
        <w:t>(1): p. 91-108.</w:t>
      </w:r>
    </w:p>
    <w:p w14:paraId="1CA1934D" w14:textId="77777777" w:rsidR="00F72169" w:rsidRPr="00F72169" w:rsidRDefault="00F72169" w:rsidP="00F72169">
      <w:pPr>
        <w:pStyle w:val="EndNoteBibliography"/>
        <w:ind w:left="714" w:hanging="357"/>
        <w:rPr>
          <w:noProof/>
        </w:rPr>
      </w:pPr>
      <w:r w:rsidRPr="00F72169">
        <w:rPr>
          <w:noProof/>
        </w:rPr>
        <w:t>4.</w:t>
      </w:r>
      <w:r w:rsidRPr="00F72169">
        <w:rPr>
          <w:noProof/>
        </w:rPr>
        <w:tab/>
        <w:t xml:space="preserve">Sarker, B.R. and B. Wu, </w:t>
      </w:r>
      <w:r w:rsidRPr="00F72169">
        <w:rPr>
          <w:i/>
          <w:noProof/>
        </w:rPr>
        <w:t>Optimal models for a single-producer multi-buyer integrated system of deteriorating items with raw materials storage costs.</w:t>
      </w:r>
      <w:r w:rsidRPr="00F72169">
        <w:rPr>
          <w:noProof/>
        </w:rPr>
        <w:t xml:space="preserve"> The International Journal of Advanced Manufacturing Technology, 2016. </w:t>
      </w:r>
      <w:r w:rsidRPr="00F72169">
        <w:rPr>
          <w:b/>
          <w:noProof/>
        </w:rPr>
        <w:t>82</w:t>
      </w:r>
      <w:r w:rsidRPr="00F72169">
        <w:rPr>
          <w:noProof/>
        </w:rPr>
        <w:t>(1): p. 49-63.</w:t>
      </w:r>
    </w:p>
    <w:p w14:paraId="1DC1285A" w14:textId="77777777" w:rsidR="00F72169" w:rsidRPr="00F72169" w:rsidRDefault="00F72169" w:rsidP="00F72169">
      <w:pPr>
        <w:pStyle w:val="EndNoteBibliography"/>
        <w:ind w:left="714" w:hanging="357"/>
        <w:rPr>
          <w:noProof/>
        </w:rPr>
      </w:pPr>
      <w:r w:rsidRPr="00F72169">
        <w:rPr>
          <w:noProof/>
        </w:rPr>
        <w:t>5.</w:t>
      </w:r>
      <w:r w:rsidRPr="00F72169">
        <w:rPr>
          <w:noProof/>
        </w:rPr>
        <w:tab/>
        <w:t xml:space="preserve">Handayani, D.I., et al., </w:t>
      </w:r>
      <w:r w:rsidRPr="00F72169">
        <w:rPr>
          <w:i/>
          <w:noProof/>
        </w:rPr>
        <w:t>Production-distribution model considering traceability and carbon emission: a case study of the Indonesian canned fish food industry.</w:t>
      </w:r>
      <w:r w:rsidRPr="00F72169">
        <w:rPr>
          <w:noProof/>
        </w:rPr>
        <w:t xml:space="preserve"> Logistics, 2021. </w:t>
      </w:r>
      <w:r w:rsidRPr="00F72169">
        <w:rPr>
          <w:b/>
          <w:noProof/>
        </w:rPr>
        <w:t>5</w:t>
      </w:r>
      <w:r w:rsidRPr="00F72169">
        <w:rPr>
          <w:noProof/>
        </w:rPr>
        <w:t>(3): p. 59.</w:t>
      </w:r>
    </w:p>
    <w:p w14:paraId="527B1EA8" w14:textId="77777777" w:rsidR="00F72169" w:rsidRPr="00F72169" w:rsidRDefault="00F72169" w:rsidP="00F72169">
      <w:pPr>
        <w:pStyle w:val="EndNoteBibliography"/>
        <w:ind w:left="714" w:hanging="357"/>
        <w:rPr>
          <w:noProof/>
        </w:rPr>
      </w:pPr>
      <w:r w:rsidRPr="00F72169">
        <w:rPr>
          <w:noProof/>
        </w:rPr>
        <w:t>6.</w:t>
      </w:r>
      <w:r w:rsidRPr="00F72169">
        <w:rPr>
          <w:noProof/>
        </w:rPr>
        <w:tab/>
        <w:t xml:space="preserve">Yuniarti, R., et al., </w:t>
      </w:r>
      <w:r w:rsidRPr="00F72169">
        <w:rPr>
          <w:i/>
          <w:noProof/>
        </w:rPr>
        <w:t>Model of multiperiod production-distribution for closed-loop supply chain considering carbon emission and traceability for agri-food products.</w:t>
      </w:r>
      <w:r w:rsidRPr="00F72169">
        <w:rPr>
          <w:noProof/>
        </w:rPr>
        <w:t xml:space="preserve"> International Journal of Industrial Engineering and Operations Management, 2023. </w:t>
      </w:r>
      <w:r w:rsidRPr="00F72169">
        <w:rPr>
          <w:b/>
          <w:noProof/>
        </w:rPr>
        <w:t>5</w:t>
      </w:r>
      <w:r w:rsidRPr="00F72169">
        <w:rPr>
          <w:noProof/>
        </w:rPr>
        <w:t>(3): p. 240-263.</w:t>
      </w:r>
    </w:p>
    <w:p w14:paraId="27009532" w14:textId="77777777" w:rsidR="00F72169" w:rsidRPr="00F72169" w:rsidRDefault="00F72169" w:rsidP="00F72169">
      <w:pPr>
        <w:pStyle w:val="EndNoteBibliography"/>
        <w:ind w:left="714" w:hanging="357"/>
        <w:rPr>
          <w:noProof/>
        </w:rPr>
      </w:pPr>
      <w:r w:rsidRPr="00F72169">
        <w:rPr>
          <w:noProof/>
        </w:rPr>
        <w:t>7.</w:t>
      </w:r>
      <w:r w:rsidRPr="00F72169">
        <w:rPr>
          <w:noProof/>
        </w:rPr>
        <w:tab/>
        <w:t xml:space="preserve">Gao, X., et al., </w:t>
      </w:r>
      <w:r w:rsidRPr="00F72169">
        <w:rPr>
          <w:i/>
          <w:noProof/>
        </w:rPr>
        <w:t>Study of optimal order policy for a multi-period multi-raw material inventory management problem under carbon emission constraint.</w:t>
      </w:r>
      <w:r w:rsidRPr="00F72169">
        <w:rPr>
          <w:noProof/>
        </w:rPr>
        <w:t xml:space="preserve"> Computers &amp; Industrial Engineering, 2020. </w:t>
      </w:r>
      <w:r w:rsidRPr="00F72169">
        <w:rPr>
          <w:b/>
          <w:noProof/>
        </w:rPr>
        <w:t>148</w:t>
      </w:r>
      <w:r w:rsidRPr="00F72169">
        <w:rPr>
          <w:noProof/>
        </w:rPr>
        <w:t>: p. 106693.</w:t>
      </w:r>
    </w:p>
    <w:p w14:paraId="277D20B9" w14:textId="77777777" w:rsidR="00F72169" w:rsidRPr="00F72169" w:rsidRDefault="00F72169" w:rsidP="00F72169">
      <w:pPr>
        <w:pStyle w:val="EndNoteBibliography"/>
        <w:ind w:left="714" w:hanging="357"/>
        <w:rPr>
          <w:noProof/>
        </w:rPr>
      </w:pPr>
      <w:r w:rsidRPr="00F72169">
        <w:rPr>
          <w:noProof/>
        </w:rPr>
        <w:t>8.</w:t>
      </w:r>
      <w:r w:rsidRPr="00F72169">
        <w:rPr>
          <w:noProof/>
        </w:rPr>
        <w:tab/>
        <w:t xml:space="preserve">Taleizadeh, A.A., </w:t>
      </w:r>
      <w:r w:rsidRPr="00F72169">
        <w:rPr>
          <w:i/>
          <w:noProof/>
        </w:rPr>
        <w:t>Lot-sizing model with advance payment pricing and disruption in supply under planned partial backordering.</w:t>
      </w:r>
      <w:r w:rsidRPr="00F72169">
        <w:rPr>
          <w:noProof/>
        </w:rPr>
        <w:t xml:space="preserve"> International Transactions in Operational Research, 2017. </w:t>
      </w:r>
      <w:r w:rsidRPr="00F72169">
        <w:rPr>
          <w:b/>
          <w:noProof/>
        </w:rPr>
        <w:t>24</w:t>
      </w:r>
      <w:r w:rsidRPr="00F72169">
        <w:rPr>
          <w:noProof/>
        </w:rPr>
        <w:t>(4): p. 783-800.</w:t>
      </w:r>
    </w:p>
    <w:p w14:paraId="1012A9A0" w14:textId="77777777" w:rsidR="00F72169" w:rsidRPr="00F72169" w:rsidRDefault="00F72169" w:rsidP="00F72169">
      <w:pPr>
        <w:pStyle w:val="EndNoteBibliography"/>
        <w:ind w:left="714" w:hanging="357"/>
        <w:rPr>
          <w:noProof/>
        </w:rPr>
      </w:pPr>
      <w:r w:rsidRPr="00F72169">
        <w:rPr>
          <w:noProof/>
        </w:rPr>
        <w:t>9.</w:t>
      </w:r>
      <w:r w:rsidRPr="00F72169">
        <w:rPr>
          <w:noProof/>
        </w:rPr>
        <w:tab/>
        <w:t xml:space="preserve">Ravinder, H. and R.B. Misra, </w:t>
      </w:r>
      <w:r w:rsidRPr="00F72169">
        <w:rPr>
          <w:i/>
          <w:noProof/>
        </w:rPr>
        <w:t>ABC analysis for inventory management: Bridging the gap between research and classroom.</w:t>
      </w:r>
      <w:r w:rsidRPr="00F72169">
        <w:rPr>
          <w:noProof/>
        </w:rPr>
        <w:t xml:space="preserve"> American journal of business education, 2014. </w:t>
      </w:r>
      <w:r w:rsidRPr="00F72169">
        <w:rPr>
          <w:b/>
          <w:noProof/>
        </w:rPr>
        <w:t>7</w:t>
      </w:r>
      <w:r w:rsidRPr="00F72169">
        <w:rPr>
          <w:noProof/>
        </w:rPr>
        <w:t>(3): p. 257-263.</w:t>
      </w:r>
    </w:p>
    <w:p w14:paraId="70B98277" w14:textId="77777777" w:rsidR="00F72169" w:rsidRPr="00F72169" w:rsidRDefault="00F72169" w:rsidP="00F72169">
      <w:pPr>
        <w:pStyle w:val="EndNoteBibliography"/>
        <w:ind w:left="714" w:hanging="357"/>
        <w:rPr>
          <w:noProof/>
        </w:rPr>
      </w:pPr>
      <w:r w:rsidRPr="00F72169">
        <w:rPr>
          <w:noProof/>
        </w:rPr>
        <w:t>10.</w:t>
      </w:r>
      <w:r w:rsidRPr="00F72169">
        <w:rPr>
          <w:noProof/>
        </w:rPr>
        <w:tab/>
        <w:t xml:space="preserve">Flores, B.E. and D. Clay Whybark, </w:t>
      </w:r>
      <w:r w:rsidRPr="00F72169">
        <w:rPr>
          <w:i/>
          <w:noProof/>
        </w:rPr>
        <w:t>Multiple criteria ABC analysis.</w:t>
      </w:r>
      <w:r w:rsidRPr="00F72169">
        <w:rPr>
          <w:noProof/>
        </w:rPr>
        <w:t xml:space="preserve"> International Journal of Operations &amp; Production Management, 1986. </w:t>
      </w:r>
      <w:r w:rsidRPr="00F72169">
        <w:rPr>
          <w:b/>
          <w:noProof/>
        </w:rPr>
        <w:t>6</w:t>
      </w:r>
      <w:r w:rsidRPr="00F72169">
        <w:rPr>
          <w:noProof/>
        </w:rPr>
        <w:t>(3): p. 38-46.</w:t>
      </w:r>
    </w:p>
    <w:p w14:paraId="34841C34" w14:textId="77777777" w:rsidR="00F72169" w:rsidRPr="00F72169" w:rsidRDefault="00F72169" w:rsidP="00F72169">
      <w:pPr>
        <w:pStyle w:val="EndNoteBibliography"/>
        <w:ind w:left="714" w:hanging="357"/>
        <w:rPr>
          <w:noProof/>
        </w:rPr>
      </w:pPr>
      <w:r w:rsidRPr="00F72169">
        <w:rPr>
          <w:noProof/>
        </w:rPr>
        <w:t>11.</w:t>
      </w:r>
      <w:r w:rsidRPr="00F72169">
        <w:rPr>
          <w:noProof/>
        </w:rPr>
        <w:tab/>
        <w:t xml:space="preserve">Emar, W., Z.A. Al-Omari, and S. Alharbi, </w:t>
      </w:r>
      <w:r w:rsidRPr="00F72169">
        <w:rPr>
          <w:i/>
          <w:noProof/>
        </w:rPr>
        <w:t>Analysis of inventory management of slow-moving spare parts by using ABC techniques and EOQ model-a case study.</w:t>
      </w:r>
      <w:r w:rsidRPr="00F72169">
        <w:rPr>
          <w:noProof/>
        </w:rPr>
        <w:t xml:space="preserve"> Indonesian Journal of Electrical Engineering and Computer Science, 2021. </w:t>
      </w:r>
      <w:r w:rsidRPr="00F72169">
        <w:rPr>
          <w:b/>
          <w:noProof/>
        </w:rPr>
        <w:t>23</w:t>
      </w:r>
      <w:r w:rsidRPr="00F72169">
        <w:rPr>
          <w:noProof/>
        </w:rPr>
        <w:t>(2): p. 1159-1169.</w:t>
      </w:r>
    </w:p>
    <w:p w14:paraId="55851D00" w14:textId="77777777" w:rsidR="00F72169" w:rsidRPr="00F72169" w:rsidRDefault="00F72169" w:rsidP="00F72169">
      <w:pPr>
        <w:pStyle w:val="EndNoteBibliography"/>
        <w:ind w:left="714" w:hanging="357"/>
        <w:rPr>
          <w:noProof/>
        </w:rPr>
      </w:pPr>
      <w:r w:rsidRPr="00F72169">
        <w:rPr>
          <w:noProof/>
        </w:rPr>
        <w:t>12.</w:t>
      </w:r>
      <w:r w:rsidRPr="00F72169">
        <w:rPr>
          <w:noProof/>
        </w:rPr>
        <w:tab/>
        <w:t xml:space="preserve">Shilul Imarah, T. and J. Roni, </w:t>
      </w:r>
      <w:r w:rsidRPr="00F72169">
        <w:rPr>
          <w:i/>
          <w:noProof/>
        </w:rPr>
        <w:t>ABC ANALYSIS, FORECASTING AND ECONOMIC ORDER QUANTITY (EOQ) IMPLEMENTATION TO IMPROVE SMOOTH OPERATION PROCESS.</w:t>
      </w:r>
      <w:r w:rsidRPr="00F72169">
        <w:rPr>
          <w:noProof/>
        </w:rPr>
        <w:t xml:space="preserve"> Dinasti International Journal of Education Management And Social Science, 2020. </w:t>
      </w:r>
      <w:r w:rsidRPr="00F72169">
        <w:rPr>
          <w:b/>
          <w:noProof/>
        </w:rPr>
        <w:t>1</w:t>
      </w:r>
      <w:r w:rsidRPr="00F72169">
        <w:rPr>
          <w:noProof/>
        </w:rPr>
        <w:t>(3): p. 319-325.</w:t>
      </w:r>
    </w:p>
    <w:p w14:paraId="6A085517" w14:textId="77777777" w:rsidR="00F72169" w:rsidRPr="00F72169" w:rsidRDefault="00F72169" w:rsidP="00F72169">
      <w:pPr>
        <w:pStyle w:val="EndNoteBibliography"/>
        <w:ind w:left="714" w:hanging="357"/>
        <w:rPr>
          <w:noProof/>
        </w:rPr>
      </w:pPr>
      <w:r w:rsidRPr="00F72169">
        <w:rPr>
          <w:noProof/>
        </w:rPr>
        <w:t>13.</w:t>
      </w:r>
      <w:r w:rsidRPr="00F72169">
        <w:rPr>
          <w:noProof/>
        </w:rPr>
        <w:tab/>
        <w:t xml:space="preserve">Harrison, P.J., </w:t>
      </w:r>
      <w:r w:rsidRPr="00F72169">
        <w:rPr>
          <w:i/>
          <w:noProof/>
        </w:rPr>
        <w:t>Exponential smoothing and short-term sales forecasting.</w:t>
      </w:r>
      <w:r w:rsidRPr="00F72169">
        <w:rPr>
          <w:noProof/>
        </w:rPr>
        <w:t xml:space="preserve"> Management Science, 1967. </w:t>
      </w:r>
      <w:r w:rsidRPr="00F72169">
        <w:rPr>
          <w:b/>
          <w:noProof/>
        </w:rPr>
        <w:t>13</w:t>
      </w:r>
      <w:r w:rsidRPr="00F72169">
        <w:rPr>
          <w:noProof/>
        </w:rPr>
        <w:t>(11): p. 821-842.</w:t>
      </w:r>
    </w:p>
    <w:p w14:paraId="1A759F53" w14:textId="77777777" w:rsidR="00F72169" w:rsidRPr="00F72169" w:rsidRDefault="00F72169" w:rsidP="00F72169">
      <w:pPr>
        <w:pStyle w:val="EndNoteBibliography"/>
        <w:ind w:left="714" w:hanging="357"/>
        <w:rPr>
          <w:noProof/>
        </w:rPr>
      </w:pPr>
      <w:r w:rsidRPr="00F72169">
        <w:rPr>
          <w:noProof/>
        </w:rPr>
        <w:t>14.</w:t>
      </w:r>
      <w:r w:rsidRPr="00F72169">
        <w:rPr>
          <w:noProof/>
        </w:rPr>
        <w:tab/>
        <w:t xml:space="preserve">Dewi, E.K., et al., </w:t>
      </w:r>
      <w:r w:rsidRPr="00F72169">
        <w:rPr>
          <w:i/>
          <w:noProof/>
        </w:rPr>
        <w:t>Achieving cost-efficient management of drug supply via economic order quantity and minimum-maximum stock level.</w:t>
      </w:r>
      <w:r w:rsidRPr="00F72169">
        <w:rPr>
          <w:noProof/>
        </w:rPr>
        <w:t xml:space="preserve"> Expert Review of pharmacoeconomics &amp; outcomes research, 2020. </w:t>
      </w:r>
      <w:r w:rsidRPr="00F72169">
        <w:rPr>
          <w:b/>
          <w:noProof/>
        </w:rPr>
        <w:t>20</w:t>
      </w:r>
      <w:r w:rsidRPr="00F72169">
        <w:rPr>
          <w:noProof/>
        </w:rPr>
        <w:t>(3): p. 289-294.</w:t>
      </w:r>
    </w:p>
    <w:p w14:paraId="3367BE31" w14:textId="77777777" w:rsidR="00F72169" w:rsidRPr="00F72169" w:rsidRDefault="00F72169" w:rsidP="00F72169">
      <w:pPr>
        <w:pStyle w:val="EndNoteBibliography"/>
        <w:ind w:left="714" w:hanging="357"/>
        <w:rPr>
          <w:noProof/>
        </w:rPr>
      </w:pPr>
      <w:r w:rsidRPr="00F72169">
        <w:rPr>
          <w:noProof/>
        </w:rPr>
        <w:t>15.</w:t>
      </w:r>
      <w:r w:rsidRPr="00F72169">
        <w:rPr>
          <w:noProof/>
        </w:rPr>
        <w:tab/>
        <w:t xml:space="preserve">Mokhtari, H. and M.T. Rezvan, </w:t>
      </w:r>
      <w:r w:rsidRPr="00F72169">
        <w:rPr>
          <w:i/>
          <w:noProof/>
        </w:rPr>
        <w:t>A single-supplier, multi-buyer, multi-product VMI production-inventory system under partial backordering.</w:t>
      </w:r>
      <w:r w:rsidRPr="00F72169">
        <w:rPr>
          <w:noProof/>
        </w:rPr>
        <w:t xml:space="preserve"> Operational Research, 2020. </w:t>
      </w:r>
      <w:r w:rsidRPr="00F72169">
        <w:rPr>
          <w:b/>
          <w:noProof/>
        </w:rPr>
        <w:t>20</w:t>
      </w:r>
      <w:r w:rsidRPr="00F72169">
        <w:rPr>
          <w:noProof/>
        </w:rPr>
        <w:t>(1): p. 37-57.</w:t>
      </w:r>
    </w:p>
    <w:p w14:paraId="236203F2" w14:textId="77777777" w:rsidR="00F72169" w:rsidRPr="00F72169" w:rsidRDefault="00F72169" w:rsidP="00F72169">
      <w:pPr>
        <w:pStyle w:val="EndNoteBibliography"/>
        <w:ind w:left="714" w:hanging="357"/>
        <w:rPr>
          <w:noProof/>
        </w:rPr>
      </w:pPr>
      <w:r w:rsidRPr="00F72169">
        <w:rPr>
          <w:noProof/>
        </w:rPr>
        <w:t>16.</w:t>
      </w:r>
      <w:r w:rsidRPr="00F72169">
        <w:rPr>
          <w:noProof/>
        </w:rPr>
        <w:tab/>
        <w:t xml:space="preserve">Winulyo, L.E., S.S. Dahda, and Y.P. Negoro, </w:t>
      </w:r>
      <w:r w:rsidRPr="00F72169">
        <w:rPr>
          <w:i/>
          <w:noProof/>
        </w:rPr>
        <w:t>Model Integrasi Sistem Produksi Single Supllier &amp; Multi Buyer.</w:t>
      </w:r>
      <w:r w:rsidRPr="00F72169">
        <w:rPr>
          <w:noProof/>
        </w:rPr>
        <w:t xml:space="preserve"> Syntax Idea, 2023. </w:t>
      </w:r>
      <w:r w:rsidRPr="00F72169">
        <w:rPr>
          <w:b/>
          <w:noProof/>
        </w:rPr>
        <w:t>5</w:t>
      </w:r>
      <w:r w:rsidRPr="00F72169">
        <w:rPr>
          <w:noProof/>
        </w:rPr>
        <w:t>(11): p. 2197-2208.</w:t>
      </w:r>
    </w:p>
    <w:p w14:paraId="077485C0" w14:textId="77777777" w:rsidR="00F72169" w:rsidRPr="00F72169" w:rsidRDefault="00F72169" w:rsidP="00F72169">
      <w:pPr>
        <w:pStyle w:val="EndNoteBibliography"/>
        <w:ind w:left="714" w:hanging="357"/>
        <w:rPr>
          <w:noProof/>
        </w:rPr>
      </w:pPr>
      <w:r w:rsidRPr="00F72169">
        <w:rPr>
          <w:noProof/>
        </w:rPr>
        <w:lastRenderedPageBreak/>
        <w:t>17.</w:t>
      </w:r>
      <w:r w:rsidRPr="00F72169">
        <w:rPr>
          <w:noProof/>
        </w:rPr>
        <w:tab/>
        <w:t xml:space="preserve">Firmansyah, A.F., </w:t>
      </w:r>
      <w:r w:rsidRPr="00F72169">
        <w:rPr>
          <w:i/>
          <w:noProof/>
        </w:rPr>
        <w:t>Model Persediaan Integrasi Satu Produsen Dua Buyer Untuk Menentukan Kuantitas Produksi Yang Optimal.</w:t>
      </w:r>
      <w:r w:rsidRPr="00F72169">
        <w:rPr>
          <w:noProof/>
        </w:rPr>
        <w:t xml:space="preserve"> SITEKIN: Jurnal Sains, Teknologi dan Industri, 2022. </w:t>
      </w:r>
      <w:r w:rsidRPr="00F72169">
        <w:rPr>
          <w:b/>
          <w:noProof/>
        </w:rPr>
        <w:t>20</w:t>
      </w:r>
      <w:r w:rsidRPr="00F72169">
        <w:rPr>
          <w:noProof/>
        </w:rPr>
        <w:t>(1): p. 361-368.</w:t>
      </w:r>
    </w:p>
    <w:p w14:paraId="7E85C954" w14:textId="2563F9D7" w:rsidR="00BF6F61" w:rsidRPr="005D571B" w:rsidRDefault="00506CEA" w:rsidP="00F72169">
      <w:pPr>
        <w:pStyle w:val="Reference"/>
        <w:numPr>
          <w:ilvl w:val="0"/>
          <w:numId w:val="0"/>
        </w:numPr>
        <w:ind w:left="714" w:hanging="357"/>
        <w:rPr>
          <w:rFonts w:eastAsia="Calibri"/>
        </w:rPr>
      </w:pPr>
      <w:r>
        <w:rPr>
          <w:rFonts w:eastAsia="Calibri"/>
        </w:rPr>
        <w:fldChar w:fldCharType="end"/>
      </w:r>
      <w:bookmarkEnd w:id="0"/>
    </w:p>
    <w:sectPr w:rsidR="00BF6F61"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32A723D"/>
    <w:multiLevelType w:val="hybridMultilevel"/>
    <w:tmpl w:val="C414E3FE"/>
    <w:lvl w:ilvl="0" w:tplc="498AC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7" w15:restartNumberingAfterBreak="0">
    <w:nsid w:val="76AE3E3D"/>
    <w:multiLevelType w:val="multilevel"/>
    <w:tmpl w:val="F350EE5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708459632">
    <w:abstractNumId w:val="1"/>
  </w:num>
  <w:num w:numId="2" w16cid:durableId="1976062463">
    <w:abstractNumId w:val="0"/>
  </w:num>
  <w:num w:numId="3" w16cid:durableId="650868385">
    <w:abstractNumId w:val="2"/>
  </w:num>
  <w:num w:numId="4" w16cid:durableId="322511891">
    <w:abstractNumId w:val="6"/>
  </w:num>
  <w:num w:numId="5" w16cid:durableId="881870970">
    <w:abstractNumId w:val="3"/>
  </w:num>
  <w:num w:numId="6" w16cid:durableId="425537445">
    <w:abstractNumId w:val="4"/>
  </w:num>
  <w:num w:numId="7" w16cid:durableId="1289320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392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1007B"/>
    <w:rsid w:val="000442BF"/>
    <w:rsid w:val="00052AE0"/>
    <w:rsid w:val="00053169"/>
    <w:rsid w:val="00053198"/>
    <w:rsid w:val="00075A9B"/>
    <w:rsid w:val="000C4C41"/>
    <w:rsid w:val="000F1554"/>
    <w:rsid w:val="000F1D3A"/>
    <w:rsid w:val="000F6769"/>
    <w:rsid w:val="001403BE"/>
    <w:rsid w:val="00142DEA"/>
    <w:rsid w:val="001656F5"/>
    <w:rsid w:val="0017487D"/>
    <w:rsid w:val="001B1CF1"/>
    <w:rsid w:val="001B4656"/>
    <w:rsid w:val="001B50EC"/>
    <w:rsid w:val="002424DD"/>
    <w:rsid w:val="00294220"/>
    <w:rsid w:val="002B7DA8"/>
    <w:rsid w:val="00300407"/>
    <w:rsid w:val="00323753"/>
    <w:rsid w:val="00345A86"/>
    <w:rsid w:val="00346886"/>
    <w:rsid w:val="00352007"/>
    <w:rsid w:val="00366DB0"/>
    <w:rsid w:val="003E0ED5"/>
    <w:rsid w:val="004246DA"/>
    <w:rsid w:val="00427C79"/>
    <w:rsid w:val="00483823"/>
    <w:rsid w:val="004D1B67"/>
    <w:rsid w:val="004F0FE1"/>
    <w:rsid w:val="004F481F"/>
    <w:rsid w:val="004F659E"/>
    <w:rsid w:val="00506CEA"/>
    <w:rsid w:val="005079FC"/>
    <w:rsid w:val="00511881"/>
    <w:rsid w:val="00517755"/>
    <w:rsid w:val="00523BA3"/>
    <w:rsid w:val="00525C15"/>
    <w:rsid w:val="005649A6"/>
    <w:rsid w:val="005A240E"/>
    <w:rsid w:val="005C2B16"/>
    <w:rsid w:val="005D571B"/>
    <w:rsid w:val="005E0C4C"/>
    <w:rsid w:val="00615E23"/>
    <w:rsid w:val="006C4020"/>
    <w:rsid w:val="006F6357"/>
    <w:rsid w:val="007279A9"/>
    <w:rsid w:val="00733E88"/>
    <w:rsid w:val="00765D5D"/>
    <w:rsid w:val="00784F94"/>
    <w:rsid w:val="007B0D2E"/>
    <w:rsid w:val="007B7914"/>
    <w:rsid w:val="007F2A85"/>
    <w:rsid w:val="00841C92"/>
    <w:rsid w:val="00852515"/>
    <w:rsid w:val="008B1275"/>
    <w:rsid w:val="008C3B35"/>
    <w:rsid w:val="008C53E3"/>
    <w:rsid w:val="008D6ED3"/>
    <w:rsid w:val="009008AB"/>
    <w:rsid w:val="00935C90"/>
    <w:rsid w:val="00971E8B"/>
    <w:rsid w:val="00991411"/>
    <w:rsid w:val="009A7BC2"/>
    <w:rsid w:val="00A10F65"/>
    <w:rsid w:val="00A147CC"/>
    <w:rsid w:val="00A5576E"/>
    <w:rsid w:val="00AA3156"/>
    <w:rsid w:val="00AC5C22"/>
    <w:rsid w:val="00AD0697"/>
    <w:rsid w:val="00B10665"/>
    <w:rsid w:val="00B11341"/>
    <w:rsid w:val="00B45A8C"/>
    <w:rsid w:val="00B56FCD"/>
    <w:rsid w:val="00B6146E"/>
    <w:rsid w:val="00BF6F61"/>
    <w:rsid w:val="00C15386"/>
    <w:rsid w:val="00C4673B"/>
    <w:rsid w:val="00C90568"/>
    <w:rsid w:val="00CA3BBC"/>
    <w:rsid w:val="00CB1FE9"/>
    <w:rsid w:val="00CC6E32"/>
    <w:rsid w:val="00CF7753"/>
    <w:rsid w:val="00D2657D"/>
    <w:rsid w:val="00D67413"/>
    <w:rsid w:val="00D67FFB"/>
    <w:rsid w:val="00DA6D7D"/>
    <w:rsid w:val="00DB714D"/>
    <w:rsid w:val="00DF7FEA"/>
    <w:rsid w:val="00E503A0"/>
    <w:rsid w:val="00E66069"/>
    <w:rsid w:val="00E75DBF"/>
    <w:rsid w:val="00EA50A7"/>
    <w:rsid w:val="00EC02EB"/>
    <w:rsid w:val="00F05A2C"/>
    <w:rsid w:val="00F162DE"/>
    <w:rsid w:val="00F72169"/>
    <w:rsid w:val="00F8468D"/>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E75DBF"/>
    <w:rPr>
      <w:color w:val="333333"/>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5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customStyle="1" w:styleId="EndNoteBibliographyTitle">
    <w:name w:val="EndNote Bibliography Title"/>
    <w:basedOn w:val="Normal"/>
    <w:link w:val="EndNoteBibliographyTitleChar"/>
    <w:rsid w:val="00506CEA"/>
    <w:pPr>
      <w:jc w:val="center"/>
    </w:pPr>
    <w:rPr>
      <w:sz w:val="20"/>
    </w:rPr>
  </w:style>
  <w:style w:type="character" w:customStyle="1" w:styleId="EndNoteBibliographyTitleChar">
    <w:name w:val="EndNote Bibliography Title Char"/>
    <w:basedOn w:val="Heading1Char"/>
    <w:link w:val="EndNoteBibliographyTitle"/>
    <w:rsid w:val="00506CEA"/>
    <w:rPr>
      <w:rFonts w:ascii="Times New Roman" w:eastAsia="Times New Roman" w:hAnsi="Times New Roman" w:cs="Times New Roman"/>
      <w:b w:val="0"/>
      <w:caps w:val="0"/>
      <w:sz w:val="20"/>
      <w:szCs w:val="20"/>
    </w:rPr>
  </w:style>
  <w:style w:type="paragraph" w:customStyle="1" w:styleId="EndNoteBibliography">
    <w:name w:val="EndNote Bibliography"/>
    <w:basedOn w:val="Normal"/>
    <w:link w:val="EndNoteBibliographyChar"/>
    <w:rsid w:val="00506CEA"/>
    <w:pPr>
      <w:jc w:val="both"/>
    </w:pPr>
    <w:rPr>
      <w:sz w:val="20"/>
    </w:rPr>
  </w:style>
  <w:style w:type="character" w:customStyle="1" w:styleId="EndNoteBibliographyChar">
    <w:name w:val="EndNote Bibliography Char"/>
    <w:basedOn w:val="Heading1Char"/>
    <w:link w:val="EndNoteBibliography"/>
    <w:rsid w:val="00506CEA"/>
    <w:rPr>
      <w:rFonts w:ascii="Times New Roman" w:eastAsia="Times New Roman" w:hAnsi="Times New Roman" w:cs="Times New Roman"/>
      <w:b w:val="0"/>
      <w:cap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481855">
      <w:bodyDiv w:val="1"/>
      <w:marLeft w:val="0"/>
      <w:marRight w:val="0"/>
      <w:marTop w:val="0"/>
      <w:marBottom w:val="0"/>
      <w:divBdr>
        <w:top w:val="none" w:sz="0" w:space="0" w:color="auto"/>
        <w:left w:val="none" w:sz="0" w:space="0" w:color="auto"/>
        <w:bottom w:val="none" w:sz="0" w:space="0" w:color="auto"/>
        <w:right w:val="none" w:sz="0" w:space="0" w:color="auto"/>
      </w:divBdr>
    </w:div>
    <w:div w:id="20486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uputri@um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fkar170@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sudin@umm.ac.id"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51</cp:revision>
  <cp:lastPrinted>2019-11-26T04:15:00Z</cp:lastPrinted>
  <dcterms:created xsi:type="dcterms:W3CDTF">2019-09-25T02:00:00Z</dcterms:created>
  <dcterms:modified xsi:type="dcterms:W3CDTF">2024-11-04T09:51:00Z</dcterms:modified>
</cp:coreProperties>
</file>