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95775" w14:textId="77777777" w:rsidR="001F1714" w:rsidRPr="001F1714" w:rsidRDefault="001F1714" w:rsidP="00D30640">
      <w:pPr>
        <w:pStyle w:val="PaperTitle"/>
        <w:spacing w:before="0"/>
      </w:pPr>
      <w:bookmarkStart w:id="0" w:name="_Hlk203208988"/>
    </w:p>
    <w:p w14:paraId="7E12F605" w14:textId="77777777" w:rsidR="001F1714" w:rsidRPr="001F1714" w:rsidRDefault="001F1714" w:rsidP="00D30640">
      <w:pPr>
        <w:pStyle w:val="PaperTitle"/>
        <w:spacing w:before="0"/>
      </w:pPr>
    </w:p>
    <w:p w14:paraId="7CD75C8C" w14:textId="77777777" w:rsidR="001F1714" w:rsidRPr="001F1714" w:rsidRDefault="001F1714" w:rsidP="00D30640">
      <w:pPr>
        <w:pStyle w:val="PaperTitle"/>
        <w:spacing w:before="0"/>
      </w:pPr>
    </w:p>
    <w:p w14:paraId="3B9815EA" w14:textId="38750897" w:rsidR="0016385D" w:rsidRPr="001F1714" w:rsidRDefault="00882041" w:rsidP="00D30640">
      <w:pPr>
        <w:pStyle w:val="PaperTitle"/>
        <w:spacing w:before="0"/>
        <w:rPr>
          <w:b w:val="0"/>
          <w:bCs/>
          <w:sz w:val="24"/>
          <w:szCs w:val="24"/>
        </w:rPr>
      </w:pPr>
      <w:r w:rsidRPr="001F1714">
        <w:t>Integrating Systematic Layout Planning and Dedicated Storage Policy for Warehouse with Embedded Light Processing Activities</w:t>
      </w:r>
      <w:bookmarkEnd w:id="0"/>
      <w:r w:rsidRPr="001F1714">
        <w:t xml:space="preserve"> </w:t>
      </w:r>
    </w:p>
    <w:p w14:paraId="56D8C2E1" w14:textId="234E4DA7" w:rsidR="00C14B14" w:rsidRPr="001F1714" w:rsidRDefault="00882041" w:rsidP="00882041">
      <w:pPr>
        <w:pStyle w:val="AuthorName"/>
        <w:rPr>
          <w:sz w:val="20"/>
          <w:lang w:val="en-GB" w:eastAsia="en-GB"/>
        </w:rPr>
      </w:pPr>
      <w:bookmarkStart w:id="1" w:name="_Hlk203209053"/>
      <w:r w:rsidRPr="001F1714">
        <w:t>Muhammad Iqbal Alamsyah</w:t>
      </w:r>
      <w:r w:rsidRPr="001F1714">
        <w:rPr>
          <w:vertAlign w:val="superscript"/>
        </w:rPr>
        <w:t>1)</w:t>
      </w:r>
      <w:r w:rsidRPr="001F1714">
        <w:t xml:space="preserve"> and </w:t>
      </w:r>
      <w:proofErr w:type="spellStart"/>
      <w:r w:rsidRPr="001F1714">
        <w:t>Luki</w:t>
      </w:r>
      <w:proofErr w:type="spellEnd"/>
      <w:r w:rsidRPr="001F1714">
        <w:t xml:space="preserve"> Trihardani</w:t>
      </w:r>
      <w:r w:rsidRPr="001F1714">
        <w:rPr>
          <w:vertAlign w:val="superscript"/>
        </w:rPr>
        <w:t>1, a)</w:t>
      </w:r>
      <w:bookmarkEnd w:id="1"/>
    </w:p>
    <w:p w14:paraId="50508097" w14:textId="77777777" w:rsidR="00723FC7" w:rsidRPr="001F1714" w:rsidRDefault="00027428" w:rsidP="00723FC7">
      <w:pPr>
        <w:pStyle w:val="AuthorName"/>
        <w:spacing w:before="0" w:after="0"/>
        <w:rPr>
          <w:sz w:val="20"/>
          <w:lang w:val="en-GB" w:eastAsia="en-GB"/>
        </w:rPr>
      </w:pPr>
      <w:r w:rsidRPr="001F1714">
        <w:rPr>
          <w:vertAlign w:val="superscript"/>
        </w:rPr>
        <w:t xml:space="preserve"> </w:t>
      </w:r>
      <w:r w:rsidR="00723FC7" w:rsidRPr="001F1714">
        <w:rPr>
          <w:sz w:val="20"/>
          <w:lang w:val="en-GB" w:eastAsia="en-GB"/>
        </w:rPr>
        <w:t xml:space="preserve">Author Affiliations </w:t>
      </w:r>
    </w:p>
    <w:p w14:paraId="71CF8E61" w14:textId="3B620329" w:rsidR="00882041" w:rsidRPr="001F1714" w:rsidRDefault="00882041" w:rsidP="00882041">
      <w:pPr>
        <w:pStyle w:val="AuthorAffiliation"/>
      </w:pPr>
      <w:r w:rsidRPr="001F1714">
        <w:rPr>
          <w:i w:val="0"/>
          <w:iCs/>
          <w:vertAlign w:val="superscript"/>
        </w:rPr>
        <w:t>1</w:t>
      </w:r>
      <w:r w:rsidRPr="001F1714">
        <w:t xml:space="preserve">Logistics Engineering Department </w:t>
      </w:r>
      <w:proofErr w:type="spellStart"/>
      <w:r w:rsidRPr="001F1714">
        <w:t>Universitas</w:t>
      </w:r>
      <w:proofErr w:type="spellEnd"/>
      <w:r w:rsidRPr="001F1714">
        <w:t xml:space="preserve"> </w:t>
      </w:r>
      <w:proofErr w:type="spellStart"/>
      <w:r w:rsidRPr="001F1714">
        <w:t>Internasional</w:t>
      </w:r>
      <w:proofErr w:type="spellEnd"/>
      <w:r w:rsidRPr="001F1714">
        <w:t xml:space="preserve"> Semen Indonesia </w:t>
      </w:r>
    </w:p>
    <w:p w14:paraId="54B91F82" w14:textId="42960D29" w:rsidR="00882041" w:rsidRPr="001F1714" w:rsidRDefault="00882041" w:rsidP="00882041">
      <w:pPr>
        <w:pStyle w:val="AuthorAffiliation"/>
      </w:pPr>
      <w:proofErr w:type="spellStart"/>
      <w:r w:rsidRPr="001F1714">
        <w:t>Kompleks</w:t>
      </w:r>
      <w:proofErr w:type="spellEnd"/>
      <w:r w:rsidRPr="001F1714">
        <w:t xml:space="preserve"> PT. Semen Indonesia (Persero) </w:t>
      </w:r>
      <w:proofErr w:type="spellStart"/>
      <w:r w:rsidRPr="001F1714">
        <w:t>Tbk</w:t>
      </w:r>
      <w:proofErr w:type="spellEnd"/>
      <w:r w:rsidRPr="001F1714">
        <w:t xml:space="preserve">, Jl. Veteran, Gresik, East Java 61122, Indonesia </w:t>
      </w:r>
    </w:p>
    <w:p w14:paraId="1C4B44C9" w14:textId="77777777" w:rsidR="00723FC7" w:rsidRPr="001F1714" w:rsidRDefault="00723FC7">
      <w:pPr>
        <w:pStyle w:val="AuthorEmail"/>
      </w:pPr>
    </w:p>
    <w:p w14:paraId="5E05E235" w14:textId="042D534D" w:rsidR="003A5C85" w:rsidRPr="001F1714" w:rsidRDefault="00723FC7">
      <w:pPr>
        <w:pStyle w:val="AuthorEmail"/>
      </w:pPr>
      <w:r w:rsidRPr="001F1714">
        <w:rPr>
          <w:i/>
          <w:iCs/>
        </w:rPr>
        <w:t>Author Email</w:t>
      </w:r>
      <w:r w:rsidR="00ED4A2C" w:rsidRPr="001F1714">
        <w:br/>
      </w:r>
      <w:r w:rsidR="00003D7C" w:rsidRPr="001F1714">
        <w:rPr>
          <w:szCs w:val="28"/>
          <w:vertAlign w:val="superscript"/>
        </w:rPr>
        <w:t>a)</w:t>
      </w:r>
      <w:r w:rsidR="00003D7C" w:rsidRPr="001F1714">
        <w:t xml:space="preserve"> </w:t>
      </w:r>
      <w:r w:rsidRPr="001F1714">
        <w:t xml:space="preserve">Corresponding author: </w:t>
      </w:r>
      <w:hyperlink r:id="rId9" w:history="1">
        <w:r w:rsidR="00882041" w:rsidRPr="001F1714">
          <w:rPr>
            <w:rStyle w:val="Hyperlink"/>
            <w:color w:val="auto"/>
            <w:u w:val="none"/>
          </w:rPr>
          <w:t>luki.trihardani@uisi.ac.id</w:t>
        </w:r>
      </w:hyperlink>
      <w:r w:rsidR="00882041" w:rsidRPr="001F1714">
        <w:t xml:space="preserve"> </w:t>
      </w:r>
    </w:p>
    <w:p w14:paraId="64E3FC4B" w14:textId="4B4679DB" w:rsidR="003A16DD" w:rsidRPr="001F1714" w:rsidRDefault="0016385D" w:rsidP="003A16DD">
      <w:pPr>
        <w:pStyle w:val="Abstract"/>
        <w:rPr>
          <w:lang w:val="en-GB"/>
        </w:rPr>
      </w:pPr>
      <w:r w:rsidRPr="001F1714">
        <w:rPr>
          <w:b/>
          <w:bCs/>
        </w:rPr>
        <w:t>Abstract.</w:t>
      </w:r>
      <w:r w:rsidRPr="001F1714">
        <w:t xml:space="preserve"> </w:t>
      </w:r>
      <w:r w:rsidR="003A16DD" w:rsidRPr="001F1714">
        <w:rPr>
          <w:lang w:val="en-GB"/>
        </w:rPr>
        <w:t xml:space="preserve">Warehouse layout plays a strategic role in ensuring the efficiency and responsiveness of logistics systems, especially in agricultural supply chains where seasonal fluctuations, diverse SKUs, and light processing requirements impose complex operational demands. In many developing regions, warehouse layout design remains suboptimal due to limited automation, spatial constraints, and the absence of integrated planning frameworks. </w:t>
      </w:r>
      <w:r w:rsidR="003A16DD" w:rsidRPr="001F1714">
        <w:t xml:space="preserve">To address these gaps, this study proposes a hybrid warehouse layout framework integrating Systematic Layout Planning (SLP) and Dedicated Storage Policy. SLP was employed to evaluate inter-area relationships across inbound, storage, processing, and outbound zones. Dedicated storage was then used to assign fixed positions to SKUs based on throughput analysis, calculated from historical inbound and outbound volumes. The model was implemented in a fertilizer warehouse in Gresik, Indonesia, which handles both bulk storage </w:t>
      </w:r>
      <w:r w:rsidR="0084237B" w:rsidRPr="001F1714">
        <w:t xml:space="preserve">of various SKUs </w:t>
      </w:r>
      <w:r w:rsidR="003A16DD" w:rsidRPr="001F1714">
        <w:t>and light processing of ZA fertilizer.</w:t>
      </w:r>
      <w:r w:rsidR="003A16DD" w:rsidRPr="001F1714">
        <w:rPr>
          <w:lang w:val="en-GB"/>
        </w:rPr>
        <w:t xml:space="preserve"> </w:t>
      </w:r>
      <w:r w:rsidR="003A16DD" w:rsidRPr="001F1714">
        <w:t xml:space="preserve">The SLP analysis identified critical adjacency requirements between zones such as bulk storage, color mixing, and packaging stations, resulting in a revised layout that minimized cross-traffic and improved workflow coherence. Throughput ranking and space requirement calculations enabled SKU placement optimization where high-turnover products were positioned near dispatch points. As a result, the proposed layout reduced material handling travel distance by </w:t>
      </w:r>
      <w:r w:rsidR="0084237B" w:rsidRPr="001F1714">
        <w:t>55</w:t>
      </w:r>
      <w:r w:rsidR="003A16DD" w:rsidRPr="001F1714">
        <w:t>.</w:t>
      </w:r>
      <w:r w:rsidR="00723FC7" w:rsidRPr="001F1714">
        <w:t>32</w:t>
      </w:r>
      <w:r w:rsidR="003A16DD" w:rsidRPr="001F1714">
        <w:t xml:space="preserve">% compared to the existing configuration and shortened functional relationship distances between processing areas </w:t>
      </w:r>
      <w:r w:rsidR="0084237B" w:rsidRPr="001F1714">
        <w:t>by 32.34%</w:t>
      </w:r>
      <w:r w:rsidR="00723FC7" w:rsidRPr="001F1714">
        <w:t xml:space="preserve">. </w:t>
      </w:r>
      <w:r w:rsidR="003A16DD" w:rsidRPr="001F1714">
        <w:t>The findings confirm that combining SLP and dedicated storage provides a practical and adaptable approach for improving spatial utilization, flow alignment, and operational responsiveness in low-automation warehouse environments.  This hybrid methodology contributes to the broader field of warehouse design by offering a replicable solution for facilities operating under resource constraints.</w:t>
      </w:r>
    </w:p>
    <w:p w14:paraId="75969A18" w14:textId="418D6C20" w:rsidR="0084237B" w:rsidRPr="001F1714" w:rsidRDefault="00792B15" w:rsidP="00723FC7">
      <w:pPr>
        <w:pStyle w:val="Heading1"/>
        <w:rPr>
          <w:b w:val="0"/>
          <w:caps w:val="0"/>
          <w:sz w:val="20"/>
        </w:rPr>
      </w:pPr>
      <w:r w:rsidRPr="001F1714">
        <w:t xml:space="preserve">INTRODUCTION </w:t>
      </w:r>
    </w:p>
    <w:p w14:paraId="431D604D" w14:textId="3016CBD6" w:rsidR="00FC52D7" w:rsidRPr="001F1714" w:rsidRDefault="00FC52D7" w:rsidP="00515E66">
      <w:pPr>
        <w:pStyle w:val="Paragraph"/>
      </w:pPr>
      <w:r w:rsidRPr="001F1714">
        <w:t>The increasing complexity of global supply chains has heightened the strategic role of warehousing in enhancing overall logistical performance [</w:t>
      </w:r>
      <w:r w:rsidR="00C57386" w:rsidRPr="001F1714">
        <w:t xml:space="preserve">1-3]. </w:t>
      </w:r>
      <w:r w:rsidRPr="001F1714">
        <w:t xml:space="preserve">In agricultural sectors, </w:t>
      </w:r>
      <w:r w:rsidR="00473529" w:rsidRPr="001F1714">
        <w:t>warehouses play</w:t>
      </w:r>
      <w:r w:rsidRPr="001F1714">
        <w:t xml:space="preserve"> a vital role in absorbing seasonal demand fluctuations while ensuring the timely and uninterrupted supply of inputs. Fertilizer logistics, in particular, face stringent timing requirements due to </w:t>
      </w:r>
      <w:r w:rsidR="00473529" w:rsidRPr="001F1714">
        <w:t xml:space="preserve">the need for </w:t>
      </w:r>
      <w:r w:rsidRPr="001F1714">
        <w:t xml:space="preserve">synchronization with planting calendars and cultivation cycles. </w:t>
      </w:r>
      <w:r w:rsidR="00473529" w:rsidRPr="001F1714">
        <w:t>Seasonal variability, heterogeneous SKU profiles, and limited automation further strain these operational demands</w:t>
      </w:r>
      <w:r w:rsidRPr="001F1714">
        <w:t>. One of the critical challenges in such settings is the misalignment between spatial layout and workflow requirements. In many warehouses, especially in developing regions, layout planning is often neglected, resulting in inefficient configurations where inbound, storage, and outbound functions overlap without consideration of process interdependencies [</w:t>
      </w:r>
      <w:r w:rsidR="00C57386" w:rsidRPr="001F1714">
        <w:t>4</w:t>
      </w:r>
      <w:r w:rsidRPr="001F1714">
        <w:t>]. Moreover, the presence of light processing tasks such as repackaging, labeling, and quality control necessitates seamless integration with storage and dispatch operations [</w:t>
      </w:r>
      <w:r w:rsidR="00C57386" w:rsidRPr="001F1714">
        <w:t>5</w:t>
      </w:r>
      <w:r w:rsidRPr="001F1714">
        <w:t xml:space="preserve">]. Without layout strategies that reflect these multifunctional needs, spatial congestion arises, increasing the risk of product damage and disrupting operational flow. Compounding the issue, high-turnover SKUs are frequently placed far from main access points, </w:t>
      </w:r>
      <w:r w:rsidR="00473529" w:rsidRPr="001F1714">
        <w:t>resulting in excessive travel distances and inefficient labor utilization</w:t>
      </w:r>
      <w:r w:rsidRPr="001F1714">
        <w:t xml:space="preserve"> [</w:t>
      </w:r>
      <w:r w:rsidR="00C57386" w:rsidRPr="001F1714">
        <w:t>6</w:t>
      </w:r>
      <w:r w:rsidRPr="001F1714">
        <w:t xml:space="preserve">]. These shortcomings significantly impair order fulfillment speed and inventory accuracy, particularly during high-demand windows such as pre-planting seasons. </w:t>
      </w:r>
    </w:p>
    <w:p w14:paraId="3D41899C" w14:textId="7DCEF1F6" w:rsidR="005F24EB" w:rsidRPr="001F1714" w:rsidRDefault="005F24EB" w:rsidP="00891E49">
      <w:pPr>
        <w:pStyle w:val="Paragraph"/>
      </w:pPr>
      <w:r w:rsidRPr="001F1714">
        <w:lastRenderedPageBreak/>
        <w:t>In response to these challenges, various warehouses have adopted generalized layout strategies such as random storage allocation and static zoning. While these methods offer short-term flexibility or simplicity, they often fall short in environments characterized by seasonal demand peaks and diverse SKU profiles. For example, random storage assigns locations purely based on availability, disregarding retrieval frequency or logical flow paths, which often results in fragmented workflows and prolonged picking times [</w:t>
      </w:r>
      <w:r w:rsidR="00C57386" w:rsidRPr="001F1714">
        <w:t>7</w:t>
      </w:r>
      <w:r w:rsidRPr="001F1714">
        <w:t>]. Similarly, static zoning based on broad product categories fails to account for dynamic variables such as item velocity, seasonal variation, or processing functions. Although some advanced strategies, such as class-based, many still lack an adaptable framework suited to low-tech, multifunctional warehouse settings. Consequently, there remains a critical gap in layout design methods that balance operational stability with responsiveness to dynamic flow requirements. To address this, the present study proposes a hybrid spatial design framework that integrates Systematic Layout Planning (SLP) with a dedicated storage policy. SLP is a structured methodology that evaluates interdepartmental relationships, material flow intensity, and spatial constraints to create logically sequenced layouts [</w:t>
      </w:r>
      <w:r w:rsidR="00C57386" w:rsidRPr="001F1714">
        <w:t>8-10</w:t>
      </w:r>
      <w:r w:rsidRPr="001F1714">
        <w:t>]. Though originally developed for manufacturing environments, SLP’s systematic logic is highly applicable to warehouses requiring coordinated flows among storage, inbound, outbound, and light processing areas. Paired with SLP, the dedicated storage approach assigns fixed locations to high-frequency SKUs, improving retrieval consistency, worker familiarity, and error reduction [</w:t>
      </w:r>
      <w:r w:rsidR="00C57386" w:rsidRPr="001F1714">
        <w:t>11-12</w:t>
      </w:r>
      <w:r w:rsidRPr="001F1714">
        <w:t xml:space="preserve">]. Especially in low-automation </w:t>
      </w:r>
      <w:r w:rsidR="00473529" w:rsidRPr="001F1714">
        <w:t>warehouses</w:t>
      </w:r>
      <w:r w:rsidRPr="001F1714">
        <w:t xml:space="preserve">, this </w:t>
      </w:r>
      <w:r w:rsidR="00473529" w:rsidRPr="001F1714">
        <w:t>integration</w:t>
      </w:r>
      <w:r w:rsidRPr="001F1714">
        <w:t xml:space="preserve"> enhances visibility and operational efficiency without requiring complex technologies.</w:t>
      </w:r>
    </w:p>
    <w:p w14:paraId="32273AA9" w14:textId="388A90DD" w:rsidR="00891E49" w:rsidRPr="001F1714" w:rsidRDefault="000B5E5C" w:rsidP="004F4861">
      <w:pPr>
        <w:pStyle w:val="Paragraph"/>
      </w:pPr>
      <w:r w:rsidRPr="001F1714">
        <w:t xml:space="preserve">Several studies have explored individual components relevant to this study's proposed framework, including dedicated storage modeling, warehouse simulation, and SKU slotting strategies. For instance, </w:t>
      </w:r>
      <w:r w:rsidR="00723FC7" w:rsidRPr="001F1714">
        <w:t xml:space="preserve">researchers </w:t>
      </w:r>
      <w:r w:rsidR="00C57386" w:rsidRPr="001F1714">
        <w:t>[11]</w:t>
      </w:r>
      <w:r w:rsidRPr="001F1714">
        <w:t xml:space="preserve"> utilized a simulation-based approach to optimize warehouse layouts under a dedicated storage policy, achieving reductions in retrieval time and travel distance. </w:t>
      </w:r>
      <w:r w:rsidR="00723FC7" w:rsidRPr="001F1714">
        <w:t xml:space="preserve">Researchers [13] </w:t>
      </w:r>
      <w:r w:rsidRPr="001F1714">
        <w:t xml:space="preserve">focused on layout planning in production environments, emphasizing the role of flow-oriented zoning in improving operational efficiency. In parallel, </w:t>
      </w:r>
      <w:r w:rsidR="00723FC7" w:rsidRPr="001F1714">
        <w:t xml:space="preserve">researchers </w:t>
      </w:r>
      <w:r w:rsidR="00603F53" w:rsidRPr="001F1714">
        <w:t>[14]</w:t>
      </w:r>
      <w:r w:rsidRPr="001F1714">
        <w:t xml:space="preserve"> and </w:t>
      </w:r>
      <w:r w:rsidR="00603F53" w:rsidRPr="001F1714">
        <w:t xml:space="preserve">[15] </w:t>
      </w:r>
      <w:r w:rsidRPr="001F1714">
        <w:t xml:space="preserve">applied multi-criteria decision-making tools—such as AHP and fuzzy logic—to prioritize SKUs based on demand variability and turnover rates. While these studies provide valuable insights, they tend to treat layout configuration as discrete problems, without addressing their interdependencies. Notably, </w:t>
      </w:r>
      <w:r w:rsidR="00723FC7" w:rsidRPr="001F1714">
        <w:t>researchers [</w:t>
      </w:r>
      <w:r w:rsidR="00603F53" w:rsidRPr="001F1714">
        <w:t xml:space="preserve">9] </w:t>
      </w:r>
      <w:r w:rsidRPr="001F1714">
        <w:t>integrated SLP with metaheuristic optimization in e-commerce settings</w:t>
      </w:r>
      <w:r w:rsidR="00473529" w:rsidRPr="001F1714">
        <w:t>,</w:t>
      </w:r>
      <w:r w:rsidRPr="001F1714">
        <w:t xml:space="preserve"> yet omitted a dedicated storage policy</w:t>
      </w:r>
      <w:r w:rsidR="00473529" w:rsidRPr="001F1714">
        <w:t xml:space="preserve">, </w:t>
      </w:r>
      <w:r w:rsidRPr="001F1714">
        <w:t xml:space="preserve">limiting the model’s ability to ensure consistent retrieval and accessibility. Similarly, </w:t>
      </w:r>
      <w:r w:rsidR="00723FC7" w:rsidRPr="001F1714">
        <w:t xml:space="preserve">researchers </w:t>
      </w:r>
      <w:r w:rsidR="00603F53" w:rsidRPr="001F1714">
        <w:t xml:space="preserve">[16] </w:t>
      </w:r>
      <w:r w:rsidRPr="001F1714">
        <w:t xml:space="preserve">introduced an algorithm for SKU assignment based on product attributes but failed to embed it within warehouse flow patterns. Moreover, in developing regions, warehouses often operate with minimal automation, limited spatial flexibility, and seasonal demand surge, yet such settings remain underrepresented in the literature. Another overlooked aspect is the integration of light processing activities—such as fertilizer weighing, bagging, or labeling—into the layout design. These activities require functional zoning and smooth coordination with both storage and dispatch areas to avoid congestion, workflow delays, or product degradation. </w:t>
      </w:r>
      <w:r w:rsidR="00B72C44" w:rsidRPr="001F1714">
        <w:t>Taken</w:t>
      </w:r>
      <w:r w:rsidRPr="001F1714">
        <w:t xml:space="preserve"> together, these limitations highlight a research gap: the lack of an integrated, adaptable layout planning approach that explicitly incorporates storage logic, spatial flow alignment, SKU prioritization, and light processing needs</w:t>
      </w:r>
      <w:r w:rsidR="00891E49" w:rsidRPr="001F1714">
        <w:t xml:space="preserve">. </w:t>
      </w:r>
    </w:p>
    <w:p w14:paraId="10439CFE" w14:textId="3DA97A50" w:rsidR="00DC1AA5" w:rsidRPr="001F1714" w:rsidRDefault="00F26996" w:rsidP="00891E49">
      <w:pPr>
        <w:pStyle w:val="Paragraph"/>
      </w:pPr>
      <w:r w:rsidRPr="001F1714">
        <w:t xml:space="preserve">Considering these research gaps, this study aims to develop a warehouse layout model that combines </w:t>
      </w:r>
      <w:r w:rsidR="000B5E5C" w:rsidRPr="001F1714">
        <w:t xml:space="preserve">SLP </w:t>
      </w:r>
      <w:r w:rsidRPr="001F1714">
        <w:t xml:space="preserve">and dedicated storage strategies to improve spatial efficiency, flow alignment, and SKU accessibility. By applying this integrated approach to a real-world fertilizer warehouse in Gresik, </w:t>
      </w:r>
      <w:r w:rsidR="00BF62F5" w:rsidRPr="001F1714">
        <w:t>Indonesia</w:t>
      </w:r>
      <w:r w:rsidRPr="001F1714">
        <w:t>, the research addresses both operational complexity and seasonal demand fluctuation in a low-automation environment. The selected warehouse stores a wide range of fertilizer products</w:t>
      </w:r>
      <w:r w:rsidR="00BF62F5" w:rsidRPr="001F1714">
        <w:t xml:space="preserve"> </w:t>
      </w:r>
      <w:r w:rsidRPr="001F1714">
        <w:t>in multiple packaging sizes</w:t>
      </w:r>
      <w:r w:rsidR="00BF62F5" w:rsidRPr="001F1714">
        <w:t xml:space="preserve">. </w:t>
      </w:r>
      <w:r w:rsidRPr="001F1714">
        <w:t>It also supports light processing operations for ZA fertilizer, including weighing, mixing, bagging, and palletizing, making it a suitable case for hybrid layout evaluation. The novelty of this study lies in its dual focus: first, in integrating spatial flow principles (via SLP) with a fixed-location storage logic (via dedicated storage), and second, in explicitly accommodating light processing functions within the warehouse layout framework. By bridging these design dimensions, the proposed model offers a pragmatic and adaptable tool for improving layout quality in resource-constrained, multi-use warehousing environments.</w:t>
      </w:r>
      <w:r w:rsidR="004F4861" w:rsidRPr="001F1714">
        <w:t xml:space="preserve"> </w:t>
      </w:r>
      <w:r w:rsidRPr="001F1714">
        <w:t xml:space="preserve">Ultimately, this study contributes to the broader field of logistics design by offering a replicable, hybrid methodology that supports practical implementation in industries with limited automation, fluctuating demand, and diverse SKU profiles. </w:t>
      </w:r>
    </w:p>
    <w:p w14:paraId="4AF51476" w14:textId="30F3543B" w:rsidR="00615EC8" w:rsidRPr="001F1714" w:rsidRDefault="00615EC8" w:rsidP="00615EC8">
      <w:pPr>
        <w:pStyle w:val="Heading1"/>
        <w:rPr>
          <w:b w:val="0"/>
          <w:caps w:val="0"/>
          <w:sz w:val="20"/>
        </w:rPr>
      </w:pPr>
      <w:r w:rsidRPr="001F1714">
        <w:t>LITERATURE REVIEW</w:t>
      </w:r>
    </w:p>
    <w:p w14:paraId="3B9E9DE0" w14:textId="1A44174C" w:rsidR="00D114E4" w:rsidRPr="001F1714" w:rsidRDefault="00D114E4" w:rsidP="00F806D2">
      <w:pPr>
        <w:pStyle w:val="Paragraph"/>
        <w:rPr>
          <w:lang w:val="en-GB"/>
        </w:rPr>
      </w:pPr>
      <w:r w:rsidRPr="001F1714">
        <w:rPr>
          <w:lang w:val="en-GB"/>
        </w:rPr>
        <w:t>The spatial design of warehouse layouts has long been recognized as a key factor influencing operational performance, particularly in systems with fluctuating demand and multifunctional workflows [</w:t>
      </w:r>
      <w:r w:rsidR="00603F53" w:rsidRPr="001F1714">
        <w:rPr>
          <w:lang w:val="en-GB"/>
        </w:rPr>
        <w:t>17</w:t>
      </w:r>
      <w:r w:rsidRPr="001F1714">
        <w:rPr>
          <w:lang w:val="en-GB"/>
        </w:rPr>
        <w:t>]. Among various storage strategies, dedicated storage—where each SKU is assigned a fixed location—offers advantages such as improved accessibility, faster retrieval, and operator familiarity [</w:t>
      </w:r>
      <w:r w:rsidR="00603F53" w:rsidRPr="001F1714">
        <w:rPr>
          <w:lang w:val="en-GB"/>
        </w:rPr>
        <w:t>18</w:t>
      </w:r>
      <w:r w:rsidRPr="001F1714">
        <w:rPr>
          <w:lang w:val="en-GB"/>
        </w:rPr>
        <w:t xml:space="preserve">]. These features are well-aligned with seasonal or cyclic demand environments. However, dedicated storage also presents limitations in adaptability. During high-demand seasons, fixed locations can create congestion, while in low-activity periods, they may lead to underutilized </w:t>
      </w:r>
      <w:r w:rsidRPr="001F1714">
        <w:rPr>
          <w:lang w:val="en-GB"/>
        </w:rPr>
        <w:lastRenderedPageBreak/>
        <w:t>space and inefficiencies [</w:t>
      </w:r>
      <w:r w:rsidR="00603F53" w:rsidRPr="001F1714">
        <w:rPr>
          <w:lang w:val="en-GB"/>
        </w:rPr>
        <w:t>19</w:t>
      </w:r>
      <w:r w:rsidRPr="001F1714">
        <w:rPr>
          <w:lang w:val="en-GB"/>
        </w:rPr>
        <w:t>].</w:t>
      </w:r>
      <w:r w:rsidR="00F806D2" w:rsidRPr="001F1714">
        <w:rPr>
          <w:lang w:val="en-GB"/>
        </w:rPr>
        <w:t xml:space="preserve"> </w:t>
      </w:r>
      <w:r w:rsidRPr="001F1714">
        <w:t>In response to such spatial inefficiencies, Systematic Layout Planning (SLP) has been widely adopted in manufacturing systems to arrange functional zones based on material flow, interaction frequency, and space constraints [</w:t>
      </w:r>
      <w:r w:rsidR="00603F53" w:rsidRPr="001F1714">
        <w:t>20</w:t>
      </w:r>
      <w:r w:rsidRPr="001F1714">
        <w:t xml:space="preserve">]. SLP promotes the systematic placement of activities, ensuring operational proximity and smooth transitions between processes. However, its application in </w:t>
      </w:r>
      <w:r w:rsidR="00473529" w:rsidRPr="001F1714">
        <w:t xml:space="preserve">warehousing, </w:t>
      </w:r>
      <w:r w:rsidRPr="001F1714">
        <w:t xml:space="preserve">particularly in hybrid </w:t>
      </w:r>
      <w:r w:rsidR="001139A6" w:rsidRPr="001F1714">
        <w:t>settings,</w:t>
      </w:r>
      <w:r w:rsidRPr="001F1714">
        <w:t xml:space="preserve"> involving both storage and light processing</w:t>
      </w:r>
      <w:r w:rsidR="00F806D2" w:rsidRPr="001F1714">
        <w:t xml:space="preserve">, </w:t>
      </w:r>
      <w:r w:rsidRPr="001F1714">
        <w:t>remains limited [</w:t>
      </w:r>
      <w:r w:rsidR="00603F53" w:rsidRPr="001F1714">
        <w:t>20</w:t>
      </w:r>
      <w:r w:rsidRPr="001F1714">
        <w:t>]. Most applications of SLP focus on high-automation production environments and overlook the practical constraints of low-tech, labor-intensive warehouses.</w:t>
      </w:r>
    </w:p>
    <w:p w14:paraId="68F60E4B" w14:textId="07E2FB3C" w:rsidR="00D114E4" w:rsidRPr="001F1714" w:rsidRDefault="00D114E4" w:rsidP="00FD6B64">
      <w:pPr>
        <w:pStyle w:val="Paragraph"/>
      </w:pPr>
      <w:r w:rsidRPr="001F1714">
        <w:t>Moreover, although several studies have explored order picking, SKU slotting, and space utilization, integrated frameworks that combine layout methodology with storage policy remain underdeveloped [</w:t>
      </w:r>
      <w:r w:rsidR="00603F53" w:rsidRPr="001F1714">
        <w:t>21</w:t>
      </w:r>
      <w:r w:rsidRPr="001F1714">
        <w:t xml:space="preserve">]. For example, </w:t>
      </w:r>
      <w:r w:rsidR="00F56D92" w:rsidRPr="001F1714">
        <w:t xml:space="preserve">researchers </w:t>
      </w:r>
      <w:r w:rsidR="00603F53" w:rsidRPr="001F1714">
        <w:t>[14] and [15]</w:t>
      </w:r>
      <w:r w:rsidRPr="001F1714">
        <w:t xml:space="preserve"> incorporated decision-support tools such as AHP–Fuzzy logic to prioritize SKUs based on turnover rates but did not explicitly address spatial dependencies or inter-zonal relationships. Similarly</w:t>
      </w:r>
      <w:r w:rsidR="00F56D92" w:rsidRPr="001F1714">
        <w:t>, researchers [11</w:t>
      </w:r>
      <w:proofErr w:type="gramStart"/>
      <w:r w:rsidR="00F56D92" w:rsidRPr="001F1714">
        <w:t>]  and</w:t>
      </w:r>
      <w:proofErr w:type="gramEnd"/>
      <w:r w:rsidR="00F56D92" w:rsidRPr="001F1714">
        <w:t xml:space="preserve"> [13] </w:t>
      </w:r>
      <w:r w:rsidRPr="001F1714">
        <w:t>simulated dedicated storage systems in production environments without integrating flow-based layout design.</w:t>
      </w:r>
      <w:r w:rsidR="00FD6B64" w:rsidRPr="001F1714">
        <w:t xml:space="preserve"> </w:t>
      </w:r>
      <w:r w:rsidR="00F56D92" w:rsidRPr="001F1714">
        <w:t xml:space="preserve">Researchers [9] </w:t>
      </w:r>
      <w:r w:rsidRPr="001F1714">
        <w:t xml:space="preserve">employed SLP with genetic algorithms for optimizing e-commerce warehouse layouts but omitted SKU-level storage logic, missing opportunities to enhance accessibility and space predictability. </w:t>
      </w:r>
      <w:r w:rsidR="00F56D92" w:rsidRPr="001F1714">
        <w:t>Researchers [16]</w:t>
      </w:r>
      <w:r w:rsidRPr="001F1714">
        <w:t xml:space="preserve"> developed algorithms for SKU allocation based on product attributes and demand </w:t>
      </w:r>
      <w:r w:rsidR="00DC4B49" w:rsidRPr="001F1714">
        <w:t>patterns</w:t>
      </w:r>
      <w:r w:rsidR="00F56D92" w:rsidRPr="001F1714">
        <w:t>,</w:t>
      </w:r>
      <w:r w:rsidR="00DC4B49" w:rsidRPr="001F1714">
        <w:t xml:space="preserve"> yet</w:t>
      </w:r>
      <w:r w:rsidRPr="001F1714">
        <w:t xml:space="preserve"> failed to integrate these results into a spatially coherent layout model that accommodates material flow logic. Consequently, layout planning and SKU storage policies are often treated as parallel but disconnected design activities.</w:t>
      </w:r>
    </w:p>
    <w:p w14:paraId="0A6DEEE8" w14:textId="321BF797" w:rsidR="00D114E4" w:rsidRPr="001F1714" w:rsidRDefault="00D114E4" w:rsidP="006560B4">
      <w:pPr>
        <w:pStyle w:val="Paragraph"/>
      </w:pPr>
      <w:r w:rsidRPr="001F1714">
        <w:t xml:space="preserve">This fragmented approach presents a significant research gap. In warehousing contexts that combine periodic production, light processing, and seasonal inventory </w:t>
      </w:r>
      <w:r w:rsidR="001139A6" w:rsidRPr="001F1714">
        <w:t xml:space="preserve">cycles, </w:t>
      </w:r>
      <w:r w:rsidRPr="001F1714">
        <w:t>especially in developing economies</w:t>
      </w:r>
      <w:r w:rsidR="001139A6" w:rsidRPr="001F1714">
        <w:t xml:space="preserve">, </w:t>
      </w:r>
      <w:r w:rsidRPr="001F1714">
        <w:t xml:space="preserve">there is a need for integrated layout models that unify dedicated storage logic with spatial flow design. </w:t>
      </w:r>
      <w:r w:rsidR="002B2E1C" w:rsidRPr="001F1714">
        <w:t xml:space="preserve">It </w:t>
      </w:r>
      <w:r w:rsidRPr="001F1714">
        <w:t xml:space="preserve">is essential to </w:t>
      </w:r>
      <w:r w:rsidR="00694048" w:rsidRPr="001F1714">
        <w:t>enhance</w:t>
      </w:r>
      <w:r w:rsidRPr="001F1714">
        <w:t xml:space="preserve"> layout adaptability, throughput performance, and space utilization efficiency under operational constraints typical of low-tech, multifunctional facilities.</w:t>
      </w:r>
      <w:r w:rsidR="006560B4" w:rsidRPr="001F1714">
        <w:t xml:space="preserve"> </w:t>
      </w:r>
      <w:r w:rsidRPr="001F1714">
        <w:t xml:space="preserve">The key research gaps synthesized </w:t>
      </w:r>
      <w:r w:rsidR="001139A6" w:rsidRPr="001F1714">
        <w:t>by</w:t>
      </w:r>
      <w:r w:rsidRPr="001F1714">
        <w:t xml:space="preserve"> the literature are presented in Table 1.</w:t>
      </w:r>
    </w:p>
    <w:p w14:paraId="15952011" w14:textId="6E6CC199" w:rsidR="007E37EB" w:rsidRPr="001F1714" w:rsidRDefault="007E37EB" w:rsidP="00AA00D9">
      <w:pPr>
        <w:pStyle w:val="Caption"/>
        <w:keepNext/>
        <w:spacing w:before="240" w:after="0"/>
        <w:jc w:val="center"/>
        <w:rPr>
          <w:i w:val="0"/>
          <w:iCs w:val="0"/>
          <w:color w:val="auto"/>
        </w:rPr>
      </w:pPr>
      <w:r w:rsidRPr="001F1714">
        <w:rPr>
          <w:b/>
          <w:bCs/>
          <w:i w:val="0"/>
          <w:iCs w:val="0"/>
          <w:color w:val="auto"/>
        </w:rPr>
        <w:t xml:space="preserve">TABLE </w:t>
      </w:r>
      <w:r w:rsidRPr="001F1714">
        <w:rPr>
          <w:b/>
          <w:bCs/>
          <w:i w:val="0"/>
          <w:iCs w:val="0"/>
          <w:color w:val="auto"/>
        </w:rPr>
        <w:fldChar w:fldCharType="begin"/>
      </w:r>
      <w:r w:rsidRPr="001F1714">
        <w:rPr>
          <w:b/>
          <w:bCs/>
          <w:i w:val="0"/>
          <w:iCs w:val="0"/>
          <w:color w:val="auto"/>
        </w:rPr>
        <w:instrText xml:space="preserve"> SEQ Table \* ARABIC </w:instrText>
      </w:r>
      <w:r w:rsidRPr="001F1714">
        <w:rPr>
          <w:b/>
          <w:bCs/>
          <w:i w:val="0"/>
          <w:iCs w:val="0"/>
          <w:color w:val="auto"/>
        </w:rPr>
        <w:fldChar w:fldCharType="separate"/>
      </w:r>
      <w:r w:rsidR="003B6279">
        <w:rPr>
          <w:b/>
          <w:bCs/>
          <w:i w:val="0"/>
          <w:iCs w:val="0"/>
          <w:noProof/>
          <w:color w:val="auto"/>
        </w:rPr>
        <w:t>1</w:t>
      </w:r>
      <w:r w:rsidRPr="001F1714">
        <w:rPr>
          <w:b/>
          <w:bCs/>
          <w:i w:val="0"/>
          <w:iCs w:val="0"/>
          <w:color w:val="auto"/>
        </w:rPr>
        <w:fldChar w:fldCharType="end"/>
      </w:r>
      <w:r w:rsidR="00AA00D9" w:rsidRPr="001F1714">
        <w:rPr>
          <w:b/>
          <w:bCs/>
          <w:i w:val="0"/>
          <w:iCs w:val="0"/>
          <w:color w:val="auto"/>
        </w:rPr>
        <w:t>.</w:t>
      </w:r>
      <w:r w:rsidRPr="001F1714">
        <w:rPr>
          <w:color w:val="auto"/>
        </w:rPr>
        <w:t xml:space="preserve"> </w:t>
      </w:r>
      <w:r w:rsidRPr="001F1714">
        <w:rPr>
          <w:i w:val="0"/>
          <w:iCs w:val="0"/>
          <w:color w:val="auto"/>
        </w:rPr>
        <w:t>Synthesized Research Gap</w:t>
      </w:r>
    </w:p>
    <w:tbl>
      <w:tblPr>
        <w:tblStyle w:val="PlainTable2"/>
        <w:tblW w:w="0" w:type="auto"/>
        <w:jc w:val="center"/>
        <w:tblLook w:val="04A0" w:firstRow="1" w:lastRow="0" w:firstColumn="1" w:lastColumn="0" w:noHBand="0" w:noVBand="1"/>
      </w:tblPr>
      <w:tblGrid>
        <w:gridCol w:w="1276"/>
        <w:gridCol w:w="992"/>
        <w:gridCol w:w="992"/>
        <w:gridCol w:w="1183"/>
        <w:gridCol w:w="1205"/>
        <w:gridCol w:w="1336"/>
      </w:tblGrid>
      <w:tr w:rsidR="001F1714" w:rsidRPr="007C4A93" w14:paraId="41E84B3A" w14:textId="77777777" w:rsidTr="00F56D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773D48A2" w14:textId="77777777" w:rsidR="008A7CEA" w:rsidRPr="007C4A93" w:rsidRDefault="008A7CEA" w:rsidP="00B65A3E">
            <w:pPr>
              <w:pStyle w:val="Paragraph"/>
              <w:ind w:firstLine="0"/>
              <w:jc w:val="center"/>
              <w:rPr>
                <w:lang w:val="en-GB"/>
              </w:rPr>
            </w:pPr>
            <w:r w:rsidRPr="007C4A93">
              <w:rPr>
                <w:lang w:val="en-GB"/>
              </w:rPr>
              <w:t>Authors</w:t>
            </w:r>
          </w:p>
        </w:tc>
        <w:tc>
          <w:tcPr>
            <w:tcW w:w="992" w:type="dxa"/>
          </w:tcPr>
          <w:p w14:paraId="05185369" w14:textId="1B539654" w:rsidR="008A7CEA" w:rsidRPr="007C4A93" w:rsidRDefault="00786DFA" w:rsidP="00B65A3E">
            <w:pPr>
              <w:pStyle w:val="Paragraph"/>
              <w:ind w:firstLine="0"/>
              <w:jc w:val="center"/>
              <w:cnfStyle w:val="100000000000" w:firstRow="1" w:lastRow="0" w:firstColumn="0" w:lastColumn="0" w:oddVBand="0" w:evenVBand="0" w:oddHBand="0" w:evenHBand="0" w:firstRowFirstColumn="0" w:firstRowLastColumn="0" w:lastRowFirstColumn="0" w:lastRowLastColumn="0"/>
              <w:rPr>
                <w:lang w:val="en-GB"/>
              </w:rPr>
            </w:pPr>
            <w:r w:rsidRPr="007C4A93">
              <w:rPr>
                <w:b w:val="0"/>
                <w:bCs w:val="0"/>
                <w:vertAlign w:val="superscript"/>
                <w:lang w:val="en-GB"/>
              </w:rPr>
              <w:t>1</w:t>
            </w:r>
            <w:r w:rsidR="008A7CEA" w:rsidRPr="007C4A93">
              <w:rPr>
                <w:lang w:val="en-GB"/>
              </w:rPr>
              <w:t>SLP</w:t>
            </w:r>
          </w:p>
        </w:tc>
        <w:tc>
          <w:tcPr>
            <w:tcW w:w="992" w:type="dxa"/>
          </w:tcPr>
          <w:p w14:paraId="11448DA2" w14:textId="58E52968" w:rsidR="008A7CEA" w:rsidRPr="007C4A93" w:rsidRDefault="00786DFA" w:rsidP="00B65A3E">
            <w:pPr>
              <w:pStyle w:val="Paragraph"/>
              <w:ind w:firstLine="0"/>
              <w:jc w:val="center"/>
              <w:cnfStyle w:val="100000000000" w:firstRow="1" w:lastRow="0" w:firstColumn="0" w:lastColumn="0" w:oddVBand="0" w:evenVBand="0" w:oddHBand="0" w:evenHBand="0" w:firstRowFirstColumn="0" w:firstRowLastColumn="0" w:lastRowFirstColumn="0" w:lastRowLastColumn="0"/>
              <w:rPr>
                <w:lang w:val="en-GB"/>
              </w:rPr>
            </w:pPr>
            <w:r w:rsidRPr="007C4A93">
              <w:rPr>
                <w:b w:val="0"/>
                <w:bCs w:val="0"/>
                <w:vertAlign w:val="superscript"/>
                <w:lang w:val="en-GB"/>
              </w:rPr>
              <w:t>2</w:t>
            </w:r>
            <w:r w:rsidR="008A7CEA" w:rsidRPr="007C4A93">
              <w:rPr>
                <w:lang w:val="en-GB"/>
              </w:rPr>
              <w:t>DS</w:t>
            </w:r>
          </w:p>
        </w:tc>
        <w:tc>
          <w:tcPr>
            <w:tcW w:w="1183" w:type="dxa"/>
          </w:tcPr>
          <w:p w14:paraId="0DFA32F5" w14:textId="77777777" w:rsidR="008A7CEA" w:rsidRPr="007C4A93" w:rsidRDefault="008A7CEA" w:rsidP="00B65A3E">
            <w:pPr>
              <w:pStyle w:val="Paragraph"/>
              <w:ind w:firstLine="0"/>
              <w:jc w:val="center"/>
              <w:cnfStyle w:val="100000000000" w:firstRow="1" w:lastRow="0" w:firstColumn="0" w:lastColumn="0" w:oddVBand="0" w:evenVBand="0" w:oddHBand="0" w:evenHBand="0" w:firstRowFirstColumn="0" w:firstRowLastColumn="0" w:lastRowFirstColumn="0" w:lastRowLastColumn="0"/>
              <w:rPr>
                <w:lang w:val="en-GB"/>
              </w:rPr>
            </w:pPr>
            <w:r w:rsidRPr="007C4A93">
              <w:rPr>
                <w:lang w:val="en-GB"/>
              </w:rPr>
              <w:t>Seasonality</w:t>
            </w:r>
          </w:p>
        </w:tc>
        <w:tc>
          <w:tcPr>
            <w:tcW w:w="1205" w:type="dxa"/>
          </w:tcPr>
          <w:p w14:paraId="52818FD5" w14:textId="0E20243C" w:rsidR="008A7CEA" w:rsidRPr="007C4A93" w:rsidRDefault="008A7CEA" w:rsidP="00B65A3E">
            <w:pPr>
              <w:pStyle w:val="Paragraph"/>
              <w:ind w:firstLine="0"/>
              <w:jc w:val="center"/>
              <w:cnfStyle w:val="100000000000" w:firstRow="1" w:lastRow="0" w:firstColumn="0" w:lastColumn="0" w:oddVBand="0" w:evenVBand="0" w:oddHBand="0" w:evenHBand="0" w:firstRowFirstColumn="0" w:firstRowLastColumn="0" w:lastRowFirstColumn="0" w:lastRowLastColumn="0"/>
              <w:rPr>
                <w:lang w:val="en-GB"/>
              </w:rPr>
            </w:pPr>
            <w:r w:rsidRPr="007C4A93">
              <w:rPr>
                <w:lang w:val="en-GB"/>
              </w:rPr>
              <w:t>Technology</w:t>
            </w:r>
            <w:r w:rsidR="001D6B70" w:rsidRPr="007C4A93">
              <w:rPr>
                <w:lang w:val="en-GB"/>
              </w:rPr>
              <w:t xml:space="preserve"> Level</w:t>
            </w:r>
          </w:p>
        </w:tc>
        <w:tc>
          <w:tcPr>
            <w:tcW w:w="1336" w:type="dxa"/>
          </w:tcPr>
          <w:p w14:paraId="4F77CC5F" w14:textId="791AF80A" w:rsidR="008A7CEA" w:rsidRPr="007C4A93" w:rsidRDefault="008A7CEA" w:rsidP="00B65A3E">
            <w:pPr>
              <w:pStyle w:val="Paragraph"/>
              <w:ind w:firstLine="0"/>
              <w:jc w:val="center"/>
              <w:cnfStyle w:val="100000000000" w:firstRow="1" w:lastRow="0" w:firstColumn="0" w:lastColumn="0" w:oddVBand="0" w:evenVBand="0" w:oddHBand="0" w:evenHBand="0" w:firstRowFirstColumn="0" w:firstRowLastColumn="0" w:lastRowFirstColumn="0" w:lastRowLastColumn="0"/>
              <w:rPr>
                <w:lang w:val="en-GB"/>
              </w:rPr>
            </w:pPr>
            <w:r w:rsidRPr="007C4A93">
              <w:rPr>
                <w:lang w:val="en-GB"/>
              </w:rPr>
              <w:t>Production Activity</w:t>
            </w:r>
          </w:p>
        </w:tc>
      </w:tr>
      <w:tr w:rsidR="001F1714" w:rsidRPr="007C4A93" w14:paraId="57A46708" w14:textId="77777777" w:rsidTr="00F56D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1C2D5D51" w14:textId="476B3E41" w:rsidR="00F56D92" w:rsidRPr="007C4A93" w:rsidRDefault="00F56D92" w:rsidP="00F56D92">
            <w:pPr>
              <w:pStyle w:val="Paragraph"/>
              <w:ind w:firstLine="0"/>
              <w:jc w:val="center"/>
              <w:rPr>
                <w:lang w:val="en-GB"/>
              </w:rPr>
            </w:pPr>
            <w:r w:rsidRPr="007C4A93">
              <w:rPr>
                <w:b w:val="0"/>
                <w:bCs w:val="0"/>
              </w:rPr>
              <w:t>[9]</w:t>
            </w:r>
          </w:p>
        </w:tc>
        <w:tc>
          <w:tcPr>
            <w:tcW w:w="992" w:type="dxa"/>
          </w:tcPr>
          <w:p w14:paraId="1361B230" w14:textId="5A94F534"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c>
          <w:tcPr>
            <w:tcW w:w="992" w:type="dxa"/>
          </w:tcPr>
          <w:p w14:paraId="25FD9309" w14:textId="1F8FAB94"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t>X</w:t>
            </w:r>
          </w:p>
        </w:tc>
        <w:tc>
          <w:tcPr>
            <w:tcW w:w="1183" w:type="dxa"/>
          </w:tcPr>
          <w:p w14:paraId="0BFE9192" w14:textId="65B5FE84"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t>X</w:t>
            </w:r>
          </w:p>
        </w:tc>
        <w:tc>
          <w:tcPr>
            <w:tcW w:w="1205" w:type="dxa"/>
          </w:tcPr>
          <w:p w14:paraId="40234496" w14:textId="11F1FF2C"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vertAlign w:val="superscript"/>
                <w:lang w:val="en-GB"/>
              </w:rPr>
            </w:pPr>
            <w:r w:rsidRPr="007C4A93">
              <w:rPr>
                <w:lang w:val="en-GB"/>
              </w:rPr>
              <w:t>high</w:t>
            </w:r>
          </w:p>
        </w:tc>
        <w:tc>
          <w:tcPr>
            <w:tcW w:w="1336" w:type="dxa"/>
          </w:tcPr>
          <w:p w14:paraId="240B1153" w14:textId="0BD70012"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r>
      <w:tr w:rsidR="001F1714" w:rsidRPr="007C4A93" w14:paraId="58DA5742" w14:textId="77777777" w:rsidTr="00F56D92">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079ACD6F" w14:textId="78402B16" w:rsidR="00F56D92" w:rsidRPr="007C4A93" w:rsidRDefault="00F56D92" w:rsidP="00F56D92">
            <w:pPr>
              <w:pStyle w:val="Paragraph"/>
              <w:ind w:firstLine="0"/>
              <w:jc w:val="center"/>
              <w:rPr>
                <w:b w:val="0"/>
                <w:bCs w:val="0"/>
                <w:lang w:val="en-GB"/>
              </w:rPr>
            </w:pPr>
            <w:r w:rsidRPr="007C4A93">
              <w:rPr>
                <w:b w:val="0"/>
                <w:bCs w:val="0"/>
                <w:lang w:val="en-GB"/>
              </w:rPr>
              <w:t>[11]</w:t>
            </w:r>
          </w:p>
        </w:tc>
        <w:tc>
          <w:tcPr>
            <w:tcW w:w="992" w:type="dxa"/>
          </w:tcPr>
          <w:p w14:paraId="58C7DB3D" w14:textId="1085424D"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t>X</w:t>
            </w:r>
          </w:p>
        </w:tc>
        <w:tc>
          <w:tcPr>
            <w:tcW w:w="992" w:type="dxa"/>
          </w:tcPr>
          <w:p w14:paraId="06328AAE" w14:textId="634D3C9E"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sym w:font="Wingdings" w:char="F0FC"/>
            </w:r>
          </w:p>
        </w:tc>
        <w:tc>
          <w:tcPr>
            <w:tcW w:w="1183" w:type="dxa"/>
          </w:tcPr>
          <w:p w14:paraId="5BFEEEAE" w14:textId="251B5F87"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t>X</w:t>
            </w:r>
          </w:p>
        </w:tc>
        <w:tc>
          <w:tcPr>
            <w:tcW w:w="1205" w:type="dxa"/>
          </w:tcPr>
          <w:p w14:paraId="5E176F43" w14:textId="262C87A0"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vertAlign w:val="superscript"/>
                <w:lang w:val="en-GB"/>
              </w:rPr>
              <w:t>3</w:t>
            </w:r>
            <w:r w:rsidRPr="007C4A93">
              <w:rPr>
                <w:lang w:val="en-GB"/>
              </w:rPr>
              <w:t>n/m</w:t>
            </w:r>
          </w:p>
        </w:tc>
        <w:tc>
          <w:tcPr>
            <w:tcW w:w="1336" w:type="dxa"/>
          </w:tcPr>
          <w:p w14:paraId="44144651" w14:textId="155BC6D7"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t>x</w:t>
            </w:r>
          </w:p>
        </w:tc>
      </w:tr>
      <w:tr w:rsidR="001F1714" w:rsidRPr="007C4A93" w14:paraId="7D4B21DB" w14:textId="77777777" w:rsidTr="00F56D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2B695E52" w14:textId="50C1E546" w:rsidR="00F56D92" w:rsidRPr="007C4A93" w:rsidRDefault="00F56D92" w:rsidP="00F56D92">
            <w:pPr>
              <w:pStyle w:val="Paragraph"/>
              <w:ind w:firstLine="0"/>
              <w:jc w:val="center"/>
            </w:pPr>
            <w:r w:rsidRPr="007C4A93">
              <w:rPr>
                <w:b w:val="0"/>
                <w:bCs w:val="0"/>
              </w:rPr>
              <w:t>[13]</w:t>
            </w:r>
          </w:p>
        </w:tc>
        <w:tc>
          <w:tcPr>
            <w:tcW w:w="992" w:type="dxa"/>
          </w:tcPr>
          <w:p w14:paraId="04542DC2" w14:textId="51072FDD"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t>X</w:t>
            </w:r>
          </w:p>
        </w:tc>
        <w:tc>
          <w:tcPr>
            <w:tcW w:w="992" w:type="dxa"/>
          </w:tcPr>
          <w:p w14:paraId="2C6C2745" w14:textId="1BC40AE7"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c>
          <w:tcPr>
            <w:tcW w:w="1183" w:type="dxa"/>
          </w:tcPr>
          <w:p w14:paraId="4C2B59F5" w14:textId="4AE2FCAF"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t>X</w:t>
            </w:r>
          </w:p>
        </w:tc>
        <w:tc>
          <w:tcPr>
            <w:tcW w:w="1205" w:type="dxa"/>
          </w:tcPr>
          <w:p w14:paraId="3626E851" w14:textId="0104AB55"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t>low</w:t>
            </w:r>
          </w:p>
        </w:tc>
        <w:tc>
          <w:tcPr>
            <w:tcW w:w="1336" w:type="dxa"/>
          </w:tcPr>
          <w:p w14:paraId="0DAB3CE0" w14:textId="2B2D829E"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r>
      <w:tr w:rsidR="001F1714" w:rsidRPr="007C4A93" w14:paraId="69A942AD" w14:textId="77777777" w:rsidTr="00F56D92">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6A7BD51D" w14:textId="3985990E" w:rsidR="00F56D92" w:rsidRPr="007C4A93" w:rsidRDefault="00F56D92" w:rsidP="00F56D92">
            <w:pPr>
              <w:pStyle w:val="Paragraph"/>
              <w:ind w:firstLine="0"/>
              <w:jc w:val="center"/>
              <w:rPr>
                <w:b w:val="0"/>
                <w:bCs w:val="0"/>
                <w:lang w:val="en-GB"/>
              </w:rPr>
            </w:pPr>
            <w:r w:rsidRPr="007C4A93">
              <w:rPr>
                <w:b w:val="0"/>
                <w:bCs w:val="0"/>
                <w:lang w:val="en-GB"/>
              </w:rPr>
              <w:t>[14]</w:t>
            </w:r>
          </w:p>
        </w:tc>
        <w:tc>
          <w:tcPr>
            <w:tcW w:w="992" w:type="dxa"/>
          </w:tcPr>
          <w:p w14:paraId="2BABA043" w14:textId="7078E5E5"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t>X</w:t>
            </w:r>
          </w:p>
        </w:tc>
        <w:tc>
          <w:tcPr>
            <w:tcW w:w="992" w:type="dxa"/>
          </w:tcPr>
          <w:p w14:paraId="7230054D" w14:textId="69187CB2"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sym w:font="Wingdings" w:char="F0FC"/>
            </w:r>
          </w:p>
        </w:tc>
        <w:tc>
          <w:tcPr>
            <w:tcW w:w="1183" w:type="dxa"/>
          </w:tcPr>
          <w:p w14:paraId="37484872" w14:textId="6B74B844"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sym w:font="Wingdings" w:char="F0FC"/>
            </w:r>
          </w:p>
        </w:tc>
        <w:tc>
          <w:tcPr>
            <w:tcW w:w="1205" w:type="dxa"/>
          </w:tcPr>
          <w:p w14:paraId="6B0FFF6C" w14:textId="77CDEF5A"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vertAlign w:val="superscript"/>
                <w:lang w:val="en-GB"/>
              </w:rPr>
              <w:t>3</w:t>
            </w:r>
            <w:r w:rsidRPr="007C4A93">
              <w:rPr>
                <w:lang w:val="en-GB"/>
              </w:rPr>
              <w:t>n/m</w:t>
            </w:r>
          </w:p>
        </w:tc>
        <w:tc>
          <w:tcPr>
            <w:tcW w:w="1336" w:type="dxa"/>
          </w:tcPr>
          <w:p w14:paraId="5FC6D369" w14:textId="32644A34"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t>x</w:t>
            </w:r>
          </w:p>
        </w:tc>
      </w:tr>
      <w:tr w:rsidR="001F1714" w:rsidRPr="007C4A93" w14:paraId="0ED3E303" w14:textId="77777777" w:rsidTr="00F56D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48655E3A" w14:textId="175F2390" w:rsidR="00F56D92" w:rsidRPr="007C4A93" w:rsidRDefault="00F56D92" w:rsidP="00F56D92">
            <w:pPr>
              <w:pStyle w:val="Paragraph"/>
              <w:ind w:firstLine="0"/>
              <w:jc w:val="center"/>
              <w:rPr>
                <w:b w:val="0"/>
                <w:bCs w:val="0"/>
              </w:rPr>
            </w:pPr>
            <w:r w:rsidRPr="007C4A93">
              <w:rPr>
                <w:b w:val="0"/>
                <w:bCs w:val="0"/>
                <w:lang w:val="en-GB"/>
              </w:rPr>
              <w:t>[15]</w:t>
            </w:r>
          </w:p>
        </w:tc>
        <w:tc>
          <w:tcPr>
            <w:tcW w:w="992" w:type="dxa"/>
          </w:tcPr>
          <w:p w14:paraId="73DCB0E8" w14:textId="7139D1C2"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t>X</w:t>
            </w:r>
          </w:p>
        </w:tc>
        <w:tc>
          <w:tcPr>
            <w:tcW w:w="992" w:type="dxa"/>
          </w:tcPr>
          <w:p w14:paraId="747BAC50" w14:textId="7EB74252"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c>
          <w:tcPr>
            <w:tcW w:w="1183" w:type="dxa"/>
          </w:tcPr>
          <w:p w14:paraId="478E78F7" w14:textId="33F61444"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t>X</w:t>
            </w:r>
          </w:p>
        </w:tc>
        <w:tc>
          <w:tcPr>
            <w:tcW w:w="1205" w:type="dxa"/>
          </w:tcPr>
          <w:p w14:paraId="3FC377F8" w14:textId="4B3CA2B5"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vertAlign w:val="superscript"/>
                <w:lang w:val="en-GB"/>
              </w:rPr>
              <w:t>3</w:t>
            </w:r>
            <w:r w:rsidRPr="007C4A93">
              <w:rPr>
                <w:lang w:val="en-GB"/>
              </w:rPr>
              <w:t>n/m</w:t>
            </w:r>
          </w:p>
        </w:tc>
        <w:tc>
          <w:tcPr>
            <w:tcW w:w="1336" w:type="dxa"/>
          </w:tcPr>
          <w:p w14:paraId="48DE2F92" w14:textId="7C116FA1"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r>
      <w:tr w:rsidR="001F1714" w:rsidRPr="007C4A93" w14:paraId="2345CE53" w14:textId="77777777" w:rsidTr="00F56D92">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018AEEC1" w14:textId="37E3FA5E" w:rsidR="00F56D92" w:rsidRPr="007C4A93" w:rsidRDefault="00F56D92" w:rsidP="00F56D92">
            <w:pPr>
              <w:pStyle w:val="Paragraph"/>
              <w:ind w:firstLine="0"/>
              <w:jc w:val="center"/>
              <w:rPr>
                <w:b w:val="0"/>
                <w:bCs w:val="0"/>
                <w:lang w:val="en-GB"/>
              </w:rPr>
            </w:pPr>
            <w:r w:rsidRPr="007C4A93">
              <w:rPr>
                <w:b w:val="0"/>
                <w:bCs w:val="0"/>
              </w:rPr>
              <w:t>[16]</w:t>
            </w:r>
          </w:p>
        </w:tc>
        <w:tc>
          <w:tcPr>
            <w:tcW w:w="992" w:type="dxa"/>
          </w:tcPr>
          <w:p w14:paraId="49F61CA2" w14:textId="77777777"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sym w:font="Wingdings" w:char="F0FC"/>
            </w:r>
          </w:p>
        </w:tc>
        <w:tc>
          <w:tcPr>
            <w:tcW w:w="992" w:type="dxa"/>
          </w:tcPr>
          <w:p w14:paraId="01B54760" w14:textId="0F53B050"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t>X</w:t>
            </w:r>
          </w:p>
        </w:tc>
        <w:tc>
          <w:tcPr>
            <w:tcW w:w="1183" w:type="dxa"/>
          </w:tcPr>
          <w:p w14:paraId="227FE89F" w14:textId="3E35076F"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t>X</w:t>
            </w:r>
          </w:p>
        </w:tc>
        <w:tc>
          <w:tcPr>
            <w:tcW w:w="1205" w:type="dxa"/>
          </w:tcPr>
          <w:p w14:paraId="200BDED4" w14:textId="1ACBCBCB"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vertAlign w:val="superscript"/>
                <w:lang w:val="en-GB"/>
              </w:rPr>
              <w:t>3</w:t>
            </w:r>
            <w:r w:rsidRPr="007C4A93">
              <w:rPr>
                <w:lang w:val="en-GB"/>
              </w:rPr>
              <w:t>n/m</w:t>
            </w:r>
          </w:p>
        </w:tc>
        <w:tc>
          <w:tcPr>
            <w:tcW w:w="1336" w:type="dxa"/>
          </w:tcPr>
          <w:p w14:paraId="027024F0" w14:textId="77777777" w:rsidR="00F56D92" w:rsidRPr="007C4A93" w:rsidRDefault="00F56D92" w:rsidP="00F56D92">
            <w:pPr>
              <w:pStyle w:val="Paragraph"/>
              <w:ind w:firstLine="0"/>
              <w:jc w:val="center"/>
              <w:cnfStyle w:val="000000000000" w:firstRow="0" w:lastRow="0" w:firstColumn="0" w:lastColumn="0" w:oddVBand="0" w:evenVBand="0" w:oddHBand="0" w:evenHBand="0" w:firstRowFirstColumn="0" w:firstRowLastColumn="0" w:lastRowFirstColumn="0" w:lastRowLastColumn="0"/>
              <w:rPr>
                <w:lang w:val="en-GB"/>
              </w:rPr>
            </w:pPr>
            <w:r w:rsidRPr="007C4A93">
              <w:rPr>
                <w:lang w:val="en-GB"/>
              </w:rPr>
              <w:sym w:font="Wingdings" w:char="F0FC"/>
            </w:r>
          </w:p>
        </w:tc>
      </w:tr>
      <w:tr w:rsidR="001F1714" w:rsidRPr="007C4A93" w14:paraId="70680821" w14:textId="77777777" w:rsidTr="00F56D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529B2881" w14:textId="60EDC0EA" w:rsidR="00F56D92" w:rsidRPr="007C4A93" w:rsidRDefault="00F56D92" w:rsidP="00F56D92">
            <w:pPr>
              <w:pStyle w:val="Paragraph"/>
              <w:ind w:firstLine="0"/>
              <w:jc w:val="center"/>
              <w:rPr>
                <w:b w:val="0"/>
                <w:bCs w:val="0"/>
                <w:lang w:val="en-GB"/>
              </w:rPr>
            </w:pPr>
            <w:r w:rsidRPr="007C4A93">
              <w:rPr>
                <w:b w:val="0"/>
                <w:bCs w:val="0"/>
                <w:lang w:val="en-GB"/>
              </w:rPr>
              <w:t>This research</w:t>
            </w:r>
          </w:p>
        </w:tc>
        <w:tc>
          <w:tcPr>
            <w:tcW w:w="992" w:type="dxa"/>
          </w:tcPr>
          <w:p w14:paraId="256DAC84" w14:textId="6090CFBE"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c>
          <w:tcPr>
            <w:tcW w:w="992" w:type="dxa"/>
          </w:tcPr>
          <w:p w14:paraId="7B7FFAA6" w14:textId="2E7EA077"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c>
          <w:tcPr>
            <w:tcW w:w="1183" w:type="dxa"/>
          </w:tcPr>
          <w:p w14:paraId="77BFA312" w14:textId="4ADEB30C"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c>
          <w:tcPr>
            <w:tcW w:w="1205" w:type="dxa"/>
          </w:tcPr>
          <w:p w14:paraId="0DDFD19E" w14:textId="10418375"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t>low</w:t>
            </w:r>
          </w:p>
        </w:tc>
        <w:tc>
          <w:tcPr>
            <w:tcW w:w="1336" w:type="dxa"/>
          </w:tcPr>
          <w:p w14:paraId="5E795969" w14:textId="5B34B8E6" w:rsidR="00F56D92" w:rsidRPr="007C4A93" w:rsidRDefault="00F56D92" w:rsidP="00F56D92">
            <w:pPr>
              <w:pStyle w:val="Paragraph"/>
              <w:ind w:firstLine="0"/>
              <w:jc w:val="center"/>
              <w:cnfStyle w:val="000000100000" w:firstRow="0" w:lastRow="0" w:firstColumn="0" w:lastColumn="0" w:oddVBand="0" w:evenVBand="0" w:oddHBand="1" w:evenHBand="0" w:firstRowFirstColumn="0" w:firstRowLastColumn="0" w:lastRowFirstColumn="0" w:lastRowLastColumn="0"/>
              <w:rPr>
                <w:lang w:val="en-GB"/>
              </w:rPr>
            </w:pPr>
            <w:r w:rsidRPr="007C4A93">
              <w:rPr>
                <w:lang w:val="en-GB"/>
              </w:rPr>
              <w:sym w:font="Wingdings" w:char="F0FC"/>
            </w:r>
          </w:p>
        </w:tc>
      </w:tr>
    </w:tbl>
    <w:p w14:paraId="58B37285" w14:textId="47F9897F" w:rsidR="008A7CEA" w:rsidRPr="001F1714" w:rsidRDefault="003F3DE5" w:rsidP="00F56D92">
      <w:pPr>
        <w:pStyle w:val="Paragraph"/>
        <w:spacing w:after="240"/>
        <w:jc w:val="center"/>
        <w:rPr>
          <w:sz w:val="18"/>
          <w:szCs w:val="18"/>
        </w:rPr>
      </w:pPr>
      <w:r w:rsidRPr="001F1714">
        <w:rPr>
          <w:sz w:val="18"/>
          <w:szCs w:val="18"/>
          <w:vertAlign w:val="superscript"/>
        </w:rPr>
        <w:t>1</w:t>
      </w:r>
      <w:r w:rsidRPr="001F1714">
        <w:rPr>
          <w:sz w:val="18"/>
          <w:szCs w:val="18"/>
        </w:rPr>
        <w:t xml:space="preserve">SLP = Systematic Layout Planning; </w:t>
      </w:r>
      <w:r w:rsidRPr="001F1714">
        <w:rPr>
          <w:sz w:val="18"/>
          <w:szCs w:val="18"/>
          <w:vertAlign w:val="superscript"/>
        </w:rPr>
        <w:t>2</w:t>
      </w:r>
      <w:r w:rsidRPr="001F1714">
        <w:rPr>
          <w:sz w:val="18"/>
          <w:szCs w:val="18"/>
        </w:rPr>
        <w:t xml:space="preserve">DS = Dedicated </w:t>
      </w:r>
      <w:proofErr w:type="gramStart"/>
      <w:r w:rsidRPr="001F1714">
        <w:rPr>
          <w:sz w:val="18"/>
          <w:szCs w:val="18"/>
        </w:rPr>
        <w:t>Storage</w:t>
      </w:r>
      <w:r w:rsidR="00786DFA" w:rsidRPr="001F1714">
        <w:rPr>
          <w:sz w:val="18"/>
          <w:szCs w:val="18"/>
        </w:rPr>
        <w:t xml:space="preserve">; </w:t>
      </w:r>
      <w:r w:rsidRPr="001F1714">
        <w:rPr>
          <w:sz w:val="18"/>
          <w:szCs w:val="18"/>
        </w:rPr>
        <w:t xml:space="preserve"> </w:t>
      </w:r>
      <w:r w:rsidR="00786DFA" w:rsidRPr="001F1714">
        <w:rPr>
          <w:sz w:val="18"/>
          <w:szCs w:val="18"/>
          <w:vertAlign w:val="superscript"/>
          <w:lang w:val="en-GB"/>
        </w:rPr>
        <w:t>3</w:t>
      </w:r>
      <w:proofErr w:type="gramEnd"/>
      <w:r w:rsidR="00786DFA" w:rsidRPr="001F1714">
        <w:rPr>
          <w:sz w:val="18"/>
          <w:szCs w:val="18"/>
          <w:lang w:val="en-GB"/>
        </w:rPr>
        <w:t>n/m = not mentioned</w:t>
      </w:r>
    </w:p>
    <w:p w14:paraId="0686069A" w14:textId="0815EC31" w:rsidR="0039606C" w:rsidRPr="001F1714" w:rsidRDefault="0039606C" w:rsidP="00694048">
      <w:pPr>
        <w:pStyle w:val="Paragraph"/>
      </w:pPr>
      <w:r w:rsidRPr="001F1714">
        <w:t xml:space="preserve">This study seeks to bridge that gap by addressing the following research questions: (1) How can an integrated layout framework combining SLP and dedicated storage improve spatial efficiency and process alignment in hybrid-function warehouses? (2) What layout design principles are most effective for enhancing accessibility, flow continuity, and space utilization under conditions of seasonal SKU variability and limited mechanization? </w:t>
      </w:r>
      <w:r w:rsidR="00346F3E" w:rsidRPr="001F1714">
        <w:t xml:space="preserve">The framework initiates with the use of SLP to identify, prioritize, and structure functional zones based on their relationship. Subsequently, a dedicated storage strategy is incorporated to assign fixed storage positions for each SKU, ensuring high-turnover products are in high-access zones, while less frequently accessed items are positioned in peripheral spaces. </w:t>
      </w:r>
      <w:r w:rsidRPr="001F1714">
        <w:t xml:space="preserve">The core contribution of this study lies in its conceptualization of warehouse layout design as an integrated optimization problem, balancing the need for spatial configurability with functional alignment for semi-manual processing operations. </w:t>
      </w:r>
    </w:p>
    <w:p w14:paraId="5C1A7C78" w14:textId="119A5737" w:rsidR="00A0453E" w:rsidRPr="001F1714" w:rsidRDefault="006560B4" w:rsidP="00A0453E">
      <w:pPr>
        <w:pStyle w:val="Heading1"/>
        <w:rPr>
          <w:b w:val="0"/>
          <w:caps w:val="0"/>
          <w:sz w:val="20"/>
        </w:rPr>
      </w:pPr>
      <w:r w:rsidRPr="001F1714">
        <w:t>method</w:t>
      </w:r>
    </w:p>
    <w:p w14:paraId="1EE73C9E" w14:textId="77777777" w:rsidR="00F56D92" w:rsidRPr="001F1714" w:rsidRDefault="00091021" w:rsidP="009A6501">
      <w:pPr>
        <w:pStyle w:val="Paragraph"/>
      </w:pPr>
      <w:r w:rsidRPr="001F1714">
        <w:t xml:space="preserve">The methodological framework of this study integrates SLP with a Dedicated Storage Policy, forming a proposed framework </w:t>
      </w:r>
      <w:r w:rsidR="002B2E1C" w:rsidRPr="001F1714">
        <w:t xml:space="preserve">that </w:t>
      </w:r>
      <w:r w:rsidRPr="001F1714">
        <w:t xml:space="preserve">unfolds across three key stages: </w:t>
      </w:r>
      <w:r w:rsidR="002B2E1C" w:rsidRPr="001F1714">
        <w:t>input</w:t>
      </w:r>
      <w:r w:rsidRPr="001F1714">
        <w:t xml:space="preserve">, analysis, and </w:t>
      </w:r>
      <w:r w:rsidR="002B2E1C" w:rsidRPr="001F1714">
        <w:t xml:space="preserve">output </w:t>
      </w:r>
      <w:r w:rsidRPr="001F1714">
        <w:t>(Fig</w:t>
      </w:r>
      <w:r w:rsidR="00326ACD" w:rsidRPr="001F1714">
        <w:t>. 1</w:t>
      </w:r>
      <w:r w:rsidRPr="001F1714">
        <w:t xml:space="preserve">). The input phase initiates the process by gathering detailed operational information, including SKU profiles, handling frequencies, spatial usage patterns, and functional activity requirements. These inputs serve as the foundation for subsequent SLP-based layout planning and SKU-specific slotting strategies. </w:t>
      </w:r>
    </w:p>
    <w:p w14:paraId="38E58E0A" w14:textId="44698384" w:rsidR="00091021" w:rsidRPr="001F1714" w:rsidRDefault="00091021" w:rsidP="009A6501">
      <w:pPr>
        <w:pStyle w:val="Paragraph"/>
      </w:pPr>
      <w:r w:rsidRPr="001F1714">
        <w:t>The analysis phase advances the SLP application by constructing an activity relationship diagram, which identifies the degree of closeness required between areas [</w:t>
      </w:r>
      <w:r w:rsidR="00F56D92" w:rsidRPr="001F1714">
        <w:t>8,20</w:t>
      </w:r>
      <w:r w:rsidRPr="001F1714">
        <w:t xml:space="preserve">]. Simultaneously, SKU classification is carried out using the </w:t>
      </w:r>
      <w:r w:rsidRPr="001F1714">
        <w:lastRenderedPageBreak/>
        <w:t xml:space="preserve">dedicated storage method, where products are grouped based on average demand levels to establish logical and consistent storage zones. </w:t>
      </w:r>
      <w:r w:rsidR="00891E49" w:rsidRPr="001F1714">
        <w:t xml:space="preserve"> </w:t>
      </w:r>
      <w:r w:rsidRPr="001F1714">
        <w:t xml:space="preserve">The output phase enables a layout design that aligns operational flow with product movement needs, effectively minimizing internal transport distances. Finally, the phase involves a comparative analysis between the existing warehouse layout and the proposed configuration. </w:t>
      </w:r>
    </w:p>
    <w:p w14:paraId="36099D3E" w14:textId="44C115EC" w:rsidR="00091021" w:rsidRPr="001F1714" w:rsidRDefault="00723FC7" w:rsidP="00091021">
      <w:pPr>
        <w:pStyle w:val="Paragraph"/>
        <w:keepNext/>
        <w:ind w:firstLine="426"/>
        <w:jc w:val="center"/>
      </w:pPr>
      <w:r w:rsidRPr="001F1714">
        <w:rPr>
          <w:noProof/>
        </w:rPr>
        <w:drawing>
          <wp:inline distT="0" distB="0" distL="0" distR="0" wp14:anchorId="4D4BD254" wp14:editId="41CAEA76">
            <wp:extent cx="2710284" cy="2491740"/>
            <wp:effectExtent l="0" t="0" r="0" b="3810"/>
            <wp:docPr id="576055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8744" cy="2499518"/>
                    </a:xfrm>
                    <a:prstGeom prst="rect">
                      <a:avLst/>
                    </a:prstGeom>
                    <a:noFill/>
                  </pic:spPr>
                </pic:pic>
              </a:graphicData>
            </a:graphic>
          </wp:inline>
        </w:drawing>
      </w:r>
    </w:p>
    <w:p w14:paraId="3CE83F76" w14:textId="76F2172C" w:rsidR="00091021" w:rsidRPr="001F1714" w:rsidRDefault="00091021" w:rsidP="00091021">
      <w:pPr>
        <w:pStyle w:val="Caption"/>
        <w:jc w:val="center"/>
        <w:rPr>
          <w:color w:val="auto"/>
        </w:rPr>
      </w:pPr>
      <w:r w:rsidRPr="001F1714">
        <w:rPr>
          <w:b/>
          <w:bCs/>
          <w:i w:val="0"/>
          <w:iCs w:val="0"/>
          <w:color w:val="auto"/>
        </w:rPr>
        <w:t xml:space="preserve">FIGURE </w:t>
      </w:r>
      <w:r w:rsidRPr="001F1714">
        <w:rPr>
          <w:b/>
          <w:bCs/>
          <w:i w:val="0"/>
          <w:iCs w:val="0"/>
          <w:color w:val="auto"/>
        </w:rPr>
        <w:fldChar w:fldCharType="begin"/>
      </w:r>
      <w:r w:rsidRPr="001F1714">
        <w:rPr>
          <w:b/>
          <w:bCs/>
          <w:i w:val="0"/>
          <w:iCs w:val="0"/>
          <w:color w:val="auto"/>
        </w:rPr>
        <w:instrText xml:space="preserve"> SEQ Figure \* ARABIC </w:instrText>
      </w:r>
      <w:r w:rsidRPr="001F1714">
        <w:rPr>
          <w:b/>
          <w:bCs/>
          <w:i w:val="0"/>
          <w:iCs w:val="0"/>
          <w:color w:val="auto"/>
        </w:rPr>
        <w:fldChar w:fldCharType="separate"/>
      </w:r>
      <w:r w:rsidR="003B6279">
        <w:rPr>
          <w:b/>
          <w:bCs/>
          <w:i w:val="0"/>
          <w:iCs w:val="0"/>
          <w:noProof/>
          <w:color w:val="auto"/>
        </w:rPr>
        <w:t>1</w:t>
      </w:r>
      <w:r w:rsidRPr="001F1714">
        <w:rPr>
          <w:b/>
          <w:bCs/>
          <w:i w:val="0"/>
          <w:iCs w:val="0"/>
          <w:color w:val="auto"/>
        </w:rPr>
        <w:fldChar w:fldCharType="end"/>
      </w:r>
      <w:r w:rsidR="00F07FF5" w:rsidRPr="001F1714">
        <w:rPr>
          <w:b/>
          <w:bCs/>
          <w:i w:val="0"/>
          <w:iCs w:val="0"/>
          <w:color w:val="auto"/>
        </w:rPr>
        <w:t>.</w:t>
      </w:r>
      <w:r w:rsidRPr="001F1714">
        <w:rPr>
          <w:color w:val="auto"/>
        </w:rPr>
        <w:t xml:space="preserve"> </w:t>
      </w:r>
      <w:r w:rsidRPr="001F1714">
        <w:rPr>
          <w:i w:val="0"/>
          <w:iCs w:val="0"/>
          <w:color w:val="auto"/>
        </w:rPr>
        <w:t>Hybrid Framework for Layout Planning in Warehouses with Embedded Processing Activities</w:t>
      </w:r>
    </w:p>
    <w:p w14:paraId="34D775AC" w14:textId="3F41ADC9" w:rsidR="00091021" w:rsidRPr="001F1714" w:rsidRDefault="00091021" w:rsidP="00091021">
      <w:pPr>
        <w:pStyle w:val="Heading2"/>
        <w:rPr>
          <w:lang w:val="en-GB"/>
        </w:rPr>
      </w:pPr>
      <w:r w:rsidRPr="001F1714">
        <w:rPr>
          <w:lang w:val="en-GB"/>
        </w:rPr>
        <w:t>Case Study</w:t>
      </w:r>
    </w:p>
    <w:p w14:paraId="0534CE19" w14:textId="3FC1ECBB" w:rsidR="00D13785" w:rsidRPr="001F1714" w:rsidRDefault="00BB231C" w:rsidP="00D13785">
      <w:pPr>
        <w:pStyle w:val="Paragraph"/>
        <w:rPr>
          <w:lang w:val="en-GB"/>
        </w:rPr>
      </w:pPr>
      <w:r w:rsidRPr="001F1714">
        <w:rPr>
          <w:lang w:val="en-GB"/>
        </w:rPr>
        <w:t xml:space="preserve">This study </w:t>
      </w:r>
      <w:r w:rsidR="00156F47" w:rsidRPr="001F1714">
        <w:rPr>
          <w:lang w:val="en-GB"/>
        </w:rPr>
        <w:t>employs a case study methodology to investigate warehouse operations at a fertilizer production facility located</w:t>
      </w:r>
      <w:r w:rsidRPr="001F1714">
        <w:rPr>
          <w:lang w:val="en-GB"/>
        </w:rPr>
        <w:t xml:space="preserve"> in Gresik, East Java, Indonesia. </w:t>
      </w:r>
      <w:r w:rsidR="00D62482" w:rsidRPr="001F1714">
        <w:rPr>
          <w:lang w:val="en-GB"/>
        </w:rPr>
        <w:t xml:space="preserve">The current warehouse layout is visualized in Fig. </w:t>
      </w:r>
      <w:r w:rsidR="00326ACD" w:rsidRPr="001F1714">
        <w:rPr>
          <w:lang w:val="en-GB"/>
        </w:rPr>
        <w:t>2</w:t>
      </w:r>
      <w:r w:rsidR="00D62482" w:rsidRPr="001F1714">
        <w:rPr>
          <w:lang w:val="en-GB"/>
        </w:rPr>
        <w:t xml:space="preserve">. </w:t>
      </w:r>
    </w:p>
    <w:p w14:paraId="25120D71" w14:textId="77777777" w:rsidR="00D13785" w:rsidRPr="001F1714" w:rsidRDefault="00D13785" w:rsidP="00D13785">
      <w:pPr>
        <w:pStyle w:val="Paragraph"/>
        <w:rPr>
          <w:lang w:val="en-GB"/>
        </w:rPr>
      </w:pPr>
    </w:p>
    <w:p w14:paraId="36F602F6" w14:textId="77777777" w:rsidR="002B2E1C" w:rsidRPr="001F1714" w:rsidRDefault="00D62482" w:rsidP="002B2E1C">
      <w:pPr>
        <w:pStyle w:val="Paragraph"/>
        <w:keepNext/>
        <w:jc w:val="center"/>
      </w:pPr>
      <w:r w:rsidRPr="001F1714">
        <w:rPr>
          <w:noProof/>
        </w:rPr>
        <w:drawing>
          <wp:inline distT="0" distB="0" distL="0" distR="0" wp14:anchorId="7ADC6884" wp14:editId="0FD22E96">
            <wp:extent cx="4680000" cy="2914456"/>
            <wp:effectExtent l="0" t="0" r="6350" b="635"/>
            <wp:docPr id="6" name="Picture 6" descr="D:\inggris flowchat eksisting.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ggris flowchat eksisting.drawi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0000" cy="2914456"/>
                    </a:xfrm>
                    <a:prstGeom prst="rect">
                      <a:avLst/>
                    </a:prstGeom>
                    <a:noFill/>
                    <a:ln>
                      <a:noFill/>
                    </a:ln>
                  </pic:spPr>
                </pic:pic>
              </a:graphicData>
            </a:graphic>
          </wp:inline>
        </w:drawing>
      </w:r>
    </w:p>
    <w:p w14:paraId="23443566" w14:textId="77777777" w:rsidR="00B9381C" w:rsidRPr="001F1714" w:rsidRDefault="00232922" w:rsidP="00232922">
      <w:pPr>
        <w:pStyle w:val="Paragraph"/>
        <w:keepNext/>
        <w:ind w:firstLine="567"/>
        <w:jc w:val="center"/>
      </w:pPr>
      <w:r w:rsidRPr="001F1714">
        <w:rPr>
          <w:noProof/>
        </w:rPr>
        <w:drawing>
          <wp:inline distT="0" distB="0" distL="0" distR="0" wp14:anchorId="5D979DA8" wp14:editId="6E1E8D8A">
            <wp:extent cx="2100468" cy="524933"/>
            <wp:effectExtent l="0" t="0" r="0" b="8890"/>
            <wp:docPr id="5057357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35756" name="Picture 1" descr="A screenshot of a computer&#10;&#10;AI-generated content may be incorrect."/>
                    <pic:cNvPicPr/>
                  </pic:nvPicPr>
                  <pic:blipFill rotWithShape="1">
                    <a:blip r:embed="rId12"/>
                    <a:srcRect l="4463" t="51831" r="42892" b="14739"/>
                    <a:stretch>
                      <a:fillRect/>
                    </a:stretch>
                  </pic:blipFill>
                  <pic:spPr bwMode="auto">
                    <a:xfrm>
                      <a:off x="0" y="0"/>
                      <a:ext cx="2114825" cy="528521"/>
                    </a:xfrm>
                    <a:prstGeom prst="rect">
                      <a:avLst/>
                    </a:prstGeom>
                    <a:ln>
                      <a:noFill/>
                    </a:ln>
                    <a:extLst>
                      <a:ext uri="{53640926-AAD7-44D8-BBD7-CCE9431645EC}">
                        <a14:shadowObscured xmlns:a14="http://schemas.microsoft.com/office/drawing/2010/main"/>
                      </a:ext>
                    </a:extLst>
                  </pic:spPr>
                </pic:pic>
              </a:graphicData>
            </a:graphic>
          </wp:inline>
        </w:drawing>
      </w:r>
    </w:p>
    <w:p w14:paraId="0E19D377" w14:textId="4A0FDBF6" w:rsidR="00232922" w:rsidRPr="001F1714" w:rsidRDefault="00232922" w:rsidP="00232922">
      <w:pPr>
        <w:pStyle w:val="Caption"/>
        <w:spacing w:after="0"/>
        <w:jc w:val="center"/>
        <w:rPr>
          <w:i w:val="0"/>
          <w:iCs w:val="0"/>
          <w:color w:val="auto"/>
          <w:lang w:val="en-GB"/>
        </w:rPr>
      </w:pPr>
      <w:r w:rsidRPr="001F1714">
        <w:rPr>
          <w:b/>
          <w:bCs/>
          <w:i w:val="0"/>
          <w:iCs w:val="0"/>
          <w:color w:val="auto"/>
        </w:rPr>
        <w:t xml:space="preserve">FIGURE </w:t>
      </w:r>
      <w:r w:rsidRPr="001F1714">
        <w:rPr>
          <w:b/>
          <w:bCs/>
          <w:i w:val="0"/>
          <w:iCs w:val="0"/>
          <w:color w:val="auto"/>
        </w:rPr>
        <w:fldChar w:fldCharType="begin"/>
      </w:r>
      <w:r w:rsidRPr="001F1714">
        <w:rPr>
          <w:b/>
          <w:bCs/>
          <w:i w:val="0"/>
          <w:iCs w:val="0"/>
          <w:color w:val="auto"/>
        </w:rPr>
        <w:instrText xml:space="preserve"> SEQ Figure \* ARABIC </w:instrText>
      </w:r>
      <w:r w:rsidRPr="001F1714">
        <w:rPr>
          <w:b/>
          <w:bCs/>
          <w:i w:val="0"/>
          <w:iCs w:val="0"/>
          <w:color w:val="auto"/>
        </w:rPr>
        <w:fldChar w:fldCharType="separate"/>
      </w:r>
      <w:r w:rsidR="003B6279">
        <w:rPr>
          <w:b/>
          <w:bCs/>
          <w:i w:val="0"/>
          <w:iCs w:val="0"/>
          <w:noProof/>
          <w:color w:val="auto"/>
        </w:rPr>
        <w:t>2</w:t>
      </w:r>
      <w:r w:rsidRPr="001F1714">
        <w:rPr>
          <w:b/>
          <w:bCs/>
          <w:i w:val="0"/>
          <w:iCs w:val="0"/>
          <w:color w:val="auto"/>
        </w:rPr>
        <w:fldChar w:fldCharType="end"/>
      </w:r>
      <w:r w:rsidRPr="001F1714">
        <w:rPr>
          <w:b/>
          <w:bCs/>
          <w:i w:val="0"/>
          <w:iCs w:val="0"/>
          <w:color w:val="auto"/>
        </w:rPr>
        <w:t>.</w:t>
      </w:r>
      <w:r w:rsidRPr="001F1714">
        <w:rPr>
          <w:i w:val="0"/>
          <w:iCs w:val="0"/>
          <w:color w:val="auto"/>
        </w:rPr>
        <w:t>Existing Warehouse Layout</w:t>
      </w:r>
      <w:r w:rsidRPr="001F1714">
        <w:rPr>
          <w:i w:val="0"/>
          <w:iCs w:val="0"/>
          <w:color w:val="auto"/>
          <w:lang w:val="en-GB"/>
        </w:rPr>
        <w:t xml:space="preserve"> </w:t>
      </w:r>
    </w:p>
    <w:p w14:paraId="575D99D8" w14:textId="77777777" w:rsidR="002B2E1C" w:rsidRPr="001F1714" w:rsidRDefault="002B2E1C" w:rsidP="00D62482">
      <w:pPr>
        <w:pStyle w:val="Paragraph"/>
        <w:rPr>
          <w:lang w:val="en-GB"/>
        </w:rPr>
      </w:pPr>
    </w:p>
    <w:p w14:paraId="787EDA37" w14:textId="3FFDE0F3" w:rsidR="00546FE0" w:rsidRPr="001F1714" w:rsidRDefault="00D62482" w:rsidP="002B2E1C">
      <w:pPr>
        <w:pStyle w:val="Paragraph"/>
        <w:rPr>
          <w:lang w:val="en-GB"/>
        </w:rPr>
      </w:pPr>
      <w:r w:rsidRPr="001F1714">
        <w:rPr>
          <w:lang w:val="en-GB"/>
        </w:rPr>
        <w:t xml:space="preserve">The facility features an effective storage capacity of approximately 2,400 metric tons and plays a dual role in the company’s supply chain system. First, it operates as a regional distribution hub, ensuring the availability of fertilizer </w:t>
      </w:r>
      <w:r w:rsidRPr="001F1714">
        <w:rPr>
          <w:lang w:val="en-GB"/>
        </w:rPr>
        <w:lastRenderedPageBreak/>
        <w:t xml:space="preserve">across the East Java region. Second, it functions as a light processing centre, primarily for the handling and preparation of ammonium sulphate (ZA) fertilizer. </w:t>
      </w:r>
      <w:r w:rsidR="002B2E1C" w:rsidRPr="001F1714">
        <w:rPr>
          <w:lang w:val="en-GB"/>
        </w:rPr>
        <w:t xml:space="preserve"> </w:t>
      </w:r>
      <w:r w:rsidR="00543607" w:rsidRPr="001F1714">
        <w:rPr>
          <w:lang w:val="en-GB"/>
        </w:rPr>
        <w:t xml:space="preserve">These stages are facilitated by both manual and mechanized handling tools, including forklifts and hand pallet, which collectively support product readiness for downstream distribution. </w:t>
      </w:r>
      <w:r w:rsidR="00543607" w:rsidRPr="001F1714">
        <w:t>The warehouse handles a broad assortment of fertilizer types</w:t>
      </w:r>
      <w:r w:rsidR="00523227" w:rsidRPr="001F1714">
        <w:t xml:space="preserve"> of 15 SKUs</w:t>
      </w:r>
      <w:r w:rsidR="00543607" w:rsidRPr="001F1714">
        <w:t xml:space="preserve">, including ZA, </w:t>
      </w:r>
      <w:r w:rsidR="008247EC" w:rsidRPr="001F1714">
        <w:t xml:space="preserve">Filler, </w:t>
      </w:r>
      <w:r w:rsidR="00543607" w:rsidRPr="001F1714">
        <w:t xml:space="preserve">NPK, </w:t>
      </w:r>
      <w:r w:rsidR="008247EC" w:rsidRPr="001F1714">
        <w:t xml:space="preserve">Urea, </w:t>
      </w:r>
      <w:r w:rsidR="00543607" w:rsidRPr="001F1714">
        <w:t xml:space="preserve">NPS, organic, and </w:t>
      </w:r>
      <w:r w:rsidR="002E2E7C" w:rsidRPr="001F1714">
        <w:t>nitrate</w:t>
      </w:r>
      <w:r w:rsidR="00543607" w:rsidRPr="001F1714">
        <w:t xml:space="preserve">, in various packaging formats (1 kg, 5 kg, 25 kg, and 50 kg). </w:t>
      </w:r>
      <w:r w:rsidR="00B9381C" w:rsidRPr="001F1714">
        <w:t>For some products (NPK, Urea, and organic)</w:t>
      </w:r>
      <w:r w:rsidR="00523227" w:rsidRPr="001F1714">
        <w:t>,</w:t>
      </w:r>
      <w:r w:rsidR="00B9381C" w:rsidRPr="001F1714">
        <w:t xml:space="preserve"> </w:t>
      </w:r>
      <w:r w:rsidR="00543607" w:rsidRPr="001F1714">
        <w:t>include</w:t>
      </w:r>
      <w:r w:rsidR="00523227" w:rsidRPr="001F1714">
        <w:t xml:space="preserve"> </w:t>
      </w:r>
      <w:r w:rsidR="00543607" w:rsidRPr="001F1714">
        <w:t xml:space="preserve">both government-subsidized and non-subsidized commercial fertilizers, each subject to distinct distribution regulations. In this research, the labeling of each product consists of both the fertilizer type and its packaging weight, a critical distinction for layout planning and inventory management. For instance, "NPK Sub 1" denotes a 1-kilogram bag of subsidized NPK fertilizer, typically aimed at smallholder farmers and retail-scale users. </w:t>
      </w:r>
      <w:r w:rsidR="00546FE0" w:rsidRPr="001F1714">
        <w:t>The types of fertilizer products and their packaging are shown in Table</w:t>
      </w:r>
      <w:r w:rsidR="00B9381C" w:rsidRPr="001F1714">
        <w:t xml:space="preserve"> 2.</w:t>
      </w:r>
    </w:p>
    <w:p w14:paraId="69200293" w14:textId="3720A71E" w:rsidR="00B9381C" w:rsidRPr="001F1714" w:rsidRDefault="00B9381C" w:rsidP="00AA00D9">
      <w:pPr>
        <w:pStyle w:val="Caption"/>
        <w:keepNext/>
        <w:spacing w:before="240" w:after="0"/>
        <w:jc w:val="center"/>
        <w:rPr>
          <w:i w:val="0"/>
          <w:iCs w:val="0"/>
          <w:color w:val="auto"/>
        </w:rPr>
      </w:pPr>
      <w:r w:rsidRPr="001F1714">
        <w:rPr>
          <w:b/>
          <w:bCs/>
          <w:i w:val="0"/>
          <w:iCs w:val="0"/>
          <w:color w:val="auto"/>
        </w:rPr>
        <w:t xml:space="preserve">TABLE </w:t>
      </w:r>
      <w:r w:rsidRPr="001F1714">
        <w:rPr>
          <w:b/>
          <w:bCs/>
          <w:i w:val="0"/>
          <w:iCs w:val="0"/>
          <w:color w:val="auto"/>
        </w:rPr>
        <w:fldChar w:fldCharType="begin"/>
      </w:r>
      <w:r w:rsidRPr="001F1714">
        <w:rPr>
          <w:b/>
          <w:bCs/>
          <w:i w:val="0"/>
          <w:iCs w:val="0"/>
          <w:color w:val="auto"/>
        </w:rPr>
        <w:instrText xml:space="preserve"> SEQ Table \* ARABIC </w:instrText>
      </w:r>
      <w:r w:rsidRPr="001F1714">
        <w:rPr>
          <w:b/>
          <w:bCs/>
          <w:i w:val="0"/>
          <w:iCs w:val="0"/>
          <w:color w:val="auto"/>
        </w:rPr>
        <w:fldChar w:fldCharType="separate"/>
      </w:r>
      <w:r w:rsidR="003B6279">
        <w:rPr>
          <w:b/>
          <w:bCs/>
          <w:i w:val="0"/>
          <w:iCs w:val="0"/>
          <w:noProof/>
          <w:color w:val="auto"/>
        </w:rPr>
        <w:t>2</w:t>
      </w:r>
      <w:r w:rsidRPr="001F1714">
        <w:rPr>
          <w:b/>
          <w:bCs/>
          <w:i w:val="0"/>
          <w:iCs w:val="0"/>
          <w:color w:val="auto"/>
        </w:rPr>
        <w:fldChar w:fldCharType="end"/>
      </w:r>
      <w:r w:rsidR="00AA00D9" w:rsidRPr="001F1714">
        <w:rPr>
          <w:b/>
          <w:bCs/>
          <w:i w:val="0"/>
          <w:iCs w:val="0"/>
          <w:color w:val="auto"/>
        </w:rPr>
        <w:t>.</w:t>
      </w:r>
      <w:r w:rsidRPr="001F1714">
        <w:rPr>
          <w:i w:val="0"/>
          <w:iCs w:val="0"/>
          <w:color w:val="auto"/>
        </w:rPr>
        <w:t xml:space="preserve"> Types of SKU Fertilizer Products</w:t>
      </w:r>
    </w:p>
    <w:tbl>
      <w:tblPr>
        <w:tblStyle w:val="TableGrid"/>
        <w:tblW w:w="0" w:type="auto"/>
        <w:jc w:val="center"/>
        <w:tblLook w:val="04A0" w:firstRow="1" w:lastRow="0" w:firstColumn="1" w:lastColumn="0" w:noHBand="0" w:noVBand="1"/>
      </w:tblPr>
      <w:tblGrid>
        <w:gridCol w:w="704"/>
        <w:gridCol w:w="1335"/>
        <w:gridCol w:w="933"/>
        <w:gridCol w:w="992"/>
        <w:gridCol w:w="993"/>
        <w:gridCol w:w="992"/>
      </w:tblGrid>
      <w:tr w:rsidR="001F1714" w:rsidRPr="007C4A93" w14:paraId="22F457D3" w14:textId="77777777" w:rsidTr="00AA00D9">
        <w:trPr>
          <w:jc w:val="center"/>
        </w:trPr>
        <w:tc>
          <w:tcPr>
            <w:tcW w:w="704" w:type="dxa"/>
            <w:vAlign w:val="center"/>
          </w:tcPr>
          <w:p w14:paraId="6F712074" w14:textId="067995F1" w:rsidR="00546FE0" w:rsidRPr="007C4A93" w:rsidRDefault="00546FE0" w:rsidP="00546FE0">
            <w:pPr>
              <w:pStyle w:val="Paragraph"/>
              <w:ind w:firstLine="0"/>
              <w:jc w:val="center"/>
              <w:rPr>
                <w:b/>
                <w:bCs/>
              </w:rPr>
            </w:pPr>
            <w:r w:rsidRPr="007C4A93">
              <w:rPr>
                <w:b/>
                <w:bCs/>
              </w:rPr>
              <w:t>No</w:t>
            </w:r>
          </w:p>
        </w:tc>
        <w:tc>
          <w:tcPr>
            <w:tcW w:w="1335" w:type="dxa"/>
            <w:vAlign w:val="center"/>
          </w:tcPr>
          <w:p w14:paraId="5F3F2C23" w14:textId="1810FF42" w:rsidR="00546FE0" w:rsidRPr="007C4A93" w:rsidRDefault="00546FE0" w:rsidP="00546FE0">
            <w:pPr>
              <w:pStyle w:val="Paragraph"/>
              <w:ind w:firstLine="0"/>
              <w:jc w:val="center"/>
              <w:rPr>
                <w:b/>
                <w:bCs/>
              </w:rPr>
            </w:pPr>
            <w:r w:rsidRPr="007C4A93">
              <w:rPr>
                <w:b/>
                <w:bCs/>
              </w:rPr>
              <w:t xml:space="preserve">Fertilizer </w:t>
            </w:r>
          </w:p>
        </w:tc>
        <w:tc>
          <w:tcPr>
            <w:tcW w:w="933" w:type="dxa"/>
            <w:vAlign w:val="center"/>
          </w:tcPr>
          <w:p w14:paraId="61F6ED70" w14:textId="4A3ABB35" w:rsidR="00546FE0" w:rsidRPr="007C4A93" w:rsidRDefault="00546FE0" w:rsidP="00546FE0">
            <w:pPr>
              <w:pStyle w:val="Paragraph"/>
              <w:ind w:firstLine="0"/>
              <w:jc w:val="center"/>
              <w:rPr>
                <w:b/>
                <w:bCs/>
              </w:rPr>
            </w:pPr>
            <w:r w:rsidRPr="007C4A93">
              <w:rPr>
                <w:b/>
                <w:bCs/>
              </w:rPr>
              <w:t>1 kg</w:t>
            </w:r>
          </w:p>
        </w:tc>
        <w:tc>
          <w:tcPr>
            <w:tcW w:w="992" w:type="dxa"/>
            <w:vAlign w:val="center"/>
          </w:tcPr>
          <w:p w14:paraId="58FFBFB9" w14:textId="5E61C9C5" w:rsidR="00546FE0" w:rsidRPr="007C4A93" w:rsidRDefault="00546FE0" w:rsidP="00546FE0">
            <w:pPr>
              <w:pStyle w:val="Paragraph"/>
              <w:ind w:firstLine="0"/>
              <w:jc w:val="center"/>
              <w:rPr>
                <w:b/>
                <w:bCs/>
              </w:rPr>
            </w:pPr>
            <w:r w:rsidRPr="007C4A93">
              <w:rPr>
                <w:b/>
                <w:bCs/>
              </w:rPr>
              <w:t>5 kg</w:t>
            </w:r>
          </w:p>
        </w:tc>
        <w:tc>
          <w:tcPr>
            <w:tcW w:w="993" w:type="dxa"/>
            <w:vAlign w:val="center"/>
          </w:tcPr>
          <w:p w14:paraId="666AF478" w14:textId="6886653A" w:rsidR="00546FE0" w:rsidRPr="007C4A93" w:rsidRDefault="00546FE0" w:rsidP="00546FE0">
            <w:pPr>
              <w:pStyle w:val="Paragraph"/>
              <w:ind w:firstLine="0"/>
              <w:jc w:val="center"/>
              <w:rPr>
                <w:b/>
                <w:bCs/>
              </w:rPr>
            </w:pPr>
            <w:r w:rsidRPr="007C4A93">
              <w:rPr>
                <w:b/>
                <w:bCs/>
              </w:rPr>
              <w:t>25 kg</w:t>
            </w:r>
          </w:p>
        </w:tc>
        <w:tc>
          <w:tcPr>
            <w:tcW w:w="992" w:type="dxa"/>
            <w:vAlign w:val="center"/>
          </w:tcPr>
          <w:p w14:paraId="30319EC0" w14:textId="23A57B39" w:rsidR="00546FE0" w:rsidRPr="007C4A93" w:rsidRDefault="00546FE0" w:rsidP="00546FE0">
            <w:pPr>
              <w:pStyle w:val="Paragraph"/>
              <w:ind w:firstLine="0"/>
              <w:jc w:val="center"/>
              <w:rPr>
                <w:b/>
                <w:bCs/>
              </w:rPr>
            </w:pPr>
            <w:r w:rsidRPr="007C4A93">
              <w:rPr>
                <w:b/>
                <w:bCs/>
              </w:rPr>
              <w:t>50 kg</w:t>
            </w:r>
          </w:p>
        </w:tc>
      </w:tr>
      <w:tr w:rsidR="001F1714" w:rsidRPr="007C4A93" w14:paraId="3EACF01D" w14:textId="77777777" w:rsidTr="00AA00D9">
        <w:trPr>
          <w:jc w:val="center"/>
        </w:trPr>
        <w:tc>
          <w:tcPr>
            <w:tcW w:w="704" w:type="dxa"/>
            <w:vAlign w:val="bottom"/>
          </w:tcPr>
          <w:p w14:paraId="12D9F107" w14:textId="4F94B0C7" w:rsidR="00546FE0" w:rsidRPr="007C4A93" w:rsidRDefault="00546FE0" w:rsidP="00546FE0">
            <w:pPr>
              <w:pStyle w:val="Paragraph"/>
              <w:ind w:firstLine="0"/>
              <w:jc w:val="center"/>
            </w:pPr>
            <w:r w:rsidRPr="007C4A93">
              <w:t>1</w:t>
            </w:r>
          </w:p>
        </w:tc>
        <w:tc>
          <w:tcPr>
            <w:tcW w:w="1335" w:type="dxa"/>
            <w:vAlign w:val="bottom"/>
          </w:tcPr>
          <w:p w14:paraId="640932D6" w14:textId="00541E54" w:rsidR="00546FE0" w:rsidRPr="007C4A93" w:rsidRDefault="00546FE0" w:rsidP="00546FE0">
            <w:pPr>
              <w:pStyle w:val="Paragraph"/>
              <w:ind w:firstLine="0"/>
              <w:jc w:val="center"/>
            </w:pPr>
            <w:r w:rsidRPr="007C4A93">
              <w:t>ZA</w:t>
            </w:r>
          </w:p>
        </w:tc>
        <w:tc>
          <w:tcPr>
            <w:tcW w:w="933" w:type="dxa"/>
            <w:vAlign w:val="bottom"/>
          </w:tcPr>
          <w:p w14:paraId="4E0055EF" w14:textId="3205AFB8" w:rsidR="00546FE0" w:rsidRPr="007C4A93" w:rsidRDefault="00546FE0" w:rsidP="00546FE0">
            <w:pPr>
              <w:pStyle w:val="Paragraph"/>
              <w:ind w:firstLine="0"/>
              <w:jc w:val="center"/>
            </w:pPr>
            <w:r w:rsidRPr="007C4A93">
              <w:sym w:font="Wingdings" w:char="F0FC"/>
            </w:r>
          </w:p>
        </w:tc>
        <w:tc>
          <w:tcPr>
            <w:tcW w:w="992" w:type="dxa"/>
            <w:vAlign w:val="bottom"/>
          </w:tcPr>
          <w:p w14:paraId="7DED9B18" w14:textId="571AFA70" w:rsidR="00546FE0" w:rsidRPr="007C4A93" w:rsidRDefault="00546FE0" w:rsidP="00546FE0">
            <w:pPr>
              <w:pStyle w:val="Paragraph"/>
              <w:ind w:firstLine="0"/>
              <w:jc w:val="center"/>
            </w:pPr>
            <w:r w:rsidRPr="007C4A93">
              <w:t>X</w:t>
            </w:r>
          </w:p>
        </w:tc>
        <w:tc>
          <w:tcPr>
            <w:tcW w:w="993" w:type="dxa"/>
            <w:vAlign w:val="bottom"/>
          </w:tcPr>
          <w:p w14:paraId="1F63EFCA" w14:textId="0232993E" w:rsidR="00546FE0" w:rsidRPr="007C4A93" w:rsidRDefault="00546FE0" w:rsidP="00546FE0">
            <w:pPr>
              <w:pStyle w:val="Paragraph"/>
              <w:ind w:firstLine="0"/>
              <w:jc w:val="center"/>
            </w:pPr>
            <w:r w:rsidRPr="007C4A93">
              <w:sym w:font="Wingdings" w:char="F0FC"/>
            </w:r>
          </w:p>
        </w:tc>
        <w:tc>
          <w:tcPr>
            <w:tcW w:w="992" w:type="dxa"/>
            <w:vAlign w:val="bottom"/>
          </w:tcPr>
          <w:p w14:paraId="57F2ECD3" w14:textId="6A2DA102" w:rsidR="00546FE0" w:rsidRPr="007C4A93" w:rsidRDefault="00546FE0" w:rsidP="00546FE0">
            <w:pPr>
              <w:pStyle w:val="Paragraph"/>
              <w:ind w:firstLine="0"/>
              <w:jc w:val="center"/>
            </w:pPr>
            <w:r w:rsidRPr="007C4A93">
              <w:sym w:font="Wingdings" w:char="F0FC"/>
            </w:r>
          </w:p>
        </w:tc>
      </w:tr>
      <w:tr w:rsidR="001F1714" w:rsidRPr="007C4A93" w14:paraId="18635910" w14:textId="77777777" w:rsidTr="00AA00D9">
        <w:trPr>
          <w:jc w:val="center"/>
        </w:trPr>
        <w:tc>
          <w:tcPr>
            <w:tcW w:w="704" w:type="dxa"/>
            <w:vAlign w:val="bottom"/>
          </w:tcPr>
          <w:p w14:paraId="0B846BAB" w14:textId="164E9790" w:rsidR="00546FE0" w:rsidRPr="007C4A93" w:rsidRDefault="00546FE0" w:rsidP="00546FE0">
            <w:pPr>
              <w:pStyle w:val="Paragraph"/>
              <w:ind w:firstLine="0"/>
              <w:jc w:val="center"/>
            </w:pPr>
            <w:r w:rsidRPr="007C4A93">
              <w:t>2</w:t>
            </w:r>
          </w:p>
        </w:tc>
        <w:tc>
          <w:tcPr>
            <w:tcW w:w="1335" w:type="dxa"/>
            <w:vAlign w:val="bottom"/>
          </w:tcPr>
          <w:p w14:paraId="4CCE54E1" w14:textId="361C1DDC" w:rsidR="00546FE0" w:rsidRPr="007C4A93" w:rsidRDefault="00546FE0" w:rsidP="00546FE0">
            <w:pPr>
              <w:pStyle w:val="Paragraph"/>
              <w:ind w:firstLine="0"/>
              <w:jc w:val="center"/>
            </w:pPr>
            <w:r w:rsidRPr="007C4A93">
              <w:t>Filler</w:t>
            </w:r>
          </w:p>
        </w:tc>
        <w:tc>
          <w:tcPr>
            <w:tcW w:w="933" w:type="dxa"/>
            <w:vAlign w:val="bottom"/>
          </w:tcPr>
          <w:p w14:paraId="72233E82" w14:textId="7F6E51F0" w:rsidR="00546FE0" w:rsidRPr="007C4A93" w:rsidRDefault="00546FE0" w:rsidP="00546FE0">
            <w:pPr>
              <w:pStyle w:val="Paragraph"/>
              <w:ind w:firstLine="0"/>
              <w:jc w:val="center"/>
            </w:pPr>
            <w:r w:rsidRPr="007C4A93">
              <w:t>X</w:t>
            </w:r>
          </w:p>
        </w:tc>
        <w:tc>
          <w:tcPr>
            <w:tcW w:w="992" w:type="dxa"/>
            <w:vAlign w:val="bottom"/>
          </w:tcPr>
          <w:p w14:paraId="4D21F4B1" w14:textId="4AF33704" w:rsidR="00546FE0" w:rsidRPr="007C4A93" w:rsidRDefault="00546FE0" w:rsidP="00546FE0">
            <w:pPr>
              <w:pStyle w:val="Paragraph"/>
              <w:ind w:firstLine="0"/>
              <w:jc w:val="center"/>
            </w:pPr>
            <w:r w:rsidRPr="007C4A93">
              <w:t>X</w:t>
            </w:r>
          </w:p>
        </w:tc>
        <w:tc>
          <w:tcPr>
            <w:tcW w:w="993" w:type="dxa"/>
            <w:vAlign w:val="bottom"/>
          </w:tcPr>
          <w:p w14:paraId="2AB500B2" w14:textId="61EB4A68" w:rsidR="00546FE0" w:rsidRPr="007C4A93" w:rsidRDefault="00546FE0" w:rsidP="00546FE0">
            <w:pPr>
              <w:pStyle w:val="Paragraph"/>
              <w:ind w:firstLine="0"/>
              <w:jc w:val="center"/>
            </w:pPr>
            <w:r w:rsidRPr="007C4A93">
              <w:t>X</w:t>
            </w:r>
          </w:p>
        </w:tc>
        <w:tc>
          <w:tcPr>
            <w:tcW w:w="992" w:type="dxa"/>
            <w:vAlign w:val="bottom"/>
          </w:tcPr>
          <w:p w14:paraId="7CE870B2" w14:textId="7386C07D" w:rsidR="00546FE0" w:rsidRPr="007C4A93" w:rsidRDefault="00546FE0" w:rsidP="00546FE0">
            <w:pPr>
              <w:pStyle w:val="Paragraph"/>
              <w:ind w:firstLine="0"/>
              <w:jc w:val="center"/>
            </w:pPr>
            <w:r w:rsidRPr="007C4A93">
              <w:sym w:font="Wingdings" w:char="F0FC"/>
            </w:r>
          </w:p>
        </w:tc>
      </w:tr>
      <w:tr w:rsidR="001F1714" w:rsidRPr="007C4A93" w14:paraId="5EB849F1" w14:textId="77777777" w:rsidTr="00AA00D9">
        <w:trPr>
          <w:jc w:val="center"/>
        </w:trPr>
        <w:tc>
          <w:tcPr>
            <w:tcW w:w="704" w:type="dxa"/>
            <w:vAlign w:val="bottom"/>
          </w:tcPr>
          <w:p w14:paraId="365C7E66" w14:textId="60193DE9" w:rsidR="00546FE0" w:rsidRPr="007C4A93" w:rsidRDefault="00546FE0" w:rsidP="00546FE0">
            <w:pPr>
              <w:pStyle w:val="Paragraph"/>
              <w:ind w:firstLine="0"/>
              <w:jc w:val="center"/>
            </w:pPr>
            <w:r w:rsidRPr="007C4A93">
              <w:t>3</w:t>
            </w:r>
          </w:p>
        </w:tc>
        <w:tc>
          <w:tcPr>
            <w:tcW w:w="1335" w:type="dxa"/>
            <w:vAlign w:val="bottom"/>
          </w:tcPr>
          <w:p w14:paraId="3599FDC7" w14:textId="6FB2543E" w:rsidR="00546FE0" w:rsidRPr="007C4A93" w:rsidRDefault="00546FE0" w:rsidP="00546FE0">
            <w:pPr>
              <w:pStyle w:val="Paragraph"/>
              <w:ind w:firstLine="0"/>
              <w:jc w:val="center"/>
            </w:pPr>
            <w:r w:rsidRPr="007C4A93">
              <w:t>NPK</w:t>
            </w:r>
          </w:p>
        </w:tc>
        <w:tc>
          <w:tcPr>
            <w:tcW w:w="933" w:type="dxa"/>
          </w:tcPr>
          <w:p w14:paraId="1569E2C1" w14:textId="2CE37A22" w:rsidR="00546FE0" w:rsidRPr="007C4A93" w:rsidRDefault="00546FE0" w:rsidP="00546FE0">
            <w:pPr>
              <w:pStyle w:val="Paragraph"/>
              <w:ind w:firstLine="0"/>
              <w:jc w:val="center"/>
            </w:pPr>
            <w:r w:rsidRPr="007C4A93">
              <w:sym w:font="Wingdings" w:char="F0FC"/>
            </w:r>
          </w:p>
        </w:tc>
        <w:tc>
          <w:tcPr>
            <w:tcW w:w="992" w:type="dxa"/>
          </w:tcPr>
          <w:p w14:paraId="1A2CB578" w14:textId="191A28E4" w:rsidR="00546FE0" w:rsidRPr="007C4A93" w:rsidRDefault="00546FE0" w:rsidP="00546FE0">
            <w:pPr>
              <w:pStyle w:val="Paragraph"/>
              <w:ind w:firstLine="0"/>
              <w:jc w:val="center"/>
            </w:pPr>
            <w:r w:rsidRPr="007C4A93">
              <w:sym w:font="Wingdings" w:char="F0FC"/>
            </w:r>
          </w:p>
        </w:tc>
        <w:tc>
          <w:tcPr>
            <w:tcW w:w="993" w:type="dxa"/>
          </w:tcPr>
          <w:p w14:paraId="403A8EA4" w14:textId="1B9F8002" w:rsidR="00546FE0" w:rsidRPr="007C4A93" w:rsidRDefault="00546FE0" w:rsidP="00546FE0">
            <w:pPr>
              <w:pStyle w:val="Paragraph"/>
              <w:ind w:firstLine="0"/>
              <w:jc w:val="center"/>
            </w:pPr>
            <w:r w:rsidRPr="007C4A93">
              <w:sym w:font="Wingdings" w:char="F0FC"/>
            </w:r>
          </w:p>
        </w:tc>
        <w:tc>
          <w:tcPr>
            <w:tcW w:w="992" w:type="dxa"/>
            <w:vAlign w:val="bottom"/>
          </w:tcPr>
          <w:p w14:paraId="217EFF73" w14:textId="0A7B6EB3" w:rsidR="00546FE0" w:rsidRPr="007C4A93" w:rsidRDefault="00546FE0" w:rsidP="00546FE0">
            <w:pPr>
              <w:pStyle w:val="Paragraph"/>
              <w:ind w:firstLine="0"/>
              <w:jc w:val="center"/>
            </w:pPr>
            <w:r w:rsidRPr="007C4A93">
              <w:t>X</w:t>
            </w:r>
          </w:p>
        </w:tc>
      </w:tr>
      <w:tr w:rsidR="001F1714" w:rsidRPr="007C4A93" w14:paraId="1C677D01" w14:textId="77777777" w:rsidTr="00AA00D9">
        <w:trPr>
          <w:jc w:val="center"/>
        </w:trPr>
        <w:tc>
          <w:tcPr>
            <w:tcW w:w="704" w:type="dxa"/>
            <w:vAlign w:val="bottom"/>
          </w:tcPr>
          <w:p w14:paraId="5EF98F7F" w14:textId="4369023D" w:rsidR="00546FE0" w:rsidRPr="007C4A93" w:rsidRDefault="00546FE0" w:rsidP="00546FE0">
            <w:pPr>
              <w:pStyle w:val="Paragraph"/>
              <w:ind w:firstLine="0"/>
              <w:jc w:val="center"/>
            </w:pPr>
            <w:r w:rsidRPr="007C4A93">
              <w:t>4</w:t>
            </w:r>
          </w:p>
        </w:tc>
        <w:tc>
          <w:tcPr>
            <w:tcW w:w="1335" w:type="dxa"/>
            <w:vAlign w:val="bottom"/>
          </w:tcPr>
          <w:p w14:paraId="58F03DD5" w14:textId="2756B627" w:rsidR="00546FE0" w:rsidRPr="007C4A93" w:rsidRDefault="00546FE0" w:rsidP="00546FE0">
            <w:pPr>
              <w:pStyle w:val="Paragraph"/>
              <w:ind w:firstLine="0"/>
              <w:jc w:val="center"/>
            </w:pPr>
            <w:r w:rsidRPr="007C4A93">
              <w:t xml:space="preserve">NPK Sub </w:t>
            </w:r>
          </w:p>
        </w:tc>
        <w:tc>
          <w:tcPr>
            <w:tcW w:w="933" w:type="dxa"/>
            <w:vAlign w:val="bottom"/>
          </w:tcPr>
          <w:p w14:paraId="2702D906" w14:textId="50BF7780" w:rsidR="00546FE0" w:rsidRPr="007C4A93" w:rsidRDefault="00546FE0" w:rsidP="00546FE0">
            <w:pPr>
              <w:pStyle w:val="Paragraph"/>
              <w:ind w:firstLine="0"/>
              <w:jc w:val="center"/>
            </w:pPr>
            <w:r w:rsidRPr="007C4A93">
              <w:t>X</w:t>
            </w:r>
          </w:p>
        </w:tc>
        <w:tc>
          <w:tcPr>
            <w:tcW w:w="992" w:type="dxa"/>
            <w:vAlign w:val="bottom"/>
          </w:tcPr>
          <w:p w14:paraId="334C8582" w14:textId="5C584D3A" w:rsidR="00546FE0" w:rsidRPr="007C4A93" w:rsidRDefault="00546FE0" w:rsidP="00546FE0">
            <w:pPr>
              <w:pStyle w:val="Paragraph"/>
              <w:ind w:firstLine="0"/>
              <w:jc w:val="center"/>
            </w:pPr>
            <w:r w:rsidRPr="007C4A93">
              <w:t>X</w:t>
            </w:r>
          </w:p>
        </w:tc>
        <w:tc>
          <w:tcPr>
            <w:tcW w:w="993" w:type="dxa"/>
          </w:tcPr>
          <w:p w14:paraId="19AAAD43" w14:textId="4DC0A0AC" w:rsidR="00546FE0" w:rsidRPr="007C4A93" w:rsidRDefault="00546FE0" w:rsidP="00546FE0">
            <w:pPr>
              <w:pStyle w:val="Paragraph"/>
              <w:ind w:firstLine="0"/>
              <w:jc w:val="center"/>
            </w:pPr>
            <w:r w:rsidRPr="007C4A93">
              <w:sym w:font="Wingdings" w:char="F0FC"/>
            </w:r>
          </w:p>
        </w:tc>
        <w:tc>
          <w:tcPr>
            <w:tcW w:w="992" w:type="dxa"/>
          </w:tcPr>
          <w:p w14:paraId="43C59F6F" w14:textId="71E0C5F1" w:rsidR="00546FE0" w:rsidRPr="007C4A93" w:rsidRDefault="00546FE0" w:rsidP="00546FE0">
            <w:pPr>
              <w:pStyle w:val="Paragraph"/>
              <w:ind w:firstLine="0"/>
              <w:jc w:val="center"/>
            </w:pPr>
            <w:r w:rsidRPr="007C4A93">
              <w:sym w:font="Wingdings" w:char="F0FC"/>
            </w:r>
          </w:p>
        </w:tc>
      </w:tr>
      <w:tr w:rsidR="001F1714" w:rsidRPr="007C4A93" w14:paraId="53380DB2" w14:textId="77777777" w:rsidTr="00AA00D9">
        <w:trPr>
          <w:jc w:val="center"/>
        </w:trPr>
        <w:tc>
          <w:tcPr>
            <w:tcW w:w="704" w:type="dxa"/>
            <w:vAlign w:val="bottom"/>
          </w:tcPr>
          <w:p w14:paraId="493345C3" w14:textId="2E87BBE6" w:rsidR="00546FE0" w:rsidRPr="007C4A93" w:rsidRDefault="00546FE0" w:rsidP="00546FE0">
            <w:pPr>
              <w:pStyle w:val="Paragraph"/>
              <w:ind w:firstLine="0"/>
              <w:jc w:val="center"/>
            </w:pPr>
            <w:r w:rsidRPr="007C4A93">
              <w:t>5</w:t>
            </w:r>
          </w:p>
        </w:tc>
        <w:tc>
          <w:tcPr>
            <w:tcW w:w="1335" w:type="dxa"/>
            <w:vAlign w:val="bottom"/>
          </w:tcPr>
          <w:p w14:paraId="546DA9F2" w14:textId="4496B1BC" w:rsidR="00546FE0" w:rsidRPr="007C4A93" w:rsidRDefault="00546FE0" w:rsidP="00546FE0">
            <w:pPr>
              <w:pStyle w:val="Paragraph"/>
              <w:ind w:firstLine="0"/>
              <w:jc w:val="center"/>
            </w:pPr>
            <w:r w:rsidRPr="007C4A93">
              <w:t>Urea</w:t>
            </w:r>
          </w:p>
        </w:tc>
        <w:tc>
          <w:tcPr>
            <w:tcW w:w="933" w:type="dxa"/>
            <w:vAlign w:val="bottom"/>
          </w:tcPr>
          <w:p w14:paraId="4F081EBC" w14:textId="4297A135" w:rsidR="00546FE0" w:rsidRPr="007C4A93" w:rsidRDefault="00546FE0" w:rsidP="00546FE0">
            <w:pPr>
              <w:pStyle w:val="Paragraph"/>
              <w:ind w:firstLine="0"/>
              <w:jc w:val="center"/>
            </w:pPr>
            <w:r w:rsidRPr="007C4A93">
              <w:t>X</w:t>
            </w:r>
          </w:p>
        </w:tc>
        <w:tc>
          <w:tcPr>
            <w:tcW w:w="992" w:type="dxa"/>
            <w:vAlign w:val="bottom"/>
          </w:tcPr>
          <w:p w14:paraId="058FE46C" w14:textId="4E1040C0" w:rsidR="00546FE0" w:rsidRPr="007C4A93" w:rsidRDefault="00546FE0" w:rsidP="00546FE0">
            <w:pPr>
              <w:pStyle w:val="Paragraph"/>
              <w:ind w:firstLine="0"/>
              <w:jc w:val="center"/>
            </w:pPr>
            <w:r w:rsidRPr="007C4A93">
              <w:t>X</w:t>
            </w:r>
          </w:p>
        </w:tc>
        <w:tc>
          <w:tcPr>
            <w:tcW w:w="993" w:type="dxa"/>
            <w:vAlign w:val="bottom"/>
          </w:tcPr>
          <w:p w14:paraId="7C3AB9B4" w14:textId="6090DF10" w:rsidR="00546FE0" w:rsidRPr="007C4A93" w:rsidRDefault="00546FE0" w:rsidP="00546FE0">
            <w:pPr>
              <w:pStyle w:val="Paragraph"/>
              <w:ind w:firstLine="0"/>
              <w:jc w:val="center"/>
            </w:pPr>
            <w:r w:rsidRPr="007C4A93">
              <w:t>X</w:t>
            </w:r>
          </w:p>
        </w:tc>
        <w:tc>
          <w:tcPr>
            <w:tcW w:w="992" w:type="dxa"/>
            <w:vAlign w:val="bottom"/>
          </w:tcPr>
          <w:p w14:paraId="73F3309D" w14:textId="61783A06" w:rsidR="00546FE0" w:rsidRPr="007C4A93" w:rsidRDefault="00546FE0" w:rsidP="00546FE0">
            <w:pPr>
              <w:pStyle w:val="Paragraph"/>
              <w:ind w:firstLine="0"/>
              <w:jc w:val="center"/>
            </w:pPr>
            <w:r w:rsidRPr="007C4A93">
              <w:sym w:font="Wingdings" w:char="F0FC"/>
            </w:r>
          </w:p>
        </w:tc>
      </w:tr>
      <w:tr w:rsidR="001F1714" w:rsidRPr="007C4A93" w14:paraId="6BA16A8C" w14:textId="77777777" w:rsidTr="00AA00D9">
        <w:trPr>
          <w:jc w:val="center"/>
        </w:trPr>
        <w:tc>
          <w:tcPr>
            <w:tcW w:w="704" w:type="dxa"/>
            <w:vAlign w:val="bottom"/>
          </w:tcPr>
          <w:p w14:paraId="711F4546" w14:textId="284022F3" w:rsidR="00546FE0" w:rsidRPr="007C4A93" w:rsidRDefault="00546FE0" w:rsidP="00546FE0">
            <w:pPr>
              <w:pStyle w:val="Paragraph"/>
              <w:ind w:firstLine="0"/>
              <w:jc w:val="center"/>
            </w:pPr>
            <w:r w:rsidRPr="007C4A93">
              <w:t>6</w:t>
            </w:r>
          </w:p>
        </w:tc>
        <w:tc>
          <w:tcPr>
            <w:tcW w:w="1335" w:type="dxa"/>
            <w:vAlign w:val="bottom"/>
          </w:tcPr>
          <w:p w14:paraId="1EBAA5F1" w14:textId="642D62A5" w:rsidR="00546FE0" w:rsidRPr="007C4A93" w:rsidRDefault="00546FE0" w:rsidP="00546FE0">
            <w:pPr>
              <w:pStyle w:val="Paragraph"/>
              <w:ind w:firstLine="0"/>
              <w:jc w:val="center"/>
            </w:pPr>
            <w:r w:rsidRPr="007C4A93">
              <w:t>Urea Sub</w:t>
            </w:r>
          </w:p>
        </w:tc>
        <w:tc>
          <w:tcPr>
            <w:tcW w:w="933" w:type="dxa"/>
            <w:vAlign w:val="bottom"/>
          </w:tcPr>
          <w:p w14:paraId="57B18890" w14:textId="2E0E6022" w:rsidR="00546FE0" w:rsidRPr="007C4A93" w:rsidRDefault="00546FE0" w:rsidP="00546FE0">
            <w:pPr>
              <w:pStyle w:val="Paragraph"/>
              <w:ind w:firstLine="0"/>
              <w:jc w:val="center"/>
            </w:pPr>
            <w:r w:rsidRPr="007C4A93">
              <w:t>X</w:t>
            </w:r>
          </w:p>
        </w:tc>
        <w:tc>
          <w:tcPr>
            <w:tcW w:w="992" w:type="dxa"/>
            <w:vAlign w:val="bottom"/>
          </w:tcPr>
          <w:p w14:paraId="50D0D926" w14:textId="5D62B032" w:rsidR="00546FE0" w:rsidRPr="007C4A93" w:rsidRDefault="00546FE0" w:rsidP="00546FE0">
            <w:pPr>
              <w:pStyle w:val="Paragraph"/>
              <w:ind w:firstLine="0"/>
              <w:jc w:val="center"/>
            </w:pPr>
            <w:r w:rsidRPr="007C4A93">
              <w:t>X</w:t>
            </w:r>
          </w:p>
        </w:tc>
        <w:tc>
          <w:tcPr>
            <w:tcW w:w="993" w:type="dxa"/>
            <w:vAlign w:val="bottom"/>
          </w:tcPr>
          <w:p w14:paraId="772762AA" w14:textId="30CA566F" w:rsidR="00546FE0" w:rsidRPr="007C4A93" w:rsidRDefault="00546FE0" w:rsidP="00546FE0">
            <w:pPr>
              <w:pStyle w:val="Paragraph"/>
              <w:ind w:firstLine="0"/>
              <w:jc w:val="center"/>
            </w:pPr>
            <w:r w:rsidRPr="007C4A93">
              <w:t>X</w:t>
            </w:r>
          </w:p>
        </w:tc>
        <w:tc>
          <w:tcPr>
            <w:tcW w:w="992" w:type="dxa"/>
            <w:vAlign w:val="bottom"/>
          </w:tcPr>
          <w:p w14:paraId="3D01081F" w14:textId="36D0D39E" w:rsidR="00546FE0" w:rsidRPr="007C4A93" w:rsidRDefault="00546FE0" w:rsidP="00546FE0">
            <w:pPr>
              <w:pStyle w:val="Paragraph"/>
              <w:ind w:firstLine="0"/>
              <w:jc w:val="center"/>
            </w:pPr>
            <w:r w:rsidRPr="007C4A93">
              <w:sym w:font="Wingdings" w:char="F0FC"/>
            </w:r>
          </w:p>
        </w:tc>
      </w:tr>
      <w:tr w:rsidR="001F1714" w:rsidRPr="007C4A93" w14:paraId="3897C0E4" w14:textId="77777777" w:rsidTr="00AA00D9">
        <w:trPr>
          <w:jc w:val="center"/>
        </w:trPr>
        <w:tc>
          <w:tcPr>
            <w:tcW w:w="704" w:type="dxa"/>
            <w:vAlign w:val="bottom"/>
          </w:tcPr>
          <w:p w14:paraId="2A815C2B" w14:textId="3F898730" w:rsidR="00546FE0" w:rsidRPr="007C4A93" w:rsidRDefault="00546FE0" w:rsidP="00546FE0">
            <w:pPr>
              <w:pStyle w:val="Paragraph"/>
              <w:ind w:firstLine="0"/>
              <w:jc w:val="center"/>
            </w:pPr>
            <w:r w:rsidRPr="007C4A93">
              <w:t>7</w:t>
            </w:r>
          </w:p>
        </w:tc>
        <w:tc>
          <w:tcPr>
            <w:tcW w:w="1335" w:type="dxa"/>
            <w:vAlign w:val="bottom"/>
          </w:tcPr>
          <w:p w14:paraId="431DCD5A" w14:textId="3C2E3C9E" w:rsidR="00546FE0" w:rsidRPr="007C4A93" w:rsidRDefault="00546FE0" w:rsidP="00546FE0">
            <w:pPr>
              <w:pStyle w:val="Paragraph"/>
              <w:ind w:firstLine="0"/>
              <w:jc w:val="center"/>
            </w:pPr>
            <w:r w:rsidRPr="007C4A93">
              <w:t>NPS</w:t>
            </w:r>
          </w:p>
        </w:tc>
        <w:tc>
          <w:tcPr>
            <w:tcW w:w="933" w:type="dxa"/>
            <w:vAlign w:val="bottom"/>
          </w:tcPr>
          <w:p w14:paraId="3FB9B942" w14:textId="788AB664" w:rsidR="00546FE0" w:rsidRPr="007C4A93" w:rsidRDefault="00546FE0" w:rsidP="00546FE0">
            <w:pPr>
              <w:pStyle w:val="Paragraph"/>
              <w:ind w:firstLine="0"/>
              <w:jc w:val="center"/>
            </w:pPr>
            <w:r w:rsidRPr="007C4A93">
              <w:t>X</w:t>
            </w:r>
          </w:p>
        </w:tc>
        <w:tc>
          <w:tcPr>
            <w:tcW w:w="992" w:type="dxa"/>
            <w:vAlign w:val="bottom"/>
          </w:tcPr>
          <w:p w14:paraId="5304F86F" w14:textId="7C840373" w:rsidR="00546FE0" w:rsidRPr="007C4A93" w:rsidRDefault="00546FE0" w:rsidP="00546FE0">
            <w:pPr>
              <w:pStyle w:val="Paragraph"/>
              <w:ind w:firstLine="0"/>
              <w:jc w:val="center"/>
            </w:pPr>
            <w:r w:rsidRPr="007C4A93">
              <w:t>X</w:t>
            </w:r>
          </w:p>
        </w:tc>
        <w:tc>
          <w:tcPr>
            <w:tcW w:w="993" w:type="dxa"/>
            <w:vAlign w:val="bottom"/>
          </w:tcPr>
          <w:p w14:paraId="00BBA3E7" w14:textId="3BB2F79E" w:rsidR="00546FE0" w:rsidRPr="007C4A93" w:rsidRDefault="00546FE0" w:rsidP="00546FE0">
            <w:pPr>
              <w:pStyle w:val="Paragraph"/>
              <w:ind w:firstLine="0"/>
              <w:jc w:val="center"/>
            </w:pPr>
            <w:r w:rsidRPr="007C4A93">
              <w:sym w:font="Wingdings" w:char="F0FC"/>
            </w:r>
          </w:p>
        </w:tc>
        <w:tc>
          <w:tcPr>
            <w:tcW w:w="992" w:type="dxa"/>
            <w:vAlign w:val="bottom"/>
          </w:tcPr>
          <w:p w14:paraId="398B85C6" w14:textId="6F854CFC" w:rsidR="00546FE0" w:rsidRPr="007C4A93" w:rsidRDefault="00546FE0" w:rsidP="00546FE0">
            <w:pPr>
              <w:pStyle w:val="Paragraph"/>
              <w:ind w:firstLine="0"/>
              <w:jc w:val="center"/>
            </w:pPr>
            <w:r w:rsidRPr="007C4A93">
              <w:t>X</w:t>
            </w:r>
          </w:p>
        </w:tc>
      </w:tr>
      <w:tr w:rsidR="001F1714" w:rsidRPr="007C4A93" w14:paraId="02F2E112" w14:textId="77777777" w:rsidTr="00AA00D9">
        <w:trPr>
          <w:jc w:val="center"/>
        </w:trPr>
        <w:tc>
          <w:tcPr>
            <w:tcW w:w="704" w:type="dxa"/>
            <w:vAlign w:val="bottom"/>
          </w:tcPr>
          <w:p w14:paraId="30CFC677" w14:textId="60E6E423" w:rsidR="00546FE0" w:rsidRPr="007C4A93" w:rsidRDefault="00546FE0" w:rsidP="00546FE0">
            <w:pPr>
              <w:pStyle w:val="Paragraph"/>
              <w:ind w:firstLine="0"/>
              <w:jc w:val="center"/>
            </w:pPr>
            <w:r w:rsidRPr="007C4A93">
              <w:t>8</w:t>
            </w:r>
          </w:p>
        </w:tc>
        <w:tc>
          <w:tcPr>
            <w:tcW w:w="1335" w:type="dxa"/>
            <w:vAlign w:val="bottom"/>
          </w:tcPr>
          <w:p w14:paraId="02078E84" w14:textId="54D849B8" w:rsidR="00546FE0" w:rsidRPr="007C4A93" w:rsidRDefault="00546FE0" w:rsidP="00546FE0">
            <w:pPr>
              <w:pStyle w:val="Paragraph"/>
              <w:ind w:firstLine="0"/>
              <w:jc w:val="center"/>
            </w:pPr>
            <w:r w:rsidRPr="007C4A93">
              <w:t xml:space="preserve">Organic </w:t>
            </w:r>
          </w:p>
        </w:tc>
        <w:tc>
          <w:tcPr>
            <w:tcW w:w="933" w:type="dxa"/>
            <w:vAlign w:val="bottom"/>
          </w:tcPr>
          <w:p w14:paraId="2DFDA2B1" w14:textId="5B285CCD" w:rsidR="00546FE0" w:rsidRPr="007C4A93" w:rsidRDefault="00546FE0" w:rsidP="00546FE0">
            <w:pPr>
              <w:pStyle w:val="Paragraph"/>
              <w:ind w:firstLine="0"/>
              <w:jc w:val="center"/>
            </w:pPr>
            <w:r w:rsidRPr="007C4A93">
              <w:sym w:font="Wingdings" w:char="F0FC"/>
            </w:r>
          </w:p>
        </w:tc>
        <w:tc>
          <w:tcPr>
            <w:tcW w:w="992" w:type="dxa"/>
            <w:vAlign w:val="bottom"/>
          </w:tcPr>
          <w:p w14:paraId="76572382" w14:textId="67E74346" w:rsidR="00546FE0" w:rsidRPr="007C4A93" w:rsidRDefault="00546FE0" w:rsidP="00546FE0">
            <w:pPr>
              <w:pStyle w:val="Paragraph"/>
              <w:ind w:firstLine="0"/>
              <w:jc w:val="center"/>
            </w:pPr>
            <w:r w:rsidRPr="007C4A93">
              <w:t>X</w:t>
            </w:r>
          </w:p>
        </w:tc>
        <w:tc>
          <w:tcPr>
            <w:tcW w:w="993" w:type="dxa"/>
            <w:vAlign w:val="bottom"/>
          </w:tcPr>
          <w:p w14:paraId="07FA2FCF" w14:textId="2E0CCBA4" w:rsidR="00546FE0" w:rsidRPr="007C4A93" w:rsidRDefault="00546FE0" w:rsidP="00546FE0">
            <w:pPr>
              <w:pStyle w:val="Paragraph"/>
              <w:ind w:firstLine="0"/>
              <w:jc w:val="center"/>
            </w:pPr>
            <w:r w:rsidRPr="007C4A93">
              <w:t>X</w:t>
            </w:r>
          </w:p>
        </w:tc>
        <w:tc>
          <w:tcPr>
            <w:tcW w:w="992" w:type="dxa"/>
            <w:vAlign w:val="bottom"/>
          </w:tcPr>
          <w:p w14:paraId="2408DC29" w14:textId="3BED2C0B" w:rsidR="00546FE0" w:rsidRPr="007C4A93" w:rsidRDefault="00546FE0" w:rsidP="00546FE0">
            <w:pPr>
              <w:pStyle w:val="Paragraph"/>
              <w:ind w:firstLine="0"/>
              <w:jc w:val="center"/>
            </w:pPr>
            <w:r w:rsidRPr="007C4A93">
              <w:t>X</w:t>
            </w:r>
          </w:p>
        </w:tc>
      </w:tr>
      <w:tr w:rsidR="001F1714" w:rsidRPr="007C4A93" w14:paraId="07000EEF" w14:textId="77777777" w:rsidTr="00AA00D9">
        <w:trPr>
          <w:jc w:val="center"/>
        </w:trPr>
        <w:tc>
          <w:tcPr>
            <w:tcW w:w="704" w:type="dxa"/>
            <w:vAlign w:val="bottom"/>
          </w:tcPr>
          <w:p w14:paraId="3AB130A7" w14:textId="14CB0848" w:rsidR="00546FE0" w:rsidRPr="007C4A93" w:rsidRDefault="00546FE0" w:rsidP="00546FE0">
            <w:pPr>
              <w:pStyle w:val="Paragraph"/>
              <w:ind w:firstLine="0"/>
              <w:jc w:val="center"/>
            </w:pPr>
            <w:r w:rsidRPr="007C4A93">
              <w:t>9</w:t>
            </w:r>
          </w:p>
        </w:tc>
        <w:tc>
          <w:tcPr>
            <w:tcW w:w="1335" w:type="dxa"/>
            <w:vAlign w:val="bottom"/>
          </w:tcPr>
          <w:p w14:paraId="64414E08" w14:textId="08910D43" w:rsidR="00546FE0" w:rsidRPr="007C4A93" w:rsidRDefault="00546FE0" w:rsidP="00546FE0">
            <w:pPr>
              <w:pStyle w:val="Paragraph"/>
              <w:ind w:firstLine="0"/>
              <w:jc w:val="center"/>
            </w:pPr>
            <w:r w:rsidRPr="007C4A93">
              <w:t>Organic Sub</w:t>
            </w:r>
          </w:p>
        </w:tc>
        <w:tc>
          <w:tcPr>
            <w:tcW w:w="933" w:type="dxa"/>
            <w:vAlign w:val="bottom"/>
          </w:tcPr>
          <w:p w14:paraId="3AA44A97" w14:textId="748B50DA" w:rsidR="00546FE0" w:rsidRPr="007C4A93" w:rsidRDefault="00546FE0" w:rsidP="00546FE0">
            <w:pPr>
              <w:pStyle w:val="Paragraph"/>
              <w:ind w:firstLine="0"/>
              <w:jc w:val="center"/>
            </w:pPr>
            <w:r w:rsidRPr="007C4A93">
              <w:sym w:font="Wingdings" w:char="F0FC"/>
            </w:r>
          </w:p>
        </w:tc>
        <w:tc>
          <w:tcPr>
            <w:tcW w:w="992" w:type="dxa"/>
            <w:vAlign w:val="bottom"/>
          </w:tcPr>
          <w:p w14:paraId="4BCE5E1E" w14:textId="14BF7731" w:rsidR="00546FE0" w:rsidRPr="007C4A93" w:rsidRDefault="00546FE0" w:rsidP="00546FE0">
            <w:pPr>
              <w:pStyle w:val="Paragraph"/>
              <w:ind w:firstLine="0"/>
              <w:jc w:val="center"/>
            </w:pPr>
            <w:r w:rsidRPr="007C4A93">
              <w:t>X</w:t>
            </w:r>
          </w:p>
        </w:tc>
        <w:tc>
          <w:tcPr>
            <w:tcW w:w="993" w:type="dxa"/>
            <w:vAlign w:val="bottom"/>
          </w:tcPr>
          <w:p w14:paraId="46FD87E1" w14:textId="104C5A6F" w:rsidR="00546FE0" w:rsidRPr="007C4A93" w:rsidRDefault="00546FE0" w:rsidP="00546FE0">
            <w:pPr>
              <w:pStyle w:val="Paragraph"/>
              <w:ind w:firstLine="0"/>
              <w:jc w:val="center"/>
            </w:pPr>
            <w:r w:rsidRPr="007C4A93">
              <w:t>X</w:t>
            </w:r>
          </w:p>
        </w:tc>
        <w:tc>
          <w:tcPr>
            <w:tcW w:w="992" w:type="dxa"/>
            <w:vAlign w:val="bottom"/>
          </w:tcPr>
          <w:p w14:paraId="07529A8F" w14:textId="5C3620AD" w:rsidR="00546FE0" w:rsidRPr="007C4A93" w:rsidRDefault="00546FE0" w:rsidP="00546FE0">
            <w:pPr>
              <w:pStyle w:val="Paragraph"/>
              <w:ind w:firstLine="0"/>
              <w:jc w:val="center"/>
            </w:pPr>
            <w:r w:rsidRPr="007C4A93">
              <w:t>X</w:t>
            </w:r>
          </w:p>
        </w:tc>
      </w:tr>
      <w:tr w:rsidR="00546FE0" w:rsidRPr="007C4A93" w14:paraId="056174A0" w14:textId="77777777" w:rsidTr="00AA00D9">
        <w:trPr>
          <w:jc w:val="center"/>
        </w:trPr>
        <w:tc>
          <w:tcPr>
            <w:tcW w:w="704" w:type="dxa"/>
            <w:vAlign w:val="bottom"/>
          </w:tcPr>
          <w:p w14:paraId="28499608" w14:textId="1F8429EA" w:rsidR="00546FE0" w:rsidRPr="007C4A93" w:rsidRDefault="00546FE0" w:rsidP="00546FE0">
            <w:pPr>
              <w:pStyle w:val="Paragraph"/>
              <w:ind w:firstLine="0"/>
              <w:jc w:val="center"/>
            </w:pPr>
            <w:r w:rsidRPr="007C4A93">
              <w:t>10</w:t>
            </w:r>
          </w:p>
        </w:tc>
        <w:tc>
          <w:tcPr>
            <w:tcW w:w="1335" w:type="dxa"/>
            <w:vAlign w:val="bottom"/>
          </w:tcPr>
          <w:p w14:paraId="28F2DC81" w14:textId="5BAC6EAA" w:rsidR="00546FE0" w:rsidRPr="007C4A93" w:rsidRDefault="00546FE0" w:rsidP="00546FE0">
            <w:pPr>
              <w:pStyle w:val="Paragraph"/>
              <w:ind w:firstLine="0"/>
              <w:jc w:val="center"/>
            </w:pPr>
            <w:r w:rsidRPr="007C4A93">
              <w:t>Nitr</w:t>
            </w:r>
            <w:r w:rsidR="002E2E7C" w:rsidRPr="007C4A93">
              <w:t>ate</w:t>
            </w:r>
          </w:p>
        </w:tc>
        <w:tc>
          <w:tcPr>
            <w:tcW w:w="933" w:type="dxa"/>
            <w:vAlign w:val="bottom"/>
          </w:tcPr>
          <w:p w14:paraId="2A0D7505" w14:textId="2ACB3222" w:rsidR="00546FE0" w:rsidRPr="007C4A93" w:rsidRDefault="002E2E7C" w:rsidP="00546FE0">
            <w:pPr>
              <w:pStyle w:val="Paragraph"/>
              <w:ind w:firstLine="0"/>
              <w:jc w:val="center"/>
            </w:pPr>
            <w:r w:rsidRPr="007C4A93">
              <w:t>X</w:t>
            </w:r>
          </w:p>
        </w:tc>
        <w:tc>
          <w:tcPr>
            <w:tcW w:w="992" w:type="dxa"/>
            <w:vAlign w:val="bottom"/>
          </w:tcPr>
          <w:p w14:paraId="614EF890" w14:textId="2A428DED" w:rsidR="00546FE0" w:rsidRPr="007C4A93" w:rsidRDefault="00546FE0" w:rsidP="00546FE0">
            <w:pPr>
              <w:pStyle w:val="Paragraph"/>
              <w:ind w:firstLine="0"/>
              <w:jc w:val="center"/>
            </w:pPr>
            <w:r w:rsidRPr="007C4A93">
              <w:t>X</w:t>
            </w:r>
          </w:p>
        </w:tc>
        <w:tc>
          <w:tcPr>
            <w:tcW w:w="993" w:type="dxa"/>
            <w:vAlign w:val="bottom"/>
          </w:tcPr>
          <w:p w14:paraId="2DA28B8C" w14:textId="76475987" w:rsidR="00546FE0" w:rsidRPr="007C4A93" w:rsidRDefault="00546FE0" w:rsidP="00546FE0">
            <w:pPr>
              <w:pStyle w:val="Paragraph"/>
              <w:ind w:firstLine="0"/>
              <w:jc w:val="center"/>
            </w:pPr>
            <w:r w:rsidRPr="007C4A93">
              <w:t>X</w:t>
            </w:r>
          </w:p>
        </w:tc>
        <w:tc>
          <w:tcPr>
            <w:tcW w:w="992" w:type="dxa"/>
            <w:vAlign w:val="bottom"/>
          </w:tcPr>
          <w:p w14:paraId="4FD04E87" w14:textId="26CD3DDE" w:rsidR="00546FE0" w:rsidRPr="007C4A93" w:rsidRDefault="002E2E7C" w:rsidP="00546FE0">
            <w:pPr>
              <w:pStyle w:val="Paragraph"/>
              <w:ind w:firstLine="0"/>
              <w:jc w:val="center"/>
            </w:pPr>
            <w:r w:rsidRPr="007C4A93">
              <w:sym w:font="Wingdings" w:char="F0FC"/>
            </w:r>
          </w:p>
        </w:tc>
      </w:tr>
    </w:tbl>
    <w:p w14:paraId="4B7BACFF" w14:textId="77777777" w:rsidR="00546FE0" w:rsidRPr="001F1714" w:rsidRDefault="00546FE0" w:rsidP="00543607">
      <w:pPr>
        <w:pStyle w:val="Paragraph"/>
      </w:pPr>
    </w:p>
    <w:p w14:paraId="5B1A3C43" w14:textId="7C792552" w:rsidR="008247EC" w:rsidRPr="001F1714" w:rsidRDefault="00543607" w:rsidP="009A0666">
      <w:pPr>
        <w:pStyle w:val="Paragraph"/>
      </w:pPr>
      <w:r w:rsidRPr="001F1714">
        <w:t xml:space="preserve">Monthly inbound and outbound flows for each fertilizer type are presented in a color-coded bar graph </w:t>
      </w:r>
      <w:r w:rsidR="009A0666" w:rsidRPr="001F1714">
        <w:t xml:space="preserve">for 15 SKUs </w:t>
      </w:r>
      <w:r w:rsidRPr="001F1714">
        <w:t>(Fig</w:t>
      </w:r>
      <w:r w:rsidR="00326ACD" w:rsidRPr="001F1714">
        <w:t xml:space="preserve">. </w:t>
      </w:r>
      <w:r w:rsidR="0084237B" w:rsidRPr="001F1714">
        <w:t>3</w:t>
      </w:r>
      <w:r w:rsidRPr="001F1714">
        <w:t xml:space="preserve">), which visualizes stock movements over 12 months </w:t>
      </w:r>
      <w:r w:rsidR="00B9381C" w:rsidRPr="001F1714">
        <w:t xml:space="preserve">in 2024 </w:t>
      </w:r>
      <w:r w:rsidRPr="001F1714">
        <w:t>based on the number of units received and dispatched.</w:t>
      </w:r>
      <w:r w:rsidR="00460FCD" w:rsidRPr="001F1714">
        <w:t xml:space="preserve"> </w:t>
      </w:r>
    </w:p>
    <w:p w14:paraId="209E7FA9" w14:textId="77777777" w:rsidR="009A0666" w:rsidRPr="001F1714" w:rsidRDefault="009A0666" w:rsidP="009A0666">
      <w:pPr>
        <w:pStyle w:val="Paragraph"/>
        <w:keepNext/>
        <w:jc w:val="center"/>
      </w:pPr>
      <w:r w:rsidRPr="001F1714">
        <w:rPr>
          <w:noProof/>
        </w:rPr>
        <w:drawing>
          <wp:inline distT="0" distB="0" distL="0" distR="0" wp14:anchorId="547D6440" wp14:editId="77ADE050">
            <wp:extent cx="3816000" cy="1463171"/>
            <wp:effectExtent l="0" t="0" r="0" b="3810"/>
            <wp:docPr id="5560116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6000" cy="1463171"/>
                    </a:xfrm>
                    <a:prstGeom prst="rect">
                      <a:avLst/>
                    </a:prstGeom>
                    <a:noFill/>
                  </pic:spPr>
                </pic:pic>
              </a:graphicData>
            </a:graphic>
          </wp:inline>
        </w:drawing>
      </w:r>
    </w:p>
    <w:p w14:paraId="5F8F434F" w14:textId="3C49D444" w:rsidR="004D0F50" w:rsidRPr="001F1714" w:rsidRDefault="009A0666" w:rsidP="009A0666">
      <w:pPr>
        <w:pStyle w:val="Caption"/>
        <w:jc w:val="center"/>
        <w:rPr>
          <w:i w:val="0"/>
          <w:iCs w:val="0"/>
          <w:color w:val="auto"/>
        </w:rPr>
      </w:pPr>
      <w:r w:rsidRPr="001F1714">
        <w:rPr>
          <w:b/>
          <w:bCs/>
          <w:i w:val="0"/>
          <w:iCs w:val="0"/>
          <w:color w:val="auto"/>
        </w:rPr>
        <w:t xml:space="preserve">FIGURE </w:t>
      </w:r>
      <w:r w:rsidRPr="001F1714">
        <w:rPr>
          <w:b/>
          <w:bCs/>
          <w:i w:val="0"/>
          <w:iCs w:val="0"/>
          <w:color w:val="auto"/>
        </w:rPr>
        <w:fldChar w:fldCharType="begin"/>
      </w:r>
      <w:r w:rsidRPr="001F1714">
        <w:rPr>
          <w:b/>
          <w:bCs/>
          <w:i w:val="0"/>
          <w:iCs w:val="0"/>
          <w:color w:val="auto"/>
        </w:rPr>
        <w:instrText xml:space="preserve"> SEQ Figure \* ARABIC </w:instrText>
      </w:r>
      <w:r w:rsidRPr="001F1714">
        <w:rPr>
          <w:b/>
          <w:bCs/>
          <w:i w:val="0"/>
          <w:iCs w:val="0"/>
          <w:color w:val="auto"/>
        </w:rPr>
        <w:fldChar w:fldCharType="separate"/>
      </w:r>
      <w:r w:rsidR="003B6279">
        <w:rPr>
          <w:b/>
          <w:bCs/>
          <w:i w:val="0"/>
          <w:iCs w:val="0"/>
          <w:noProof/>
          <w:color w:val="auto"/>
        </w:rPr>
        <w:t>3</w:t>
      </w:r>
      <w:r w:rsidRPr="001F1714">
        <w:rPr>
          <w:b/>
          <w:bCs/>
          <w:i w:val="0"/>
          <w:iCs w:val="0"/>
          <w:color w:val="auto"/>
        </w:rPr>
        <w:fldChar w:fldCharType="end"/>
      </w:r>
      <w:r w:rsidRPr="001F1714">
        <w:rPr>
          <w:b/>
          <w:bCs/>
          <w:i w:val="0"/>
          <w:iCs w:val="0"/>
          <w:color w:val="auto"/>
        </w:rPr>
        <w:t>.</w:t>
      </w:r>
      <w:r w:rsidRPr="001F1714">
        <w:rPr>
          <w:i w:val="0"/>
          <w:iCs w:val="0"/>
          <w:color w:val="auto"/>
        </w:rPr>
        <w:t xml:space="preserve"> Stock Movement for Each SKU in 2024</w:t>
      </w:r>
    </w:p>
    <w:p w14:paraId="5B8D347F" w14:textId="651D3BE1" w:rsidR="00543607" w:rsidRPr="001F1714" w:rsidRDefault="00460FCD" w:rsidP="00460FCD">
      <w:pPr>
        <w:pStyle w:val="Paragraph"/>
      </w:pPr>
      <w:r w:rsidRPr="001F1714">
        <w:t xml:space="preserve">Based on </w:t>
      </w:r>
      <w:r w:rsidR="004D0F50" w:rsidRPr="001F1714">
        <w:t>the existing layout and stock movement,</w:t>
      </w:r>
      <w:r w:rsidRPr="001F1714">
        <w:t xml:space="preserve"> critical operational areas are poorly positioned; the semi-automatic MBU packaging machine is located far from both the raw material and dispatch zones, which disrupts the workflow and increases internal transport time. Additionally, storage is not organized by product movement. High-turnover items, such as ZA 50 and ZA 25, are placed far from access points, while slow-moving products occupy prime areas. These issues result in inefficient space utilization, extended travel distances, and increased handling times, underscoring the need for a more structured, flow-oriented layout.</w:t>
      </w:r>
    </w:p>
    <w:p w14:paraId="559A260B" w14:textId="30C67FFD" w:rsidR="00700310" w:rsidRPr="001F1714" w:rsidRDefault="00F07FF5" w:rsidP="00700310">
      <w:pPr>
        <w:pStyle w:val="Heading1"/>
        <w:rPr>
          <w:b w:val="0"/>
          <w:caps w:val="0"/>
          <w:sz w:val="20"/>
        </w:rPr>
      </w:pPr>
      <w:r w:rsidRPr="001F1714">
        <w:t xml:space="preserve">RESULTS AND DISCUSSIONS </w:t>
      </w:r>
    </w:p>
    <w:p w14:paraId="5DEE3DC8" w14:textId="31E7026C" w:rsidR="009E17F4" w:rsidRPr="001F1714" w:rsidRDefault="009E17F4" w:rsidP="009E17F4">
      <w:pPr>
        <w:pStyle w:val="Paragraph"/>
      </w:pPr>
      <w:r w:rsidRPr="001F1714">
        <w:t>The internal processing flow for ZA fertilizer involves a sequence of interrelated operations, beginning with the receipt of bulk ammonium sulfate, followed by the addition of coloring agents, manual levelling, semi-automated packaging, and culminating in palletizing before dispatch (Fig</w:t>
      </w:r>
      <w:r w:rsidR="00212530" w:rsidRPr="001F1714">
        <w:t>.</w:t>
      </w:r>
      <w:r w:rsidR="00E21161" w:rsidRPr="001F1714">
        <w:t xml:space="preserve"> </w:t>
      </w:r>
      <w:r w:rsidR="00326ACD" w:rsidRPr="001F1714">
        <w:t>5</w:t>
      </w:r>
      <w:r w:rsidRPr="001F1714">
        <w:t xml:space="preserve">a). These activities require spatial and functional coordination to ensure process efficiency. To evaluate the spatial proximity needs among these operations, a Systematic Layout Planning (SLP) approach was applied. Using an activity relationship diagram and closeness rating matrix, interactions between warehouse zones were categorized into five proximity levels: “Absolutely Necessary” </w:t>
      </w:r>
      <w:r w:rsidRPr="001F1714">
        <w:lastRenderedPageBreak/>
        <w:t>(A, red), “Especially Important” (E, yellow), “Important” (I, green), “Ordinary” (O, blue), and “Unnecessary” (U, white). These classifications reflect and criticality of interactions between activity pairs within the warehouse.</w:t>
      </w:r>
    </w:p>
    <w:p w14:paraId="55882F9D" w14:textId="26E9E65E" w:rsidR="004F7758" w:rsidRPr="001F1714" w:rsidRDefault="00460FCD" w:rsidP="00D4395C">
      <w:pPr>
        <w:pStyle w:val="Paragraph"/>
      </w:pPr>
      <w:r w:rsidRPr="001F1714">
        <w:t xml:space="preserve">The </w:t>
      </w:r>
      <w:r w:rsidR="00212530" w:rsidRPr="001F1714">
        <w:t>Activity Relationship D</w:t>
      </w:r>
      <w:r w:rsidRPr="001F1714">
        <w:t xml:space="preserve">iagram </w:t>
      </w:r>
      <w:r w:rsidR="00212530" w:rsidRPr="001F1714">
        <w:t>(Fig.</w:t>
      </w:r>
      <w:r w:rsidR="00E21161" w:rsidRPr="001F1714">
        <w:t xml:space="preserve"> </w:t>
      </w:r>
      <w:r w:rsidR="00212530" w:rsidRPr="001F1714">
        <w:t xml:space="preserve">4b) </w:t>
      </w:r>
      <w:r w:rsidRPr="001F1714">
        <w:t>highlights that Bulk ZA Fertilizer Storage and the Color Mixing Machine share an “Absolutely Necessary” (A) relationship, requiring close placement due to direct material flow. The same applies to the link between Color Mixing and Fertilizer Bagging, ensuring uninterrupted processing. In contrast, the Bagging Machine has several “Unnecessary” (U) connections, allowing flexible placement. The Loading/Unloading Area holds an “Especially Important” (E) relationship with ZA Fertilizer Storage, emphasizing dispatch efficiency. Additionally, “Important” (I) relationships indicate moderate proximity needs between Bulk Storage–Bagging and Color Mixing–Loading zones</w:t>
      </w:r>
    </w:p>
    <w:p w14:paraId="78E3FBB9" w14:textId="77777777" w:rsidR="006B5834" w:rsidRPr="001F1714" w:rsidRDefault="006B5834" w:rsidP="006B5834">
      <w:pPr>
        <w:pStyle w:val="Paragrap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F1714" w:rsidRPr="001F1714" w14:paraId="3DC4B9A3" w14:textId="77777777" w:rsidTr="00212530">
        <w:tc>
          <w:tcPr>
            <w:tcW w:w="4675" w:type="dxa"/>
          </w:tcPr>
          <w:p w14:paraId="12B32ECE" w14:textId="6A0B4FE3" w:rsidR="00700310" w:rsidRPr="001F1714" w:rsidRDefault="00700310" w:rsidP="004F7758">
            <w:pPr>
              <w:pStyle w:val="Paragraph"/>
              <w:ind w:firstLine="0"/>
            </w:pPr>
            <w:r w:rsidRPr="001F1714">
              <w:rPr>
                <w:noProof/>
              </w:rPr>
              <w:drawing>
                <wp:inline distT="0" distB="0" distL="0" distR="0" wp14:anchorId="4F04AE13" wp14:editId="19591C67">
                  <wp:extent cx="2669540" cy="1760220"/>
                  <wp:effectExtent l="0" t="0" r="0" b="0"/>
                  <wp:docPr id="3313914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91432" name="Picture 1" descr="A screenshot of a computer&#10;&#10;AI-generated content may be incorrect."/>
                          <pic:cNvPicPr/>
                        </pic:nvPicPr>
                        <pic:blipFill rotWithShape="1">
                          <a:blip r:embed="rId14"/>
                          <a:srcRect l="34941" t="25365" r="18817" b="18162"/>
                          <a:stretch>
                            <a:fillRect/>
                          </a:stretch>
                        </pic:blipFill>
                        <pic:spPr bwMode="auto">
                          <a:xfrm>
                            <a:off x="0" y="0"/>
                            <a:ext cx="2696710" cy="1778135"/>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7F17592B" w14:textId="3EE757C5" w:rsidR="00700310" w:rsidRPr="001F1714" w:rsidRDefault="00700310" w:rsidP="003E4C07">
            <w:pPr>
              <w:pStyle w:val="Paragraph"/>
              <w:ind w:firstLine="0"/>
              <w:jc w:val="center"/>
            </w:pPr>
            <w:r w:rsidRPr="001F1714">
              <w:rPr>
                <w:noProof/>
              </w:rPr>
              <w:drawing>
                <wp:inline distT="0" distB="0" distL="0" distR="0" wp14:anchorId="41937F79" wp14:editId="72655621">
                  <wp:extent cx="2510155" cy="1811020"/>
                  <wp:effectExtent l="0" t="0" r="4445" b="0"/>
                  <wp:docPr id="1474169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9344" cy="1817650"/>
                          </a:xfrm>
                          <a:prstGeom prst="rect">
                            <a:avLst/>
                          </a:prstGeom>
                          <a:noFill/>
                        </pic:spPr>
                      </pic:pic>
                    </a:graphicData>
                  </a:graphic>
                </wp:inline>
              </w:drawing>
            </w:r>
          </w:p>
        </w:tc>
      </w:tr>
      <w:tr w:rsidR="001F1714" w:rsidRPr="001F1714" w14:paraId="27EE2BE3" w14:textId="77777777" w:rsidTr="00212530">
        <w:tc>
          <w:tcPr>
            <w:tcW w:w="4675" w:type="dxa"/>
          </w:tcPr>
          <w:p w14:paraId="1F2B796F" w14:textId="5CEC2655" w:rsidR="00700310" w:rsidRPr="001F1714" w:rsidRDefault="00460FCD">
            <w:pPr>
              <w:pStyle w:val="Paragraph"/>
              <w:numPr>
                <w:ilvl w:val="0"/>
                <w:numId w:val="4"/>
              </w:numPr>
              <w:jc w:val="center"/>
              <w:rPr>
                <w:noProof/>
                <w:sz w:val="18"/>
                <w:szCs w:val="18"/>
              </w:rPr>
            </w:pPr>
            <w:r w:rsidRPr="001F1714">
              <w:rPr>
                <w:i/>
                <w:iCs/>
                <w:sz w:val="18"/>
                <w:szCs w:val="18"/>
              </w:rPr>
              <w:t>Process</w:t>
            </w:r>
            <w:r w:rsidRPr="001F1714">
              <w:rPr>
                <w:sz w:val="18"/>
                <w:szCs w:val="18"/>
              </w:rPr>
              <w:t xml:space="preserve"> Flow of ZA Fertilizer</w:t>
            </w:r>
          </w:p>
        </w:tc>
        <w:tc>
          <w:tcPr>
            <w:tcW w:w="4675" w:type="dxa"/>
          </w:tcPr>
          <w:p w14:paraId="61DE4AF3" w14:textId="03094CB7" w:rsidR="00700310" w:rsidRPr="001F1714" w:rsidRDefault="00460FCD">
            <w:pPr>
              <w:pStyle w:val="Paragraph"/>
              <w:numPr>
                <w:ilvl w:val="0"/>
                <w:numId w:val="4"/>
              </w:numPr>
              <w:jc w:val="center"/>
              <w:rPr>
                <w:sz w:val="18"/>
                <w:szCs w:val="18"/>
              </w:rPr>
            </w:pPr>
            <w:r w:rsidRPr="001F1714">
              <w:rPr>
                <w:sz w:val="18"/>
                <w:szCs w:val="18"/>
              </w:rPr>
              <w:t>Ac</w:t>
            </w:r>
            <w:r w:rsidR="00212530" w:rsidRPr="001F1714">
              <w:rPr>
                <w:sz w:val="18"/>
                <w:szCs w:val="18"/>
              </w:rPr>
              <w:t>tivity Relationship Diagram</w:t>
            </w:r>
          </w:p>
        </w:tc>
      </w:tr>
    </w:tbl>
    <w:p w14:paraId="3BED95E8" w14:textId="485D5138" w:rsidR="00712403" w:rsidRPr="001F1714" w:rsidRDefault="00700310" w:rsidP="00212530">
      <w:pPr>
        <w:pStyle w:val="Caption"/>
        <w:spacing w:after="0"/>
        <w:jc w:val="center"/>
        <w:rPr>
          <w:i w:val="0"/>
          <w:iCs w:val="0"/>
          <w:color w:val="auto"/>
        </w:rPr>
      </w:pPr>
      <w:r w:rsidRPr="001F1714">
        <w:rPr>
          <w:b/>
          <w:bCs/>
          <w:i w:val="0"/>
          <w:iCs w:val="0"/>
          <w:color w:val="auto"/>
        </w:rPr>
        <w:t xml:space="preserve">FIGURE </w:t>
      </w:r>
      <w:r w:rsidRPr="001F1714">
        <w:rPr>
          <w:b/>
          <w:bCs/>
          <w:i w:val="0"/>
          <w:iCs w:val="0"/>
          <w:color w:val="auto"/>
        </w:rPr>
        <w:fldChar w:fldCharType="begin"/>
      </w:r>
      <w:r w:rsidRPr="001F1714">
        <w:rPr>
          <w:b/>
          <w:bCs/>
          <w:i w:val="0"/>
          <w:iCs w:val="0"/>
          <w:color w:val="auto"/>
        </w:rPr>
        <w:instrText xml:space="preserve"> SEQ Figure \* ARABIC </w:instrText>
      </w:r>
      <w:r w:rsidRPr="001F1714">
        <w:rPr>
          <w:b/>
          <w:bCs/>
          <w:i w:val="0"/>
          <w:iCs w:val="0"/>
          <w:color w:val="auto"/>
        </w:rPr>
        <w:fldChar w:fldCharType="separate"/>
      </w:r>
      <w:r w:rsidR="003B6279">
        <w:rPr>
          <w:b/>
          <w:bCs/>
          <w:i w:val="0"/>
          <w:iCs w:val="0"/>
          <w:noProof/>
          <w:color w:val="auto"/>
        </w:rPr>
        <w:t>4</w:t>
      </w:r>
      <w:r w:rsidRPr="001F1714">
        <w:rPr>
          <w:b/>
          <w:bCs/>
          <w:i w:val="0"/>
          <w:iCs w:val="0"/>
          <w:color w:val="auto"/>
        </w:rPr>
        <w:fldChar w:fldCharType="end"/>
      </w:r>
      <w:r w:rsidRPr="001F1714">
        <w:rPr>
          <w:i w:val="0"/>
          <w:iCs w:val="0"/>
          <w:color w:val="auto"/>
        </w:rPr>
        <w:t xml:space="preserve">. </w:t>
      </w:r>
      <w:r w:rsidR="00212530" w:rsidRPr="001F1714">
        <w:rPr>
          <w:i w:val="0"/>
          <w:iCs w:val="0"/>
          <w:color w:val="auto"/>
        </w:rPr>
        <w:t xml:space="preserve">Analysis of Activity Relationships </w:t>
      </w:r>
    </w:p>
    <w:p w14:paraId="5247985D" w14:textId="5E31B7E9" w:rsidR="00190D45" w:rsidRPr="001F1714" w:rsidRDefault="009E17F4" w:rsidP="00E21161">
      <w:pPr>
        <w:pStyle w:val="Paragraph"/>
        <w:spacing w:before="240"/>
      </w:pPr>
      <w:r w:rsidRPr="001F1714">
        <w:t xml:space="preserve">Building upon the spatial flow analysis from SLP, a throughput-based storage strategy was employed to complement the </w:t>
      </w:r>
      <w:r w:rsidR="00212530" w:rsidRPr="001F1714">
        <w:t>dedicated storage policy</w:t>
      </w:r>
      <w:r w:rsidRPr="001F1714">
        <w:t xml:space="preserve">. Throughput ranking was used to determine which fertilizer SKUs exhibited the highest and lowest movement frequencies, serving as a key criterion for fixed storage </w:t>
      </w:r>
      <w:r w:rsidR="00D4395C" w:rsidRPr="001F1714">
        <w:t>assignments</w:t>
      </w:r>
      <w:r w:rsidRPr="001F1714">
        <w:t xml:space="preserve"> under the dedicated storage policy. </w:t>
      </w:r>
      <w:r w:rsidR="00190D45" w:rsidRPr="001F1714">
        <w:t xml:space="preserve">This moving activity is carried out using a forklift, </w:t>
      </w:r>
      <w:r w:rsidR="00E21161" w:rsidRPr="001F1714">
        <w:t xml:space="preserve">which is assumed to that </w:t>
      </w:r>
      <w:r w:rsidR="00190D45" w:rsidRPr="001F1714">
        <w:t xml:space="preserve">forklift </w:t>
      </w:r>
      <w:r w:rsidR="00055291" w:rsidRPr="001F1714">
        <w:t>can</w:t>
      </w:r>
      <w:r w:rsidR="00190D45" w:rsidRPr="001F1714">
        <w:t xml:space="preserve"> carry two pallets with a capacity </w:t>
      </w:r>
      <w:r w:rsidR="00E21161" w:rsidRPr="001F1714">
        <w:t>of 3</w:t>
      </w:r>
      <w:r w:rsidR="00190D45" w:rsidRPr="001F1714">
        <w:t xml:space="preserve"> tons. </w:t>
      </w:r>
      <w:r w:rsidR="00EB09A0" w:rsidRPr="001F1714">
        <w:t xml:space="preserve">In this context, </w:t>
      </w:r>
      <w:r w:rsidR="00190D45" w:rsidRPr="001F1714">
        <w:t>the throughput</w:t>
      </w:r>
      <w:r w:rsidR="00EB09A0" w:rsidRPr="001F1714">
        <w:t xml:space="preserve"> (</w:t>
      </w:r>
      <m:oMath>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oMath>
      <w:r w:rsidR="00E21161" w:rsidRPr="001F1714">
        <w:t xml:space="preserve"> For</w:t>
      </w:r>
      <w:r w:rsidR="00EB09A0" w:rsidRPr="001F1714">
        <w:t xml:space="preserve"> each SKU was </w:t>
      </w:r>
      <w:r w:rsidR="00E21161" w:rsidRPr="001F1714">
        <w:t>made</w:t>
      </w:r>
      <w:r w:rsidR="00EB09A0" w:rsidRPr="001F1714">
        <w:t xml:space="preserve"> using the following:</w:t>
      </w:r>
      <w:r w:rsidR="00190D45" w:rsidRPr="001F1714">
        <w:t xml:space="preserve"> </w:t>
      </w:r>
    </w:p>
    <w:p w14:paraId="2D943FB3" w14:textId="20527436" w:rsidR="00D4395C" w:rsidRPr="001F1714" w:rsidRDefault="003B6279" w:rsidP="009A6501">
      <w:pPr>
        <w:pStyle w:val="Paragraph"/>
        <w:spacing w:before="240" w:after="240"/>
      </w:pPr>
      <m:oMath>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average stock in</m:t>
                </m:r>
              </m:num>
              <m:den>
                <m:r>
                  <w:rPr>
                    <w:rFonts w:ascii="Cambria Math" w:hAnsi="Cambria Math"/>
                  </w:rPr>
                  <m:t>the number of moving one time</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average stock out</m:t>
                </m:r>
              </m:num>
              <m:den>
                <m:r>
                  <w:rPr>
                    <w:rFonts w:ascii="Cambria Math" w:hAnsi="Cambria Math"/>
                  </w:rPr>
                  <m:t>the number of moving one time</m:t>
                </m:r>
              </m:den>
            </m:f>
          </m:e>
        </m:d>
      </m:oMath>
      <w:r w:rsidR="00190D45" w:rsidRPr="001F1714">
        <w:t xml:space="preserve">                                                                        (1)</w:t>
      </w:r>
    </w:p>
    <w:p w14:paraId="53F8FF33" w14:textId="63ABBAA7" w:rsidR="009A6501" w:rsidRPr="001F1714" w:rsidRDefault="009E17F4" w:rsidP="009A6501">
      <w:pPr>
        <w:pStyle w:val="Paragraph"/>
      </w:pPr>
      <w:r w:rsidRPr="001F1714">
        <w:t xml:space="preserve">To determine storage space requirements for each </w:t>
      </w:r>
      <w:r w:rsidR="003E4C07" w:rsidRPr="001F1714">
        <w:t>SKU</w:t>
      </w:r>
      <w:r w:rsidR="009A6501" w:rsidRPr="001F1714">
        <w:t xml:space="preserve"> (</w:t>
      </w:r>
      <m:oMath>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oMath>
      <w:r w:rsidRPr="001F1714">
        <w:t xml:space="preserve">, standard pallet configurations were considered. Each pallet is assumed to hold 1.5 tons of fertilizer, with four pallets stacked vertically, enabling each storage point to accommodate up to 6 tons. </w:t>
      </w:r>
      <w:r w:rsidR="009A6501" w:rsidRPr="001F1714">
        <w:t>From throughput and space requirement calculation, to</w:t>
      </w:r>
      <w:r w:rsidR="00694048" w:rsidRPr="001F1714">
        <w:t xml:space="preserve"> optimize spatial efficiency and minimize material handling distances, a throughput-to-space requirement ratio (</w:t>
      </w:r>
      <m:oMath>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j</m:t>
            </m:r>
          </m:sub>
        </m:sSub>
      </m:oMath>
      <w:r w:rsidR="00694048" w:rsidRPr="001F1714">
        <w:t xml:space="preserve">) was calculated (Table 5). </w:t>
      </w:r>
    </w:p>
    <w:p w14:paraId="1D1F05B9" w14:textId="6A24AFF1" w:rsidR="00523227" w:rsidRPr="001F1714" w:rsidRDefault="00523227" w:rsidP="009A6501">
      <w:pPr>
        <w:pStyle w:val="Paragraph"/>
        <w:spacing w:before="240"/>
        <w:jc w:val="center"/>
      </w:pPr>
      <w:r w:rsidRPr="001F1714">
        <w:rPr>
          <w:b/>
          <w:bCs/>
        </w:rPr>
        <w:t xml:space="preserve">TABLE </w:t>
      </w:r>
      <w:r w:rsidRPr="001F1714">
        <w:rPr>
          <w:b/>
          <w:bCs/>
        </w:rPr>
        <w:fldChar w:fldCharType="begin"/>
      </w:r>
      <w:r w:rsidRPr="001F1714">
        <w:rPr>
          <w:b/>
          <w:bCs/>
        </w:rPr>
        <w:instrText xml:space="preserve"> SEQ Table \* ARABIC </w:instrText>
      </w:r>
      <w:r w:rsidRPr="001F1714">
        <w:rPr>
          <w:b/>
          <w:bCs/>
        </w:rPr>
        <w:fldChar w:fldCharType="separate"/>
      </w:r>
      <w:r w:rsidR="003B6279">
        <w:rPr>
          <w:b/>
          <w:bCs/>
          <w:noProof/>
        </w:rPr>
        <w:t>3</w:t>
      </w:r>
      <w:r w:rsidRPr="001F1714">
        <w:rPr>
          <w:b/>
          <w:bCs/>
        </w:rPr>
        <w:fldChar w:fldCharType="end"/>
      </w:r>
      <w:r w:rsidRPr="001F1714">
        <w:rPr>
          <w:b/>
          <w:bCs/>
        </w:rPr>
        <w:t>.</w:t>
      </w:r>
      <w:r w:rsidRPr="001F1714">
        <w:t xml:space="preserve"> Throughput Ratio and Space Requirements for </w:t>
      </w:r>
      <w:r w:rsidR="00326ACD" w:rsidRPr="001F1714">
        <w:t>E</w:t>
      </w:r>
      <w:r w:rsidRPr="001F1714">
        <w:t>ach SKU</w:t>
      </w:r>
    </w:p>
    <w:tbl>
      <w:tblPr>
        <w:tblStyle w:val="TableGrid"/>
        <w:tblW w:w="9452" w:type="dxa"/>
        <w:jc w:val="center"/>
        <w:tblLook w:val="04A0" w:firstRow="1" w:lastRow="0" w:firstColumn="1" w:lastColumn="0" w:noHBand="0" w:noVBand="1"/>
      </w:tblPr>
      <w:tblGrid>
        <w:gridCol w:w="1223"/>
        <w:gridCol w:w="902"/>
        <w:gridCol w:w="917"/>
        <w:gridCol w:w="940"/>
        <w:gridCol w:w="683"/>
        <w:gridCol w:w="1550"/>
        <w:gridCol w:w="844"/>
        <w:gridCol w:w="855"/>
        <w:gridCol w:w="855"/>
        <w:gridCol w:w="683"/>
      </w:tblGrid>
      <w:tr w:rsidR="001F1714" w:rsidRPr="007C4A93" w14:paraId="1E20D5E5" w14:textId="77777777" w:rsidTr="00523227">
        <w:trPr>
          <w:jc w:val="center"/>
        </w:trPr>
        <w:tc>
          <w:tcPr>
            <w:tcW w:w="1223" w:type="dxa"/>
            <w:vAlign w:val="center"/>
          </w:tcPr>
          <w:p w14:paraId="27C502E8" w14:textId="3AF0A759" w:rsidR="002744A8" w:rsidRPr="007C4A93" w:rsidRDefault="002744A8" w:rsidP="00523227">
            <w:pPr>
              <w:pStyle w:val="Paragraph"/>
              <w:ind w:firstLine="0"/>
              <w:jc w:val="center"/>
              <w:rPr>
                <w:b/>
                <w:bCs/>
              </w:rPr>
            </w:pPr>
            <w:r w:rsidRPr="007C4A93">
              <w:rPr>
                <w:b/>
                <w:bCs/>
              </w:rPr>
              <w:t>Item</w:t>
            </w:r>
          </w:p>
        </w:tc>
        <w:tc>
          <w:tcPr>
            <w:tcW w:w="902" w:type="dxa"/>
            <w:vAlign w:val="center"/>
          </w:tcPr>
          <w:p w14:paraId="4C0D5952" w14:textId="31A3239B" w:rsidR="002744A8" w:rsidRPr="007C4A93" w:rsidRDefault="003B6279" w:rsidP="00523227">
            <w:pPr>
              <w:pStyle w:val="Paragraph"/>
              <w:ind w:firstLine="0"/>
              <w:jc w:val="center"/>
              <w:rPr>
                <w:b/>
                <w:bCs/>
              </w:rPr>
            </w:pPr>
            <m:oMathPara>
              <m:oMath>
                <m:sSub>
                  <m:sSubPr>
                    <m:ctrlPr>
                      <w:rPr>
                        <w:rFonts w:ascii="Cambria Math" w:hAnsi="Cambria Math"/>
                        <w:b/>
                        <w:bCs/>
                        <w:i/>
                      </w:rPr>
                    </m:ctrlPr>
                  </m:sSubPr>
                  <m:e>
                    <m:r>
                      <m:rPr>
                        <m:sty m:val="b"/>
                      </m:rPr>
                      <w:rPr>
                        <w:rFonts w:ascii="Cambria Math" w:hAnsi="Cambria Math"/>
                      </w:rPr>
                      <m:t>T</m:t>
                    </m:r>
                  </m:e>
                  <m:sub>
                    <m:r>
                      <m:rPr>
                        <m:sty m:val="bi"/>
                      </m:rPr>
                      <w:rPr>
                        <w:rFonts w:ascii="Cambria Math" w:hAnsi="Cambria Math"/>
                      </w:rPr>
                      <m:t>j</m:t>
                    </m:r>
                  </m:sub>
                </m:sSub>
              </m:oMath>
            </m:oMathPara>
          </w:p>
        </w:tc>
        <w:tc>
          <w:tcPr>
            <w:tcW w:w="917" w:type="dxa"/>
            <w:vAlign w:val="center"/>
          </w:tcPr>
          <w:p w14:paraId="37286CDD" w14:textId="564799AE" w:rsidR="002744A8" w:rsidRPr="007C4A93" w:rsidRDefault="003B6279" w:rsidP="00523227">
            <w:pPr>
              <w:pStyle w:val="Paragraph"/>
              <w:ind w:firstLine="0"/>
              <w:jc w:val="center"/>
              <w:rPr>
                <w:b/>
                <w:bCs/>
              </w:rPr>
            </w:pPr>
            <m:oMathPara>
              <m:oMath>
                <m:sSub>
                  <m:sSubPr>
                    <m:ctrlPr>
                      <w:rPr>
                        <w:rFonts w:ascii="Cambria Math" w:hAnsi="Cambria Math"/>
                        <w:b/>
                        <w:bCs/>
                        <w:i/>
                      </w:rPr>
                    </m:ctrlPr>
                  </m:sSubPr>
                  <m:e>
                    <m:r>
                      <m:rPr>
                        <m:sty m:val="b"/>
                      </m:rPr>
                      <w:rPr>
                        <w:rFonts w:ascii="Cambria Math" w:hAnsi="Cambria Math"/>
                      </w:rPr>
                      <m:t>S</m:t>
                    </m:r>
                  </m:e>
                  <m:sub>
                    <m:r>
                      <m:rPr>
                        <m:sty m:val="bi"/>
                      </m:rPr>
                      <w:rPr>
                        <w:rFonts w:ascii="Cambria Math" w:hAnsi="Cambria Math"/>
                      </w:rPr>
                      <m:t>j</m:t>
                    </m:r>
                  </m:sub>
                </m:sSub>
              </m:oMath>
            </m:oMathPara>
          </w:p>
        </w:tc>
        <w:tc>
          <w:tcPr>
            <w:tcW w:w="940" w:type="dxa"/>
            <w:vAlign w:val="center"/>
          </w:tcPr>
          <w:p w14:paraId="24E53E77" w14:textId="036CDD4B" w:rsidR="002744A8" w:rsidRPr="007C4A93" w:rsidRDefault="003B6279" w:rsidP="00523227">
            <w:pPr>
              <w:pStyle w:val="Paragraph"/>
              <w:ind w:firstLine="0"/>
              <w:jc w:val="center"/>
              <w:rPr>
                <w:b/>
                <w:bCs/>
              </w:rPr>
            </w:pPr>
            <m:oMathPara>
              <m:oMath>
                <m:sSub>
                  <m:sSubPr>
                    <m:ctrlPr>
                      <w:rPr>
                        <w:rFonts w:ascii="Cambria Math" w:hAnsi="Cambria Math"/>
                        <w:b/>
                        <w:bCs/>
                        <w:i/>
                      </w:rPr>
                    </m:ctrlPr>
                  </m:sSubPr>
                  <m:e>
                    <m:r>
                      <m:rPr>
                        <m:sty m:val="b"/>
                      </m:rPr>
                      <w:rPr>
                        <w:rFonts w:ascii="Cambria Math" w:hAnsi="Cambria Math"/>
                      </w:rPr>
                      <m:t>T</m:t>
                    </m:r>
                  </m:e>
                  <m:sub>
                    <m:r>
                      <m:rPr>
                        <m:sty m:val="bi"/>
                      </m:rPr>
                      <w:rPr>
                        <w:rFonts w:ascii="Cambria Math" w:hAnsi="Cambria Math"/>
                      </w:rPr>
                      <m:t>j</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j</m:t>
                    </m:r>
                  </m:sub>
                </m:sSub>
              </m:oMath>
            </m:oMathPara>
          </w:p>
        </w:tc>
        <w:tc>
          <w:tcPr>
            <w:tcW w:w="683" w:type="dxa"/>
            <w:vAlign w:val="center"/>
          </w:tcPr>
          <w:p w14:paraId="099A2F74" w14:textId="4B798A47" w:rsidR="002744A8" w:rsidRPr="007C4A93" w:rsidRDefault="002744A8" w:rsidP="00523227">
            <w:pPr>
              <w:pStyle w:val="Paragraph"/>
              <w:ind w:firstLine="0"/>
              <w:jc w:val="center"/>
              <w:rPr>
                <w:b/>
                <w:bCs/>
              </w:rPr>
            </w:pPr>
            <w:r w:rsidRPr="007C4A93">
              <w:rPr>
                <w:b/>
                <w:bCs/>
              </w:rPr>
              <w:t>Rank</w:t>
            </w:r>
          </w:p>
        </w:tc>
        <w:tc>
          <w:tcPr>
            <w:tcW w:w="1550" w:type="dxa"/>
            <w:vAlign w:val="center"/>
          </w:tcPr>
          <w:p w14:paraId="165127D0" w14:textId="6E3728E8" w:rsidR="002744A8" w:rsidRPr="007C4A93" w:rsidRDefault="002744A8" w:rsidP="00523227">
            <w:pPr>
              <w:pStyle w:val="Paragraph"/>
              <w:ind w:firstLine="0"/>
              <w:jc w:val="center"/>
              <w:rPr>
                <w:b/>
                <w:bCs/>
              </w:rPr>
            </w:pPr>
            <w:r w:rsidRPr="007C4A93">
              <w:rPr>
                <w:b/>
                <w:bCs/>
              </w:rPr>
              <w:t>Item</w:t>
            </w:r>
          </w:p>
        </w:tc>
        <w:tc>
          <w:tcPr>
            <w:tcW w:w="844" w:type="dxa"/>
            <w:vAlign w:val="center"/>
          </w:tcPr>
          <w:p w14:paraId="427113C7" w14:textId="7566CC12" w:rsidR="002744A8" w:rsidRPr="007C4A93" w:rsidRDefault="003B6279" w:rsidP="00523227">
            <w:pPr>
              <w:pStyle w:val="Paragraph"/>
              <w:ind w:firstLine="0"/>
              <w:jc w:val="center"/>
              <w:rPr>
                <w:b/>
                <w:bCs/>
              </w:rPr>
            </w:pPr>
            <m:oMathPara>
              <m:oMath>
                <m:sSub>
                  <m:sSubPr>
                    <m:ctrlPr>
                      <w:rPr>
                        <w:rFonts w:ascii="Cambria Math" w:hAnsi="Cambria Math"/>
                        <w:b/>
                        <w:bCs/>
                        <w:i/>
                      </w:rPr>
                    </m:ctrlPr>
                  </m:sSubPr>
                  <m:e>
                    <m:r>
                      <m:rPr>
                        <m:sty m:val="b"/>
                      </m:rPr>
                      <w:rPr>
                        <w:rFonts w:ascii="Cambria Math" w:hAnsi="Cambria Math"/>
                      </w:rPr>
                      <m:t>T</m:t>
                    </m:r>
                  </m:e>
                  <m:sub>
                    <m:r>
                      <m:rPr>
                        <m:sty m:val="bi"/>
                      </m:rPr>
                      <w:rPr>
                        <w:rFonts w:ascii="Cambria Math" w:hAnsi="Cambria Math"/>
                      </w:rPr>
                      <m:t>j</m:t>
                    </m:r>
                  </m:sub>
                </m:sSub>
              </m:oMath>
            </m:oMathPara>
          </w:p>
        </w:tc>
        <w:tc>
          <w:tcPr>
            <w:tcW w:w="855" w:type="dxa"/>
            <w:vAlign w:val="center"/>
          </w:tcPr>
          <w:p w14:paraId="0710A27F" w14:textId="080BBE43" w:rsidR="002744A8" w:rsidRPr="007C4A93" w:rsidRDefault="003B6279" w:rsidP="00523227">
            <w:pPr>
              <w:pStyle w:val="Paragraph"/>
              <w:ind w:firstLine="0"/>
              <w:jc w:val="center"/>
              <w:rPr>
                <w:b/>
                <w:bCs/>
              </w:rPr>
            </w:pPr>
            <m:oMathPara>
              <m:oMath>
                <m:sSub>
                  <m:sSubPr>
                    <m:ctrlPr>
                      <w:rPr>
                        <w:rFonts w:ascii="Cambria Math" w:hAnsi="Cambria Math"/>
                        <w:b/>
                        <w:bCs/>
                        <w:i/>
                      </w:rPr>
                    </m:ctrlPr>
                  </m:sSubPr>
                  <m:e>
                    <m:r>
                      <m:rPr>
                        <m:sty m:val="b"/>
                      </m:rPr>
                      <w:rPr>
                        <w:rFonts w:ascii="Cambria Math" w:hAnsi="Cambria Math"/>
                      </w:rPr>
                      <m:t>S</m:t>
                    </m:r>
                  </m:e>
                  <m:sub>
                    <m:r>
                      <m:rPr>
                        <m:sty m:val="bi"/>
                      </m:rPr>
                      <w:rPr>
                        <w:rFonts w:ascii="Cambria Math" w:hAnsi="Cambria Math"/>
                      </w:rPr>
                      <m:t>j</m:t>
                    </m:r>
                  </m:sub>
                </m:sSub>
              </m:oMath>
            </m:oMathPara>
          </w:p>
        </w:tc>
        <w:tc>
          <w:tcPr>
            <w:tcW w:w="855" w:type="dxa"/>
            <w:vAlign w:val="center"/>
          </w:tcPr>
          <w:p w14:paraId="24369683" w14:textId="0F09B0F9" w:rsidR="002744A8" w:rsidRPr="007C4A93" w:rsidRDefault="003B6279" w:rsidP="00523227">
            <w:pPr>
              <w:pStyle w:val="Paragraph"/>
              <w:ind w:firstLine="0"/>
              <w:jc w:val="center"/>
              <w:rPr>
                <w:b/>
                <w:bCs/>
              </w:rPr>
            </w:pPr>
            <m:oMathPara>
              <m:oMath>
                <m:sSub>
                  <m:sSubPr>
                    <m:ctrlPr>
                      <w:rPr>
                        <w:rFonts w:ascii="Cambria Math" w:hAnsi="Cambria Math"/>
                        <w:b/>
                        <w:bCs/>
                        <w:i/>
                      </w:rPr>
                    </m:ctrlPr>
                  </m:sSubPr>
                  <m:e>
                    <m:r>
                      <m:rPr>
                        <m:sty m:val="b"/>
                      </m:rPr>
                      <w:rPr>
                        <w:rFonts w:ascii="Cambria Math" w:hAnsi="Cambria Math"/>
                      </w:rPr>
                      <m:t>T</m:t>
                    </m:r>
                  </m:e>
                  <m:sub>
                    <m:r>
                      <m:rPr>
                        <m:sty m:val="bi"/>
                      </m:rPr>
                      <w:rPr>
                        <w:rFonts w:ascii="Cambria Math" w:hAnsi="Cambria Math"/>
                      </w:rPr>
                      <m:t>j</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j</m:t>
                    </m:r>
                  </m:sub>
                </m:sSub>
              </m:oMath>
            </m:oMathPara>
          </w:p>
        </w:tc>
        <w:tc>
          <w:tcPr>
            <w:tcW w:w="683" w:type="dxa"/>
            <w:vAlign w:val="center"/>
          </w:tcPr>
          <w:p w14:paraId="5D38F827" w14:textId="0075D64E" w:rsidR="002744A8" w:rsidRPr="007C4A93" w:rsidRDefault="002744A8" w:rsidP="00523227">
            <w:pPr>
              <w:pStyle w:val="Paragraph"/>
              <w:ind w:firstLine="0"/>
              <w:jc w:val="center"/>
              <w:rPr>
                <w:b/>
                <w:bCs/>
              </w:rPr>
            </w:pPr>
            <w:r w:rsidRPr="007C4A93">
              <w:rPr>
                <w:b/>
                <w:bCs/>
              </w:rPr>
              <w:t>Rank</w:t>
            </w:r>
          </w:p>
        </w:tc>
      </w:tr>
      <w:tr w:rsidR="001F1714" w:rsidRPr="007C4A93" w14:paraId="081E30BD" w14:textId="77777777" w:rsidTr="00523227">
        <w:trPr>
          <w:jc w:val="center"/>
        </w:trPr>
        <w:tc>
          <w:tcPr>
            <w:tcW w:w="1223" w:type="dxa"/>
            <w:vAlign w:val="center"/>
          </w:tcPr>
          <w:p w14:paraId="6CBA8775" w14:textId="7E41A15F" w:rsidR="00523227" w:rsidRPr="007C4A93" w:rsidRDefault="00523227" w:rsidP="00523227">
            <w:pPr>
              <w:pStyle w:val="Paragraph"/>
              <w:ind w:firstLine="0"/>
              <w:jc w:val="left"/>
            </w:pPr>
            <w:r w:rsidRPr="007C4A93">
              <w:t>ZA 1</w:t>
            </w:r>
          </w:p>
        </w:tc>
        <w:tc>
          <w:tcPr>
            <w:tcW w:w="902" w:type="dxa"/>
            <w:vAlign w:val="center"/>
          </w:tcPr>
          <w:p w14:paraId="4AEB8877" w14:textId="325F5E68" w:rsidR="00523227" w:rsidRPr="007C4A93" w:rsidRDefault="00523227" w:rsidP="00523227">
            <w:pPr>
              <w:pStyle w:val="Paragraph"/>
              <w:ind w:firstLine="0"/>
              <w:jc w:val="center"/>
            </w:pPr>
            <w:r w:rsidRPr="007C4A93">
              <w:t>5</w:t>
            </w:r>
          </w:p>
        </w:tc>
        <w:tc>
          <w:tcPr>
            <w:tcW w:w="917" w:type="dxa"/>
            <w:vAlign w:val="center"/>
          </w:tcPr>
          <w:p w14:paraId="48DF2BE6" w14:textId="40659289" w:rsidR="00523227" w:rsidRPr="007C4A93" w:rsidRDefault="00523227" w:rsidP="00523227">
            <w:pPr>
              <w:pStyle w:val="Paragraph"/>
              <w:ind w:firstLine="0"/>
              <w:jc w:val="center"/>
            </w:pPr>
            <w:r w:rsidRPr="007C4A93">
              <w:t>1.67</w:t>
            </w:r>
          </w:p>
        </w:tc>
        <w:tc>
          <w:tcPr>
            <w:tcW w:w="940" w:type="dxa"/>
            <w:vAlign w:val="center"/>
          </w:tcPr>
          <w:p w14:paraId="34A3FB42" w14:textId="63038A8F" w:rsidR="00523227" w:rsidRPr="007C4A93" w:rsidRDefault="00523227" w:rsidP="00523227">
            <w:pPr>
              <w:pStyle w:val="Paragraph"/>
              <w:ind w:firstLine="0"/>
              <w:jc w:val="center"/>
            </w:pPr>
            <w:r w:rsidRPr="007C4A93">
              <w:t>0.37</w:t>
            </w:r>
          </w:p>
        </w:tc>
        <w:tc>
          <w:tcPr>
            <w:tcW w:w="683" w:type="dxa"/>
            <w:vAlign w:val="center"/>
          </w:tcPr>
          <w:p w14:paraId="11EAF19D" w14:textId="63331E1B" w:rsidR="00523227" w:rsidRPr="007C4A93" w:rsidRDefault="00523227" w:rsidP="00523227">
            <w:pPr>
              <w:pStyle w:val="Paragraph"/>
              <w:ind w:firstLine="0"/>
              <w:jc w:val="center"/>
            </w:pPr>
            <w:r w:rsidRPr="007C4A93">
              <w:t>7</w:t>
            </w:r>
          </w:p>
        </w:tc>
        <w:tc>
          <w:tcPr>
            <w:tcW w:w="1550" w:type="dxa"/>
            <w:vAlign w:val="center"/>
          </w:tcPr>
          <w:p w14:paraId="041B921B" w14:textId="7D4D50CF" w:rsidR="00523227" w:rsidRPr="007C4A93" w:rsidRDefault="00523227" w:rsidP="00523227">
            <w:pPr>
              <w:pStyle w:val="Paragraph"/>
              <w:ind w:firstLine="0"/>
              <w:jc w:val="left"/>
            </w:pPr>
            <w:r w:rsidRPr="007C4A93">
              <w:t>NPK Sub 50</w:t>
            </w:r>
          </w:p>
        </w:tc>
        <w:tc>
          <w:tcPr>
            <w:tcW w:w="844" w:type="dxa"/>
            <w:vAlign w:val="center"/>
          </w:tcPr>
          <w:p w14:paraId="30C0B74E" w14:textId="1A220692" w:rsidR="00523227" w:rsidRPr="007C4A93" w:rsidRDefault="00523227" w:rsidP="00523227">
            <w:pPr>
              <w:pStyle w:val="Paragraph"/>
              <w:ind w:firstLine="0"/>
              <w:jc w:val="center"/>
            </w:pPr>
            <w:r w:rsidRPr="007C4A93">
              <w:t>18</w:t>
            </w:r>
          </w:p>
        </w:tc>
        <w:tc>
          <w:tcPr>
            <w:tcW w:w="855" w:type="dxa"/>
            <w:vAlign w:val="center"/>
          </w:tcPr>
          <w:p w14:paraId="6C44E63A" w14:textId="2662BBC6" w:rsidR="00523227" w:rsidRPr="007C4A93" w:rsidRDefault="00523227" w:rsidP="00523227">
            <w:pPr>
              <w:pStyle w:val="Paragraph"/>
              <w:ind w:firstLine="0"/>
              <w:jc w:val="center"/>
            </w:pPr>
            <w:r w:rsidRPr="007C4A93">
              <w:t>3.06</w:t>
            </w:r>
          </w:p>
        </w:tc>
        <w:tc>
          <w:tcPr>
            <w:tcW w:w="855" w:type="dxa"/>
            <w:vAlign w:val="center"/>
          </w:tcPr>
          <w:p w14:paraId="2A41366F" w14:textId="34CA5F44" w:rsidR="00523227" w:rsidRPr="007C4A93" w:rsidRDefault="00523227" w:rsidP="00523227">
            <w:pPr>
              <w:pStyle w:val="Paragraph"/>
              <w:ind w:firstLine="0"/>
              <w:jc w:val="center"/>
            </w:pPr>
            <w:r w:rsidRPr="007C4A93">
              <w:t>0.17</w:t>
            </w:r>
          </w:p>
        </w:tc>
        <w:tc>
          <w:tcPr>
            <w:tcW w:w="683" w:type="dxa"/>
            <w:vAlign w:val="center"/>
          </w:tcPr>
          <w:p w14:paraId="22D20170" w14:textId="630005A8" w:rsidR="00523227" w:rsidRPr="007C4A93" w:rsidRDefault="00523227" w:rsidP="00523227">
            <w:pPr>
              <w:pStyle w:val="Paragraph"/>
              <w:ind w:firstLine="0"/>
              <w:jc w:val="center"/>
            </w:pPr>
            <w:r w:rsidRPr="007C4A93">
              <w:t>14</w:t>
            </w:r>
          </w:p>
        </w:tc>
      </w:tr>
      <w:tr w:rsidR="001F1714" w:rsidRPr="007C4A93" w14:paraId="164B9A89" w14:textId="77777777" w:rsidTr="00523227">
        <w:trPr>
          <w:jc w:val="center"/>
        </w:trPr>
        <w:tc>
          <w:tcPr>
            <w:tcW w:w="1223" w:type="dxa"/>
            <w:vAlign w:val="center"/>
          </w:tcPr>
          <w:p w14:paraId="094073D1" w14:textId="77A02DAB" w:rsidR="00523227" w:rsidRPr="007C4A93" w:rsidRDefault="00523227" w:rsidP="00523227">
            <w:pPr>
              <w:pStyle w:val="Paragraph"/>
              <w:ind w:firstLine="0"/>
              <w:jc w:val="left"/>
            </w:pPr>
            <w:r w:rsidRPr="007C4A93">
              <w:t>ZA 25</w:t>
            </w:r>
          </w:p>
        </w:tc>
        <w:tc>
          <w:tcPr>
            <w:tcW w:w="902" w:type="dxa"/>
            <w:vAlign w:val="center"/>
          </w:tcPr>
          <w:p w14:paraId="08A7D266" w14:textId="72EC6D58" w:rsidR="00523227" w:rsidRPr="007C4A93" w:rsidRDefault="00523227" w:rsidP="00523227">
            <w:pPr>
              <w:pStyle w:val="Paragraph"/>
              <w:ind w:firstLine="0"/>
              <w:jc w:val="center"/>
            </w:pPr>
            <w:r w:rsidRPr="007C4A93">
              <w:t>72</w:t>
            </w:r>
          </w:p>
        </w:tc>
        <w:tc>
          <w:tcPr>
            <w:tcW w:w="917" w:type="dxa"/>
            <w:vAlign w:val="center"/>
          </w:tcPr>
          <w:p w14:paraId="293F52BF" w14:textId="71729312" w:rsidR="00523227" w:rsidRPr="007C4A93" w:rsidRDefault="00523227" w:rsidP="00523227">
            <w:pPr>
              <w:pStyle w:val="Paragraph"/>
              <w:ind w:firstLine="0"/>
              <w:jc w:val="center"/>
            </w:pPr>
            <w:r w:rsidRPr="007C4A93">
              <w:t>15</w:t>
            </w:r>
          </w:p>
        </w:tc>
        <w:tc>
          <w:tcPr>
            <w:tcW w:w="940" w:type="dxa"/>
            <w:vAlign w:val="center"/>
          </w:tcPr>
          <w:p w14:paraId="7D562BFF" w14:textId="1A2FE67F" w:rsidR="00523227" w:rsidRPr="007C4A93" w:rsidRDefault="00523227" w:rsidP="00523227">
            <w:pPr>
              <w:pStyle w:val="Paragraph"/>
              <w:ind w:firstLine="0"/>
              <w:jc w:val="center"/>
            </w:pPr>
            <w:r w:rsidRPr="007C4A93">
              <w:t>0.21</w:t>
            </w:r>
          </w:p>
        </w:tc>
        <w:tc>
          <w:tcPr>
            <w:tcW w:w="683" w:type="dxa"/>
            <w:vAlign w:val="center"/>
          </w:tcPr>
          <w:p w14:paraId="6DE2C1D5" w14:textId="362F4BA9" w:rsidR="00523227" w:rsidRPr="007C4A93" w:rsidRDefault="00523227" w:rsidP="00523227">
            <w:pPr>
              <w:pStyle w:val="Paragraph"/>
              <w:ind w:firstLine="0"/>
              <w:jc w:val="center"/>
            </w:pPr>
            <w:r w:rsidRPr="007C4A93">
              <w:t>13</w:t>
            </w:r>
          </w:p>
        </w:tc>
        <w:tc>
          <w:tcPr>
            <w:tcW w:w="1550" w:type="dxa"/>
            <w:vAlign w:val="center"/>
          </w:tcPr>
          <w:p w14:paraId="7AAD99EE" w14:textId="065AB7A6" w:rsidR="00523227" w:rsidRPr="007C4A93" w:rsidRDefault="00523227" w:rsidP="00523227">
            <w:pPr>
              <w:pStyle w:val="Paragraph"/>
              <w:ind w:firstLine="0"/>
              <w:jc w:val="left"/>
            </w:pPr>
            <w:r w:rsidRPr="007C4A93">
              <w:t>Urea 50</w:t>
            </w:r>
          </w:p>
        </w:tc>
        <w:tc>
          <w:tcPr>
            <w:tcW w:w="844" w:type="dxa"/>
            <w:vAlign w:val="center"/>
          </w:tcPr>
          <w:p w14:paraId="70F72B94" w14:textId="1809F5EF" w:rsidR="00523227" w:rsidRPr="007C4A93" w:rsidRDefault="00523227" w:rsidP="00523227">
            <w:pPr>
              <w:pStyle w:val="Paragraph"/>
              <w:ind w:firstLine="0"/>
              <w:jc w:val="center"/>
            </w:pPr>
            <w:r w:rsidRPr="007C4A93">
              <w:t>7</w:t>
            </w:r>
          </w:p>
        </w:tc>
        <w:tc>
          <w:tcPr>
            <w:tcW w:w="855" w:type="dxa"/>
            <w:vAlign w:val="center"/>
          </w:tcPr>
          <w:p w14:paraId="554FD12A" w14:textId="512C8141" w:rsidR="00523227" w:rsidRPr="007C4A93" w:rsidRDefault="00523227" w:rsidP="00523227">
            <w:pPr>
              <w:pStyle w:val="Paragraph"/>
              <w:ind w:firstLine="0"/>
              <w:jc w:val="center"/>
            </w:pPr>
            <w:r w:rsidRPr="007C4A93">
              <w:t>3.33</w:t>
            </w:r>
          </w:p>
        </w:tc>
        <w:tc>
          <w:tcPr>
            <w:tcW w:w="855" w:type="dxa"/>
            <w:vAlign w:val="center"/>
          </w:tcPr>
          <w:p w14:paraId="72181098" w14:textId="336773A1" w:rsidR="00523227" w:rsidRPr="007C4A93" w:rsidRDefault="00523227" w:rsidP="00523227">
            <w:pPr>
              <w:pStyle w:val="Paragraph"/>
              <w:ind w:firstLine="0"/>
              <w:jc w:val="center"/>
            </w:pPr>
            <w:r w:rsidRPr="007C4A93">
              <w:t>0.49</w:t>
            </w:r>
          </w:p>
        </w:tc>
        <w:tc>
          <w:tcPr>
            <w:tcW w:w="683" w:type="dxa"/>
            <w:vAlign w:val="center"/>
          </w:tcPr>
          <w:p w14:paraId="20419D58" w14:textId="12E5E489" w:rsidR="00523227" w:rsidRPr="007C4A93" w:rsidRDefault="00523227" w:rsidP="00523227">
            <w:pPr>
              <w:pStyle w:val="Paragraph"/>
              <w:ind w:firstLine="0"/>
              <w:jc w:val="center"/>
            </w:pPr>
            <w:r w:rsidRPr="007C4A93">
              <w:t>6</w:t>
            </w:r>
          </w:p>
        </w:tc>
      </w:tr>
      <w:tr w:rsidR="001F1714" w:rsidRPr="007C4A93" w14:paraId="2C087D31" w14:textId="77777777" w:rsidTr="00523227">
        <w:trPr>
          <w:jc w:val="center"/>
        </w:trPr>
        <w:tc>
          <w:tcPr>
            <w:tcW w:w="1223" w:type="dxa"/>
            <w:vAlign w:val="center"/>
          </w:tcPr>
          <w:p w14:paraId="6D742E97" w14:textId="0BDD1EE7" w:rsidR="00523227" w:rsidRPr="007C4A93" w:rsidRDefault="00523227" w:rsidP="00523227">
            <w:pPr>
              <w:pStyle w:val="Paragraph"/>
              <w:ind w:firstLine="0"/>
              <w:jc w:val="left"/>
            </w:pPr>
            <w:r w:rsidRPr="007C4A93">
              <w:t>ZA  50</w:t>
            </w:r>
          </w:p>
        </w:tc>
        <w:tc>
          <w:tcPr>
            <w:tcW w:w="902" w:type="dxa"/>
            <w:vAlign w:val="center"/>
          </w:tcPr>
          <w:p w14:paraId="1D2C593C" w14:textId="135E8C26" w:rsidR="00523227" w:rsidRPr="007C4A93" w:rsidRDefault="00523227" w:rsidP="00523227">
            <w:pPr>
              <w:pStyle w:val="Paragraph"/>
              <w:ind w:firstLine="0"/>
              <w:jc w:val="center"/>
            </w:pPr>
            <w:r w:rsidRPr="007C4A93">
              <w:t>144</w:t>
            </w:r>
          </w:p>
        </w:tc>
        <w:tc>
          <w:tcPr>
            <w:tcW w:w="917" w:type="dxa"/>
            <w:vAlign w:val="center"/>
          </w:tcPr>
          <w:p w14:paraId="4968085F" w14:textId="22D21387" w:rsidR="00523227" w:rsidRPr="007C4A93" w:rsidRDefault="00523227" w:rsidP="00523227">
            <w:pPr>
              <w:pStyle w:val="Paragraph"/>
              <w:ind w:firstLine="0"/>
              <w:jc w:val="center"/>
            </w:pPr>
            <w:r w:rsidRPr="007C4A93">
              <w:t>41.72</w:t>
            </w:r>
          </w:p>
        </w:tc>
        <w:tc>
          <w:tcPr>
            <w:tcW w:w="940" w:type="dxa"/>
            <w:vAlign w:val="center"/>
          </w:tcPr>
          <w:p w14:paraId="3715F97B" w14:textId="78BE9A51" w:rsidR="00523227" w:rsidRPr="007C4A93" w:rsidRDefault="00523227" w:rsidP="00523227">
            <w:pPr>
              <w:pStyle w:val="Paragraph"/>
              <w:ind w:firstLine="0"/>
              <w:jc w:val="center"/>
            </w:pPr>
            <w:r w:rsidRPr="007C4A93">
              <w:t>0.29</w:t>
            </w:r>
          </w:p>
        </w:tc>
        <w:tc>
          <w:tcPr>
            <w:tcW w:w="683" w:type="dxa"/>
            <w:vAlign w:val="center"/>
          </w:tcPr>
          <w:p w14:paraId="6110BCC6" w14:textId="1913DBC6" w:rsidR="00523227" w:rsidRPr="007C4A93" w:rsidRDefault="00523227" w:rsidP="00523227">
            <w:pPr>
              <w:pStyle w:val="Paragraph"/>
              <w:ind w:firstLine="0"/>
              <w:jc w:val="center"/>
            </w:pPr>
            <w:r w:rsidRPr="007C4A93">
              <w:t>10</w:t>
            </w:r>
          </w:p>
        </w:tc>
        <w:tc>
          <w:tcPr>
            <w:tcW w:w="1550" w:type="dxa"/>
            <w:vAlign w:val="center"/>
          </w:tcPr>
          <w:p w14:paraId="337399C7" w14:textId="22CBB93D" w:rsidR="00523227" w:rsidRPr="007C4A93" w:rsidRDefault="00523227" w:rsidP="00523227">
            <w:pPr>
              <w:pStyle w:val="Paragraph"/>
              <w:ind w:firstLine="0"/>
              <w:jc w:val="left"/>
            </w:pPr>
            <w:r w:rsidRPr="007C4A93">
              <w:t>Urea Sub 50</w:t>
            </w:r>
          </w:p>
        </w:tc>
        <w:tc>
          <w:tcPr>
            <w:tcW w:w="844" w:type="dxa"/>
            <w:vAlign w:val="center"/>
          </w:tcPr>
          <w:p w14:paraId="74DF2482" w14:textId="7C8E1327" w:rsidR="00523227" w:rsidRPr="007C4A93" w:rsidRDefault="00523227" w:rsidP="00523227">
            <w:pPr>
              <w:pStyle w:val="Paragraph"/>
              <w:ind w:firstLine="0"/>
              <w:jc w:val="center"/>
            </w:pPr>
            <w:r w:rsidRPr="007C4A93">
              <w:t>36</w:t>
            </w:r>
          </w:p>
        </w:tc>
        <w:tc>
          <w:tcPr>
            <w:tcW w:w="855" w:type="dxa"/>
            <w:vAlign w:val="center"/>
          </w:tcPr>
          <w:p w14:paraId="2F88786D" w14:textId="7181AFA2" w:rsidR="00523227" w:rsidRPr="007C4A93" w:rsidRDefault="00523227" w:rsidP="00523227">
            <w:pPr>
              <w:pStyle w:val="Paragraph"/>
              <w:ind w:firstLine="0"/>
              <w:jc w:val="center"/>
            </w:pPr>
            <w:r w:rsidRPr="007C4A93">
              <w:t>9.58</w:t>
            </w:r>
          </w:p>
        </w:tc>
        <w:tc>
          <w:tcPr>
            <w:tcW w:w="855" w:type="dxa"/>
            <w:vAlign w:val="center"/>
          </w:tcPr>
          <w:p w14:paraId="2180C857" w14:textId="173BCC6B" w:rsidR="00523227" w:rsidRPr="007C4A93" w:rsidRDefault="00523227" w:rsidP="00523227">
            <w:pPr>
              <w:pStyle w:val="Paragraph"/>
              <w:ind w:firstLine="0"/>
              <w:jc w:val="center"/>
            </w:pPr>
            <w:r w:rsidRPr="007C4A93">
              <w:t>0.27</w:t>
            </w:r>
          </w:p>
        </w:tc>
        <w:tc>
          <w:tcPr>
            <w:tcW w:w="683" w:type="dxa"/>
            <w:vAlign w:val="center"/>
          </w:tcPr>
          <w:p w14:paraId="649263CE" w14:textId="187D21D5" w:rsidR="00523227" w:rsidRPr="007C4A93" w:rsidRDefault="00523227" w:rsidP="00523227">
            <w:pPr>
              <w:pStyle w:val="Paragraph"/>
              <w:ind w:firstLine="0"/>
              <w:jc w:val="center"/>
            </w:pPr>
            <w:r w:rsidRPr="007C4A93">
              <w:t>11</w:t>
            </w:r>
          </w:p>
        </w:tc>
      </w:tr>
      <w:tr w:rsidR="001F1714" w:rsidRPr="007C4A93" w14:paraId="43A31C8C" w14:textId="77777777" w:rsidTr="00523227">
        <w:trPr>
          <w:jc w:val="center"/>
        </w:trPr>
        <w:tc>
          <w:tcPr>
            <w:tcW w:w="1223" w:type="dxa"/>
            <w:vAlign w:val="center"/>
          </w:tcPr>
          <w:p w14:paraId="5CB78968" w14:textId="3CF74E3F" w:rsidR="00523227" w:rsidRPr="007C4A93" w:rsidRDefault="00523227" w:rsidP="00523227">
            <w:pPr>
              <w:pStyle w:val="Paragraph"/>
              <w:ind w:firstLine="0"/>
              <w:jc w:val="left"/>
            </w:pPr>
            <w:r w:rsidRPr="007C4A93">
              <w:t>Filler 50</w:t>
            </w:r>
          </w:p>
        </w:tc>
        <w:tc>
          <w:tcPr>
            <w:tcW w:w="902" w:type="dxa"/>
            <w:vAlign w:val="center"/>
          </w:tcPr>
          <w:p w14:paraId="081F3500" w14:textId="083ACE9A" w:rsidR="00523227" w:rsidRPr="007C4A93" w:rsidRDefault="00523227" w:rsidP="00523227">
            <w:pPr>
              <w:pStyle w:val="Paragraph"/>
              <w:ind w:firstLine="0"/>
              <w:jc w:val="center"/>
            </w:pPr>
            <w:r w:rsidRPr="007C4A93">
              <w:t>5</w:t>
            </w:r>
          </w:p>
        </w:tc>
        <w:tc>
          <w:tcPr>
            <w:tcW w:w="917" w:type="dxa"/>
            <w:vAlign w:val="center"/>
          </w:tcPr>
          <w:p w14:paraId="3040E8CA" w14:textId="5B5AADB6" w:rsidR="00523227" w:rsidRPr="007C4A93" w:rsidRDefault="00523227" w:rsidP="00523227">
            <w:pPr>
              <w:pStyle w:val="Paragraph"/>
              <w:ind w:firstLine="0"/>
              <w:jc w:val="center"/>
            </w:pPr>
            <w:r w:rsidRPr="007C4A93">
              <w:t>9</w:t>
            </w:r>
          </w:p>
        </w:tc>
        <w:tc>
          <w:tcPr>
            <w:tcW w:w="940" w:type="dxa"/>
            <w:vAlign w:val="center"/>
          </w:tcPr>
          <w:p w14:paraId="452F522B" w14:textId="2F90FAEA" w:rsidR="00523227" w:rsidRPr="007C4A93" w:rsidRDefault="00523227" w:rsidP="00523227">
            <w:pPr>
              <w:pStyle w:val="Paragraph"/>
              <w:ind w:firstLine="0"/>
              <w:jc w:val="center"/>
            </w:pPr>
            <w:r w:rsidRPr="007C4A93">
              <w:t>2</w:t>
            </w:r>
          </w:p>
        </w:tc>
        <w:tc>
          <w:tcPr>
            <w:tcW w:w="683" w:type="dxa"/>
            <w:vAlign w:val="center"/>
          </w:tcPr>
          <w:p w14:paraId="43700BB8" w14:textId="7D89FB97" w:rsidR="00523227" w:rsidRPr="007C4A93" w:rsidRDefault="00523227" w:rsidP="00523227">
            <w:pPr>
              <w:pStyle w:val="Paragraph"/>
              <w:ind w:firstLine="0"/>
              <w:jc w:val="center"/>
            </w:pPr>
            <w:r w:rsidRPr="007C4A93">
              <w:t>2</w:t>
            </w:r>
          </w:p>
        </w:tc>
        <w:tc>
          <w:tcPr>
            <w:tcW w:w="1550" w:type="dxa"/>
            <w:vAlign w:val="center"/>
          </w:tcPr>
          <w:p w14:paraId="62646338" w14:textId="6C1DF45E" w:rsidR="00523227" w:rsidRPr="007C4A93" w:rsidRDefault="00523227" w:rsidP="00523227">
            <w:pPr>
              <w:pStyle w:val="Paragraph"/>
              <w:ind w:firstLine="0"/>
              <w:jc w:val="left"/>
            </w:pPr>
            <w:r w:rsidRPr="007C4A93">
              <w:t>NPS 25</w:t>
            </w:r>
          </w:p>
        </w:tc>
        <w:tc>
          <w:tcPr>
            <w:tcW w:w="844" w:type="dxa"/>
            <w:vAlign w:val="center"/>
          </w:tcPr>
          <w:p w14:paraId="403F4990" w14:textId="5434AFA3" w:rsidR="00523227" w:rsidRPr="007C4A93" w:rsidRDefault="00523227" w:rsidP="00523227">
            <w:pPr>
              <w:pStyle w:val="Paragraph"/>
              <w:ind w:firstLine="0"/>
              <w:jc w:val="center"/>
            </w:pPr>
            <w:r w:rsidRPr="007C4A93">
              <w:t>2</w:t>
            </w:r>
          </w:p>
        </w:tc>
        <w:tc>
          <w:tcPr>
            <w:tcW w:w="855" w:type="dxa"/>
            <w:vAlign w:val="center"/>
          </w:tcPr>
          <w:p w14:paraId="56F5FA91" w14:textId="0442D2DD" w:rsidR="00523227" w:rsidRPr="007C4A93" w:rsidRDefault="00523227" w:rsidP="00523227">
            <w:pPr>
              <w:pStyle w:val="Paragraph"/>
              <w:ind w:firstLine="0"/>
              <w:jc w:val="center"/>
            </w:pPr>
            <w:r w:rsidRPr="007C4A93">
              <w:t>3.5</w:t>
            </w:r>
          </w:p>
        </w:tc>
        <w:tc>
          <w:tcPr>
            <w:tcW w:w="855" w:type="dxa"/>
            <w:vAlign w:val="center"/>
          </w:tcPr>
          <w:p w14:paraId="359A840A" w14:textId="12A0292D" w:rsidR="00523227" w:rsidRPr="007C4A93" w:rsidRDefault="00523227" w:rsidP="00523227">
            <w:pPr>
              <w:pStyle w:val="Paragraph"/>
              <w:ind w:firstLine="0"/>
              <w:jc w:val="center"/>
            </w:pPr>
            <w:r w:rsidRPr="007C4A93">
              <w:t>2.33</w:t>
            </w:r>
          </w:p>
        </w:tc>
        <w:tc>
          <w:tcPr>
            <w:tcW w:w="683" w:type="dxa"/>
            <w:vAlign w:val="center"/>
          </w:tcPr>
          <w:p w14:paraId="03C834AD" w14:textId="1387957D" w:rsidR="00523227" w:rsidRPr="007C4A93" w:rsidRDefault="00523227" w:rsidP="00523227">
            <w:pPr>
              <w:pStyle w:val="Paragraph"/>
              <w:ind w:firstLine="0"/>
              <w:jc w:val="center"/>
            </w:pPr>
            <w:r w:rsidRPr="007C4A93">
              <w:t>1</w:t>
            </w:r>
          </w:p>
        </w:tc>
      </w:tr>
      <w:tr w:rsidR="001F1714" w:rsidRPr="007C4A93" w14:paraId="1B18A137" w14:textId="77777777" w:rsidTr="00523227">
        <w:trPr>
          <w:jc w:val="center"/>
        </w:trPr>
        <w:tc>
          <w:tcPr>
            <w:tcW w:w="1223" w:type="dxa"/>
            <w:vAlign w:val="center"/>
          </w:tcPr>
          <w:p w14:paraId="638AF010" w14:textId="7681A7EA" w:rsidR="00523227" w:rsidRPr="007C4A93" w:rsidRDefault="00523227" w:rsidP="00523227">
            <w:pPr>
              <w:pStyle w:val="Paragraph"/>
              <w:ind w:firstLine="0"/>
              <w:jc w:val="left"/>
            </w:pPr>
            <w:r w:rsidRPr="007C4A93">
              <w:t>NPK 1</w:t>
            </w:r>
          </w:p>
        </w:tc>
        <w:tc>
          <w:tcPr>
            <w:tcW w:w="902" w:type="dxa"/>
            <w:vAlign w:val="center"/>
          </w:tcPr>
          <w:p w14:paraId="64288168" w14:textId="54BDDC17" w:rsidR="00523227" w:rsidRPr="007C4A93" w:rsidRDefault="00523227" w:rsidP="00523227">
            <w:pPr>
              <w:pStyle w:val="Paragraph"/>
              <w:ind w:firstLine="0"/>
              <w:jc w:val="center"/>
            </w:pPr>
            <w:r w:rsidRPr="007C4A93">
              <w:t>6</w:t>
            </w:r>
          </w:p>
        </w:tc>
        <w:tc>
          <w:tcPr>
            <w:tcW w:w="917" w:type="dxa"/>
            <w:vAlign w:val="center"/>
          </w:tcPr>
          <w:p w14:paraId="00F96CB2" w14:textId="34414247" w:rsidR="00523227" w:rsidRPr="007C4A93" w:rsidRDefault="00523227" w:rsidP="00523227">
            <w:pPr>
              <w:pStyle w:val="Paragraph"/>
              <w:ind w:firstLine="0"/>
              <w:jc w:val="center"/>
            </w:pPr>
            <w:r w:rsidRPr="007C4A93">
              <w:t>1.39</w:t>
            </w:r>
          </w:p>
        </w:tc>
        <w:tc>
          <w:tcPr>
            <w:tcW w:w="940" w:type="dxa"/>
            <w:vAlign w:val="center"/>
          </w:tcPr>
          <w:p w14:paraId="7BCB8A14" w14:textId="5E91DD4B" w:rsidR="00523227" w:rsidRPr="007C4A93" w:rsidRDefault="00523227" w:rsidP="00523227">
            <w:pPr>
              <w:pStyle w:val="Paragraph"/>
              <w:ind w:firstLine="0"/>
              <w:jc w:val="center"/>
            </w:pPr>
            <w:r w:rsidRPr="007C4A93">
              <w:t>0.23</w:t>
            </w:r>
          </w:p>
        </w:tc>
        <w:tc>
          <w:tcPr>
            <w:tcW w:w="683" w:type="dxa"/>
            <w:vAlign w:val="center"/>
          </w:tcPr>
          <w:p w14:paraId="4A7D21EB" w14:textId="5DDAF045" w:rsidR="00523227" w:rsidRPr="007C4A93" w:rsidRDefault="00523227" w:rsidP="00523227">
            <w:pPr>
              <w:pStyle w:val="Paragraph"/>
              <w:ind w:firstLine="0"/>
              <w:jc w:val="center"/>
            </w:pPr>
            <w:r w:rsidRPr="007C4A93">
              <w:t>12</w:t>
            </w:r>
          </w:p>
        </w:tc>
        <w:tc>
          <w:tcPr>
            <w:tcW w:w="1550" w:type="dxa"/>
            <w:vAlign w:val="center"/>
          </w:tcPr>
          <w:p w14:paraId="4487CC11" w14:textId="2558625D" w:rsidR="00523227" w:rsidRPr="007C4A93" w:rsidRDefault="00523227" w:rsidP="00523227">
            <w:pPr>
              <w:pStyle w:val="Paragraph"/>
              <w:ind w:firstLine="0"/>
              <w:jc w:val="left"/>
            </w:pPr>
            <w:r w:rsidRPr="007C4A93">
              <w:t>Organic 1</w:t>
            </w:r>
          </w:p>
        </w:tc>
        <w:tc>
          <w:tcPr>
            <w:tcW w:w="844" w:type="dxa"/>
            <w:vAlign w:val="center"/>
          </w:tcPr>
          <w:p w14:paraId="28AC93D9" w14:textId="4AC25A68" w:rsidR="00523227" w:rsidRPr="007C4A93" w:rsidRDefault="00523227" w:rsidP="00523227">
            <w:pPr>
              <w:pStyle w:val="Paragraph"/>
              <w:ind w:firstLine="0"/>
              <w:jc w:val="center"/>
            </w:pPr>
            <w:r w:rsidRPr="007C4A93">
              <w:t>2</w:t>
            </w:r>
          </w:p>
        </w:tc>
        <w:tc>
          <w:tcPr>
            <w:tcW w:w="855" w:type="dxa"/>
            <w:vAlign w:val="center"/>
          </w:tcPr>
          <w:p w14:paraId="7FB0C658" w14:textId="1D1332B5" w:rsidR="00523227" w:rsidRPr="007C4A93" w:rsidRDefault="00523227" w:rsidP="00523227">
            <w:pPr>
              <w:pStyle w:val="Paragraph"/>
              <w:ind w:firstLine="0"/>
              <w:jc w:val="center"/>
            </w:pPr>
            <w:r w:rsidRPr="007C4A93">
              <w:t>2.75</w:t>
            </w:r>
          </w:p>
        </w:tc>
        <w:tc>
          <w:tcPr>
            <w:tcW w:w="855" w:type="dxa"/>
            <w:vAlign w:val="center"/>
          </w:tcPr>
          <w:p w14:paraId="3BB607FE" w14:textId="048D04F4" w:rsidR="00523227" w:rsidRPr="007C4A93" w:rsidRDefault="00523227" w:rsidP="00523227">
            <w:pPr>
              <w:pStyle w:val="Paragraph"/>
              <w:ind w:firstLine="0"/>
              <w:jc w:val="center"/>
            </w:pPr>
            <w:r w:rsidRPr="007C4A93">
              <w:t>1.83</w:t>
            </w:r>
          </w:p>
        </w:tc>
        <w:tc>
          <w:tcPr>
            <w:tcW w:w="683" w:type="dxa"/>
            <w:vAlign w:val="center"/>
          </w:tcPr>
          <w:p w14:paraId="515D7603" w14:textId="537E9D39" w:rsidR="00523227" w:rsidRPr="007C4A93" w:rsidRDefault="00523227" w:rsidP="00523227">
            <w:pPr>
              <w:pStyle w:val="Paragraph"/>
              <w:ind w:firstLine="0"/>
              <w:jc w:val="center"/>
            </w:pPr>
            <w:r w:rsidRPr="007C4A93">
              <w:t>3</w:t>
            </w:r>
          </w:p>
        </w:tc>
      </w:tr>
      <w:tr w:rsidR="001F1714" w:rsidRPr="007C4A93" w14:paraId="20BF6792" w14:textId="77777777" w:rsidTr="00523227">
        <w:trPr>
          <w:jc w:val="center"/>
        </w:trPr>
        <w:tc>
          <w:tcPr>
            <w:tcW w:w="1223" w:type="dxa"/>
            <w:vAlign w:val="center"/>
          </w:tcPr>
          <w:p w14:paraId="03376219" w14:textId="6713C4D3" w:rsidR="00523227" w:rsidRPr="007C4A93" w:rsidRDefault="00523227" w:rsidP="00523227">
            <w:pPr>
              <w:pStyle w:val="Paragraph"/>
              <w:ind w:firstLine="0"/>
              <w:jc w:val="left"/>
            </w:pPr>
            <w:r w:rsidRPr="007C4A93">
              <w:t>NPK 5</w:t>
            </w:r>
          </w:p>
        </w:tc>
        <w:tc>
          <w:tcPr>
            <w:tcW w:w="902" w:type="dxa"/>
            <w:vAlign w:val="center"/>
          </w:tcPr>
          <w:p w14:paraId="7EBB0D4E" w14:textId="49734333" w:rsidR="00523227" w:rsidRPr="007C4A93" w:rsidRDefault="00523227" w:rsidP="00523227">
            <w:pPr>
              <w:pStyle w:val="Paragraph"/>
              <w:ind w:firstLine="0"/>
              <w:jc w:val="center"/>
            </w:pPr>
            <w:r w:rsidRPr="007C4A93">
              <w:t>19</w:t>
            </w:r>
          </w:p>
        </w:tc>
        <w:tc>
          <w:tcPr>
            <w:tcW w:w="917" w:type="dxa"/>
            <w:vAlign w:val="center"/>
          </w:tcPr>
          <w:p w14:paraId="68FA5A54" w14:textId="65E5E52D" w:rsidR="00523227" w:rsidRPr="007C4A93" w:rsidRDefault="00523227" w:rsidP="00523227">
            <w:pPr>
              <w:pStyle w:val="Paragraph"/>
              <w:ind w:firstLine="0"/>
              <w:jc w:val="center"/>
            </w:pPr>
            <w:r w:rsidRPr="007C4A93">
              <w:t>1</w:t>
            </w:r>
          </w:p>
        </w:tc>
        <w:tc>
          <w:tcPr>
            <w:tcW w:w="940" w:type="dxa"/>
            <w:vAlign w:val="center"/>
          </w:tcPr>
          <w:p w14:paraId="67683622" w14:textId="3F95CD88" w:rsidR="00523227" w:rsidRPr="007C4A93" w:rsidRDefault="00523227" w:rsidP="00523227">
            <w:pPr>
              <w:pStyle w:val="Paragraph"/>
              <w:ind w:firstLine="0"/>
              <w:jc w:val="center"/>
            </w:pPr>
            <w:r w:rsidRPr="007C4A93">
              <w:t>0.05</w:t>
            </w:r>
          </w:p>
        </w:tc>
        <w:tc>
          <w:tcPr>
            <w:tcW w:w="683" w:type="dxa"/>
            <w:vAlign w:val="center"/>
          </w:tcPr>
          <w:p w14:paraId="23F1AC97" w14:textId="70FAC09B" w:rsidR="00523227" w:rsidRPr="007C4A93" w:rsidRDefault="00523227" w:rsidP="00523227">
            <w:pPr>
              <w:pStyle w:val="Paragraph"/>
              <w:ind w:firstLine="0"/>
              <w:jc w:val="center"/>
            </w:pPr>
            <w:r w:rsidRPr="007C4A93">
              <w:t>15</w:t>
            </w:r>
          </w:p>
        </w:tc>
        <w:tc>
          <w:tcPr>
            <w:tcW w:w="1550" w:type="dxa"/>
            <w:vAlign w:val="center"/>
          </w:tcPr>
          <w:p w14:paraId="0976E876" w14:textId="3103A4C9" w:rsidR="00523227" w:rsidRPr="007C4A93" w:rsidRDefault="00523227" w:rsidP="00523227">
            <w:pPr>
              <w:pStyle w:val="Paragraph"/>
              <w:ind w:firstLine="0"/>
              <w:jc w:val="left"/>
            </w:pPr>
            <w:r w:rsidRPr="007C4A93">
              <w:t>Organic Sub 1</w:t>
            </w:r>
          </w:p>
        </w:tc>
        <w:tc>
          <w:tcPr>
            <w:tcW w:w="844" w:type="dxa"/>
            <w:vAlign w:val="center"/>
          </w:tcPr>
          <w:p w14:paraId="31C0B4E9" w14:textId="73D589EF" w:rsidR="00523227" w:rsidRPr="007C4A93" w:rsidRDefault="00523227" w:rsidP="00523227">
            <w:pPr>
              <w:pStyle w:val="Paragraph"/>
              <w:ind w:firstLine="0"/>
              <w:jc w:val="center"/>
            </w:pPr>
            <w:r w:rsidRPr="007C4A93">
              <w:t>3</w:t>
            </w:r>
          </w:p>
        </w:tc>
        <w:tc>
          <w:tcPr>
            <w:tcW w:w="855" w:type="dxa"/>
            <w:vAlign w:val="center"/>
          </w:tcPr>
          <w:p w14:paraId="48E91168" w14:textId="62198AA3" w:rsidR="00523227" w:rsidRPr="007C4A93" w:rsidRDefault="00523227" w:rsidP="00523227">
            <w:pPr>
              <w:pStyle w:val="Paragraph"/>
              <w:ind w:firstLine="0"/>
              <w:jc w:val="center"/>
            </w:pPr>
            <w:r w:rsidRPr="007C4A93">
              <w:t>1.53</w:t>
            </w:r>
          </w:p>
        </w:tc>
        <w:tc>
          <w:tcPr>
            <w:tcW w:w="855" w:type="dxa"/>
            <w:vAlign w:val="center"/>
          </w:tcPr>
          <w:p w14:paraId="304D968D" w14:textId="08E86FF3" w:rsidR="00523227" w:rsidRPr="007C4A93" w:rsidRDefault="00523227" w:rsidP="00523227">
            <w:pPr>
              <w:pStyle w:val="Paragraph"/>
              <w:ind w:firstLine="0"/>
              <w:jc w:val="center"/>
            </w:pPr>
            <w:r w:rsidRPr="007C4A93">
              <w:t>0.51</w:t>
            </w:r>
          </w:p>
        </w:tc>
        <w:tc>
          <w:tcPr>
            <w:tcW w:w="683" w:type="dxa"/>
            <w:vAlign w:val="center"/>
          </w:tcPr>
          <w:p w14:paraId="2B957BE9" w14:textId="3B62721E" w:rsidR="00523227" w:rsidRPr="007C4A93" w:rsidRDefault="00523227" w:rsidP="00523227">
            <w:pPr>
              <w:pStyle w:val="Paragraph"/>
              <w:ind w:firstLine="0"/>
              <w:jc w:val="center"/>
            </w:pPr>
            <w:r w:rsidRPr="007C4A93">
              <w:t>5</w:t>
            </w:r>
          </w:p>
        </w:tc>
      </w:tr>
      <w:tr w:rsidR="001F1714" w:rsidRPr="007C4A93" w14:paraId="695C0463" w14:textId="77777777" w:rsidTr="00523227">
        <w:trPr>
          <w:jc w:val="center"/>
        </w:trPr>
        <w:tc>
          <w:tcPr>
            <w:tcW w:w="1223" w:type="dxa"/>
            <w:vAlign w:val="center"/>
          </w:tcPr>
          <w:p w14:paraId="65C323CA" w14:textId="7C72C690" w:rsidR="00523227" w:rsidRPr="007C4A93" w:rsidRDefault="00523227" w:rsidP="00523227">
            <w:pPr>
              <w:pStyle w:val="Paragraph"/>
              <w:ind w:firstLine="0"/>
              <w:jc w:val="left"/>
            </w:pPr>
            <w:r w:rsidRPr="007C4A93">
              <w:t>NPK 25</w:t>
            </w:r>
          </w:p>
        </w:tc>
        <w:tc>
          <w:tcPr>
            <w:tcW w:w="902" w:type="dxa"/>
            <w:vAlign w:val="center"/>
          </w:tcPr>
          <w:p w14:paraId="0A40EC1B" w14:textId="6B21D55F" w:rsidR="00523227" w:rsidRPr="007C4A93" w:rsidRDefault="00523227" w:rsidP="00523227">
            <w:pPr>
              <w:pStyle w:val="Paragraph"/>
              <w:ind w:firstLine="0"/>
              <w:jc w:val="center"/>
            </w:pPr>
            <w:r w:rsidRPr="007C4A93">
              <w:t>2</w:t>
            </w:r>
          </w:p>
        </w:tc>
        <w:tc>
          <w:tcPr>
            <w:tcW w:w="917" w:type="dxa"/>
            <w:vAlign w:val="center"/>
          </w:tcPr>
          <w:p w14:paraId="77AE749D" w14:textId="0C038A29" w:rsidR="00523227" w:rsidRPr="007C4A93" w:rsidRDefault="00523227" w:rsidP="00523227">
            <w:pPr>
              <w:pStyle w:val="Paragraph"/>
              <w:ind w:firstLine="0"/>
              <w:jc w:val="center"/>
            </w:pPr>
            <w:r w:rsidRPr="007C4A93">
              <w:t>1.69</w:t>
            </w:r>
          </w:p>
        </w:tc>
        <w:tc>
          <w:tcPr>
            <w:tcW w:w="940" w:type="dxa"/>
            <w:vAlign w:val="center"/>
          </w:tcPr>
          <w:p w14:paraId="7ABC9CB3" w14:textId="7ED8090D" w:rsidR="00523227" w:rsidRPr="007C4A93" w:rsidRDefault="00523227" w:rsidP="00523227">
            <w:pPr>
              <w:pStyle w:val="Paragraph"/>
              <w:ind w:firstLine="0"/>
              <w:jc w:val="center"/>
            </w:pPr>
            <w:r w:rsidRPr="007C4A93">
              <w:t>1.13</w:t>
            </w:r>
          </w:p>
        </w:tc>
        <w:tc>
          <w:tcPr>
            <w:tcW w:w="683" w:type="dxa"/>
            <w:vAlign w:val="center"/>
          </w:tcPr>
          <w:p w14:paraId="30D46DFF" w14:textId="40E046D6" w:rsidR="00523227" w:rsidRPr="007C4A93" w:rsidRDefault="00523227" w:rsidP="00523227">
            <w:pPr>
              <w:pStyle w:val="Paragraph"/>
              <w:ind w:firstLine="0"/>
              <w:jc w:val="center"/>
            </w:pPr>
            <w:r w:rsidRPr="007C4A93">
              <w:t>4</w:t>
            </w:r>
          </w:p>
        </w:tc>
        <w:tc>
          <w:tcPr>
            <w:tcW w:w="1550" w:type="dxa"/>
            <w:vAlign w:val="center"/>
          </w:tcPr>
          <w:p w14:paraId="608CA9EC" w14:textId="581B83DC" w:rsidR="00523227" w:rsidRPr="007C4A93" w:rsidRDefault="00523227" w:rsidP="00523227">
            <w:pPr>
              <w:pStyle w:val="Paragraph"/>
              <w:ind w:firstLine="0"/>
              <w:jc w:val="left"/>
            </w:pPr>
            <w:r w:rsidRPr="007C4A93">
              <w:t>Nitrate 50</w:t>
            </w:r>
          </w:p>
        </w:tc>
        <w:tc>
          <w:tcPr>
            <w:tcW w:w="844" w:type="dxa"/>
            <w:vAlign w:val="center"/>
          </w:tcPr>
          <w:p w14:paraId="0F5FBE38" w14:textId="329E6CCF" w:rsidR="00523227" w:rsidRPr="007C4A93" w:rsidRDefault="00523227" w:rsidP="00523227">
            <w:pPr>
              <w:pStyle w:val="Paragraph"/>
              <w:ind w:firstLine="0"/>
              <w:jc w:val="center"/>
            </w:pPr>
            <w:r w:rsidRPr="007C4A93">
              <w:t>11</w:t>
            </w:r>
          </w:p>
        </w:tc>
        <w:tc>
          <w:tcPr>
            <w:tcW w:w="855" w:type="dxa"/>
            <w:vAlign w:val="center"/>
          </w:tcPr>
          <w:p w14:paraId="67112B01" w14:textId="02C10B88" w:rsidR="00523227" w:rsidRPr="007C4A93" w:rsidRDefault="00523227" w:rsidP="00523227">
            <w:pPr>
              <w:pStyle w:val="Paragraph"/>
              <w:ind w:firstLine="0"/>
              <w:jc w:val="center"/>
            </w:pPr>
            <w:r w:rsidRPr="007C4A93">
              <w:t>3.72</w:t>
            </w:r>
          </w:p>
        </w:tc>
        <w:tc>
          <w:tcPr>
            <w:tcW w:w="855" w:type="dxa"/>
            <w:vAlign w:val="center"/>
          </w:tcPr>
          <w:p w14:paraId="18ABBC34" w14:textId="42E41B13" w:rsidR="00523227" w:rsidRPr="007C4A93" w:rsidRDefault="00523227" w:rsidP="00523227">
            <w:pPr>
              <w:pStyle w:val="Paragraph"/>
              <w:ind w:firstLine="0"/>
              <w:jc w:val="center"/>
            </w:pPr>
            <w:r w:rsidRPr="007C4A93">
              <w:t>0.35</w:t>
            </w:r>
          </w:p>
        </w:tc>
        <w:tc>
          <w:tcPr>
            <w:tcW w:w="683" w:type="dxa"/>
            <w:vAlign w:val="center"/>
          </w:tcPr>
          <w:p w14:paraId="0F5FCD84" w14:textId="4AC0BDA4" w:rsidR="00523227" w:rsidRPr="007C4A93" w:rsidRDefault="00523227" w:rsidP="00523227">
            <w:pPr>
              <w:pStyle w:val="Paragraph"/>
              <w:ind w:firstLine="0"/>
              <w:jc w:val="center"/>
            </w:pPr>
            <w:r w:rsidRPr="007C4A93">
              <w:t>8</w:t>
            </w:r>
          </w:p>
        </w:tc>
      </w:tr>
      <w:tr w:rsidR="00523227" w:rsidRPr="007C4A93" w14:paraId="159D28CA" w14:textId="77777777" w:rsidTr="00523227">
        <w:trPr>
          <w:jc w:val="center"/>
        </w:trPr>
        <w:tc>
          <w:tcPr>
            <w:tcW w:w="1223" w:type="dxa"/>
            <w:vAlign w:val="center"/>
          </w:tcPr>
          <w:p w14:paraId="3F34E39A" w14:textId="3D805378" w:rsidR="00523227" w:rsidRPr="007C4A93" w:rsidRDefault="00523227" w:rsidP="00523227">
            <w:pPr>
              <w:pStyle w:val="Paragraph"/>
              <w:ind w:firstLine="0"/>
              <w:jc w:val="left"/>
            </w:pPr>
            <w:r w:rsidRPr="007C4A93">
              <w:t xml:space="preserve">NPK Sub </w:t>
            </w:r>
            <w:r w:rsidR="009A0666" w:rsidRPr="007C4A93">
              <w:t>25</w:t>
            </w:r>
          </w:p>
        </w:tc>
        <w:tc>
          <w:tcPr>
            <w:tcW w:w="902" w:type="dxa"/>
            <w:vAlign w:val="center"/>
          </w:tcPr>
          <w:p w14:paraId="6B0C6A2D" w14:textId="62BF7EF0" w:rsidR="00523227" w:rsidRPr="007C4A93" w:rsidRDefault="00523227" w:rsidP="00523227">
            <w:pPr>
              <w:pStyle w:val="Paragraph"/>
              <w:ind w:firstLine="0"/>
              <w:jc w:val="center"/>
            </w:pPr>
            <w:r w:rsidRPr="007C4A93">
              <w:t>4</w:t>
            </w:r>
          </w:p>
        </w:tc>
        <w:tc>
          <w:tcPr>
            <w:tcW w:w="917" w:type="dxa"/>
            <w:vAlign w:val="center"/>
          </w:tcPr>
          <w:p w14:paraId="56523B61" w14:textId="6775A782" w:rsidR="00523227" w:rsidRPr="007C4A93" w:rsidRDefault="00523227" w:rsidP="00523227">
            <w:pPr>
              <w:pStyle w:val="Paragraph"/>
              <w:ind w:firstLine="0"/>
              <w:jc w:val="center"/>
            </w:pPr>
            <w:r w:rsidRPr="007C4A93">
              <w:t>1.11</w:t>
            </w:r>
          </w:p>
        </w:tc>
        <w:tc>
          <w:tcPr>
            <w:tcW w:w="940" w:type="dxa"/>
            <w:vAlign w:val="center"/>
          </w:tcPr>
          <w:p w14:paraId="2BBCDBF8" w14:textId="27A81CC4" w:rsidR="00523227" w:rsidRPr="007C4A93" w:rsidRDefault="00523227" w:rsidP="00523227">
            <w:pPr>
              <w:pStyle w:val="Paragraph"/>
              <w:ind w:firstLine="0"/>
              <w:jc w:val="center"/>
            </w:pPr>
            <w:r w:rsidRPr="007C4A93">
              <w:t>0.3</w:t>
            </w:r>
          </w:p>
        </w:tc>
        <w:tc>
          <w:tcPr>
            <w:tcW w:w="683" w:type="dxa"/>
            <w:vAlign w:val="center"/>
          </w:tcPr>
          <w:p w14:paraId="074F89DF" w14:textId="77644C50" w:rsidR="00523227" w:rsidRPr="007C4A93" w:rsidRDefault="00523227" w:rsidP="00523227">
            <w:pPr>
              <w:pStyle w:val="Paragraph"/>
              <w:ind w:firstLine="0"/>
              <w:jc w:val="center"/>
            </w:pPr>
            <w:r w:rsidRPr="007C4A93">
              <w:t>9</w:t>
            </w:r>
          </w:p>
        </w:tc>
        <w:tc>
          <w:tcPr>
            <w:tcW w:w="4787" w:type="dxa"/>
            <w:gridSpan w:val="5"/>
            <w:vAlign w:val="center"/>
          </w:tcPr>
          <w:p w14:paraId="670DC075" w14:textId="77777777" w:rsidR="00523227" w:rsidRPr="007C4A93" w:rsidRDefault="00523227" w:rsidP="00523227">
            <w:pPr>
              <w:pStyle w:val="Paragraph"/>
              <w:ind w:firstLine="0"/>
              <w:jc w:val="center"/>
            </w:pPr>
          </w:p>
        </w:tc>
      </w:tr>
    </w:tbl>
    <w:p w14:paraId="1175868C" w14:textId="77777777" w:rsidR="002744A8" w:rsidRPr="001F1714" w:rsidRDefault="002744A8" w:rsidP="00E21161">
      <w:pPr>
        <w:pStyle w:val="Paragraph"/>
        <w:ind w:firstLine="0"/>
      </w:pPr>
    </w:p>
    <w:p w14:paraId="09BF60DF" w14:textId="36FC11C6" w:rsidR="009A6501" w:rsidRPr="001F1714" w:rsidRDefault="009A6501" w:rsidP="009A6501">
      <w:pPr>
        <w:pStyle w:val="Paragraph"/>
      </w:pPr>
      <w:r w:rsidRPr="001F1714">
        <w:t>This metric served as a prioritization tool to assign fixed storage locations, with SKUs possessing the highest ratios positioned nearest to the outbound area to reduce retrieval time. For instance, NPS 25, with a high (</w:t>
      </w:r>
      <m:oMath>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j</m:t>
            </m:r>
          </m:sub>
        </m:sSub>
      </m:oMath>
      <w:r w:rsidRPr="001F1714">
        <w:t>) ratio was placed closest to the dispatch point, while NPK 5, as low items, were allocated to peripheral zones. This placement strategy adheres to dedicated storage principles, which advocate locations based on item velocity and handling priority.</w:t>
      </w:r>
    </w:p>
    <w:p w14:paraId="31FDA862" w14:textId="50AEB18F" w:rsidR="00694048" w:rsidRDefault="002B5B47" w:rsidP="00887C29">
      <w:pPr>
        <w:pStyle w:val="Paragraph"/>
      </w:pPr>
      <w:r w:rsidRPr="001F1714">
        <w:lastRenderedPageBreak/>
        <w:t>The proposed warehouse layout</w:t>
      </w:r>
      <w:r w:rsidR="00565F4A" w:rsidRPr="001F1714">
        <w:t>,</w:t>
      </w:r>
      <w:r w:rsidRPr="001F1714">
        <w:t xml:space="preserve"> </w:t>
      </w:r>
      <w:r w:rsidR="00694048" w:rsidRPr="001F1714">
        <w:t xml:space="preserve">as visualized in Fig. 6, </w:t>
      </w:r>
      <w:r w:rsidRPr="001F1714">
        <w:t xml:space="preserve">is an integrated spatial solution that combines SLP with </w:t>
      </w:r>
      <w:r w:rsidR="00565F4A" w:rsidRPr="001F1714">
        <w:t xml:space="preserve">a </w:t>
      </w:r>
      <w:r w:rsidRPr="001F1714">
        <w:t xml:space="preserve">dedicated storage </w:t>
      </w:r>
      <w:r w:rsidR="00565F4A" w:rsidRPr="001F1714">
        <w:t>policy. From</w:t>
      </w:r>
      <w:r w:rsidRPr="001F1714">
        <w:t xml:space="preserve"> the SLP analysis, the new configuration ensures a logical sequencing of functional areas that mirrors the actual workflow of ZA fertilizer processing. High-interaction zones—such as Bulk ZA Storage, Color Mixing Station, and the Semi-Automatic Bagging Unit—are co-located to minimize material handling time and facilitate uninterrupted processing. The Loading/Unloading Area is also repositioned to be near the palletized product staging zone, supporting efficient outbound logistics and reducing congestion.</w:t>
      </w:r>
      <w:r w:rsidR="009A0666" w:rsidRPr="001F1714">
        <w:t xml:space="preserve"> </w:t>
      </w:r>
    </w:p>
    <w:p w14:paraId="58DE8893" w14:textId="77777777" w:rsidR="007C4A93" w:rsidRPr="001F1714" w:rsidRDefault="007C4A93" w:rsidP="00887C29">
      <w:pPr>
        <w:pStyle w:val="Paragraph"/>
      </w:pPr>
    </w:p>
    <w:p w14:paraId="2DE9AFAA" w14:textId="77777777" w:rsidR="002B5B47" w:rsidRPr="001F1714" w:rsidRDefault="002B5B47" w:rsidP="00D13785">
      <w:pPr>
        <w:pStyle w:val="Paragraph"/>
        <w:jc w:val="center"/>
      </w:pPr>
      <w:r w:rsidRPr="001F1714">
        <w:rPr>
          <w:noProof/>
        </w:rPr>
        <w:drawing>
          <wp:inline distT="0" distB="0" distL="0" distR="0" wp14:anchorId="7F66B745" wp14:editId="3531D77C">
            <wp:extent cx="4680000" cy="3191175"/>
            <wp:effectExtent l="0" t="0" r="6350" b="9525"/>
            <wp:docPr id="673648309" name="Picture 7" descr="A computer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48309" name="Picture 7" descr="A computer screen shot of a compu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3191175"/>
                    </a:xfrm>
                    <a:prstGeom prst="rect">
                      <a:avLst/>
                    </a:prstGeom>
                    <a:noFill/>
                  </pic:spPr>
                </pic:pic>
              </a:graphicData>
            </a:graphic>
          </wp:inline>
        </w:drawing>
      </w:r>
    </w:p>
    <w:p w14:paraId="56CEA725" w14:textId="77777777" w:rsidR="00D13785" w:rsidRPr="001F1714" w:rsidRDefault="00D13785" w:rsidP="00D13785">
      <w:pPr>
        <w:pStyle w:val="Paragraph"/>
        <w:keepNext/>
        <w:jc w:val="center"/>
      </w:pPr>
      <w:r w:rsidRPr="001F1714">
        <w:rPr>
          <w:noProof/>
        </w:rPr>
        <w:drawing>
          <wp:inline distT="0" distB="0" distL="0" distR="0" wp14:anchorId="3B4FE643" wp14:editId="034160F3">
            <wp:extent cx="2111022" cy="541655"/>
            <wp:effectExtent l="0" t="0" r="3810" b="0"/>
            <wp:docPr id="90556073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35756" name="Picture 1" descr="A screenshot of a computer&#10;&#10;AI-generated content may be incorrect."/>
                    <pic:cNvPicPr/>
                  </pic:nvPicPr>
                  <pic:blipFill rotWithShape="1">
                    <a:blip r:embed="rId12"/>
                    <a:srcRect l="4463" t="51831" r="42892" b="14739"/>
                    <a:stretch>
                      <a:fillRect/>
                    </a:stretch>
                  </pic:blipFill>
                  <pic:spPr bwMode="auto">
                    <a:xfrm>
                      <a:off x="0" y="0"/>
                      <a:ext cx="2282139" cy="585561"/>
                    </a:xfrm>
                    <a:prstGeom prst="rect">
                      <a:avLst/>
                    </a:prstGeom>
                    <a:ln>
                      <a:noFill/>
                    </a:ln>
                    <a:extLst>
                      <a:ext uri="{53640926-AAD7-44D8-BBD7-CCE9431645EC}">
                        <a14:shadowObscured xmlns:a14="http://schemas.microsoft.com/office/drawing/2010/main"/>
                      </a:ext>
                    </a:extLst>
                  </pic:spPr>
                </pic:pic>
              </a:graphicData>
            </a:graphic>
          </wp:inline>
        </w:drawing>
      </w:r>
    </w:p>
    <w:p w14:paraId="1694B1A0" w14:textId="4712DBB8" w:rsidR="002B5B47" w:rsidRPr="001F1714" w:rsidRDefault="009A0666" w:rsidP="00D13785">
      <w:pPr>
        <w:pStyle w:val="Caption"/>
        <w:jc w:val="center"/>
        <w:rPr>
          <w:i w:val="0"/>
          <w:iCs w:val="0"/>
          <w:color w:val="auto"/>
        </w:rPr>
      </w:pPr>
      <w:r w:rsidRPr="001F1714">
        <w:rPr>
          <w:b/>
          <w:bCs/>
          <w:i w:val="0"/>
          <w:iCs w:val="0"/>
          <w:color w:val="auto"/>
        </w:rPr>
        <w:t xml:space="preserve">FIGURE </w:t>
      </w:r>
      <w:r w:rsidR="00D13785" w:rsidRPr="001F1714">
        <w:rPr>
          <w:b/>
          <w:bCs/>
          <w:i w:val="0"/>
          <w:iCs w:val="0"/>
          <w:color w:val="auto"/>
        </w:rPr>
        <w:fldChar w:fldCharType="begin"/>
      </w:r>
      <w:r w:rsidR="00D13785" w:rsidRPr="001F1714">
        <w:rPr>
          <w:b/>
          <w:bCs/>
          <w:i w:val="0"/>
          <w:iCs w:val="0"/>
          <w:color w:val="auto"/>
        </w:rPr>
        <w:instrText xml:space="preserve"> SEQ Figure \* ARABIC </w:instrText>
      </w:r>
      <w:r w:rsidR="00D13785" w:rsidRPr="001F1714">
        <w:rPr>
          <w:b/>
          <w:bCs/>
          <w:i w:val="0"/>
          <w:iCs w:val="0"/>
          <w:color w:val="auto"/>
        </w:rPr>
        <w:fldChar w:fldCharType="separate"/>
      </w:r>
      <w:r w:rsidR="003B6279">
        <w:rPr>
          <w:b/>
          <w:bCs/>
          <w:i w:val="0"/>
          <w:iCs w:val="0"/>
          <w:noProof/>
          <w:color w:val="auto"/>
        </w:rPr>
        <w:t>5</w:t>
      </w:r>
      <w:r w:rsidR="00D13785" w:rsidRPr="001F1714">
        <w:rPr>
          <w:b/>
          <w:bCs/>
          <w:i w:val="0"/>
          <w:iCs w:val="0"/>
          <w:color w:val="auto"/>
        </w:rPr>
        <w:fldChar w:fldCharType="end"/>
      </w:r>
      <w:r w:rsidRPr="001F1714">
        <w:rPr>
          <w:b/>
          <w:bCs/>
          <w:i w:val="0"/>
          <w:iCs w:val="0"/>
          <w:color w:val="auto"/>
        </w:rPr>
        <w:t>.</w:t>
      </w:r>
      <w:r w:rsidRPr="001F1714">
        <w:rPr>
          <w:i w:val="0"/>
          <w:iCs w:val="0"/>
          <w:color w:val="auto"/>
        </w:rPr>
        <w:t xml:space="preserve"> Proposed Warehouse Layout</w:t>
      </w:r>
    </w:p>
    <w:p w14:paraId="5FC0F8C8" w14:textId="1C4748D9" w:rsidR="00C57386" w:rsidRPr="001F1714" w:rsidRDefault="007F6046" w:rsidP="00887C29">
      <w:pPr>
        <w:pStyle w:val="Paragraph"/>
      </w:pPr>
      <w:r w:rsidRPr="001F1714">
        <w:t>To assess layout performance, a dual-distance analysis was conducted covering both processing activities and storage movements</w:t>
      </w:r>
      <w:r w:rsidR="00C57386" w:rsidRPr="001F1714">
        <w:t xml:space="preserve">, as displayed in Table 4. </w:t>
      </w:r>
    </w:p>
    <w:p w14:paraId="30F40FB3" w14:textId="0AB2EB00" w:rsidR="00C57386" w:rsidRPr="001F1714" w:rsidRDefault="0084237B" w:rsidP="0084237B">
      <w:pPr>
        <w:pStyle w:val="Caption"/>
        <w:keepNext/>
        <w:spacing w:before="240" w:after="0"/>
        <w:jc w:val="center"/>
        <w:rPr>
          <w:i w:val="0"/>
          <w:iCs w:val="0"/>
          <w:color w:val="auto"/>
        </w:rPr>
      </w:pPr>
      <w:r w:rsidRPr="001F1714">
        <w:rPr>
          <w:b/>
          <w:bCs/>
          <w:i w:val="0"/>
          <w:iCs w:val="0"/>
          <w:color w:val="auto"/>
        </w:rPr>
        <w:t xml:space="preserve">TABLE </w:t>
      </w:r>
      <w:r w:rsidR="00C57386" w:rsidRPr="001F1714">
        <w:rPr>
          <w:b/>
          <w:bCs/>
          <w:i w:val="0"/>
          <w:iCs w:val="0"/>
          <w:color w:val="auto"/>
        </w:rPr>
        <w:fldChar w:fldCharType="begin"/>
      </w:r>
      <w:r w:rsidR="00C57386" w:rsidRPr="001F1714">
        <w:rPr>
          <w:b/>
          <w:bCs/>
          <w:i w:val="0"/>
          <w:iCs w:val="0"/>
          <w:color w:val="auto"/>
        </w:rPr>
        <w:instrText xml:space="preserve"> SEQ Table \* ARABIC </w:instrText>
      </w:r>
      <w:r w:rsidR="00C57386" w:rsidRPr="001F1714">
        <w:rPr>
          <w:b/>
          <w:bCs/>
          <w:i w:val="0"/>
          <w:iCs w:val="0"/>
          <w:color w:val="auto"/>
        </w:rPr>
        <w:fldChar w:fldCharType="separate"/>
      </w:r>
      <w:r w:rsidR="003B6279">
        <w:rPr>
          <w:b/>
          <w:bCs/>
          <w:i w:val="0"/>
          <w:iCs w:val="0"/>
          <w:noProof/>
          <w:color w:val="auto"/>
        </w:rPr>
        <w:t>4</w:t>
      </w:r>
      <w:r w:rsidR="00C57386" w:rsidRPr="001F1714">
        <w:rPr>
          <w:b/>
          <w:bCs/>
          <w:i w:val="0"/>
          <w:iCs w:val="0"/>
          <w:color w:val="auto"/>
        </w:rPr>
        <w:fldChar w:fldCharType="end"/>
      </w:r>
      <w:r w:rsidRPr="001F1714">
        <w:rPr>
          <w:b/>
          <w:bCs/>
          <w:i w:val="0"/>
          <w:iCs w:val="0"/>
          <w:color w:val="auto"/>
        </w:rPr>
        <w:t>.</w:t>
      </w:r>
      <w:r w:rsidRPr="001F1714">
        <w:rPr>
          <w:i w:val="0"/>
          <w:iCs w:val="0"/>
          <w:color w:val="auto"/>
        </w:rPr>
        <w:t xml:space="preserve"> </w:t>
      </w:r>
      <w:r w:rsidR="00F56D92" w:rsidRPr="001F1714">
        <w:rPr>
          <w:i w:val="0"/>
          <w:iCs w:val="0"/>
          <w:color w:val="auto"/>
        </w:rPr>
        <w:t xml:space="preserve">Comparison </w:t>
      </w:r>
      <w:r w:rsidRPr="001F1714">
        <w:rPr>
          <w:i w:val="0"/>
          <w:iCs w:val="0"/>
          <w:color w:val="auto"/>
        </w:rPr>
        <w:t>Travel Distance: Existing and Proposed Layout</w:t>
      </w:r>
    </w:p>
    <w:tbl>
      <w:tblPr>
        <w:tblStyle w:val="TableGrid"/>
        <w:tblW w:w="0" w:type="auto"/>
        <w:jc w:val="center"/>
        <w:tblLook w:val="04A0" w:firstRow="1" w:lastRow="0" w:firstColumn="1" w:lastColumn="0" w:noHBand="0" w:noVBand="1"/>
      </w:tblPr>
      <w:tblGrid>
        <w:gridCol w:w="1696"/>
        <w:gridCol w:w="3402"/>
        <w:gridCol w:w="2410"/>
      </w:tblGrid>
      <w:tr w:rsidR="001F1714" w:rsidRPr="007C4A93" w14:paraId="420B89C7" w14:textId="77777777" w:rsidTr="007C4A93">
        <w:trPr>
          <w:jc w:val="center"/>
        </w:trPr>
        <w:tc>
          <w:tcPr>
            <w:tcW w:w="1696" w:type="dxa"/>
          </w:tcPr>
          <w:p w14:paraId="091502C7" w14:textId="77777777" w:rsidR="00C57386" w:rsidRPr="007C4A93" w:rsidRDefault="00C57386" w:rsidP="000F2015">
            <w:pPr>
              <w:pStyle w:val="Paragraph"/>
              <w:ind w:firstLine="0"/>
            </w:pPr>
          </w:p>
        </w:tc>
        <w:tc>
          <w:tcPr>
            <w:tcW w:w="3402" w:type="dxa"/>
          </w:tcPr>
          <w:p w14:paraId="061831E9" w14:textId="77777777" w:rsidR="00C57386" w:rsidRPr="007C4A93" w:rsidRDefault="00C57386" w:rsidP="000F2015">
            <w:pPr>
              <w:pStyle w:val="Paragraph"/>
              <w:ind w:firstLine="0"/>
              <w:jc w:val="center"/>
              <w:rPr>
                <w:b/>
                <w:bCs/>
              </w:rPr>
            </w:pPr>
            <w:r w:rsidRPr="007C4A93">
              <w:rPr>
                <w:b/>
                <w:bCs/>
              </w:rPr>
              <w:t>Distance for Processing Activity (m)</w:t>
            </w:r>
          </w:p>
        </w:tc>
        <w:tc>
          <w:tcPr>
            <w:tcW w:w="2410" w:type="dxa"/>
          </w:tcPr>
          <w:p w14:paraId="693F7229" w14:textId="77777777" w:rsidR="00C57386" w:rsidRPr="007C4A93" w:rsidRDefault="00C57386" w:rsidP="000F2015">
            <w:pPr>
              <w:pStyle w:val="Paragraph"/>
              <w:ind w:firstLine="0"/>
              <w:jc w:val="center"/>
              <w:rPr>
                <w:b/>
                <w:bCs/>
              </w:rPr>
            </w:pPr>
            <w:r w:rsidRPr="007C4A93">
              <w:rPr>
                <w:b/>
                <w:bCs/>
              </w:rPr>
              <w:t>Distance for Storing (m)</w:t>
            </w:r>
          </w:p>
        </w:tc>
      </w:tr>
      <w:tr w:rsidR="001F1714" w:rsidRPr="007C4A93" w14:paraId="235B75E9" w14:textId="77777777" w:rsidTr="007C4A93">
        <w:trPr>
          <w:jc w:val="center"/>
        </w:trPr>
        <w:tc>
          <w:tcPr>
            <w:tcW w:w="1696" w:type="dxa"/>
          </w:tcPr>
          <w:p w14:paraId="4FB16CEF" w14:textId="77777777" w:rsidR="00C57386" w:rsidRPr="007C4A93" w:rsidRDefault="00C57386" w:rsidP="000F2015">
            <w:pPr>
              <w:pStyle w:val="Paragraph"/>
              <w:ind w:firstLine="0"/>
            </w:pPr>
            <w:r w:rsidRPr="007C4A93">
              <w:t>Existing Layout</w:t>
            </w:r>
          </w:p>
        </w:tc>
        <w:tc>
          <w:tcPr>
            <w:tcW w:w="3402" w:type="dxa"/>
          </w:tcPr>
          <w:p w14:paraId="64ACFE44" w14:textId="77777777" w:rsidR="00C57386" w:rsidRPr="007C4A93" w:rsidRDefault="00C57386" w:rsidP="000F2015">
            <w:pPr>
              <w:pStyle w:val="Paragraph"/>
              <w:ind w:firstLine="0"/>
              <w:jc w:val="center"/>
            </w:pPr>
            <w:r w:rsidRPr="007C4A93">
              <w:rPr>
                <w:rStyle w:val="Strong"/>
                <w:b w:val="0"/>
                <w:bCs w:val="0"/>
              </w:rPr>
              <w:t>199.5</w:t>
            </w:r>
          </w:p>
        </w:tc>
        <w:tc>
          <w:tcPr>
            <w:tcW w:w="2410" w:type="dxa"/>
          </w:tcPr>
          <w:p w14:paraId="5BA350B1" w14:textId="77777777" w:rsidR="00C57386" w:rsidRPr="007C4A93" w:rsidRDefault="00C57386" w:rsidP="000F2015">
            <w:pPr>
              <w:pStyle w:val="Paragraph"/>
              <w:ind w:firstLine="0"/>
              <w:jc w:val="center"/>
            </w:pPr>
            <w:r w:rsidRPr="007C4A93">
              <w:t>14106.79</w:t>
            </w:r>
          </w:p>
        </w:tc>
      </w:tr>
      <w:tr w:rsidR="001F1714" w:rsidRPr="007C4A93" w14:paraId="3CFA1F80" w14:textId="77777777" w:rsidTr="007C4A93">
        <w:trPr>
          <w:jc w:val="center"/>
        </w:trPr>
        <w:tc>
          <w:tcPr>
            <w:tcW w:w="1696" w:type="dxa"/>
          </w:tcPr>
          <w:p w14:paraId="06C73CCC" w14:textId="77777777" w:rsidR="00C57386" w:rsidRPr="007C4A93" w:rsidRDefault="00C57386" w:rsidP="000F2015">
            <w:pPr>
              <w:pStyle w:val="Paragraph"/>
              <w:ind w:firstLine="0"/>
            </w:pPr>
            <w:r w:rsidRPr="007C4A93">
              <w:t xml:space="preserve">Proposed Layout </w:t>
            </w:r>
          </w:p>
        </w:tc>
        <w:tc>
          <w:tcPr>
            <w:tcW w:w="3402" w:type="dxa"/>
          </w:tcPr>
          <w:p w14:paraId="247406B9" w14:textId="77777777" w:rsidR="00C57386" w:rsidRPr="007C4A93" w:rsidRDefault="00C57386" w:rsidP="000F2015">
            <w:pPr>
              <w:pStyle w:val="Paragraph"/>
              <w:ind w:firstLine="0"/>
              <w:jc w:val="center"/>
            </w:pPr>
            <w:r w:rsidRPr="007C4A93">
              <w:rPr>
                <w:rStyle w:val="Strong"/>
                <w:b w:val="0"/>
                <w:bCs w:val="0"/>
              </w:rPr>
              <w:t>135</w:t>
            </w:r>
          </w:p>
        </w:tc>
        <w:tc>
          <w:tcPr>
            <w:tcW w:w="2410" w:type="dxa"/>
          </w:tcPr>
          <w:p w14:paraId="1232ABEB" w14:textId="77777777" w:rsidR="00C57386" w:rsidRPr="007C4A93" w:rsidRDefault="00C57386" w:rsidP="000F2015">
            <w:pPr>
              <w:pStyle w:val="Paragraph"/>
              <w:ind w:firstLine="0"/>
              <w:jc w:val="center"/>
            </w:pPr>
            <w:r w:rsidRPr="007C4A93">
              <w:t>6304.60</w:t>
            </w:r>
          </w:p>
        </w:tc>
      </w:tr>
      <w:tr w:rsidR="00C57386" w:rsidRPr="007C4A93" w14:paraId="7D9FC97F" w14:textId="77777777" w:rsidTr="007C4A93">
        <w:trPr>
          <w:jc w:val="center"/>
        </w:trPr>
        <w:tc>
          <w:tcPr>
            <w:tcW w:w="1696" w:type="dxa"/>
          </w:tcPr>
          <w:p w14:paraId="62975620" w14:textId="77777777" w:rsidR="00C57386" w:rsidRPr="007C4A93" w:rsidRDefault="00C57386" w:rsidP="000F2015">
            <w:pPr>
              <w:pStyle w:val="Paragraph"/>
              <w:ind w:firstLine="0"/>
            </w:pPr>
            <w:r w:rsidRPr="007C4A93">
              <w:t>Improvement</w:t>
            </w:r>
          </w:p>
        </w:tc>
        <w:tc>
          <w:tcPr>
            <w:tcW w:w="3402" w:type="dxa"/>
          </w:tcPr>
          <w:p w14:paraId="62D007A7" w14:textId="77777777" w:rsidR="00C57386" w:rsidRPr="007C4A93" w:rsidRDefault="00C57386" w:rsidP="000F2015">
            <w:pPr>
              <w:pStyle w:val="Paragraph"/>
              <w:ind w:firstLine="0"/>
              <w:jc w:val="center"/>
            </w:pPr>
            <w:r w:rsidRPr="007C4A93">
              <w:t>32.34%</w:t>
            </w:r>
          </w:p>
        </w:tc>
        <w:tc>
          <w:tcPr>
            <w:tcW w:w="2410" w:type="dxa"/>
          </w:tcPr>
          <w:p w14:paraId="61C27F70" w14:textId="7AF042B8" w:rsidR="00C57386" w:rsidRPr="007C4A93" w:rsidRDefault="00C57386" w:rsidP="000F2015">
            <w:pPr>
              <w:pStyle w:val="Paragraph"/>
              <w:ind w:firstLine="0"/>
              <w:jc w:val="center"/>
            </w:pPr>
            <w:r w:rsidRPr="007C4A93">
              <w:t>55.</w:t>
            </w:r>
            <w:r w:rsidR="00834697" w:rsidRPr="007C4A93">
              <w:t>32</w:t>
            </w:r>
            <w:r w:rsidRPr="007C4A93">
              <w:t>%</w:t>
            </w:r>
          </w:p>
        </w:tc>
      </w:tr>
    </w:tbl>
    <w:p w14:paraId="7B3FCD16" w14:textId="77777777" w:rsidR="0084237B" w:rsidRPr="001F1714" w:rsidRDefault="0084237B" w:rsidP="00C57386">
      <w:pPr>
        <w:pStyle w:val="Paragraph"/>
      </w:pPr>
    </w:p>
    <w:p w14:paraId="15F6D0F7" w14:textId="4E99BEF6" w:rsidR="00C57386" w:rsidRPr="001F1714" w:rsidRDefault="007F6046" w:rsidP="00C57386">
      <w:pPr>
        <w:pStyle w:val="Paragraph"/>
      </w:pPr>
      <w:r w:rsidRPr="001F1714">
        <w:t xml:space="preserve">The first component, </w:t>
      </w:r>
      <w:r w:rsidRPr="001F1714">
        <w:rPr>
          <w:i/>
          <w:iCs/>
        </w:rPr>
        <w:t>Distance for Processing Activity</w:t>
      </w:r>
      <w:r w:rsidRPr="001F1714">
        <w:t xml:space="preserve">, was measured using SLP principles by calculating the total rectilinear distance between interrelated workstations—such as mixing, bagging, and staging—reflecting material flow efficiency across functional areas. The second component, </w:t>
      </w:r>
      <w:r w:rsidRPr="001F1714">
        <w:rPr>
          <w:i/>
          <w:iCs/>
        </w:rPr>
        <w:t>Distance for Storing</w:t>
      </w:r>
      <w:r w:rsidRPr="001F1714">
        <w:t>, quantified the travel distance between each SKU’s fixed pallet location and the nearest input/output (I/O) point, weighted by the product’s throughput-to-space ratio. Under the existing layout, the processing distance totaled 199.5 meters, while storage-related movement reached 14,106.79 meters. In contrast, the proposed layout reduced these figures to 135 meters and 6,304.60 meters, respectively, representing improvements of 32.34% in process efficiency and 55.29% in storage-related travel distance. This significant reduction is attributed to the dedicated storage policy, which positions high-throughput SKUs (e.g., NPS 25 and Filler 50) closer to dispatch points</w:t>
      </w:r>
      <w:r w:rsidR="00C57386" w:rsidRPr="001F1714">
        <w:t xml:space="preserve">. </w:t>
      </w:r>
    </w:p>
    <w:p w14:paraId="6E2173F9" w14:textId="77777777" w:rsidR="0084237B" w:rsidRPr="001F1714" w:rsidRDefault="0084237B" w:rsidP="0084237B">
      <w:pPr>
        <w:pStyle w:val="Heading1"/>
      </w:pPr>
      <w:r w:rsidRPr="001F1714">
        <w:lastRenderedPageBreak/>
        <w:t xml:space="preserve">ACKNOWLEDGMENTS </w:t>
      </w:r>
    </w:p>
    <w:p w14:paraId="7FB9038B" w14:textId="5CE006DA" w:rsidR="0084237B" w:rsidRPr="001F1714" w:rsidRDefault="0084237B" w:rsidP="00EE6C24">
      <w:pPr>
        <w:pStyle w:val="Paragraph"/>
      </w:pPr>
      <w:r w:rsidRPr="001F1714">
        <w:t xml:space="preserve">The author expresses his gratitude to LPPM UISI for providing financial support to complete this research through conference research grants in 2025. </w:t>
      </w:r>
    </w:p>
    <w:p w14:paraId="314D33AD" w14:textId="0CAAF7F3" w:rsidR="00887C29" w:rsidRPr="001F1714" w:rsidRDefault="00887C29" w:rsidP="00C57386">
      <w:pPr>
        <w:pStyle w:val="Heading1"/>
        <w:rPr>
          <w:sz w:val="20"/>
        </w:rPr>
      </w:pPr>
      <w:r w:rsidRPr="001F1714">
        <w:t>REFERENCES</w:t>
      </w:r>
    </w:p>
    <w:p w14:paraId="44188C2F" w14:textId="0BB4C744" w:rsidR="00A25D2B" w:rsidRPr="001F1714" w:rsidRDefault="00A25D2B">
      <w:pPr>
        <w:pStyle w:val="Caption"/>
        <w:keepNext/>
        <w:numPr>
          <w:ilvl w:val="0"/>
          <w:numId w:val="5"/>
        </w:numPr>
        <w:tabs>
          <w:tab w:val="left" w:pos="142"/>
        </w:tabs>
        <w:spacing w:before="240" w:after="0"/>
        <w:ind w:left="426" w:hanging="426"/>
        <w:jc w:val="both"/>
        <w:rPr>
          <w:i w:val="0"/>
          <w:iCs w:val="0"/>
          <w:color w:val="auto"/>
          <w:sz w:val="20"/>
          <w:szCs w:val="20"/>
        </w:rPr>
      </w:pPr>
      <w:proofErr w:type="spellStart"/>
      <w:r w:rsidRPr="001F1714">
        <w:rPr>
          <w:i w:val="0"/>
          <w:iCs w:val="0"/>
          <w:color w:val="auto"/>
          <w:sz w:val="20"/>
          <w:szCs w:val="20"/>
        </w:rPr>
        <w:t>Laosirihongthong</w:t>
      </w:r>
      <w:proofErr w:type="spellEnd"/>
      <w:r w:rsidRPr="001F1714">
        <w:rPr>
          <w:i w:val="0"/>
          <w:iCs w:val="0"/>
          <w:color w:val="auto"/>
          <w:sz w:val="20"/>
          <w:szCs w:val="20"/>
        </w:rPr>
        <w:t>, T., Adebanjo, D., Samaranayake, P., Subramanian, N., &amp; Boon-</w:t>
      </w:r>
      <w:proofErr w:type="spellStart"/>
      <w:r w:rsidRPr="001F1714">
        <w:rPr>
          <w:i w:val="0"/>
          <w:iCs w:val="0"/>
          <w:color w:val="auto"/>
          <w:sz w:val="20"/>
          <w:szCs w:val="20"/>
        </w:rPr>
        <w:t>itt</w:t>
      </w:r>
      <w:proofErr w:type="spellEnd"/>
      <w:r w:rsidRPr="001F1714">
        <w:rPr>
          <w:i w:val="0"/>
          <w:iCs w:val="0"/>
          <w:color w:val="auto"/>
          <w:sz w:val="20"/>
          <w:szCs w:val="20"/>
        </w:rPr>
        <w:t xml:space="preserve">, S. (2018). Prioritizing warehouse performance measures in contemporary supply chains. International Journal of Productivity and Performance Management, 67(9), 1703–1726. </w:t>
      </w:r>
    </w:p>
    <w:p w14:paraId="2FE517DA" w14:textId="77777777" w:rsidR="00A25D2B" w:rsidRPr="001F1714" w:rsidRDefault="00A25D2B">
      <w:pPr>
        <w:pStyle w:val="Caption"/>
        <w:keepNext/>
        <w:numPr>
          <w:ilvl w:val="0"/>
          <w:numId w:val="5"/>
        </w:numPr>
        <w:tabs>
          <w:tab w:val="left" w:pos="142"/>
        </w:tabs>
        <w:spacing w:after="0"/>
        <w:ind w:left="426" w:hanging="426"/>
        <w:jc w:val="both"/>
        <w:rPr>
          <w:i w:val="0"/>
          <w:iCs w:val="0"/>
          <w:color w:val="auto"/>
        </w:rPr>
      </w:pPr>
      <w:r w:rsidRPr="001F1714">
        <w:rPr>
          <w:i w:val="0"/>
          <w:iCs w:val="0"/>
          <w:color w:val="auto"/>
          <w:sz w:val="20"/>
          <w:szCs w:val="20"/>
        </w:rPr>
        <w:t xml:space="preserve">Kim, T. Y. (2020). Improving warehouse responsiveness by job priority management: A European distribution </w:t>
      </w:r>
      <w:proofErr w:type="spellStart"/>
      <w:r w:rsidRPr="001F1714">
        <w:rPr>
          <w:i w:val="0"/>
          <w:iCs w:val="0"/>
          <w:color w:val="auto"/>
          <w:sz w:val="20"/>
          <w:szCs w:val="20"/>
        </w:rPr>
        <w:t>centre</w:t>
      </w:r>
      <w:proofErr w:type="spellEnd"/>
      <w:r w:rsidRPr="001F1714">
        <w:rPr>
          <w:i w:val="0"/>
          <w:iCs w:val="0"/>
          <w:color w:val="auto"/>
          <w:sz w:val="20"/>
          <w:szCs w:val="20"/>
        </w:rPr>
        <w:t xml:space="preserve"> field study. Computers &amp; Industrial Engineering, 139, 106170. </w:t>
      </w:r>
    </w:p>
    <w:p w14:paraId="5C2101F3" w14:textId="02D0CC68" w:rsidR="00A25D2B" w:rsidRPr="001F1714" w:rsidRDefault="00A25D2B">
      <w:pPr>
        <w:pStyle w:val="Caption"/>
        <w:keepNext/>
        <w:numPr>
          <w:ilvl w:val="0"/>
          <w:numId w:val="5"/>
        </w:numPr>
        <w:tabs>
          <w:tab w:val="left" w:pos="142"/>
        </w:tabs>
        <w:spacing w:after="0"/>
        <w:ind w:left="426" w:hanging="426"/>
        <w:jc w:val="both"/>
        <w:rPr>
          <w:i w:val="0"/>
          <w:iCs w:val="0"/>
          <w:color w:val="auto"/>
          <w:sz w:val="20"/>
          <w:szCs w:val="20"/>
        </w:rPr>
      </w:pPr>
      <w:proofErr w:type="spellStart"/>
      <w:r w:rsidRPr="001F1714">
        <w:rPr>
          <w:i w:val="0"/>
          <w:iCs w:val="0"/>
          <w:color w:val="auto"/>
          <w:sz w:val="20"/>
          <w:szCs w:val="20"/>
        </w:rPr>
        <w:t>Baglio</w:t>
      </w:r>
      <w:proofErr w:type="spellEnd"/>
      <w:r w:rsidRPr="001F1714">
        <w:rPr>
          <w:i w:val="0"/>
          <w:iCs w:val="0"/>
          <w:color w:val="auto"/>
          <w:sz w:val="20"/>
          <w:szCs w:val="20"/>
        </w:rPr>
        <w:t xml:space="preserve">, M., </w:t>
      </w:r>
      <w:proofErr w:type="spellStart"/>
      <w:r w:rsidRPr="001F1714">
        <w:rPr>
          <w:i w:val="0"/>
          <w:iCs w:val="0"/>
          <w:color w:val="auto"/>
          <w:sz w:val="20"/>
          <w:szCs w:val="20"/>
        </w:rPr>
        <w:t>Creazza</w:t>
      </w:r>
      <w:proofErr w:type="spellEnd"/>
      <w:r w:rsidRPr="001F1714">
        <w:rPr>
          <w:i w:val="0"/>
          <w:iCs w:val="0"/>
          <w:color w:val="auto"/>
          <w:sz w:val="20"/>
          <w:szCs w:val="20"/>
        </w:rPr>
        <w:t xml:space="preserve">, A., &amp; </w:t>
      </w:r>
      <w:proofErr w:type="spellStart"/>
      <w:r w:rsidRPr="001F1714">
        <w:rPr>
          <w:i w:val="0"/>
          <w:iCs w:val="0"/>
          <w:color w:val="auto"/>
          <w:sz w:val="20"/>
          <w:szCs w:val="20"/>
        </w:rPr>
        <w:t>Dallari</w:t>
      </w:r>
      <w:proofErr w:type="spellEnd"/>
      <w:r w:rsidRPr="001F1714">
        <w:rPr>
          <w:i w:val="0"/>
          <w:iCs w:val="0"/>
          <w:color w:val="auto"/>
          <w:sz w:val="20"/>
          <w:szCs w:val="20"/>
        </w:rPr>
        <w:t xml:space="preserve">, F. (2023). The “Perfect” warehouse: How third-party logistics providers evaluate warehouse features and their performance. Applied Sciences, 13(12), 6862. </w:t>
      </w:r>
    </w:p>
    <w:p w14:paraId="3D138ACB" w14:textId="0958DE0B" w:rsidR="00C57386" w:rsidRPr="001F1714" w:rsidRDefault="00C57386" w:rsidP="00C57386">
      <w:pPr>
        <w:pStyle w:val="NormalWeb"/>
        <w:numPr>
          <w:ilvl w:val="0"/>
          <w:numId w:val="5"/>
        </w:numPr>
        <w:ind w:left="426" w:hanging="426"/>
        <w:jc w:val="both"/>
        <w:rPr>
          <w:sz w:val="20"/>
          <w:szCs w:val="20"/>
        </w:rPr>
      </w:pPr>
      <w:proofErr w:type="spellStart"/>
      <w:r w:rsidRPr="001F1714">
        <w:rPr>
          <w:sz w:val="20"/>
          <w:szCs w:val="20"/>
        </w:rPr>
        <w:t>Kudelska</w:t>
      </w:r>
      <w:proofErr w:type="spellEnd"/>
      <w:r w:rsidRPr="001F1714">
        <w:rPr>
          <w:sz w:val="20"/>
          <w:szCs w:val="20"/>
        </w:rPr>
        <w:t xml:space="preserve">, I., &amp; </w:t>
      </w:r>
      <w:proofErr w:type="spellStart"/>
      <w:r w:rsidRPr="001F1714">
        <w:rPr>
          <w:sz w:val="20"/>
          <w:szCs w:val="20"/>
        </w:rPr>
        <w:t>Jędrzejak</w:t>
      </w:r>
      <w:proofErr w:type="spellEnd"/>
      <w:r w:rsidRPr="001F1714">
        <w:rPr>
          <w:sz w:val="20"/>
          <w:szCs w:val="20"/>
        </w:rPr>
        <w:t xml:space="preserve">, K. (2024). Methodology for designing spatial layout of a warehouse in the context of sustainable development. </w:t>
      </w:r>
      <w:r w:rsidRPr="001F1714">
        <w:rPr>
          <w:rStyle w:val="Emphasis"/>
          <w:sz w:val="20"/>
          <w:szCs w:val="20"/>
        </w:rPr>
        <w:t xml:space="preserve">Annales Universitatis </w:t>
      </w:r>
      <w:proofErr w:type="spellStart"/>
      <w:r w:rsidRPr="001F1714">
        <w:rPr>
          <w:rStyle w:val="Emphasis"/>
          <w:sz w:val="20"/>
          <w:szCs w:val="20"/>
        </w:rPr>
        <w:t>Mariae</w:t>
      </w:r>
      <w:proofErr w:type="spellEnd"/>
      <w:r w:rsidRPr="001F1714">
        <w:rPr>
          <w:rStyle w:val="Emphasis"/>
          <w:sz w:val="20"/>
          <w:szCs w:val="20"/>
        </w:rPr>
        <w:t xml:space="preserve"> Curie-</w:t>
      </w:r>
      <w:proofErr w:type="spellStart"/>
      <w:r w:rsidRPr="001F1714">
        <w:rPr>
          <w:rStyle w:val="Emphasis"/>
          <w:sz w:val="20"/>
          <w:szCs w:val="20"/>
        </w:rPr>
        <w:t>Skłodowska</w:t>
      </w:r>
      <w:proofErr w:type="spellEnd"/>
      <w:r w:rsidRPr="001F1714">
        <w:rPr>
          <w:rStyle w:val="Emphasis"/>
          <w:sz w:val="20"/>
          <w:szCs w:val="20"/>
        </w:rPr>
        <w:t>, 58</w:t>
      </w:r>
      <w:r w:rsidRPr="001F1714">
        <w:rPr>
          <w:sz w:val="20"/>
          <w:szCs w:val="20"/>
        </w:rPr>
        <w:t xml:space="preserve">(3), 51–68. </w:t>
      </w:r>
    </w:p>
    <w:p w14:paraId="3CDF2FF2" w14:textId="77777777" w:rsidR="00C57386" w:rsidRPr="001F1714" w:rsidRDefault="00C57386" w:rsidP="00C57386">
      <w:pPr>
        <w:pStyle w:val="NormalWeb"/>
        <w:numPr>
          <w:ilvl w:val="0"/>
          <w:numId w:val="5"/>
        </w:numPr>
        <w:ind w:left="426" w:hanging="426"/>
        <w:jc w:val="both"/>
        <w:rPr>
          <w:sz w:val="20"/>
          <w:szCs w:val="20"/>
        </w:rPr>
      </w:pPr>
      <w:proofErr w:type="spellStart"/>
      <w:r w:rsidRPr="001F1714">
        <w:rPr>
          <w:sz w:val="20"/>
          <w:szCs w:val="20"/>
        </w:rPr>
        <w:t>Jum’a</w:t>
      </w:r>
      <w:proofErr w:type="spellEnd"/>
      <w:r w:rsidRPr="001F1714">
        <w:rPr>
          <w:sz w:val="20"/>
          <w:szCs w:val="20"/>
        </w:rPr>
        <w:t xml:space="preserve">, L., &amp; Basheer, M. E. (2023). Analysis of warehouse value-added services using Pareto as a quality tool: A case study of third-party logistics service provider. </w:t>
      </w:r>
      <w:r w:rsidRPr="001F1714">
        <w:rPr>
          <w:rStyle w:val="Emphasis"/>
          <w:sz w:val="20"/>
          <w:szCs w:val="20"/>
        </w:rPr>
        <w:t>Administrative Sciences, 13</w:t>
      </w:r>
      <w:r w:rsidRPr="001F1714">
        <w:rPr>
          <w:sz w:val="20"/>
          <w:szCs w:val="20"/>
        </w:rPr>
        <w:t xml:space="preserve">(2), 51. </w:t>
      </w:r>
    </w:p>
    <w:p w14:paraId="7A695DAB" w14:textId="77777777" w:rsidR="00C57386" w:rsidRPr="001F1714" w:rsidRDefault="00C57386" w:rsidP="00C57386">
      <w:pPr>
        <w:pStyle w:val="NormalWeb"/>
        <w:numPr>
          <w:ilvl w:val="0"/>
          <w:numId w:val="5"/>
        </w:numPr>
        <w:ind w:left="426" w:hanging="426"/>
        <w:jc w:val="both"/>
        <w:rPr>
          <w:sz w:val="20"/>
          <w:szCs w:val="20"/>
        </w:rPr>
      </w:pPr>
      <w:r w:rsidRPr="001F1714">
        <w:rPr>
          <w:sz w:val="20"/>
          <w:szCs w:val="20"/>
        </w:rPr>
        <w:t xml:space="preserve">Saleh, R. M., &amp; </w:t>
      </w:r>
      <w:proofErr w:type="spellStart"/>
      <w:r w:rsidRPr="001F1714">
        <w:rPr>
          <w:sz w:val="20"/>
          <w:szCs w:val="20"/>
        </w:rPr>
        <w:t>Abdelmaguid</w:t>
      </w:r>
      <w:proofErr w:type="spellEnd"/>
      <w:r w:rsidRPr="001F1714">
        <w:rPr>
          <w:sz w:val="20"/>
          <w:szCs w:val="20"/>
        </w:rPr>
        <w:t xml:space="preserve">, T. F. (2025). Comparative analysis of dedicated and randomized storage policies in warehouse efficiency optimization. </w:t>
      </w:r>
      <w:proofErr w:type="spellStart"/>
      <w:r w:rsidRPr="001F1714">
        <w:rPr>
          <w:rStyle w:val="Emphasis"/>
          <w:sz w:val="20"/>
          <w:szCs w:val="20"/>
        </w:rPr>
        <w:t>Eng</w:t>
      </w:r>
      <w:proofErr w:type="spellEnd"/>
      <w:r w:rsidRPr="001F1714">
        <w:rPr>
          <w:rStyle w:val="Emphasis"/>
          <w:sz w:val="20"/>
          <w:szCs w:val="20"/>
        </w:rPr>
        <w:t>, 6</w:t>
      </w:r>
      <w:r w:rsidRPr="001F1714">
        <w:rPr>
          <w:sz w:val="20"/>
          <w:szCs w:val="20"/>
        </w:rPr>
        <w:t xml:space="preserve">(6), 119. </w:t>
      </w:r>
    </w:p>
    <w:p w14:paraId="334EB418" w14:textId="77777777" w:rsidR="00C57386" w:rsidRPr="001F1714" w:rsidRDefault="00C57386" w:rsidP="00C57386">
      <w:pPr>
        <w:pStyle w:val="NormalWeb"/>
        <w:numPr>
          <w:ilvl w:val="0"/>
          <w:numId w:val="5"/>
        </w:numPr>
        <w:ind w:left="426" w:hanging="426"/>
        <w:jc w:val="both"/>
        <w:rPr>
          <w:sz w:val="20"/>
          <w:szCs w:val="20"/>
        </w:rPr>
      </w:pPr>
      <w:r w:rsidRPr="001F1714">
        <w:rPr>
          <w:sz w:val="20"/>
          <w:szCs w:val="20"/>
        </w:rPr>
        <w:t xml:space="preserve">Albert, P., </w:t>
      </w:r>
      <w:proofErr w:type="spellStart"/>
      <w:r w:rsidRPr="001F1714">
        <w:rPr>
          <w:sz w:val="20"/>
          <w:szCs w:val="20"/>
        </w:rPr>
        <w:t>Rönnqvist</w:t>
      </w:r>
      <w:proofErr w:type="spellEnd"/>
      <w:r w:rsidRPr="001F1714">
        <w:rPr>
          <w:sz w:val="20"/>
          <w:szCs w:val="20"/>
        </w:rPr>
        <w:t xml:space="preserve">, M., &amp; </w:t>
      </w:r>
      <w:proofErr w:type="spellStart"/>
      <w:r w:rsidRPr="001F1714">
        <w:rPr>
          <w:sz w:val="20"/>
          <w:szCs w:val="20"/>
        </w:rPr>
        <w:t>Lehoux</w:t>
      </w:r>
      <w:proofErr w:type="spellEnd"/>
      <w:r w:rsidRPr="001F1714">
        <w:rPr>
          <w:sz w:val="20"/>
          <w:szCs w:val="20"/>
        </w:rPr>
        <w:t xml:space="preserve">, N. (2023). Trends and new practical applications for warehouse allocation and layout design: A literature review. </w:t>
      </w:r>
      <w:r w:rsidRPr="001F1714">
        <w:rPr>
          <w:rStyle w:val="Emphasis"/>
          <w:sz w:val="20"/>
          <w:szCs w:val="20"/>
        </w:rPr>
        <w:t>SN Applied Sciences, 5</w:t>
      </w:r>
      <w:r w:rsidRPr="001F1714">
        <w:rPr>
          <w:sz w:val="20"/>
          <w:szCs w:val="20"/>
        </w:rPr>
        <w:t xml:space="preserve">(12). </w:t>
      </w:r>
    </w:p>
    <w:p w14:paraId="6C78F8DB" w14:textId="77777777" w:rsidR="00C57386" w:rsidRPr="001F1714" w:rsidRDefault="00C57386" w:rsidP="00C57386">
      <w:pPr>
        <w:pStyle w:val="NormalWeb"/>
        <w:numPr>
          <w:ilvl w:val="0"/>
          <w:numId w:val="5"/>
        </w:numPr>
        <w:ind w:left="426" w:hanging="426"/>
        <w:jc w:val="both"/>
        <w:rPr>
          <w:sz w:val="20"/>
          <w:szCs w:val="20"/>
        </w:rPr>
      </w:pPr>
      <w:proofErr w:type="spellStart"/>
      <w:r w:rsidRPr="001F1714">
        <w:rPr>
          <w:sz w:val="20"/>
          <w:szCs w:val="20"/>
        </w:rPr>
        <w:t>Zakirah</w:t>
      </w:r>
      <w:proofErr w:type="spellEnd"/>
      <w:r w:rsidRPr="001F1714">
        <w:rPr>
          <w:sz w:val="20"/>
          <w:szCs w:val="20"/>
        </w:rPr>
        <w:t xml:space="preserve">, T., </w:t>
      </w:r>
      <w:proofErr w:type="spellStart"/>
      <w:r w:rsidRPr="001F1714">
        <w:rPr>
          <w:sz w:val="20"/>
          <w:szCs w:val="20"/>
        </w:rPr>
        <w:t>Emeraldi</w:t>
      </w:r>
      <w:proofErr w:type="spellEnd"/>
      <w:r w:rsidRPr="001F1714">
        <w:rPr>
          <w:sz w:val="20"/>
          <w:szCs w:val="20"/>
        </w:rPr>
        <w:t xml:space="preserve">, R., </w:t>
      </w:r>
      <w:proofErr w:type="spellStart"/>
      <w:r w:rsidRPr="001F1714">
        <w:rPr>
          <w:sz w:val="20"/>
          <w:szCs w:val="20"/>
        </w:rPr>
        <w:t>Handi</w:t>
      </w:r>
      <w:proofErr w:type="spellEnd"/>
      <w:r w:rsidRPr="001F1714">
        <w:rPr>
          <w:sz w:val="20"/>
          <w:szCs w:val="20"/>
        </w:rPr>
        <w:t xml:space="preserve">, O. M., </w:t>
      </w:r>
      <w:proofErr w:type="spellStart"/>
      <w:r w:rsidRPr="001F1714">
        <w:rPr>
          <w:sz w:val="20"/>
          <w:szCs w:val="20"/>
        </w:rPr>
        <w:t>Danil</w:t>
      </w:r>
      <w:proofErr w:type="spellEnd"/>
      <w:r w:rsidRPr="001F1714">
        <w:rPr>
          <w:sz w:val="20"/>
          <w:szCs w:val="20"/>
        </w:rPr>
        <w:t xml:space="preserve">, D., &amp; Kasih, T. P. (2018). Warehouse layout and workflow designing at PT. PMS using systematic layout planning method. </w:t>
      </w:r>
      <w:r w:rsidRPr="001F1714">
        <w:rPr>
          <w:rStyle w:val="Emphasis"/>
          <w:sz w:val="20"/>
          <w:szCs w:val="20"/>
        </w:rPr>
        <w:t>IOP Conference Series: Earth and Environmental Science, 195</w:t>
      </w:r>
      <w:r w:rsidRPr="001F1714">
        <w:rPr>
          <w:sz w:val="20"/>
          <w:szCs w:val="20"/>
        </w:rPr>
        <w:t xml:space="preserve">, 012026. </w:t>
      </w:r>
    </w:p>
    <w:p w14:paraId="77EFED0E" w14:textId="571B9D7B" w:rsidR="00C57386" w:rsidRPr="001F1714" w:rsidRDefault="00C57386" w:rsidP="00C57386">
      <w:pPr>
        <w:pStyle w:val="NormalWeb"/>
        <w:numPr>
          <w:ilvl w:val="0"/>
          <w:numId w:val="5"/>
        </w:numPr>
        <w:ind w:left="426" w:hanging="426"/>
        <w:jc w:val="both"/>
        <w:rPr>
          <w:sz w:val="20"/>
          <w:szCs w:val="20"/>
        </w:rPr>
      </w:pPr>
      <w:r w:rsidRPr="001F1714">
        <w:rPr>
          <w:sz w:val="20"/>
          <w:szCs w:val="20"/>
        </w:rPr>
        <w:t xml:space="preserve">Hu, X., &amp; Chuang, Y.-F. (2022). E-commerce warehouse layout optimization: Systematic layout planning using a genetic algorithm. </w:t>
      </w:r>
      <w:r w:rsidRPr="001F1714">
        <w:rPr>
          <w:rStyle w:val="Emphasis"/>
          <w:sz w:val="20"/>
          <w:szCs w:val="20"/>
        </w:rPr>
        <w:t>Electronic Commerce Research</w:t>
      </w:r>
      <w:r w:rsidR="00EE6C24" w:rsidRPr="001F1714">
        <w:rPr>
          <w:sz w:val="20"/>
          <w:szCs w:val="20"/>
        </w:rPr>
        <w:t xml:space="preserve">, </w:t>
      </w:r>
      <w:r w:rsidR="00EE6C24" w:rsidRPr="001F1714">
        <w:rPr>
          <w:i/>
          <w:iCs/>
          <w:sz w:val="20"/>
          <w:szCs w:val="20"/>
          <w:lang w:val="en-US"/>
        </w:rPr>
        <w:t>23</w:t>
      </w:r>
      <w:r w:rsidR="00EE6C24" w:rsidRPr="001F1714">
        <w:rPr>
          <w:sz w:val="20"/>
          <w:szCs w:val="20"/>
          <w:lang w:val="en-US"/>
        </w:rPr>
        <w:t>(1), 97-114.</w:t>
      </w:r>
    </w:p>
    <w:p w14:paraId="4A6629E5" w14:textId="77777777" w:rsidR="00C57386" w:rsidRPr="001F1714" w:rsidRDefault="00C57386" w:rsidP="00C57386">
      <w:pPr>
        <w:pStyle w:val="NormalWeb"/>
        <w:numPr>
          <w:ilvl w:val="0"/>
          <w:numId w:val="5"/>
        </w:numPr>
        <w:ind w:left="426" w:hanging="426"/>
        <w:jc w:val="both"/>
        <w:rPr>
          <w:sz w:val="20"/>
          <w:szCs w:val="20"/>
        </w:rPr>
      </w:pPr>
      <w:proofErr w:type="spellStart"/>
      <w:r w:rsidRPr="001F1714">
        <w:rPr>
          <w:sz w:val="20"/>
          <w:szCs w:val="20"/>
        </w:rPr>
        <w:t>Khasanah</w:t>
      </w:r>
      <w:proofErr w:type="spellEnd"/>
      <w:r w:rsidRPr="001F1714">
        <w:rPr>
          <w:sz w:val="20"/>
          <w:szCs w:val="20"/>
        </w:rPr>
        <w:t xml:space="preserve">, U., </w:t>
      </w:r>
      <w:proofErr w:type="spellStart"/>
      <w:r w:rsidRPr="001F1714">
        <w:rPr>
          <w:sz w:val="20"/>
          <w:szCs w:val="20"/>
        </w:rPr>
        <w:t>Sutarto</w:t>
      </w:r>
      <w:proofErr w:type="spellEnd"/>
      <w:r w:rsidRPr="001F1714">
        <w:rPr>
          <w:sz w:val="20"/>
          <w:szCs w:val="20"/>
        </w:rPr>
        <w:t xml:space="preserve">, A. P., &amp; Izzah, N. (2022). Work facilities improvement using systematic layout planning to reduce the risk of manual handling. </w:t>
      </w:r>
      <w:r w:rsidRPr="001F1714">
        <w:rPr>
          <w:rStyle w:val="Emphasis"/>
          <w:sz w:val="20"/>
          <w:szCs w:val="20"/>
        </w:rPr>
        <w:t>Journal of Novel Engineering Science, 1</w:t>
      </w:r>
      <w:r w:rsidRPr="001F1714">
        <w:rPr>
          <w:sz w:val="20"/>
          <w:szCs w:val="20"/>
        </w:rPr>
        <w:t xml:space="preserve">(01), 15–23. </w:t>
      </w:r>
    </w:p>
    <w:p w14:paraId="2E5ECE13" w14:textId="77777777" w:rsidR="00C57386" w:rsidRPr="001F1714" w:rsidRDefault="00C57386" w:rsidP="00C57386">
      <w:pPr>
        <w:pStyle w:val="NormalWeb"/>
        <w:numPr>
          <w:ilvl w:val="0"/>
          <w:numId w:val="5"/>
        </w:numPr>
        <w:ind w:left="426" w:hanging="426"/>
        <w:jc w:val="both"/>
        <w:rPr>
          <w:sz w:val="20"/>
          <w:szCs w:val="20"/>
        </w:rPr>
      </w:pPr>
      <w:proofErr w:type="spellStart"/>
      <w:r w:rsidRPr="001F1714">
        <w:rPr>
          <w:sz w:val="20"/>
          <w:szCs w:val="20"/>
        </w:rPr>
        <w:t>Savsar</w:t>
      </w:r>
      <w:proofErr w:type="spellEnd"/>
      <w:r w:rsidRPr="001F1714">
        <w:rPr>
          <w:sz w:val="20"/>
          <w:szCs w:val="20"/>
        </w:rPr>
        <w:t xml:space="preserve">, M., et al. (2023). Analysis of a warehouse system using dedicated storage assignment and a simulation model. </w:t>
      </w:r>
      <w:r w:rsidRPr="001F1714">
        <w:rPr>
          <w:rStyle w:val="Emphasis"/>
          <w:sz w:val="20"/>
          <w:szCs w:val="20"/>
        </w:rPr>
        <w:t>2023 Innovations in Intelligent Systems and Applications Conference (ASYU)</w:t>
      </w:r>
      <w:r w:rsidRPr="001F1714">
        <w:rPr>
          <w:sz w:val="20"/>
          <w:szCs w:val="20"/>
        </w:rPr>
        <w:t xml:space="preserve">, 1–6. </w:t>
      </w:r>
    </w:p>
    <w:p w14:paraId="06148094" w14:textId="35D5B19E" w:rsidR="00C57386" w:rsidRPr="001F1714" w:rsidRDefault="00C57386" w:rsidP="00C57386">
      <w:pPr>
        <w:pStyle w:val="NormalWeb"/>
        <w:numPr>
          <w:ilvl w:val="0"/>
          <w:numId w:val="5"/>
        </w:numPr>
        <w:ind w:left="426" w:hanging="426"/>
        <w:jc w:val="both"/>
        <w:rPr>
          <w:sz w:val="20"/>
          <w:szCs w:val="20"/>
        </w:rPr>
      </w:pPr>
      <w:proofErr w:type="spellStart"/>
      <w:r w:rsidRPr="001F1714">
        <w:rPr>
          <w:sz w:val="20"/>
          <w:szCs w:val="20"/>
        </w:rPr>
        <w:t>Syahron</w:t>
      </w:r>
      <w:proofErr w:type="spellEnd"/>
      <w:r w:rsidRPr="001F1714">
        <w:rPr>
          <w:sz w:val="20"/>
          <w:szCs w:val="20"/>
        </w:rPr>
        <w:t xml:space="preserve">, M. I., Perdana, Y. R., Kusuma, T. Y. T., &amp; </w:t>
      </w:r>
      <w:proofErr w:type="spellStart"/>
      <w:r w:rsidRPr="001F1714">
        <w:rPr>
          <w:sz w:val="20"/>
          <w:szCs w:val="20"/>
        </w:rPr>
        <w:t>Arief</w:t>
      </w:r>
      <w:proofErr w:type="spellEnd"/>
      <w:r w:rsidRPr="001F1714">
        <w:rPr>
          <w:sz w:val="20"/>
          <w:szCs w:val="20"/>
        </w:rPr>
        <w:t xml:space="preserve">, S. (2024). Redesign of warehouse layout using dedicated storage method. </w:t>
      </w:r>
      <w:r w:rsidRPr="001F1714">
        <w:rPr>
          <w:rStyle w:val="Emphasis"/>
          <w:sz w:val="20"/>
          <w:szCs w:val="20"/>
        </w:rPr>
        <w:t>Proceedings of the International Conference on Industrial Engineering and Operations Management</w:t>
      </w:r>
      <w:r w:rsidRPr="001F1714">
        <w:rPr>
          <w:sz w:val="20"/>
          <w:szCs w:val="20"/>
        </w:rPr>
        <w:t xml:space="preserve">. </w:t>
      </w:r>
      <w:r w:rsidR="00EE6C24" w:rsidRPr="001F1714">
        <w:rPr>
          <w:sz w:val="20"/>
          <w:szCs w:val="20"/>
        </w:rPr>
        <w:t>504-514.</w:t>
      </w:r>
    </w:p>
    <w:p w14:paraId="609EFD37" w14:textId="77777777" w:rsidR="00C57386" w:rsidRPr="001F1714" w:rsidRDefault="00C57386" w:rsidP="00C57386">
      <w:pPr>
        <w:pStyle w:val="NormalWeb"/>
        <w:numPr>
          <w:ilvl w:val="0"/>
          <w:numId w:val="5"/>
        </w:numPr>
        <w:ind w:left="426" w:hanging="426"/>
        <w:jc w:val="both"/>
        <w:rPr>
          <w:sz w:val="20"/>
          <w:szCs w:val="20"/>
        </w:rPr>
      </w:pPr>
      <w:proofErr w:type="spellStart"/>
      <w:r w:rsidRPr="001F1714">
        <w:rPr>
          <w:sz w:val="20"/>
          <w:szCs w:val="20"/>
        </w:rPr>
        <w:t>Septiani</w:t>
      </w:r>
      <w:proofErr w:type="spellEnd"/>
      <w:r w:rsidRPr="001F1714">
        <w:rPr>
          <w:sz w:val="20"/>
          <w:szCs w:val="20"/>
        </w:rPr>
        <w:t xml:space="preserve">, W., </w:t>
      </w:r>
      <w:proofErr w:type="spellStart"/>
      <w:r w:rsidRPr="001F1714">
        <w:rPr>
          <w:sz w:val="20"/>
          <w:szCs w:val="20"/>
        </w:rPr>
        <w:t>Divia</w:t>
      </w:r>
      <w:proofErr w:type="spellEnd"/>
      <w:r w:rsidRPr="001F1714">
        <w:rPr>
          <w:sz w:val="20"/>
          <w:szCs w:val="20"/>
        </w:rPr>
        <w:t xml:space="preserve">, G. A., &amp; </w:t>
      </w:r>
      <w:proofErr w:type="spellStart"/>
      <w:r w:rsidRPr="001F1714">
        <w:rPr>
          <w:sz w:val="20"/>
          <w:szCs w:val="20"/>
        </w:rPr>
        <w:t>Adisuwiryo</w:t>
      </w:r>
      <w:proofErr w:type="spellEnd"/>
      <w:r w:rsidRPr="001F1714">
        <w:rPr>
          <w:sz w:val="20"/>
          <w:szCs w:val="20"/>
        </w:rPr>
        <w:t xml:space="preserve">, S. (2020). Warehouse layout designing of cable manufacturing company using dedicated storage and simulation </w:t>
      </w:r>
      <w:proofErr w:type="spellStart"/>
      <w:r w:rsidRPr="001F1714">
        <w:rPr>
          <w:sz w:val="20"/>
          <w:szCs w:val="20"/>
        </w:rPr>
        <w:t>Promodel</w:t>
      </w:r>
      <w:proofErr w:type="spellEnd"/>
      <w:r w:rsidRPr="001F1714">
        <w:rPr>
          <w:sz w:val="20"/>
          <w:szCs w:val="20"/>
        </w:rPr>
        <w:t xml:space="preserve">. </w:t>
      </w:r>
      <w:r w:rsidRPr="001F1714">
        <w:rPr>
          <w:rStyle w:val="Emphasis"/>
          <w:sz w:val="20"/>
          <w:szCs w:val="20"/>
        </w:rPr>
        <w:t>IOP Conference Series: Materials Science and Engineering, 847</w:t>
      </w:r>
      <w:r w:rsidRPr="001F1714">
        <w:rPr>
          <w:sz w:val="20"/>
          <w:szCs w:val="20"/>
        </w:rPr>
        <w:t xml:space="preserve">, 012054. </w:t>
      </w:r>
    </w:p>
    <w:p w14:paraId="1AF5B871" w14:textId="77777777" w:rsidR="00C57386" w:rsidRPr="001F1714" w:rsidRDefault="00C57386" w:rsidP="00C57386">
      <w:pPr>
        <w:pStyle w:val="NormalWeb"/>
        <w:numPr>
          <w:ilvl w:val="0"/>
          <w:numId w:val="5"/>
        </w:numPr>
        <w:ind w:left="426" w:hanging="426"/>
        <w:jc w:val="both"/>
        <w:rPr>
          <w:sz w:val="20"/>
          <w:szCs w:val="20"/>
        </w:rPr>
      </w:pPr>
      <w:r w:rsidRPr="001F1714">
        <w:rPr>
          <w:sz w:val="20"/>
          <w:szCs w:val="20"/>
        </w:rPr>
        <w:t xml:space="preserve">Mohamud, H., </w:t>
      </w:r>
      <w:proofErr w:type="spellStart"/>
      <w:r w:rsidRPr="001F1714">
        <w:rPr>
          <w:sz w:val="20"/>
          <w:szCs w:val="20"/>
        </w:rPr>
        <w:t>Kafi</w:t>
      </w:r>
      <w:proofErr w:type="spellEnd"/>
      <w:r w:rsidRPr="001F1714">
        <w:rPr>
          <w:sz w:val="20"/>
          <w:szCs w:val="20"/>
        </w:rPr>
        <w:t xml:space="preserve">, M. A., </w:t>
      </w:r>
      <w:proofErr w:type="spellStart"/>
      <w:r w:rsidRPr="001F1714">
        <w:rPr>
          <w:sz w:val="20"/>
          <w:szCs w:val="20"/>
        </w:rPr>
        <w:t>Shahron</w:t>
      </w:r>
      <w:proofErr w:type="spellEnd"/>
      <w:r w:rsidRPr="001F1714">
        <w:rPr>
          <w:sz w:val="20"/>
          <w:szCs w:val="20"/>
        </w:rPr>
        <w:t xml:space="preserve">, S. A., Zainuddin, N., &amp; Musa, S. (2023). The role of warehouse layout and operations in warehouse efficiency. </w:t>
      </w:r>
      <w:r w:rsidRPr="001F1714">
        <w:rPr>
          <w:rStyle w:val="Emphasis"/>
          <w:sz w:val="20"/>
          <w:szCs w:val="20"/>
        </w:rPr>
        <w:t xml:space="preserve">Journal </w:t>
      </w:r>
      <w:proofErr w:type="spellStart"/>
      <w:r w:rsidRPr="001F1714">
        <w:rPr>
          <w:rStyle w:val="Emphasis"/>
          <w:sz w:val="20"/>
          <w:szCs w:val="20"/>
        </w:rPr>
        <w:t>Européen</w:t>
      </w:r>
      <w:proofErr w:type="spellEnd"/>
      <w:r w:rsidRPr="001F1714">
        <w:rPr>
          <w:rStyle w:val="Emphasis"/>
          <w:sz w:val="20"/>
          <w:szCs w:val="20"/>
        </w:rPr>
        <w:t xml:space="preserve"> </w:t>
      </w:r>
      <w:proofErr w:type="gramStart"/>
      <w:r w:rsidRPr="001F1714">
        <w:rPr>
          <w:rStyle w:val="Emphasis"/>
          <w:sz w:val="20"/>
          <w:szCs w:val="20"/>
        </w:rPr>
        <w:t>Des</w:t>
      </w:r>
      <w:proofErr w:type="gramEnd"/>
      <w:r w:rsidRPr="001F1714">
        <w:rPr>
          <w:rStyle w:val="Emphasis"/>
          <w:sz w:val="20"/>
          <w:szCs w:val="20"/>
        </w:rPr>
        <w:t xml:space="preserve"> </w:t>
      </w:r>
      <w:proofErr w:type="spellStart"/>
      <w:r w:rsidRPr="001F1714">
        <w:rPr>
          <w:rStyle w:val="Emphasis"/>
          <w:sz w:val="20"/>
          <w:szCs w:val="20"/>
        </w:rPr>
        <w:t>Systèmes</w:t>
      </w:r>
      <w:proofErr w:type="spellEnd"/>
      <w:r w:rsidRPr="001F1714">
        <w:rPr>
          <w:rStyle w:val="Emphasis"/>
          <w:sz w:val="20"/>
          <w:szCs w:val="20"/>
        </w:rPr>
        <w:t xml:space="preserve"> </w:t>
      </w:r>
      <w:proofErr w:type="spellStart"/>
      <w:r w:rsidRPr="001F1714">
        <w:rPr>
          <w:rStyle w:val="Emphasis"/>
          <w:sz w:val="20"/>
          <w:szCs w:val="20"/>
        </w:rPr>
        <w:t>Automatisés</w:t>
      </w:r>
      <w:proofErr w:type="spellEnd"/>
      <w:r w:rsidRPr="001F1714">
        <w:rPr>
          <w:rStyle w:val="Emphasis"/>
          <w:sz w:val="20"/>
          <w:szCs w:val="20"/>
        </w:rPr>
        <w:t>, 56</w:t>
      </w:r>
      <w:r w:rsidRPr="001F1714">
        <w:rPr>
          <w:sz w:val="20"/>
          <w:szCs w:val="20"/>
        </w:rPr>
        <w:t xml:space="preserve">(1), 61–68. </w:t>
      </w:r>
    </w:p>
    <w:p w14:paraId="5FB174FB" w14:textId="77777777" w:rsidR="00C57386" w:rsidRPr="001F1714" w:rsidRDefault="00C57386" w:rsidP="00C57386">
      <w:pPr>
        <w:pStyle w:val="NormalWeb"/>
        <w:numPr>
          <w:ilvl w:val="0"/>
          <w:numId w:val="5"/>
        </w:numPr>
        <w:ind w:left="426" w:hanging="426"/>
        <w:jc w:val="both"/>
        <w:rPr>
          <w:sz w:val="20"/>
          <w:szCs w:val="20"/>
        </w:rPr>
      </w:pPr>
      <w:proofErr w:type="spellStart"/>
      <w:r w:rsidRPr="001F1714">
        <w:rPr>
          <w:sz w:val="20"/>
          <w:szCs w:val="20"/>
        </w:rPr>
        <w:t>Alfathi</w:t>
      </w:r>
      <w:proofErr w:type="spellEnd"/>
      <w:r w:rsidRPr="001F1714">
        <w:rPr>
          <w:sz w:val="20"/>
          <w:szCs w:val="20"/>
        </w:rPr>
        <w:t xml:space="preserve">, N., </w:t>
      </w:r>
      <w:proofErr w:type="spellStart"/>
      <w:r w:rsidRPr="001F1714">
        <w:rPr>
          <w:sz w:val="20"/>
          <w:szCs w:val="20"/>
        </w:rPr>
        <w:t>Lyhyaoui</w:t>
      </w:r>
      <w:proofErr w:type="spellEnd"/>
      <w:r w:rsidRPr="001F1714">
        <w:rPr>
          <w:sz w:val="20"/>
          <w:szCs w:val="20"/>
        </w:rPr>
        <w:t xml:space="preserve">, A., &amp; </w:t>
      </w:r>
      <w:proofErr w:type="spellStart"/>
      <w:r w:rsidRPr="001F1714">
        <w:rPr>
          <w:sz w:val="20"/>
          <w:szCs w:val="20"/>
        </w:rPr>
        <w:t>Sedqui</w:t>
      </w:r>
      <w:proofErr w:type="spellEnd"/>
      <w:r w:rsidRPr="001F1714">
        <w:rPr>
          <w:sz w:val="20"/>
          <w:szCs w:val="20"/>
        </w:rPr>
        <w:t xml:space="preserve">, A. (2019). Fusion of dedicated and shared storage to maximize the use of space of static warehouses. </w:t>
      </w:r>
      <w:r w:rsidRPr="001F1714">
        <w:rPr>
          <w:rStyle w:val="Emphasis"/>
          <w:sz w:val="20"/>
          <w:szCs w:val="20"/>
        </w:rPr>
        <w:t>Journal of Industrial and Production Engineering, 36</w:t>
      </w:r>
      <w:r w:rsidRPr="001F1714">
        <w:rPr>
          <w:sz w:val="20"/>
          <w:szCs w:val="20"/>
        </w:rPr>
        <w:t xml:space="preserve">(8), 512–532. </w:t>
      </w:r>
    </w:p>
    <w:p w14:paraId="1A5C66AF" w14:textId="77777777" w:rsidR="00EE6C24" w:rsidRPr="001F1714" w:rsidRDefault="00603F53" w:rsidP="00A75876">
      <w:pPr>
        <w:pStyle w:val="NormalWeb"/>
        <w:numPr>
          <w:ilvl w:val="0"/>
          <w:numId w:val="5"/>
        </w:numPr>
        <w:ind w:left="426" w:hanging="426"/>
        <w:jc w:val="both"/>
        <w:rPr>
          <w:sz w:val="20"/>
          <w:szCs w:val="20"/>
        </w:rPr>
      </w:pPr>
      <w:proofErr w:type="spellStart"/>
      <w:r w:rsidRPr="001F1714">
        <w:rPr>
          <w:sz w:val="20"/>
          <w:szCs w:val="20"/>
        </w:rPr>
        <w:t>Ruamsuke</w:t>
      </w:r>
      <w:proofErr w:type="spellEnd"/>
      <w:r w:rsidRPr="001F1714">
        <w:rPr>
          <w:sz w:val="20"/>
          <w:szCs w:val="20"/>
        </w:rPr>
        <w:t xml:space="preserve">, T., </w:t>
      </w:r>
      <w:proofErr w:type="spellStart"/>
      <w:r w:rsidRPr="001F1714">
        <w:rPr>
          <w:sz w:val="20"/>
          <w:szCs w:val="20"/>
        </w:rPr>
        <w:t>Mingsakul</w:t>
      </w:r>
      <w:proofErr w:type="spellEnd"/>
      <w:r w:rsidRPr="001F1714">
        <w:rPr>
          <w:sz w:val="20"/>
          <w:szCs w:val="20"/>
        </w:rPr>
        <w:t xml:space="preserve">, W., &amp; </w:t>
      </w:r>
      <w:proofErr w:type="spellStart"/>
      <w:r w:rsidRPr="001F1714">
        <w:rPr>
          <w:sz w:val="20"/>
          <w:szCs w:val="20"/>
        </w:rPr>
        <w:t>Chanamool</w:t>
      </w:r>
      <w:proofErr w:type="spellEnd"/>
      <w:r w:rsidRPr="001F1714">
        <w:rPr>
          <w:sz w:val="20"/>
          <w:szCs w:val="20"/>
        </w:rPr>
        <w:t xml:space="preserve">, N. (2025). Integrating systematic layout planning and fuzzy analytic hierarchy process in the design of sorting and packing fresh fruit facilities: A case study in Thailand. </w:t>
      </w:r>
      <w:r w:rsidRPr="001F1714">
        <w:rPr>
          <w:rStyle w:val="Emphasis"/>
          <w:sz w:val="20"/>
          <w:szCs w:val="20"/>
        </w:rPr>
        <w:t>Engineering and Applied Science Research, 52</w:t>
      </w:r>
      <w:r w:rsidRPr="001F1714">
        <w:rPr>
          <w:sz w:val="20"/>
          <w:szCs w:val="20"/>
        </w:rPr>
        <w:t xml:space="preserve">(1), 17–26. </w:t>
      </w:r>
    </w:p>
    <w:p w14:paraId="2EFC8494" w14:textId="2196342D" w:rsidR="00565F4A" w:rsidRPr="001F1714" w:rsidRDefault="00565F4A" w:rsidP="00A75876">
      <w:pPr>
        <w:pStyle w:val="NormalWeb"/>
        <w:numPr>
          <w:ilvl w:val="0"/>
          <w:numId w:val="5"/>
        </w:numPr>
        <w:ind w:left="426" w:hanging="426"/>
        <w:jc w:val="both"/>
        <w:rPr>
          <w:sz w:val="20"/>
          <w:szCs w:val="20"/>
        </w:rPr>
      </w:pPr>
      <w:r w:rsidRPr="001F1714">
        <w:rPr>
          <w:sz w:val="20"/>
          <w:szCs w:val="20"/>
        </w:rPr>
        <w:t xml:space="preserve">Tang, Y.-M., Ho, G. T. S., Lau, Y.-Y., &amp; </w:t>
      </w:r>
      <w:proofErr w:type="spellStart"/>
      <w:r w:rsidRPr="001F1714">
        <w:rPr>
          <w:sz w:val="20"/>
          <w:szCs w:val="20"/>
        </w:rPr>
        <w:t>Tsui</w:t>
      </w:r>
      <w:proofErr w:type="spellEnd"/>
      <w:r w:rsidRPr="001F1714">
        <w:rPr>
          <w:sz w:val="20"/>
          <w:szCs w:val="20"/>
        </w:rPr>
        <w:t xml:space="preserve">, S.-Y. (2022). Integrated smart warehouse and manufacturing management with demand forecasting in small-scale cyclical industries. </w:t>
      </w:r>
      <w:r w:rsidRPr="001F1714">
        <w:rPr>
          <w:rStyle w:val="Emphasis"/>
          <w:sz w:val="20"/>
          <w:szCs w:val="20"/>
        </w:rPr>
        <w:t>Machines, 10</w:t>
      </w:r>
      <w:r w:rsidRPr="001F1714">
        <w:rPr>
          <w:sz w:val="20"/>
          <w:szCs w:val="20"/>
        </w:rPr>
        <w:t xml:space="preserve">(6), 472. </w:t>
      </w:r>
    </w:p>
    <w:p w14:paraId="4B19F3AB" w14:textId="77777777" w:rsidR="00603F53" w:rsidRPr="001F1714" w:rsidRDefault="00603F53">
      <w:pPr>
        <w:pStyle w:val="NormalWeb"/>
        <w:numPr>
          <w:ilvl w:val="0"/>
          <w:numId w:val="5"/>
        </w:numPr>
        <w:ind w:left="426" w:hanging="426"/>
        <w:jc w:val="both"/>
        <w:rPr>
          <w:sz w:val="20"/>
          <w:szCs w:val="20"/>
        </w:rPr>
      </w:pPr>
      <w:proofErr w:type="spellStart"/>
      <w:r w:rsidRPr="001F1714">
        <w:rPr>
          <w:sz w:val="20"/>
          <w:szCs w:val="20"/>
        </w:rPr>
        <w:t>Solano-Charris</w:t>
      </w:r>
      <w:proofErr w:type="spellEnd"/>
      <w:r w:rsidRPr="001F1714">
        <w:rPr>
          <w:sz w:val="20"/>
          <w:szCs w:val="20"/>
        </w:rPr>
        <w:t>, A., Rojas-Santiago, G. A., &amp; Guerrero-</w:t>
      </w:r>
      <w:proofErr w:type="spellStart"/>
      <w:r w:rsidRPr="001F1714">
        <w:rPr>
          <w:sz w:val="20"/>
          <w:szCs w:val="20"/>
        </w:rPr>
        <w:t>Cusgüen</w:t>
      </w:r>
      <w:proofErr w:type="spellEnd"/>
      <w:r w:rsidRPr="001F1714">
        <w:rPr>
          <w:sz w:val="20"/>
          <w:szCs w:val="20"/>
        </w:rPr>
        <w:t xml:space="preserve">, J. A. (2019). A systematic review of storage location assignment problem: From industrial applications to the industry 4.0 context. </w:t>
      </w:r>
      <w:r w:rsidRPr="001F1714">
        <w:rPr>
          <w:rStyle w:val="Emphasis"/>
          <w:sz w:val="20"/>
          <w:szCs w:val="20"/>
        </w:rPr>
        <w:t>Computers &amp; Industrial Engineering, 137</w:t>
      </w:r>
      <w:r w:rsidRPr="001F1714">
        <w:rPr>
          <w:sz w:val="20"/>
          <w:szCs w:val="20"/>
        </w:rPr>
        <w:t>, 106001</w:t>
      </w:r>
    </w:p>
    <w:p w14:paraId="0BBB6394" w14:textId="3F3ABAB8" w:rsidR="00565F4A" w:rsidRPr="001F1714" w:rsidRDefault="00565F4A">
      <w:pPr>
        <w:pStyle w:val="NormalWeb"/>
        <w:numPr>
          <w:ilvl w:val="0"/>
          <w:numId w:val="5"/>
        </w:numPr>
        <w:ind w:left="426" w:hanging="426"/>
        <w:jc w:val="both"/>
        <w:rPr>
          <w:sz w:val="20"/>
          <w:szCs w:val="20"/>
        </w:rPr>
      </w:pPr>
      <w:proofErr w:type="spellStart"/>
      <w:r w:rsidRPr="001F1714">
        <w:rPr>
          <w:sz w:val="20"/>
          <w:szCs w:val="20"/>
        </w:rPr>
        <w:t>Belil</w:t>
      </w:r>
      <w:proofErr w:type="spellEnd"/>
      <w:r w:rsidRPr="001F1714">
        <w:rPr>
          <w:sz w:val="20"/>
          <w:szCs w:val="20"/>
        </w:rPr>
        <w:t xml:space="preserve">, S., </w:t>
      </w:r>
      <w:proofErr w:type="spellStart"/>
      <w:r w:rsidRPr="001F1714">
        <w:rPr>
          <w:sz w:val="20"/>
          <w:szCs w:val="20"/>
        </w:rPr>
        <w:t>Tchernev</w:t>
      </w:r>
      <w:proofErr w:type="spellEnd"/>
      <w:r w:rsidRPr="001F1714">
        <w:rPr>
          <w:sz w:val="20"/>
          <w:szCs w:val="20"/>
        </w:rPr>
        <w:t xml:space="preserve">, N., &amp; </w:t>
      </w:r>
      <w:proofErr w:type="spellStart"/>
      <w:r w:rsidRPr="001F1714">
        <w:rPr>
          <w:sz w:val="20"/>
          <w:szCs w:val="20"/>
        </w:rPr>
        <w:t>Kemmoé-Tchomté</w:t>
      </w:r>
      <w:proofErr w:type="spellEnd"/>
      <w:r w:rsidRPr="001F1714">
        <w:rPr>
          <w:sz w:val="20"/>
          <w:szCs w:val="20"/>
        </w:rPr>
        <w:t xml:space="preserve">, S. (2022). Integrated production inventory and distribution problem of fertilizer products with additional storage constraints. </w:t>
      </w:r>
      <w:r w:rsidRPr="001F1714">
        <w:rPr>
          <w:rStyle w:val="Emphasis"/>
          <w:sz w:val="20"/>
          <w:szCs w:val="20"/>
        </w:rPr>
        <w:t>IFAC-</w:t>
      </w:r>
      <w:proofErr w:type="spellStart"/>
      <w:r w:rsidRPr="001F1714">
        <w:rPr>
          <w:rStyle w:val="Emphasis"/>
          <w:sz w:val="20"/>
          <w:szCs w:val="20"/>
        </w:rPr>
        <w:t>PapersOnLine</w:t>
      </w:r>
      <w:proofErr w:type="spellEnd"/>
      <w:r w:rsidRPr="001F1714">
        <w:rPr>
          <w:rStyle w:val="Emphasis"/>
          <w:sz w:val="20"/>
          <w:szCs w:val="20"/>
        </w:rPr>
        <w:t>, 55</w:t>
      </w:r>
      <w:r w:rsidRPr="001F1714">
        <w:rPr>
          <w:sz w:val="20"/>
          <w:szCs w:val="20"/>
        </w:rPr>
        <w:t xml:space="preserve">(10), 1343–1350. </w:t>
      </w:r>
    </w:p>
    <w:p w14:paraId="38698625" w14:textId="77777777" w:rsidR="00603F53" w:rsidRPr="001F1714" w:rsidRDefault="00603F53" w:rsidP="00603F53">
      <w:pPr>
        <w:pStyle w:val="NormalWeb"/>
        <w:numPr>
          <w:ilvl w:val="0"/>
          <w:numId w:val="5"/>
        </w:numPr>
        <w:ind w:left="426" w:hanging="426"/>
        <w:jc w:val="both"/>
        <w:rPr>
          <w:sz w:val="20"/>
          <w:szCs w:val="20"/>
        </w:rPr>
      </w:pPr>
      <w:r w:rsidRPr="001F1714">
        <w:rPr>
          <w:sz w:val="20"/>
          <w:szCs w:val="20"/>
        </w:rPr>
        <w:t xml:space="preserve">Kumar, V., &amp; </w:t>
      </w:r>
      <w:proofErr w:type="spellStart"/>
      <w:r w:rsidRPr="001F1714">
        <w:rPr>
          <w:sz w:val="20"/>
          <w:szCs w:val="20"/>
        </w:rPr>
        <w:t>Malleswari</w:t>
      </w:r>
      <w:proofErr w:type="spellEnd"/>
      <w:r w:rsidRPr="001F1714">
        <w:rPr>
          <w:sz w:val="20"/>
          <w:szCs w:val="20"/>
        </w:rPr>
        <w:t xml:space="preserve">, V. N. (2022). Improvement of facility layout design using Systematic Layout Planning methodology. </w:t>
      </w:r>
      <w:r w:rsidRPr="001F1714">
        <w:rPr>
          <w:rStyle w:val="Emphasis"/>
          <w:sz w:val="20"/>
          <w:szCs w:val="20"/>
        </w:rPr>
        <w:t>Journal of Physics: Conference Series, 2312</w:t>
      </w:r>
      <w:r w:rsidRPr="001F1714">
        <w:rPr>
          <w:sz w:val="20"/>
          <w:szCs w:val="20"/>
        </w:rPr>
        <w:t xml:space="preserve">(1), 012089. </w:t>
      </w:r>
    </w:p>
    <w:p w14:paraId="4CFF6517" w14:textId="7A1B0F73" w:rsidR="00232922" w:rsidRPr="007C4A93" w:rsidRDefault="00603F53" w:rsidP="007C4A93">
      <w:pPr>
        <w:pStyle w:val="NormalWeb"/>
        <w:numPr>
          <w:ilvl w:val="0"/>
          <w:numId w:val="5"/>
        </w:numPr>
        <w:ind w:left="426" w:hanging="426"/>
        <w:jc w:val="both"/>
        <w:rPr>
          <w:sz w:val="20"/>
          <w:szCs w:val="20"/>
        </w:rPr>
      </w:pPr>
      <w:r w:rsidRPr="001F1714">
        <w:rPr>
          <w:sz w:val="20"/>
          <w:szCs w:val="20"/>
        </w:rPr>
        <w:t xml:space="preserve">García-Herreros, G., Cardona, S., &amp; González, C. A. (2023). Trends and new practical applications for warehouse design and management: A systematic literature review. </w:t>
      </w:r>
      <w:r w:rsidRPr="001F1714">
        <w:rPr>
          <w:rStyle w:val="Emphasis"/>
          <w:sz w:val="20"/>
          <w:szCs w:val="20"/>
        </w:rPr>
        <w:t>Applied Sciences, 13</w:t>
      </w:r>
      <w:r w:rsidRPr="001F1714">
        <w:rPr>
          <w:sz w:val="20"/>
          <w:szCs w:val="20"/>
        </w:rPr>
        <w:t>(5), 1–24.</w:t>
      </w:r>
    </w:p>
    <w:sectPr w:rsidR="00232922" w:rsidRPr="007C4A93"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3D2938"/>
    <w:multiLevelType w:val="hybridMultilevel"/>
    <w:tmpl w:val="842ADF56"/>
    <w:lvl w:ilvl="0" w:tplc="CE508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6" w15:restartNumberingAfterBreak="0">
    <w:nsid w:val="7DCC5BAF"/>
    <w:multiLevelType w:val="hybridMultilevel"/>
    <w:tmpl w:val="410CBA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16D4B"/>
    <w:rsid w:val="00027428"/>
    <w:rsid w:val="00031EC9"/>
    <w:rsid w:val="00055291"/>
    <w:rsid w:val="00065050"/>
    <w:rsid w:val="00066FED"/>
    <w:rsid w:val="000726E5"/>
    <w:rsid w:val="00075EA6"/>
    <w:rsid w:val="0007709F"/>
    <w:rsid w:val="000831B3"/>
    <w:rsid w:val="00086F62"/>
    <w:rsid w:val="00087CCA"/>
    <w:rsid w:val="00090674"/>
    <w:rsid w:val="00091021"/>
    <w:rsid w:val="0009320B"/>
    <w:rsid w:val="00096AE0"/>
    <w:rsid w:val="000A7996"/>
    <w:rsid w:val="000B1B74"/>
    <w:rsid w:val="000B3A2D"/>
    <w:rsid w:val="000B49C0"/>
    <w:rsid w:val="000B5E5C"/>
    <w:rsid w:val="000E382F"/>
    <w:rsid w:val="000E75CD"/>
    <w:rsid w:val="001036BA"/>
    <w:rsid w:val="001139A6"/>
    <w:rsid w:val="001146DC"/>
    <w:rsid w:val="00114AB1"/>
    <w:rsid w:val="00117D4F"/>
    <w:rsid w:val="001230FF"/>
    <w:rsid w:val="00130569"/>
    <w:rsid w:val="00130BD7"/>
    <w:rsid w:val="001321AF"/>
    <w:rsid w:val="00155B67"/>
    <w:rsid w:val="001562AF"/>
    <w:rsid w:val="00156F47"/>
    <w:rsid w:val="00161A5B"/>
    <w:rsid w:val="0016385D"/>
    <w:rsid w:val="0016782F"/>
    <w:rsid w:val="0017512D"/>
    <w:rsid w:val="00183241"/>
    <w:rsid w:val="00190D45"/>
    <w:rsid w:val="001937E9"/>
    <w:rsid w:val="001964E5"/>
    <w:rsid w:val="001979E0"/>
    <w:rsid w:val="001B263B"/>
    <w:rsid w:val="001B476A"/>
    <w:rsid w:val="001C51A1"/>
    <w:rsid w:val="001C764F"/>
    <w:rsid w:val="001C7BB3"/>
    <w:rsid w:val="001D469C"/>
    <w:rsid w:val="001D6B70"/>
    <w:rsid w:val="001F1714"/>
    <w:rsid w:val="00205B13"/>
    <w:rsid w:val="00212530"/>
    <w:rsid w:val="0021619E"/>
    <w:rsid w:val="00223E33"/>
    <w:rsid w:val="0023171B"/>
    <w:rsid w:val="00232922"/>
    <w:rsid w:val="00236BFC"/>
    <w:rsid w:val="00237437"/>
    <w:rsid w:val="002502FD"/>
    <w:rsid w:val="00250E72"/>
    <w:rsid w:val="002702B7"/>
    <w:rsid w:val="002744A8"/>
    <w:rsid w:val="00274622"/>
    <w:rsid w:val="00285D24"/>
    <w:rsid w:val="00290390"/>
    <w:rsid w:val="002915D3"/>
    <w:rsid w:val="002924DB"/>
    <w:rsid w:val="002941DA"/>
    <w:rsid w:val="002B2E1C"/>
    <w:rsid w:val="002B5648"/>
    <w:rsid w:val="002B5B47"/>
    <w:rsid w:val="002E0183"/>
    <w:rsid w:val="002E2E7C"/>
    <w:rsid w:val="002E3C35"/>
    <w:rsid w:val="002E6408"/>
    <w:rsid w:val="002F5298"/>
    <w:rsid w:val="00306339"/>
    <w:rsid w:val="00323605"/>
    <w:rsid w:val="00326ACD"/>
    <w:rsid w:val="00326AE0"/>
    <w:rsid w:val="00337E4F"/>
    <w:rsid w:val="00340093"/>
    <w:rsid w:val="00340C36"/>
    <w:rsid w:val="00346A9D"/>
    <w:rsid w:val="00346F3E"/>
    <w:rsid w:val="003536BF"/>
    <w:rsid w:val="0039376F"/>
    <w:rsid w:val="0039606C"/>
    <w:rsid w:val="003A16DD"/>
    <w:rsid w:val="003A287B"/>
    <w:rsid w:val="003A5C85"/>
    <w:rsid w:val="003A61B1"/>
    <w:rsid w:val="003B0050"/>
    <w:rsid w:val="003B6279"/>
    <w:rsid w:val="003D6312"/>
    <w:rsid w:val="003E4C07"/>
    <w:rsid w:val="003E7C74"/>
    <w:rsid w:val="003F31C6"/>
    <w:rsid w:val="003F3DE5"/>
    <w:rsid w:val="00400348"/>
    <w:rsid w:val="0040225B"/>
    <w:rsid w:val="00402DA2"/>
    <w:rsid w:val="004235AB"/>
    <w:rsid w:val="00425AC2"/>
    <w:rsid w:val="00440D9D"/>
    <w:rsid w:val="0044771F"/>
    <w:rsid w:val="00460FCD"/>
    <w:rsid w:val="00473529"/>
    <w:rsid w:val="004B151D"/>
    <w:rsid w:val="004C7243"/>
    <w:rsid w:val="004D0F50"/>
    <w:rsid w:val="004E21DE"/>
    <w:rsid w:val="004E3C57"/>
    <w:rsid w:val="004E3CB2"/>
    <w:rsid w:val="004F4861"/>
    <w:rsid w:val="004F7758"/>
    <w:rsid w:val="00514F3B"/>
    <w:rsid w:val="00515C93"/>
    <w:rsid w:val="00515E66"/>
    <w:rsid w:val="00523227"/>
    <w:rsid w:val="00525813"/>
    <w:rsid w:val="0053513F"/>
    <w:rsid w:val="00537184"/>
    <w:rsid w:val="00543607"/>
    <w:rsid w:val="00545D37"/>
    <w:rsid w:val="00546FE0"/>
    <w:rsid w:val="00565F4A"/>
    <w:rsid w:val="00574405"/>
    <w:rsid w:val="005854B0"/>
    <w:rsid w:val="00592175"/>
    <w:rsid w:val="00594E9A"/>
    <w:rsid w:val="005A0E21"/>
    <w:rsid w:val="005A438E"/>
    <w:rsid w:val="005B3A34"/>
    <w:rsid w:val="005B444E"/>
    <w:rsid w:val="005D0F15"/>
    <w:rsid w:val="005D49AF"/>
    <w:rsid w:val="005E415C"/>
    <w:rsid w:val="005E71ED"/>
    <w:rsid w:val="005E7946"/>
    <w:rsid w:val="005F24EB"/>
    <w:rsid w:val="005F7475"/>
    <w:rsid w:val="00603F53"/>
    <w:rsid w:val="00610673"/>
    <w:rsid w:val="00611299"/>
    <w:rsid w:val="006114E5"/>
    <w:rsid w:val="00613B4D"/>
    <w:rsid w:val="00615EC8"/>
    <w:rsid w:val="00616365"/>
    <w:rsid w:val="00616F3B"/>
    <w:rsid w:val="006249A7"/>
    <w:rsid w:val="00634F4F"/>
    <w:rsid w:val="0064225B"/>
    <w:rsid w:val="006560B4"/>
    <w:rsid w:val="006640C8"/>
    <w:rsid w:val="006763F9"/>
    <w:rsid w:val="00693A25"/>
    <w:rsid w:val="00694048"/>
    <w:rsid w:val="006949BC"/>
    <w:rsid w:val="006B5834"/>
    <w:rsid w:val="006D1229"/>
    <w:rsid w:val="006D372F"/>
    <w:rsid w:val="006D7A18"/>
    <w:rsid w:val="006E4474"/>
    <w:rsid w:val="006F0938"/>
    <w:rsid w:val="00700310"/>
    <w:rsid w:val="00701388"/>
    <w:rsid w:val="00712403"/>
    <w:rsid w:val="00723B7F"/>
    <w:rsid w:val="00723FC7"/>
    <w:rsid w:val="00725861"/>
    <w:rsid w:val="0073179A"/>
    <w:rsid w:val="0073393A"/>
    <w:rsid w:val="0073539D"/>
    <w:rsid w:val="00767B8A"/>
    <w:rsid w:val="00775481"/>
    <w:rsid w:val="00786DFA"/>
    <w:rsid w:val="00792B15"/>
    <w:rsid w:val="007A233B"/>
    <w:rsid w:val="007A2B7E"/>
    <w:rsid w:val="007A4673"/>
    <w:rsid w:val="007A5CE9"/>
    <w:rsid w:val="007B430D"/>
    <w:rsid w:val="007B4863"/>
    <w:rsid w:val="007C4A93"/>
    <w:rsid w:val="007C65E6"/>
    <w:rsid w:val="007D406B"/>
    <w:rsid w:val="007D4407"/>
    <w:rsid w:val="007E1CA3"/>
    <w:rsid w:val="007E37EB"/>
    <w:rsid w:val="007F6046"/>
    <w:rsid w:val="00812D62"/>
    <w:rsid w:val="00812F29"/>
    <w:rsid w:val="00821713"/>
    <w:rsid w:val="008247EC"/>
    <w:rsid w:val="00827050"/>
    <w:rsid w:val="0083278B"/>
    <w:rsid w:val="00834538"/>
    <w:rsid w:val="00834697"/>
    <w:rsid w:val="00834A8C"/>
    <w:rsid w:val="00836C4B"/>
    <w:rsid w:val="0084237B"/>
    <w:rsid w:val="00850E89"/>
    <w:rsid w:val="00854B93"/>
    <w:rsid w:val="00882041"/>
    <w:rsid w:val="00883FEB"/>
    <w:rsid w:val="00887C29"/>
    <w:rsid w:val="00891E49"/>
    <w:rsid w:val="008930E4"/>
    <w:rsid w:val="00893821"/>
    <w:rsid w:val="00897F58"/>
    <w:rsid w:val="008A7B9C"/>
    <w:rsid w:val="008A7CEA"/>
    <w:rsid w:val="008B39FA"/>
    <w:rsid w:val="008B4754"/>
    <w:rsid w:val="008D4453"/>
    <w:rsid w:val="008E1021"/>
    <w:rsid w:val="008E2E97"/>
    <w:rsid w:val="008E6A7A"/>
    <w:rsid w:val="008F1038"/>
    <w:rsid w:val="008F5BA6"/>
    <w:rsid w:val="008F7046"/>
    <w:rsid w:val="009005FC"/>
    <w:rsid w:val="00912EDD"/>
    <w:rsid w:val="00917B94"/>
    <w:rsid w:val="00922E5A"/>
    <w:rsid w:val="009404FA"/>
    <w:rsid w:val="00943315"/>
    <w:rsid w:val="00943BCD"/>
    <w:rsid w:val="00946C27"/>
    <w:rsid w:val="00980F16"/>
    <w:rsid w:val="009811C9"/>
    <w:rsid w:val="009A0666"/>
    <w:rsid w:val="009A4F3D"/>
    <w:rsid w:val="009A6501"/>
    <w:rsid w:val="009B696B"/>
    <w:rsid w:val="009B7671"/>
    <w:rsid w:val="009E17F4"/>
    <w:rsid w:val="009E5BA1"/>
    <w:rsid w:val="009F056E"/>
    <w:rsid w:val="009F47E5"/>
    <w:rsid w:val="00A0453E"/>
    <w:rsid w:val="00A11457"/>
    <w:rsid w:val="00A2474B"/>
    <w:rsid w:val="00A24F3D"/>
    <w:rsid w:val="00A25D2B"/>
    <w:rsid w:val="00A261A5"/>
    <w:rsid w:val="00A26DCD"/>
    <w:rsid w:val="00A314BB"/>
    <w:rsid w:val="00A32B7D"/>
    <w:rsid w:val="00A5146F"/>
    <w:rsid w:val="00A5596B"/>
    <w:rsid w:val="00A646B3"/>
    <w:rsid w:val="00A6739B"/>
    <w:rsid w:val="00A90413"/>
    <w:rsid w:val="00AA00D9"/>
    <w:rsid w:val="00AA613F"/>
    <w:rsid w:val="00AA6C99"/>
    <w:rsid w:val="00AA728C"/>
    <w:rsid w:val="00AB0A9C"/>
    <w:rsid w:val="00AB2A66"/>
    <w:rsid w:val="00AB7119"/>
    <w:rsid w:val="00AD5855"/>
    <w:rsid w:val="00AE7500"/>
    <w:rsid w:val="00AE7F87"/>
    <w:rsid w:val="00AF3542"/>
    <w:rsid w:val="00AF5ABE"/>
    <w:rsid w:val="00B00415"/>
    <w:rsid w:val="00B03C2A"/>
    <w:rsid w:val="00B1000D"/>
    <w:rsid w:val="00B10134"/>
    <w:rsid w:val="00B16BFE"/>
    <w:rsid w:val="00B27FCC"/>
    <w:rsid w:val="00B500E5"/>
    <w:rsid w:val="00B65A3E"/>
    <w:rsid w:val="00B65B22"/>
    <w:rsid w:val="00B72C44"/>
    <w:rsid w:val="00B9381C"/>
    <w:rsid w:val="00BA39BB"/>
    <w:rsid w:val="00BA3B3D"/>
    <w:rsid w:val="00BA6619"/>
    <w:rsid w:val="00BB231C"/>
    <w:rsid w:val="00BB7EEA"/>
    <w:rsid w:val="00BC37DE"/>
    <w:rsid w:val="00BD1909"/>
    <w:rsid w:val="00BE4813"/>
    <w:rsid w:val="00BE5E16"/>
    <w:rsid w:val="00BE5FD1"/>
    <w:rsid w:val="00BE7E1D"/>
    <w:rsid w:val="00BF62F5"/>
    <w:rsid w:val="00C046E7"/>
    <w:rsid w:val="00C06E05"/>
    <w:rsid w:val="00C14B14"/>
    <w:rsid w:val="00C17370"/>
    <w:rsid w:val="00C2054D"/>
    <w:rsid w:val="00C252EB"/>
    <w:rsid w:val="00C26EC0"/>
    <w:rsid w:val="00C56C77"/>
    <w:rsid w:val="00C57386"/>
    <w:rsid w:val="00C84923"/>
    <w:rsid w:val="00CB7B3E"/>
    <w:rsid w:val="00CC739D"/>
    <w:rsid w:val="00D04468"/>
    <w:rsid w:val="00D114E4"/>
    <w:rsid w:val="00D13785"/>
    <w:rsid w:val="00D164AF"/>
    <w:rsid w:val="00D30640"/>
    <w:rsid w:val="00D36257"/>
    <w:rsid w:val="00D4395C"/>
    <w:rsid w:val="00D4687E"/>
    <w:rsid w:val="00D52D6A"/>
    <w:rsid w:val="00D53A12"/>
    <w:rsid w:val="00D62482"/>
    <w:rsid w:val="00D63515"/>
    <w:rsid w:val="00D65078"/>
    <w:rsid w:val="00D87C00"/>
    <w:rsid w:val="00D87E2A"/>
    <w:rsid w:val="00D946C9"/>
    <w:rsid w:val="00DB090B"/>
    <w:rsid w:val="00DB0C43"/>
    <w:rsid w:val="00DC1AA5"/>
    <w:rsid w:val="00DC4B49"/>
    <w:rsid w:val="00DC7CCB"/>
    <w:rsid w:val="00DD4771"/>
    <w:rsid w:val="00DE3354"/>
    <w:rsid w:val="00DF7DCD"/>
    <w:rsid w:val="00E009FD"/>
    <w:rsid w:val="00E15B6D"/>
    <w:rsid w:val="00E21161"/>
    <w:rsid w:val="00E50B7D"/>
    <w:rsid w:val="00E51871"/>
    <w:rsid w:val="00E64D1C"/>
    <w:rsid w:val="00E710FA"/>
    <w:rsid w:val="00E904A1"/>
    <w:rsid w:val="00E95DDF"/>
    <w:rsid w:val="00EB09A0"/>
    <w:rsid w:val="00EB7D28"/>
    <w:rsid w:val="00EC0D0C"/>
    <w:rsid w:val="00ED4A2C"/>
    <w:rsid w:val="00EE2FD2"/>
    <w:rsid w:val="00EE6C24"/>
    <w:rsid w:val="00EF6940"/>
    <w:rsid w:val="00F07FF5"/>
    <w:rsid w:val="00F153D4"/>
    <w:rsid w:val="00F2044A"/>
    <w:rsid w:val="00F20BFC"/>
    <w:rsid w:val="00F24D5F"/>
    <w:rsid w:val="00F26996"/>
    <w:rsid w:val="00F425BD"/>
    <w:rsid w:val="00F56D92"/>
    <w:rsid w:val="00F726C3"/>
    <w:rsid w:val="00F727CF"/>
    <w:rsid w:val="00F806D2"/>
    <w:rsid w:val="00F814F5"/>
    <w:rsid w:val="00F820CA"/>
    <w:rsid w:val="00F8554C"/>
    <w:rsid w:val="00F95F82"/>
    <w:rsid w:val="00F97A90"/>
    <w:rsid w:val="00FC2F35"/>
    <w:rsid w:val="00FC3FD7"/>
    <w:rsid w:val="00FC52D7"/>
    <w:rsid w:val="00FD1FC6"/>
    <w:rsid w:val="00FD6B64"/>
    <w:rsid w:val="00FE5869"/>
    <w:rsid w:val="00FF0752"/>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D52D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5B444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nhideWhenUsed/>
    <w:qFormat/>
    <w:rsid w:val="007E37EB"/>
    <w:pPr>
      <w:spacing w:after="200"/>
    </w:pPr>
    <w:rPr>
      <w:i/>
      <w:iCs/>
      <w:color w:val="1F497D" w:themeColor="text2"/>
      <w:sz w:val="18"/>
      <w:szCs w:val="18"/>
    </w:rPr>
  </w:style>
  <w:style w:type="table" w:styleId="PlainTable2">
    <w:name w:val="Plain Table 2"/>
    <w:basedOn w:val="TableNormal"/>
    <w:uiPriority w:val="42"/>
    <w:rsid w:val="007E37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semiHidden/>
    <w:rsid w:val="00D52D6A"/>
    <w:rPr>
      <w:rFonts w:asciiTheme="majorHAnsi" w:eastAsiaTheme="majorEastAsia" w:hAnsiTheme="majorHAnsi" w:cstheme="majorBidi"/>
      <w:i/>
      <w:iCs/>
      <w:color w:val="365F91" w:themeColor="accent1" w:themeShade="BF"/>
      <w:sz w:val="24"/>
      <w:lang w:val="en-US" w:eastAsia="en-US"/>
    </w:rPr>
  </w:style>
  <w:style w:type="character" w:customStyle="1" w:styleId="Heading6Char">
    <w:name w:val="Heading 6 Char"/>
    <w:basedOn w:val="DefaultParagraphFont"/>
    <w:link w:val="Heading6"/>
    <w:semiHidden/>
    <w:rsid w:val="005B444E"/>
    <w:rPr>
      <w:rFonts w:asciiTheme="majorHAnsi" w:eastAsiaTheme="majorEastAsia" w:hAnsiTheme="majorHAnsi" w:cstheme="majorBidi"/>
      <w:color w:val="243F60" w:themeColor="accent1" w:themeShade="7F"/>
      <w:sz w:val="24"/>
      <w:lang w:val="en-US" w:eastAsia="en-US"/>
    </w:rPr>
  </w:style>
  <w:style w:type="character" w:styleId="PlaceholderText">
    <w:name w:val="Placeholder Text"/>
    <w:basedOn w:val="DefaultParagraphFont"/>
    <w:uiPriority w:val="99"/>
    <w:semiHidden/>
    <w:rsid w:val="00190D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luki.trihardani@uisi.ac.id"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1</Pages>
  <Words>4285</Words>
  <Characters>24426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7</cp:revision>
  <cp:lastPrinted>2025-12-15T18:22:00Z</cp:lastPrinted>
  <dcterms:created xsi:type="dcterms:W3CDTF">2025-07-27T15:04:00Z</dcterms:created>
  <dcterms:modified xsi:type="dcterms:W3CDTF">2025-12-15T18:23:00Z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858f402a-1d40-463a-94d5-97c5cdb5a20d</vt:lpwstr>
  </property>
</Properties>
</file>