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59A6" w:rsidRPr="004A59A6" w:rsidRDefault="004A59A6" w:rsidP="00D30640">
      <w:pPr>
        <w:pStyle w:val="PaperTitle"/>
        <w:spacing w:before="0"/>
      </w:pPr>
    </w:p>
    <w:p w:rsidR="004A59A6" w:rsidRPr="004A59A6" w:rsidRDefault="004A59A6" w:rsidP="00D30640">
      <w:pPr>
        <w:pStyle w:val="PaperTitle"/>
        <w:spacing w:before="0"/>
      </w:pPr>
    </w:p>
    <w:p w:rsidR="004A59A6" w:rsidRPr="004A59A6" w:rsidRDefault="004A59A6" w:rsidP="00D30640">
      <w:pPr>
        <w:pStyle w:val="PaperTitle"/>
        <w:spacing w:before="0"/>
      </w:pPr>
    </w:p>
    <w:p w:rsidR="0016385D" w:rsidRPr="004A59A6" w:rsidRDefault="006E3F85" w:rsidP="00D30640">
      <w:pPr>
        <w:pStyle w:val="PaperTitle"/>
        <w:spacing w:before="0"/>
        <w:rPr>
          <w:b w:val="0"/>
          <w:bCs/>
          <w:sz w:val="24"/>
          <w:szCs w:val="24"/>
        </w:rPr>
      </w:pPr>
      <w:r w:rsidRPr="004A59A6">
        <w:t>Measurement of the Salt Production Efficiency of Madura People Using a Data Envelopment Analysis (DEA)</w:t>
      </w:r>
      <w:r w:rsidR="000B3A2D" w:rsidRPr="004A59A6">
        <w:t xml:space="preserve"> </w:t>
      </w:r>
      <w:r w:rsidR="00A90413" w:rsidRPr="004A59A6">
        <w:br/>
      </w:r>
    </w:p>
    <w:p w:rsidR="00C14B14" w:rsidRPr="004A59A6" w:rsidRDefault="006E3F85" w:rsidP="2F830975">
      <w:pPr>
        <w:pStyle w:val="AuthorName"/>
        <w:rPr>
          <w:sz w:val="20"/>
          <w:lang w:val="en-GB" w:eastAsia="en-GB"/>
        </w:rPr>
      </w:pPr>
      <w:r w:rsidRPr="004A59A6">
        <w:t>Ika Deefi Anna</w:t>
      </w:r>
      <w:r w:rsidR="00EF6940" w:rsidRPr="004A59A6">
        <w:rPr>
          <w:vertAlign w:val="superscript"/>
        </w:rPr>
        <w:t>1,</w:t>
      </w:r>
      <w:r w:rsidR="003A5C85" w:rsidRPr="004A59A6">
        <w:rPr>
          <w:vertAlign w:val="superscript"/>
        </w:rPr>
        <w:t xml:space="preserve"> </w:t>
      </w:r>
      <w:r w:rsidR="00EF6940" w:rsidRPr="004A59A6">
        <w:rPr>
          <w:vertAlign w:val="superscript"/>
        </w:rPr>
        <w:t>a)</w:t>
      </w:r>
      <w:r w:rsidR="0012046A" w:rsidRPr="004A59A6">
        <w:t>, Indra Cahyadi</w:t>
      </w:r>
      <w:r w:rsidR="0012046A" w:rsidRPr="004A59A6">
        <w:rPr>
          <w:vertAlign w:val="superscript"/>
        </w:rPr>
        <w:t>2, b)</w:t>
      </w:r>
      <w:r w:rsidR="0012046A" w:rsidRPr="004A59A6">
        <w:t xml:space="preserve">, </w:t>
      </w:r>
      <w:r w:rsidR="0016385D" w:rsidRPr="004A59A6">
        <w:t>and A</w:t>
      </w:r>
      <w:r w:rsidRPr="004A59A6">
        <w:t xml:space="preserve">hmad </w:t>
      </w:r>
      <w:r w:rsidRPr="004A59A6">
        <w:rPr>
          <w:lang w:val="id-ID"/>
        </w:rPr>
        <w:t>Muqorrobin</w:t>
      </w:r>
      <w:r w:rsidR="0099094D" w:rsidRPr="004A59A6">
        <w:t xml:space="preserve"> Ardiansyah</w:t>
      </w:r>
      <w:r w:rsidR="0012046A" w:rsidRPr="004A59A6">
        <w:rPr>
          <w:vertAlign w:val="superscript"/>
        </w:rPr>
        <w:t>3</w:t>
      </w:r>
      <w:r w:rsidR="007B4863" w:rsidRPr="004A59A6">
        <w:rPr>
          <w:vertAlign w:val="superscript"/>
        </w:rPr>
        <w:t xml:space="preserve">, </w:t>
      </w:r>
      <w:r w:rsidR="0012046A" w:rsidRPr="004A59A6">
        <w:rPr>
          <w:vertAlign w:val="superscript"/>
        </w:rPr>
        <w:t>c</w:t>
      </w:r>
      <w:r w:rsidR="003A5C85" w:rsidRPr="004A59A6">
        <w:rPr>
          <w:vertAlign w:val="superscript"/>
        </w:rPr>
        <w:t>)</w:t>
      </w:r>
      <w:r w:rsidR="0016385D" w:rsidRPr="004A59A6">
        <w:br/>
      </w:r>
    </w:p>
    <w:p w:rsidR="00C14B14" w:rsidRPr="004A59A6" w:rsidRDefault="00C14B14" w:rsidP="003B0050">
      <w:pPr>
        <w:pStyle w:val="AuthorName"/>
        <w:spacing w:before="0" w:after="0"/>
        <w:rPr>
          <w:sz w:val="20"/>
          <w:lang w:val="en-GB" w:eastAsia="en-GB"/>
        </w:rPr>
      </w:pPr>
      <w:r w:rsidRPr="004A59A6">
        <w:rPr>
          <w:sz w:val="20"/>
          <w:lang w:val="en-GB" w:eastAsia="en-GB"/>
        </w:rPr>
        <w:t xml:space="preserve">Author Affiliations </w:t>
      </w:r>
    </w:p>
    <w:p w:rsidR="00C14B14" w:rsidRPr="004A59A6" w:rsidRDefault="00027428" w:rsidP="006E3F85">
      <w:pPr>
        <w:pStyle w:val="AuthorAffiliation"/>
      </w:pPr>
      <w:r w:rsidRPr="004A59A6">
        <w:rPr>
          <w:i w:val="0"/>
          <w:vertAlign w:val="superscript"/>
        </w:rPr>
        <w:t xml:space="preserve"> </w:t>
      </w:r>
      <w:r w:rsidRPr="004A59A6">
        <w:rPr>
          <w:i w:val="0"/>
          <w:iCs/>
          <w:vertAlign w:val="superscript"/>
        </w:rPr>
        <w:t>1</w:t>
      </w:r>
      <w:r w:rsidR="006E3F85" w:rsidRPr="004A59A6">
        <w:rPr>
          <w:i w:val="0"/>
          <w:iCs/>
          <w:vertAlign w:val="superscript"/>
        </w:rPr>
        <w:t>,2</w:t>
      </w:r>
      <w:r w:rsidR="0012046A" w:rsidRPr="004A59A6">
        <w:rPr>
          <w:i w:val="0"/>
          <w:iCs/>
          <w:vertAlign w:val="superscript"/>
        </w:rPr>
        <w:t>,3</w:t>
      </w:r>
      <w:r w:rsidR="006E3F85" w:rsidRPr="004A59A6">
        <w:t xml:space="preserve">Universitas </w:t>
      </w:r>
      <w:r w:rsidR="006E3F85" w:rsidRPr="004A59A6">
        <w:rPr>
          <w:lang w:val="id-ID"/>
        </w:rPr>
        <w:t>Trunojoyo</w:t>
      </w:r>
      <w:r w:rsidR="006E3F85" w:rsidRPr="004A59A6">
        <w:t xml:space="preserve"> Madura </w:t>
      </w:r>
      <w:r w:rsidR="0016385D" w:rsidRPr="004A59A6">
        <w:t xml:space="preserve"> </w:t>
      </w:r>
      <w:r w:rsidR="0016782F" w:rsidRPr="004A59A6">
        <w:br/>
      </w:r>
    </w:p>
    <w:p w:rsidR="00C14B14" w:rsidRPr="004A59A6" w:rsidRDefault="00C14B14" w:rsidP="00C14B14">
      <w:pPr>
        <w:pStyle w:val="AuthorAffiliation"/>
      </w:pPr>
      <w:r w:rsidRPr="004A59A6">
        <w:br/>
        <w:t>Author Emails</w:t>
      </w:r>
    </w:p>
    <w:p w:rsidR="0012046A" w:rsidRPr="004A59A6" w:rsidRDefault="00003D7C">
      <w:pPr>
        <w:pStyle w:val="AuthorEmail"/>
        <w:rPr>
          <w:iCs/>
          <w:lang w:val="id-ID"/>
        </w:rPr>
      </w:pPr>
      <w:r w:rsidRPr="004A59A6">
        <w:rPr>
          <w:szCs w:val="28"/>
          <w:vertAlign w:val="superscript"/>
        </w:rPr>
        <w:t>a)</w:t>
      </w:r>
      <w:r w:rsidRPr="004A59A6">
        <w:t xml:space="preserve"> Corresponding</w:t>
      </w:r>
      <w:r w:rsidR="004E3CB2" w:rsidRPr="004A59A6">
        <w:t xml:space="preserve"> author: </w:t>
      </w:r>
      <w:r w:rsidR="006E3F85" w:rsidRPr="004A59A6">
        <w:t>ika.anna</w:t>
      </w:r>
      <w:r w:rsidR="001D469C" w:rsidRPr="004A59A6">
        <w:t>@</w:t>
      </w:r>
      <w:r w:rsidR="006E3F85" w:rsidRPr="004A59A6">
        <w:t>trunojoyo</w:t>
      </w:r>
      <w:r w:rsidR="001D469C" w:rsidRPr="004A59A6">
        <w:t>.</w:t>
      </w:r>
      <w:r w:rsidR="006E3F85" w:rsidRPr="004A59A6">
        <w:rPr>
          <w:iCs/>
        </w:rPr>
        <w:t>ac.id</w:t>
      </w:r>
      <w:r w:rsidR="001D469C" w:rsidRPr="004A59A6">
        <w:rPr>
          <w:i/>
        </w:rPr>
        <w:br/>
      </w:r>
      <w:r w:rsidR="003A5C85" w:rsidRPr="004A59A6">
        <w:rPr>
          <w:szCs w:val="28"/>
          <w:vertAlign w:val="superscript"/>
          <w:lang w:val="id-ID"/>
        </w:rPr>
        <w:t>b)</w:t>
      </w:r>
      <w:r w:rsidR="0012046A" w:rsidRPr="004A59A6">
        <w:rPr>
          <w:lang w:val="id-ID"/>
        </w:rPr>
        <w:t>indra.cahyadi</w:t>
      </w:r>
      <w:r w:rsidR="003A5C85" w:rsidRPr="004A59A6">
        <w:rPr>
          <w:lang w:val="id-ID"/>
        </w:rPr>
        <w:t>@</w:t>
      </w:r>
      <w:r w:rsidR="0099094D" w:rsidRPr="004A59A6">
        <w:rPr>
          <w:lang w:val="id-ID"/>
        </w:rPr>
        <w:t>trunojoyo.</w:t>
      </w:r>
      <w:r w:rsidR="0099094D" w:rsidRPr="004A59A6">
        <w:rPr>
          <w:iCs/>
          <w:lang w:val="id-ID"/>
        </w:rPr>
        <w:t>ac.id</w:t>
      </w:r>
    </w:p>
    <w:p w:rsidR="003A5C85" w:rsidRPr="004A59A6" w:rsidRDefault="003707D0">
      <w:pPr>
        <w:pStyle w:val="AuthorEmail"/>
      </w:pPr>
      <w:r w:rsidRPr="004A59A6">
        <w:rPr>
          <w:szCs w:val="28"/>
          <w:vertAlign w:val="superscript"/>
        </w:rPr>
        <w:t>c</w:t>
      </w:r>
      <w:r w:rsidR="0012046A" w:rsidRPr="004A59A6">
        <w:rPr>
          <w:szCs w:val="28"/>
          <w:vertAlign w:val="superscript"/>
        </w:rPr>
        <w:t>)</w:t>
      </w:r>
      <w:r w:rsidR="0012046A" w:rsidRPr="004A59A6">
        <w:t>200421100034@ student.trunojoyo.</w:t>
      </w:r>
      <w:r w:rsidR="0012046A" w:rsidRPr="004A59A6">
        <w:rPr>
          <w:iCs/>
        </w:rPr>
        <w:t>ac.id</w:t>
      </w:r>
      <w:r w:rsidR="0099094D" w:rsidRPr="004A59A6">
        <w:rPr>
          <w:i/>
        </w:rPr>
        <w:br/>
      </w:r>
      <w:r w:rsidR="003A5C85" w:rsidRPr="004A59A6">
        <w:br/>
      </w:r>
    </w:p>
    <w:p w:rsidR="0016385D" w:rsidRPr="004A59A6" w:rsidRDefault="0016385D" w:rsidP="00C14B14">
      <w:pPr>
        <w:pStyle w:val="Abstract"/>
      </w:pPr>
      <w:r w:rsidRPr="004A59A6">
        <w:rPr>
          <w:b/>
          <w:bCs/>
        </w:rPr>
        <w:t>Abstract.</w:t>
      </w:r>
      <w:r w:rsidRPr="004A59A6">
        <w:t xml:space="preserve"> </w:t>
      </w:r>
      <w:r w:rsidR="00263804" w:rsidRPr="004A59A6">
        <w:rPr>
          <w:szCs w:val="18"/>
        </w:rPr>
        <w:t xml:space="preserve">The objective of this study is to measure the production efficiency of Madurese salt farmers </w:t>
      </w:r>
      <w:r w:rsidR="00263804" w:rsidRPr="004A59A6">
        <w:rPr>
          <w:szCs w:val="18"/>
          <w:lang w:val="id-ID"/>
        </w:rPr>
        <w:t>in Sumenep</w:t>
      </w:r>
      <w:r w:rsidR="00263804" w:rsidRPr="004A59A6">
        <w:rPr>
          <w:szCs w:val="18"/>
        </w:rPr>
        <w:t xml:space="preserve"> Regency. The Data Envelopment Analysis (DEA) model used is the Charnes, Cooper, and Rhodes (CCR) model. The CCR model assumes constant returns to scale (CRS) and focuses on output. Efficiency levels are measured using a computer system with Frontier Analyst software and the linear programming method. The decision-making units (DMUs) in this study are the salt production areas in </w:t>
      </w:r>
      <w:r w:rsidR="00263804" w:rsidRPr="004A59A6">
        <w:rPr>
          <w:szCs w:val="18"/>
          <w:lang w:val="id-ID"/>
        </w:rPr>
        <w:t>Sumenep</w:t>
      </w:r>
      <w:r w:rsidR="00263804" w:rsidRPr="004A59A6">
        <w:rPr>
          <w:szCs w:val="18"/>
        </w:rPr>
        <w:t xml:space="preserve"> Regency. Input variables include salting area, salt group, salt farmer, and salt selling price. The output variables are production yield and salt quality. Processing the data with LINGO and Frontier Analyst software reveals eight efficient and two inefficient DMUs. The input variables affecting the cost reduction and potential improvement efficiency values are the salting area, salt group, and salt farmer. DMU 6's efficiency improved by increasing the area of salting area, salt group, and salt farmer. Meanwhile, the efficiency of DMU 9 increased with an expansion of the salting area.</w:t>
      </w:r>
    </w:p>
    <w:p w:rsidR="003A287B" w:rsidRPr="004A59A6" w:rsidRDefault="00883786" w:rsidP="00003D7C">
      <w:pPr>
        <w:pStyle w:val="Heading1"/>
        <w:rPr>
          <w:b w:val="0"/>
          <w:caps w:val="0"/>
          <w:sz w:val="20"/>
        </w:rPr>
      </w:pPr>
      <w:r w:rsidRPr="004A59A6">
        <w:t>INTRODUCTION</w:t>
      </w:r>
      <w:r w:rsidR="00616F3B" w:rsidRPr="004A59A6">
        <w:br/>
      </w:r>
    </w:p>
    <w:p w:rsidR="00883786" w:rsidRPr="004A59A6" w:rsidRDefault="00883786" w:rsidP="00883786">
      <w:pPr>
        <w:pStyle w:val="Body"/>
        <w:ind w:firstLine="284"/>
        <w:rPr>
          <w:lang w:val="id-ID"/>
        </w:rPr>
      </w:pPr>
      <w:r w:rsidRPr="004A59A6">
        <w:rPr>
          <w:lang w:val="id-ID"/>
        </w:rPr>
        <w:t>As an archipelagic country with more water than land, Indonesia is known for its abundant marine resources, including salt. Domestic demand for salt continues to increase in line with population growth and industrial development. However, local salt production has not been able to meet national needs due to low production optimization and high salting land conversion (</w:t>
      </w:r>
      <w:bookmarkStart w:id="0" w:name="_Hlk200819532"/>
      <w:r w:rsidRPr="004A59A6">
        <w:rPr>
          <w:lang w:val="id-ID"/>
        </w:rPr>
        <w:t>1).</w:t>
      </w:r>
      <w:bookmarkEnd w:id="0"/>
      <w:r w:rsidRPr="004A59A6">
        <w:rPr>
          <w:lang w:val="id-ID"/>
        </w:rPr>
        <w:t xml:space="preserve"> Folk salt has become an important trade commodity. It has also become a strategic issue for the national economy, especially given the decline in production in the Sumenep district. The government is trying to increase salt production by utilizing coastal resources and improving management. The Structured Downstreaming Project aims to optimize salt production and increase production in Sumenep District (2).</w:t>
      </w:r>
    </w:p>
    <w:p w:rsidR="00883786" w:rsidRPr="004A59A6" w:rsidRDefault="00883786" w:rsidP="00883786">
      <w:pPr>
        <w:pStyle w:val="Body"/>
        <w:ind w:firstLine="284"/>
        <w:rPr>
          <w:lang w:val="id-ID"/>
        </w:rPr>
      </w:pPr>
      <w:r w:rsidRPr="004A59A6">
        <w:rPr>
          <w:lang w:val="id-ID"/>
        </w:rPr>
        <w:t>According to data from the East Java Provincial Maritime Affairs and Fisheries Office, there was a significant decrease in salt production in Sumenep District over three consecutive years, from 2020 to 2022. Salt production was around 103,606.09 tons in 2020 and decreased to 47,250.79 tons in 2022.  Sumenep District is known for having the largest number of smallholder salt producers, with ten subdistricts designated as salt-producing areas. Most people in Sumenep District still use traditional methods to produce salt. The success of salt production depends heavily on natural conditions. Despite its great potential, smallholder salt production in Sumenep faces several challenges, including suboptimal production results, unstable prices, and low product quality.</w:t>
      </w:r>
    </w:p>
    <w:p w:rsidR="0057445F" w:rsidRPr="004A59A6" w:rsidRDefault="00883786" w:rsidP="0057445F">
      <w:pPr>
        <w:pStyle w:val="Body"/>
        <w:ind w:firstLine="284"/>
        <w:rPr>
          <w:lang w:val="id-ID"/>
        </w:rPr>
      </w:pPr>
      <w:r w:rsidRPr="004A59A6">
        <w:rPr>
          <w:lang w:val="id-ID"/>
        </w:rPr>
        <w:lastRenderedPageBreak/>
        <w:t>Farmers' income depends heavily on the surrounding environment because production only occurs during the dry season. This results in an inefficient salt production process. Salt farmers have the opportunity to increase smallholder salt production by improving the efficiency and productivity of the production process. Salt businesses in Madura vary in efficiency and productivity. According to Zainury et al. (3), the salt productivity level in the Sumenep district is 73.58 tons/Ha. Some causes of differences in salt production in Madura include climate, weather, facilities, infrastructure, and seawater concentration (4). Using geomembranes in dry weather can increase productivity to 160 tons/Ha (5). Therefore, it can be concluded that the average level of salt productivity in Madura is low. In other words, Madurese salt production is not efficient.</w:t>
      </w:r>
    </w:p>
    <w:p w:rsidR="0057445F" w:rsidRPr="004A59A6" w:rsidRDefault="00883786" w:rsidP="0057445F">
      <w:pPr>
        <w:pStyle w:val="Body"/>
        <w:ind w:firstLine="284"/>
        <w:rPr>
          <w:lang w:val="id-ID"/>
        </w:rPr>
      </w:pPr>
      <w:r w:rsidRPr="004A59A6">
        <w:rPr>
          <w:lang w:val="id-ID"/>
        </w:rPr>
        <w:t>Therefore, it is necessary to analyze the efficiency of salt production by the Madura people, particularly in the Sumenep district.  This study aims to determine the efficiency of Madurese salt production in Sumenep District using the DEA approach. The results of this study are expected to provide information on salt-producing areas that are and are not efficient. It will also identify which input variables need improvement to increase efficiency in areas that are not yet efficient.</w:t>
      </w:r>
      <w:r w:rsidR="0057445F" w:rsidRPr="004A59A6">
        <w:rPr>
          <w:lang w:val="id-ID"/>
        </w:rPr>
        <w:t xml:space="preserve"> DEA applications have been used in many fields such as transportation (6), environment (7), sustainability (8), human development (9), health (10), banking and finance (11), and education (12). </w:t>
      </w:r>
    </w:p>
    <w:p w:rsidR="00883786" w:rsidRPr="004A59A6" w:rsidRDefault="00883786" w:rsidP="00883786">
      <w:pPr>
        <w:pStyle w:val="Body"/>
        <w:ind w:firstLine="284"/>
        <w:rPr>
          <w:lang w:val="id-ID"/>
        </w:rPr>
      </w:pPr>
    </w:p>
    <w:p w:rsidR="0007312E" w:rsidRPr="004A59A6" w:rsidRDefault="0007312E" w:rsidP="00883786">
      <w:pPr>
        <w:pStyle w:val="Body"/>
        <w:ind w:firstLine="284"/>
        <w:rPr>
          <w:lang w:val="id-ID"/>
        </w:rPr>
      </w:pPr>
    </w:p>
    <w:p w:rsidR="0007312E" w:rsidRPr="004A59A6" w:rsidRDefault="0007312E" w:rsidP="0007312E">
      <w:pPr>
        <w:pStyle w:val="Heading1"/>
        <w:rPr>
          <w:b w:val="0"/>
          <w:caps w:val="0"/>
          <w:sz w:val="20"/>
        </w:rPr>
      </w:pPr>
      <w:r w:rsidRPr="004A59A6">
        <w:t>RESEARCH METHOD</w:t>
      </w:r>
      <w:r w:rsidRPr="004A59A6">
        <w:br/>
      </w:r>
    </w:p>
    <w:p w:rsidR="00525844" w:rsidRPr="004A59A6" w:rsidRDefault="00525844" w:rsidP="00525844">
      <w:pPr>
        <w:pStyle w:val="Paragraph"/>
      </w:pPr>
      <w:r w:rsidRPr="004A59A6">
        <w:t xml:space="preserve">This research has five main stages: problem identification, data collection, data processing, analysis of results, and conclusions and suggestions. The study aims to measure the efficiency of salt production by the Madura people in the </w:t>
      </w:r>
      <w:r w:rsidRPr="004A59A6">
        <w:rPr>
          <w:lang w:val="id-ID"/>
        </w:rPr>
        <w:t>Sumenep di</w:t>
      </w:r>
      <w:r w:rsidRPr="004A59A6">
        <w:t xml:space="preserve">strict. Data were obtained through observations and interviews with salt farmers, as well as from several related agencies. The required data includes information on the distribution of salt production areas, salt production land, salt production groups, salt farmers, salt prices, and salt quality in </w:t>
      </w:r>
      <w:r w:rsidRPr="004A59A6">
        <w:rPr>
          <w:lang w:val="id-ID"/>
        </w:rPr>
        <w:t>Sumenep</w:t>
      </w:r>
      <w:r w:rsidRPr="004A59A6">
        <w:t xml:space="preserve"> District. This study uses the data envelopment analysis (DEA) approach, which employs two methods to calculate efficiency levels: linear programming equations and computational systems. The DEA linear programming model is solved with the help of Lingo software. Lingo software assists in solving, calculating, and analyzing linear, integer, and nonlinear optimization problems (</w:t>
      </w:r>
      <w:r w:rsidR="0057445F" w:rsidRPr="004A59A6">
        <w:t>13</w:t>
      </w:r>
      <w:r w:rsidRPr="004A59A6">
        <w:t>). The measurement uses a computational system with Frontier Analyst software. Frontier Analyst software can determine the target input for inefficient decision-making units and display potential improvements on which to base further evaluation and action to improve efficiency values (</w:t>
      </w:r>
      <w:r w:rsidR="0057445F" w:rsidRPr="004A59A6">
        <w:t>14</w:t>
      </w:r>
      <w:r w:rsidRPr="004A59A6">
        <w:t>).</w:t>
      </w:r>
    </w:p>
    <w:p w:rsidR="00525844" w:rsidRPr="004A59A6" w:rsidRDefault="00525844" w:rsidP="00525844">
      <w:pPr>
        <w:pStyle w:val="Paragraph"/>
      </w:pPr>
      <w:r w:rsidRPr="004A59A6">
        <w:t>The DEA approach is an analytical method used to measure the relative efficiency of an entity that converts inputs into outputs (</w:t>
      </w:r>
      <w:r w:rsidR="0057445F" w:rsidRPr="004A59A6">
        <w:t>15</w:t>
      </w:r>
      <w:r w:rsidRPr="004A59A6">
        <w:t>). DEA identifies units that perform well or poorly at maximizing output given their inputs (</w:t>
      </w:r>
      <w:r w:rsidR="0057445F" w:rsidRPr="004A59A6">
        <w:t>16</w:t>
      </w:r>
      <w:r w:rsidRPr="004A59A6">
        <w:t>). It is commonly used for performance comparisons and improvements in various sectors (</w:t>
      </w:r>
      <w:r w:rsidR="0057445F" w:rsidRPr="004A59A6">
        <w:t>15</w:t>
      </w:r>
      <w:r w:rsidRPr="004A59A6">
        <w:t>). This study uses the DEA CCR model under the assumption of CRS (constant return to scale), which is output-oriented.  The following mathematical programming model measures efficiency levels (1</w:t>
      </w:r>
      <w:r w:rsidR="0057445F" w:rsidRPr="004A59A6">
        <w:t>7</w:t>
      </w:r>
      <w:r w:rsidRPr="004A59A6">
        <w:t>). The DEA approach is an analytical method that measures the relative efficiency of entities converting inputs into outputs (</w:t>
      </w:r>
      <w:r w:rsidR="0057445F" w:rsidRPr="004A59A6">
        <w:t>15</w:t>
      </w:r>
      <w:r w:rsidRPr="004A59A6">
        <w:t>). It identifies units that perform well or poorly in maximizing output with available inputs (</w:t>
      </w:r>
      <w:r w:rsidR="0057445F" w:rsidRPr="004A59A6">
        <w:t>16</w:t>
      </w:r>
      <w:r w:rsidRPr="004A59A6">
        <w:t xml:space="preserve">). It is commonly used in the context of performance comparison and improvement in various sectors. This study uses the DEA CCR model under the assumption of CRS (constant return scale), which is output-oriented. </w:t>
      </w:r>
      <w:r w:rsidR="00453764" w:rsidRPr="004A59A6">
        <w:t>This DEA model is widely used (1</w:t>
      </w:r>
      <w:r w:rsidR="0057445F" w:rsidRPr="004A59A6">
        <w:t>8</w:t>
      </w:r>
      <w:r w:rsidR="00453764" w:rsidRPr="004A59A6">
        <w:t>).</w:t>
      </w:r>
      <w:r w:rsidRPr="004A59A6">
        <w:t xml:space="preserve"> The following is a mathematical programming model to measure efficiency levels (1</w:t>
      </w:r>
      <w:r w:rsidR="0057445F" w:rsidRPr="004A59A6">
        <w:t>6</w:t>
      </w:r>
      <w:r w:rsidRPr="004A59A6">
        <w:t>).</w:t>
      </w:r>
    </w:p>
    <w:p w:rsidR="0007312E" w:rsidRPr="004A59A6" w:rsidRDefault="0007312E" w:rsidP="00883786">
      <w:pPr>
        <w:pStyle w:val="Body"/>
        <w:ind w:firstLine="284"/>
        <w:rPr>
          <w:lang w:val="id-ID"/>
        </w:rPr>
      </w:pPr>
    </w:p>
    <w:p w:rsidR="00611B81" w:rsidRPr="004A59A6" w:rsidRDefault="00611B81" w:rsidP="00611B81">
      <w:pPr>
        <w:ind w:left="3544"/>
        <w:rPr>
          <w:sz w:val="20"/>
          <w:lang w:val="id-ID"/>
        </w:rPr>
      </w:pPr>
      <w:r w:rsidRPr="004A59A6">
        <w:rPr>
          <w:i/>
          <w:iCs/>
          <w:sz w:val="20"/>
          <w:lang w:val="id-ID"/>
        </w:rPr>
        <w:t>Objective function</w:t>
      </w:r>
      <w:r w:rsidRPr="004A59A6">
        <w:rPr>
          <w:sz w:val="20"/>
          <w:lang w:val="id-ID"/>
        </w:rPr>
        <w:t>:</w:t>
      </w:r>
    </w:p>
    <w:p w:rsidR="00611B81" w:rsidRPr="004A59A6" w:rsidRDefault="00D306C6" w:rsidP="00611B81">
      <w:pPr>
        <w:pStyle w:val="Body"/>
        <w:tabs>
          <w:tab w:val="right" w:pos="4536"/>
        </w:tabs>
        <w:spacing w:line="276" w:lineRule="auto"/>
        <w:ind w:left="3544"/>
        <w:jc w:val="left"/>
        <w:rPr>
          <w:lang w:val="id-ID"/>
        </w:rPr>
      </w:pPr>
      <m:oMath>
        <m:limLow>
          <m:limLowPr>
            <m:ctrlPr>
              <w:rPr>
                <w:rFonts w:ascii="Cambria Math" w:hAnsi="Cambria Math"/>
                <w:i/>
                <w:lang w:val="id-ID"/>
              </w:rPr>
            </m:ctrlPr>
          </m:limLowPr>
          <m:e>
            <m:r>
              <w:rPr>
                <w:rFonts w:ascii="Cambria Math" w:hAnsi="Cambria Math"/>
                <w:lang w:val="id-ID"/>
              </w:rPr>
              <m:t>Max θ</m:t>
            </m:r>
          </m:e>
          <m:lim>
            <m:sSub>
              <m:sSubPr>
                <m:ctrlPr>
                  <w:rPr>
                    <w:rFonts w:ascii="Cambria Math" w:hAnsi="Cambria Math"/>
                    <w:i/>
                    <w:lang w:val="id-ID"/>
                  </w:rPr>
                </m:ctrlPr>
              </m:sSubPr>
              <m:e>
                <m:r>
                  <w:rPr>
                    <w:rFonts w:ascii="Cambria Math" w:hAnsi="Cambria Math"/>
                    <w:lang w:val="id-ID"/>
                  </w:rPr>
                  <m:t>μ</m:t>
                </m:r>
              </m:e>
              <m:sub>
                <m:r>
                  <w:rPr>
                    <w:rFonts w:ascii="Cambria Math" w:hAnsi="Cambria Math"/>
                    <w:lang w:val="id-ID"/>
                  </w:rPr>
                  <m:t>k</m:t>
                </m:r>
              </m:sub>
            </m:sSub>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v</m:t>
                </m:r>
              </m:e>
              <m:sub>
                <m:r>
                  <w:rPr>
                    <w:rFonts w:ascii="Cambria Math" w:hAnsi="Cambria Math"/>
                    <w:lang w:val="id-ID"/>
                  </w:rPr>
                  <m:t>i</m:t>
                </m:r>
              </m:sub>
            </m:sSub>
          </m:lim>
        </m:limLow>
        <m:r>
          <w:rPr>
            <w:rFonts w:ascii="Cambria Math" w:hAnsi="Cambria Math"/>
            <w:lang w:val="id-ID"/>
          </w:rPr>
          <m:t xml:space="preserve">= </m:t>
        </m:r>
        <m:nary>
          <m:naryPr>
            <m:chr m:val="∑"/>
            <m:limLoc m:val="undOvr"/>
            <m:ctrlPr>
              <w:rPr>
                <w:rFonts w:ascii="Cambria Math" w:hAnsi="Cambria Math"/>
                <w:i/>
                <w:lang w:val="id-ID"/>
              </w:rPr>
            </m:ctrlPr>
          </m:naryPr>
          <m:sub>
            <m:r>
              <w:rPr>
                <w:rFonts w:ascii="Cambria Math" w:hAnsi="Cambria Math"/>
                <w:lang w:val="id-ID"/>
              </w:rPr>
              <m:t>k=1</m:t>
            </m:r>
          </m:sub>
          <m:sup>
            <m:r>
              <w:rPr>
                <w:rFonts w:ascii="Cambria Math" w:hAnsi="Cambria Math"/>
                <w:lang w:val="id-ID"/>
              </w:rPr>
              <m:t>p</m:t>
            </m:r>
          </m:sup>
          <m:e>
            <m:sSub>
              <m:sSubPr>
                <m:ctrlPr>
                  <w:rPr>
                    <w:rFonts w:ascii="Cambria Math" w:hAnsi="Cambria Math"/>
                    <w:i/>
                    <w:lang w:val="id-ID"/>
                  </w:rPr>
                </m:ctrlPr>
              </m:sSubPr>
              <m:e>
                <m:r>
                  <w:rPr>
                    <w:rFonts w:ascii="Cambria Math" w:hAnsi="Cambria Math"/>
                    <w:lang w:val="id-ID"/>
                  </w:rPr>
                  <m:t>μ</m:t>
                </m:r>
              </m:e>
              <m:sub>
                <m:r>
                  <w:rPr>
                    <w:rFonts w:ascii="Cambria Math" w:hAnsi="Cambria Math"/>
                    <w:lang w:val="id-ID"/>
                  </w:rPr>
                  <m:t>k</m:t>
                </m:r>
              </m:sub>
            </m:sSub>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k0</m:t>
                </m:r>
              </m:sub>
            </m:sSub>
          </m:e>
        </m:nary>
      </m:oMath>
      <w:r w:rsidR="00611B81" w:rsidRPr="004A59A6">
        <w:rPr>
          <w:lang w:val="id-ID"/>
        </w:rPr>
        <w:tab/>
        <w:t xml:space="preserve">                                                    (1)</w:t>
      </w:r>
    </w:p>
    <w:p w:rsidR="00611B81" w:rsidRPr="004A59A6" w:rsidRDefault="00611B81" w:rsidP="00611B81">
      <w:pPr>
        <w:tabs>
          <w:tab w:val="left" w:leader="dot" w:pos="7371"/>
        </w:tabs>
        <w:spacing w:line="276" w:lineRule="auto"/>
        <w:ind w:left="3544"/>
        <w:rPr>
          <w:i/>
          <w:iCs/>
          <w:sz w:val="20"/>
          <w:lang w:val="id-ID"/>
        </w:rPr>
      </w:pPr>
    </w:p>
    <w:p w:rsidR="00611B81" w:rsidRPr="004A59A6" w:rsidRDefault="00611B81" w:rsidP="00611B81">
      <w:pPr>
        <w:tabs>
          <w:tab w:val="left" w:leader="dot" w:pos="7371"/>
        </w:tabs>
        <w:spacing w:line="276" w:lineRule="auto"/>
        <w:ind w:left="3544"/>
        <w:rPr>
          <w:sz w:val="20"/>
          <w:lang w:val="id-ID"/>
        </w:rPr>
      </w:pPr>
      <w:r w:rsidRPr="004A59A6">
        <w:rPr>
          <w:i/>
          <w:iCs/>
          <w:sz w:val="20"/>
          <w:lang w:val="id-ID"/>
        </w:rPr>
        <w:t>Subject to</w:t>
      </w:r>
      <w:r w:rsidRPr="004A59A6">
        <w:rPr>
          <w:sz w:val="20"/>
          <w:lang w:val="id-ID"/>
        </w:rPr>
        <w:t>:</w:t>
      </w:r>
    </w:p>
    <w:p w:rsidR="00611B81" w:rsidRPr="004A59A6" w:rsidRDefault="00D306C6" w:rsidP="00611B81">
      <w:pPr>
        <w:pStyle w:val="Body"/>
        <w:tabs>
          <w:tab w:val="right" w:pos="4536"/>
        </w:tabs>
        <w:spacing w:line="276" w:lineRule="auto"/>
        <w:ind w:left="3544"/>
        <w:jc w:val="left"/>
        <w:rPr>
          <w:lang w:val="id-ID"/>
        </w:rPr>
      </w:pPr>
      <m:oMath>
        <m:nary>
          <m:naryPr>
            <m:chr m:val="∑"/>
            <m:limLoc m:val="undOvr"/>
            <m:ctrlPr>
              <w:rPr>
                <w:rFonts w:ascii="Cambria Math" w:hAnsi="Cambria Math"/>
                <w:i/>
                <w:lang w:val="id-ID"/>
              </w:rPr>
            </m:ctrlPr>
          </m:naryPr>
          <m:sub>
            <m:r>
              <w:rPr>
                <w:rFonts w:ascii="Cambria Math" w:hAnsi="Cambria Math"/>
                <w:lang w:val="id-ID"/>
              </w:rPr>
              <m:t>i=1</m:t>
            </m:r>
          </m:sub>
          <m:sup>
            <m:r>
              <w:rPr>
                <w:rFonts w:ascii="Cambria Math" w:hAnsi="Cambria Math"/>
                <w:lang w:val="id-ID"/>
              </w:rPr>
              <m:t>m</m:t>
            </m:r>
          </m:sup>
          <m:e>
            <m:sSub>
              <m:sSubPr>
                <m:ctrlPr>
                  <w:rPr>
                    <w:rFonts w:ascii="Cambria Math" w:hAnsi="Cambria Math"/>
                    <w:i/>
                    <w:lang w:val="id-ID"/>
                  </w:rPr>
                </m:ctrlPr>
              </m:sSubPr>
              <m:e>
                <m:r>
                  <w:rPr>
                    <w:rFonts w:ascii="Cambria Math" w:hAnsi="Cambria Math"/>
                    <w:lang w:val="id-ID"/>
                  </w:rPr>
                  <m:t>v</m:t>
                </m:r>
              </m:e>
              <m:sub>
                <m:r>
                  <w:rPr>
                    <w:rFonts w:ascii="Cambria Math" w:hAnsi="Cambria Math"/>
                    <w:lang w:val="id-ID"/>
                  </w:rPr>
                  <m:t>1</m:t>
                </m:r>
              </m:sub>
            </m:sSub>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 xml:space="preserve">i0 </m:t>
                </m:r>
              </m:sub>
            </m:sSub>
            <m:r>
              <w:rPr>
                <w:rFonts w:ascii="Cambria Math" w:hAnsi="Cambria Math"/>
                <w:lang w:val="id-ID"/>
              </w:rPr>
              <m:t>=1</m:t>
            </m:r>
          </m:e>
        </m:nary>
      </m:oMath>
      <w:r w:rsidR="00611B81" w:rsidRPr="004A59A6">
        <w:rPr>
          <w:lang w:val="id-ID"/>
        </w:rPr>
        <w:tab/>
        <w:t xml:space="preserve">                                                                   (2)</w:t>
      </w:r>
    </w:p>
    <w:p w:rsidR="00611B81" w:rsidRPr="004A59A6" w:rsidRDefault="00611B81" w:rsidP="00611B81">
      <w:pPr>
        <w:pStyle w:val="Body"/>
        <w:ind w:left="3544" w:firstLine="0"/>
        <w:jc w:val="left"/>
        <w:rPr>
          <w:lang w:val="id-ID"/>
        </w:rPr>
      </w:pPr>
    </w:p>
    <w:p w:rsidR="00611B81" w:rsidRPr="004A59A6" w:rsidRDefault="00D306C6" w:rsidP="00611B81">
      <w:pPr>
        <w:pStyle w:val="Body"/>
        <w:tabs>
          <w:tab w:val="right" w:pos="4536"/>
        </w:tabs>
        <w:ind w:left="3544"/>
        <w:jc w:val="left"/>
        <w:rPr>
          <w:lang w:val="id-ID"/>
        </w:rPr>
      </w:pPr>
      <m:oMath>
        <m:nary>
          <m:naryPr>
            <m:chr m:val="∑"/>
            <m:limLoc m:val="undOvr"/>
            <m:ctrlPr>
              <w:rPr>
                <w:rFonts w:ascii="Cambria Math" w:hAnsi="Cambria Math"/>
                <w:i/>
                <w:lang w:val="id-ID"/>
              </w:rPr>
            </m:ctrlPr>
          </m:naryPr>
          <m:sub>
            <m:r>
              <w:rPr>
                <w:rFonts w:ascii="Cambria Math" w:hAnsi="Cambria Math"/>
                <w:lang w:val="id-ID"/>
              </w:rPr>
              <m:t>k=1</m:t>
            </m:r>
          </m:sub>
          <m:sup>
            <m:r>
              <w:rPr>
                <w:rFonts w:ascii="Cambria Math" w:hAnsi="Cambria Math"/>
                <w:lang w:val="id-ID"/>
              </w:rPr>
              <m:t>p</m:t>
            </m:r>
          </m:sup>
          <m:e>
            <m:sSub>
              <m:sSubPr>
                <m:ctrlPr>
                  <w:rPr>
                    <w:rFonts w:ascii="Cambria Math" w:hAnsi="Cambria Math"/>
                    <w:i/>
                    <w:lang w:val="id-ID"/>
                  </w:rPr>
                </m:ctrlPr>
              </m:sSubPr>
              <m:e>
                <m:r>
                  <w:rPr>
                    <w:rFonts w:ascii="Cambria Math" w:hAnsi="Cambria Math"/>
                    <w:lang w:val="id-ID"/>
                  </w:rPr>
                  <m:t>μ</m:t>
                </m:r>
              </m:e>
              <m:sub>
                <m:r>
                  <w:rPr>
                    <w:rFonts w:ascii="Cambria Math" w:hAnsi="Cambria Math"/>
                    <w:lang w:val="id-ID"/>
                  </w:rPr>
                  <m:t>k</m:t>
                </m:r>
              </m:sub>
            </m:sSub>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kj</m:t>
                </m:r>
              </m:sub>
            </m:sSub>
          </m:e>
        </m:nary>
        <m:r>
          <w:rPr>
            <w:rFonts w:ascii="Cambria Math" w:hAnsi="Cambria Math"/>
            <w:lang w:val="id-ID"/>
          </w:rPr>
          <m:t>-</m:t>
        </m:r>
        <m:nary>
          <m:naryPr>
            <m:chr m:val="∑"/>
            <m:limLoc m:val="undOvr"/>
            <m:ctrlPr>
              <w:rPr>
                <w:rFonts w:ascii="Cambria Math" w:hAnsi="Cambria Math"/>
                <w:i/>
                <w:lang w:val="id-ID"/>
              </w:rPr>
            </m:ctrlPr>
          </m:naryPr>
          <m:sub>
            <m:r>
              <w:rPr>
                <w:rFonts w:ascii="Cambria Math" w:hAnsi="Cambria Math"/>
                <w:lang w:val="id-ID"/>
              </w:rPr>
              <m:t>i=1</m:t>
            </m:r>
          </m:sub>
          <m:sup>
            <m:r>
              <w:rPr>
                <w:rFonts w:ascii="Cambria Math" w:hAnsi="Cambria Math"/>
                <w:lang w:val="id-ID"/>
              </w:rPr>
              <m:t>m</m:t>
            </m:r>
          </m:sup>
          <m:e>
            <m:sSub>
              <m:sSubPr>
                <m:ctrlPr>
                  <w:rPr>
                    <w:rFonts w:ascii="Cambria Math" w:hAnsi="Cambria Math"/>
                    <w:i/>
                    <w:lang w:val="id-ID"/>
                  </w:rPr>
                </m:ctrlPr>
              </m:sSubPr>
              <m:e>
                <m:r>
                  <w:rPr>
                    <w:rFonts w:ascii="Cambria Math" w:hAnsi="Cambria Math"/>
                    <w:lang w:val="id-ID"/>
                  </w:rPr>
                  <m:t>v</m:t>
                </m:r>
              </m:e>
              <m:sub>
                <m:r>
                  <w:rPr>
                    <w:rFonts w:ascii="Cambria Math" w:hAnsi="Cambria Math"/>
                    <w:lang w:val="id-ID"/>
                  </w:rPr>
                  <m:t>1</m:t>
                </m:r>
              </m:sub>
            </m:sSub>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 xml:space="preserve">i </m:t>
                </m:r>
              </m:sub>
            </m:sSub>
            <m:r>
              <w:rPr>
                <w:rFonts w:ascii="Cambria Math" w:hAnsi="Cambria Math"/>
                <w:lang w:val="id-ID"/>
              </w:rPr>
              <m:t>≤0</m:t>
            </m:r>
          </m:e>
        </m:nary>
      </m:oMath>
      <w:r w:rsidR="00611B81" w:rsidRPr="004A59A6">
        <w:rPr>
          <w:lang w:val="id-ID"/>
        </w:rPr>
        <w:tab/>
        <w:t xml:space="preserve">                                                    (3)</w:t>
      </w:r>
    </w:p>
    <w:p w:rsidR="00611B81" w:rsidRPr="004A59A6" w:rsidRDefault="00611B81" w:rsidP="00611B81">
      <w:pPr>
        <w:pStyle w:val="Body"/>
        <w:ind w:left="3544"/>
        <w:jc w:val="left"/>
        <w:rPr>
          <w:lang w:val="id-ID"/>
        </w:rPr>
      </w:pPr>
    </w:p>
    <w:p w:rsidR="00611B81" w:rsidRPr="004A59A6" w:rsidRDefault="00D306C6" w:rsidP="00611B81">
      <w:pPr>
        <w:pStyle w:val="Body"/>
        <w:tabs>
          <w:tab w:val="right" w:pos="4536"/>
        </w:tabs>
        <w:ind w:left="3544"/>
        <w:jc w:val="left"/>
        <w:rPr>
          <w:lang w:val="id-ID"/>
        </w:rPr>
      </w:pPr>
      <m:oMath>
        <m:sSub>
          <m:sSubPr>
            <m:ctrlPr>
              <w:rPr>
                <w:rFonts w:ascii="Cambria Math" w:hAnsi="Cambria Math"/>
                <w:i/>
                <w:lang w:val="id-ID"/>
              </w:rPr>
            </m:ctrlPr>
          </m:sSubPr>
          <m:e>
            <m:r>
              <w:rPr>
                <w:rFonts w:ascii="Cambria Math" w:hAnsi="Cambria Math"/>
                <w:lang w:val="id-ID"/>
              </w:rPr>
              <m:t>μ</m:t>
            </m:r>
          </m:e>
          <m:sub>
            <m:r>
              <w:rPr>
                <w:rFonts w:ascii="Cambria Math" w:hAnsi="Cambria Math"/>
                <w:lang w:val="id-ID"/>
              </w:rPr>
              <m:t>k</m:t>
            </m:r>
          </m:sub>
        </m:sSub>
        <m:sSub>
          <m:sSubPr>
            <m:ctrlPr>
              <w:rPr>
                <w:rFonts w:ascii="Cambria Math" w:hAnsi="Cambria Math"/>
                <w:i/>
                <w:lang w:val="id-ID"/>
              </w:rPr>
            </m:ctrlPr>
          </m:sSubPr>
          <m:e>
            <m:r>
              <w:rPr>
                <w:rFonts w:ascii="Cambria Math" w:hAnsi="Cambria Math"/>
                <w:lang w:val="id-ID"/>
              </w:rPr>
              <m:t>≥v</m:t>
            </m:r>
          </m:e>
          <m:sub>
            <m:r>
              <w:rPr>
                <w:rFonts w:ascii="Cambria Math" w:hAnsi="Cambria Math"/>
                <w:lang w:val="id-ID"/>
              </w:rPr>
              <m:t>i</m:t>
            </m:r>
          </m:sub>
        </m:sSub>
        <m:r>
          <w:rPr>
            <w:rFonts w:ascii="Cambria Math" w:hAnsi="Cambria Math"/>
            <w:lang w:val="id-ID"/>
          </w:rPr>
          <m:t>≥0</m:t>
        </m:r>
      </m:oMath>
      <w:r w:rsidR="00611B81" w:rsidRPr="004A59A6">
        <w:rPr>
          <w:lang w:val="id-ID"/>
        </w:rPr>
        <w:tab/>
        <w:t xml:space="preserve">                                                                  (4)</w:t>
      </w:r>
    </w:p>
    <w:p w:rsidR="00611B81" w:rsidRPr="004A59A6" w:rsidRDefault="00611B81" w:rsidP="00611B81">
      <w:pPr>
        <w:pStyle w:val="Body"/>
        <w:jc w:val="left"/>
        <w:rPr>
          <w:lang w:val="id-ID"/>
        </w:rPr>
      </w:pPr>
    </w:p>
    <w:p w:rsidR="004A59A6" w:rsidRDefault="004A59A6" w:rsidP="00611B81">
      <w:pPr>
        <w:pStyle w:val="Body"/>
        <w:ind w:firstLine="0"/>
        <w:rPr>
          <w:lang w:val="id-ID"/>
        </w:rPr>
      </w:pPr>
    </w:p>
    <w:p w:rsidR="004A59A6" w:rsidRDefault="004A59A6" w:rsidP="00611B81">
      <w:pPr>
        <w:pStyle w:val="Body"/>
        <w:ind w:firstLine="0"/>
        <w:rPr>
          <w:lang w:val="id-ID"/>
        </w:rPr>
      </w:pPr>
    </w:p>
    <w:p w:rsidR="00611B81" w:rsidRPr="004A59A6" w:rsidRDefault="00611B81" w:rsidP="00611B81">
      <w:pPr>
        <w:pStyle w:val="Body"/>
        <w:ind w:firstLine="0"/>
        <w:rPr>
          <w:lang w:val="id-ID"/>
        </w:rPr>
      </w:pPr>
      <w:r w:rsidRPr="004A59A6">
        <w:rPr>
          <w:lang w:val="id-ID"/>
        </w:rPr>
        <w:lastRenderedPageBreak/>
        <w:t>Where:</w:t>
      </w:r>
    </w:p>
    <w:p w:rsidR="00611B81" w:rsidRPr="004A59A6" w:rsidRDefault="00D306C6" w:rsidP="00611B81">
      <w:pPr>
        <w:rPr>
          <w:sz w:val="20"/>
          <w:lang w:val="id-ID"/>
        </w:rPr>
      </w:pPr>
      <m:oMath>
        <m:sSub>
          <m:sSubPr>
            <m:ctrlPr>
              <w:rPr>
                <w:rFonts w:ascii="Cambria Math" w:hAnsi="Cambria Math"/>
                <w:i/>
                <w:sz w:val="20"/>
                <w:lang w:val="id-ID"/>
              </w:rPr>
            </m:ctrlPr>
          </m:sSubPr>
          <m:e>
            <m:r>
              <w:rPr>
                <w:rFonts w:ascii="Cambria Math" w:hAnsi="Cambria Math"/>
                <w:sz w:val="20"/>
                <w:lang w:val="id-ID"/>
              </w:rPr>
              <m:t>y</m:t>
            </m:r>
          </m:e>
          <m:sub>
            <m:r>
              <w:rPr>
                <w:rFonts w:ascii="Cambria Math" w:hAnsi="Cambria Math"/>
                <w:sz w:val="20"/>
                <w:lang w:val="id-ID"/>
              </w:rPr>
              <m:t>kj</m:t>
            </m:r>
          </m:sub>
        </m:sSub>
      </m:oMath>
      <w:r w:rsidR="00611B81" w:rsidRPr="004A59A6">
        <w:rPr>
          <w:sz w:val="20"/>
          <w:lang w:val="id-ID"/>
        </w:rPr>
        <w:tab/>
        <w:t xml:space="preserve">= the number of output </w:t>
      </w:r>
      <w:r w:rsidR="00611B81" w:rsidRPr="004A59A6">
        <w:rPr>
          <w:i/>
          <w:iCs/>
          <w:sz w:val="20"/>
          <w:lang w:val="id-ID"/>
        </w:rPr>
        <w:t>k</w:t>
      </w:r>
      <w:r w:rsidR="00611B81" w:rsidRPr="004A59A6">
        <w:rPr>
          <w:sz w:val="20"/>
          <w:lang w:val="id-ID"/>
        </w:rPr>
        <w:t xml:space="preserve"> produced by DMU </w:t>
      </w:r>
      <w:r w:rsidR="00611B81" w:rsidRPr="004A59A6">
        <w:rPr>
          <w:i/>
          <w:iCs/>
          <w:sz w:val="20"/>
          <w:lang w:val="id-ID"/>
        </w:rPr>
        <w:t>j</w:t>
      </w:r>
    </w:p>
    <w:p w:rsidR="00611B81" w:rsidRPr="004A59A6" w:rsidRDefault="00D306C6" w:rsidP="00611B81">
      <w:pPr>
        <w:rPr>
          <w:sz w:val="20"/>
          <w:lang w:val="id-ID"/>
        </w:rPr>
      </w:pPr>
      <m:oMath>
        <m:sSub>
          <m:sSubPr>
            <m:ctrlPr>
              <w:rPr>
                <w:rFonts w:ascii="Cambria Math" w:hAnsi="Cambria Math"/>
                <w:i/>
                <w:sz w:val="20"/>
                <w:lang w:val="id-ID"/>
              </w:rPr>
            </m:ctrlPr>
          </m:sSubPr>
          <m:e>
            <m:r>
              <w:rPr>
                <w:rFonts w:ascii="Cambria Math" w:hAnsi="Cambria Math"/>
                <w:sz w:val="20"/>
                <w:lang w:val="id-ID"/>
              </w:rPr>
              <m:t>x</m:t>
            </m:r>
          </m:e>
          <m:sub>
            <m:r>
              <w:rPr>
                <w:rFonts w:ascii="Cambria Math" w:hAnsi="Cambria Math"/>
                <w:sz w:val="20"/>
                <w:lang w:val="id-ID"/>
              </w:rPr>
              <m:t>ij</m:t>
            </m:r>
          </m:sub>
        </m:sSub>
      </m:oMath>
      <w:r w:rsidR="00611B81" w:rsidRPr="004A59A6">
        <w:rPr>
          <w:sz w:val="20"/>
          <w:lang w:val="id-ID"/>
        </w:rPr>
        <w:tab/>
        <w:t xml:space="preserve">= the number of input </w:t>
      </w:r>
      <w:r w:rsidR="00611B81" w:rsidRPr="004A59A6">
        <w:rPr>
          <w:i/>
          <w:iCs/>
          <w:sz w:val="20"/>
          <w:lang w:val="id-ID"/>
        </w:rPr>
        <w:t>i</w:t>
      </w:r>
      <w:r w:rsidR="00611B81" w:rsidRPr="004A59A6">
        <w:rPr>
          <w:sz w:val="20"/>
          <w:lang w:val="id-ID"/>
        </w:rPr>
        <w:t xml:space="preserve"> produced by DMU </w:t>
      </w:r>
      <w:r w:rsidR="00611B81" w:rsidRPr="004A59A6">
        <w:rPr>
          <w:i/>
          <w:iCs/>
          <w:sz w:val="20"/>
          <w:lang w:val="id-ID"/>
        </w:rPr>
        <w:t>j</w:t>
      </w:r>
    </w:p>
    <w:p w:rsidR="00611B81" w:rsidRPr="004A59A6" w:rsidRDefault="00D306C6" w:rsidP="00611B81">
      <w:pPr>
        <w:rPr>
          <w:sz w:val="20"/>
          <w:lang w:val="id-ID"/>
        </w:rPr>
      </w:pPr>
      <m:oMath>
        <m:sSub>
          <m:sSubPr>
            <m:ctrlPr>
              <w:rPr>
                <w:rFonts w:ascii="Cambria Math" w:hAnsi="Cambria Math"/>
                <w:i/>
                <w:sz w:val="20"/>
                <w:lang w:val="id-ID"/>
              </w:rPr>
            </m:ctrlPr>
          </m:sSubPr>
          <m:e>
            <m:r>
              <w:rPr>
                <w:rFonts w:ascii="Cambria Math" w:hAnsi="Cambria Math"/>
                <w:sz w:val="20"/>
                <w:lang w:val="id-ID"/>
              </w:rPr>
              <m:t>μ</m:t>
            </m:r>
          </m:e>
          <m:sub>
            <m:r>
              <w:rPr>
                <w:rFonts w:ascii="Cambria Math" w:hAnsi="Cambria Math"/>
                <w:sz w:val="20"/>
                <w:lang w:val="id-ID"/>
              </w:rPr>
              <m:t>k</m:t>
            </m:r>
          </m:sub>
        </m:sSub>
      </m:oMath>
      <w:r w:rsidR="00611B81" w:rsidRPr="004A59A6">
        <w:rPr>
          <w:sz w:val="20"/>
          <w:lang w:val="id-ID"/>
        </w:rPr>
        <w:tab/>
        <w:t xml:space="preserve">= </w:t>
      </w:r>
      <w:r w:rsidR="00066CCE" w:rsidRPr="004A59A6">
        <w:rPr>
          <w:sz w:val="20"/>
          <w:lang w:val="id-ID"/>
        </w:rPr>
        <w:t xml:space="preserve">the weight assigned to </w:t>
      </w:r>
      <w:r w:rsidR="00611B81" w:rsidRPr="004A59A6">
        <w:rPr>
          <w:sz w:val="20"/>
          <w:lang w:val="id-ID"/>
        </w:rPr>
        <w:t xml:space="preserve">output </w:t>
      </w:r>
      <w:r w:rsidR="00611B81" w:rsidRPr="004A59A6">
        <w:rPr>
          <w:i/>
          <w:iCs/>
          <w:sz w:val="20"/>
          <w:lang w:val="id-ID"/>
        </w:rPr>
        <w:t>k</w:t>
      </w:r>
    </w:p>
    <w:p w:rsidR="00611B81" w:rsidRPr="004A59A6" w:rsidRDefault="00D306C6" w:rsidP="00611B81">
      <w:pPr>
        <w:rPr>
          <w:sz w:val="20"/>
          <w:lang w:val="id-ID"/>
        </w:rPr>
      </w:pPr>
      <m:oMath>
        <m:sSub>
          <m:sSubPr>
            <m:ctrlPr>
              <w:rPr>
                <w:rFonts w:ascii="Cambria Math" w:hAnsi="Cambria Math"/>
                <w:i/>
                <w:sz w:val="20"/>
                <w:lang w:val="id-ID"/>
              </w:rPr>
            </m:ctrlPr>
          </m:sSubPr>
          <m:e>
            <m:r>
              <w:rPr>
                <w:rFonts w:ascii="Cambria Math" w:hAnsi="Cambria Math"/>
                <w:sz w:val="20"/>
                <w:lang w:val="id-ID"/>
              </w:rPr>
              <m:t>v</m:t>
            </m:r>
          </m:e>
          <m:sub>
            <m:r>
              <w:rPr>
                <w:rFonts w:ascii="Cambria Math" w:hAnsi="Cambria Math"/>
                <w:sz w:val="20"/>
                <w:lang w:val="id-ID"/>
              </w:rPr>
              <m:t>i</m:t>
            </m:r>
          </m:sub>
        </m:sSub>
      </m:oMath>
      <w:r w:rsidR="00611B81" w:rsidRPr="004A59A6">
        <w:rPr>
          <w:sz w:val="20"/>
          <w:lang w:val="id-ID"/>
        </w:rPr>
        <w:tab/>
        <w:t xml:space="preserve">= </w:t>
      </w:r>
      <w:r w:rsidR="00066CCE" w:rsidRPr="004A59A6">
        <w:rPr>
          <w:sz w:val="20"/>
          <w:lang w:val="id-ID"/>
        </w:rPr>
        <w:t xml:space="preserve">the weight assigned to </w:t>
      </w:r>
      <w:r w:rsidR="00611B81" w:rsidRPr="004A59A6">
        <w:rPr>
          <w:sz w:val="20"/>
          <w:lang w:val="id-ID"/>
        </w:rPr>
        <w:t xml:space="preserve">input </w:t>
      </w:r>
      <w:r w:rsidR="00611B81" w:rsidRPr="004A59A6">
        <w:rPr>
          <w:i/>
          <w:iCs/>
          <w:sz w:val="20"/>
          <w:lang w:val="id-ID"/>
        </w:rPr>
        <w:t>i</w:t>
      </w:r>
    </w:p>
    <w:p w:rsidR="00611B81" w:rsidRPr="004A59A6" w:rsidRDefault="00D306C6" w:rsidP="00611B81">
      <w:pPr>
        <w:rPr>
          <w:sz w:val="20"/>
          <w:lang w:val="id-ID"/>
        </w:rPr>
      </w:pPr>
      <m:oMath>
        <m:r>
          <w:rPr>
            <w:rFonts w:ascii="Cambria Math" w:hAnsi="Cambria Math"/>
            <w:sz w:val="20"/>
            <w:lang w:val="id-ID"/>
          </w:rPr>
          <m:t>n</m:t>
        </m:r>
      </m:oMath>
      <w:r w:rsidR="00611B81" w:rsidRPr="004A59A6">
        <w:rPr>
          <w:sz w:val="20"/>
          <w:lang w:val="id-ID"/>
        </w:rPr>
        <w:tab/>
        <w:t xml:space="preserve">= </w:t>
      </w:r>
      <w:r w:rsidR="00066CCE" w:rsidRPr="004A59A6">
        <w:rPr>
          <w:sz w:val="20"/>
          <w:lang w:val="id-ID"/>
        </w:rPr>
        <w:t>number of</w:t>
      </w:r>
      <w:r w:rsidR="00611B81" w:rsidRPr="004A59A6">
        <w:rPr>
          <w:sz w:val="20"/>
          <w:lang w:val="id-ID"/>
        </w:rPr>
        <w:t xml:space="preserve"> DMU</w:t>
      </w:r>
      <w:r w:rsidR="00066CCE" w:rsidRPr="004A59A6">
        <w:rPr>
          <w:sz w:val="20"/>
          <w:lang w:val="id-ID"/>
        </w:rPr>
        <w:t>s</w:t>
      </w:r>
    </w:p>
    <w:p w:rsidR="00611B81" w:rsidRPr="004A59A6" w:rsidRDefault="00D306C6" w:rsidP="00611B81">
      <w:pPr>
        <w:rPr>
          <w:sz w:val="20"/>
          <w:lang w:val="id-ID"/>
        </w:rPr>
      </w:pPr>
      <m:oMath>
        <m:sSub>
          <m:sSubPr>
            <m:ctrlPr>
              <w:rPr>
                <w:rFonts w:ascii="Cambria Math" w:hAnsi="Cambria Math"/>
                <w:i/>
                <w:sz w:val="20"/>
                <w:lang w:val="id-ID"/>
              </w:rPr>
            </m:ctrlPr>
          </m:sSubPr>
          <m:e>
            <m:r>
              <w:rPr>
                <w:rFonts w:ascii="Cambria Math" w:hAnsi="Cambria Math"/>
                <w:sz w:val="20"/>
                <w:lang w:val="id-ID"/>
              </w:rPr>
              <m:t>i</m:t>
            </m:r>
          </m:e>
          <m:sub>
            <m:r>
              <w:rPr>
                <w:rFonts w:ascii="Cambria Math" w:hAnsi="Cambria Math"/>
                <w:sz w:val="20"/>
                <w:lang w:val="id-ID"/>
              </w:rPr>
              <m:t>0</m:t>
            </m:r>
          </m:sub>
        </m:sSub>
      </m:oMath>
      <w:r w:rsidR="00611B81" w:rsidRPr="004A59A6">
        <w:rPr>
          <w:sz w:val="20"/>
          <w:lang w:val="id-ID"/>
        </w:rPr>
        <w:tab/>
        <w:t xml:space="preserve">= </w:t>
      </w:r>
      <w:r w:rsidR="00066CCE" w:rsidRPr="004A59A6">
        <w:rPr>
          <w:sz w:val="20"/>
          <w:lang w:val="id-ID"/>
        </w:rPr>
        <w:t xml:space="preserve">The </w:t>
      </w:r>
      <w:r w:rsidR="00611B81" w:rsidRPr="004A59A6">
        <w:rPr>
          <w:sz w:val="20"/>
          <w:lang w:val="id-ID"/>
        </w:rPr>
        <w:t xml:space="preserve">DMU </w:t>
      </w:r>
      <w:r w:rsidR="00066CCE" w:rsidRPr="004A59A6">
        <w:rPr>
          <w:sz w:val="20"/>
          <w:lang w:val="id-ID"/>
        </w:rPr>
        <w:t>is being assessed</w:t>
      </w:r>
    </w:p>
    <w:p w:rsidR="00611B81" w:rsidRPr="004A59A6" w:rsidRDefault="00611B81" w:rsidP="00883786">
      <w:pPr>
        <w:pStyle w:val="Body"/>
        <w:ind w:firstLine="284"/>
        <w:rPr>
          <w:lang w:val="id-ID"/>
        </w:rPr>
      </w:pPr>
    </w:p>
    <w:p w:rsidR="00563C4A" w:rsidRPr="004A59A6" w:rsidRDefault="00563C4A" w:rsidP="00563C4A">
      <w:pPr>
        <w:pStyle w:val="Heading1"/>
      </w:pPr>
      <w:r w:rsidRPr="004A59A6">
        <w:t>RESULT AND DISCUSSION</w:t>
      </w:r>
      <w:r w:rsidRPr="004A59A6">
        <w:br/>
      </w:r>
    </w:p>
    <w:p w:rsidR="00725861" w:rsidRPr="004A59A6" w:rsidRDefault="00563C4A" w:rsidP="00725861">
      <w:pPr>
        <w:pStyle w:val="Heading2"/>
      </w:pPr>
      <w:r w:rsidRPr="004A59A6">
        <w:t>Determination of DMU and Research Variables</w:t>
      </w:r>
      <w:r w:rsidR="00725861" w:rsidRPr="004A59A6">
        <w:br/>
      </w:r>
    </w:p>
    <w:p w:rsidR="00725861" w:rsidRPr="004A59A6" w:rsidRDefault="00563C4A" w:rsidP="00725861">
      <w:pPr>
        <w:pStyle w:val="Paragraph"/>
      </w:pPr>
      <w:r w:rsidRPr="004A59A6">
        <w:t xml:space="preserve">The Decision-Making Unit (DMU) in this study comprises ten producing areas of people's salt producers in the </w:t>
      </w:r>
      <w:r w:rsidRPr="004A59A6">
        <w:rPr>
          <w:lang w:val="id-ID"/>
        </w:rPr>
        <w:t>Sumenep</w:t>
      </w:r>
      <w:r w:rsidRPr="004A59A6">
        <w:t xml:space="preserve"> district, as determined through field observations, interviews, and literature studies. The Madura salt-producing areas in the </w:t>
      </w:r>
      <w:r w:rsidRPr="004A59A6">
        <w:rPr>
          <w:lang w:val="id-ID"/>
        </w:rPr>
        <w:t xml:space="preserve">Sumenep </w:t>
      </w:r>
      <w:r w:rsidRPr="004A59A6">
        <w:t xml:space="preserve">district include </w:t>
      </w:r>
      <w:r w:rsidRPr="004A59A6">
        <w:rPr>
          <w:lang w:val="id-ID"/>
        </w:rPr>
        <w:t>Arjasa, Gapura, Giligenting, Kalianget</w:t>
      </w:r>
      <w:r w:rsidRPr="004A59A6">
        <w:t xml:space="preserve">, </w:t>
      </w:r>
      <w:r w:rsidRPr="004A59A6">
        <w:rPr>
          <w:lang w:val="id-ID"/>
        </w:rPr>
        <w:t>and Kangayan. Pragaan</w:t>
      </w:r>
      <w:r w:rsidRPr="004A59A6">
        <w:t xml:space="preserve">, Raas, </w:t>
      </w:r>
      <w:r w:rsidRPr="004A59A6">
        <w:rPr>
          <w:lang w:val="id-ID"/>
        </w:rPr>
        <w:t>Sapeken, Saronggi, and Talango</w:t>
      </w:r>
      <w:r w:rsidRPr="004A59A6">
        <w:t xml:space="preserve"> (Table 1). The four input variables used were the area of salting land, salt group, salt farmers, and selling price of salt. The output variables include production yield and product quality (Table 2). A research DMU is expected to have a relationship with more input and output variables than are used (</w:t>
      </w:r>
      <w:r w:rsidR="0057445F" w:rsidRPr="004A59A6">
        <w:t>15</w:t>
      </w:r>
      <w:r w:rsidRPr="004A59A6">
        <w:t>).</w:t>
      </w:r>
    </w:p>
    <w:p w:rsidR="00D76C36" w:rsidRPr="004A59A6" w:rsidRDefault="00D76C36" w:rsidP="00725861">
      <w:pPr>
        <w:pStyle w:val="Paragraph"/>
      </w:pPr>
    </w:p>
    <w:p w:rsidR="00D76C36" w:rsidRPr="004A59A6" w:rsidRDefault="00D76C36" w:rsidP="00D76C36">
      <w:pPr>
        <w:pStyle w:val="Caption"/>
        <w:keepNext/>
        <w:rPr>
          <w:sz w:val="18"/>
          <w:lang w:val="id-ID"/>
        </w:rPr>
      </w:pPr>
      <w:r w:rsidRPr="004A59A6">
        <w:rPr>
          <w:b/>
          <w:sz w:val="18"/>
        </w:rPr>
        <w:t xml:space="preserve">TABLE 1. </w:t>
      </w:r>
      <w:r w:rsidRPr="004A59A6">
        <w:rPr>
          <w:sz w:val="18"/>
        </w:rPr>
        <w:t>DMU data</w:t>
      </w:r>
    </w:p>
    <w:tbl>
      <w:tblPr>
        <w:tblW w:w="0" w:type="auto"/>
        <w:jc w:val="center"/>
        <w:tblLayout w:type="fixed"/>
        <w:tblLook w:val="0000" w:firstRow="0" w:lastRow="0" w:firstColumn="0" w:lastColumn="0" w:noHBand="0" w:noVBand="0"/>
      </w:tblPr>
      <w:tblGrid>
        <w:gridCol w:w="800"/>
        <w:gridCol w:w="1228"/>
        <w:gridCol w:w="993"/>
      </w:tblGrid>
      <w:tr w:rsidR="00D76C36" w:rsidRPr="004A59A6">
        <w:trPr>
          <w:cantSplit/>
          <w:trHeight w:val="272"/>
          <w:jc w:val="center"/>
        </w:trPr>
        <w:tc>
          <w:tcPr>
            <w:tcW w:w="800" w:type="dxa"/>
            <w:tcBorders>
              <w:top w:val="single" w:sz="4" w:space="0" w:color="auto"/>
              <w:bottom w:val="single" w:sz="4" w:space="0" w:color="auto"/>
            </w:tcBorders>
            <w:vAlign w:val="center"/>
          </w:tcPr>
          <w:p w:rsidR="00D76C36" w:rsidRPr="004A59A6" w:rsidRDefault="00D76C36">
            <w:pPr>
              <w:jc w:val="center"/>
            </w:pPr>
            <w:r w:rsidRPr="004A59A6">
              <w:rPr>
                <w:b/>
                <w:sz w:val="18"/>
                <w:szCs w:val="18"/>
              </w:rPr>
              <w:t>No</w:t>
            </w:r>
          </w:p>
        </w:tc>
        <w:tc>
          <w:tcPr>
            <w:tcW w:w="1228" w:type="dxa"/>
            <w:tcBorders>
              <w:top w:val="single" w:sz="4" w:space="0" w:color="auto"/>
              <w:bottom w:val="single" w:sz="4" w:space="0" w:color="auto"/>
            </w:tcBorders>
            <w:vAlign w:val="center"/>
          </w:tcPr>
          <w:p w:rsidR="00D76C36" w:rsidRPr="004A59A6" w:rsidRDefault="000D042E">
            <w:pPr>
              <w:jc w:val="center"/>
              <w:rPr>
                <w:b/>
                <w:sz w:val="18"/>
                <w:szCs w:val="18"/>
              </w:rPr>
            </w:pPr>
            <w:r w:rsidRPr="004A59A6">
              <w:rPr>
                <w:b/>
                <w:sz w:val="18"/>
                <w:szCs w:val="18"/>
              </w:rPr>
              <w:t>Subd</w:t>
            </w:r>
            <w:r w:rsidR="00D76C36" w:rsidRPr="004A59A6">
              <w:rPr>
                <w:b/>
                <w:sz w:val="18"/>
                <w:szCs w:val="18"/>
              </w:rPr>
              <w:t>istrict</w:t>
            </w:r>
          </w:p>
        </w:tc>
        <w:tc>
          <w:tcPr>
            <w:tcW w:w="993" w:type="dxa"/>
            <w:tcBorders>
              <w:top w:val="single" w:sz="4" w:space="0" w:color="auto"/>
              <w:bottom w:val="single" w:sz="4" w:space="0" w:color="auto"/>
            </w:tcBorders>
            <w:vAlign w:val="center"/>
          </w:tcPr>
          <w:p w:rsidR="00D76C36" w:rsidRPr="004A59A6" w:rsidRDefault="00D76C36">
            <w:pPr>
              <w:jc w:val="center"/>
              <w:rPr>
                <w:b/>
                <w:sz w:val="18"/>
                <w:szCs w:val="18"/>
              </w:rPr>
            </w:pPr>
            <w:r w:rsidRPr="004A59A6">
              <w:rPr>
                <w:b/>
                <w:sz w:val="18"/>
                <w:szCs w:val="18"/>
              </w:rPr>
              <w:t>DMU</w:t>
            </w:r>
          </w:p>
        </w:tc>
      </w:tr>
      <w:tr w:rsidR="00D76C36" w:rsidRPr="004A59A6">
        <w:trPr>
          <w:cantSplit/>
          <w:jc w:val="center"/>
        </w:trPr>
        <w:tc>
          <w:tcPr>
            <w:tcW w:w="800" w:type="dxa"/>
            <w:tcBorders>
              <w:top w:val="single" w:sz="4" w:space="0" w:color="auto"/>
            </w:tcBorders>
          </w:tcPr>
          <w:p w:rsidR="00D76C36" w:rsidRPr="004A59A6" w:rsidRDefault="00D76C36">
            <w:pPr>
              <w:pStyle w:val="Paragraph"/>
              <w:jc w:val="left"/>
            </w:pPr>
            <w:r w:rsidRPr="004A59A6">
              <w:t>1</w:t>
            </w:r>
          </w:p>
        </w:tc>
        <w:tc>
          <w:tcPr>
            <w:tcW w:w="1228" w:type="dxa"/>
            <w:tcBorders>
              <w:top w:val="single" w:sz="4" w:space="0" w:color="auto"/>
            </w:tcBorders>
          </w:tcPr>
          <w:p w:rsidR="00D76C36" w:rsidRPr="004A59A6" w:rsidRDefault="00D76C36">
            <w:pPr>
              <w:jc w:val="center"/>
              <w:rPr>
                <w:sz w:val="20"/>
                <w:lang w:val="id-ID"/>
              </w:rPr>
            </w:pPr>
            <w:r w:rsidRPr="004A59A6">
              <w:rPr>
                <w:sz w:val="20"/>
                <w:lang w:val="id-ID"/>
              </w:rPr>
              <w:t>Arjasa</w:t>
            </w:r>
          </w:p>
        </w:tc>
        <w:tc>
          <w:tcPr>
            <w:tcW w:w="993" w:type="dxa"/>
            <w:tcBorders>
              <w:top w:val="single" w:sz="4" w:space="0" w:color="auto"/>
            </w:tcBorders>
          </w:tcPr>
          <w:p w:rsidR="00D76C36" w:rsidRPr="004A59A6" w:rsidRDefault="00D76C36">
            <w:pPr>
              <w:jc w:val="center"/>
              <w:rPr>
                <w:sz w:val="20"/>
              </w:rPr>
            </w:pPr>
            <w:r w:rsidRPr="004A59A6">
              <w:rPr>
                <w:sz w:val="20"/>
              </w:rPr>
              <w:t>1</w:t>
            </w:r>
          </w:p>
        </w:tc>
      </w:tr>
      <w:tr w:rsidR="00D76C36" w:rsidRPr="004A59A6">
        <w:trPr>
          <w:cantSplit/>
          <w:jc w:val="center"/>
        </w:trPr>
        <w:tc>
          <w:tcPr>
            <w:tcW w:w="800" w:type="dxa"/>
          </w:tcPr>
          <w:p w:rsidR="00D76C36" w:rsidRPr="004A59A6" w:rsidRDefault="00D76C36">
            <w:pPr>
              <w:pStyle w:val="Paragraph"/>
              <w:jc w:val="left"/>
            </w:pPr>
            <w:r w:rsidRPr="004A59A6">
              <w:t>2</w:t>
            </w:r>
          </w:p>
        </w:tc>
        <w:tc>
          <w:tcPr>
            <w:tcW w:w="1228" w:type="dxa"/>
          </w:tcPr>
          <w:p w:rsidR="00D76C36" w:rsidRPr="004A59A6" w:rsidRDefault="00D76C36">
            <w:pPr>
              <w:jc w:val="center"/>
              <w:rPr>
                <w:sz w:val="20"/>
                <w:lang w:val="id-ID"/>
              </w:rPr>
            </w:pPr>
            <w:r w:rsidRPr="004A59A6">
              <w:rPr>
                <w:sz w:val="20"/>
                <w:lang w:val="id-ID"/>
              </w:rPr>
              <w:t>Gapura</w:t>
            </w:r>
          </w:p>
        </w:tc>
        <w:tc>
          <w:tcPr>
            <w:tcW w:w="993" w:type="dxa"/>
          </w:tcPr>
          <w:p w:rsidR="00D76C36" w:rsidRPr="004A59A6" w:rsidRDefault="00D76C36">
            <w:pPr>
              <w:jc w:val="center"/>
              <w:rPr>
                <w:sz w:val="20"/>
              </w:rPr>
            </w:pPr>
            <w:r w:rsidRPr="004A59A6">
              <w:rPr>
                <w:sz w:val="20"/>
              </w:rPr>
              <w:t>2</w:t>
            </w:r>
          </w:p>
        </w:tc>
      </w:tr>
      <w:tr w:rsidR="00D76C36" w:rsidRPr="004A59A6">
        <w:trPr>
          <w:cantSplit/>
          <w:trHeight w:val="237"/>
          <w:jc w:val="center"/>
        </w:trPr>
        <w:tc>
          <w:tcPr>
            <w:tcW w:w="800" w:type="dxa"/>
          </w:tcPr>
          <w:p w:rsidR="00D76C36" w:rsidRPr="004A59A6" w:rsidRDefault="00D76C36">
            <w:pPr>
              <w:pStyle w:val="Paragraph"/>
              <w:jc w:val="left"/>
            </w:pPr>
            <w:r w:rsidRPr="004A59A6">
              <w:t>3</w:t>
            </w:r>
          </w:p>
        </w:tc>
        <w:tc>
          <w:tcPr>
            <w:tcW w:w="1228" w:type="dxa"/>
          </w:tcPr>
          <w:p w:rsidR="00D76C36" w:rsidRPr="004A59A6" w:rsidRDefault="00D76C36">
            <w:pPr>
              <w:jc w:val="center"/>
              <w:rPr>
                <w:sz w:val="20"/>
                <w:lang w:val="id-ID"/>
              </w:rPr>
            </w:pPr>
            <w:r w:rsidRPr="004A59A6">
              <w:rPr>
                <w:sz w:val="20"/>
                <w:lang w:val="id-ID"/>
              </w:rPr>
              <w:t>Giligenting</w:t>
            </w:r>
          </w:p>
        </w:tc>
        <w:tc>
          <w:tcPr>
            <w:tcW w:w="993" w:type="dxa"/>
          </w:tcPr>
          <w:p w:rsidR="00D76C36" w:rsidRPr="004A59A6" w:rsidRDefault="00D76C36">
            <w:pPr>
              <w:jc w:val="center"/>
              <w:rPr>
                <w:sz w:val="20"/>
              </w:rPr>
            </w:pPr>
            <w:r w:rsidRPr="004A59A6">
              <w:rPr>
                <w:sz w:val="20"/>
              </w:rPr>
              <w:t>3</w:t>
            </w:r>
          </w:p>
        </w:tc>
      </w:tr>
      <w:tr w:rsidR="00D76C36" w:rsidRPr="004A59A6">
        <w:trPr>
          <w:cantSplit/>
          <w:trHeight w:val="237"/>
          <w:jc w:val="center"/>
        </w:trPr>
        <w:tc>
          <w:tcPr>
            <w:tcW w:w="800" w:type="dxa"/>
          </w:tcPr>
          <w:p w:rsidR="00D76C36" w:rsidRPr="004A59A6" w:rsidRDefault="00D76C36">
            <w:pPr>
              <w:pStyle w:val="Paragraph"/>
              <w:jc w:val="left"/>
            </w:pPr>
            <w:r w:rsidRPr="004A59A6">
              <w:t>4</w:t>
            </w:r>
          </w:p>
        </w:tc>
        <w:tc>
          <w:tcPr>
            <w:tcW w:w="1228" w:type="dxa"/>
          </w:tcPr>
          <w:p w:rsidR="00D76C36" w:rsidRPr="004A59A6" w:rsidRDefault="00D76C36">
            <w:pPr>
              <w:jc w:val="center"/>
              <w:rPr>
                <w:sz w:val="20"/>
                <w:lang w:val="id-ID"/>
              </w:rPr>
            </w:pPr>
            <w:r w:rsidRPr="004A59A6">
              <w:rPr>
                <w:sz w:val="20"/>
                <w:lang w:val="id-ID"/>
              </w:rPr>
              <w:t>Kalianget</w:t>
            </w:r>
          </w:p>
        </w:tc>
        <w:tc>
          <w:tcPr>
            <w:tcW w:w="993" w:type="dxa"/>
          </w:tcPr>
          <w:p w:rsidR="00D76C36" w:rsidRPr="004A59A6" w:rsidRDefault="00D76C36">
            <w:pPr>
              <w:jc w:val="center"/>
              <w:rPr>
                <w:sz w:val="20"/>
              </w:rPr>
            </w:pPr>
            <w:r w:rsidRPr="004A59A6">
              <w:rPr>
                <w:sz w:val="20"/>
              </w:rPr>
              <w:t>4</w:t>
            </w:r>
          </w:p>
        </w:tc>
      </w:tr>
      <w:tr w:rsidR="00D76C36" w:rsidRPr="004A59A6">
        <w:trPr>
          <w:cantSplit/>
          <w:trHeight w:val="237"/>
          <w:jc w:val="center"/>
        </w:trPr>
        <w:tc>
          <w:tcPr>
            <w:tcW w:w="800" w:type="dxa"/>
          </w:tcPr>
          <w:p w:rsidR="00D76C36" w:rsidRPr="004A59A6" w:rsidRDefault="00D76C36">
            <w:pPr>
              <w:pStyle w:val="Paragraph"/>
              <w:jc w:val="left"/>
            </w:pPr>
            <w:r w:rsidRPr="004A59A6">
              <w:t>5</w:t>
            </w:r>
          </w:p>
        </w:tc>
        <w:tc>
          <w:tcPr>
            <w:tcW w:w="1228" w:type="dxa"/>
          </w:tcPr>
          <w:p w:rsidR="00D76C36" w:rsidRPr="004A59A6" w:rsidRDefault="00D76C36">
            <w:pPr>
              <w:jc w:val="center"/>
              <w:rPr>
                <w:sz w:val="20"/>
                <w:lang w:val="id-ID"/>
              </w:rPr>
            </w:pPr>
            <w:r w:rsidRPr="004A59A6">
              <w:rPr>
                <w:sz w:val="20"/>
                <w:lang w:val="id-ID"/>
              </w:rPr>
              <w:t>Kangayan</w:t>
            </w:r>
          </w:p>
        </w:tc>
        <w:tc>
          <w:tcPr>
            <w:tcW w:w="993" w:type="dxa"/>
          </w:tcPr>
          <w:p w:rsidR="00D76C36" w:rsidRPr="004A59A6" w:rsidRDefault="00D76C36">
            <w:pPr>
              <w:jc w:val="center"/>
              <w:rPr>
                <w:sz w:val="20"/>
              </w:rPr>
            </w:pPr>
            <w:r w:rsidRPr="004A59A6">
              <w:rPr>
                <w:sz w:val="20"/>
              </w:rPr>
              <w:t>5</w:t>
            </w:r>
          </w:p>
        </w:tc>
      </w:tr>
      <w:tr w:rsidR="00D76C36" w:rsidRPr="004A59A6">
        <w:trPr>
          <w:cantSplit/>
          <w:trHeight w:val="237"/>
          <w:jc w:val="center"/>
        </w:trPr>
        <w:tc>
          <w:tcPr>
            <w:tcW w:w="800" w:type="dxa"/>
          </w:tcPr>
          <w:p w:rsidR="00D76C36" w:rsidRPr="004A59A6" w:rsidRDefault="00D76C36">
            <w:pPr>
              <w:pStyle w:val="Paragraph"/>
              <w:jc w:val="left"/>
            </w:pPr>
            <w:r w:rsidRPr="004A59A6">
              <w:t>6</w:t>
            </w:r>
          </w:p>
        </w:tc>
        <w:tc>
          <w:tcPr>
            <w:tcW w:w="1228" w:type="dxa"/>
          </w:tcPr>
          <w:p w:rsidR="00D76C36" w:rsidRPr="004A59A6" w:rsidRDefault="00D76C36">
            <w:pPr>
              <w:jc w:val="center"/>
              <w:rPr>
                <w:sz w:val="20"/>
                <w:lang w:val="id-ID"/>
              </w:rPr>
            </w:pPr>
            <w:r w:rsidRPr="004A59A6">
              <w:rPr>
                <w:sz w:val="20"/>
                <w:lang w:val="id-ID"/>
              </w:rPr>
              <w:t>Pragaan</w:t>
            </w:r>
          </w:p>
        </w:tc>
        <w:tc>
          <w:tcPr>
            <w:tcW w:w="993" w:type="dxa"/>
          </w:tcPr>
          <w:p w:rsidR="00D76C36" w:rsidRPr="004A59A6" w:rsidRDefault="00D76C36">
            <w:pPr>
              <w:jc w:val="center"/>
              <w:rPr>
                <w:sz w:val="20"/>
              </w:rPr>
            </w:pPr>
            <w:r w:rsidRPr="004A59A6">
              <w:rPr>
                <w:sz w:val="20"/>
              </w:rPr>
              <w:t>6</w:t>
            </w:r>
          </w:p>
        </w:tc>
      </w:tr>
      <w:tr w:rsidR="00D76C36" w:rsidRPr="004A59A6">
        <w:trPr>
          <w:cantSplit/>
          <w:trHeight w:val="237"/>
          <w:jc w:val="center"/>
        </w:trPr>
        <w:tc>
          <w:tcPr>
            <w:tcW w:w="800" w:type="dxa"/>
          </w:tcPr>
          <w:p w:rsidR="00D76C36" w:rsidRPr="004A59A6" w:rsidRDefault="00D76C36">
            <w:pPr>
              <w:pStyle w:val="Paragraph"/>
              <w:jc w:val="left"/>
            </w:pPr>
            <w:r w:rsidRPr="004A59A6">
              <w:t>7</w:t>
            </w:r>
          </w:p>
        </w:tc>
        <w:tc>
          <w:tcPr>
            <w:tcW w:w="1228" w:type="dxa"/>
          </w:tcPr>
          <w:p w:rsidR="00D76C36" w:rsidRPr="004A59A6" w:rsidRDefault="00D76C36">
            <w:pPr>
              <w:jc w:val="center"/>
              <w:rPr>
                <w:sz w:val="20"/>
                <w:lang w:val="id-ID"/>
              </w:rPr>
            </w:pPr>
            <w:r w:rsidRPr="004A59A6">
              <w:rPr>
                <w:sz w:val="20"/>
                <w:lang w:val="id-ID"/>
              </w:rPr>
              <w:t>Raas</w:t>
            </w:r>
          </w:p>
        </w:tc>
        <w:tc>
          <w:tcPr>
            <w:tcW w:w="993" w:type="dxa"/>
          </w:tcPr>
          <w:p w:rsidR="00D76C36" w:rsidRPr="004A59A6" w:rsidRDefault="00D76C36">
            <w:pPr>
              <w:jc w:val="center"/>
              <w:rPr>
                <w:sz w:val="20"/>
              </w:rPr>
            </w:pPr>
            <w:r w:rsidRPr="004A59A6">
              <w:rPr>
                <w:sz w:val="20"/>
              </w:rPr>
              <w:t>7</w:t>
            </w:r>
          </w:p>
        </w:tc>
      </w:tr>
      <w:tr w:rsidR="00D76C36" w:rsidRPr="004A59A6">
        <w:trPr>
          <w:cantSplit/>
          <w:trHeight w:val="237"/>
          <w:jc w:val="center"/>
        </w:trPr>
        <w:tc>
          <w:tcPr>
            <w:tcW w:w="800" w:type="dxa"/>
          </w:tcPr>
          <w:p w:rsidR="00D76C36" w:rsidRPr="004A59A6" w:rsidRDefault="00D76C36">
            <w:pPr>
              <w:pStyle w:val="Paragraph"/>
              <w:jc w:val="left"/>
            </w:pPr>
            <w:r w:rsidRPr="004A59A6">
              <w:t>8</w:t>
            </w:r>
          </w:p>
        </w:tc>
        <w:tc>
          <w:tcPr>
            <w:tcW w:w="1228" w:type="dxa"/>
          </w:tcPr>
          <w:p w:rsidR="00D76C36" w:rsidRPr="004A59A6" w:rsidRDefault="00D76C36">
            <w:pPr>
              <w:jc w:val="center"/>
              <w:rPr>
                <w:sz w:val="20"/>
                <w:lang w:val="id-ID"/>
              </w:rPr>
            </w:pPr>
            <w:r w:rsidRPr="004A59A6">
              <w:rPr>
                <w:sz w:val="20"/>
                <w:lang w:val="id-ID"/>
              </w:rPr>
              <w:t>Sapeken</w:t>
            </w:r>
          </w:p>
        </w:tc>
        <w:tc>
          <w:tcPr>
            <w:tcW w:w="993" w:type="dxa"/>
          </w:tcPr>
          <w:p w:rsidR="00D76C36" w:rsidRPr="004A59A6" w:rsidRDefault="00D76C36">
            <w:pPr>
              <w:jc w:val="center"/>
              <w:rPr>
                <w:sz w:val="20"/>
              </w:rPr>
            </w:pPr>
            <w:r w:rsidRPr="004A59A6">
              <w:rPr>
                <w:sz w:val="20"/>
              </w:rPr>
              <w:t>8</w:t>
            </w:r>
          </w:p>
        </w:tc>
      </w:tr>
      <w:tr w:rsidR="00D76C36" w:rsidRPr="004A59A6">
        <w:trPr>
          <w:cantSplit/>
          <w:trHeight w:val="237"/>
          <w:jc w:val="center"/>
        </w:trPr>
        <w:tc>
          <w:tcPr>
            <w:tcW w:w="800" w:type="dxa"/>
          </w:tcPr>
          <w:p w:rsidR="00D76C36" w:rsidRPr="004A59A6" w:rsidRDefault="00D76C36">
            <w:pPr>
              <w:pStyle w:val="Paragraph"/>
              <w:jc w:val="left"/>
            </w:pPr>
            <w:r w:rsidRPr="004A59A6">
              <w:t>9</w:t>
            </w:r>
          </w:p>
        </w:tc>
        <w:tc>
          <w:tcPr>
            <w:tcW w:w="1228" w:type="dxa"/>
          </w:tcPr>
          <w:p w:rsidR="00D76C36" w:rsidRPr="004A59A6" w:rsidRDefault="00D76C36">
            <w:pPr>
              <w:jc w:val="center"/>
              <w:rPr>
                <w:sz w:val="20"/>
                <w:lang w:val="id-ID"/>
              </w:rPr>
            </w:pPr>
            <w:r w:rsidRPr="004A59A6">
              <w:rPr>
                <w:sz w:val="20"/>
                <w:lang w:val="id-ID"/>
              </w:rPr>
              <w:t>Saronggi</w:t>
            </w:r>
          </w:p>
        </w:tc>
        <w:tc>
          <w:tcPr>
            <w:tcW w:w="993" w:type="dxa"/>
          </w:tcPr>
          <w:p w:rsidR="00D76C36" w:rsidRPr="004A59A6" w:rsidRDefault="00D76C36">
            <w:pPr>
              <w:jc w:val="center"/>
              <w:rPr>
                <w:sz w:val="20"/>
              </w:rPr>
            </w:pPr>
            <w:r w:rsidRPr="004A59A6">
              <w:rPr>
                <w:sz w:val="20"/>
              </w:rPr>
              <w:t>9</w:t>
            </w:r>
          </w:p>
        </w:tc>
      </w:tr>
      <w:tr w:rsidR="00D76C36" w:rsidRPr="004A59A6">
        <w:trPr>
          <w:cantSplit/>
          <w:trHeight w:val="237"/>
          <w:jc w:val="center"/>
        </w:trPr>
        <w:tc>
          <w:tcPr>
            <w:tcW w:w="800" w:type="dxa"/>
            <w:tcBorders>
              <w:bottom w:val="single" w:sz="4" w:space="0" w:color="auto"/>
            </w:tcBorders>
          </w:tcPr>
          <w:p w:rsidR="00D76C36" w:rsidRPr="004A59A6" w:rsidRDefault="00D76C36">
            <w:pPr>
              <w:pStyle w:val="Paragraph"/>
              <w:jc w:val="left"/>
            </w:pPr>
            <w:r w:rsidRPr="004A59A6">
              <w:t>10</w:t>
            </w:r>
          </w:p>
        </w:tc>
        <w:tc>
          <w:tcPr>
            <w:tcW w:w="1228" w:type="dxa"/>
            <w:tcBorders>
              <w:bottom w:val="single" w:sz="4" w:space="0" w:color="auto"/>
            </w:tcBorders>
          </w:tcPr>
          <w:p w:rsidR="00D76C36" w:rsidRPr="004A59A6" w:rsidRDefault="00D76C36">
            <w:pPr>
              <w:jc w:val="center"/>
              <w:rPr>
                <w:sz w:val="20"/>
                <w:lang w:val="id-ID"/>
              </w:rPr>
            </w:pPr>
            <w:r w:rsidRPr="004A59A6">
              <w:rPr>
                <w:sz w:val="20"/>
                <w:lang w:val="id-ID"/>
              </w:rPr>
              <w:t>Talango</w:t>
            </w:r>
          </w:p>
        </w:tc>
        <w:tc>
          <w:tcPr>
            <w:tcW w:w="993" w:type="dxa"/>
            <w:tcBorders>
              <w:bottom w:val="single" w:sz="4" w:space="0" w:color="auto"/>
            </w:tcBorders>
          </w:tcPr>
          <w:p w:rsidR="00D76C36" w:rsidRPr="004A59A6" w:rsidRDefault="00D76C36">
            <w:pPr>
              <w:jc w:val="center"/>
              <w:rPr>
                <w:sz w:val="20"/>
              </w:rPr>
            </w:pPr>
            <w:r w:rsidRPr="004A59A6">
              <w:rPr>
                <w:sz w:val="20"/>
              </w:rPr>
              <w:t>9</w:t>
            </w:r>
          </w:p>
        </w:tc>
      </w:tr>
    </w:tbl>
    <w:p w:rsidR="00D76C36" w:rsidRPr="004A59A6" w:rsidRDefault="00D76C36" w:rsidP="00D76C36">
      <w:pPr>
        <w:rPr>
          <w:lang w:val="id-ID"/>
        </w:rPr>
      </w:pPr>
    </w:p>
    <w:p w:rsidR="00D76C36" w:rsidRPr="004A59A6" w:rsidRDefault="00D76C36" w:rsidP="00D76C36">
      <w:pPr>
        <w:rPr>
          <w:lang w:val="id-ID"/>
        </w:rPr>
      </w:pPr>
    </w:p>
    <w:p w:rsidR="00D76C36" w:rsidRPr="004A59A6" w:rsidRDefault="00D76C36" w:rsidP="00D76C36">
      <w:pPr>
        <w:pStyle w:val="Caption"/>
        <w:keepNext/>
        <w:rPr>
          <w:sz w:val="18"/>
          <w:lang w:val="id-ID"/>
        </w:rPr>
      </w:pPr>
      <w:r w:rsidRPr="004A59A6">
        <w:rPr>
          <w:b/>
          <w:sz w:val="18"/>
        </w:rPr>
        <w:t xml:space="preserve">TABLE 2. </w:t>
      </w:r>
      <w:r w:rsidRPr="004A59A6">
        <w:rPr>
          <w:sz w:val="18"/>
        </w:rPr>
        <w:t>Research variables</w:t>
      </w:r>
    </w:p>
    <w:tbl>
      <w:tblPr>
        <w:tblW w:w="0" w:type="auto"/>
        <w:jc w:val="center"/>
        <w:tblLayout w:type="fixed"/>
        <w:tblLook w:val="0000" w:firstRow="0" w:lastRow="0" w:firstColumn="0" w:lastColumn="0" w:noHBand="0" w:noVBand="0"/>
      </w:tblPr>
      <w:tblGrid>
        <w:gridCol w:w="1989"/>
        <w:gridCol w:w="1421"/>
        <w:gridCol w:w="993"/>
      </w:tblGrid>
      <w:tr w:rsidR="00D76C36" w:rsidRPr="004A59A6">
        <w:trPr>
          <w:cantSplit/>
          <w:trHeight w:val="272"/>
          <w:jc w:val="center"/>
        </w:trPr>
        <w:tc>
          <w:tcPr>
            <w:tcW w:w="1989" w:type="dxa"/>
            <w:tcBorders>
              <w:top w:val="single" w:sz="4" w:space="0" w:color="auto"/>
              <w:bottom w:val="single" w:sz="4" w:space="0" w:color="auto"/>
            </w:tcBorders>
            <w:vAlign w:val="center"/>
          </w:tcPr>
          <w:p w:rsidR="00D76C36" w:rsidRPr="004A59A6" w:rsidRDefault="00D76C36">
            <w:pPr>
              <w:jc w:val="center"/>
            </w:pPr>
            <w:r w:rsidRPr="004A59A6">
              <w:rPr>
                <w:b/>
                <w:sz w:val="18"/>
                <w:szCs w:val="18"/>
              </w:rPr>
              <w:t>Variables</w:t>
            </w:r>
          </w:p>
        </w:tc>
        <w:tc>
          <w:tcPr>
            <w:tcW w:w="1421" w:type="dxa"/>
            <w:tcBorders>
              <w:top w:val="single" w:sz="4" w:space="0" w:color="auto"/>
              <w:bottom w:val="single" w:sz="4" w:space="0" w:color="auto"/>
            </w:tcBorders>
            <w:vAlign w:val="center"/>
          </w:tcPr>
          <w:p w:rsidR="00D76C36" w:rsidRPr="004A59A6" w:rsidRDefault="00D76C36">
            <w:pPr>
              <w:jc w:val="center"/>
              <w:rPr>
                <w:b/>
                <w:sz w:val="18"/>
                <w:szCs w:val="18"/>
              </w:rPr>
            </w:pPr>
            <w:r w:rsidRPr="004A59A6">
              <w:rPr>
                <w:b/>
                <w:sz w:val="18"/>
                <w:szCs w:val="18"/>
              </w:rPr>
              <w:t>Variable Types</w:t>
            </w:r>
          </w:p>
        </w:tc>
        <w:tc>
          <w:tcPr>
            <w:tcW w:w="993" w:type="dxa"/>
            <w:tcBorders>
              <w:top w:val="single" w:sz="4" w:space="0" w:color="auto"/>
              <w:bottom w:val="single" w:sz="4" w:space="0" w:color="auto"/>
            </w:tcBorders>
            <w:vAlign w:val="center"/>
          </w:tcPr>
          <w:p w:rsidR="00D76C36" w:rsidRPr="004A59A6" w:rsidRDefault="00D76C36">
            <w:pPr>
              <w:jc w:val="center"/>
              <w:rPr>
                <w:b/>
                <w:sz w:val="18"/>
                <w:szCs w:val="18"/>
              </w:rPr>
            </w:pPr>
            <w:r w:rsidRPr="004A59A6">
              <w:rPr>
                <w:b/>
                <w:sz w:val="18"/>
                <w:szCs w:val="18"/>
              </w:rPr>
              <w:t>Unit</w:t>
            </w:r>
          </w:p>
        </w:tc>
      </w:tr>
      <w:tr w:rsidR="00D76C36" w:rsidRPr="004A59A6">
        <w:trPr>
          <w:cantSplit/>
          <w:jc w:val="center"/>
        </w:trPr>
        <w:tc>
          <w:tcPr>
            <w:tcW w:w="1989" w:type="dxa"/>
            <w:tcBorders>
              <w:top w:val="single" w:sz="4" w:space="0" w:color="auto"/>
            </w:tcBorders>
          </w:tcPr>
          <w:p w:rsidR="00D76C36" w:rsidRPr="004A59A6" w:rsidRDefault="00D76C36">
            <w:pPr>
              <w:pStyle w:val="Paragraph"/>
              <w:jc w:val="left"/>
            </w:pPr>
            <w:r w:rsidRPr="004A59A6">
              <w:t>Salting Area</w:t>
            </w:r>
          </w:p>
        </w:tc>
        <w:tc>
          <w:tcPr>
            <w:tcW w:w="1421" w:type="dxa"/>
            <w:tcBorders>
              <w:top w:val="single" w:sz="4" w:space="0" w:color="auto"/>
            </w:tcBorders>
          </w:tcPr>
          <w:p w:rsidR="00D76C36" w:rsidRPr="004A59A6" w:rsidRDefault="00D76C36">
            <w:pPr>
              <w:jc w:val="center"/>
              <w:rPr>
                <w:sz w:val="20"/>
                <w:lang w:val="id-ID"/>
              </w:rPr>
            </w:pPr>
            <w:r w:rsidRPr="004A59A6">
              <w:rPr>
                <w:sz w:val="20"/>
                <w:lang w:val="id-ID"/>
              </w:rPr>
              <w:t>Input</w:t>
            </w:r>
          </w:p>
        </w:tc>
        <w:tc>
          <w:tcPr>
            <w:tcW w:w="993" w:type="dxa"/>
            <w:tcBorders>
              <w:top w:val="single" w:sz="4" w:space="0" w:color="auto"/>
            </w:tcBorders>
          </w:tcPr>
          <w:p w:rsidR="00D76C36" w:rsidRPr="004A59A6" w:rsidRDefault="00D76C36">
            <w:pPr>
              <w:jc w:val="center"/>
              <w:rPr>
                <w:sz w:val="20"/>
              </w:rPr>
            </w:pPr>
            <w:r w:rsidRPr="004A59A6">
              <w:rPr>
                <w:sz w:val="20"/>
              </w:rPr>
              <w:t>Meter</w:t>
            </w:r>
          </w:p>
        </w:tc>
      </w:tr>
      <w:tr w:rsidR="00D76C36" w:rsidRPr="004A59A6">
        <w:trPr>
          <w:cantSplit/>
          <w:jc w:val="center"/>
        </w:trPr>
        <w:tc>
          <w:tcPr>
            <w:tcW w:w="1989" w:type="dxa"/>
          </w:tcPr>
          <w:p w:rsidR="00D76C36" w:rsidRPr="004A59A6" w:rsidRDefault="00D76C36">
            <w:pPr>
              <w:pStyle w:val="Paragraph"/>
              <w:jc w:val="left"/>
            </w:pPr>
            <w:r w:rsidRPr="004A59A6">
              <w:t>Salt Group</w:t>
            </w:r>
          </w:p>
        </w:tc>
        <w:tc>
          <w:tcPr>
            <w:tcW w:w="1421" w:type="dxa"/>
          </w:tcPr>
          <w:p w:rsidR="00D76C36" w:rsidRPr="004A59A6" w:rsidRDefault="00D76C36">
            <w:pPr>
              <w:jc w:val="center"/>
              <w:rPr>
                <w:sz w:val="20"/>
                <w:lang w:val="id-ID"/>
              </w:rPr>
            </w:pPr>
            <w:r w:rsidRPr="004A59A6">
              <w:rPr>
                <w:sz w:val="20"/>
                <w:lang w:val="id-ID"/>
              </w:rPr>
              <w:t>Input</w:t>
            </w:r>
          </w:p>
        </w:tc>
        <w:tc>
          <w:tcPr>
            <w:tcW w:w="993" w:type="dxa"/>
          </w:tcPr>
          <w:p w:rsidR="00D76C36" w:rsidRPr="004A59A6" w:rsidRDefault="00D76C36">
            <w:pPr>
              <w:jc w:val="center"/>
              <w:rPr>
                <w:sz w:val="20"/>
              </w:rPr>
            </w:pPr>
            <w:r w:rsidRPr="004A59A6">
              <w:rPr>
                <w:sz w:val="20"/>
              </w:rPr>
              <w:t>Group</w:t>
            </w:r>
          </w:p>
        </w:tc>
      </w:tr>
      <w:tr w:rsidR="00D76C36" w:rsidRPr="004A59A6">
        <w:trPr>
          <w:cantSplit/>
          <w:trHeight w:val="237"/>
          <w:jc w:val="center"/>
        </w:trPr>
        <w:tc>
          <w:tcPr>
            <w:tcW w:w="1989" w:type="dxa"/>
          </w:tcPr>
          <w:p w:rsidR="00D76C36" w:rsidRPr="004A59A6" w:rsidRDefault="00D76C36">
            <w:pPr>
              <w:pStyle w:val="Paragraph"/>
              <w:jc w:val="left"/>
            </w:pPr>
            <w:r w:rsidRPr="004A59A6">
              <w:t>Salt farmer</w:t>
            </w:r>
          </w:p>
        </w:tc>
        <w:tc>
          <w:tcPr>
            <w:tcW w:w="1421" w:type="dxa"/>
          </w:tcPr>
          <w:p w:rsidR="00D76C36" w:rsidRPr="004A59A6" w:rsidRDefault="00D76C36">
            <w:pPr>
              <w:jc w:val="center"/>
              <w:rPr>
                <w:sz w:val="20"/>
                <w:lang w:val="id-ID"/>
              </w:rPr>
            </w:pPr>
            <w:r w:rsidRPr="004A59A6">
              <w:rPr>
                <w:sz w:val="20"/>
                <w:lang w:val="id-ID"/>
              </w:rPr>
              <w:t>Input</w:t>
            </w:r>
          </w:p>
        </w:tc>
        <w:tc>
          <w:tcPr>
            <w:tcW w:w="993" w:type="dxa"/>
          </w:tcPr>
          <w:p w:rsidR="00D76C36" w:rsidRPr="004A59A6" w:rsidRDefault="00D76C36">
            <w:pPr>
              <w:jc w:val="center"/>
              <w:rPr>
                <w:sz w:val="20"/>
              </w:rPr>
            </w:pPr>
            <w:r w:rsidRPr="004A59A6">
              <w:rPr>
                <w:sz w:val="20"/>
              </w:rPr>
              <w:t>Person</w:t>
            </w:r>
          </w:p>
        </w:tc>
      </w:tr>
      <w:tr w:rsidR="00D76C36" w:rsidRPr="004A59A6">
        <w:trPr>
          <w:cantSplit/>
          <w:trHeight w:val="237"/>
          <w:jc w:val="center"/>
        </w:trPr>
        <w:tc>
          <w:tcPr>
            <w:tcW w:w="1989" w:type="dxa"/>
          </w:tcPr>
          <w:p w:rsidR="00D76C36" w:rsidRPr="004A59A6" w:rsidRDefault="00D76C36">
            <w:pPr>
              <w:pStyle w:val="Paragraph"/>
              <w:jc w:val="left"/>
            </w:pPr>
            <w:r w:rsidRPr="004A59A6">
              <w:t>Salt Selling Price</w:t>
            </w:r>
          </w:p>
        </w:tc>
        <w:tc>
          <w:tcPr>
            <w:tcW w:w="1421" w:type="dxa"/>
          </w:tcPr>
          <w:p w:rsidR="00D76C36" w:rsidRPr="004A59A6" w:rsidRDefault="00D76C36">
            <w:pPr>
              <w:jc w:val="center"/>
              <w:rPr>
                <w:sz w:val="20"/>
                <w:lang w:val="id-ID"/>
              </w:rPr>
            </w:pPr>
            <w:r w:rsidRPr="004A59A6">
              <w:rPr>
                <w:sz w:val="20"/>
                <w:lang w:val="id-ID"/>
              </w:rPr>
              <w:t>Input</w:t>
            </w:r>
          </w:p>
        </w:tc>
        <w:tc>
          <w:tcPr>
            <w:tcW w:w="993" w:type="dxa"/>
          </w:tcPr>
          <w:p w:rsidR="00D76C36" w:rsidRPr="004A59A6" w:rsidRDefault="00D76C36">
            <w:pPr>
              <w:jc w:val="center"/>
              <w:rPr>
                <w:sz w:val="20"/>
              </w:rPr>
            </w:pPr>
            <w:r w:rsidRPr="004A59A6">
              <w:rPr>
                <w:sz w:val="20"/>
              </w:rPr>
              <w:t>Rupiah</w:t>
            </w:r>
          </w:p>
        </w:tc>
      </w:tr>
      <w:tr w:rsidR="00D76C36" w:rsidRPr="004A59A6">
        <w:trPr>
          <w:cantSplit/>
          <w:trHeight w:val="237"/>
          <w:jc w:val="center"/>
        </w:trPr>
        <w:tc>
          <w:tcPr>
            <w:tcW w:w="1989" w:type="dxa"/>
          </w:tcPr>
          <w:p w:rsidR="00D76C36" w:rsidRPr="004A59A6" w:rsidRDefault="00D76C36">
            <w:pPr>
              <w:pStyle w:val="Paragraph"/>
              <w:jc w:val="left"/>
            </w:pPr>
            <w:r w:rsidRPr="004A59A6">
              <w:t>Production Yield</w:t>
            </w:r>
          </w:p>
        </w:tc>
        <w:tc>
          <w:tcPr>
            <w:tcW w:w="1421" w:type="dxa"/>
          </w:tcPr>
          <w:p w:rsidR="00D76C36" w:rsidRPr="004A59A6" w:rsidRDefault="00D76C36">
            <w:pPr>
              <w:jc w:val="center"/>
              <w:rPr>
                <w:sz w:val="20"/>
                <w:lang w:val="id-ID"/>
              </w:rPr>
            </w:pPr>
            <w:r w:rsidRPr="004A59A6">
              <w:rPr>
                <w:sz w:val="20"/>
                <w:lang w:val="id-ID"/>
              </w:rPr>
              <w:t>Output</w:t>
            </w:r>
          </w:p>
        </w:tc>
        <w:tc>
          <w:tcPr>
            <w:tcW w:w="993" w:type="dxa"/>
          </w:tcPr>
          <w:p w:rsidR="00D76C36" w:rsidRPr="004A59A6" w:rsidRDefault="00D76C36">
            <w:pPr>
              <w:jc w:val="center"/>
              <w:rPr>
                <w:sz w:val="20"/>
              </w:rPr>
            </w:pPr>
            <w:r w:rsidRPr="004A59A6">
              <w:rPr>
                <w:sz w:val="20"/>
              </w:rPr>
              <w:t>Ton</w:t>
            </w:r>
          </w:p>
        </w:tc>
      </w:tr>
      <w:tr w:rsidR="00D76C36" w:rsidRPr="004A59A6">
        <w:trPr>
          <w:cantSplit/>
          <w:trHeight w:val="237"/>
          <w:jc w:val="center"/>
        </w:trPr>
        <w:tc>
          <w:tcPr>
            <w:tcW w:w="1989" w:type="dxa"/>
            <w:tcBorders>
              <w:bottom w:val="single" w:sz="4" w:space="0" w:color="auto"/>
            </w:tcBorders>
          </w:tcPr>
          <w:p w:rsidR="00D76C36" w:rsidRPr="004A59A6" w:rsidRDefault="00D76C36">
            <w:pPr>
              <w:pStyle w:val="Paragraph"/>
              <w:jc w:val="left"/>
            </w:pPr>
            <w:r w:rsidRPr="004A59A6">
              <w:t>Salt Quality</w:t>
            </w:r>
          </w:p>
        </w:tc>
        <w:tc>
          <w:tcPr>
            <w:tcW w:w="1421" w:type="dxa"/>
            <w:tcBorders>
              <w:bottom w:val="single" w:sz="4" w:space="0" w:color="auto"/>
            </w:tcBorders>
          </w:tcPr>
          <w:p w:rsidR="00D76C36" w:rsidRPr="004A59A6" w:rsidRDefault="00D76C36">
            <w:pPr>
              <w:jc w:val="center"/>
              <w:rPr>
                <w:sz w:val="20"/>
                <w:lang w:val="id-ID"/>
              </w:rPr>
            </w:pPr>
            <w:r w:rsidRPr="004A59A6">
              <w:rPr>
                <w:sz w:val="20"/>
                <w:lang w:val="id-ID"/>
              </w:rPr>
              <w:t>Output</w:t>
            </w:r>
          </w:p>
        </w:tc>
        <w:tc>
          <w:tcPr>
            <w:tcW w:w="993" w:type="dxa"/>
            <w:tcBorders>
              <w:bottom w:val="single" w:sz="4" w:space="0" w:color="auto"/>
            </w:tcBorders>
          </w:tcPr>
          <w:p w:rsidR="00D76C36" w:rsidRPr="004A59A6" w:rsidRDefault="00D76C36">
            <w:pPr>
              <w:jc w:val="center"/>
              <w:rPr>
                <w:sz w:val="20"/>
              </w:rPr>
            </w:pPr>
            <w:r w:rsidRPr="004A59A6">
              <w:rPr>
                <w:sz w:val="20"/>
              </w:rPr>
              <w:t>Percent</w:t>
            </w:r>
          </w:p>
        </w:tc>
      </w:tr>
    </w:tbl>
    <w:p w:rsidR="00D76C36" w:rsidRPr="004A59A6" w:rsidRDefault="00D76C36" w:rsidP="00725861">
      <w:pPr>
        <w:pStyle w:val="Paragraph"/>
      </w:pPr>
    </w:p>
    <w:p w:rsidR="00D76C36" w:rsidRPr="004A59A6" w:rsidRDefault="00D76C36" w:rsidP="00725861">
      <w:pPr>
        <w:pStyle w:val="Paragraph"/>
      </w:pPr>
      <w:r w:rsidRPr="004A59A6">
        <w:t xml:space="preserve">Table 3 below presents research data on salt production in ten Madurese areas in the </w:t>
      </w:r>
      <w:r w:rsidRPr="004A59A6">
        <w:rPr>
          <w:lang w:val="id-ID"/>
        </w:rPr>
        <w:t>Sumenep</w:t>
      </w:r>
      <w:r w:rsidRPr="004A59A6">
        <w:t xml:space="preserve"> district. This data was obtained through field observations, interviews with relevant parties, and literature studies. It provides information on the amount of salt produced by people each year.</w:t>
      </w:r>
    </w:p>
    <w:p w:rsidR="004A59A6" w:rsidRDefault="004A59A6" w:rsidP="00F551C5">
      <w:pPr>
        <w:pStyle w:val="Caption"/>
        <w:keepNext/>
        <w:jc w:val="left"/>
        <w:rPr>
          <w:b/>
          <w:sz w:val="18"/>
        </w:rPr>
      </w:pPr>
    </w:p>
    <w:p w:rsidR="00F551C5" w:rsidRPr="00F551C5" w:rsidRDefault="00F551C5" w:rsidP="00F551C5"/>
    <w:p w:rsidR="004A59A6" w:rsidRDefault="004A59A6" w:rsidP="003B55CC">
      <w:pPr>
        <w:pStyle w:val="Caption"/>
        <w:keepNext/>
        <w:rPr>
          <w:b/>
          <w:sz w:val="18"/>
        </w:rPr>
      </w:pPr>
    </w:p>
    <w:p w:rsidR="003B55CC" w:rsidRPr="004A59A6" w:rsidRDefault="003B55CC" w:rsidP="003B55CC">
      <w:pPr>
        <w:pStyle w:val="Caption"/>
        <w:keepNext/>
        <w:rPr>
          <w:sz w:val="18"/>
          <w:lang w:val="id-ID"/>
        </w:rPr>
      </w:pPr>
      <w:r w:rsidRPr="004A59A6">
        <w:rPr>
          <w:b/>
          <w:sz w:val="18"/>
        </w:rPr>
        <w:t xml:space="preserve">TABLE 3. </w:t>
      </w:r>
      <w:r w:rsidRPr="004A59A6">
        <w:rPr>
          <w:sz w:val="18"/>
        </w:rPr>
        <w:t>Research data</w:t>
      </w:r>
    </w:p>
    <w:tbl>
      <w:tblPr>
        <w:tblW w:w="8926" w:type="dxa"/>
        <w:jc w:val="center"/>
        <w:tblLayout w:type="fixed"/>
        <w:tblLook w:val="0000" w:firstRow="0" w:lastRow="0" w:firstColumn="0" w:lastColumn="0" w:noHBand="0" w:noVBand="0"/>
      </w:tblPr>
      <w:tblGrid>
        <w:gridCol w:w="800"/>
        <w:gridCol w:w="1228"/>
        <w:gridCol w:w="993"/>
        <w:gridCol w:w="993"/>
        <w:gridCol w:w="993"/>
        <w:gridCol w:w="1367"/>
        <w:gridCol w:w="1418"/>
        <w:gridCol w:w="1134"/>
      </w:tblGrid>
      <w:tr w:rsidR="003B55CC" w:rsidRPr="004A59A6">
        <w:trPr>
          <w:cantSplit/>
          <w:trHeight w:val="272"/>
          <w:jc w:val="center"/>
        </w:trPr>
        <w:tc>
          <w:tcPr>
            <w:tcW w:w="800" w:type="dxa"/>
            <w:tcBorders>
              <w:top w:val="single" w:sz="4" w:space="0" w:color="auto"/>
              <w:bottom w:val="single" w:sz="4" w:space="0" w:color="auto"/>
            </w:tcBorders>
            <w:vAlign w:val="center"/>
          </w:tcPr>
          <w:p w:rsidR="003B55CC" w:rsidRPr="004A59A6" w:rsidRDefault="003B55CC">
            <w:pPr>
              <w:jc w:val="center"/>
              <w:rPr>
                <w:b/>
                <w:sz w:val="18"/>
                <w:szCs w:val="18"/>
              </w:rPr>
            </w:pPr>
            <w:r w:rsidRPr="004A59A6">
              <w:rPr>
                <w:b/>
                <w:sz w:val="18"/>
                <w:szCs w:val="18"/>
              </w:rPr>
              <w:t>DMU</w:t>
            </w:r>
          </w:p>
        </w:tc>
        <w:tc>
          <w:tcPr>
            <w:tcW w:w="1228" w:type="dxa"/>
            <w:tcBorders>
              <w:top w:val="single" w:sz="4" w:space="0" w:color="auto"/>
              <w:bottom w:val="single" w:sz="4" w:space="0" w:color="auto"/>
            </w:tcBorders>
            <w:vAlign w:val="center"/>
          </w:tcPr>
          <w:p w:rsidR="003B55CC" w:rsidRPr="004A59A6" w:rsidRDefault="000D042E">
            <w:pPr>
              <w:jc w:val="center"/>
              <w:rPr>
                <w:b/>
                <w:sz w:val="18"/>
                <w:szCs w:val="18"/>
              </w:rPr>
            </w:pPr>
            <w:r w:rsidRPr="004A59A6">
              <w:rPr>
                <w:b/>
                <w:sz w:val="18"/>
                <w:szCs w:val="18"/>
              </w:rPr>
              <w:t>Subd</w:t>
            </w:r>
            <w:r w:rsidR="003B55CC" w:rsidRPr="004A59A6">
              <w:rPr>
                <w:b/>
                <w:sz w:val="18"/>
                <w:szCs w:val="18"/>
              </w:rPr>
              <w:t>istrict</w:t>
            </w:r>
          </w:p>
        </w:tc>
        <w:tc>
          <w:tcPr>
            <w:tcW w:w="993" w:type="dxa"/>
            <w:tcBorders>
              <w:top w:val="single" w:sz="4" w:space="0" w:color="auto"/>
              <w:bottom w:val="single" w:sz="4" w:space="0" w:color="auto"/>
            </w:tcBorders>
            <w:vAlign w:val="center"/>
          </w:tcPr>
          <w:p w:rsidR="003B55CC" w:rsidRPr="004A59A6" w:rsidRDefault="003B55CC">
            <w:pPr>
              <w:jc w:val="center"/>
              <w:rPr>
                <w:b/>
                <w:sz w:val="18"/>
                <w:szCs w:val="18"/>
              </w:rPr>
            </w:pPr>
            <w:r w:rsidRPr="004A59A6">
              <w:rPr>
                <w:b/>
                <w:sz w:val="18"/>
                <w:szCs w:val="18"/>
              </w:rPr>
              <w:t>Salting Area</w:t>
            </w:r>
          </w:p>
        </w:tc>
        <w:tc>
          <w:tcPr>
            <w:tcW w:w="993" w:type="dxa"/>
            <w:tcBorders>
              <w:top w:val="single" w:sz="4" w:space="0" w:color="auto"/>
              <w:bottom w:val="single" w:sz="4" w:space="0" w:color="auto"/>
            </w:tcBorders>
            <w:vAlign w:val="center"/>
          </w:tcPr>
          <w:p w:rsidR="003B55CC" w:rsidRPr="004A59A6" w:rsidRDefault="003B55CC">
            <w:pPr>
              <w:jc w:val="center"/>
              <w:rPr>
                <w:b/>
                <w:sz w:val="18"/>
                <w:szCs w:val="18"/>
              </w:rPr>
            </w:pPr>
            <w:r w:rsidRPr="004A59A6">
              <w:rPr>
                <w:b/>
                <w:sz w:val="18"/>
                <w:szCs w:val="18"/>
              </w:rPr>
              <w:t>Salt Group</w:t>
            </w:r>
          </w:p>
        </w:tc>
        <w:tc>
          <w:tcPr>
            <w:tcW w:w="993" w:type="dxa"/>
            <w:tcBorders>
              <w:top w:val="single" w:sz="4" w:space="0" w:color="auto"/>
              <w:bottom w:val="single" w:sz="4" w:space="0" w:color="auto"/>
            </w:tcBorders>
            <w:vAlign w:val="center"/>
          </w:tcPr>
          <w:p w:rsidR="003B55CC" w:rsidRPr="004A59A6" w:rsidRDefault="003B55CC">
            <w:pPr>
              <w:jc w:val="center"/>
              <w:rPr>
                <w:b/>
                <w:sz w:val="18"/>
                <w:szCs w:val="18"/>
              </w:rPr>
            </w:pPr>
            <w:r w:rsidRPr="004A59A6">
              <w:rPr>
                <w:b/>
                <w:sz w:val="18"/>
                <w:szCs w:val="18"/>
              </w:rPr>
              <w:t>Salt farmer</w:t>
            </w:r>
          </w:p>
        </w:tc>
        <w:tc>
          <w:tcPr>
            <w:tcW w:w="1367" w:type="dxa"/>
            <w:tcBorders>
              <w:top w:val="single" w:sz="4" w:space="0" w:color="auto"/>
              <w:bottom w:val="single" w:sz="4" w:space="0" w:color="auto"/>
            </w:tcBorders>
            <w:vAlign w:val="center"/>
          </w:tcPr>
          <w:p w:rsidR="003B55CC" w:rsidRPr="004A59A6" w:rsidRDefault="003B55CC">
            <w:pPr>
              <w:jc w:val="center"/>
              <w:rPr>
                <w:b/>
                <w:sz w:val="18"/>
                <w:szCs w:val="18"/>
              </w:rPr>
            </w:pPr>
            <w:r w:rsidRPr="004A59A6">
              <w:rPr>
                <w:b/>
                <w:sz w:val="18"/>
                <w:szCs w:val="18"/>
              </w:rPr>
              <w:t>Salt Selling Price</w:t>
            </w:r>
          </w:p>
        </w:tc>
        <w:tc>
          <w:tcPr>
            <w:tcW w:w="1418" w:type="dxa"/>
            <w:tcBorders>
              <w:top w:val="single" w:sz="4" w:space="0" w:color="auto"/>
              <w:bottom w:val="single" w:sz="4" w:space="0" w:color="auto"/>
            </w:tcBorders>
            <w:vAlign w:val="center"/>
          </w:tcPr>
          <w:p w:rsidR="003B55CC" w:rsidRPr="004A59A6" w:rsidRDefault="003B55CC">
            <w:pPr>
              <w:jc w:val="center"/>
              <w:rPr>
                <w:b/>
                <w:sz w:val="18"/>
                <w:szCs w:val="18"/>
              </w:rPr>
            </w:pPr>
            <w:r w:rsidRPr="004A59A6">
              <w:rPr>
                <w:b/>
                <w:sz w:val="18"/>
                <w:szCs w:val="18"/>
              </w:rPr>
              <w:t>Production Yield</w:t>
            </w:r>
          </w:p>
        </w:tc>
        <w:tc>
          <w:tcPr>
            <w:tcW w:w="1134" w:type="dxa"/>
            <w:tcBorders>
              <w:top w:val="single" w:sz="4" w:space="0" w:color="auto"/>
              <w:bottom w:val="single" w:sz="4" w:space="0" w:color="auto"/>
            </w:tcBorders>
            <w:vAlign w:val="center"/>
          </w:tcPr>
          <w:p w:rsidR="003B55CC" w:rsidRPr="004A59A6" w:rsidRDefault="003B55CC">
            <w:pPr>
              <w:jc w:val="center"/>
              <w:rPr>
                <w:b/>
                <w:sz w:val="18"/>
                <w:szCs w:val="18"/>
              </w:rPr>
            </w:pPr>
            <w:r w:rsidRPr="004A59A6">
              <w:rPr>
                <w:b/>
                <w:sz w:val="18"/>
                <w:szCs w:val="18"/>
              </w:rPr>
              <w:t>Salt Quality</w:t>
            </w:r>
          </w:p>
        </w:tc>
      </w:tr>
      <w:tr w:rsidR="003B55CC" w:rsidRPr="004A59A6">
        <w:trPr>
          <w:cantSplit/>
          <w:jc w:val="center"/>
        </w:trPr>
        <w:tc>
          <w:tcPr>
            <w:tcW w:w="800" w:type="dxa"/>
            <w:tcBorders>
              <w:top w:val="single" w:sz="4" w:space="0" w:color="auto"/>
            </w:tcBorders>
          </w:tcPr>
          <w:p w:rsidR="003B55CC" w:rsidRPr="004A59A6" w:rsidRDefault="003B55CC">
            <w:pPr>
              <w:pStyle w:val="Paragraph"/>
              <w:jc w:val="left"/>
            </w:pPr>
            <w:r w:rsidRPr="004A59A6">
              <w:t>1</w:t>
            </w:r>
          </w:p>
        </w:tc>
        <w:tc>
          <w:tcPr>
            <w:tcW w:w="1228" w:type="dxa"/>
            <w:tcBorders>
              <w:top w:val="single" w:sz="4" w:space="0" w:color="auto"/>
            </w:tcBorders>
          </w:tcPr>
          <w:p w:rsidR="003B55CC" w:rsidRPr="004A59A6" w:rsidRDefault="003B55CC">
            <w:pPr>
              <w:jc w:val="center"/>
              <w:rPr>
                <w:sz w:val="20"/>
                <w:lang w:val="id-ID"/>
              </w:rPr>
            </w:pPr>
            <w:r w:rsidRPr="004A59A6">
              <w:rPr>
                <w:sz w:val="20"/>
                <w:lang w:val="id-ID"/>
              </w:rPr>
              <w:t>Arjasa</w:t>
            </w:r>
          </w:p>
        </w:tc>
        <w:tc>
          <w:tcPr>
            <w:tcW w:w="993" w:type="dxa"/>
            <w:tcBorders>
              <w:top w:val="single" w:sz="4" w:space="0" w:color="auto"/>
            </w:tcBorders>
          </w:tcPr>
          <w:p w:rsidR="003B55CC" w:rsidRPr="004A59A6" w:rsidRDefault="003B55CC">
            <w:pPr>
              <w:jc w:val="center"/>
              <w:rPr>
                <w:sz w:val="20"/>
              </w:rPr>
            </w:pPr>
            <w:r w:rsidRPr="004A59A6">
              <w:rPr>
                <w:sz w:val="20"/>
              </w:rPr>
              <w:t>24.50</w:t>
            </w:r>
          </w:p>
        </w:tc>
        <w:tc>
          <w:tcPr>
            <w:tcW w:w="993" w:type="dxa"/>
            <w:tcBorders>
              <w:top w:val="single" w:sz="4" w:space="0" w:color="auto"/>
            </w:tcBorders>
          </w:tcPr>
          <w:p w:rsidR="003B55CC" w:rsidRPr="004A59A6" w:rsidRDefault="003B55CC">
            <w:pPr>
              <w:jc w:val="center"/>
              <w:rPr>
                <w:sz w:val="20"/>
              </w:rPr>
            </w:pPr>
            <w:r w:rsidRPr="004A59A6">
              <w:rPr>
                <w:sz w:val="20"/>
              </w:rPr>
              <w:t>9</w:t>
            </w:r>
          </w:p>
        </w:tc>
        <w:tc>
          <w:tcPr>
            <w:tcW w:w="993" w:type="dxa"/>
            <w:tcBorders>
              <w:top w:val="single" w:sz="4" w:space="0" w:color="auto"/>
            </w:tcBorders>
          </w:tcPr>
          <w:p w:rsidR="003B55CC" w:rsidRPr="004A59A6" w:rsidRDefault="003B55CC">
            <w:pPr>
              <w:jc w:val="center"/>
              <w:rPr>
                <w:sz w:val="20"/>
              </w:rPr>
            </w:pPr>
            <w:r w:rsidRPr="004A59A6">
              <w:rPr>
                <w:sz w:val="20"/>
              </w:rPr>
              <w:t>70</w:t>
            </w:r>
          </w:p>
        </w:tc>
        <w:tc>
          <w:tcPr>
            <w:tcW w:w="1367" w:type="dxa"/>
            <w:tcBorders>
              <w:top w:val="single" w:sz="4" w:space="0" w:color="auto"/>
            </w:tcBorders>
          </w:tcPr>
          <w:p w:rsidR="003B55CC" w:rsidRPr="004A59A6" w:rsidRDefault="003B55CC">
            <w:pPr>
              <w:jc w:val="center"/>
              <w:rPr>
                <w:sz w:val="20"/>
              </w:rPr>
            </w:pPr>
            <w:r w:rsidRPr="004A59A6">
              <w:rPr>
                <w:sz w:val="20"/>
              </w:rPr>
              <w:t>1,200</w:t>
            </w:r>
          </w:p>
        </w:tc>
        <w:tc>
          <w:tcPr>
            <w:tcW w:w="1418" w:type="dxa"/>
            <w:tcBorders>
              <w:top w:val="single" w:sz="4" w:space="0" w:color="auto"/>
            </w:tcBorders>
          </w:tcPr>
          <w:p w:rsidR="003B55CC" w:rsidRPr="004A59A6" w:rsidRDefault="003B55CC">
            <w:pPr>
              <w:jc w:val="center"/>
              <w:rPr>
                <w:sz w:val="20"/>
              </w:rPr>
            </w:pPr>
            <w:r w:rsidRPr="004A59A6">
              <w:rPr>
                <w:sz w:val="20"/>
              </w:rPr>
              <w:t>2,459</w:t>
            </w:r>
          </w:p>
        </w:tc>
        <w:tc>
          <w:tcPr>
            <w:tcW w:w="1134" w:type="dxa"/>
            <w:tcBorders>
              <w:top w:val="single" w:sz="4" w:space="0" w:color="auto"/>
            </w:tcBorders>
          </w:tcPr>
          <w:p w:rsidR="003B55CC" w:rsidRPr="004A59A6" w:rsidRDefault="003B55CC">
            <w:pPr>
              <w:jc w:val="center"/>
              <w:rPr>
                <w:sz w:val="20"/>
              </w:rPr>
            </w:pPr>
            <w:r w:rsidRPr="004A59A6">
              <w:rPr>
                <w:sz w:val="20"/>
              </w:rPr>
              <w:t>0.93</w:t>
            </w:r>
          </w:p>
        </w:tc>
      </w:tr>
      <w:tr w:rsidR="003B55CC" w:rsidRPr="004A59A6">
        <w:trPr>
          <w:cantSplit/>
          <w:jc w:val="center"/>
        </w:trPr>
        <w:tc>
          <w:tcPr>
            <w:tcW w:w="800" w:type="dxa"/>
          </w:tcPr>
          <w:p w:rsidR="003B55CC" w:rsidRPr="004A59A6" w:rsidRDefault="003B55CC">
            <w:pPr>
              <w:pStyle w:val="Paragraph"/>
              <w:jc w:val="left"/>
            </w:pPr>
            <w:r w:rsidRPr="004A59A6">
              <w:t>2</w:t>
            </w:r>
          </w:p>
        </w:tc>
        <w:tc>
          <w:tcPr>
            <w:tcW w:w="1228" w:type="dxa"/>
          </w:tcPr>
          <w:p w:rsidR="003B55CC" w:rsidRPr="004A59A6" w:rsidRDefault="003B55CC">
            <w:pPr>
              <w:jc w:val="center"/>
              <w:rPr>
                <w:sz w:val="20"/>
                <w:lang w:val="id-ID"/>
              </w:rPr>
            </w:pPr>
            <w:r w:rsidRPr="004A59A6">
              <w:rPr>
                <w:sz w:val="20"/>
                <w:lang w:val="id-ID"/>
              </w:rPr>
              <w:t>Gapura</w:t>
            </w:r>
          </w:p>
        </w:tc>
        <w:tc>
          <w:tcPr>
            <w:tcW w:w="993" w:type="dxa"/>
          </w:tcPr>
          <w:p w:rsidR="003B55CC" w:rsidRPr="004A59A6" w:rsidRDefault="003B55CC">
            <w:pPr>
              <w:jc w:val="center"/>
              <w:rPr>
                <w:sz w:val="20"/>
              </w:rPr>
            </w:pPr>
            <w:r w:rsidRPr="004A59A6">
              <w:rPr>
                <w:sz w:val="20"/>
              </w:rPr>
              <w:t>295.30</w:t>
            </w:r>
          </w:p>
        </w:tc>
        <w:tc>
          <w:tcPr>
            <w:tcW w:w="993" w:type="dxa"/>
          </w:tcPr>
          <w:p w:rsidR="003B55CC" w:rsidRPr="004A59A6" w:rsidRDefault="003B55CC">
            <w:pPr>
              <w:jc w:val="center"/>
              <w:rPr>
                <w:sz w:val="20"/>
              </w:rPr>
            </w:pPr>
            <w:r w:rsidRPr="004A59A6">
              <w:rPr>
                <w:sz w:val="20"/>
              </w:rPr>
              <w:t>34</w:t>
            </w:r>
          </w:p>
        </w:tc>
        <w:tc>
          <w:tcPr>
            <w:tcW w:w="993" w:type="dxa"/>
          </w:tcPr>
          <w:p w:rsidR="003B55CC" w:rsidRPr="004A59A6" w:rsidRDefault="003B55CC">
            <w:pPr>
              <w:jc w:val="center"/>
              <w:rPr>
                <w:sz w:val="20"/>
              </w:rPr>
            </w:pPr>
            <w:r w:rsidRPr="004A59A6">
              <w:rPr>
                <w:sz w:val="20"/>
              </w:rPr>
              <w:t>227</w:t>
            </w:r>
          </w:p>
        </w:tc>
        <w:tc>
          <w:tcPr>
            <w:tcW w:w="1367" w:type="dxa"/>
          </w:tcPr>
          <w:p w:rsidR="003B55CC" w:rsidRPr="004A59A6" w:rsidRDefault="003B55CC">
            <w:pPr>
              <w:jc w:val="center"/>
              <w:rPr>
                <w:sz w:val="20"/>
              </w:rPr>
            </w:pPr>
            <w:r w:rsidRPr="004A59A6">
              <w:rPr>
                <w:sz w:val="20"/>
              </w:rPr>
              <w:t>1,500</w:t>
            </w:r>
          </w:p>
        </w:tc>
        <w:tc>
          <w:tcPr>
            <w:tcW w:w="1418" w:type="dxa"/>
          </w:tcPr>
          <w:p w:rsidR="003B55CC" w:rsidRPr="004A59A6" w:rsidRDefault="003B55CC">
            <w:pPr>
              <w:jc w:val="center"/>
              <w:rPr>
                <w:sz w:val="20"/>
              </w:rPr>
            </w:pPr>
            <w:r w:rsidRPr="004A59A6">
              <w:rPr>
                <w:sz w:val="20"/>
              </w:rPr>
              <w:t>41,499</w:t>
            </w:r>
          </w:p>
        </w:tc>
        <w:tc>
          <w:tcPr>
            <w:tcW w:w="1134" w:type="dxa"/>
          </w:tcPr>
          <w:p w:rsidR="003B55CC" w:rsidRPr="004A59A6" w:rsidRDefault="003B55CC">
            <w:pPr>
              <w:jc w:val="center"/>
              <w:rPr>
                <w:sz w:val="20"/>
              </w:rPr>
            </w:pPr>
            <w:r w:rsidRPr="004A59A6">
              <w:rPr>
                <w:sz w:val="20"/>
              </w:rPr>
              <w:t>0.96</w:t>
            </w:r>
          </w:p>
        </w:tc>
      </w:tr>
      <w:tr w:rsidR="003B55CC" w:rsidRPr="004A59A6">
        <w:trPr>
          <w:cantSplit/>
          <w:trHeight w:val="237"/>
          <w:jc w:val="center"/>
        </w:trPr>
        <w:tc>
          <w:tcPr>
            <w:tcW w:w="800" w:type="dxa"/>
          </w:tcPr>
          <w:p w:rsidR="003B55CC" w:rsidRPr="004A59A6" w:rsidRDefault="003B55CC">
            <w:pPr>
              <w:pStyle w:val="Paragraph"/>
              <w:jc w:val="left"/>
            </w:pPr>
            <w:r w:rsidRPr="004A59A6">
              <w:t>3</w:t>
            </w:r>
          </w:p>
        </w:tc>
        <w:tc>
          <w:tcPr>
            <w:tcW w:w="1228" w:type="dxa"/>
          </w:tcPr>
          <w:p w:rsidR="003B55CC" w:rsidRPr="004A59A6" w:rsidRDefault="003B55CC">
            <w:pPr>
              <w:jc w:val="center"/>
              <w:rPr>
                <w:sz w:val="20"/>
                <w:lang w:val="id-ID"/>
              </w:rPr>
            </w:pPr>
            <w:r w:rsidRPr="004A59A6">
              <w:rPr>
                <w:sz w:val="20"/>
                <w:lang w:val="id-ID"/>
              </w:rPr>
              <w:t>Giligenting</w:t>
            </w:r>
          </w:p>
        </w:tc>
        <w:tc>
          <w:tcPr>
            <w:tcW w:w="993" w:type="dxa"/>
          </w:tcPr>
          <w:p w:rsidR="003B55CC" w:rsidRPr="004A59A6" w:rsidRDefault="003B55CC">
            <w:pPr>
              <w:jc w:val="center"/>
              <w:rPr>
                <w:sz w:val="20"/>
              </w:rPr>
            </w:pPr>
            <w:r w:rsidRPr="004A59A6">
              <w:rPr>
                <w:sz w:val="20"/>
              </w:rPr>
              <w:t>175.88</w:t>
            </w:r>
          </w:p>
        </w:tc>
        <w:tc>
          <w:tcPr>
            <w:tcW w:w="993" w:type="dxa"/>
          </w:tcPr>
          <w:p w:rsidR="003B55CC" w:rsidRPr="004A59A6" w:rsidRDefault="003B55CC">
            <w:pPr>
              <w:jc w:val="center"/>
              <w:rPr>
                <w:sz w:val="20"/>
              </w:rPr>
            </w:pPr>
            <w:r w:rsidRPr="004A59A6">
              <w:rPr>
                <w:sz w:val="20"/>
              </w:rPr>
              <w:t>16</w:t>
            </w:r>
          </w:p>
        </w:tc>
        <w:tc>
          <w:tcPr>
            <w:tcW w:w="993" w:type="dxa"/>
          </w:tcPr>
          <w:p w:rsidR="003B55CC" w:rsidRPr="004A59A6" w:rsidRDefault="003B55CC">
            <w:pPr>
              <w:jc w:val="center"/>
              <w:rPr>
                <w:sz w:val="20"/>
              </w:rPr>
            </w:pPr>
            <w:r w:rsidRPr="004A59A6">
              <w:rPr>
                <w:sz w:val="20"/>
              </w:rPr>
              <w:t>366</w:t>
            </w:r>
          </w:p>
        </w:tc>
        <w:tc>
          <w:tcPr>
            <w:tcW w:w="1367" w:type="dxa"/>
          </w:tcPr>
          <w:p w:rsidR="003B55CC" w:rsidRPr="004A59A6" w:rsidRDefault="003B55CC">
            <w:pPr>
              <w:jc w:val="center"/>
              <w:rPr>
                <w:sz w:val="20"/>
              </w:rPr>
            </w:pPr>
            <w:r w:rsidRPr="004A59A6">
              <w:rPr>
                <w:sz w:val="20"/>
              </w:rPr>
              <w:t>1,200</w:t>
            </w:r>
          </w:p>
        </w:tc>
        <w:tc>
          <w:tcPr>
            <w:tcW w:w="1418" w:type="dxa"/>
          </w:tcPr>
          <w:p w:rsidR="003B55CC" w:rsidRPr="004A59A6" w:rsidRDefault="003B55CC">
            <w:pPr>
              <w:jc w:val="center"/>
              <w:rPr>
                <w:sz w:val="20"/>
              </w:rPr>
            </w:pPr>
            <w:r w:rsidRPr="004A59A6">
              <w:rPr>
                <w:sz w:val="20"/>
              </w:rPr>
              <w:t>18,760</w:t>
            </w:r>
          </w:p>
        </w:tc>
        <w:tc>
          <w:tcPr>
            <w:tcW w:w="1134" w:type="dxa"/>
          </w:tcPr>
          <w:p w:rsidR="003B55CC" w:rsidRPr="004A59A6" w:rsidRDefault="003B55CC">
            <w:pPr>
              <w:jc w:val="center"/>
              <w:rPr>
                <w:sz w:val="20"/>
              </w:rPr>
            </w:pPr>
            <w:r w:rsidRPr="004A59A6">
              <w:rPr>
                <w:sz w:val="20"/>
              </w:rPr>
              <w:t>0.93</w:t>
            </w:r>
          </w:p>
        </w:tc>
      </w:tr>
      <w:tr w:rsidR="003B55CC" w:rsidRPr="004A59A6">
        <w:trPr>
          <w:cantSplit/>
          <w:trHeight w:val="237"/>
          <w:jc w:val="center"/>
        </w:trPr>
        <w:tc>
          <w:tcPr>
            <w:tcW w:w="800" w:type="dxa"/>
          </w:tcPr>
          <w:p w:rsidR="003B55CC" w:rsidRPr="004A59A6" w:rsidRDefault="003B55CC">
            <w:pPr>
              <w:pStyle w:val="Paragraph"/>
              <w:jc w:val="left"/>
            </w:pPr>
            <w:r w:rsidRPr="004A59A6">
              <w:t>4</w:t>
            </w:r>
          </w:p>
        </w:tc>
        <w:tc>
          <w:tcPr>
            <w:tcW w:w="1228" w:type="dxa"/>
          </w:tcPr>
          <w:p w:rsidR="003B55CC" w:rsidRPr="004A59A6" w:rsidRDefault="003B55CC">
            <w:pPr>
              <w:jc w:val="center"/>
              <w:rPr>
                <w:sz w:val="20"/>
                <w:lang w:val="id-ID"/>
              </w:rPr>
            </w:pPr>
            <w:r w:rsidRPr="004A59A6">
              <w:rPr>
                <w:sz w:val="20"/>
                <w:lang w:val="id-ID"/>
              </w:rPr>
              <w:t>Kalianget</w:t>
            </w:r>
          </w:p>
        </w:tc>
        <w:tc>
          <w:tcPr>
            <w:tcW w:w="993" w:type="dxa"/>
          </w:tcPr>
          <w:p w:rsidR="003B55CC" w:rsidRPr="004A59A6" w:rsidRDefault="003B55CC">
            <w:pPr>
              <w:jc w:val="center"/>
              <w:rPr>
                <w:sz w:val="20"/>
              </w:rPr>
            </w:pPr>
            <w:r w:rsidRPr="004A59A6">
              <w:rPr>
                <w:sz w:val="20"/>
              </w:rPr>
              <w:t>485.93</w:t>
            </w:r>
          </w:p>
        </w:tc>
        <w:tc>
          <w:tcPr>
            <w:tcW w:w="993" w:type="dxa"/>
          </w:tcPr>
          <w:p w:rsidR="003B55CC" w:rsidRPr="004A59A6" w:rsidRDefault="003B55CC">
            <w:pPr>
              <w:jc w:val="center"/>
              <w:rPr>
                <w:sz w:val="20"/>
              </w:rPr>
            </w:pPr>
            <w:r w:rsidRPr="004A59A6">
              <w:rPr>
                <w:sz w:val="20"/>
              </w:rPr>
              <w:t>30</w:t>
            </w:r>
          </w:p>
        </w:tc>
        <w:tc>
          <w:tcPr>
            <w:tcW w:w="993" w:type="dxa"/>
          </w:tcPr>
          <w:p w:rsidR="003B55CC" w:rsidRPr="004A59A6" w:rsidRDefault="003B55CC">
            <w:pPr>
              <w:jc w:val="center"/>
              <w:rPr>
                <w:sz w:val="20"/>
              </w:rPr>
            </w:pPr>
            <w:r w:rsidRPr="004A59A6">
              <w:rPr>
                <w:sz w:val="20"/>
              </w:rPr>
              <w:t>299</w:t>
            </w:r>
          </w:p>
        </w:tc>
        <w:tc>
          <w:tcPr>
            <w:tcW w:w="1367" w:type="dxa"/>
          </w:tcPr>
          <w:p w:rsidR="003B55CC" w:rsidRPr="004A59A6" w:rsidRDefault="003B55CC">
            <w:pPr>
              <w:jc w:val="center"/>
              <w:rPr>
                <w:sz w:val="20"/>
              </w:rPr>
            </w:pPr>
            <w:r w:rsidRPr="004A59A6">
              <w:rPr>
                <w:sz w:val="20"/>
              </w:rPr>
              <w:t>1,500</w:t>
            </w:r>
          </w:p>
        </w:tc>
        <w:tc>
          <w:tcPr>
            <w:tcW w:w="1418" w:type="dxa"/>
          </w:tcPr>
          <w:p w:rsidR="003B55CC" w:rsidRPr="004A59A6" w:rsidRDefault="003B55CC">
            <w:pPr>
              <w:jc w:val="center"/>
              <w:rPr>
                <w:sz w:val="20"/>
              </w:rPr>
            </w:pPr>
            <w:r w:rsidRPr="004A59A6">
              <w:rPr>
                <w:sz w:val="20"/>
              </w:rPr>
              <w:t>63,900.41</w:t>
            </w:r>
          </w:p>
        </w:tc>
        <w:tc>
          <w:tcPr>
            <w:tcW w:w="1134" w:type="dxa"/>
          </w:tcPr>
          <w:p w:rsidR="003B55CC" w:rsidRPr="004A59A6" w:rsidRDefault="003B55CC">
            <w:pPr>
              <w:jc w:val="center"/>
              <w:rPr>
                <w:sz w:val="20"/>
              </w:rPr>
            </w:pPr>
            <w:r w:rsidRPr="004A59A6">
              <w:rPr>
                <w:sz w:val="20"/>
              </w:rPr>
              <w:t>0.96</w:t>
            </w:r>
          </w:p>
        </w:tc>
      </w:tr>
      <w:tr w:rsidR="003B55CC" w:rsidRPr="004A59A6">
        <w:trPr>
          <w:cantSplit/>
          <w:trHeight w:val="237"/>
          <w:jc w:val="center"/>
        </w:trPr>
        <w:tc>
          <w:tcPr>
            <w:tcW w:w="800" w:type="dxa"/>
          </w:tcPr>
          <w:p w:rsidR="003B55CC" w:rsidRPr="004A59A6" w:rsidRDefault="003B55CC">
            <w:pPr>
              <w:pStyle w:val="Paragraph"/>
              <w:jc w:val="left"/>
            </w:pPr>
            <w:r w:rsidRPr="004A59A6">
              <w:t>5</w:t>
            </w:r>
          </w:p>
        </w:tc>
        <w:tc>
          <w:tcPr>
            <w:tcW w:w="1228" w:type="dxa"/>
          </w:tcPr>
          <w:p w:rsidR="003B55CC" w:rsidRPr="004A59A6" w:rsidRDefault="003B55CC">
            <w:pPr>
              <w:jc w:val="center"/>
              <w:rPr>
                <w:sz w:val="20"/>
                <w:lang w:val="id-ID"/>
              </w:rPr>
            </w:pPr>
            <w:r w:rsidRPr="004A59A6">
              <w:rPr>
                <w:sz w:val="20"/>
                <w:lang w:val="id-ID"/>
              </w:rPr>
              <w:t>Kangayan</w:t>
            </w:r>
          </w:p>
        </w:tc>
        <w:tc>
          <w:tcPr>
            <w:tcW w:w="993" w:type="dxa"/>
          </w:tcPr>
          <w:p w:rsidR="003B55CC" w:rsidRPr="004A59A6" w:rsidRDefault="003B55CC">
            <w:pPr>
              <w:jc w:val="center"/>
              <w:rPr>
                <w:sz w:val="20"/>
              </w:rPr>
            </w:pPr>
            <w:r w:rsidRPr="004A59A6">
              <w:rPr>
                <w:sz w:val="20"/>
              </w:rPr>
              <w:t>14.94</w:t>
            </w:r>
          </w:p>
        </w:tc>
        <w:tc>
          <w:tcPr>
            <w:tcW w:w="993" w:type="dxa"/>
          </w:tcPr>
          <w:p w:rsidR="003B55CC" w:rsidRPr="004A59A6" w:rsidRDefault="003B55CC">
            <w:pPr>
              <w:jc w:val="center"/>
              <w:rPr>
                <w:sz w:val="20"/>
              </w:rPr>
            </w:pPr>
            <w:r w:rsidRPr="004A59A6">
              <w:rPr>
                <w:sz w:val="20"/>
              </w:rPr>
              <w:t>3</w:t>
            </w:r>
          </w:p>
        </w:tc>
        <w:tc>
          <w:tcPr>
            <w:tcW w:w="993" w:type="dxa"/>
          </w:tcPr>
          <w:p w:rsidR="003B55CC" w:rsidRPr="004A59A6" w:rsidRDefault="003B55CC">
            <w:pPr>
              <w:jc w:val="center"/>
              <w:rPr>
                <w:sz w:val="20"/>
              </w:rPr>
            </w:pPr>
            <w:r w:rsidRPr="004A59A6">
              <w:rPr>
                <w:sz w:val="20"/>
              </w:rPr>
              <w:t>16</w:t>
            </w:r>
          </w:p>
        </w:tc>
        <w:tc>
          <w:tcPr>
            <w:tcW w:w="1367" w:type="dxa"/>
          </w:tcPr>
          <w:p w:rsidR="003B55CC" w:rsidRPr="004A59A6" w:rsidRDefault="003B55CC">
            <w:pPr>
              <w:jc w:val="center"/>
              <w:rPr>
                <w:sz w:val="20"/>
              </w:rPr>
            </w:pPr>
            <w:r w:rsidRPr="004A59A6">
              <w:rPr>
                <w:sz w:val="20"/>
              </w:rPr>
              <w:t>1,200</w:t>
            </w:r>
          </w:p>
        </w:tc>
        <w:tc>
          <w:tcPr>
            <w:tcW w:w="1418" w:type="dxa"/>
          </w:tcPr>
          <w:p w:rsidR="003B55CC" w:rsidRPr="004A59A6" w:rsidRDefault="003B55CC">
            <w:pPr>
              <w:jc w:val="center"/>
              <w:rPr>
                <w:sz w:val="20"/>
              </w:rPr>
            </w:pPr>
            <w:r w:rsidRPr="004A59A6">
              <w:rPr>
                <w:sz w:val="20"/>
              </w:rPr>
              <w:t>1,944</w:t>
            </w:r>
          </w:p>
        </w:tc>
        <w:tc>
          <w:tcPr>
            <w:tcW w:w="1134" w:type="dxa"/>
          </w:tcPr>
          <w:p w:rsidR="003B55CC" w:rsidRPr="004A59A6" w:rsidRDefault="003B55CC">
            <w:pPr>
              <w:jc w:val="center"/>
              <w:rPr>
                <w:sz w:val="20"/>
              </w:rPr>
            </w:pPr>
            <w:r w:rsidRPr="004A59A6">
              <w:rPr>
                <w:sz w:val="20"/>
              </w:rPr>
              <w:t>0.93</w:t>
            </w:r>
          </w:p>
        </w:tc>
      </w:tr>
      <w:tr w:rsidR="003B55CC" w:rsidRPr="004A59A6">
        <w:trPr>
          <w:cantSplit/>
          <w:trHeight w:val="237"/>
          <w:jc w:val="center"/>
        </w:trPr>
        <w:tc>
          <w:tcPr>
            <w:tcW w:w="800" w:type="dxa"/>
          </w:tcPr>
          <w:p w:rsidR="003B55CC" w:rsidRPr="004A59A6" w:rsidRDefault="003B55CC">
            <w:pPr>
              <w:pStyle w:val="Paragraph"/>
              <w:jc w:val="left"/>
            </w:pPr>
            <w:r w:rsidRPr="004A59A6">
              <w:t>6</w:t>
            </w:r>
          </w:p>
        </w:tc>
        <w:tc>
          <w:tcPr>
            <w:tcW w:w="1228" w:type="dxa"/>
          </w:tcPr>
          <w:p w:rsidR="003B55CC" w:rsidRPr="004A59A6" w:rsidRDefault="003B55CC">
            <w:pPr>
              <w:jc w:val="center"/>
              <w:rPr>
                <w:sz w:val="20"/>
                <w:lang w:val="id-ID"/>
              </w:rPr>
            </w:pPr>
            <w:r w:rsidRPr="004A59A6">
              <w:rPr>
                <w:sz w:val="20"/>
                <w:lang w:val="id-ID"/>
              </w:rPr>
              <w:t>Pragaan</w:t>
            </w:r>
          </w:p>
        </w:tc>
        <w:tc>
          <w:tcPr>
            <w:tcW w:w="993" w:type="dxa"/>
          </w:tcPr>
          <w:p w:rsidR="003B55CC" w:rsidRPr="004A59A6" w:rsidRDefault="003B55CC">
            <w:pPr>
              <w:jc w:val="center"/>
              <w:rPr>
                <w:sz w:val="20"/>
              </w:rPr>
            </w:pPr>
            <w:r w:rsidRPr="004A59A6">
              <w:rPr>
                <w:sz w:val="20"/>
              </w:rPr>
              <w:t>207.80</w:t>
            </w:r>
          </w:p>
        </w:tc>
        <w:tc>
          <w:tcPr>
            <w:tcW w:w="993" w:type="dxa"/>
          </w:tcPr>
          <w:p w:rsidR="003B55CC" w:rsidRPr="004A59A6" w:rsidRDefault="003B55CC">
            <w:pPr>
              <w:jc w:val="center"/>
              <w:rPr>
                <w:sz w:val="20"/>
              </w:rPr>
            </w:pPr>
            <w:r w:rsidRPr="004A59A6">
              <w:rPr>
                <w:sz w:val="20"/>
              </w:rPr>
              <w:t>13</w:t>
            </w:r>
          </w:p>
        </w:tc>
        <w:tc>
          <w:tcPr>
            <w:tcW w:w="993" w:type="dxa"/>
          </w:tcPr>
          <w:p w:rsidR="003B55CC" w:rsidRPr="004A59A6" w:rsidRDefault="003B55CC">
            <w:pPr>
              <w:jc w:val="center"/>
              <w:rPr>
                <w:sz w:val="20"/>
              </w:rPr>
            </w:pPr>
            <w:r w:rsidRPr="004A59A6">
              <w:rPr>
                <w:sz w:val="20"/>
              </w:rPr>
              <w:t>178</w:t>
            </w:r>
          </w:p>
        </w:tc>
        <w:tc>
          <w:tcPr>
            <w:tcW w:w="1367" w:type="dxa"/>
          </w:tcPr>
          <w:p w:rsidR="003B55CC" w:rsidRPr="004A59A6" w:rsidRDefault="003B55CC">
            <w:pPr>
              <w:jc w:val="center"/>
              <w:rPr>
                <w:sz w:val="20"/>
              </w:rPr>
            </w:pPr>
            <w:r w:rsidRPr="004A59A6">
              <w:rPr>
                <w:sz w:val="20"/>
              </w:rPr>
              <w:t>1,500</w:t>
            </w:r>
          </w:p>
        </w:tc>
        <w:tc>
          <w:tcPr>
            <w:tcW w:w="1418" w:type="dxa"/>
          </w:tcPr>
          <w:p w:rsidR="003B55CC" w:rsidRPr="004A59A6" w:rsidRDefault="003B55CC">
            <w:pPr>
              <w:jc w:val="center"/>
              <w:rPr>
                <w:sz w:val="20"/>
              </w:rPr>
            </w:pPr>
            <w:r w:rsidRPr="004A59A6">
              <w:rPr>
                <w:sz w:val="20"/>
              </w:rPr>
              <w:t>23,979.9</w:t>
            </w:r>
          </w:p>
        </w:tc>
        <w:tc>
          <w:tcPr>
            <w:tcW w:w="1134" w:type="dxa"/>
          </w:tcPr>
          <w:p w:rsidR="003B55CC" w:rsidRPr="004A59A6" w:rsidRDefault="003B55CC">
            <w:pPr>
              <w:jc w:val="center"/>
              <w:rPr>
                <w:sz w:val="20"/>
              </w:rPr>
            </w:pPr>
            <w:r w:rsidRPr="004A59A6">
              <w:rPr>
                <w:sz w:val="20"/>
              </w:rPr>
              <w:t>0.96</w:t>
            </w:r>
          </w:p>
        </w:tc>
      </w:tr>
      <w:tr w:rsidR="003B55CC" w:rsidRPr="004A59A6">
        <w:trPr>
          <w:cantSplit/>
          <w:trHeight w:val="237"/>
          <w:jc w:val="center"/>
        </w:trPr>
        <w:tc>
          <w:tcPr>
            <w:tcW w:w="800" w:type="dxa"/>
          </w:tcPr>
          <w:p w:rsidR="003B55CC" w:rsidRPr="004A59A6" w:rsidRDefault="003B55CC">
            <w:pPr>
              <w:pStyle w:val="Paragraph"/>
              <w:jc w:val="left"/>
            </w:pPr>
            <w:r w:rsidRPr="004A59A6">
              <w:t>7</w:t>
            </w:r>
          </w:p>
        </w:tc>
        <w:tc>
          <w:tcPr>
            <w:tcW w:w="1228" w:type="dxa"/>
          </w:tcPr>
          <w:p w:rsidR="003B55CC" w:rsidRPr="004A59A6" w:rsidRDefault="003B55CC">
            <w:pPr>
              <w:jc w:val="center"/>
              <w:rPr>
                <w:sz w:val="20"/>
                <w:lang w:val="id-ID"/>
              </w:rPr>
            </w:pPr>
            <w:r w:rsidRPr="004A59A6">
              <w:rPr>
                <w:sz w:val="20"/>
                <w:lang w:val="id-ID"/>
              </w:rPr>
              <w:t>Raas</w:t>
            </w:r>
          </w:p>
        </w:tc>
        <w:tc>
          <w:tcPr>
            <w:tcW w:w="993" w:type="dxa"/>
          </w:tcPr>
          <w:p w:rsidR="003B55CC" w:rsidRPr="004A59A6" w:rsidRDefault="003B55CC">
            <w:pPr>
              <w:jc w:val="center"/>
              <w:rPr>
                <w:sz w:val="20"/>
              </w:rPr>
            </w:pPr>
            <w:r w:rsidRPr="004A59A6">
              <w:rPr>
                <w:sz w:val="20"/>
              </w:rPr>
              <w:t>126.30</w:t>
            </w:r>
          </w:p>
        </w:tc>
        <w:tc>
          <w:tcPr>
            <w:tcW w:w="993" w:type="dxa"/>
          </w:tcPr>
          <w:p w:rsidR="003B55CC" w:rsidRPr="004A59A6" w:rsidRDefault="003B55CC">
            <w:pPr>
              <w:jc w:val="center"/>
              <w:rPr>
                <w:sz w:val="20"/>
              </w:rPr>
            </w:pPr>
            <w:r w:rsidRPr="004A59A6">
              <w:rPr>
                <w:sz w:val="20"/>
              </w:rPr>
              <w:t>19</w:t>
            </w:r>
          </w:p>
        </w:tc>
        <w:tc>
          <w:tcPr>
            <w:tcW w:w="993" w:type="dxa"/>
          </w:tcPr>
          <w:p w:rsidR="003B55CC" w:rsidRPr="004A59A6" w:rsidRDefault="003B55CC">
            <w:pPr>
              <w:jc w:val="center"/>
              <w:rPr>
                <w:sz w:val="20"/>
              </w:rPr>
            </w:pPr>
            <w:r w:rsidRPr="004A59A6">
              <w:rPr>
                <w:sz w:val="20"/>
              </w:rPr>
              <w:t>159</w:t>
            </w:r>
          </w:p>
        </w:tc>
        <w:tc>
          <w:tcPr>
            <w:tcW w:w="1367" w:type="dxa"/>
          </w:tcPr>
          <w:p w:rsidR="003B55CC" w:rsidRPr="004A59A6" w:rsidRDefault="003B55CC">
            <w:pPr>
              <w:jc w:val="center"/>
              <w:rPr>
                <w:sz w:val="20"/>
              </w:rPr>
            </w:pPr>
            <w:r w:rsidRPr="004A59A6">
              <w:rPr>
                <w:sz w:val="20"/>
              </w:rPr>
              <w:t>1,200</w:t>
            </w:r>
          </w:p>
        </w:tc>
        <w:tc>
          <w:tcPr>
            <w:tcW w:w="1418" w:type="dxa"/>
          </w:tcPr>
          <w:p w:rsidR="003B55CC" w:rsidRPr="004A59A6" w:rsidRDefault="003B55CC">
            <w:pPr>
              <w:jc w:val="center"/>
              <w:rPr>
                <w:sz w:val="20"/>
              </w:rPr>
            </w:pPr>
            <w:r w:rsidRPr="004A59A6">
              <w:rPr>
                <w:sz w:val="20"/>
              </w:rPr>
              <w:t>13,460</w:t>
            </w:r>
          </w:p>
        </w:tc>
        <w:tc>
          <w:tcPr>
            <w:tcW w:w="1134" w:type="dxa"/>
          </w:tcPr>
          <w:p w:rsidR="003B55CC" w:rsidRPr="004A59A6" w:rsidRDefault="003B55CC">
            <w:pPr>
              <w:jc w:val="center"/>
              <w:rPr>
                <w:sz w:val="20"/>
              </w:rPr>
            </w:pPr>
            <w:r w:rsidRPr="004A59A6">
              <w:rPr>
                <w:sz w:val="20"/>
              </w:rPr>
              <w:t>0.93</w:t>
            </w:r>
          </w:p>
        </w:tc>
      </w:tr>
      <w:tr w:rsidR="003B55CC" w:rsidRPr="004A59A6">
        <w:trPr>
          <w:cantSplit/>
          <w:trHeight w:val="237"/>
          <w:jc w:val="center"/>
        </w:trPr>
        <w:tc>
          <w:tcPr>
            <w:tcW w:w="800" w:type="dxa"/>
          </w:tcPr>
          <w:p w:rsidR="003B55CC" w:rsidRPr="004A59A6" w:rsidRDefault="003B55CC">
            <w:pPr>
              <w:pStyle w:val="Paragraph"/>
              <w:jc w:val="left"/>
            </w:pPr>
            <w:r w:rsidRPr="004A59A6">
              <w:t>8</w:t>
            </w:r>
          </w:p>
        </w:tc>
        <w:tc>
          <w:tcPr>
            <w:tcW w:w="1228" w:type="dxa"/>
          </w:tcPr>
          <w:p w:rsidR="003B55CC" w:rsidRPr="004A59A6" w:rsidRDefault="003B55CC">
            <w:pPr>
              <w:jc w:val="center"/>
              <w:rPr>
                <w:sz w:val="20"/>
                <w:lang w:val="id-ID"/>
              </w:rPr>
            </w:pPr>
            <w:r w:rsidRPr="004A59A6">
              <w:rPr>
                <w:sz w:val="20"/>
                <w:lang w:val="id-ID"/>
              </w:rPr>
              <w:t>Sapeken</w:t>
            </w:r>
          </w:p>
        </w:tc>
        <w:tc>
          <w:tcPr>
            <w:tcW w:w="993" w:type="dxa"/>
          </w:tcPr>
          <w:p w:rsidR="003B55CC" w:rsidRPr="004A59A6" w:rsidRDefault="003B55CC">
            <w:pPr>
              <w:jc w:val="center"/>
              <w:rPr>
                <w:sz w:val="20"/>
              </w:rPr>
            </w:pPr>
            <w:r w:rsidRPr="004A59A6">
              <w:rPr>
                <w:sz w:val="20"/>
              </w:rPr>
              <w:t>50.76</w:t>
            </w:r>
          </w:p>
        </w:tc>
        <w:tc>
          <w:tcPr>
            <w:tcW w:w="993" w:type="dxa"/>
          </w:tcPr>
          <w:p w:rsidR="003B55CC" w:rsidRPr="004A59A6" w:rsidRDefault="003B55CC">
            <w:pPr>
              <w:jc w:val="center"/>
              <w:rPr>
                <w:sz w:val="20"/>
              </w:rPr>
            </w:pPr>
            <w:r w:rsidRPr="004A59A6">
              <w:rPr>
                <w:sz w:val="20"/>
              </w:rPr>
              <w:t>14</w:t>
            </w:r>
          </w:p>
        </w:tc>
        <w:tc>
          <w:tcPr>
            <w:tcW w:w="993" w:type="dxa"/>
          </w:tcPr>
          <w:p w:rsidR="003B55CC" w:rsidRPr="004A59A6" w:rsidRDefault="003B55CC">
            <w:pPr>
              <w:jc w:val="center"/>
              <w:rPr>
                <w:sz w:val="20"/>
              </w:rPr>
            </w:pPr>
            <w:r w:rsidRPr="004A59A6">
              <w:rPr>
                <w:sz w:val="20"/>
              </w:rPr>
              <w:t>150</w:t>
            </w:r>
          </w:p>
        </w:tc>
        <w:tc>
          <w:tcPr>
            <w:tcW w:w="1367" w:type="dxa"/>
          </w:tcPr>
          <w:p w:rsidR="003B55CC" w:rsidRPr="004A59A6" w:rsidRDefault="003B55CC">
            <w:pPr>
              <w:jc w:val="center"/>
              <w:rPr>
                <w:sz w:val="20"/>
              </w:rPr>
            </w:pPr>
            <w:r w:rsidRPr="004A59A6">
              <w:rPr>
                <w:sz w:val="20"/>
              </w:rPr>
              <w:t>1,200</w:t>
            </w:r>
          </w:p>
        </w:tc>
        <w:tc>
          <w:tcPr>
            <w:tcW w:w="1418" w:type="dxa"/>
          </w:tcPr>
          <w:p w:rsidR="003B55CC" w:rsidRPr="004A59A6" w:rsidRDefault="003B55CC">
            <w:pPr>
              <w:jc w:val="center"/>
              <w:rPr>
                <w:sz w:val="20"/>
              </w:rPr>
            </w:pPr>
            <w:r w:rsidRPr="004A59A6">
              <w:rPr>
                <w:sz w:val="20"/>
              </w:rPr>
              <w:t>5,525</w:t>
            </w:r>
          </w:p>
        </w:tc>
        <w:tc>
          <w:tcPr>
            <w:tcW w:w="1134" w:type="dxa"/>
          </w:tcPr>
          <w:p w:rsidR="003B55CC" w:rsidRPr="004A59A6" w:rsidRDefault="003B55CC">
            <w:pPr>
              <w:jc w:val="center"/>
              <w:rPr>
                <w:sz w:val="20"/>
              </w:rPr>
            </w:pPr>
            <w:r w:rsidRPr="004A59A6">
              <w:rPr>
                <w:sz w:val="20"/>
              </w:rPr>
              <w:t>0.93</w:t>
            </w:r>
          </w:p>
        </w:tc>
      </w:tr>
      <w:tr w:rsidR="003B55CC" w:rsidRPr="004A59A6">
        <w:trPr>
          <w:cantSplit/>
          <w:trHeight w:val="237"/>
          <w:jc w:val="center"/>
        </w:trPr>
        <w:tc>
          <w:tcPr>
            <w:tcW w:w="800" w:type="dxa"/>
          </w:tcPr>
          <w:p w:rsidR="003B55CC" w:rsidRPr="004A59A6" w:rsidRDefault="003B55CC">
            <w:pPr>
              <w:pStyle w:val="Paragraph"/>
              <w:jc w:val="left"/>
            </w:pPr>
            <w:r w:rsidRPr="004A59A6">
              <w:t>9</w:t>
            </w:r>
          </w:p>
        </w:tc>
        <w:tc>
          <w:tcPr>
            <w:tcW w:w="1228" w:type="dxa"/>
          </w:tcPr>
          <w:p w:rsidR="003B55CC" w:rsidRPr="004A59A6" w:rsidRDefault="003B55CC">
            <w:pPr>
              <w:jc w:val="center"/>
              <w:rPr>
                <w:sz w:val="20"/>
                <w:lang w:val="id-ID"/>
              </w:rPr>
            </w:pPr>
            <w:r w:rsidRPr="004A59A6">
              <w:rPr>
                <w:sz w:val="20"/>
                <w:lang w:val="id-ID"/>
              </w:rPr>
              <w:t>Saronggi</w:t>
            </w:r>
          </w:p>
        </w:tc>
        <w:tc>
          <w:tcPr>
            <w:tcW w:w="993" w:type="dxa"/>
          </w:tcPr>
          <w:p w:rsidR="003B55CC" w:rsidRPr="004A59A6" w:rsidRDefault="003B55CC">
            <w:pPr>
              <w:jc w:val="center"/>
              <w:rPr>
                <w:sz w:val="20"/>
              </w:rPr>
            </w:pPr>
            <w:r w:rsidRPr="004A59A6">
              <w:rPr>
                <w:sz w:val="20"/>
              </w:rPr>
              <w:t>385.19</w:t>
            </w:r>
          </w:p>
        </w:tc>
        <w:tc>
          <w:tcPr>
            <w:tcW w:w="993" w:type="dxa"/>
          </w:tcPr>
          <w:p w:rsidR="003B55CC" w:rsidRPr="004A59A6" w:rsidRDefault="003B55CC">
            <w:pPr>
              <w:jc w:val="center"/>
              <w:rPr>
                <w:sz w:val="20"/>
              </w:rPr>
            </w:pPr>
            <w:r w:rsidRPr="004A59A6">
              <w:rPr>
                <w:sz w:val="20"/>
              </w:rPr>
              <w:t>24</w:t>
            </w:r>
          </w:p>
        </w:tc>
        <w:tc>
          <w:tcPr>
            <w:tcW w:w="993" w:type="dxa"/>
          </w:tcPr>
          <w:p w:rsidR="003B55CC" w:rsidRPr="004A59A6" w:rsidRDefault="003B55CC">
            <w:pPr>
              <w:jc w:val="center"/>
              <w:rPr>
                <w:sz w:val="20"/>
              </w:rPr>
            </w:pPr>
            <w:r w:rsidRPr="004A59A6">
              <w:rPr>
                <w:sz w:val="20"/>
              </w:rPr>
              <w:t>260</w:t>
            </w:r>
          </w:p>
        </w:tc>
        <w:tc>
          <w:tcPr>
            <w:tcW w:w="1367" w:type="dxa"/>
          </w:tcPr>
          <w:p w:rsidR="003B55CC" w:rsidRPr="004A59A6" w:rsidRDefault="003B55CC">
            <w:pPr>
              <w:jc w:val="center"/>
              <w:rPr>
                <w:sz w:val="20"/>
              </w:rPr>
            </w:pPr>
            <w:r w:rsidRPr="004A59A6">
              <w:rPr>
                <w:sz w:val="20"/>
              </w:rPr>
              <w:t>1,500</w:t>
            </w:r>
          </w:p>
        </w:tc>
        <w:tc>
          <w:tcPr>
            <w:tcW w:w="1418" w:type="dxa"/>
          </w:tcPr>
          <w:p w:rsidR="003B55CC" w:rsidRPr="004A59A6" w:rsidRDefault="003B55CC">
            <w:pPr>
              <w:jc w:val="center"/>
              <w:rPr>
                <w:sz w:val="20"/>
              </w:rPr>
            </w:pPr>
            <w:r w:rsidRPr="004A59A6">
              <w:rPr>
                <w:sz w:val="20"/>
              </w:rPr>
              <w:t>36,596</w:t>
            </w:r>
          </w:p>
        </w:tc>
        <w:tc>
          <w:tcPr>
            <w:tcW w:w="1134" w:type="dxa"/>
          </w:tcPr>
          <w:p w:rsidR="003B55CC" w:rsidRPr="004A59A6" w:rsidRDefault="003B55CC">
            <w:pPr>
              <w:jc w:val="center"/>
              <w:rPr>
                <w:sz w:val="20"/>
              </w:rPr>
            </w:pPr>
            <w:r w:rsidRPr="004A59A6">
              <w:rPr>
                <w:sz w:val="20"/>
              </w:rPr>
              <w:t>0.96</w:t>
            </w:r>
          </w:p>
        </w:tc>
      </w:tr>
      <w:tr w:rsidR="003B55CC" w:rsidRPr="004A59A6">
        <w:trPr>
          <w:cantSplit/>
          <w:trHeight w:val="237"/>
          <w:jc w:val="center"/>
        </w:trPr>
        <w:tc>
          <w:tcPr>
            <w:tcW w:w="800" w:type="dxa"/>
            <w:tcBorders>
              <w:bottom w:val="single" w:sz="4" w:space="0" w:color="auto"/>
            </w:tcBorders>
          </w:tcPr>
          <w:p w:rsidR="003B55CC" w:rsidRPr="004A59A6" w:rsidRDefault="003B55CC">
            <w:pPr>
              <w:pStyle w:val="Paragraph"/>
              <w:jc w:val="left"/>
            </w:pPr>
            <w:r w:rsidRPr="004A59A6">
              <w:t>10</w:t>
            </w:r>
          </w:p>
        </w:tc>
        <w:tc>
          <w:tcPr>
            <w:tcW w:w="1228" w:type="dxa"/>
            <w:tcBorders>
              <w:bottom w:val="single" w:sz="4" w:space="0" w:color="auto"/>
            </w:tcBorders>
          </w:tcPr>
          <w:p w:rsidR="003B55CC" w:rsidRPr="004A59A6" w:rsidRDefault="003B55CC">
            <w:pPr>
              <w:jc w:val="center"/>
              <w:rPr>
                <w:sz w:val="20"/>
                <w:lang w:val="id-ID"/>
              </w:rPr>
            </w:pPr>
            <w:r w:rsidRPr="004A59A6">
              <w:rPr>
                <w:sz w:val="20"/>
                <w:lang w:val="id-ID"/>
              </w:rPr>
              <w:t>Talango</w:t>
            </w:r>
          </w:p>
        </w:tc>
        <w:tc>
          <w:tcPr>
            <w:tcW w:w="993" w:type="dxa"/>
            <w:tcBorders>
              <w:bottom w:val="single" w:sz="4" w:space="0" w:color="auto"/>
            </w:tcBorders>
          </w:tcPr>
          <w:p w:rsidR="003B55CC" w:rsidRPr="004A59A6" w:rsidRDefault="003B55CC">
            <w:pPr>
              <w:jc w:val="center"/>
              <w:rPr>
                <w:sz w:val="20"/>
              </w:rPr>
            </w:pPr>
            <w:r w:rsidRPr="004A59A6">
              <w:rPr>
                <w:sz w:val="20"/>
              </w:rPr>
              <w:t>8.00</w:t>
            </w:r>
          </w:p>
        </w:tc>
        <w:tc>
          <w:tcPr>
            <w:tcW w:w="993" w:type="dxa"/>
            <w:tcBorders>
              <w:bottom w:val="single" w:sz="4" w:space="0" w:color="auto"/>
            </w:tcBorders>
          </w:tcPr>
          <w:p w:rsidR="003B55CC" w:rsidRPr="004A59A6" w:rsidRDefault="003B55CC">
            <w:pPr>
              <w:jc w:val="center"/>
              <w:rPr>
                <w:sz w:val="20"/>
              </w:rPr>
            </w:pPr>
            <w:r w:rsidRPr="004A59A6">
              <w:rPr>
                <w:sz w:val="20"/>
              </w:rPr>
              <w:t>1</w:t>
            </w:r>
          </w:p>
        </w:tc>
        <w:tc>
          <w:tcPr>
            <w:tcW w:w="993" w:type="dxa"/>
            <w:tcBorders>
              <w:bottom w:val="single" w:sz="4" w:space="0" w:color="auto"/>
            </w:tcBorders>
          </w:tcPr>
          <w:p w:rsidR="003B55CC" w:rsidRPr="004A59A6" w:rsidRDefault="003B55CC">
            <w:pPr>
              <w:jc w:val="center"/>
              <w:rPr>
                <w:sz w:val="20"/>
              </w:rPr>
            </w:pPr>
            <w:r w:rsidRPr="004A59A6">
              <w:rPr>
                <w:sz w:val="20"/>
              </w:rPr>
              <w:t>10</w:t>
            </w:r>
          </w:p>
        </w:tc>
        <w:tc>
          <w:tcPr>
            <w:tcW w:w="1367" w:type="dxa"/>
            <w:tcBorders>
              <w:bottom w:val="single" w:sz="4" w:space="0" w:color="auto"/>
            </w:tcBorders>
          </w:tcPr>
          <w:p w:rsidR="003B55CC" w:rsidRPr="004A59A6" w:rsidRDefault="003B55CC">
            <w:pPr>
              <w:jc w:val="center"/>
              <w:rPr>
                <w:sz w:val="20"/>
              </w:rPr>
            </w:pPr>
            <w:r w:rsidRPr="004A59A6">
              <w:rPr>
                <w:sz w:val="20"/>
              </w:rPr>
              <w:t>1,500</w:t>
            </w:r>
          </w:p>
        </w:tc>
        <w:tc>
          <w:tcPr>
            <w:tcW w:w="1418" w:type="dxa"/>
            <w:tcBorders>
              <w:bottom w:val="single" w:sz="4" w:space="0" w:color="auto"/>
            </w:tcBorders>
          </w:tcPr>
          <w:p w:rsidR="003B55CC" w:rsidRPr="004A59A6" w:rsidRDefault="003B55CC">
            <w:pPr>
              <w:jc w:val="center"/>
              <w:rPr>
                <w:sz w:val="20"/>
              </w:rPr>
            </w:pPr>
            <w:r w:rsidRPr="004A59A6">
              <w:rPr>
                <w:sz w:val="20"/>
              </w:rPr>
              <w:t>561</w:t>
            </w:r>
          </w:p>
        </w:tc>
        <w:tc>
          <w:tcPr>
            <w:tcW w:w="1134" w:type="dxa"/>
            <w:tcBorders>
              <w:bottom w:val="single" w:sz="4" w:space="0" w:color="auto"/>
            </w:tcBorders>
          </w:tcPr>
          <w:p w:rsidR="003B55CC" w:rsidRPr="004A59A6" w:rsidRDefault="003B55CC">
            <w:pPr>
              <w:jc w:val="center"/>
              <w:rPr>
                <w:sz w:val="20"/>
              </w:rPr>
            </w:pPr>
            <w:r w:rsidRPr="004A59A6">
              <w:rPr>
                <w:sz w:val="20"/>
              </w:rPr>
              <w:t>0.96</w:t>
            </w:r>
          </w:p>
        </w:tc>
      </w:tr>
    </w:tbl>
    <w:p w:rsidR="003B55CC" w:rsidRPr="004A59A6" w:rsidRDefault="003B55CC" w:rsidP="00725861">
      <w:pPr>
        <w:pStyle w:val="Paragraph"/>
      </w:pPr>
    </w:p>
    <w:p w:rsidR="00155B67" w:rsidRPr="004A59A6" w:rsidRDefault="0050700F" w:rsidP="00274622">
      <w:pPr>
        <w:pStyle w:val="Heading2"/>
      </w:pPr>
      <w:r w:rsidRPr="004A59A6">
        <w:t>Efficiency Measurement Using a Linear Programming Model</w:t>
      </w:r>
      <w:r w:rsidR="0073393A" w:rsidRPr="004A59A6">
        <w:br/>
      </w:r>
    </w:p>
    <w:p w:rsidR="0050700F" w:rsidRPr="004A59A6" w:rsidRDefault="0050700F" w:rsidP="0050700F">
      <w:pPr>
        <w:pStyle w:val="Paragraph"/>
      </w:pPr>
      <w:r w:rsidRPr="004A59A6">
        <w:t>The DEA linear programming model was created by entering parameters into the research model. The model was then solved using LINGO software, and the results are shown in Table 4 below.</w:t>
      </w:r>
    </w:p>
    <w:p w:rsidR="0050700F" w:rsidRPr="004A59A6" w:rsidRDefault="0050700F" w:rsidP="0050700F">
      <w:pPr>
        <w:pStyle w:val="Paragraph"/>
      </w:pPr>
    </w:p>
    <w:p w:rsidR="0050700F" w:rsidRPr="004A59A6" w:rsidRDefault="0050700F" w:rsidP="0050700F">
      <w:pPr>
        <w:pStyle w:val="Caption"/>
        <w:keepNext/>
        <w:rPr>
          <w:sz w:val="18"/>
          <w:lang w:val="id-ID"/>
        </w:rPr>
      </w:pPr>
      <w:r w:rsidRPr="004A59A6">
        <w:rPr>
          <w:b/>
          <w:sz w:val="18"/>
        </w:rPr>
        <w:t xml:space="preserve">TABLE 4. </w:t>
      </w:r>
      <w:r w:rsidRPr="004A59A6">
        <w:rPr>
          <w:sz w:val="18"/>
        </w:rPr>
        <w:t>DEA optimization result using Lingo</w:t>
      </w:r>
    </w:p>
    <w:tbl>
      <w:tblPr>
        <w:tblW w:w="5375" w:type="dxa"/>
        <w:jc w:val="center"/>
        <w:tblLayout w:type="fixed"/>
        <w:tblLook w:val="0000" w:firstRow="0" w:lastRow="0" w:firstColumn="0" w:lastColumn="0" w:noHBand="0" w:noVBand="0"/>
      </w:tblPr>
      <w:tblGrid>
        <w:gridCol w:w="800"/>
        <w:gridCol w:w="1228"/>
        <w:gridCol w:w="1541"/>
        <w:gridCol w:w="1806"/>
      </w:tblGrid>
      <w:tr w:rsidR="0050700F" w:rsidRPr="004A59A6">
        <w:trPr>
          <w:cantSplit/>
          <w:trHeight w:val="272"/>
          <w:jc w:val="center"/>
        </w:trPr>
        <w:tc>
          <w:tcPr>
            <w:tcW w:w="800" w:type="dxa"/>
            <w:tcBorders>
              <w:top w:val="single" w:sz="4" w:space="0" w:color="auto"/>
              <w:bottom w:val="single" w:sz="4" w:space="0" w:color="auto"/>
            </w:tcBorders>
            <w:vAlign w:val="center"/>
          </w:tcPr>
          <w:p w:rsidR="0050700F" w:rsidRPr="004A59A6" w:rsidRDefault="0050700F">
            <w:pPr>
              <w:jc w:val="center"/>
              <w:rPr>
                <w:b/>
                <w:sz w:val="18"/>
                <w:szCs w:val="18"/>
              </w:rPr>
            </w:pPr>
            <w:r w:rsidRPr="004A59A6">
              <w:rPr>
                <w:b/>
                <w:sz w:val="18"/>
                <w:szCs w:val="18"/>
              </w:rPr>
              <w:t>DMU</w:t>
            </w:r>
          </w:p>
        </w:tc>
        <w:tc>
          <w:tcPr>
            <w:tcW w:w="1228" w:type="dxa"/>
            <w:tcBorders>
              <w:top w:val="single" w:sz="4" w:space="0" w:color="auto"/>
              <w:bottom w:val="single" w:sz="4" w:space="0" w:color="auto"/>
            </w:tcBorders>
            <w:vAlign w:val="center"/>
          </w:tcPr>
          <w:p w:rsidR="0050700F" w:rsidRPr="004A59A6" w:rsidRDefault="000D042E">
            <w:pPr>
              <w:jc w:val="center"/>
              <w:rPr>
                <w:b/>
                <w:sz w:val="18"/>
                <w:szCs w:val="18"/>
              </w:rPr>
            </w:pPr>
            <w:r w:rsidRPr="004A59A6">
              <w:rPr>
                <w:b/>
                <w:sz w:val="18"/>
                <w:szCs w:val="18"/>
              </w:rPr>
              <w:t>Subd</w:t>
            </w:r>
            <w:r w:rsidR="0050700F" w:rsidRPr="004A59A6">
              <w:rPr>
                <w:b/>
                <w:sz w:val="18"/>
                <w:szCs w:val="18"/>
              </w:rPr>
              <w:t>istrict</w:t>
            </w:r>
          </w:p>
        </w:tc>
        <w:tc>
          <w:tcPr>
            <w:tcW w:w="1541" w:type="dxa"/>
            <w:tcBorders>
              <w:top w:val="single" w:sz="4" w:space="0" w:color="auto"/>
              <w:bottom w:val="single" w:sz="4" w:space="0" w:color="auto"/>
            </w:tcBorders>
            <w:vAlign w:val="center"/>
          </w:tcPr>
          <w:p w:rsidR="0050700F" w:rsidRPr="004A59A6" w:rsidRDefault="0050700F">
            <w:pPr>
              <w:jc w:val="center"/>
              <w:rPr>
                <w:b/>
                <w:sz w:val="18"/>
                <w:szCs w:val="18"/>
              </w:rPr>
            </w:pPr>
            <w:r w:rsidRPr="004A59A6">
              <w:rPr>
                <w:b/>
                <w:sz w:val="18"/>
                <w:szCs w:val="18"/>
              </w:rPr>
              <w:t>Objective Value</w:t>
            </w:r>
          </w:p>
        </w:tc>
        <w:tc>
          <w:tcPr>
            <w:tcW w:w="1806" w:type="dxa"/>
            <w:tcBorders>
              <w:top w:val="single" w:sz="4" w:space="0" w:color="auto"/>
              <w:bottom w:val="single" w:sz="4" w:space="0" w:color="auto"/>
            </w:tcBorders>
            <w:vAlign w:val="center"/>
          </w:tcPr>
          <w:p w:rsidR="0050700F" w:rsidRPr="004A59A6" w:rsidRDefault="0050700F">
            <w:pPr>
              <w:jc w:val="center"/>
              <w:rPr>
                <w:b/>
                <w:sz w:val="18"/>
                <w:szCs w:val="18"/>
              </w:rPr>
            </w:pPr>
            <w:r w:rsidRPr="004A59A6">
              <w:rPr>
                <w:b/>
                <w:sz w:val="18"/>
                <w:szCs w:val="18"/>
              </w:rPr>
              <w:t>Efficient/Inefficient</w:t>
            </w:r>
          </w:p>
        </w:tc>
      </w:tr>
      <w:tr w:rsidR="0050700F" w:rsidRPr="004A59A6">
        <w:trPr>
          <w:cantSplit/>
          <w:jc w:val="center"/>
        </w:trPr>
        <w:tc>
          <w:tcPr>
            <w:tcW w:w="800" w:type="dxa"/>
            <w:tcBorders>
              <w:top w:val="single" w:sz="4" w:space="0" w:color="auto"/>
            </w:tcBorders>
          </w:tcPr>
          <w:p w:rsidR="0050700F" w:rsidRPr="004A59A6" w:rsidRDefault="0050700F">
            <w:pPr>
              <w:pStyle w:val="Paragraph"/>
              <w:jc w:val="left"/>
            </w:pPr>
            <w:r w:rsidRPr="004A59A6">
              <w:t>1</w:t>
            </w:r>
          </w:p>
        </w:tc>
        <w:tc>
          <w:tcPr>
            <w:tcW w:w="1228" w:type="dxa"/>
            <w:tcBorders>
              <w:top w:val="single" w:sz="4" w:space="0" w:color="auto"/>
            </w:tcBorders>
          </w:tcPr>
          <w:p w:rsidR="0050700F" w:rsidRPr="004A59A6" w:rsidRDefault="0050700F">
            <w:pPr>
              <w:jc w:val="center"/>
              <w:rPr>
                <w:sz w:val="20"/>
                <w:lang w:val="id-ID"/>
              </w:rPr>
            </w:pPr>
            <w:r w:rsidRPr="004A59A6">
              <w:rPr>
                <w:sz w:val="20"/>
                <w:lang w:val="id-ID"/>
              </w:rPr>
              <w:t>Arjasa</w:t>
            </w:r>
          </w:p>
        </w:tc>
        <w:tc>
          <w:tcPr>
            <w:tcW w:w="1541" w:type="dxa"/>
            <w:tcBorders>
              <w:top w:val="single" w:sz="4" w:space="0" w:color="auto"/>
            </w:tcBorders>
            <w:vAlign w:val="center"/>
          </w:tcPr>
          <w:p w:rsidR="0050700F" w:rsidRPr="004A59A6" w:rsidRDefault="0050700F">
            <w:pPr>
              <w:jc w:val="center"/>
              <w:rPr>
                <w:sz w:val="20"/>
              </w:rPr>
            </w:pPr>
            <w:r w:rsidRPr="004A59A6">
              <w:rPr>
                <w:color w:val="000000"/>
                <w:sz w:val="20"/>
                <w:lang w:val="id-ID"/>
              </w:rPr>
              <w:t>1,000000</w:t>
            </w:r>
          </w:p>
        </w:tc>
        <w:tc>
          <w:tcPr>
            <w:tcW w:w="1806" w:type="dxa"/>
            <w:tcBorders>
              <w:top w:val="single" w:sz="4" w:space="0" w:color="auto"/>
            </w:tcBorders>
          </w:tcPr>
          <w:p w:rsidR="0050700F" w:rsidRPr="004A59A6" w:rsidRDefault="0050700F">
            <w:pPr>
              <w:jc w:val="center"/>
              <w:rPr>
                <w:bCs/>
                <w:sz w:val="20"/>
              </w:rPr>
            </w:pPr>
            <w:r w:rsidRPr="004A59A6">
              <w:rPr>
                <w:bCs/>
                <w:sz w:val="18"/>
                <w:szCs w:val="18"/>
              </w:rPr>
              <w:t>Efficient</w:t>
            </w:r>
          </w:p>
        </w:tc>
      </w:tr>
      <w:tr w:rsidR="0050700F" w:rsidRPr="004A59A6">
        <w:trPr>
          <w:cantSplit/>
          <w:jc w:val="center"/>
        </w:trPr>
        <w:tc>
          <w:tcPr>
            <w:tcW w:w="800" w:type="dxa"/>
          </w:tcPr>
          <w:p w:rsidR="0050700F" w:rsidRPr="004A59A6" w:rsidRDefault="0050700F">
            <w:pPr>
              <w:pStyle w:val="Paragraph"/>
              <w:jc w:val="left"/>
            </w:pPr>
            <w:r w:rsidRPr="004A59A6">
              <w:t>2</w:t>
            </w:r>
          </w:p>
        </w:tc>
        <w:tc>
          <w:tcPr>
            <w:tcW w:w="1228" w:type="dxa"/>
          </w:tcPr>
          <w:p w:rsidR="0050700F" w:rsidRPr="004A59A6" w:rsidRDefault="0050700F">
            <w:pPr>
              <w:jc w:val="center"/>
              <w:rPr>
                <w:sz w:val="20"/>
                <w:lang w:val="id-ID"/>
              </w:rPr>
            </w:pPr>
            <w:r w:rsidRPr="004A59A6">
              <w:rPr>
                <w:sz w:val="20"/>
                <w:lang w:val="id-ID"/>
              </w:rPr>
              <w:t>Gapura</w:t>
            </w:r>
          </w:p>
        </w:tc>
        <w:tc>
          <w:tcPr>
            <w:tcW w:w="1541" w:type="dxa"/>
            <w:vAlign w:val="center"/>
          </w:tcPr>
          <w:p w:rsidR="0050700F" w:rsidRPr="004A59A6" w:rsidRDefault="0050700F">
            <w:pPr>
              <w:jc w:val="center"/>
              <w:rPr>
                <w:sz w:val="20"/>
              </w:rPr>
            </w:pPr>
            <w:r w:rsidRPr="004A59A6">
              <w:rPr>
                <w:color w:val="000000"/>
                <w:sz w:val="20"/>
                <w:lang w:val="id-ID"/>
              </w:rPr>
              <w:t>1,000000</w:t>
            </w:r>
          </w:p>
        </w:tc>
        <w:tc>
          <w:tcPr>
            <w:tcW w:w="1806" w:type="dxa"/>
          </w:tcPr>
          <w:p w:rsidR="0050700F" w:rsidRPr="004A59A6" w:rsidRDefault="0050700F">
            <w:pPr>
              <w:jc w:val="center"/>
              <w:rPr>
                <w:bCs/>
                <w:sz w:val="20"/>
              </w:rPr>
            </w:pPr>
            <w:r w:rsidRPr="004A59A6">
              <w:rPr>
                <w:bCs/>
                <w:sz w:val="18"/>
                <w:szCs w:val="18"/>
              </w:rPr>
              <w:t>Efficient</w:t>
            </w:r>
          </w:p>
        </w:tc>
      </w:tr>
      <w:tr w:rsidR="0050700F" w:rsidRPr="004A59A6">
        <w:trPr>
          <w:cantSplit/>
          <w:trHeight w:val="237"/>
          <w:jc w:val="center"/>
        </w:trPr>
        <w:tc>
          <w:tcPr>
            <w:tcW w:w="800" w:type="dxa"/>
          </w:tcPr>
          <w:p w:rsidR="0050700F" w:rsidRPr="004A59A6" w:rsidRDefault="0050700F">
            <w:pPr>
              <w:pStyle w:val="Paragraph"/>
              <w:jc w:val="left"/>
            </w:pPr>
            <w:r w:rsidRPr="004A59A6">
              <w:t>3</w:t>
            </w:r>
          </w:p>
        </w:tc>
        <w:tc>
          <w:tcPr>
            <w:tcW w:w="1228" w:type="dxa"/>
          </w:tcPr>
          <w:p w:rsidR="0050700F" w:rsidRPr="004A59A6" w:rsidRDefault="0050700F">
            <w:pPr>
              <w:jc w:val="center"/>
              <w:rPr>
                <w:sz w:val="20"/>
                <w:lang w:val="id-ID"/>
              </w:rPr>
            </w:pPr>
            <w:r w:rsidRPr="004A59A6">
              <w:rPr>
                <w:sz w:val="20"/>
                <w:lang w:val="id-ID"/>
              </w:rPr>
              <w:t>Giligenting</w:t>
            </w:r>
          </w:p>
        </w:tc>
        <w:tc>
          <w:tcPr>
            <w:tcW w:w="1541" w:type="dxa"/>
            <w:vAlign w:val="center"/>
          </w:tcPr>
          <w:p w:rsidR="0050700F" w:rsidRPr="004A59A6" w:rsidRDefault="0050700F">
            <w:pPr>
              <w:jc w:val="center"/>
              <w:rPr>
                <w:sz w:val="20"/>
              </w:rPr>
            </w:pPr>
            <w:r w:rsidRPr="004A59A6">
              <w:rPr>
                <w:color w:val="000000"/>
                <w:sz w:val="20"/>
                <w:lang w:val="id-ID"/>
              </w:rPr>
              <w:t>1,000000</w:t>
            </w:r>
          </w:p>
        </w:tc>
        <w:tc>
          <w:tcPr>
            <w:tcW w:w="1806" w:type="dxa"/>
          </w:tcPr>
          <w:p w:rsidR="0050700F" w:rsidRPr="004A59A6" w:rsidRDefault="0050700F">
            <w:pPr>
              <w:jc w:val="center"/>
              <w:rPr>
                <w:bCs/>
                <w:sz w:val="20"/>
              </w:rPr>
            </w:pPr>
            <w:r w:rsidRPr="004A59A6">
              <w:rPr>
                <w:bCs/>
                <w:sz w:val="18"/>
                <w:szCs w:val="18"/>
              </w:rPr>
              <w:t>Efficient</w:t>
            </w:r>
          </w:p>
        </w:tc>
      </w:tr>
      <w:tr w:rsidR="0050700F" w:rsidRPr="004A59A6">
        <w:trPr>
          <w:cantSplit/>
          <w:trHeight w:val="237"/>
          <w:jc w:val="center"/>
        </w:trPr>
        <w:tc>
          <w:tcPr>
            <w:tcW w:w="800" w:type="dxa"/>
          </w:tcPr>
          <w:p w:rsidR="0050700F" w:rsidRPr="004A59A6" w:rsidRDefault="0050700F">
            <w:pPr>
              <w:pStyle w:val="Paragraph"/>
              <w:jc w:val="left"/>
            </w:pPr>
            <w:r w:rsidRPr="004A59A6">
              <w:t>4</w:t>
            </w:r>
          </w:p>
        </w:tc>
        <w:tc>
          <w:tcPr>
            <w:tcW w:w="1228" w:type="dxa"/>
          </w:tcPr>
          <w:p w:rsidR="0050700F" w:rsidRPr="004A59A6" w:rsidRDefault="0050700F">
            <w:pPr>
              <w:jc w:val="center"/>
              <w:rPr>
                <w:sz w:val="20"/>
                <w:lang w:val="id-ID"/>
              </w:rPr>
            </w:pPr>
            <w:r w:rsidRPr="004A59A6">
              <w:rPr>
                <w:sz w:val="20"/>
                <w:lang w:val="id-ID"/>
              </w:rPr>
              <w:t>Kalianget</w:t>
            </w:r>
          </w:p>
        </w:tc>
        <w:tc>
          <w:tcPr>
            <w:tcW w:w="1541" w:type="dxa"/>
            <w:vAlign w:val="center"/>
          </w:tcPr>
          <w:p w:rsidR="0050700F" w:rsidRPr="004A59A6" w:rsidRDefault="0050700F">
            <w:pPr>
              <w:jc w:val="center"/>
              <w:rPr>
                <w:sz w:val="20"/>
              </w:rPr>
            </w:pPr>
            <w:r w:rsidRPr="004A59A6">
              <w:rPr>
                <w:color w:val="000000"/>
                <w:sz w:val="20"/>
                <w:lang w:val="id-ID"/>
              </w:rPr>
              <w:t>1,000000</w:t>
            </w:r>
          </w:p>
        </w:tc>
        <w:tc>
          <w:tcPr>
            <w:tcW w:w="1806" w:type="dxa"/>
          </w:tcPr>
          <w:p w:rsidR="0050700F" w:rsidRPr="004A59A6" w:rsidRDefault="0050700F">
            <w:pPr>
              <w:jc w:val="center"/>
              <w:rPr>
                <w:bCs/>
                <w:sz w:val="20"/>
              </w:rPr>
            </w:pPr>
            <w:r w:rsidRPr="004A59A6">
              <w:rPr>
                <w:bCs/>
                <w:sz w:val="18"/>
                <w:szCs w:val="18"/>
              </w:rPr>
              <w:t>Efficient</w:t>
            </w:r>
          </w:p>
        </w:tc>
      </w:tr>
      <w:tr w:rsidR="0050700F" w:rsidRPr="004A59A6">
        <w:trPr>
          <w:cantSplit/>
          <w:trHeight w:val="237"/>
          <w:jc w:val="center"/>
        </w:trPr>
        <w:tc>
          <w:tcPr>
            <w:tcW w:w="800" w:type="dxa"/>
          </w:tcPr>
          <w:p w:rsidR="0050700F" w:rsidRPr="004A59A6" w:rsidRDefault="0050700F">
            <w:pPr>
              <w:pStyle w:val="Paragraph"/>
              <w:jc w:val="left"/>
            </w:pPr>
            <w:r w:rsidRPr="004A59A6">
              <w:t>5</w:t>
            </w:r>
          </w:p>
        </w:tc>
        <w:tc>
          <w:tcPr>
            <w:tcW w:w="1228" w:type="dxa"/>
          </w:tcPr>
          <w:p w:rsidR="0050700F" w:rsidRPr="004A59A6" w:rsidRDefault="0050700F">
            <w:pPr>
              <w:jc w:val="center"/>
              <w:rPr>
                <w:sz w:val="20"/>
                <w:lang w:val="id-ID"/>
              </w:rPr>
            </w:pPr>
            <w:r w:rsidRPr="004A59A6">
              <w:rPr>
                <w:sz w:val="20"/>
                <w:lang w:val="id-ID"/>
              </w:rPr>
              <w:t>Kangayan</w:t>
            </w:r>
          </w:p>
        </w:tc>
        <w:tc>
          <w:tcPr>
            <w:tcW w:w="1541" w:type="dxa"/>
            <w:vAlign w:val="center"/>
          </w:tcPr>
          <w:p w:rsidR="0050700F" w:rsidRPr="004A59A6" w:rsidRDefault="0050700F">
            <w:pPr>
              <w:jc w:val="center"/>
              <w:rPr>
                <w:sz w:val="20"/>
              </w:rPr>
            </w:pPr>
            <w:r w:rsidRPr="004A59A6">
              <w:rPr>
                <w:color w:val="000000"/>
                <w:sz w:val="20"/>
                <w:lang w:val="id-ID"/>
              </w:rPr>
              <w:t>1,000000</w:t>
            </w:r>
          </w:p>
        </w:tc>
        <w:tc>
          <w:tcPr>
            <w:tcW w:w="1806" w:type="dxa"/>
          </w:tcPr>
          <w:p w:rsidR="0050700F" w:rsidRPr="004A59A6" w:rsidRDefault="0050700F">
            <w:pPr>
              <w:jc w:val="center"/>
              <w:rPr>
                <w:bCs/>
                <w:sz w:val="20"/>
              </w:rPr>
            </w:pPr>
            <w:r w:rsidRPr="004A59A6">
              <w:rPr>
                <w:bCs/>
                <w:sz w:val="18"/>
                <w:szCs w:val="18"/>
              </w:rPr>
              <w:t>Efficient</w:t>
            </w:r>
          </w:p>
        </w:tc>
      </w:tr>
      <w:tr w:rsidR="0050700F" w:rsidRPr="004A59A6">
        <w:trPr>
          <w:cantSplit/>
          <w:trHeight w:val="237"/>
          <w:jc w:val="center"/>
        </w:trPr>
        <w:tc>
          <w:tcPr>
            <w:tcW w:w="800" w:type="dxa"/>
          </w:tcPr>
          <w:p w:rsidR="0050700F" w:rsidRPr="004A59A6" w:rsidRDefault="0050700F">
            <w:pPr>
              <w:pStyle w:val="Paragraph"/>
              <w:jc w:val="left"/>
            </w:pPr>
            <w:r w:rsidRPr="004A59A6">
              <w:t>6</w:t>
            </w:r>
          </w:p>
        </w:tc>
        <w:tc>
          <w:tcPr>
            <w:tcW w:w="1228" w:type="dxa"/>
          </w:tcPr>
          <w:p w:rsidR="0050700F" w:rsidRPr="004A59A6" w:rsidRDefault="0050700F">
            <w:pPr>
              <w:jc w:val="center"/>
              <w:rPr>
                <w:sz w:val="20"/>
                <w:lang w:val="id-ID"/>
              </w:rPr>
            </w:pPr>
            <w:r w:rsidRPr="004A59A6">
              <w:rPr>
                <w:sz w:val="20"/>
                <w:lang w:val="id-ID"/>
              </w:rPr>
              <w:t>Pragaan</w:t>
            </w:r>
          </w:p>
        </w:tc>
        <w:tc>
          <w:tcPr>
            <w:tcW w:w="1541" w:type="dxa"/>
            <w:vAlign w:val="center"/>
          </w:tcPr>
          <w:p w:rsidR="0050700F" w:rsidRPr="004A59A6" w:rsidRDefault="0050700F">
            <w:pPr>
              <w:jc w:val="center"/>
              <w:rPr>
                <w:sz w:val="20"/>
              </w:rPr>
            </w:pPr>
            <w:r w:rsidRPr="004A59A6">
              <w:rPr>
                <w:color w:val="000000"/>
                <w:sz w:val="20"/>
                <w:lang w:val="id-ID"/>
              </w:rPr>
              <w:t>0,939839</w:t>
            </w:r>
          </w:p>
        </w:tc>
        <w:tc>
          <w:tcPr>
            <w:tcW w:w="1806" w:type="dxa"/>
          </w:tcPr>
          <w:p w:rsidR="0050700F" w:rsidRPr="004A59A6" w:rsidRDefault="0050700F">
            <w:pPr>
              <w:jc w:val="center"/>
              <w:rPr>
                <w:bCs/>
                <w:sz w:val="20"/>
              </w:rPr>
            </w:pPr>
            <w:r w:rsidRPr="004A59A6">
              <w:rPr>
                <w:bCs/>
                <w:sz w:val="18"/>
                <w:szCs w:val="18"/>
              </w:rPr>
              <w:t>Inefficient</w:t>
            </w:r>
          </w:p>
        </w:tc>
      </w:tr>
      <w:tr w:rsidR="0050700F" w:rsidRPr="004A59A6">
        <w:trPr>
          <w:cantSplit/>
          <w:trHeight w:val="237"/>
          <w:jc w:val="center"/>
        </w:trPr>
        <w:tc>
          <w:tcPr>
            <w:tcW w:w="800" w:type="dxa"/>
          </w:tcPr>
          <w:p w:rsidR="0050700F" w:rsidRPr="004A59A6" w:rsidRDefault="0050700F">
            <w:pPr>
              <w:pStyle w:val="Paragraph"/>
              <w:jc w:val="left"/>
            </w:pPr>
            <w:r w:rsidRPr="004A59A6">
              <w:t>7</w:t>
            </w:r>
          </w:p>
        </w:tc>
        <w:tc>
          <w:tcPr>
            <w:tcW w:w="1228" w:type="dxa"/>
          </w:tcPr>
          <w:p w:rsidR="0050700F" w:rsidRPr="004A59A6" w:rsidRDefault="0050700F">
            <w:pPr>
              <w:jc w:val="center"/>
              <w:rPr>
                <w:sz w:val="20"/>
                <w:lang w:val="id-ID"/>
              </w:rPr>
            </w:pPr>
            <w:r w:rsidRPr="004A59A6">
              <w:rPr>
                <w:sz w:val="20"/>
                <w:lang w:val="id-ID"/>
              </w:rPr>
              <w:t>Raas</w:t>
            </w:r>
          </w:p>
        </w:tc>
        <w:tc>
          <w:tcPr>
            <w:tcW w:w="1541" w:type="dxa"/>
            <w:vAlign w:val="center"/>
          </w:tcPr>
          <w:p w:rsidR="0050700F" w:rsidRPr="004A59A6" w:rsidRDefault="0050700F">
            <w:pPr>
              <w:jc w:val="center"/>
              <w:rPr>
                <w:sz w:val="20"/>
              </w:rPr>
            </w:pPr>
            <w:r w:rsidRPr="004A59A6">
              <w:rPr>
                <w:color w:val="000000"/>
                <w:sz w:val="20"/>
                <w:lang w:val="id-ID"/>
              </w:rPr>
              <w:t>1,000000</w:t>
            </w:r>
          </w:p>
        </w:tc>
        <w:tc>
          <w:tcPr>
            <w:tcW w:w="1806" w:type="dxa"/>
          </w:tcPr>
          <w:p w:rsidR="0050700F" w:rsidRPr="004A59A6" w:rsidRDefault="0050700F">
            <w:pPr>
              <w:jc w:val="center"/>
              <w:rPr>
                <w:bCs/>
                <w:sz w:val="20"/>
              </w:rPr>
            </w:pPr>
            <w:r w:rsidRPr="004A59A6">
              <w:rPr>
                <w:bCs/>
                <w:sz w:val="18"/>
                <w:szCs w:val="18"/>
              </w:rPr>
              <w:t>Efficient</w:t>
            </w:r>
          </w:p>
        </w:tc>
      </w:tr>
      <w:tr w:rsidR="0050700F" w:rsidRPr="004A59A6">
        <w:trPr>
          <w:cantSplit/>
          <w:trHeight w:val="237"/>
          <w:jc w:val="center"/>
        </w:trPr>
        <w:tc>
          <w:tcPr>
            <w:tcW w:w="800" w:type="dxa"/>
          </w:tcPr>
          <w:p w:rsidR="0050700F" w:rsidRPr="004A59A6" w:rsidRDefault="0050700F">
            <w:pPr>
              <w:pStyle w:val="Paragraph"/>
              <w:jc w:val="left"/>
            </w:pPr>
            <w:r w:rsidRPr="004A59A6">
              <w:t>8</w:t>
            </w:r>
          </w:p>
        </w:tc>
        <w:tc>
          <w:tcPr>
            <w:tcW w:w="1228" w:type="dxa"/>
          </w:tcPr>
          <w:p w:rsidR="0050700F" w:rsidRPr="004A59A6" w:rsidRDefault="0050700F">
            <w:pPr>
              <w:jc w:val="center"/>
              <w:rPr>
                <w:sz w:val="20"/>
                <w:lang w:val="id-ID"/>
              </w:rPr>
            </w:pPr>
            <w:r w:rsidRPr="004A59A6">
              <w:rPr>
                <w:sz w:val="20"/>
                <w:lang w:val="id-ID"/>
              </w:rPr>
              <w:t>Sapeken</w:t>
            </w:r>
          </w:p>
        </w:tc>
        <w:tc>
          <w:tcPr>
            <w:tcW w:w="1541" w:type="dxa"/>
            <w:vAlign w:val="center"/>
          </w:tcPr>
          <w:p w:rsidR="0050700F" w:rsidRPr="004A59A6" w:rsidRDefault="0050700F">
            <w:pPr>
              <w:jc w:val="center"/>
              <w:rPr>
                <w:sz w:val="20"/>
              </w:rPr>
            </w:pPr>
            <w:r w:rsidRPr="004A59A6">
              <w:rPr>
                <w:color w:val="000000"/>
                <w:sz w:val="20"/>
                <w:lang w:val="id-ID"/>
              </w:rPr>
              <w:t>1,000000</w:t>
            </w:r>
          </w:p>
        </w:tc>
        <w:tc>
          <w:tcPr>
            <w:tcW w:w="1806" w:type="dxa"/>
          </w:tcPr>
          <w:p w:rsidR="0050700F" w:rsidRPr="004A59A6" w:rsidRDefault="0050700F">
            <w:pPr>
              <w:jc w:val="center"/>
              <w:rPr>
                <w:bCs/>
                <w:sz w:val="20"/>
              </w:rPr>
            </w:pPr>
            <w:r w:rsidRPr="004A59A6">
              <w:rPr>
                <w:bCs/>
                <w:sz w:val="18"/>
                <w:szCs w:val="18"/>
              </w:rPr>
              <w:t>Efficient</w:t>
            </w:r>
          </w:p>
        </w:tc>
      </w:tr>
      <w:tr w:rsidR="0050700F" w:rsidRPr="004A59A6">
        <w:trPr>
          <w:cantSplit/>
          <w:trHeight w:val="237"/>
          <w:jc w:val="center"/>
        </w:trPr>
        <w:tc>
          <w:tcPr>
            <w:tcW w:w="800" w:type="dxa"/>
          </w:tcPr>
          <w:p w:rsidR="0050700F" w:rsidRPr="004A59A6" w:rsidRDefault="0050700F">
            <w:pPr>
              <w:pStyle w:val="Paragraph"/>
              <w:jc w:val="left"/>
            </w:pPr>
            <w:r w:rsidRPr="004A59A6">
              <w:t>9</w:t>
            </w:r>
          </w:p>
        </w:tc>
        <w:tc>
          <w:tcPr>
            <w:tcW w:w="1228" w:type="dxa"/>
          </w:tcPr>
          <w:p w:rsidR="0050700F" w:rsidRPr="004A59A6" w:rsidRDefault="0050700F">
            <w:pPr>
              <w:jc w:val="center"/>
              <w:rPr>
                <w:sz w:val="20"/>
                <w:lang w:val="id-ID"/>
              </w:rPr>
            </w:pPr>
            <w:r w:rsidRPr="004A59A6">
              <w:rPr>
                <w:sz w:val="20"/>
                <w:lang w:val="id-ID"/>
              </w:rPr>
              <w:t>Saronggi</w:t>
            </w:r>
          </w:p>
        </w:tc>
        <w:tc>
          <w:tcPr>
            <w:tcW w:w="1541" w:type="dxa"/>
            <w:vAlign w:val="center"/>
          </w:tcPr>
          <w:p w:rsidR="0050700F" w:rsidRPr="004A59A6" w:rsidRDefault="0050700F">
            <w:pPr>
              <w:jc w:val="center"/>
              <w:rPr>
                <w:sz w:val="20"/>
              </w:rPr>
            </w:pPr>
            <w:r w:rsidRPr="004A59A6">
              <w:rPr>
                <w:color w:val="000000"/>
                <w:sz w:val="20"/>
                <w:lang w:val="id-ID"/>
              </w:rPr>
              <w:t>0,908094</w:t>
            </w:r>
          </w:p>
        </w:tc>
        <w:tc>
          <w:tcPr>
            <w:tcW w:w="1806" w:type="dxa"/>
          </w:tcPr>
          <w:p w:rsidR="0050700F" w:rsidRPr="004A59A6" w:rsidRDefault="0050700F">
            <w:pPr>
              <w:jc w:val="center"/>
              <w:rPr>
                <w:bCs/>
                <w:sz w:val="20"/>
              </w:rPr>
            </w:pPr>
            <w:r w:rsidRPr="004A59A6">
              <w:rPr>
                <w:bCs/>
                <w:sz w:val="18"/>
                <w:szCs w:val="18"/>
              </w:rPr>
              <w:t>Inefficient</w:t>
            </w:r>
          </w:p>
        </w:tc>
      </w:tr>
      <w:tr w:rsidR="0050700F" w:rsidRPr="004A59A6">
        <w:trPr>
          <w:cantSplit/>
          <w:trHeight w:val="237"/>
          <w:jc w:val="center"/>
        </w:trPr>
        <w:tc>
          <w:tcPr>
            <w:tcW w:w="800" w:type="dxa"/>
            <w:tcBorders>
              <w:bottom w:val="single" w:sz="4" w:space="0" w:color="auto"/>
            </w:tcBorders>
          </w:tcPr>
          <w:p w:rsidR="0050700F" w:rsidRPr="004A59A6" w:rsidRDefault="0050700F">
            <w:pPr>
              <w:pStyle w:val="Paragraph"/>
              <w:jc w:val="left"/>
            </w:pPr>
            <w:r w:rsidRPr="004A59A6">
              <w:t>10</w:t>
            </w:r>
          </w:p>
        </w:tc>
        <w:tc>
          <w:tcPr>
            <w:tcW w:w="1228" w:type="dxa"/>
            <w:tcBorders>
              <w:bottom w:val="single" w:sz="4" w:space="0" w:color="auto"/>
            </w:tcBorders>
          </w:tcPr>
          <w:p w:rsidR="0050700F" w:rsidRPr="004A59A6" w:rsidRDefault="0050700F">
            <w:pPr>
              <w:jc w:val="center"/>
              <w:rPr>
                <w:sz w:val="20"/>
                <w:lang w:val="id-ID"/>
              </w:rPr>
            </w:pPr>
            <w:r w:rsidRPr="004A59A6">
              <w:rPr>
                <w:sz w:val="20"/>
                <w:lang w:val="id-ID"/>
              </w:rPr>
              <w:t>Talango</w:t>
            </w:r>
          </w:p>
        </w:tc>
        <w:tc>
          <w:tcPr>
            <w:tcW w:w="1541" w:type="dxa"/>
            <w:tcBorders>
              <w:bottom w:val="single" w:sz="4" w:space="0" w:color="auto"/>
            </w:tcBorders>
            <w:vAlign w:val="center"/>
          </w:tcPr>
          <w:p w:rsidR="0050700F" w:rsidRPr="004A59A6" w:rsidRDefault="0050700F">
            <w:pPr>
              <w:jc w:val="center"/>
              <w:rPr>
                <w:sz w:val="20"/>
              </w:rPr>
            </w:pPr>
            <w:r w:rsidRPr="004A59A6">
              <w:rPr>
                <w:color w:val="000000"/>
                <w:sz w:val="20"/>
                <w:lang w:val="id-ID"/>
              </w:rPr>
              <w:t>1,000000</w:t>
            </w:r>
          </w:p>
        </w:tc>
        <w:tc>
          <w:tcPr>
            <w:tcW w:w="1806" w:type="dxa"/>
            <w:tcBorders>
              <w:bottom w:val="single" w:sz="4" w:space="0" w:color="auto"/>
            </w:tcBorders>
          </w:tcPr>
          <w:p w:rsidR="0050700F" w:rsidRPr="004A59A6" w:rsidRDefault="0050700F">
            <w:pPr>
              <w:jc w:val="center"/>
              <w:rPr>
                <w:bCs/>
                <w:sz w:val="20"/>
              </w:rPr>
            </w:pPr>
            <w:r w:rsidRPr="004A59A6">
              <w:rPr>
                <w:bCs/>
                <w:sz w:val="18"/>
                <w:szCs w:val="18"/>
              </w:rPr>
              <w:t>Efficient</w:t>
            </w:r>
          </w:p>
        </w:tc>
      </w:tr>
    </w:tbl>
    <w:p w:rsidR="0050700F" w:rsidRPr="004A59A6" w:rsidRDefault="0050700F" w:rsidP="0050700F">
      <w:pPr>
        <w:rPr>
          <w:lang w:val="id-ID"/>
        </w:rPr>
      </w:pPr>
    </w:p>
    <w:p w:rsidR="0050700F" w:rsidRPr="004A59A6" w:rsidRDefault="0050700F" w:rsidP="0050700F">
      <w:pPr>
        <w:pStyle w:val="Paragraph"/>
      </w:pPr>
      <w:r w:rsidRPr="004A59A6">
        <w:t>As shown in Table 4, there are two inefficient DMUs and eight efficient DMUs. A DMU is considered efficient if its efficiency value is greater than or equal to 1. If the efficiency value is less than or equal to 1, the DMU is considered inefficient (1</w:t>
      </w:r>
      <w:r w:rsidR="0057445F" w:rsidRPr="004A59A6">
        <w:t>8</w:t>
      </w:r>
      <w:r w:rsidRPr="004A59A6">
        <w:t>). The efficiency level of a decision-making unit is interpreted by the objective value and the reduce cost value. The objective value interprets the value of the variables in each DMU to produce an optimal objective function value. The reduce cost value interprets the cost reduction of each variable to achieve an optimal solution in a used DMU. Two DMUs have inefficient values, meaning they have not reached the optimal level of efficiency and require improvement or reduction in their cost reduction value.  These DMUs are DMU 6, with an efficiency score of 0.939839, and DMU 9, with an efficiency score of 0.908094.  The DMUs that have achieved perfect efficiency values are DMU 1, DMU 2, DMU 3, DMU 4, DMU 5, DMU 7, DMU 8, and DMU 10.</w:t>
      </w:r>
    </w:p>
    <w:p w:rsidR="001B3B91" w:rsidRPr="004A59A6" w:rsidRDefault="001B3B91" w:rsidP="0050700F">
      <w:pPr>
        <w:pStyle w:val="Paragraph"/>
      </w:pPr>
    </w:p>
    <w:p w:rsidR="00616F3B" w:rsidRPr="004A59A6" w:rsidRDefault="001B3B91" w:rsidP="003A287B">
      <w:pPr>
        <w:pStyle w:val="Heading2"/>
      </w:pPr>
      <w:r w:rsidRPr="004A59A6">
        <w:t>Measurement of DMU Efficiency with Frontier Analyst Software</w:t>
      </w:r>
      <w:r w:rsidR="00616F3B" w:rsidRPr="004A59A6">
        <w:br/>
      </w:r>
    </w:p>
    <w:p w:rsidR="001B3B91" w:rsidRPr="004A59A6" w:rsidRDefault="001B3B91" w:rsidP="001B3B91">
      <w:pPr>
        <w:pStyle w:val="Paragraph"/>
      </w:pPr>
      <w:r w:rsidRPr="004A59A6">
        <w:t>The efficiency value of Madura people's salt production was measured using the DEA model approach with the help of Frontier Analyst software. The DEA-CCR model approach for efficiency measurement is based on CRS assumptions and is output-oriented, as shown in Table 5.</w:t>
      </w:r>
    </w:p>
    <w:p w:rsidR="001B3B91" w:rsidRPr="004A59A6" w:rsidRDefault="001B3B91" w:rsidP="001B3B91">
      <w:pPr>
        <w:pStyle w:val="Paragraph"/>
      </w:pPr>
    </w:p>
    <w:p w:rsidR="001B3B91" w:rsidRPr="004A59A6" w:rsidRDefault="001B3B91" w:rsidP="001B3B91">
      <w:pPr>
        <w:pStyle w:val="Caption"/>
        <w:keepNext/>
        <w:rPr>
          <w:sz w:val="18"/>
          <w:lang w:val="id-ID"/>
        </w:rPr>
      </w:pPr>
      <w:r w:rsidRPr="004A59A6">
        <w:rPr>
          <w:b/>
          <w:sz w:val="18"/>
        </w:rPr>
        <w:lastRenderedPageBreak/>
        <w:t xml:space="preserve">TABLE 5. </w:t>
      </w:r>
      <w:r w:rsidRPr="004A59A6">
        <w:rPr>
          <w:sz w:val="18"/>
        </w:rPr>
        <w:t>Results of the efficiency measurement using Frontier Analyst Software</w:t>
      </w:r>
    </w:p>
    <w:tbl>
      <w:tblPr>
        <w:tblW w:w="5820" w:type="dxa"/>
        <w:jc w:val="center"/>
        <w:tblLayout w:type="fixed"/>
        <w:tblLook w:val="0000" w:firstRow="0" w:lastRow="0" w:firstColumn="0" w:lastColumn="0" w:noHBand="0" w:noVBand="0"/>
      </w:tblPr>
      <w:tblGrid>
        <w:gridCol w:w="800"/>
        <w:gridCol w:w="1228"/>
        <w:gridCol w:w="993"/>
        <w:gridCol w:w="993"/>
        <w:gridCol w:w="1806"/>
      </w:tblGrid>
      <w:tr w:rsidR="001B3B91" w:rsidRPr="004A59A6">
        <w:trPr>
          <w:cantSplit/>
          <w:trHeight w:val="272"/>
          <w:jc w:val="center"/>
        </w:trPr>
        <w:tc>
          <w:tcPr>
            <w:tcW w:w="800" w:type="dxa"/>
            <w:tcBorders>
              <w:top w:val="single" w:sz="4" w:space="0" w:color="auto"/>
              <w:bottom w:val="single" w:sz="4" w:space="0" w:color="auto"/>
            </w:tcBorders>
            <w:vAlign w:val="center"/>
          </w:tcPr>
          <w:p w:rsidR="001B3B91" w:rsidRPr="004A59A6" w:rsidRDefault="001B3B91">
            <w:pPr>
              <w:jc w:val="center"/>
              <w:rPr>
                <w:b/>
                <w:sz w:val="18"/>
                <w:szCs w:val="18"/>
              </w:rPr>
            </w:pPr>
            <w:r w:rsidRPr="004A59A6">
              <w:rPr>
                <w:b/>
                <w:sz w:val="18"/>
                <w:szCs w:val="18"/>
              </w:rPr>
              <w:t>DMU</w:t>
            </w:r>
          </w:p>
        </w:tc>
        <w:tc>
          <w:tcPr>
            <w:tcW w:w="1228" w:type="dxa"/>
            <w:tcBorders>
              <w:top w:val="single" w:sz="4" w:space="0" w:color="auto"/>
              <w:bottom w:val="single" w:sz="4" w:space="0" w:color="auto"/>
            </w:tcBorders>
            <w:vAlign w:val="center"/>
          </w:tcPr>
          <w:p w:rsidR="001B3B91" w:rsidRPr="004A59A6" w:rsidRDefault="000D042E">
            <w:pPr>
              <w:jc w:val="center"/>
              <w:rPr>
                <w:b/>
                <w:sz w:val="18"/>
                <w:szCs w:val="18"/>
              </w:rPr>
            </w:pPr>
            <w:r w:rsidRPr="004A59A6">
              <w:rPr>
                <w:b/>
                <w:sz w:val="18"/>
                <w:szCs w:val="18"/>
              </w:rPr>
              <w:t>Subd</w:t>
            </w:r>
            <w:r w:rsidR="001B3B91" w:rsidRPr="004A59A6">
              <w:rPr>
                <w:b/>
                <w:sz w:val="18"/>
                <w:szCs w:val="18"/>
              </w:rPr>
              <w:t>istrict</w:t>
            </w:r>
          </w:p>
        </w:tc>
        <w:tc>
          <w:tcPr>
            <w:tcW w:w="993" w:type="dxa"/>
            <w:tcBorders>
              <w:top w:val="single" w:sz="4" w:space="0" w:color="auto"/>
              <w:bottom w:val="single" w:sz="4" w:space="0" w:color="auto"/>
            </w:tcBorders>
            <w:vAlign w:val="center"/>
          </w:tcPr>
          <w:p w:rsidR="001B3B91" w:rsidRPr="004A59A6" w:rsidRDefault="001B3B91">
            <w:pPr>
              <w:jc w:val="center"/>
              <w:rPr>
                <w:b/>
                <w:sz w:val="18"/>
                <w:szCs w:val="18"/>
              </w:rPr>
            </w:pPr>
            <w:r w:rsidRPr="004A59A6">
              <w:rPr>
                <w:b/>
                <w:sz w:val="18"/>
                <w:szCs w:val="18"/>
              </w:rPr>
              <w:t>Score (%)</w:t>
            </w:r>
          </w:p>
        </w:tc>
        <w:tc>
          <w:tcPr>
            <w:tcW w:w="993" w:type="dxa"/>
            <w:tcBorders>
              <w:top w:val="single" w:sz="4" w:space="0" w:color="auto"/>
              <w:bottom w:val="single" w:sz="4" w:space="0" w:color="auto"/>
            </w:tcBorders>
            <w:vAlign w:val="center"/>
          </w:tcPr>
          <w:p w:rsidR="001B3B91" w:rsidRPr="004A59A6" w:rsidRDefault="001B3B91">
            <w:pPr>
              <w:jc w:val="center"/>
              <w:rPr>
                <w:b/>
                <w:sz w:val="18"/>
                <w:szCs w:val="18"/>
              </w:rPr>
            </w:pPr>
            <w:r w:rsidRPr="004A59A6">
              <w:rPr>
                <w:b/>
                <w:sz w:val="18"/>
                <w:szCs w:val="18"/>
              </w:rPr>
              <w:t xml:space="preserve">Category </w:t>
            </w:r>
          </w:p>
        </w:tc>
        <w:tc>
          <w:tcPr>
            <w:tcW w:w="1806" w:type="dxa"/>
            <w:tcBorders>
              <w:top w:val="single" w:sz="4" w:space="0" w:color="auto"/>
              <w:bottom w:val="single" w:sz="4" w:space="0" w:color="auto"/>
            </w:tcBorders>
            <w:vAlign w:val="center"/>
          </w:tcPr>
          <w:p w:rsidR="001B3B91" w:rsidRPr="004A59A6" w:rsidRDefault="001B3B91">
            <w:pPr>
              <w:jc w:val="center"/>
              <w:rPr>
                <w:b/>
                <w:sz w:val="18"/>
                <w:szCs w:val="18"/>
              </w:rPr>
            </w:pPr>
            <w:r w:rsidRPr="004A59A6">
              <w:rPr>
                <w:b/>
                <w:sz w:val="18"/>
                <w:szCs w:val="18"/>
              </w:rPr>
              <w:t>Efficient/Inefficient</w:t>
            </w:r>
          </w:p>
        </w:tc>
      </w:tr>
      <w:tr w:rsidR="001B3B91" w:rsidRPr="004A59A6">
        <w:trPr>
          <w:cantSplit/>
          <w:jc w:val="center"/>
        </w:trPr>
        <w:tc>
          <w:tcPr>
            <w:tcW w:w="800" w:type="dxa"/>
            <w:tcBorders>
              <w:top w:val="single" w:sz="4" w:space="0" w:color="auto"/>
            </w:tcBorders>
          </w:tcPr>
          <w:p w:rsidR="001B3B91" w:rsidRPr="004A59A6" w:rsidRDefault="001B3B91">
            <w:pPr>
              <w:pStyle w:val="Paragraph"/>
              <w:jc w:val="left"/>
            </w:pPr>
            <w:r w:rsidRPr="004A59A6">
              <w:t>1</w:t>
            </w:r>
          </w:p>
        </w:tc>
        <w:tc>
          <w:tcPr>
            <w:tcW w:w="1228" w:type="dxa"/>
            <w:tcBorders>
              <w:top w:val="single" w:sz="4" w:space="0" w:color="auto"/>
            </w:tcBorders>
          </w:tcPr>
          <w:p w:rsidR="001B3B91" w:rsidRPr="004A59A6" w:rsidRDefault="001B3B91">
            <w:pPr>
              <w:jc w:val="center"/>
              <w:rPr>
                <w:sz w:val="20"/>
                <w:lang w:val="id-ID"/>
              </w:rPr>
            </w:pPr>
            <w:r w:rsidRPr="004A59A6">
              <w:rPr>
                <w:sz w:val="20"/>
                <w:lang w:val="id-ID"/>
              </w:rPr>
              <w:t>Arjasa</w:t>
            </w:r>
          </w:p>
        </w:tc>
        <w:tc>
          <w:tcPr>
            <w:tcW w:w="993" w:type="dxa"/>
            <w:tcBorders>
              <w:top w:val="single" w:sz="4" w:space="0" w:color="auto"/>
            </w:tcBorders>
            <w:vAlign w:val="center"/>
          </w:tcPr>
          <w:p w:rsidR="001B3B91" w:rsidRPr="004A59A6" w:rsidRDefault="001B3B91">
            <w:pPr>
              <w:jc w:val="center"/>
              <w:rPr>
                <w:sz w:val="20"/>
              </w:rPr>
            </w:pPr>
            <w:r w:rsidRPr="004A59A6">
              <w:rPr>
                <w:color w:val="000000"/>
                <w:sz w:val="20"/>
                <w:lang w:val="id-ID"/>
              </w:rPr>
              <w:t>100</w:t>
            </w:r>
          </w:p>
        </w:tc>
        <w:tc>
          <w:tcPr>
            <w:tcW w:w="993" w:type="dxa"/>
            <w:tcBorders>
              <w:top w:val="single" w:sz="4" w:space="0" w:color="auto"/>
            </w:tcBorders>
            <w:vAlign w:val="center"/>
          </w:tcPr>
          <w:p w:rsidR="001B3B91" w:rsidRPr="004A59A6" w:rsidRDefault="001B3B91">
            <w:pPr>
              <w:jc w:val="center"/>
              <w:rPr>
                <w:sz w:val="20"/>
              </w:rPr>
            </w:pPr>
            <w:r w:rsidRPr="004A59A6">
              <w:rPr>
                <w:color w:val="000000"/>
                <w:sz w:val="20"/>
                <w:lang w:val="id-ID"/>
              </w:rPr>
              <w:t>Green</w:t>
            </w:r>
          </w:p>
        </w:tc>
        <w:tc>
          <w:tcPr>
            <w:tcW w:w="1806" w:type="dxa"/>
            <w:tcBorders>
              <w:top w:val="single" w:sz="4" w:space="0" w:color="auto"/>
            </w:tcBorders>
          </w:tcPr>
          <w:p w:rsidR="001B3B91" w:rsidRPr="004A59A6" w:rsidRDefault="001B3B91">
            <w:pPr>
              <w:jc w:val="center"/>
              <w:rPr>
                <w:sz w:val="20"/>
              </w:rPr>
            </w:pPr>
            <w:r w:rsidRPr="004A59A6">
              <w:rPr>
                <w:bCs/>
                <w:sz w:val="18"/>
                <w:szCs w:val="18"/>
              </w:rPr>
              <w:t>Efficient</w:t>
            </w:r>
          </w:p>
        </w:tc>
      </w:tr>
      <w:tr w:rsidR="001B3B91" w:rsidRPr="004A59A6">
        <w:trPr>
          <w:cantSplit/>
          <w:jc w:val="center"/>
        </w:trPr>
        <w:tc>
          <w:tcPr>
            <w:tcW w:w="800" w:type="dxa"/>
          </w:tcPr>
          <w:p w:rsidR="001B3B91" w:rsidRPr="004A59A6" w:rsidRDefault="001B3B91">
            <w:pPr>
              <w:pStyle w:val="Paragraph"/>
              <w:jc w:val="left"/>
            </w:pPr>
            <w:r w:rsidRPr="004A59A6">
              <w:t>2</w:t>
            </w:r>
          </w:p>
        </w:tc>
        <w:tc>
          <w:tcPr>
            <w:tcW w:w="1228" w:type="dxa"/>
          </w:tcPr>
          <w:p w:rsidR="001B3B91" w:rsidRPr="004A59A6" w:rsidRDefault="001B3B91">
            <w:pPr>
              <w:jc w:val="center"/>
              <w:rPr>
                <w:sz w:val="20"/>
                <w:lang w:val="id-ID"/>
              </w:rPr>
            </w:pPr>
            <w:r w:rsidRPr="004A59A6">
              <w:rPr>
                <w:sz w:val="20"/>
                <w:lang w:val="id-ID"/>
              </w:rPr>
              <w:t>Gapura</w:t>
            </w:r>
          </w:p>
        </w:tc>
        <w:tc>
          <w:tcPr>
            <w:tcW w:w="993" w:type="dxa"/>
            <w:vAlign w:val="center"/>
          </w:tcPr>
          <w:p w:rsidR="001B3B91" w:rsidRPr="004A59A6" w:rsidRDefault="001B3B91">
            <w:pPr>
              <w:jc w:val="center"/>
              <w:rPr>
                <w:sz w:val="20"/>
              </w:rPr>
            </w:pPr>
            <w:r w:rsidRPr="004A59A6">
              <w:rPr>
                <w:color w:val="000000"/>
                <w:sz w:val="20"/>
                <w:lang w:val="id-ID"/>
              </w:rPr>
              <w:t>100</w:t>
            </w:r>
          </w:p>
        </w:tc>
        <w:tc>
          <w:tcPr>
            <w:tcW w:w="993" w:type="dxa"/>
            <w:vAlign w:val="center"/>
          </w:tcPr>
          <w:p w:rsidR="001B3B91" w:rsidRPr="004A59A6" w:rsidRDefault="001B3B91">
            <w:pPr>
              <w:jc w:val="center"/>
              <w:rPr>
                <w:sz w:val="20"/>
              </w:rPr>
            </w:pPr>
            <w:r w:rsidRPr="004A59A6">
              <w:rPr>
                <w:color w:val="000000"/>
                <w:sz w:val="20"/>
                <w:lang w:val="id-ID"/>
              </w:rPr>
              <w:t>Green</w:t>
            </w:r>
          </w:p>
        </w:tc>
        <w:tc>
          <w:tcPr>
            <w:tcW w:w="1806" w:type="dxa"/>
          </w:tcPr>
          <w:p w:rsidR="001B3B91" w:rsidRPr="004A59A6" w:rsidRDefault="001B3B91">
            <w:pPr>
              <w:jc w:val="center"/>
              <w:rPr>
                <w:sz w:val="20"/>
              </w:rPr>
            </w:pPr>
            <w:r w:rsidRPr="004A59A6">
              <w:rPr>
                <w:bCs/>
                <w:sz w:val="18"/>
                <w:szCs w:val="18"/>
              </w:rPr>
              <w:t>Efficient</w:t>
            </w:r>
          </w:p>
        </w:tc>
      </w:tr>
      <w:tr w:rsidR="001B3B91" w:rsidRPr="004A59A6">
        <w:trPr>
          <w:cantSplit/>
          <w:trHeight w:val="237"/>
          <w:jc w:val="center"/>
        </w:trPr>
        <w:tc>
          <w:tcPr>
            <w:tcW w:w="800" w:type="dxa"/>
          </w:tcPr>
          <w:p w:rsidR="001B3B91" w:rsidRPr="004A59A6" w:rsidRDefault="001B3B91">
            <w:pPr>
              <w:pStyle w:val="Paragraph"/>
              <w:jc w:val="left"/>
            </w:pPr>
            <w:r w:rsidRPr="004A59A6">
              <w:t>3</w:t>
            </w:r>
          </w:p>
        </w:tc>
        <w:tc>
          <w:tcPr>
            <w:tcW w:w="1228" w:type="dxa"/>
          </w:tcPr>
          <w:p w:rsidR="001B3B91" w:rsidRPr="004A59A6" w:rsidRDefault="001B3B91">
            <w:pPr>
              <w:jc w:val="center"/>
              <w:rPr>
                <w:sz w:val="20"/>
                <w:lang w:val="id-ID"/>
              </w:rPr>
            </w:pPr>
            <w:r w:rsidRPr="004A59A6">
              <w:rPr>
                <w:sz w:val="20"/>
                <w:lang w:val="id-ID"/>
              </w:rPr>
              <w:t>Giligenting</w:t>
            </w:r>
          </w:p>
        </w:tc>
        <w:tc>
          <w:tcPr>
            <w:tcW w:w="993" w:type="dxa"/>
            <w:vAlign w:val="center"/>
          </w:tcPr>
          <w:p w:rsidR="001B3B91" w:rsidRPr="004A59A6" w:rsidRDefault="001B3B91">
            <w:pPr>
              <w:jc w:val="center"/>
              <w:rPr>
                <w:sz w:val="20"/>
              </w:rPr>
            </w:pPr>
            <w:r w:rsidRPr="004A59A6">
              <w:rPr>
                <w:color w:val="000000"/>
                <w:sz w:val="20"/>
                <w:lang w:val="id-ID"/>
              </w:rPr>
              <w:t>100</w:t>
            </w:r>
          </w:p>
        </w:tc>
        <w:tc>
          <w:tcPr>
            <w:tcW w:w="993" w:type="dxa"/>
            <w:vAlign w:val="center"/>
          </w:tcPr>
          <w:p w:rsidR="001B3B91" w:rsidRPr="004A59A6" w:rsidRDefault="001B3B91">
            <w:pPr>
              <w:jc w:val="center"/>
              <w:rPr>
                <w:sz w:val="20"/>
              </w:rPr>
            </w:pPr>
            <w:r w:rsidRPr="004A59A6">
              <w:rPr>
                <w:color w:val="000000"/>
                <w:sz w:val="20"/>
                <w:lang w:val="id-ID"/>
              </w:rPr>
              <w:t>Green</w:t>
            </w:r>
          </w:p>
        </w:tc>
        <w:tc>
          <w:tcPr>
            <w:tcW w:w="1806" w:type="dxa"/>
          </w:tcPr>
          <w:p w:rsidR="001B3B91" w:rsidRPr="004A59A6" w:rsidRDefault="001B3B91">
            <w:pPr>
              <w:jc w:val="center"/>
              <w:rPr>
                <w:sz w:val="20"/>
              </w:rPr>
            </w:pPr>
            <w:r w:rsidRPr="004A59A6">
              <w:rPr>
                <w:bCs/>
                <w:sz w:val="18"/>
                <w:szCs w:val="18"/>
              </w:rPr>
              <w:t>Efficient</w:t>
            </w:r>
          </w:p>
        </w:tc>
      </w:tr>
      <w:tr w:rsidR="001B3B91" w:rsidRPr="004A59A6">
        <w:trPr>
          <w:cantSplit/>
          <w:trHeight w:val="237"/>
          <w:jc w:val="center"/>
        </w:trPr>
        <w:tc>
          <w:tcPr>
            <w:tcW w:w="800" w:type="dxa"/>
          </w:tcPr>
          <w:p w:rsidR="001B3B91" w:rsidRPr="004A59A6" w:rsidRDefault="001B3B91">
            <w:pPr>
              <w:pStyle w:val="Paragraph"/>
              <w:jc w:val="left"/>
            </w:pPr>
            <w:r w:rsidRPr="004A59A6">
              <w:t>4</w:t>
            </w:r>
          </w:p>
        </w:tc>
        <w:tc>
          <w:tcPr>
            <w:tcW w:w="1228" w:type="dxa"/>
          </w:tcPr>
          <w:p w:rsidR="001B3B91" w:rsidRPr="004A59A6" w:rsidRDefault="001B3B91">
            <w:pPr>
              <w:jc w:val="center"/>
              <w:rPr>
                <w:sz w:val="20"/>
                <w:lang w:val="id-ID"/>
              </w:rPr>
            </w:pPr>
            <w:r w:rsidRPr="004A59A6">
              <w:rPr>
                <w:sz w:val="20"/>
                <w:lang w:val="id-ID"/>
              </w:rPr>
              <w:t>Kalianget</w:t>
            </w:r>
          </w:p>
        </w:tc>
        <w:tc>
          <w:tcPr>
            <w:tcW w:w="993" w:type="dxa"/>
            <w:vAlign w:val="center"/>
          </w:tcPr>
          <w:p w:rsidR="001B3B91" w:rsidRPr="004A59A6" w:rsidRDefault="001B3B91">
            <w:pPr>
              <w:jc w:val="center"/>
              <w:rPr>
                <w:sz w:val="20"/>
              </w:rPr>
            </w:pPr>
            <w:r w:rsidRPr="004A59A6">
              <w:rPr>
                <w:color w:val="000000"/>
                <w:sz w:val="20"/>
                <w:lang w:val="id-ID"/>
              </w:rPr>
              <w:t>100</w:t>
            </w:r>
          </w:p>
        </w:tc>
        <w:tc>
          <w:tcPr>
            <w:tcW w:w="993" w:type="dxa"/>
            <w:vAlign w:val="center"/>
          </w:tcPr>
          <w:p w:rsidR="001B3B91" w:rsidRPr="004A59A6" w:rsidRDefault="001B3B91">
            <w:pPr>
              <w:jc w:val="center"/>
              <w:rPr>
                <w:sz w:val="20"/>
              </w:rPr>
            </w:pPr>
            <w:r w:rsidRPr="004A59A6">
              <w:rPr>
                <w:color w:val="000000"/>
                <w:sz w:val="20"/>
                <w:lang w:val="id-ID"/>
              </w:rPr>
              <w:t>Green</w:t>
            </w:r>
          </w:p>
        </w:tc>
        <w:tc>
          <w:tcPr>
            <w:tcW w:w="1806" w:type="dxa"/>
          </w:tcPr>
          <w:p w:rsidR="001B3B91" w:rsidRPr="004A59A6" w:rsidRDefault="001B3B91">
            <w:pPr>
              <w:jc w:val="center"/>
              <w:rPr>
                <w:sz w:val="20"/>
              </w:rPr>
            </w:pPr>
            <w:r w:rsidRPr="004A59A6">
              <w:rPr>
                <w:bCs/>
                <w:sz w:val="18"/>
                <w:szCs w:val="18"/>
              </w:rPr>
              <w:t>Efficient</w:t>
            </w:r>
          </w:p>
        </w:tc>
      </w:tr>
      <w:tr w:rsidR="001B3B91" w:rsidRPr="004A59A6">
        <w:trPr>
          <w:cantSplit/>
          <w:trHeight w:val="237"/>
          <w:jc w:val="center"/>
        </w:trPr>
        <w:tc>
          <w:tcPr>
            <w:tcW w:w="800" w:type="dxa"/>
          </w:tcPr>
          <w:p w:rsidR="001B3B91" w:rsidRPr="004A59A6" w:rsidRDefault="001B3B91">
            <w:pPr>
              <w:pStyle w:val="Paragraph"/>
              <w:jc w:val="left"/>
            </w:pPr>
            <w:r w:rsidRPr="004A59A6">
              <w:t>5</w:t>
            </w:r>
          </w:p>
        </w:tc>
        <w:tc>
          <w:tcPr>
            <w:tcW w:w="1228" w:type="dxa"/>
          </w:tcPr>
          <w:p w:rsidR="001B3B91" w:rsidRPr="004A59A6" w:rsidRDefault="001B3B91">
            <w:pPr>
              <w:jc w:val="center"/>
              <w:rPr>
                <w:sz w:val="20"/>
                <w:lang w:val="id-ID"/>
              </w:rPr>
            </w:pPr>
            <w:r w:rsidRPr="004A59A6">
              <w:rPr>
                <w:sz w:val="20"/>
                <w:lang w:val="id-ID"/>
              </w:rPr>
              <w:t>Kangayan</w:t>
            </w:r>
          </w:p>
        </w:tc>
        <w:tc>
          <w:tcPr>
            <w:tcW w:w="993" w:type="dxa"/>
            <w:vAlign w:val="center"/>
          </w:tcPr>
          <w:p w:rsidR="001B3B91" w:rsidRPr="004A59A6" w:rsidRDefault="001B3B91">
            <w:pPr>
              <w:jc w:val="center"/>
              <w:rPr>
                <w:sz w:val="20"/>
              </w:rPr>
            </w:pPr>
            <w:r w:rsidRPr="004A59A6">
              <w:rPr>
                <w:color w:val="000000"/>
                <w:sz w:val="20"/>
                <w:lang w:val="id-ID"/>
              </w:rPr>
              <w:t>100</w:t>
            </w:r>
          </w:p>
        </w:tc>
        <w:tc>
          <w:tcPr>
            <w:tcW w:w="993" w:type="dxa"/>
            <w:vAlign w:val="center"/>
          </w:tcPr>
          <w:p w:rsidR="001B3B91" w:rsidRPr="004A59A6" w:rsidRDefault="001B3B91">
            <w:pPr>
              <w:jc w:val="center"/>
              <w:rPr>
                <w:sz w:val="20"/>
              </w:rPr>
            </w:pPr>
            <w:r w:rsidRPr="004A59A6">
              <w:rPr>
                <w:color w:val="000000"/>
                <w:sz w:val="20"/>
                <w:lang w:val="id-ID"/>
              </w:rPr>
              <w:t>Green</w:t>
            </w:r>
          </w:p>
        </w:tc>
        <w:tc>
          <w:tcPr>
            <w:tcW w:w="1806" w:type="dxa"/>
          </w:tcPr>
          <w:p w:rsidR="001B3B91" w:rsidRPr="004A59A6" w:rsidRDefault="001B3B91">
            <w:pPr>
              <w:jc w:val="center"/>
              <w:rPr>
                <w:sz w:val="20"/>
              </w:rPr>
            </w:pPr>
            <w:r w:rsidRPr="004A59A6">
              <w:rPr>
                <w:bCs/>
                <w:sz w:val="18"/>
                <w:szCs w:val="18"/>
              </w:rPr>
              <w:t>Efficient</w:t>
            </w:r>
          </w:p>
        </w:tc>
      </w:tr>
      <w:tr w:rsidR="001B3B91" w:rsidRPr="004A59A6">
        <w:trPr>
          <w:cantSplit/>
          <w:trHeight w:val="237"/>
          <w:jc w:val="center"/>
        </w:trPr>
        <w:tc>
          <w:tcPr>
            <w:tcW w:w="800" w:type="dxa"/>
          </w:tcPr>
          <w:p w:rsidR="001B3B91" w:rsidRPr="004A59A6" w:rsidRDefault="001B3B91">
            <w:pPr>
              <w:pStyle w:val="Paragraph"/>
              <w:jc w:val="left"/>
            </w:pPr>
            <w:r w:rsidRPr="004A59A6">
              <w:t>6</w:t>
            </w:r>
          </w:p>
        </w:tc>
        <w:tc>
          <w:tcPr>
            <w:tcW w:w="1228" w:type="dxa"/>
          </w:tcPr>
          <w:p w:rsidR="001B3B91" w:rsidRPr="004A59A6" w:rsidRDefault="001B3B91">
            <w:pPr>
              <w:jc w:val="center"/>
              <w:rPr>
                <w:sz w:val="20"/>
                <w:lang w:val="id-ID"/>
              </w:rPr>
            </w:pPr>
            <w:r w:rsidRPr="004A59A6">
              <w:rPr>
                <w:sz w:val="20"/>
                <w:lang w:val="id-ID"/>
              </w:rPr>
              <w:t>Pragaan</w:t>
            </w:r>
          </w:p>
        </w:tc>
        <w:tc>
          <w:tcPr>
            <w:tcW w:w="993" w:type="dxa"/>
            <w:vAlign w:val="center"/>
          </w:tcPr>
          <w:p w:rsidR="001B3B91" w:rsidRPr="004A59A6" w:rsidRDefault="001B3B91">
            <w:pPr>
              <w:jc w:val="center"/>
              <w:rPr>
                <w:sz w:val="20"/>
              </w:rPr>
            </w:pPr>
            <w:r w:rsidRPr="004A59A6">
              <w:rPr>
                <w:sz w:val="20"/>
                <w:lang w:val="id-ID"/>
              </w:rPr>
              <w:t>94</w:t>
            </w:r>
          </w:p>
        </w:tc>
        <w:tc>
          <w:tcPr>
            <w:tcW w:w="993" w:type="dxa"/>
            <w:vAlign w:val="center"/>
          </w:tcPr>
          <w:p w:rsidR="001B3B91" w:rsidRPr="004A59A6" w:rsidRDefault="001B3B91">
            <w:pPr>
              <w:jc w:val="center"/>
              <w:rPr>
                <w:sz w:val="20"/>
              </w:rPr>
            </w:pPr>
            <w:r w:rsidRPr="004A59A6">
              <w:rPr>
                <w:color w:val="000000"/>
                <w:sz w:val="20"/>
                <w:lang w:val="id-ID"/>
              </w:rPr>
              <w:t>Amber</w:t>
            </w:r>
          </w:p>
        </w:tc>
        <w:tc>
          <w:tcPr>
            <w:tcW w:w="1806" w:type="dxa"/>
          </w:tcPr>
          <w:p w:rsidR="001B3B91" w:rsidRPr="004A59A6" w:rsidRDefault="001B3B91">
            <w:pPr>
              <w:jc w:val="center"/>
              <w:rPr>
                <w:sz w:val="20"/>
              </w:rPr>
            </w:pPr>
            <w:r w:rsidRPr="004A59A6">
              <w:rPr>
                <w:bCs/>
                <w:sz w:val="18"/>
                <w:szCs w:val="18"/>
              </w:rPr>
              <w:t>Inefficient</w:t>
            </w:r>
          </w:p>
        </w:tc>
      </w:tr>
      <w:tr w:rsidR="001B3B91" w:rsidRPr="004A59A6">
        <w:trPr>
          <w:cantSplit/>
          <w:trHeight w:val="237"/>
          <w:jc w:val="center"/>
        </w:trPr>
        <w:tc>
          <w:tcPr>
            <w:tcW w:w="800" w:type="dxa"/>
          </w:tcPr>
          <w:p w:rsidR="001B3B91" w:rsidRPr="004A59A6" w:rsidRDefault="001B3B91">
            <w:pPr>
              <w:pStyle w:val="Paragraph"/>
              <w:jc w:val="left"/>
            </w:pPr>
            <w:r w:rsidRPr="004A59A6">
              <w:t>7</w:t>
            </w:r>
          </w:p>
        </w:tc>
        <w:tc>
          <w:tcPr>
            <w:tcW w:w="1228" w:type="dxa"/>
          </w:tcPr>
          <w:p w:rsidR="001B3B91" w:rsidRPr="004A59A6" w:rsidRDefault="001B3B91">
            <w:pPr>
              <w:jc w:val="center"/>
              <w:rPr>
                <w:sz w:val="20"/>
                <w:lang w:val="id-ID"/>
              </w:rPr>
            </w:pPr>
            <w:r w:rsidRPr="004A59A6">
              <w:rPr>
                <w:sz w:val="20"/>
                <w:lang w:val="id-ID"/>
              </w:rPr>
              <w:t>Raas</w:t>
            </w:r>
          </w:p>
        </w:tc>
        <w:tc>
          <w:tcPr>
            <w:tcW w:w="993" w:type="dxa"/>
            <w:vAlign w:val="center"/>
          </w:tcPr>
          <w:p w:rsidR="001B3B91" w:rsidRPr="004A59A6" w:rsidRDefault="001B3B91">
            <w:pPr>
              <w:jc w:val="center"/>
              <w:rPr>
                <w:sz w:val="20"/>
              </w:rPr>
            </w:pPr>
            <w:r w:rsidRPr="004A59A6">
              <w:rPr>
                <w:color w:val="000000"/>
                <w:sz w:val="20"/>
                <w:lang w:val="id-ID"/>
              </w:rPr>
              <w:t>100</w:t>
            </w:r>
          </w:p>
        </w:tc>
        <w:tc>
          <w:tcPr>
            <w:tcW w:w="993" w:type="dxa"/>
            <w:vAlign w:val="center"/>
          </w:tcPr>
          <w:p w:rsidR="001B3B91" w:rsidRPr="004A59A6" w:rsidRDefault="001B3B91">
            <w:pPr>
              <w:jc w:val="center"/>
              <w:rPr>
                <w:sz w:val="20"/>
              </w:rPr>
            </w:pPr>
            <w:r w:rsidRPr="004A59A6">
              <w:rPr>
                <w:color w:val="000000"/>
                <w:sz w:val="20"/>
                <w:lang w:val="id-ID"/>
              </w:rPr>
              <w:t>Green</w:t>
            </w:r>
          </w:p>
        </w:tc>
        <w:tc>
          <w:tcPr>
            <w:tcW w:w="1806" w:type="dxa"/>
          </w:tcPr>
          <w:p w:rsidR="001B3B91" w:rsidRPr="004A59A6" w:rsidRDefault="001B3B91">
            <w:pPr>
              <w:jc w:val="center"/>
              <w:rPr>
                <w:sz w:val="20"/>
              </w:rPr>
            </w:pPr>
            <w:r w:rsidRPr="004A59A6">
              <w:rPr>
                <w:bCs/>
                <w:sz w:val="18"/>
                <w:szCs w:val="18"/>
              </w:rPr>
              <w:t>Efficient</w:t>
            </w:r>
          </w:p>
        </w:tc>
      </w:tr>
      <w:tr w:rsidR="001B3B91" w:rsidRPr="004A59A6">
        <w:trPr>
          <w:cantSplit/>
          <w:trHeight w:val="237"/>
          <w:jc w:val="center"/>
        </w:trPr>
        <w:tc>
          <w:tcPr>
            <w:tcW w:w="800" w:type="dxa"/>
          </w:tcPr>
          <w:p w:rsidR="001B3B91" w:rsidRPr="004A59A6" w:rsidRDefault="001B3B91">
            <w:pPr>
              <w:pStyle w:val="Paragraph"/>
              <w:jc w:val="left"/>
            </w:pPr>
            <w:r w:rsidRPr="004A59A6">
              <w:t>8</w:t>
            </w:r>
          </w:p>
        </w:tc>
        <w:tc>
          <w:tcPr>
            <w:tcW w:w="1228" w:type="dxa"/>
          </w:tcPr>
          <w:p w:rsidR="001B3B91" w:rsidRPr="004A59A6" w:rsidRDefault="001B3B91">
            <w:pPr>
              <w:jc w:val="center"/>
              <w:rPr>
                <w:sz w:val="20"/>
                <w:lang w:val="id-ID"/>
              </w:rPr>
            </w:pPr>
            <w:r w:rsidRPr="004A59A6">
              <w:rPr>
                <w:sz w:val="20"/>
                <w:lang w:val="id-ID"/>
              </w:rPr>
              <w:t>Sapeken</w:t>
            </w:r>
          </w:p>
        </w:tc>
        <w:tc>
          <w:tcPr>
            <w:tcW w:w="993" w:type="dxa"/>
            <w:vAlign w:val="center"/>
          </w:tcPr>
          <w:p w:rsidR="001B3B91" w:rsidRPr="004A59A6" w:rsidRDefault="001B3B91">
            <w:pPr>
              <w:jc w:val="center"/>
              <w:rPr>
                <w:sz w:val="20"/>
              </w:rPr>
            </w:pPr>
            <w:r w:rsidRPr="004A59A6">
              <w:rPr>
                <w:color w:val="000000"/>
                <w:sz w:val="20"/>
                <w:lang w:val="id-ID"/>
              </w:rPr>
              <w:t>100</w:t>
            </w:r>
          </w:p>
        </w:tc>
        <w:tc>
          <w:tcPr>
            <w:tcW w:w="993" w:type="dxa"/>
            <w:vAlign w:val="center"/>
          </w:tcPr>
          <w:p w:rsidR="001B3B91" w:rsidRPr="004A59A6" w:rsidRDefault="001B3B91">
            <w:pPr>
              <w:jc w:val="center"/>
              <w:rPr>
                <w:sz w:val="20"/>
              </w:rPr>
            </w:pPr>
            <w:r w:rsidRPr="004A59A6">
              <w:rPr>
                <w:color w:val="000000"/>
                <w:sz w:val="20"/>
                <w:lang w:val="id-ID"/>
              </w:rPr>
              <w:t>Green</w:t>
            </w:r>
          </w:p>
        </w:tc>
        <w:tc>
          <w:tcPr>
            <w:tcW w:w="1806" w:type="dxa"/>
          </w:tcPr>
          <w:p w:rsidR="001B3B91" w:rsidRPr="004A59A6" w:rsidRDefault="001B3B91">
            <w:pPr>
              <w:jc w:val="center"/>
              <w:rPr>
                <w:sz w:val="20"/>
              </w:rPr>
            </w:pPr>
            <w:r w:rsidRPr="004A59A6">
              <w:rPr>
                <w:bCs/>
                <w:sz w:val="18"/>
                <w:szCs w:val="18"/>
              </w:rPr>
              <w:t>Efficient</w:t>
            </w:r>
          </w:p>
        </w:tc>
      </w:tr>
      <w:tr w:rsidR="001B3B91" w:rsidRPr="004A59A6">
        <w:trPr>
          <w:cantSplit/>
          <w:trHeight w:val="237"/>
          <w:jc w:val="center"/>
        </w:trPr>
        <w:tc>
          <w:tcPr>
            <w:tcW w:w="800" w:type="dxa"/>
          </w:tcPr>
          <w:p w:rsidR="001B3B91" w:rsidRPr="004A59A6" w:rsidRDefault="001B3B91">
            <w:pPr>
              <w:pStyle w:val="Paragraph"/>
              <w:jc w:val="left"/>
            </w:pPr>
            <w:r w:rsidRPr="004A59A6">
              <w:t>9</w:t>
            </w:r>
          </w:p>
        </w:tc>
        <w:tc>
          <w:tcPr>
            <w:tcW w:w="1228" w:type="dxa"/>
          </w:tcPr>
          <w:p w:rsidR="001B3B91" w:rsidRPr="004A59A6" w:rsidRDefault="001B3B91">
            <w:pPr>
              <w:jc w:val="center"/>
              <w:rPr>
                <w:sz w:val="20"/>
                <w:lang w:val="id-ID"/>
              </w:rPr>
            </w:pPr>
            <w:r w:rsidRPr="004A59A6">
              <w:rPr>
                <w:sz w:val="20"/>
                <w:lang w:val="id-ID"/>
              </w:rPr>
              <w:t>Saronggi</w:t>
            </w:r>
          </w:p>
        </w:tc>
        <w:tc>
          <w:tcPr>
            <w:tcW w:w="993" w:type="dxa"/>
            <w:vAlign w:val="center"/>
          </w:tcPr>
          <w:p w:rsidR="001B3B91" w:rsidRPr="004A59A6" w:rsidRDefault="001B3B91">
            <w:pPr>
              <w:jc w:val="center"/>
              <w:rPr>
                <w:sz w:val="20"/>
              </w:rPr>
            </w:pPr>
            <w:r w:rsidRPr="004A59A6">
              <w:rPr>
                <w:sz w:val="20"/>
                <w:lang w:val="id-ID"/>
              </w:rPr>
              <w:t>91</w:t>
            </w:r>
          </w:p>
        </w:tc>
        <w:tc>
          <w:tcPr>
            <w:tcW w:w="993" w:type="dxa"/>
            <w:vAlign w:val="center"/>
          </w:tcPr>
          <w:p w:rsidR="001B3B91" w:rsidRPr="004A59A6" w:rsidRDefault="001B3B91">
            <w:pPr>
              <w:jc w:val="center"/>
              <w:rPr>
                <w:sz w:val="20"/>
              </w:rPr>
            </w:pPr>
            <w:r w:rsidRPr="004A59A6">
              <w:rPr>
                <w:color w:val="000000"/>
                <w:sz w:val="20"/>
                <w:lang w:val="id-ID"/>
              </w:rPr>
              <w:t>Amber</w:t>
            </w:r>
          </w:p>
        </w:tc>
        <w:tc>
          <w:tcPr>
            <w:tcW w:w="1806" w:type="dxa"/>
          </w:tcPr>
          <w:p w:rsidR="001B3B91" w:rsidRPr="004A59A6" w:rsidRDefault="001B3B91">
            <w:pPr>
              <w:jc w:val="center"/>
              <w:rPr>
                <w:sz w:val="20"/>
              </w:rPr>
            </w:pPr>
            <w:r w:rsidRPr="004A59A6">
              <w:rPr>
                <w:bCs/>
                <w:sz w:val="18"/>
                <w:szCs w:val="18"/>
              </w:rPr>
              <w:t>Inefficient</w:t>
            </w:r>
          </w:p>
        </w:tc>
      </w:tr>
      <w:tr w:rsidR="001B3B91" w:rsidRPr="004A59A6">
        <w:trPr>
          <w:cantSplit/>
          <w:trHeight w:val="237"/>
          <w:jc w:val="center"/>
        </w:trPr>
        <w:tc>
          <w:tcPr>
            <w:tcW w:w="800" w:type="dxa"/>
            <w:tcBorders>
              <w:bottom w:val="single" w:sz="4" w:space="0" w:color="auto"/>
            </w:tcBorders>
          </w:tcPr>
          <w:p w:rsidR="001B3B91" w:rsidRPr="004A59A6" w:rsidRDefault="001B3B91">
            <w:pPr>
              <w:pStyle w:val="Paragraph"/>
              <w:jc w:val="left"/>
            </w:pPr>
            <w:r w:rsidRPr="004A59A6">
              <w:t>10</w:t>
            </w:r>
          </w:p>
        </w:tc>
        <w:tc>
          <w:tcPr>
            <w:tcW w:w="1228" w:type="dxa"/>
            <w:tcBorders>
              <w:bottom w:val="single" w:sz="4" w:space="0" w:color="auto"/>
            </w:tcBorders>
          </w:tcPr>
          <w:p w:rsidR="001B3B91" w:rsidRPr="004A59A6" w:rsidRDefault="001B3B91">
            <w:pPr>
              <w:jc w:val="center"/>
              <w:rPr>
                <w:sz w:val="20"/>
                <w:lang w:val="id-ID"/>
              </w:rPr>
            </w:pPr>
            <w:r w:rsidRPr="004A59A6">
              <w:rPr>
                <w:sz w:val="20"/>
                <w:lang w:val="id-ID"/>
              </w:rPr>
              <w:t>Talango</w:t>
            </w:r>
          </w:p>
        </w:tc>
        <w:tc>
          <w:tcPr>
            <w:tcW w:w="993" w:type="dxa"/>
            <w:tcBorders>
              <w:bottom w:val="single" w:sz="4" w:space="0" w:color="auto"/>
            </w:tcBorders>
            <w:vAlign w:val="center"/>
          </w:tcPr>
          <w:p w:rsidR="001B3B91" w:rsidRPr="004A59A6" w:rsidRDefault="001B3B91">
            <w:pPr>
              <w:jc w:val="center"/>
              <w:rPr>
                <w:sz w:val="20"/>
              </w:rPr>
            </w:pPr>
            <w:r w:rsidRPr="004A59A6">
              <w:rPr>
                <w:color w:val="000000"/>
                <w:sz w:val="20"/>
                <w:lang w:val="id-ID"/>
              </w:rPr>
              <w:t>100</w:t>
            </w:r>
          </w:p>
        </w:tc>
        <w:tc>
          <w:tcPr>
            <w:tcW w:w="993" w:type="dxa"/>
            <w:tcBorders>
              <w:bottom w:val="single" w:sz="4" w:space="0" w:color="auto"/>
            </w:tcBorders>
            <w:vAlign w:val="center"/>
          </w:tcPr>
          <w:p w:rsidR="001B3B91" w:rsidRPr="004A59A6" w:rsidRDefault="001B3B91">
            <w:pPr>
              <w:jc w:val="center"/>
              <w:rPr>
                <w:sz w:val="20"/>
              </w:rPr>
            </w:pPr>
            <w:r w:rsidRPr="004A59A6">
              <w:rPr>
                <w:color w:val="000000"/>
                <w:sz w:val="20"/>
                <w:lang w:val="id-ID"/>
              </w:rPr>
              <w:t>Green</w:t>
            </w:r>
          </w:p>
        </w:tc>
        <w:tc>
          <w:tcPr>
            <w:tcW w:w="1806" w:type="dxa"/>
            <w:tcBorders>
              <w:bottom w:val="single" w:sz="4" w:space="0" w:color="auto"/>
            </w:tcBorders>
          </w:tcPr>
          <w:p w:rsidR="001B3B91" w:rsidRPr="004A59A6" w:rsidRDefault="001B3B91">
            <w:pPr>
              <w:jc w:val="center"/>
              <w:rPr>
                <w:sz w:val="20"/>
              </w:rPr>
            </w:pPr>
            <w:r w:rsidRPr="004A59A6">
              <w:rPr>
                <w:bCs/>
                <w:sz w:val="18"/>
                <w:szCs w:val="18"/>
              </w:rPr>
              <w:t>Efficient</w:t>
            </w:r>
          </w:p>
        </w:tc>
      </w:tr>
    </w:tbl>
    <w:p w:rsidR="001B3B91" w:rsidRPr="004A59A6" w:rsidRDefault="001B3B91" w:rsidP="001B3B91">
      <w:pPr>
        <w:rPr>
          <w:lang w:val="id-ID"/>
        </w:rPr>
      </w:pPr>
    </w:p>
    <w:p w:rsidR="001B3B91" w:rsidRPr="004A59A6" w:rsidRDefault="001B3B91" w:rsidP="001B3B91">
      <w:pPr>
        <w:pStyle w:val="Paragraph"/>
      </w:pPr>
      <w:r w:rsidRPr="004A59A6">
        <w:t>A decision-making unit (DMU) is considered efficient if its efficiency score is 100%, while an inefficient DMU has an efficiency score below 100%. The traffic light indicator interprets the level of efficiency in the decision-making unit. There are three categories: green, amber, and red. The green range indicates a perfect or optimal level of efficiency with an efficiency value of 100%. The amber range, with an efficiency value of 90-99.99%, indicates that the DMU is nearly efficient, but improvement is still needed. The red range, with an efficiency value of 0-89.99%, indicates that the DMU is inefficient and improvement is needed.</w:t>
      </w:r>
    </w:p>
    <w:p w:rsidR="001B3B91" w:rsidRPr="004A59A6" w:rsidRDefault="001B3B91" w:rsidP="001B3B91">
      <w:pPr>
        <w:pStyle w:val="Paragraph"/>
      </w:pPr>
      <w:r w:rsidRPr="004A59A6">
        <w:t xml:space="preserve">Table 5 shows that eight DMUs have an optimal or perfect efficiency score of 100%, namely DMU 1, DMU 2, DMU 3, DMU 4, DMU 5, DMU 7, DMU 8, and DMU 10. Meanwhile, DMUs 6 and 9 have inefficient scores and require improvements. These DMUs are located in the </w:t>
      </w:r>
      <w:r w:rsidRPr="004A59A6">
        <w:rPr>
          <w:lang w:val="id-ID"/>
        </w:rPr>
        <w:t>Pragaan and Saronggi</w:t>
      </w:r>
      <w:r w:rsidRPr="004A59A6">
        <w:t xml:space="preserve"> subdistricts. DMU 6 has an efficiency value of 94%, while DMU 9 has an efficiency value of 91%. The inefficiency of these DMUs is due to the reduced cost and potential improvement in three input variables: salting area, salt group, and salt farmer. The reduced cost and potential improvement values of the inefficient DMUs are shown in Table 6.</w:t>
      </w:r>
    </w:p>
    <w:p w:rsidR="001B3B91" w:rsidRPr="004A59A6" w:rsidRDefault="001B3B91" w:rsidP="001B3B91">
      <w:pPr>
        <w:pStyle w:val="Paragraph"/>
      </w:pPr>
    </w:p>
    <w:p w:rsidR="000D042E" w:rsidRPr="004A59A6" w:rsidRDefault="000D042E" w:rsidP="000D042E">
      <w:pPr>
        <w:pStyle w:val="Caption"/>
        <w:keepNext/>
        <w:rPr>
          <w:sz w:val="18"/>
          <w:lang w:val="id-ID"/>
        </w:rPr>
      </w:pPr>
      <w:r w:rsidRPr="004A59A6">
        <w:rPr>
          <w:b/>
          <w:sz w:val="18"/>
        </w:rPr>
        <w:t xml:space="preserve">TABLE 6. </w:t>
      </w:r>
      <w:r w:rsidRPr="004A59A6">
        <w:rPr>
          <w:bCs/>
          <w:sz w:val="18"/>
        </w:rPr>
        <w:t>Inefficient DMU</w:t>
      </w:r>
      <w:r w:rsidRPr="004A59A6">
        <w:rPr>
          <w:b/>
          <w:sz w:val="18"/>
        </w:rPr>
        <w:t xml:space="preserve"> </w:t>
      </w:r>
    </w:p>
    <w:tbl>
      <w:tblPr>
        <w:tblW w:w="9917" w:type="dxa"/>
        <w:jc w:val="center"/>
        <w:tblLayout w:type="fixed"/>
        <w:tblLook w:val="0000" w:firstRow="0" w:lastRow="0" w:firstColumn="0" w:lastColumn="0" w:noHBand="0" w:noVBand="0"/>
      </w:tblPr>
      <w:tblGrid>
        <w:gridCol w:w="800"/>
        <w:gridCol w:w="1228"/>
        <w:gridCol w:w="993"/>
        <w:gridCol w:w="802"/>
        <w:gridCol w:w="992"/>
        <w:gridCol w:w="1134"/>
        <w:gridCol w:w="992"/>
        <w:gridCol w:w="992"/>
        <w:gridCol w:w="992"/>
        <w:gridCol w:w="992"/>
      </w:tblGrid>
      <w:tr w:rsidR="000D042E" w:rsidRPr="004A59A6">
        <w:trPr>
          <w:cantSplit/>
          <w:trHeight w:val="272"/>
          <w:jc w:val="center"/>
        </w:trPr>
        <w:tc>
          <w:tcPr>
            <w:tcW w:w="800" w:type="dxa"/>
            <w:vMerge w:val="restart"/>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DMU</w:t>
            </w:r>
          </w:p>
        </w:tc>
        <w:tc>
          <w:tcPr>
            <w:tcW w:w="1228" w:type="dxa"/>
            <w:vMerge w:val="restart"/>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Subdistrict</w:t>
            </w:r>
          </w:p>
        </w:tc>
        <w:tc>
          <w:tcPr>
            <w:tcW w:w="2787" w:type="dxa"/>
            <w:gridSpan w:val="3"/>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Reduce Cost</w:t>
            </w:r>
          </w:p>
        </w:tc>
        <w:tc>
          <w:tcPr>
            <w:tcW w:w="1134" w:type="dxa"/>
            <w:vMerge w:val="restart"/>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Objective Value</w:t>
            </w:r>
          </w:p>
        </w:tc>
        <w:tc>
          <w:tcPr>
            <w:tcW w:w="2976" w:type="dxa"/>
            <w:gridSpan w:val="3"/>
            <w:tcBorders>
              <w:top w:val="single" w:sz="4" w:space="0" w:color="auto"/>
              <w:bottom w:val="single" w:sz="4" w:space="0" w:color="auto"/>
            </w:tcBorders>
            <w:vAlign w:val="center"/>
          </w:tcPr>
          <w:p w:rsidR="000D042E" w:rsidRPr="004A59A6" w:rsidRDefault="000D042E">
            <w:pPr>
              <w:jc w:val="center"/>
              <w:rPr>
                <w:b/>
                <w:bCs/>
                <w:sz w:val="18"/>
                <w:szCs w:val="18"/>
              </w:rPr>
            </w:pPr>
            <w:r w:rsidRPr="004A59A6">
              <w:rPr>
                <w:b/>
                <w:bCs/>
                <w:sz w:val="18"/>
                <w:szCs w:val="18"/>
                <w:lang w:val="id-ID"/>
              </w:rPr>
              <w:t>Potential Improvement</w:t>
            </w:r>
          </w:p>
        </w:tc>
        <w:tc>
          <w:tcPr>
            <w:tcW w:w="992" w:type="dxa"/>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Score</w:t>
            </w:r>
          </w:p>
        </w:tc>
      </w:tr>
      <w:tr w:rsidR="000D042E" w:rsidRPr="004A59A6">
        <w:trPr>
          <w:cantSplit/>
          <w:trHeight w:val="272"/>
          <w:jc w:val="center"/>
        </w:trPr>
        <w:tc>
          <w:tcPr>
            <w:tcW w:w="800" w:type="dxa"/>
            <w:vMerge/>
            <w:tcBorders>
              <w:top w:val="single" w:sz="4" w:space="0" w:color="auto"/>
              <w:bottom w:val="single" w:sz="4" w:space="0" w:color="auto"/>
            </w:tcBorders>
            <w:vAlign w:val="center"/>
          </w:tcPr>
          <w:p w:rsidR="000D042E" w:rsidRPr="004A59A6" w:rsidRDefault="000D042E">
            <w:pPr>
              <w:jc w:val="center"/>
              <w:rPr>
                <w:b/>
                <w:sz w:val="18"/>
                <w:szCs w:val="18"/>
              </w:rPr>
            </w:pPr>
          </w:p>
        </w:tc>
        <w:tc>
          <w:tcPr>
            <w:tcW w:w="1228" w:type="dxa"/>
            <w:vMerge/>
            <w:tcBorders>
              <w:top w:val="single" w:sz="4" w:space="0" w:color="auto"/>
              <w:bottom w:val="single" w:sz="4" w:space="0" w:color="auto"/>
            </w:tcBorders>
            <w:vAlign w:val="center"/>
          </w:tcPr>
          <w:p w:rsidR="000D042E" w:rsidRPr="004A59A6" w:rsidRDefault="000D042E">
            <w:pPr>
              <w:jc w:val="center"/>
              <w:rPr>
                <w:b/>
                <w:sz w:val="18"/>
                <w:szCs w:val="18"/>
              </w:rPr>
            </w:pPr>
          </w:p>
        </w:tc>
        <w:tc>
          <w:tcPr>
            <w:tcW w:w="993" w:type="dxa"/>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Salting Area</w:t>
            </w:r>
          </w:p>
        </w:tc>
        <w:tc>
          <w:tcPr>
            <w:tcW w:w="802" w:type="dxa"/>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Salt Group</w:t>
            </w:r>
          </w:p>
        </w:tc>
        <w:tc>
          <w:tcPr>
            <w:tcW w:w="992" w:type="dxa"/>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Salt Farmer</w:t>
            </w:r>
          </w:p>
        </w:tc>
        <w:tc>
          <w:tcPr>
            <w:tcW w:w="1134" w:type="dxa"/>
            <w:vMerge/>
            <w:tcBorders>
              <w:top w:val="single" w:sz="4" w:space="0" w:color="auto"/>
              <w:bottom w:val="single" w:sz="4" w:space="0" w:color="auto"/>
            </w:tcBorders>
            <w:vAlign w:val="center"/>
          </w:tcPr>
          <w:p w:rsidR="000D042E" w:rsidRPr="004A59A6" w:rsidRDefault="000D042E">
            <w:pPr>
              <w:jc w:val="center"/>
              <w:rPr>
                <w:b/>
                <w:sz w:val="18"/>
                <w:szCs w:val="18"/>
              </w:rPr>
            </w:pPr>
          </w:p>
        </w:tc>
        <w:tc>
          <w:tcPr>
            <w:tcW w:w="992" w:type="dxa"/>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Salting Area</w:t>
            </w:r>
          </w:p>
        </w:tc>
        <w:tc>
          <w:tcPr>
            <w:tcW w:w="992" w:type="dxa"/>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Salt Group</w:t>
            </w:r>
          </w:p>
        </w:tc>
        <w:tc>
          <w:tcPr>
            <w:tcW w:w="992" w:type="dxa"/>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Salt Farmer</w:t>
            </w:r>
          </w:p>
        </w:tc>
        <w:tc>
          <w:tcPr>
            <w:tcW w:w="992" w:type="dxa"/>
            <w:tcBorders>
              <w:top w:val="single" w:sz="4" w:space="0" w:color="auto"/>
              <w:bottom w:val="single" w:sz="4" w:space="0" w:color="auto"/>
            </w:tcBorders>
            <w:vAlign w:val="center"/>
          </w:tcPr>
          <w:p w:rsidR="000D042E" w:rsidRPr="004A59A6" w:rsidRDefault="000D042E">
            <w:pPr>
              <w:jc w:val="center"/>
              <w:rPr>
                <w:b/>
                <w:sz w:val="18"/>
                <w:szCs w:val="18"/>
              </w:rPr>
            </w:pPr>
            <w:r w:rsidRPr="004A59A6">
              <w:rPr>
                <w:b/>
                <w:sz w:val="18"/>
                <w:szCs w:val="18"/>
              </w:rPr>
              <w:t>Score</w:t>
            </w:r>
          </w:p>
        </w:tc>
      </w:tr>
      <w:tr w:rsidR="000D042E" w:rsidRPr="004A59A6">
        <w:trPr>
          <w:cantSplit/>
          <w:trHeight w:val="237"/>
          <w:jc w:val="center"/>
        </w:trPr>
        <w:tc>
          <w:tcPr>
            <w:tcW w:w="800" w:type="dxa"/>
            <w:tcBorders>
              <w:top w:val="single" w:sz="4" w:space="0" w:color="auto"/>
            </w:tcBorders>
          </w:tcPr>
          <w:p w:rsidR="000D042E" w:rsidRPr="004A59A6" w:rsidRDefault="000D042E">
            <w:pPr>
              <w:pStyle w:val="Paragraph"/>
              <w:jc w:val="left"/>
            </w:pPr>
            <w:r w:rsidRPr="004A59A6">
              <w:t>6</w:t>
            </w:r>
          </w:p>
        </w:tc>
        <w:tc>
          <w:tcPr>
            <w:tcW w:w="1228" w:type="dxa"/>
            <w:tcBorders>
              <w:top w:val="single" w:sz="4" w:space="0" w:color="auto"/>
            </w:tcBorders>
          </w:tcPr>
          <w:p w:rsidR="000D042E" w:rsidRPr="004A59A6" w:rsidRDefault="000D042E">
            <w:pPr>
              <w:jc w:val="center"/>
              <w:rPr>
                <w:sz w:val="20"/>
                <w:lang w:val="id-ID"/>
              </w:rPr>
            </w:pPr>
            <w:r w:rsidRPr="004A59A6">
              <w:rPr>
                <w:sz w:val="20"/>
                <w:lang w:val="id-ID"/>
              </w:rPr>
              <w:t>Pragaan</w:t>
            </w:r>
          </w:p>
        </w:tc>
        <w:tc>
          <w:tcPr>
            <w:tcW w:w="993" w:type="dxa"/>
            <w:tcBorders>
              <w:top w:val="single" w:sz="4" w:space="0" w:color="auto"/>
            </w:tcBorders>
          </w:tcPr>
          <w:p w:rsidR="000D042E" w:rsidRPr="004A59A6" w:rsidRDefault="000D042E">
            <w:pPr>
              <w:jc w:val="center"/>
              <w:rPr>
                <w:sz w:val="20"/>
              </w:rPr>
            </w:pPr>
            <w:r w:rsidRPr="004A59A6">
              <w:rPr>
                <w:sz w:val="20"/>
              </w:rPr>
              <w:t>11.795</w:t>
            </w:r>
          </w:p>
        </w:tc>
        <w:tc>
          <w:tcPr>
            <w:tcW w:w="802" w:type="dxa"/>
            <w:tcBorders>
              <w:top w:val="single" w:sz="4" w:space="0" w:color="auto"/>
            </w:tcBorders>
          </w:tcPr>
          <w:p w:rsidR="000D042E" w:rsidRPr="004A59A6" w:rsidRDefault="000D042E">
            <w:pPr>
              <w:jc w:val="center"/>
              <w:rPr>
                <w:sz w:val="20"/>
              </w:rPr>
            </w:pPr>
            <w:r w:rsidRPr="004A59A6">
              <w:rPr>
                <w:sz w:val="20"/>
              </w:rPr>
              <w:t>0</w:t>
            </w:r>
          </w:p>
        </w:tc>
        <w:tc>
          <w:tcPr>
            <w:tcW w:w="992" w:type="dxa"/>
            <w:tcBorders>
              <w:top w:val="single" w:sz="4" w:space="0" w:color="auto"/>
            </w:tcBorders>
          </w:tcPr>
          <w:p w:rsidR="000D042E" w:rsidRPr="004A59A6" w:rsidRDefault="000D042E">
            <w:pPr>
              <w:jc w:val="center"/>
              <w:rPr>
                <w:sz w:val="20"/>
              </w:rPr>
            </w:pPr>
            <w:r w:rsidRPr="004A59A6">
              <w:rPr>
                <w:sz w:val="20"/>
              </w:rPr>
              <w:t>48</w:t>
            </w:r>
          </w:p>
        </w:tc>
        <w:tc>
          <w:tcPr>
            <w:tcW w:w="1134" w:type="dxa"/>
            <w:tcBorders>
              <w:top w:val="single" w:sz="4" w:space="0" w:color="auto"/>
            </w:tcBorders>
          </w:tcPr>
          <w:p w:rsidR="000D042E" w:rsidRPr="004A59A6" w:rsidRDefault="000D042E">
            <w:pPr>
              <w:jc w:val="center"/>
              <w:rPr>
                <w:sz w:val="20"/>
              </w:rPr>
            </w:pPr>
            <w:r w:rsidRPr="004A59A6">
              <w:rPr>
                <w:sz w:val="20"/>
              </w:rPr>
              <w:t>1</w:t>
            </w:r>
          </w:p>
        </w:tc>
        <w:tc>
          <w:tcPr>
            <w:tcW w:w="992" w:type="dxa"/>
            <w:tcBorders>
              <w:top w:val="single" w:sz="4" w:space="0" w:color="auto"/>
            </w:tcBorders>
          </w:tcPr>
          <w:p w:rsidR="000D042E" w:rsidRPr="004A59A6" w:rsidRDefault="000D042E">
            <w:pPr>
              <w:jc w:val="center"/>
              <w:rPr>
                <w:sz w:val="20"/>
              </w:rPr>
            </w:pPr>
            <w:r w:rsidRPr="004A59A6">
              <w:rPr>
                <w:sz w:val="20"/>
              </w:rPr>
              <w:t>-18.69%</w:t>
            </w:r>
          </w:p>
        </w:tc>
        <w:tc>
          <w:tcPr>
            <w:tcW w:w="992" w:type="dxa"/>
            <w:tcBorders>
              <w:top w:val="single" w:sz="4" w:space="0" w:color="auto"/>
            </w:tcBorders>
          </w:tcPr>
          <w:p w:rsidR="000D042E" w:rsidRPr="004A59A6" w:rsidRDefault="000D042E">
            <w:pPr>
              <w:jc w:val="center"/>
              <w:rPr>
                <w:sz w:val="20"/>
              </w:rPr>
            </w:pPr>
            <w:r w:rsidRPr="004A59A6">
              <w:rPr>
                <w:sz w:val="20"/>
              </w:rPr>
              <w:t>-58.72%</w:t>
            </w:r>
          </w:p>
        </w:tc>
        <w:tc>
          <w:tcPr>
            <w:tcW w:w="992" w:type="dxa"/>
            <w:tcBorders>
              <w:top w:val="single" w:sz="4" w:space="0" w:color="auto"/>
            </w:tcBorders>
          </w:tcPr>
          <w:p w:rsidR="000D042E" w:rsidRPr="004A59A6" w:rsidRDefault="000D042E">
            <w:pPr>
              <w:jc w:val="center"/>
              <w:rPr>
                <w:sz w:val="20"/>
              </w:rPr>
            </w:pPr>
            <w:r w:rsidRPr="004A59A6">
              <w:rPr>
                <w:sz w:val="20"/>
              </w:rPr>
              <w:t>-68.01%</w:t>
            </w:r>
          </w:p>
        </w:tc>
        <w:tc>
          <w:tcPr>
            <w:tcW w:w="992" w:type="dxa"/>
            <w:tcBorders>
              <w:top w:val="single" w:sz="4" w:space="0" w:color="auto"/>
            </w:tcBorders>
          </w:tcPr>
          <w:p w:rsidR="000D042E" w:rsidRPr="004A59A6" w:rsidRDefault="000D042E">
            <w:pPr>
              <w:jc w:val="center"/>
              <w:rPr>
                <w:sz w:val="20"/>
              </w:rPr>
            </w:pPr>
            <w:r w:rsidRPr="004A59A6">
              <w:rPr>
                <w:sz w:val="20"/>
              </w:rPr>
              <w:t>94</w:t>
            </w:r>
          </w:p>
        </w:tc>
      </w:tr>
      <w:tr w:rsidR="000D042E" w:rsidRPr="004A59A6">
        <w:trPr>
          <w:cantSplit/>
          <w:trHeight w:val="237"/>
          <w:jc w:val="center"/>
        </w:trPr>
        <w:tc>
          <w:tcPr>
            <w:tcW w:w="800" w:type="dxa"/>
            <w:tcBorders>
              <w:bottom w:val="single" w:sz="4" w:space="0" w:color="auto"/>
            </w:tcBorders>
          </w:tcPr>
          <w:p w:rsidR="000D042E" w:rsidRPr="004A59A6" w:rsidRDefault="000D042E">
            <w:pPr>
              <w:pStyle w:val="Paragraph"/>
              <w:jc w:val="left"/>
            </w:pPr>
            <w:r w:rsidRPr="004A59A6">
              <w:t>9</w:t>
            </w:r>
          </w:p>
        </w:tc>
        <w:tc>
          <w:tcPr>
            <w:tcW w:w="1228" w:type="dxa"/>
            <w:tcBorders>
              <w:bottom w:val="single" w:sz="4" w:space="0" w:color="auto"/>
            </w:tcBorders>
          </w:tcPr>
          <w:p w:rsidR="000D042E" w:rsidRPr="004A59A6" w:rsidRDefault="000D042E">
            <w:pPr>
              <w:jc w:val="center"/>
              <w:rPr>
                <w:sz w:val="20"/>
                <w:lang w:val="id-ID"/>
              </w:rPr>
            </w:pPr>
            <w:r w:rsidRPr="004A59A6">
              <w:rPr>
                <w:sz w:val="20"/>
                <w:lang w:val="id-ID"/>
              </w:rPr>
              <w:t>Saronggi</w:t>
            </w:r>
          </w:p>
        </w:tc>
        <w:tc>
          <w:tcPr>
            <w:tcW w:w="993" w:type="dxa"/>
            <w:tcBorders>
              <w:bottom w:val="single" w:sz="4" w:space="0" w:color="auto"/>
            </w:tcBorders>
          </w:tcPr>
          <w:p w:rsidR="000D042E" w:rsidRPr="004A59A6" w:rsidRDefault="000D042E">
            <w:pPr>
              <w:jc w:val="center"/>
              <w:rPr>
                <w:sz w:val="20"/>
              </w:rPr>
            </w:pPr>
            <w:r w:rsidRPr="004A59A6">
              <w:rPr>
                <w:sz w:val="20"/>
              </w:rPr>
              <w:t>60.59</w:t>
            </w:r>
          </w:p>
        </w:tc>
        <w:tc>
          <w:tcPr>
            <w:tcW w:w="802" w:type="dxa"/>
            <w:tcBorders>
              <w:bottom w:val="single" w:sz="4" w:space="0" w:color="auto"/>
            </w:tcBorders>
          </w:tcPr>
          <w:p w:rsidR="000D042E" w:rsidRPr="004A59A6" w:rsidRDefault="000D042E">
            <w:pPr>
              <w:jc w:val="center"/>
              <w:rPr>
                <w:sz w:val="20"/>
              </w:rPr>
            </w:pPr>
            <w:r w:rsidRPr="004A59A6">
              <w:rPr>
                <w:sz w:val="20"/>
              </w:rPr>
              <w:t>0</w:t>
            </w:r>
          </w:p>
        </w:tc>
        <w:tc>
          <w:tcPr>
            <w:tcW w:w="992" w:type="dxa"/>
            <w:tcBorders>
              <w:bottom w:val="single" w:sz="4" w:space="0" w:color="auto"/>
            </w:tcBorders>
          </w:tcPr>
          <w:p w:rsidR="000D042E" w:rsidRPr="004A59A6" w:rsidRDefault="000D042E">
            <w:pPr>
              <w:jc w:val="center"/>
              <w:rPr>
                <w:sz w:val="20"/>
              </w:rPr>
            </w:pPr>
            <w:r w:rsidRPr="004A59A6">
              <w:rPr>
                <w:sz w:val="20"/>
              </w:rPr>
              <w:t>90</w:t>
            </w:r>
          </w:p>
        </w:tc>
        <w:tc>
          <w:tcPr>
            <w:tcW w:w="1134" w:type="dxa"/>
            <w:tcBorders>
              <w:bottom w:val="single" w:sz="4" w:space="0" w:color="auto"/>
            </w:tcBorders>
          </w:tcPr>
          <w:p w:rsidR="000D042E" w:rsidRPr="004A59A6" w:rsidRDefault="000D042E">
            <w:pPr>
              <w:jc w:val="center"/>
              <w:rPr>
                <w:sz w:val="20"/>
              </w:rPr>
            </w:pPr>
            <w:r w:rsidRPr="004A59A6">
              <w:rPr>
                <w:sz w:val="20"/>
              </w:rPr>
              <w:t>1</w:t>
            </w:r>
          </w:p>
        </w:tc>
        <w:tc>
          <w:tcPr>
            <w:tcW w:w="992" w:type="dxa"/>
            <w:tcBorders>
              <w:bottom w:val="single" w:sz="4" w:space="0" w:color="auto"/>
            </w:tcBorders>
          </w:tcPr>
          <w:p w:rsidR="000D042E" w:rsidRPr="004A59A6" w:rsidRDefault="000D042E">
            <w:pPr>
              <w:jc w:val="center"/>
              <w:rPr>
                <w:sz w:val="20"/>
              </w:rPr>
            </w:pPr>
            <w:r w:rsidRPr="004A59A6">
              <w:rPr>
                <w:sz w:val="20"/>
              </w:rPr>
              <w:t>-27.33%</w:t>
            </w:r>
          </w:p>
        </w:tc>
        <w:tc>
          <w:tcPr>
            <w:tcW w:w="992" w:type="dxa"/>
            <w:tcBorders>
              <w:bottom w:val="single" w:sz="4" w:space="0" w:color="auto"/>
            </w:tcBorders>
          </w:tcPr>
          <w:p w:rsidR="000D042E" w:rsidRPr="004A59A6" w:rsidRDefault="000D042E">
            <w:pPr>
              <w:jc w:val="center"/>
              <w:rPr>
                <w:sz w:val="20"/>
              </w:rPr>
            </w:pPr>
            <w:r w:rsidRPr="004A59A6">
              <w:rPr>
                <w:sz w:val="20"/>
              </w:rPr>
              <w:t>0%</w:t>
            </w:r>
          </w:p>
        </w:tc>
        <w:tc>
          <w:tcPr>
            <w:tcW w:w="992" w:type="dxa"/>
            <w:tcBorders>
              <w:bottom w:val="single" w:sz="4" w:space="0" w:color="auto"/>
            </w:tcBorders>
          </w:tcPr>
          <w:p w:rsidR="000D042E" w:rsidRPr="004A59A6" w:rsidRDefault="000D042E">
            <w:pPr>
              <w:jc w:val="center"/>
              <w:rPr>
                <w:sz w:val="20"/>
              </w:rPr>
            </w:pPr>
            <w:r w:rsidRPr="004A59A6">
              <w:rPr>
                <w:sz w:val="20"/>
              </w:rPr>
              <w:t>0%</w:t>
            </w:r>
          </w:p>
        </w:tc>
        <w:tc>
          <w:tcPr>
            <w:tcW w:w="992" w:type="dxa"/>
            <w:tcBorders>
              <w:bottom w:val="single" w:sz="4" w:space="0" w:color="auto"/>
            </w:tcBorders>
          </w:tcPr>
          <w:p w:rsidR="000D042E" w:rsidRPr="004A59A6" w:rsidRDefault="000D042E">
            <w:pPr>
              <w:jc w:val="center"/>
              <w:rPr>
                <w:sz w:val="20"/>
              </w:rPr>
            </w:pPr>
            <w:r w:rsidRPr="004A59A6">
              <w:rPr>
                <w:sz w:val="20"/>
              </w:rPr>
              <w:t>91</w:t>
            </w:r>
          </w:p>
        </w:tc>
      </w:tr>
    </w:tbl>
    <w:p w:rsidR="000D042E" w:rsidRPr="004A59A6" w:rsidRDefault="000D042E" w:rsidP="000D042E">
      <w:pPr>
        <w:rPr>
          <w:lang w:val="id-ID"/>
        </w:rPr>
      </w:pPr>
    </w:p>
    <w:p w:rsidR="005F7475" w:rsidRPr="004A59A6" w:rsidRDefault="000D042E" w:rsidP="00721CA6">
      <w:pPr>
        <w:pStyle w:val="Paragraph"/>
      </w:pPr>
      <w:r w:rsidRPr="004A59A6">
        <w:t xml:space="preserve">Table 6 shows that to increase the efficiency of DMU 6 in the </w:t>
      </w:r>
      <w:r w:rsidRPr="004A59A6">
        <w:rPr>
          <w:lang w:val="id-ID"/>
        </w:rPr>
        <w:t xml:space="preserve">Pragaan </w:t>
      </w:r>
      <w:r w:rsidRPr="004A59A6">
        <w:t>subdistrict, improvements to the salting area, salt group, and salt farmer are necessary. In contrast, improving the salting area is all that is required to make DMU 9 efficient.</w:t>
      </w:r>
    </w:p>
    <w:p w:rsidR="00D87E2A" w:rsidRPr="004A59A6" w:rsidRDefault="00D87E2A" w:rsidP="00D87E2A">
      <w:pPr>
        <w:pStyle w:val="Heading1"/>
        <w:rPr>
          <w:b w:val="0"/>
          <w:caps w:val="0"/>
          <w:sz w:val="20"/>
        </w:rPr>
      </w:pPr>
      <w:r w:rsidRPr="004A59A6">
        <w:t>CONCLUSION</w:t>
      </w:r>
      <w:r w:rsidRPr="004A59A6">
        <w:br/>
      </w:r>
    </w:p>
    <w:p w:rsidR="00D87E2A" w:rsidRPr="004A59A6" w:rsidRDefault="00721CA6" w:rsidP="003B0050">
      <w:pPr>
        <w:pStyle w:val="Paragraph"/>
      </w:pPr>
      <w:r w:rsidRPr="004A59A6">
        <w:t xml:space="preserve">This study uses the DEA model to measure the efficiency of salt production by the Madura people in </w:t>
      </w:r>
      <w:r w:rsidRPr="004A59A6">
        <w:rPr>
          <w:lang w:val="id-ID"/>
        </w:rPr>
        <w:t xml:space="preserve">Sumenep </w:t>
      </w:r>
      <w:r w:rsidRPr="004A59A6">
        <w:t xml:space="preserve">Regency. The study was conducted in ten DMUs, or salt-producing subdistricts, in </w:t>
      </w:r>
      <w:r w:rsidRPr="004A59A6">
        <w:rPr>
          <w:lang w:val="id-ID"/>
        </w:rPr>
        <w:t>Sumenep</w:t>
      </w:r>
      <w:r w:rsidRPr="004A59A6">
        <w:t xml:space="preserve"> District. The input variables include salting area, salt group, salt farmer, and salt selling price. The output variables include production yield and salt quality. Data processing using either LINGO or Frontier Analyst software tools revealed that eight DMUs are efficient and two are inefficient. The results indicate that three input variables influence the efficient values of reduced costs and potential values</w:t>
      </w:r>
      <w:r w:rsidR="00263804" w:rsidRPr="004A59A6">
        <w:t xml:space="preserve">. They are </w:t>
      </w:r>
      <w:r w:rsidRPr="004A59A6">
        <w:t xml:space="preserve">salting </w:t>
      </w:r>
      <w:r w:rsidR="00263804" w:rsidRPr="004A59A6">
        <w:t>area</w:t>
      </w:r>
      <w:r w:rsidRPr="004A59A6">
        <w:t xml:space="preserve">, </w:t>
      </w:r>
      <w:r w:rsidR="00263804" w:rsidRPr="004A59A6">
        <w:t xml:space="preserve">salt </w:t>
      </w:r>
      <w:r w:rsidRPr="004A59A6">
        <w:t xml:space="preserve">group, and salt farmer. </w:t>
      </w:r>
      <w:r w:rsidR="00263804" w:rsidRPr="004A59A6">
        <w:t>DMU 6's efficiency improved by increasing the area of salting area, salt group, and salt farmer</w:t>
      </w:r>
      <w:r w:rsidRPr="004A59A6">
        <w:t xml:space="preserve">. Conversely, improving the efficiency of DMU 9 only requires an increase </w:t>
      </w:r>
      <w:r w:rsidR="00263804" w:rsidRPr="004A59A6">
        <w:t xml:space="preserve">the </w:t>
      </w:r>
      <w:r w:rsidRPr="004A59A6">
        <w:t xml:space="preserve">salting area. Further developing this research requires more detailed identification of input and output variables. The reduced cost and potential improvement results can be used to develop a concrete proposal to improve the efficiency of salt production by the Madura people in </w:t>
      </w:r>
      <w:r w:rsidRPr="004A59A6">
        <w:rPr>
          <w:lang w:val="id-ID"/>
        </w:rPr>
        <w:t>Sumenep</w:t>
      </w:r>
      <w:r w:rsidRPr="004A59A6">
        <w:t xml:space="preserve"> District</w:t>
      </w:r>
      <w:r w:rsidR="00D87E2A" w:rsidRPr="004A59A6">
        <w:t>.</w:t>
      </w:r>
    </w:p>
    <w:p w:rsidR="00613B4D" w:rsidRPr="004A59A6" w:rsidRDefault="0016385D" w:rsidP="00613B4D">
      <w:pPr>
        <w:pStyle w:val="Heading1"/>
      </w:pPr>
      <w:r w:rsidRPr="004A59A6">
        <w:lastRenderedPageBreak/>
        <w:t>Acknowledgments</w:t>
      </w:r>
      <w:r w:rsidR="00B1000D" w:rsidRPr="004A59A6">
        <w:br/>
      </w:r>
    </w:p>
    <w:p w:rsidR="000B3A2D" w:rsidRPr="004A59A6" w:rsidRDefault="00721CA6" w:rsidP="000B3A2D">
      <w:pPr>
        <w:pStyle w:val="Paragraph"/>
      </w:pPr>
      <w:r w:rsidRPr="004A59A6">
        <w:t xml:space="preserve">We would like to thank the Faculty of Engineering at </w:t>
      </w:r>
      <w:r w:rsidRPr="004A59A6">
        <w:rPr>
          <w:lang w:val="id-ID"/>
        </w:rPr>
        <w:t>Trunojoyo</w:t>
      </w:r>
      <w:r w:rsidRPr="004A59A6">
        <w:t xml:space="preserve"> University Madura for their financial support of this research project. We would also like to thank the reviewers for their constructive suggestions and comments that helped improve this article.</w:t>
      </w:r>
    </w:p>
    <w:p w:rsidR="00613B4D" w:rsidRPr="004A59A6" w:rsidRDefault="0016385D" w:rsidP="00721CA6">
      <w:pPr>
        <w:pStyle w:val="Heading1"/>
      </w:pPr>
      <w:r w:rsidRPr="004A59A6">
        <w:t>References</w:t>
      </w:r>
      <w:r w:rsidR="00B1000D" w:rsidRPr="004A59A6">
        <w:br/>
      </w:r>
    </w:p>
    <w:p w:rsidR="000371AF" w:rsidRPr="004A59A6" w:rsidRDefault="000371AF" w:rsidP="000371AF">
      <w:pPr>
        <w:pStyle w:val="Reference"/>
        <w:rPr>
          <w:lang w:val="en-ID"/>
        </w:rPr>
      </w:pPr>
      <w:r w:rsidRPr="004A59A6">
        <w:rPr>
          <w:lang w:val="id-ID"/>
        </w:rPr>
        <w:t xml:space="preserve">A. Effendy, </w:t>
      </w:r>
      <w:r w:rsidRPr="004A59A6">
        <w:rPr>
          <w:i/>
          <w:iCs/>
          <w:lang w:val="id-ID"/>
        </w:rPr>
        <w:t xml:space="preserve">Garam Rakyat </w:t>
      </w:r>
      <w:r w:rsidRPr="004A59A6">
        <w:rPr>
          <w:lang w:val="id-ID"/>
        </w:rPr>
        <w:t>(UTM Press, Bangkalan,  2012).</w:t>
      </w:r>
    </w:p>
    <w:p w:rsidR="000371AF" w:rsidRPr="004A59A6" w:rsidRDefault="000371AF" w:rsidP="000371AF">
      <w:pPr>
        <w:pStyle w:val="Reference"/>
        <w:rPr>
          <w:lang w:val="en-ID"/>
        </w:rPr>
      </w:pPr>
      <w:r w:rsidRPr="004A59A6">
        <w:rPr>
          <w:lang w:val="id-ID"/>
        </w:rPr>
        <w:t xml:space="preserve">Dinas Kelautan dan Perikanan Provinsi Jawa Timur, </w:t>
      </w:r>
      <w:r w:rsidRPr="004A59A6">
        <w:rPr>
          <w:i/>
          <w:iCs/>
          <w:lang w:val="id-ID"/>
        </w:rPr>
        <w:t>Jumlah Produksi Garam Rakyat</w:t>
      </w:r>
      <w:r w:rsidRPr="004A59A6">
        <w:rPr>
          <w:lang w:val="id-ID"/>
        </w:rPr>
        <w:t xml:space="preserve">. Satudata.Sumenepkab.Go.Id. </w:t>
      </w:r>
      <w:hyperlink r:id="rId9" w:history="1">
        <w:r w:rsidRPr="004A59A6">
          <w:rPr>
            <w:rStyle w:val="Hyperlink"/>
            <w:color w:val="auto"/>
            <w:u w:val="none"/>
            <w:lang w:val="id-ID"/>
          </w:rPr>
          <w:t>https://satudata.sumenepkab.go.id/</w:t>
        </w:r>
      </w:hyperlink>
      <w:r w:rsidRPr="004A59A6">
        <w:rPr>
          <w:lang w:val="id-ID"/>
        </w:rPr>
        <w:t xml:space="preserve"> (2023).</w:t>
      </w:r>
    </w:p>
    <w:p w:rsidR="000371AF" w:rsidRPr="004A59A6" w:rsidRDefault="000371AF" w:rsidP="000371AF">
      <w:pPr>
        <w:pStyle w:val="Reference"/>
        <w:rPr>
          <w:lang w:val="id-ID"/>
        </w:rPr>
      </w:pPr>
      <w:r w:rsidRPr="004A59A6">
        <w:rPr>
          <w:lang w:val="id-ID"/>
        </w:rPr>
        <w:t xml:space="preserve">M. Zainuri, M. Effendy, F.F. Muchsoni, Hafiluddin, A. Budianto,  Syaiful M, </w:t>
      </w:r>
      <w:r w:rsidRPr="004A59A6">
        <w:rPr>
          <w:i/>
          <w:iCs/>
          <w:lang w:val="id-ID"/>
        </w:rPr>
        <w:t xml:space="preserve">Pemetaan lahan garam di Jawa Timur </w:t>
      </w:r>
      <w:r w:rsidRPr="004A59A6">
        <w:rPr>
          <w:lang w:val="id-ID"/>
        </w:rPr>
        <w:t>(UTM Press, Bangkalan,  2020).</w:t>
      </w:r>
    </w:p>
    <w:p w:rsidR="000371AF" w:rsidRPr="004A59A6" w:rsidRDefault="000371AF" w:rsidP="000371AF">
      <w:pPr>
        <w:pStyle w:val="Reference"/>
        <w:rPr>
          <w:lang w:val="id-ID"/>
        </w:rPr>
      </w:pPr>
      <w:r w:rsidRPr="004A59A6">
        <w:rPr>
          <w:lang w:val="id-ID"/>
        </w:rPr>
        <w:t>I. Ismawati, R.D. Putri, N.M. Agustina, Identifikasi penyebab perbedaan produktivitas garam rakyat di kabupaten Sumenep, J Food Tech and Agroindustry, 2(2) (2020).</w:t>
      </w:r>
    </w:p>
    <w:p w:rsidR="000371AF" w:rsidRPr="004A59A6" w:rsidRDefault="000371AF" w:rsidP="000371AF">
      <w:pPr>
        <w:pStyle w:val="Reference"/>
        <w:rPr>
          <w:lang w:val="id-ID"/>
        </w:rPr>
      </w:pPr>
      <w:hyperlink r:id="rId10" w:history="1">
        <w:r w:rsidRPr="004A59A6">
          <w:rPr>
            <w:rStyle w:val="Hyperlink"/>
            <w:color w:val="auto"/>
            <w:u w:val="none"/>
            <w:lang w:val="id-ID"/>
          </w:rPr>
          <w:t>https://www.pasuruankab.go.id/isiberita/genjot-produktifitas-garam-targetkan-integrasi-lahan-garam-di-kabupaten-pasuruan-sampai-15-hektar</w:t>
        </w:r>
      </w:hyperlink>
      <w:r w:rsidRPr="004A59A6">
        <w:rPr>
          <w:lang w:val="id-ID"/>
        </w:rPr>
        <w:t>, accessed on May 23 , (2025).</w:t>
      </w:r>
    </w:p>
    <w:p w:rsidR="0057445F" w:rsidRPr="004A59A6" w:rsidRDefault="0057445F" w:rsidP="0057445F">
      <w:pPr>
        <w:pStyle w:val="Reference"/>
        <w:rPr>
          <w:lang w:val="id-ID"/>
        </w:rPr>
      </w:pPr>
      <w:r w:rsidRPr="004A59A6">
        <w:rPr>
          <w:lang w:val="id-ID"/>
        </w:rPr>
        <w:t>M.S. Oliveira, V. Steffen, F.A. Krukoski, M.F. Mezoni, F. Trojan, An integrated data envelopment analysis framework for operational efficiency assessment in Brazilian international airport, Decisio Analytics Journal, 12, 100493 (2024).</w:t>
      </w:r>
    </w:p>
    <w:p w:rsidR="0057445F" w:rsidRPr="004A59A6" w:rsidRDefault="0057445F" w:rsidP="0057445F">
      <w:pPr>
        <w:pStyle w:val="Reference"/>
        <w:rPr>
          <w:lang w:val="id-ID"/>
        </w:rPr>
      </w:pPr>
      <w:r w:rsidRPr="004A59A6">
        <w:rPr>
          <w:lang w:val="id-ID"/>
        </w:rPr>
        <w:t>Y. Rahmani, M.G. Parashkoohi, H. Afshari, A. Mohammadi, Enhancing sustainability of urban waste management through data envelopment analysis for municipal solid waste composting in Tehran, Iran, Cleaner Engineering and Technology 21, 100781 (2024).</w:t>
      </w:r>
    </w:p>
    <w:p w:rsidR="0057445F" w:rsidRPr="004A59A6" w:rsidRDefault="0057445F" w:rsidP="0057445F">
      <w:pPr>
        <w:pStyle w:val="Reference"/>
        <w:rPr>
          <w:lang w:val="id-ID"/>
        </w:rPr>
      </w:pPr>
      <w:r w:rsidRPr="004A59A6">
        <w:rPr>
          <w:lang w:val="id-ID"/>
        </w:rPr>
        <w:t>H. Zhou, Y. Yang, Y. Chen, J. Zhu, Data envelopment analysis application in sustainability: The origins, development and future directions. European Journal of Operational Research, 264(1), 1–16 (2018a)</w:t>
      </w:r>
    </w:p>
    <w:p w:rsidR="0057445F" w:rsidRPr="004A59A6" w:rsidRDefault="0057445F" w:rsidP="0057445F">
      <w:pPr>
        <w:pStyle w:val="Reference"/>
        <w:rPr>
          <w:lang w:val="id-ID"/>
        </w:rPr>
      </w:pPr>
      <w:r w:rsidRPr="004A59A6">
        <w:rPr>
          <w:lang w:val="id-ID"/>
        </w:rPr>
        <w:t xml:space="preserve">E.B. Mariano, V.A. Sobreiro, D.A. do Nascimento Rebelatto, Human development and data envelopment analysis: A structured literature review. Omega, 54, 33–49 (2015). </w:t>
      </w:r>
    </w:p>
    <w:p w:rsidR="0057445F" w:rsidRPr="004A59A6" w:rsidRDefault="0057445F" w:rsidP="0057445F">
      <w:pPr>
        <w:pStyle w:val="Reference"/>
        <w:rPr>
          <w:lang w:val="id-ID"/>
        </w:rPr>
      </w:pPr>
      <w:r w:rsidRPr="004A59A6">
        <w:rPr>
          <w:lang w:val="id-ID"/>
        </w:rPr>
        <w:t>F. Pelone, D.S. Kringos, A. Romaniello, M. Archibugi, C. Salsiri, W. Ricciardi, Primary care efficiency measurement using data envelopment analysis: A systematic review. Journal of Medical Systems, 39(1), 1–14 (2015).</w:t>
      </w:r>
    </w:p>
    <w:p w:rsidR="0057445F" w:rsidRPr="004A59A6" w:rsidRDefault="0057445F" w:rsidP="0057445F">
      <w:pPr>
        <w:pStyle w:val="Reference"/>
        <w:rPr>
          <w:lang w:val="id-ID"/>
        </w:rPr>
      </w:pPr>
      <w:r w:rsidRPr="004A59A6">
        <w:rPr>
          <w:lang w:val="id-ID"/>
        </w:rPr>
        <w:t xml:space="preserve">M.D. Fethi,  and F. Pasiouras, Assessing bank efficiency and performance with operational research and artificial intelligence techniques: A survey. European Journal of Operational Research, 204(2), 189–198 </w:t>
      </w:r>
      <w:r w:rsidRPr="004A59A6">
        <w:t>(2015)</w:t>
      </w:r>
      <w:r w:rsidRPr="004A59A6">
        <w:rPr>
          <w:lang w:val="id-ID"/>
        </w:rPr>
        <w:t>.</w:t>
      </w:r>
    </w:p>
    <w:p w:rsidR="0057445F" w:rsidRPr="004A59A6" w:rsidRDefault="0057445F" w:rsidP="0057445F">
      <w:pPr>
        <w:pStyle w:val="Reference"/>
        <w:rPr>
          <w:lang w:val="id-ID"/>
        </w:rPr>
      </w:pPr>
      <w:r w:rsidRPr="004A59A6">
        <w:rPr>
          <w:lang w:val="id-ID"/>
        </w:rPr>
        <w:t>J. Johnes, M. Portela, E. Thanassoulis, Efficiency in education. Journal of the Operational Research Society, 68(4), 331–338  (2017).</w:t>
      </w:r>
    </w:p>
    <w:p w:rsidR="000371AF" w:rsidRPr="004A59A6" w:rsidRDefault="000371AF" w:rsidP="000371AF">
      <w:pPr>
        <w:pStyle w:val="Reference"/>
        <w:rPr>
          <w:lang w:val="id-ID"/>
        </w:rPr>
      </w:pPr>
      <w:r w:rsidRPr="004A59A6">
        <w:rPr>
          <w:lang w:val="id-ID"/>
        </w:rPr>
        <w:t xml:space="preserve">R.C. Lestari, M. Muhammad, R. Aditya, M. Fauzi, Pengoptimalan Biaya Transportasi Dengan Metode Least Cost Dan Lingo Untuk Distribusi Sabun Batang Di PT XYZ, 1(2) (2021). </w:t>
      </w:r>
    </w:p>
    <w:p w:rsidR="000371AF" w:rsidRPr="004A59A6" w:rsidRDefault="000371AF" w:rsidP="000371AF">
      <w:pPr>
        <w:pStyle w:val="Reference"/>
        <w:rPr>
          <w:lang w:val="id-ID"/>
        </w:rPr>
      </w:pPr>
      <w:r w:rsidRPr="004A59A6">
        <w:rPr>
          <w:lang w:val="id-ID"/>
        </w:rPr>
        <w:t xml:space="preserve">Hussain, Asia, Jones, Matthew, </w:t>
      </w:r>
      <w:r w:rsidRPr="004A59A6">
        <w:rPr>
          <w:i/>
          <w:iCs/>
          <w:lang w:val="id-ID"/>
        </w:rPr>
        <w:t>Frontier Analyst</w:t>
      </w:r>
      <w:r w:rsidRPr="004A59A6">
        <w:rPr>
          <w:lang w:val="id-ID"/>
        </w:rPr>
        <w:t xml:space="preserve">. </w:t>
      </w:r>
      <w:hyperlink r:id="rId11" w:history="1">
        <w:r w:rsidRPr="004A59A6">
          <w:rPr>
            <w:rStyle w:val="Hyperlink"/>
            <w:color w:val="auto"/>
            <w:u w:val="none"/>
            <w:lang w:val="id-ID"/>
          </w:rPr>
          <w:t>www.banxia.com</w:t>
        </w:r>
      </w:hyperlink>
      <w:r w:rsidRPr="004A59A6">
        <w:rPr>
          <w:lang w:val="id-ID"/>
        </w:rPr>
        <w:t>, (2020).</w:t>
      </w:r>
    </w:p>
    <w:p w:rsidR="000371AF" w:rsidRPr="004A59A6" w:rsidRDefault="000371AF" w:rsidP="000371AF">
      <w:pPr>
        <w:pStyle w:val="Reference"/>
        <w:rPr>
          <w:lang w:val="id-ID"/>
        </w:rPr>
      </w:pPr>
      <w:r w:rsidRPr="004A59A6">
        <w:rPr>
          <w:lang w:val="id-ID"/>
        </w:rPr>
        <w:t>D. Abdullah, Meilyana, K. Syahrul, M., Bunyamin, C.I. Erliana, Penerapan Metode Data Envelopment Analysis Untuk Pengukuran Efisiensi Kinerja Pendidikan Sekolah Menengah Atas Negeri (2020).</w:t>
      </w:r>
    </w:p>
    <w:p w:rsidR="000371AF" w:rsidRPr="004A59A6" w:rsidRDefault="000371AF" w:rsidP="000371AF">
      <w:pPr>
        <w:pStyle w:val="Reference"/>
        <w:rPr>
          <w:lang w:val="id-ID"/>
        </w:rPr>
      </w:pPr>
      <w:r w:rsidRPr="004A59A6">
        <w:rPr>
          <w:lang w:val="id-ID"/>
        </w:rPr>
        <w:t>A. Utama,  F. Bahauddin, P. Ferro, Pengukuran Efisiensi Produksi Dengan Metode DEA (Data Envelopement Analysis) Di Divisi Wire Rod Mill PT.XYZ (2020).</w:t>
      </w:r>
    </w:p>
    <w:p w:rsidR="000371AF" w:rsidRPr="004A59A6" w:rsidRDefault="000371AF" w:rsidP="000371AF">
      <w:pPr>
        <w:pStyle w:val="Reference"/>
        <w:rPr>
          <w:lang w:val="id-ID"/>
        </w:rPr>
      </w:pPr>
      <w:r w:rsidRPr="004A59A6">
        <w:rPr>
          <w:lang w:val="id-ID"/>
        </w:rPr>
        <w:t xml:space="preserve">W. Cooper, S. Lawrence, T. Kaoru, </w:t>
      </w:r>
      <w:r w:rsidRPr="004A59A6">
        <w:rPr>
          <w:i/>
          <w:iCs/>
          <w:lang w:val="id-ID"/>
        </w:rPr>
        <w:t xml:space="preserve">Data Envelopment Analysis </w:t>
      </w:r>
      <w:r w:rsidRPr="004A59A6">
        <w:rPr>
          <w:lang w:val="id-ID"/>
        </w:rPr>
        <w:t>(2000).</w:t>
      </w:r>
    </w:p>
    <w:p w:rsidR="00453764" w:rsidRPr="004A59A6" w:rsidRDefault="00453764" w:rsidP="00453764">
      <w:pPr>
        <w:pStyle w:val="Reference"/>
      </w:pPr>
      <w:r w:rsidRPr="004A59A6">
        <w:t>A. Charnes, W. Cooper, E. Rhodes, Measuring the efficiency of decision</w:t>
      </w:r>
      <w:r w:rsidR="00263804" w:rsidRPr="004A59A6">
        <w:t>-</w:t>
      </w:r>
      <w:r w:rsidRPr="004A59A6">
        <w:t>making units, European J. Oper. Res. 2 (6) 429–444 (1978).</w:t>
      </w:r>
    </w:p>
    <w:p w:rsidR="000371AF" w:rsidRPr="004A59A6" w:rsidRDefault="000371AF" w:rsidP="000371AF">
      <w:pPr>
        <w:pStyle w:val="Reference"/>
        <w:rPr>
          <w:lang w:val="id-ID"/>
        </w:rPr>
      </w:pPr>
      <w:r w:rsidRPr="004A59A6">
        <w:rPr>
          <w:lang w:val="id-ID"/>
        </w:rPr>
        <w:t xml:space="preserve">R. Hanafi, P. Harlen, A. Harahap, Efficiency Analysis of the Usage of Factors of Production in Small and Medium Furniture Industries in Pekanbaru City. In </w:t>
      </w:r>
      <w:r w:rsidRPr="004A59A6">
        <w:rPr>
          <w:i/>
          <w:iCs/>
          <w:lang w:val="id-ID"/>
        </w:rPr>
        <w:t>JOM Fekon</w:t>
      </w:r>
      <w:r w:rsidRPr="004A59A6">
        <w:rPr>
          <w:lang w:val="id-ID"/>
        </w:rPr>
        <w:t xml:space="preserve"> 4(1) (2020).</w:t>
      </w:r>
    </w:p>
    <w:p w:rsidR="008C76B8" w:rsidRPr="004A59A6" w:rsidRDefault="008C76B8" w:rsidP="008C76B8">
      <w:pPr>
        <w:pStyle w:val="Reference"/>
        <w:numPr>
          <w:ilvl w:val="0"/>
          <w:numId w:val="0"/>
        </w:numPr>
        <w:ind w:left="426" w:hanging="426"/>
      </w:pPr>
    </w:p>
    <w:p w:rsidR="008C76B8" w:rsidRPr="004A59A6" w:rsidRDefault="008C76B8" w:rsidP="008C76B8">
      <w:pPr>
        <w:pStyle w:val="Reference"/>
        <w:numPr>
          <w:ilvl w:val="0"/>
          <w:numId w:val="0"/>
        </w:numPr>
        <w:ind w:left="426" w:hanging="426"/>
      </w:pPr>
    </w:p>
    <w:p w:rsidR="008C76B8" w:rsidRPr="004A59A6" w:rsidRDefault="008C76B8" w:rsidP="008C76B8">
      <w:pPr>
        <w:pStyle w:val="Reference"/>
        <w:numPr>
          <w:ilvl w:val="0"/>
          <w:numId w:val="0"/>
        </w:numPr>
        <w:ind w:left="426" w:hanging="426"/>
      </w:pPr>
    </w:p>
    <w:p w:rsidR="008C76B8" w:rsidRPr="004A59A6" w:rsidRDefault="008C76B8" w:rsidP="008C76B8">
      <w:pPr>
        <w:pStyle w:val="Reference"/>
        <w:numPr>
          <w:ilvl w:val="0"/>
          <w:numId w:val="0"/>
        </w:numPr>
        <w:ind w:left="426" w:hanging="426"/>
      </w:pPr>
    </w:p>
    <w:p w:rsidR="008C76B8" w:rsidRPr="004A59A6" w:rsidRDefault="008C76B8" w:rsidP="008C76B8">
      <w:pPr>
        <w:pStyle w:val="Reference"/>
        <w:numPr>
          <w:ilvl w:val="0"/>
          <w:numId w:val="0"/>
        </w:numPr>
        <w:ind w:left="426" w:hanging="426"/>
      </w:pPr>
    </w:p>
    <w:sectPr w:rsidR="008C76B8" w:rsidRPr="004A59A6"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7891EAD"/>
    <w:multiLevelType w:val="hybridMultilevel"/>
    <w:tmpl w:val="A71C84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4"/>
  </w:num>
  <w:num w:numId="3">
    <w:abstractNumId w:val="13"/>
  </w:num>
  <w:num w:numId="4">
    <w:abstractNumId w:val="8"/>
  </w:num>
  <w:num w:numId="5">
    <w:abstractNumId w:val="12"/>
  </w:num>
  <w:num w:numId="6">
    <w:abstractNumId w:val="5"/>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371AF"/>
    <w:rsid w:val="00066CCE"/>
    <w:rsid w:val="00066FED"/>
    <w:rsid w:val="00067041"/>
    <w:rsid w:val="0007312E"/>
    <w:rsid w:val="00075EA6"/>
    <w:rsid w:val="0007709F"/>
    <w:rsid w:val="00080C1C"/>
    <w:rsid w:val="00086F62"/>
    <w:rsid w:val="00090674"/>
    <w:rsid w:val="0009320B"/>
    <w:rsid w:val="00096AE0"/>
    <w:rsid w:val="000B1B74"/>
    <w:rsid w:val="000B3A2D"/>
    <w:rsid w:val="000B49C0"/>
    <w:rsid w:val="000D042E"/>
    <w:rsid w:val="000E382F"/>
    <w:rsid w:val="000E75CD"/>
    <w:rsid w:val="001036BA"/>
    <w:rsid w:val="001146DC"/>
    <w:rsid w:val="00114AB1"/>
    <w:rsid w:val="0012046A"/>
    <w:rsid w:val="001230FF"/>
    <w:rsid w:val="00130BD7"/>
    <w:rsid w:val="00155B67"/>
    <w:rsid w:val="001562AF"/>
    <w:rsid w:val="00161A5B"/>
    <w:rsid w:val="0016385D"/>
    <w:rsid w:val="0016782F"/>
    <w:rsid w:val="001937E9"/>
    <w:rsid w:val="001964E5"/>
    <w:rsid w:val="001A1245"/>
    <w:rsid w:val="001B263B"/>
    <w:rsid w:val="001B3B91"/>
    <w:rsid w:val="001B476A"/>
    <w:rsid w:val="001C764F"/>
    <w:rsid w:val="001C7BB3"/>
    <w:rsid w:val="001D469C"/>
    <w:rsid w:val="001E6C0A"/>
    <w:rsid w:val="0021619E"/>
    <w:rsid w:val="0023171B"/>
    <w:rsid w:val="00236BFC"/>
    <w:rsid w:val="00237437"/>
    <w:rsid w:val="002502FD"/>
    <w:rsid w:val="00263804"/>
    <w:rsid w:val="00274622"/>
    <w:rsid w:val="00285D24"/>
    <w:rsid w:val="00290390"/>
    <w:rsid w:val="002915D3"/>
    <w:rsid w:val="002924DB"/>
    <w:rsid w:val="002941DA"/>
    <w:rsid w:val="002B5648"/>
    <w:rsid w:val="002E3C35"/>
    <w:rsid w:val="002F5298"/>
    <w:rsid w:val="00326AE0"/>
    <w:rsid w:val="00337E4F"/>
    <w:rsid w:val="00340C36"/>
    <w:rsid w:val="00346A9D"/>
    <w:rsid w:val="003707D0"/>
    <w:rsid w:val="0039376F"/>
    <w:rsid w:val="003A287B"/>
    <w:rsid w:val="003A5C85"/>
    <w:rsid w:val="003A61B1"/>
    <w:rsid w:val="003B0050"/>
    <w:rsid w:val="003B55CC"/>
    <w:rsid w:val="003D6312"/>
    <w:rsid w:val="003E7C74"/>
    <w:rsid w:val="003F31C6"/>
    <w:rsid w:val="0040225B"/>
    <w:rsid w:val="00402DA2"/>
    <w:rsid w:val="00425AC2"/>
    <w:rsid w:val="0044771F"/>
    <w:rsid w:val="00453764"/>
    <w:rsid w:val="004A59A6"/>
    <w:rsid w:val="004B151D"/>
    <w:rsid w:val="004C7243"/>
    <w:rsid w:val="004E21DE"/>
    <w:rsid w:val="004E3C57"/>
    <w:rsid w:val="004E3CB2"/>
    <w:rsid w:val="0050700F"/>
    <w:rsid w:val="00525813"/>
    <w:rsid w:val="00525844"/>
    <w:rsid w:val="0053513F"/>
    <w:rsid w:val="00563C4A"/>
    <w:rsid w:val="00574405"/>
    <w:rsid w:val="0057445F"/>
    <w:rsid w:val="005756F3"/>
    <w:rsid w:val="005854B0"/>
    <w:rsid w:val="005A0E21"/>
    <w:rsid w:val="005B3A34"/>
    <w:rsid w:val="005D49AF"/>
    <w:rsid w:val="005E415C"/>
    <w:rsid w:val="005E71ED"/>
    <w:rsid w:val="005E7946"/>
    <w:rsid w:val="005F7475"/>
    <w:rsid w:val="00611299"/>
    <w:rsid w:val="00611B81"/>
    <w:rsid w:val="00613B4D"/>
    <w:rsid w:val="00616365"/>
    <w:rsid w:val="00616F3B"/>
    <w:rsid w:val="006249A7"/>
    <w:rsid w:val="0064225B"/>
    <w:rsid w:val="006763F9"/>
    <w:rsid w:val="006949BC"/>
    <w:rsid w:val="006D1229"/>
    <w:rsid w:val="006D372F"/>
    <w:rsid w:val="006D7A18"/>
    <w:rsid w:val="006E3F85"/>
    <w:rsid w:val="006E4474"/>
    <w:rsid w:val="00701388"/>
    <w:rsid w:val="00721CA6"/>
    <w:rsid w:val="00723B7F"/>
    <w:rsid w:val="00725861"/>
    <w:rsid w:val="0073393A"/>
    <w:rsid w:val="0073539D"/>
    <w:rsid w:val="00752837"/>
    <w:rsid w:val="00760207"/>
    <w:rsid w:val="00767B8A"/>
    <w:rsid w:val="00775481"/>
    <w:rsid w:val="0079372B"/>
    <w:rsid w:val="007A233B"/>
    <w:rsid w:val="007B4863"/>
    <w:rsid w:val="007C65E6"/>
    <w:rsid w:val="007D406B"/>
    <w:rsid w:val="007D4407"/>
    <w:rsid w:val="007E1CA3"/>
    <w:rsid w:val="00812D62"/>
    <w:rsid w:val="00812F29"/>
    <w:rsid w:val="00821713"/>
    <w:rsid w:val="00827050"/>
    <w:rsid w:val="0083278B"/>
    <w:rsid w:val="00834538"/>
    <w:rsid w:val="00850E89"/>
    <w:rsid w:val="00883786"/>
    <w:rsid w:val="008930E4"/>
    <w:rsid w:val="00893821"/>
    <w:rsid w:val="008A7B9C"/>
    <w:rsid w:val="008B39FA"/>
    <w:rsid w:val="008B4754"/>
    <w:rsid w:val="008C76B8"/>
    <w:rsid w:val="008E6A7A"/>
    <w:rsid w:val="008F1038"/>
    <w:rsid w:val="008F7046"/>
    <w:rsid w:val="009005FC"/>
    <w:rsid w:val="00922E5A"/>
    <w:rsid w:val="00943315"/>
    <w:rsid w:val="00946C27"/>
    <w:rsid w:val="0099094D"/>
    <w:rsid w:val="00991E33"/>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7302F"/>
    <w:rsid w:val="00C84923"/>
    <w:rsid w:val="00CB7B3E"/>
    <w:rsid w:val="00CC739D"/>
    <w:rsid w:val="00D04468"/>
    <w:rsid w:val="00D30640"/>
    <w:rsid w:val="00D306C6"/>
    <w:rsid w:val="00D36257"/>
    <w:rsid w:val="00D4687E"/>
    <w:rsid w:val="00D53A12"/>
    <w:rsid w:val="00D76C36"/>
    <w:rsid w:val="00D87E2A"/>
    <w:rsid w:val="00DB0C43"/>
    <w:rsid w:val="00DE3354"/>
    <w:rsid w:val="00DF7DCD"/>
    <w:rsid w:val="00E50B7D"/>
    <w:rsid w:val="00E904A1"/>
    <w:rsid w:val="00EB7D28"/>
    <w:rsid w:val="00EC0D0C"/>
    <w:rsid w:val="00ED4A2C"/>
    <w:rsid w:val="00EF6940"/>
    <w:rsid w:val="00F2044A"/>
    <w:rsid w:val="00F20BFC"/>
    <w:rsid w:val="00F24D5F"/>
    <w:rsid w:val="00F551C5"/>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D30643-9AA1-4C60-8063-EAC41E4E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aliases w:val="Heading33,Head 5"/>
    <w:basedOn w:val="Normal"/>
    <w:link w:val="ListParagraphChar"/>
    <w:uiPriority w:val="1"/>
    <w:qFormat/>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paragraph" w:customStyle="1" w:styleId="Body">
    <w:name w:val="Body"/>
    <w:basedOn w:val="BodyTextIndent"/>
    <w:rsid w:val="00883786"/>
    <w:pPr>
      <w:suppressAutoHyphens/>
      <w:spacing w:after="0"/>
      <w:ind w:left="0" w:firstLine="567"/>
      <w:jc w:val="both"/>
    </w:pPr>
    <w:rPr>
      <w:sz w:val="20"/>
      <w:lang w:eastAsia="ar-SA"/>
    </w:rPr>
  </w:style>
  <w:style w:type="paragraph" w:styleId="BodyTextIndent">
    <w:name w:val="Body Text Indent"/>
    <w:basedOn w:val="Normal"/>
    <w:link w:val="BodyTextIndentChar"/>
    <w:semiHidden/>
    <w:unhideWhenUsed/>
    <w:rsid w:val="00883786"/>
    <w:pPr>
      <w:spacing w:after="120"/>
      <w:ind w:left="283"/>
    </w:pPr>
  </w:style>
  <w:style w:type="character" w:customStyle="1" w:styleId="BodyTextIndentChar">
    <w:name w:val="Body Text Indent Char"/>
    <w:link w:val="BodyTextIndent"/>
    <w:semiHidden/>
    <w:rsid w:val="00883786"/>
    <w:rPr>
      <w:sz w:val="24"/>
      <w:lang w:val="en-US" w:eastAsia="en-US"/>
    </w:rPr>
  </w:style>
  <w:style w:type="paragraph" w:styleId="Caption">
    <w:name w:val="caption"/>
    <w:basedOn w:val="Normal"/>
    <w:next w:val="Normal"/>
    <w:unhideWhenUsed/>
    <w:qFormat/>
    <w:rsid w:val="00D76C36"/>
    <w:pPr>
      <w:jc w:val="center"/>
    </w:pPr>
    <w:rPr>
      <w:iCs/>
      <w:sz w:val="20"/>
      <w:szCs w:val="18"/>
    </w:rPr>
  </w:style>
  <w:style w:type="character" w:customStyle="1" w:styleId="ListParagraphChar">
    <w:name w:val="List Paragraph Char"/>
    <w:aliases w:val="Heading33 Char,Head 5 Char"/>
    <w:link w:val="ListParagraph"/>
    <w:uiPriority w:val="1"/>
    <w:rsid w:val="008C76B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xia.com" TargetMode="External"/><Relationship Id="rId5" Type="http://schemas.openxmlformats.org/officeDocument/2006/relationships/numbering" Target="numbering.xml"/><Relationship Id="rId10" Type="http://schemas.openxmlformats.org/officeDocument/2006/relationships/hyperlink" Target="https://www.pasuruankab.go.id/isiberita/genjot-produktifitas-garam-targetkan-integrasi-lahan-garam-di-kabupaten-pasuruan-sampai-15-hektar" TargetMode="External"/><Relationship Id="rId4" Type="http://schemas.openxmlformats.org/officeDocument/2006/relationships/customXml" Target="../customXml/item4.xml"/><Relationship Id="rId9" Type="http://schemas.openxmlformats.org/officeDocument/2006/relationships/hyperlink" Target="https://satudata.sumenepkab.g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00E553C9-14D6-47CB-B9F4-85ADDF10A9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6</Pages>
  <Words>2770</Words>
  <Characters>15791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18524</CharactersWithSpaces>
  <SharedDoc>false</SharedDoc>
  <HLinks>
    <vt:vector size="18" baseType="variant">
      <vt:variant>
        <vt:i4>2097190</vt:i4>
      </vt:variant>
      <vt:variant>
        <vt:i4>36</vt:i4>
      </vt:variant>
      <vt:variant>
        <vt:i4>0</vt:i4>
      </vt:variant>
      <vt:variant>
        <vt:i4>5</vt:i4>
      </vt:variant>
      <vt:variant>
        <vt:lpwstr>http://www.banxia.com/</vt:lpwstr>
      </vt:variant>
      <vt:variant>
        <vt:lpwstr/>
      </vt:variant>
      <vt:variant>
        <vt:i4>1900565</vt:i4>
      </vt:variant>
      <vt:variant>
        <vt:i4>33</vt:i4>
      </vt:variant>
      <vt:variant>
        <vt:i4>0</vt:i4>
      </vt:variant>
      <vt:variant>
        <vt:i4>5</vt:i4>
      </vt:variant>
      <vt:variant>
        <vt:lpwstr>https://www.pasuruankab.go.id/isiberita/genjot-produktifitas-garam-targetkan-integrasi-lahan-garam-di-kabupaten-pasuruan-sampai-15-hektar</vt:lpwstr>
      </vt:variant>
      <vt:variant>
        <vt:lpwstr/>
      </vt:variant>
      <vt:variant>
        <vt:i4>6488104</vt:i4>
      </vt:variant>
      <vt:variant>
        <vt:i4>30</vt:i4>
      </vt:variant>
      <vt:variant>
        <vt:i4>0</vt:i4>
      </vt:variant>
      <vt:variant>
        <vt:i4>5</vt:i4>
      </vt:variant>
      <vt:variant>
        <vt:lpwstr>https://satudata.sumenepkab.go.id/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2011-03-03T08:29:00Z</cp:lastPrinted>
  <dcterms:created xsi:type="dcterms:W3CDTF">2026-01-27T06:55:00Z</dcterms:created>
  <dcterms:modified xsi:type="dcterms:W3CDTF">2026-01-27T06:55:00Z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