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710133" w14:textId="2E0692CE" w:rsidR="00EA50A7" w:rsidRPr="005C4D11" w:rsidRDefault="006852C5" w:rsidP="00784F94">
      <w:pPr>
        <w:pStyle w:val="PaperTitle"/>
        <w:rPr>
          <w:sz w:val="24"/>
          <w:szCs w:val="24"/>
        </w:rPr>
      </w:pPr>
      <w:r w:rsidRPr="007A5654">
        <w:rPr>
          <w:color w:val="000000"/>
          <w:szCs w:val="36"/>
        </w:rPr>
        <w:t>Classification of Microsatellite Status in Gastrointestinal Cancer Cells Using Convolutional Neural Networks</w:t>
      </w:r>
      <w:r>
        <w:t xml:space="preserve"> </w:t>
      </w:r>
    </w:p>
    <w:p w14:paraId="50BF688B" w14:textId="645D3F57" w:rsidR="00EA50A7" w:rsidRPr="00F350C5" w:rsidRDefault="006852C5" w:rsidP="00784F94">
      <w:pPr>
        <w:pStyle w:val="AuthorName"/>
        <w:rPr>
          <w:b/>
          <w:szCs w:val="28"/>
        </w:rPr>
      </w:pPr>
      <w:r w:rsidRPr="00D37B65">
        <w:rPr>
          <w:lang w:eastAsia="en-GB"/>
        </w:rPr>
        <w:t>Agus Eko Minarno</w:t>
      </w:r>
      <w:r>
        <w:rPr>
          <w:vertAlign w:val="superscript"/>
          <w:lang w:eastAsia="en-GB"/>
        </w:rPr>
        <w:t>1</w:t>
      </w:r>
      <w:r w:rsidRPr="00D37B65">
        <w:rPr>
          <w:vertAlign w:val="superscript"/>
          <w:lang w:eastAsia="en-GB"/>
        </w:rPr>
        <w:t>,</w:t>
      </w:r>
      <w:r>
        <w:rPr>
          <w:vertAlign w:val="superscript"/>
          <w:lang w:eastAsia="en-GB"/>
        </w:rPr>
        <w:t>a)</w:t>
      </w:r>
      <w:r w:rsidRPr="002F67F9">
        <w:rPr>
          <w:lang w:eastAsia="en-GB"/>
        </w:rPr>
        <w:t>,</w:t>
      </w:r>
      <w:r>
        <w:rPr>
          <w:lang w:eastAsia="en-GB"/>
        </w:rPr>
        <w:t xml:space="preserve"> </w:t>
      </w:r>
      <w:r w:rsidRPr="00D37B65">
        <w:rPr>
          <w:lang w:eastAsia="en-GB"/>
        </w:rPr>
        <w:t>Muhammad Rifal Alfarizy</w:t>
      </w:r>
      <w:r>
        <w:rPr>
          <w:vertAlign w:val="superscript"/>
          <w:lang w:eastAsia="en-GB"/>
        </w:rPr>
        <w:t>1</w:t>
      </w:r>
      <w:r w:rsidR="004108F2">
        <w:rPr>
          <w:vertAlign w:val="superscript"/>
          <w:lang w:eastAsia="en-GB"/>
        </w:rPr>
        <w:t>,b</w:t>
      </w:r>
      <w:r>
        <w:rPr>
          <w:vertAlign w:val="superscript"/>
          <w:lang w:eastAsia="en-GB"/>
        </w:rPr>
        <w:t>)</w:t>
      </w:r>
      <w:r w:rsidRPr="00D37B65">
        <w:rPr>
          <w:lang w:eastAsia="en-GB"/>
        </w:rPr>
        <w:t>,</w:t>
      </w:r>
      <w:r w:rsidR="004108F2">
        <w:rPr>
          <w:lang w:eastAsia="en-GB"/>
        </w:rPr>
        <w:t xml:space="preserve"> and</w:t>
      </w:r>
      <w:r w:rsidRPr="00D37B65">
        <w:rPr>
          <w:lang w:eastAsia="en-GB"/>
        </w:rPr>
        <w:t xml:space="preserve"> </w:t>
      </w:r>
      <w:r>
        <w:rPr>
          <w:color w:val="000000"/>
        </w:rPr>
        <w:t>Dana Marsetiya Utama</w:t>
      </w:r>
      <w:r w:rsidR="004108F2">
        <w:rPr>
          <w:color w:val="000000"/>
          <w:vertAlign w:val="superscript"/>
        </w:rPr>
        <w:t>2,c</w:t>
      </w:r>
      <w:r>
        <w:rPr>
          <w:color w:val="000000"/>
          <w:vertAlign w:val="superscript"/>
        </w:rPr>
        <w:t>)</w:t>
      </w:r>
      <w:r>
        <w:t xml:space="preserve"> </w:t>
      </w:r>
    </w:p>
    <w:p w14:paraId="316AC48B" w14:textId="7B9CF533" w:rsidR="004108F2" w:rsidRPr="00A56BEE" w:rsidRDefault="004108F2" w:rsidP="004108F2">
      <w:pPr>
        <w:pStyle w:val="AuthorAffiliation"/>
      </w:pPr>
      <w:r w:rsidRPr="00F67A4F">
        <w:rPr>
          <w:vertAlign w:val="superscript"/>
        </w:rPr>
        <w:t>1</w:t>
      </w:r>
      <w:r w:rsidRPr="00A56BEE">
        <w:t xml:space="preserve"> Department of </w:t>
      </w:r>
      <w:r>
        <w:t>Informatics</w:t>
      </w:r>
      <w:r w:rsidRPr="00A56BEE">
        <w:t xml:space="preserve"> Engineering, University of Muhammadiyah Malang, Malang, Indonesia</w:t>
      </w:r>
    </w:p>
    <w:p w14:paraId="6802D3F2" w14:textId="77777777" w:rsidR="004108F2" w:rsidRPr="00A56BEE" w:rsidRDefault="004108F2" w:rsidP="004108F2">
      <w:pPr>
        <w:pStyle w:val="AuthorAffiliation"/>
      </w:pPr>
      <w:r w:rsidRPr="00F67A4F">
        <w:rPr>
          <w:vertAlign w:val="superscript"/>
        </w:rPr>
        <w:t>2</w:t>
      </w:r>
      <w:r w:rsidRPr="00A56BEE">
        <w:t xml:space="preserve"> Department of Industrial Engineering, University of Muhammadiyah Malang, Malang, Indonesia</w:t>
      </w:r>
    </w:p>
    <w:p w14:paraId="4F89E7BE" w14:textId="77777777" w:rsidR="004108F2" w:rsidRPr="002E09EC" w:rsidRDefault="004108F2" w:rsidP="004108F2">
      <w:pPr>
        <w:pStyle w:val="AuthorAffiliation"/>
      </w:pPr>
    </w:p>
    <w:p w14:paraId="788C5563" w14:textId="1130D360" w:rsidR="004108F2" w:rsidRPr="00F67A4F" w:rsidRDefault="004108F2" w:rsidP="004108F2">
      <w:pPr>
        <w:pStyle w:val="AuthorEmail"/>
      </w:pPr>
      <w:r>
        <w:rPr>
          <w:vertAlign w:val="superscript"/>
        </w:rPr>
        <w:t>a</w:t>
      </w:r>
      <w:r w:rsidRPr="00F67A4F">
        <w:rPr>
          <w:vertAlign w:val="superscript"/>
        </w:rPr>
        <w:t>)</w:t>
      </w:r>
      <w:r w:rsidRPr="00F67A4F">
        <w:t xml:space="preserve"> Corresponding author: </w:t>
      </w:r>
      <w:hyperlink r:id="rId6" w:history="1">
        <w:r w:rsidRPr="00F67A4F">
          <w:rPr>
            <w:rStyle w:val="Hyperlink"/>
            <w:color w:val="auto"/>
            <w:u w:val="none"/>
          </w:rPr>
          <w:t>aguseko@umm.ac.id</w:t>
        </w:r>
      </w:hyperlink>
    </w:p>
    <w:p w14:paraId="3AB4B059" w14:textId="0BA58A40" w:rsidR="004108F2" w:rsidRPr="00F67A4F" w:rsidRDefault="004108F2" w:rsidP="004108F2">
      <w:pPr>
        <w:pStyle w:val="AuthorEmail"/>
      </w:pPr>
      <w:r>
        <w:rPr>
          <w:vertAlign w:val="superscript"/>
        </w:rPr>
        <w:t>b</w:t>
      </w:r>
      <w:r w:rsidRPr="00F67A4F">
        <w:rPr>
          <w:vertAlign w:val="superscript"/>
        </w:rPr>
        <w:t>)</w:t>
      </w:r>
      <w:r w:rsidRPr="00F67A4F">
        <w:t xml:space="preserve"> </w:t>
      </w:r>
      <w:r w:rsidRPr="004108F2">
        <w:t>m.rizal.alfa@umm.ac.id</w:t>
      </w:r>
    </w:p>
    <w:p w14:paraId="40DE2A10" w14:textId="61EC11F0" w:rsidR="004108F2" w:rsidRPr="00F67A4F" w:rsidRDefault="004108F2" w:rsidP="004108F2">
      <w:pPr>
        <w:pStyle w:val="AuthorEmail"/>
      </w:pPr>
      <w:r>
        <w:rPr>
          <w:vertAlign w:val="superscript"/>
        </w:rPr>
        <w:t>c</w:t>
      </w:r>
      <w:r w:rsidRPr="00F67A4F">
        <w:rPr>
          <w:vertAlign w:val="superscript"/>
        </w:rPr>
        <w:t>)</w:t>
      </w:r>
      <w:r w:rsidRPr="00F67A4F">
        <w:t xml:space="preserve"> </w:t>
      </w:r>
      <w:hyperlink r:id="rId7" w:history="1">
        <w:r w:rsidRPr="00F67A4F">
          <w:rPr>
            <w:rStyle w:val="Hyperlink"/>
            <w:color w:val="auto"/>
            <w:u w:val="none"/>
          </w:rPr>
          <w:t>dana@umm.ac.id</w:t>
        </w:r>
      </w:hyperlink>
    </w:p>
    <w:p w14:paraId="128B343A" w14:textId="58CBB64D" w:rsidR="00CA3BBC" w:rsidRPr="006852C5" w:rsidRDefault="00EA50A7" w:rsidP="00CA3BBC">
      <w:pPr>
        <w:pStyle w:val="Abstract"/>
        <w:rPr>
          <w:bCs/>
          <w:color w:val="333333"/>
          <w:szCs w:val="18"/>
        </w:rPr>
      </w:pPr>
      <w:r w:rsidRPr="002E09EC">
        <w:rPr>
          <w:b/>
        </w:rPr>
        <w:t>Abstract</w:t>
      </w:r>
      <w:r w:rsidR="00784F94">
        <w:rPr>
          <w:b/>
        </w:rPr>
        <w:t xml:space="preserve">. </w:t>
      </w:r>
      <w:r w:rsidRPr="002E09EC">
        <w:t xml:space="preserve"> </w:t>
      </w:r>
      <w:r w:rsidR="006852C5" w:rsidRPr="006852C5">
        <w:rPr>
          <w:bCs/>
          <w:color w:val="000000"/>
          <w:szCs w:val="18"/>
        </w:rPr>
        <w:t>Microsatellites are a unique type of repetitive genomic circuit that is spread throughout the genome, and exhibits a high degree of allelic polymorphism. Microsatellites can become unstable or mutate due to errors in the deoxyribonucleic acid (DNA) mismatch repair (MMR) system during DNA replication. Microsatellite instability (MSI) is commonly found in gastrointestinal cancer, and can be detected using multiplex polymerase chain reaction (PCR) or multiplex immunohistochemistry (IHC), but it is costly, and additional genetic tests. Therefore, this study proposes a deep learning method, Convolutional Neural Networks (CNN) to detect MSI. Similar studies have been carried out but there are problems with model stability, and less than optimal accuracy caused by overfitting. Based on these problems, this study proposes a modification of the VGG19 model. The data used is the image of colorectal cancer cells with a total of 93,408 data, and gastric cancer cells with a total of 100,570 data. In colorectal cancer cells, the model proposed 76.2% gain accuracy, additional augmentation obtain 77.1% accuracy, then add the dropout APL lowered into a 76.3% accuracy but it gives a stable chart. While gastric cancer cell testing was carried out using the proposed model with augmentation, and the addition of callbacks to obtain 76% accuracy. Based on experiments, the proposed model is still overfitting but augmentation can slightly overcome the overfitting, and improve accuracy. While dropout APL can reduce accuracy but provide stable graph development, and no indication of overfitting. The proposed model is effective in classifying colorectal cancer cells.</w:t>
      </w:r>
    </w:p>
    <w:p w14:paraId="282ACB97" w14:textId="2BB894B0" w:rsidR="00EA50A7" w:rsidRDefault="00EA50A7" w:rsidP="00784F94">
      <w:pPr>
        <w:pStyle w:val="Abstract"/>
      </w:pPr>
      <w:r w:rsidRPr="002E09EC">
        <w:rPr>
          <w:b/>
        </w:rPr>
        <w:t xml:space="preserve">Keywords: </w:t>
      </w:r>
      <w:r w:rsidR="006852C5" w:rsidRPr="006852C5">
        <w:rPr>
          <w:bCs/>
          <w:color w:val="000000"/>
          <w:szCs w:val="18"/>
        </w:rPr>
        <w:t>Cancer; Gastrointestinal; CNN; Classification; Augmentation</w:t>
      </w:r>
      <w:r w:rsidRPr="002E09EC">
        <w:t xml:space="preserve"> </w:t>
      </w:r>
    </w:p>
    <w:p w14:paraId="0CD11642" w14:textId="11C772BC" w:rsidR="00EA50A7" w:rsidRPr="00784F94" w:rsidRDefault="00EA50A7" w:rsidP="00784F94">
      <w:pPr>
        <w:pStyle w:val="Heading1"/>
      </w:pPr>
      <w:r w:rsidRPr="00784F94">
        <w:t>INTRODUCTION</w:t>
      </w:r>
    </w:p>
    <w:p w14:paraId="69CCE10A" w14:textId="77777777" w:rsidR="006852C5" w:rsidRPr="004108F2" w:rsidRDefault="006852C5" w:rsidP="004108F2">
      <w:pPr>
        <w:pStyle w:val="Paragraph"/>
        <w:rPr>
          <w:rStyle w:val="Emphasis"/>
        </w:rPr>
      </w:pPr>
      <w:r w:rsidRPr="004108F2">
        <w:rPr>
          <w:rStyle w:val="Emphasis"/>
        </w:rPr>
        <w:t xml:space="preserve">Microsatellite or simple sequence repeats (SSRs) are a unique type of repeating genomic circuit that is spread throughout the genome, and exhibits a high level of allele polymorphism </w:t>
      </w:r>
      <w:r w:rsidRPr="004108F2">
        <w:rPr>
          <w:rStyle w:val="Emphasis"/>
        </w:rPr>
        <w:fldChar w:fldCharType="begin" w:fldLock="1"/>
      </w:r>
      <w:r w:rsidRPr="004108F2">
        <w:rPr>
          <w:rStyle w:val="Emphasis"/>
        </w:rPr>
        <w:instrText>ADDIN CSL_CITATION {"citationItems":[{"id":"ITEM-1","itemData":{"DOI":"10.1016/J.AQUACULTURE.2005.11.031","ISSN":"0044-8486","abstract":"Microsatellites represent codominant molecular genetic markers, which are ubiquitously distributed within genomes. Due to their high level of polymorphism, relatively small size and rapid detection protocols, these markers are widely used in a variety of fundamental and applied fields of life and medical sciences. In the field of aquaculture, microsatellites represent workhorse markers, which are useful for the characterization of genetic stocks, broodstock selection, constructing dense linkage maps, mapping economically important quantitative traits, identifying genes responsible for these traits and application to marker-assisted breeding programmes. In this review, genomic distribution, function, evolution and practical applications of microsatellites are considered, with special emphasis on fish genetics and aquaculture. © 2005 Elsevier B.V. All rights reserved.","author":[{"dropping-particle":"","family":"Chistiakov","given":"Dimitry A.","non-dropping-particle":"","parse-names":false,"suffix":""},{"dropping-particle":"","family":"Hellemans","given":"Bart","non-dropping-particle":"","parse-names":false,"suffix":""},{"dropping-particle":"","family":"Volckaert","given":"Filip A.M.","non-dropping-particle":"","parse-names":false,"suffix":""}],"container-title":"Aquaculture","id":"ITEM-1","issue":"1-4","issued":{"date-parts":[["2006","5","31"]]},"page":"1-29","publisher":"Elsevier","title":"Microsatellites and their genomic distribution, evolution, function and applications: A review with special reference to fish genetics","type":"article-journal","volume":"255"},"uris":["http://www.mendeley.com/documents/?uuid=a7485ef1-0685-3113-ab07-a76c8911e5e3"]}],"mendeley":{"formattedCitation":"[1]","plainTextFormattedCitation":"[1]","previouslyFormattedCitation":"[1]"},"properties":{"noteIndex":0},"schema":"https://github.com/citation-style-language/schema/raw/master/csl-citation.json"}</w:instrText>
      </w:r>
      <w:r w:rsidRPr="004108F2">
        <w:rPr>
          <w:rStyle w:val="Emphasis"/>
        </w:rPr>
        <w:fldChar w:fldCharType="separate"/>
      </w:r>
      <w:r w:rsidRPr="004108F2">
        <w:rPr>
          <w:rStyle w:val="Emphasis"/>
        </w:rPr>
        <w:t>[1]</w:t>
      </w:r>
      <w:r w:rsidRPr="004108F2">
        <w:rPr>
          <w:rStyle w:val="Emphasis"/>
        </w:rPr>
        <w:fldChar w:fldCharType="end"/>
      </w:r>
      <w:r w:rsidRPr="004108F2">
        <w:rPr>
          <w:rStyle w:val="Emphasis"/>
        </w:rPr>
        <w:t xml:space="preserve">. Microsatellite status can become instable (MSI) due to deoxyribonucleic acid (DNA) mismatch repair (MMR) system errors in identifying, and removing merge errors during DNA replication </w:t>
      </w:r>
      <w:r w:rsidRPr="004108F2">
        <w:rPr>
          <w:rStyle w:val="Emphasis"/>
        </w:rPr>
        <w:fldChar w:fldCharType="begin" w:fldLock="1"/>
      </w:r>
      <w:r w:rsidRPr="004108F2">
        <w:rPr>
          <w:rStyle w:val="Emphasis"/>
        </w:rPr>
        <w:instrText xml:space="preserve">ADDIN CSL_CITATION {"citationItems":[{"id":"ITEM-1","itemData":{"DOI":"10.1002/IJC.26167","ISSN":"1097-0215","PMID":"21544814","abstract":"Defects in the mismatch repair system lead to microsatellite instability (MSI), a feature observed in </w:instrText>
      </w:r>
      <w:r w:rsidRPr="004108F2">
        <w:rPr>
          <w:rStyle w:val="Emphasis"/>
          <w:rFonts w:ascii="Cambria Math" w:hAnsi="Cambria Math" w:cs="Cambria Math"/>
        </w:rPr>
        <w:instrText>∼</w:instrText>
      </w:r>
      <w:r w:rsidRPr="004108F2">
        <w:rPr>
          <w:rStyle w:val="Emphasis"/>
        </w:rPr>
        <w:instrText xml:space="preserve"> 15% of all colorectal cancers (CRCs). Microsatellite mutations that drive tumourigenesis, typically inactivation of tumour suppressors, are selected for and are frequently detected in MSI cancers. Here, we evaluated somatic mutations in microsatellite repeats of 790 genes chosen based on reduced expression in MSI CRC and existence of a coding mononucleotide repeat of 6-10 bp in length. All the repeats were initially sequenced in 30 primary MSI CRC samples and whenever frameshift mutations were identified in &gt;20%, additional 70 samples were sequenced. To distinguish driver mutations from passengers, we similarly analyzed the occurrence of frameshift mutations in 121 intronic control repeats and utilized a statistical regression model to determine cut-off mutation frequencies for repeats of all types (A/T and C/G, 6-10 bp). Along with several know target genes, including TGFBR2, ACVR2, and MSH3, six novel candidate driver genes emerged that harbored significantly more mutations than identical control repeats. The mutation frequencies in 100 MSI CRC samples were 51% in G8 of GLYR1, 47% in T9 of ABCC5, 43% in G8 of WDTC1, 33% in A8 of ROCK1, 30% in T8 of OR51E2, and 28% in A8 of TCEB3. Immunohistochemical staining of GLYR1 revealed defective protein expression in tumors carrying biallelic mutations, supporting a loss of function hypothesis. This is a large scale, unbiased effort to identify genes that when mutated are likely to contribute to MSI CRC development. Copyright © 2011 UICC.","author":[{"dropping-particle":"","family":"Alhopuro","given":"Pia","non-dropping-particle":"","parse-names":false,"suffix":""},{"dropping-particle":"","family":"Sammalkorpi","given":"Heli","non-dropping-particle":"","parse-names":false,"suffix":""},{"dropping-particle":"","family":"Niittymäki","given":"Iina","non-dropping-particle":"","parse-names":false,"suffix":""},{"dropping-particle":"","family":"Biström","given":"Mia","non-dropping-particle":"","parse-names":false,"suffix":""},{"dropping-particle":"","family":"Raitila","given":"Anniina","non-dropping-particle":"","parse-names":false,"suffix":""},{"dropping-particle":"","family":"Saharinen","given":"Juha","non-dropping-particle":"","parse-names":false,"suffix":""},{"dropping-particle":"","family":"Nousiainen","given":"Kari","non-dropping-particle":"","parse-names":false,"suffix":""},{"dropping-particle":"","family":"Lehtonen","given":"Heli J.","non-dropping-particle":"","parse-names":false,"suffix":""},{"dropping-particle":"","family":"Heliövaara","given":"Elina","non-dropping-particle":"","parse-names":false,"suffix":""},{"dropping-particle":"","family":"Puhakka","given":"Jani","non-dropping-particle":"","parse-names":false,"suffix":""},{"dropping-particle":"","family":"Tuupanen","given":"Sari","non-dropping-particle":"","parse-names":false,"suffix":""},{"dropping-particle":"","family":"Sousa","given":"Sõnia","non-dropping-particle":"","parse-names":false,"suffix":""},{"dropping-particle":"","family":"Seruca","given":"Raquel","non-dropping-particle":"","parse-names":false,"suffix":""},{"dropping-particle":"","family":"Ferreira","given":"Ana M.","non-dropping-particle":"","parse-names":false,"suffix":""},{"dropping-particle":"","family":"Hofstra","given":"Robert M.W.","non-dropping-particle":"","parse-names":false,"suffix":""},{"dropping-particle":"","family":"Mecklin","given":"Jukka Pekka","non-dropping-particle":"","parse-names":false,"suffix":""},{"dropping-particle":"","family":"Järvinen","given":"Heikki","non-dropping-particle":"","parse-names":false,"suffix":""},{"dropping-particle":"","family":"Ristimäki","given":"Ari","non-dropping-particle":"","parse-names":false,"suffix":""},{"dropping-particle":"","family":"Ørntoft","given":"Torben F.","non-dropping-particle":"","parse-names":false,"suffix":""},{"dropping-particle":"","family":"Hautaniemi","given":"Sampsa","non-dropping-particle":"","parse-names":false,"suffix":""},{"dropping-particle":"","family":"Arango","given":"Diego","non-dropping-particle":"","parse-names":false,"suffix":""},{"dropping-particle":"","family":"Karhu","given":"Auli","non-dropping-particle":"","parse-names":false,"suffix":""},{"dropping-particle":"","family":"Aaltonen","given":"Lauri A.","non-dropping-particle":"","parse-names":false,"suffix":""}],"container-title":"International journal of cancer","id":"ITEM-1","issue":"7","issued":{"date-parts":[["2012","4","1"]]},"page":"1558-1566","publisher":"Int J Cancer","title":"Candidate driver genes in microsatellite-unstable colorectal cancer","type":"article-journal","volume":"130"},"uris":["http://www.mendeley.com/documents/?uuid=49916e38-9553-322a-9b19-f51798dfd49f"]}],"mendeley":{"formattedCitation":"[2]","plainTextFormattedCitation":"[2]","previouslyFormattedCitation":"[2]"},"properties":{"noteIndex":0},"schema":"https://github.com/citation-style-language/schema/raw/master/csl-citation.json"}</w:instrText>
      </w:r>
      <w:r w:rsidRPr="004108F2">
        <w:rPr>
          <w:rStyle w:val="Emphasis"/>
        </w:rPr>
        <w:fldChar w:fldCharType="separate"/>
      </w:r>
      <w:r w:rsidRPr="004108F2">
        <w:rPr>
          <w:rStyle w:val="Emphasis"/>
        </w:rPr>
        <w:t>[2]</w:t>
      </w:r>
      <w:r w:rsidRPr="004108F2">
        <w:rPr>
          <w:rStyle w:val="Emphasis"/>
        </w:rPr>
        <w:fldChar w:fldCharType="end"/>
      </w:r>
      <w:r w:rsidRPr="004108F2">
        <w:rPr>
          <w:rStyle w:val="Emphasis"/>
        </w:rPr>
        <w:t xml:space="preserve">. The status of microsatellite is divided into three groups, a high-level mutation (MSI-H) that indicates two or more mutated locus counts, a low-level mutation (MSI-L) indicating one mutated locus count, stable locus (MSS) indicating no mutated locus </w:t>
      </w:r>
      <w:r w:rsidRPr="004108F2">
        <w:rPr>
          <w:rStyle w:val="Emphasis"/>
        </w:rPr>
        <w:fldChar w:fldCharType="begin" w:fldLock="1"/>
      </w:r>
      <w:r w:rsidRPr="004108F2">
        <w:rPr>
          <w:rStyle w:val="Emphasis"/>
        </w:rPr>
        <w:instrText>ADDIN CSL_CITATION {"citationItems":[{"id":"ITEM-1","itemData":{"DOI":"10.1007/S00432-019-03053-4","ISSN":"1432-1335","PMID":"31617076","abstract":"Purpose: Microsatellites are widely distributed repetitive DNA motifs, accounting for approximately 3% of the genome. Due to mismatch repair system deficiency, insertion or deletion of repetitive units often occurs, leading to microsatellite instability. In this review, we aimed to explore the relationship between MSI and biological behaviour of colorectal carcinoma, gastric carcinoma, lymphoma/leukaemia and endometrial carcinoma, as well as the application of frameshift peptide vaccines in cancer therapy. Methods: The relevant literature from PubMed and Baidu Xueshu were reviewed in this article. The ClinicalTrials.gov database was searched for clinical trials related to the specific topic. Results: Microsatellite instability is divided into three subtypes: high-level, low-level microsatellite instability, and stable microsatellites. The majority of tumour patients with high-level microsatellite instability often show a better efficacy and prognosis than those with low-level microsatellite instability or stable microsatellites. In coding regions, especially for genes involved in tumourigenesis, microsatellite instability often results in inactivation of proteins and contributes to tumourigenesis. Moreover, the occurrence of microsatellite instability in coding regions can also cause the generation of frameshift peptides that are thought to be unknown and novel to the individual immune system. Thus, these frameshift peptides have the potential to be biomarkers to raise tumour-specific immune responses. Conclusion: MSI has the potential to become a key predictor for evaluating the degree of malignancy, efficacy and prognosis of tumours. Clinically, MSI patterns will provide more valuable information for clinicians to create optimal individualized treatment strategies based on frameshift peptides vaccines.","author":[{"dropping-particle":"","family":"Yang","given":"Guang","non-dropping-particle":"","parse-names":false,"suffix":""},{"dropping-particle":"","family":"Zheng","given":"Ru yi","non-dropping-particle":"","parse-names":false,"suffix":""},{"dropping-particle":"","family":"Jin","given":"Zai shun","non-dropping-particle":"","parse-names":false,"suffix":""}],"container-title":"Journal of cancer research and clinical oncology","id":"ITEM-1","issue":"12","issued":{"date-parts":[["2019","12","1"]]},"page":"2891-2899","publisher":"J Cancer Res Clin Oncol","title":"Correlations between microsatellite instability and the biological behaviour of tumours","type":"article-journal","volume":"145"},"uris":["http://www.mendeley.com/documents/?uuid=18cea373-9f93-3911-a274-13ed3ff3982f"]}],"mendeley":{"formattedCitation":"[3]","plainTextFormattedCitation":"[3]","previouslyFormattedCitation":"[3]"},"properties":{"noteIndex":0},"schema":"https://github.com/citation-style-language/schema/raw/master/csl-citation.json"}</w:instrText>
      </w:r>
      <w:r w:rsidRPr="004108F2">
        <w:rPr>
          <w:rStyle w:val="Emphasis"/>
        </w:rPr>
        <w:fldChar w:fldCharType="separate"/>
      </w:r>
      <w:r w:rsidRPr="004108F2">
        <w:rPr>
          <w:rStyle w:val="Emphasis"/>
        </w:rPr>
        <w:t>[3]</w:t>
      </w:r>
      <w:r w:rsidRPr="004108F2">
        <w:rPr>
          <w:rStyle w:val="Emphasis"/>
        </w:rPr>
        <w:fldChar w:fldCharType="end"/>
      </w:r>
      <w:r w:rsidRPr="004108F2">
        <w:rPr>
          <w:rStyle w:val="Emphasis"/>
        </w:rPr>
        <w:t>.</w:t>
      </w:r>
    </w:p>
    <w:p w14:paraId="73E224DB" w14:textId="77777777" w:rsidR="006852C5" w:rsidRPr="004108F2" w:rsidRDefault="006852C5" w:rsidP="004108F2">
      <w:pPr>
        <w:pStyle w:val="Paragraph"/>
        <w:rPr>
          <w:rStyle w:val="Emphasis"/>
        </w:rPr>
      </w:pPr>
      <w:r w:rsidRPr="004108F2">
        <w:rPr>
          <w:rStyle w:val="Emphasis"/>
        </w:rPr>
        <w:t xml:space="preserve">Microsatellite Instability (MSI) is found in the colorectal, and gastric cancer can also be called gastrointestinal cancer. Approximately 15% to 30%, and 10% to 20% MSI are present in patients with colorectal, and gastric cancer </w:t>
      </w:r>
      <w:r w:rsidRPr="004108F2">
        <w:rPr>
          <w:rStyle w:val="Emphasis"/>
        </w:rPr>
        <w:fldChar w:fldCharType="begin" w:fldLock="1"/>
      </w:r>
      <w:r w:rsidRPr="004108F2">
        <w:rPr>
          <w:rStyle w:val="Emphasis"/>
        </w:rPr>
        <w:instrText>ADDIN CSL_CITATION {"citationItems":[{"id":"ITEM-1","itemData":{"DOI":"10.3748/WJG.V20.I44.16433","ISSN":"2219-2840","PMID":"25469011","abstract":"Loss of DNA mismatch repair (MMR) function, due to somatic or germline epi/genetic alterations of MMR genes leads to the accumulation of numerous mutations across the genome, creating a molecular phenotype known as microsatellite instability (MSI). In gastric cancer (GC), MSI occurs in about 15% to 30% of the cases. This review summarizes the current knowledge on the molecular mechanisms underlying the acquisition of MSI in GC as well as on the clinic, pathologic and molecular consequences of the MSI phenotype. Additionally, current therapeutic strategies for GC and their applicability in the MSI subset are also discussed.","author":[{"dropping-particle":"","family":"Velho","given":"Sérgia","non-dropping-particle":"","parse-names":false,"suffix":""},{"dropping-particle":"","family":"Fernandes","given":"Maria Sofia","non-dropping-particle":"","parse-names":false,"suffix":""},{"dropping-particle":"","family":"Leite","given":"Marina","non-dropping-particle":"","parse-names":false,"suffix":""},{"dropping-particle":"","family":"Figueiredo","given":"Ceu","non-dropping-particle":"","parse-names":false,"suffix":""},{"dropping-particle":"","family":"Seruca","given":"Raquel","non-dropping-particle":"","parse-names":false,"suffix":""}],"container-title":"World journal of gastroenterology","id":"ITEM-1","issue":"44","issued":{"date-parts":[["2014","11","28"]]},"page":"16433-16442","publisher":"World J Gastroenterol","title":"Causes and consequences of microsatellite instability in gastric carcinogenesis","type":"article-journal","volume":"20"},"uris":["http://www.mendeley.com/documents/?uuid=5714a86a-44d0-38b4-99cb-d9b635c6c1ba"]}],"mendeley":{"formattedCitation":"[4]","plainTextFormattedCitation":"[4]","previouslyFormattedCitation":"[4]"},"properties":{"noteIndex":0},"schema":"https://github.com/citation-style-language/schema/raw/master/csl-citation.json"}</w:instrText>
      </w:r>
      <w:r w:rsidRPr="004108F2">
        <w:rPr>
          <w:rStyle w:val="Emphasis"/>
        </w:rPr>
        <w:fldChar w:fldCharType="separate"/>
      </w:r>
      <w:r w:rsidRPr="004108F2">
        <w:rPr>
          <w:rStyle w:val="Emphasis"/>
        </w:rPr>
        <w:t>[4]</w:t>
      </w:r>
      <w:r w:rsidRPr="004108F2">
        <w:rPr>
          <w:rStyle w:val="Emphasis"/>
        </w:rPr>
        <w:fldChar w:fldCharType="end"/>
      </w:r>
      <w:r w:rsidRPr="004108F2">
        <w:rPr>
          <w:rStyle w:val="Emphasis"/>
        </w:rPr>
        <w:fldChar w:fldCharType="begin" w:fldLock="1"/>
      </w:r>
      <w:r w:rsidRPr="004108F2">
        <w:rPr>
          <w:rStyle w:val="Emphasis"/>
        </w:rPr>
        <w:instrText>ADDIN CSL_CITATION {"citationItems":[{"id":"ITEM-1","itemData":{"DOI":"10.1038/BJC.2016.161","ISSN":"1532-1827","PMID":"27228287","abstract":"Background: Among colorectal cancers (CRCs), high-frequency microsatellite instability (MSI-H) is associated with a better prognosis, compared with low-frequency MSI or microsatellite stability (MSI-L/MSS). However, it is unclear whether MSI affects the prognosis of recurrent CRCs. Methods: This study included 2940 patients with stage I-III CRC who underwent complete resection. The associations of MSI status with recurrence patterns, disease-free survival (DFS), overall survival from diagnosis to death (OS1), and overall survival from recurrence to death (OS2) were analysed. Results: A total of 261 patients (8.9%) had MSI-H CRC. Patients with MSI-H CRC had better DFS, compared to patients with MSI-L/MSS CRC (hazard ratio (HR): 0.619, P&lt;0.001). High-frequency microsatellite instability CRC was associated with more frequent local recurrence (30.0% vs 12.0%, P=0.032) or peritoneal metastasis (40.0% vs 12.3%, P=0.003), and less frequent lung (10.0% vs 42.5%, P=0.004) or liver metastases (15.0% vs 44.7%, P=0.01). Recurrent MSI-H CRC was associated with worse OS1 (HR: 1.363, P=0.035) and OS2 (HR: 2.667, P&lt;0.001). An analysis of patients with colon cancer yielded similar results. Conclusions: Recurrence patterns differed between MSI-H CRC and MSI-L/MSS CRC, and recurrent MSI-H CRCs had a worse prognosis.","author":[{"dropping-particle":"","family":"Kim","given":"Chang Gon","non-dropping-particle":"","parse-names":false,"suffix":""},{"dropping-particle":"","family":"Ahn","given":"Joong Bae","non-dropping-particle":"","parse-names":false,"suffix":""},{"dropping-particle":"","family":"Jung","given":"Minkyu","non-dropping-particle":"","parse-names":false,"suffix":""},{"dropping-particle":"","family":"Beom","given":"Seung Hoon","non-dropping-particle":"","parse-names":false,"suffix":""},{"dropping-particle":"","family":"Kim","given":"Chan","non-dropping-particle":"","parse-names":false,"suffix":""},{"dropping-particle":"","family":"Kim","given":"Joo Hoon","non-dropping-particle":"","parse-names":false,"suffix":""},{"dropping-particle":"","family":"Heo","given":"Su Jin","non-dropping-particle":"","parse-names":false,"suffix":""},{"dropping-particle":"","family":"Park","given":"Hyung Soon","non-dropping-particle":"","parse-names":false,"suffix":""},{"dropping-particle":"","family":"Kim","given":"Jee Hung","non-dropping-particle":"","parse-names":false,"suffix":""},{"dropping-particle":"","family":"Kim","given":"Nam Kyu","non-dropping-particle":"","parse-names":false,"suffix":""},{"dropping-particle":"","family":"Min","given":"Byung Soh","non-dropping-particle":"","parse-names":false,"suffix":""},{"dropping-particle":"","family":"Kim","given":"Hoguen","non-dropping-particle":"","parse-names":false,"suffix":""},{"dropping-particle":"","family":"Koom","given":"Woong Sub","non-dropping-particle":"","parse-names":false,"suffix":""},{"dropping-particle":"","family":"Shin","given":"Sang Joon","non-dropping-particle":"","parse-names":false,"suffix":""}],"container-title":"British journal of cancer","id":"ITEM-1","issue":"1","issued":{"date-parts":[["2016","6","28"]]},"page":"25-33","publisher":"Br J Cancer","title":"Effects of microsatellite instability on recurrence patterns and outcomes in colorectal cancers","type":"article-journal","volume":"115"},"uris":["http://www.mendeley.com/documents/?uuid=713bc0e4-738e-3df9-934e-de01a86570f2"]}],"mendeley":{"formattedCitation":"[5]","plainTextFormattedCitation":"[5]","previouslyFormattedCitation":"[5]"},"properties":{"noteIndex":0},"schema":"https://github.com/citation-style-language/schema/raw/master/csl-citation.json"}</w:instrText>
      </w:r>
      <w:r w:rsidRPr="004108F2">
        <w:rPr>
          <w:rStyle w:val="Emphasis"/>
        </w:rPr>
        <w:fldChar w:fldCharType="separate"/>
      </w:r>
      <w:r w:rsidRPr="004108F2">
        <w:rPr>
          <w:rStyle w:val="Emphasis"/>
        </w:rPr>
        <w:t>[5]</w:t>
      </w:r>
      <w:r w:rsidRPr="004108F2">
        <w:rPr>
          <w:rStyle w:val="Emphasis"/>
        </w:rPr>
        <w:fldChar w:fldCharType="end"/>
      </w:r>
      <w:r w:rsidRPr="004108F2">
        <w:rPr>
          <w:rStyle w:val="Emphasis"/>
        </w:rPr>
        <w:t xml:space="preserve">. Gastrointestinal cancer patients with microsatellite instability (MSI) get good guesses about the level of recovery, and therapy. However, patients with stage II, and III colorectal cancer did not get any side effects from chemotherapy (5-Fu) (ACT) performed after surgery </w:t>
      </w:r>
      <w:r w:rsidRPr="004108F2">
        <w:rPr>
          <w:rStyle w:val="Emphasis"/>
        </w:rPr>
        <w:fldChar w:fldCharType="begin" w:fldLock="1"/>
      </w:r>
      <w:r w:rsidRPr="004108F2">
        <w:rPr>
          <w:rStyle w:val="Emphasis"/>
        </w:rPr>
        <w:instrText>ADDIN CSL_CITATION {"citationItems":[{"id":"ITEM-1","itemData":{"DOI":"10.1186/S12864-019-6129-8","ISSN":"1471-2164","PMID":"31646964","abstract":"Background: Microsatellite instability (MSI) accounts for about 15% of colorectal cancer and is associated with prognosis. Today, MSI is usually detected by polymerase chain reaction amplification of specific microsatellite markers. However, the instability is identified by comparing the length of microsatellite repeats in tumor and normal samples. In this work, we developed a qualitative transcriptional signature to individually predict MSI status for right-sided colon cancer (RCC) based on tumor samples. Results: Using RCC samples, based on the relative expression orderings (REOs) of gene pairs, we extracted a signature consisting of 10 gene pairs (10-GPS) to predict MSI status for RCC through a feature selection process. A sample is predicted as MSI when the gene expression orderings of at least 7 gene pairs vote for MSI; otherwise the microsatellite stability (MSS). The classification performance reached the largest F-score in the training dataset. This signature was verified in four independent datasets of RCCs with the F-scores of 1, 0.9630, 0.9412 and 0.8798, respectively. Additionally, the hierarchical clustering analyses and molecular features also supported the correctness of the reclassifications of the MSI status by 10-GPS. Conclusions: The qualitative transcriptional signature can be used to classify MSI status of RCC samples at the individualized level.","author":[{"dropping-particle":"","family":"Fu","given":"Yelin","non-dropping-particle":"","parse-names":false,"suffix":""},{"dropping-particle":"","family":"Qi","given":"Lishuang","non-dropping-particle":"","parse-names":false,"suffix":""},{"dropping-particle":"","family":"Guo","given":"Wenbing","non-dropping-particle":"","parse-names":false,"suffix":""},{"dropping-particle":"","family":"Jin","given":"Liangliang","non-dropping-particle":"","parse-names":false,"suffix":""},{"dropping-particle":"","family":"Song","given":"Kai","non-dropping-particle":"","parse-names":false,"suffix":""},{"dropping-particle":"","family":"You","given":"Tianyi","non-dropping-particle":"","parse-names":false,"suffix":""},{"dropping-particle":"","family":"Zhang","given":"Shuobo","non-dropping-particle":"","parse-names":false,"suffix":""},{"dropping-particle":"","family":"Gu","given":"Yunyan","non-dropping-particle":"","parse-names":false,"suffix":""},{"dropping-particle":"","family":"Zhao","given":"Wenyuan","non-dropping-particle":"","parse-names":false,"suffix":""},{"dropping-particle":"","family":"Guo","given":"Zheng","non-dropping-particle":"","parse-names":false,"suffix":""}],"container-title":"BMC genomics","id":"ITEM-1","issue":"1","issued":{"date-parts":[["2019","10","23"]]},"publisher":"BMC Genomics","title":"A qualitative transcriptional signature for predicting microsatellite instability status of right-sided Colon Cancer","type":"article-journal","volume":"20"},"uris":["http://www.mendeley.com/documents/?uuid=328d2d7d-8f51-3810-8cb4-3c34c447be6e"]}],"mendeley":{"formattedCitation":"[6]","plainTextFormattedCitation":"[6]","previouslyFormattedCitation":"[6]"},"properties":{"noteIndex":0},"schema":"https://github.com/citation-style-language/schema/raw/master/csl-citation.json"}</w:instrText>
      </w:r>
      <w:r w:rsidRPr="004108F2">
        <w:rPr>
          <w:rStyle w:val="Emphasis"/>
        </w:rPr>
        <w:fldChar w:fldCharType="separate"/>
      </w:r>
      <w:r w:rsidRPr="004108F2">
        <w:rPr>
          <w:rStyle w:val="Emphasis"/>
        </w:rPr>
        <w:t>[6]</w:t>
      </w:r>
      <w:r w:rsidRPr="004108F2">
        <w:rPr>
          <w:rStyle w:val="Emphasis"/>
        </w:rPr>
        <w:fldChar w:fldCharType="end"/>
      </w:r>
      <w:r w:rsidRPr="004108F2">
        <w:rPr>
          <w:rStyle w:val="Emphasis"/>
        </w:rPr>
        <w:t>. Identification of the status of microsatellites is needed to determine the next step in the treatment of gastrointestinal cancer patients. Identification is performed using a multiplex polymerase chain reaction (PCR) test kit or a multiplex immunohistochemistry (IHC) panel.</w:t>
      </w:r>
    </w:p>
    <w:p w14:paraId="45ACD8CC" w14:textId="77777777" w:rsidR="006852C5" w:rsidRPr="004108F2" w:rsidRDefault="006852C5" w:rsidP="004108F2">
      <w:pPr>
        <w:pStyle w:val="Paragraph"/>
        <w:rPr>
          <w:rStyle w:val="Emphasis"/>
        </w:rPr>
      </w:pPr>
      <w:r w:rsidRPr="004108F2">
        <w:rPr>
          <w:rStyle w:val="Emphasis"/>
        </w:rPr>
        <w:t xml:space="preserve">Identification of microsatellite instability (MSI) status costs a fortune, and additional genetic tests may not be available to all patients </w:t>
      </w:r>
      <w:r w:rsidRPr="004108F2">
        <w:rPr>
          <w:rStyle w:val="Emphasis"/>
        </w:rPr>
        <w:fldChar w:fldCharType="begin" w:fldLock="1"/>
      </w:r>
      <w:r w:rsidRPr="004108F2">
        <w:rPr>
          <w:rStyle w:val="Emphasis"/>
        </w:rPr>
        <w:instrText>ADDIN CSL_CITATION {"citationItems":[{"id":"ITEM-1","itemData":{"DOI":"10.1053/J.GASTRO.2020.06.021","ISSN":"1528-0012","PMID":"32562722","abstract":"Background &amp; Aims: Microsatellite instability (MSI) and mismatch-repair deficiency (dMMR) in colorectal tumors are used to select treatment for patients. Deep learning can detect MSI and dMMR in tumor samples on routine histology slides faster and less expensively than molecular assays. However, clinical application of this technology requires high performance and multisite validation, which have not yet been performed. Methods: We collected H&amp;E-stained slides and findings from molecular analyses for MSI and dMMR from 8836 colorectal tumors (of all stages) included in the MSIDETECT consortium study, from Germany, the Netherlands, the United Kingdom, and the United States. Specimens with dMMR were identified by immunohistochemistry analyses of tissue microarrays for loss of MLH1, MSH2, MSH6, and/or PMS2. Specimens with MSI were identified by genetic analyses. We trained a deep-learning detector to identify samples with MSI from these slides; performance was assessed by cross-validation (N = 6406 specimens) and validated in an external cohort (n = 771 specimens). Prespecified endpoints were area under the receiver operating characteristic (AUROC) curve and area under the precision-recall curve (AUPRC). Results: The deep-learning detector identified specimens with dMMR or MSI with a mean AUROC curve of 0.92 (lower bound, 0.91; upper bound, 0.93) and an AUPRC of 0.63 (range, 0.59–0.65), or 67% specificity and 95% sensitivity, in the cross-validation development cohort. In the validation cohort, the classifier identified samples with dMMR with an AUROC of 0.95 (range, 0.92–0.96) without image preprocessing and an AUROC of 0.96 (range, 0.93–0.98) after color normalization. Conclusions: We developed a deep-learning system that detects colorectal cancer specimens with dMMR or MSI using H&amp;E-stained slides; it detected tissues with dMMR with an AUROC of 0.96 in a large, international validation cohort. This system might be used for high-throughput, low-cost evaluation of colorectal tissue specimens.","author":[{"dropping-particle":"","family":"Echle","given":"Amelie","non-dropping-particle":"","parse-names":false,"suffix":""},{"dropping-particle":"","family":"Grabsch","given":"Heike Irmgard","non-dropping-particle":"","parse-names":false,"suffix":""},{"dropping-particle":"","family":"Quirke","given":"Philip","non-dropping-particle":"","parse-names":false,"suffix":""},{"dropping-particle":"","family":"Brandt","given":"Piet A.","non-dropping-particle":"van den","parse-names":false,"suffix":""},{"dropping-particle":"","family":"West","given":"Nicholas P.","non-dropping-particle":"","parse-names":false,"suffix":""},{"dropping-particle":"","family":"Hutchins","given":"Gordon G.A.","non-dropping-particle":"","parse-names":false,"suffix":""},{"dropping-particle":"","family":"Heij","given":"Lara R.","non-dropping-particle":"","parse-names":false,"suffix":""},{"dropping-particle":"","family":"Tan","given":"Xiuxiang","non-dropping-particle":"","parse-names":false,"suffix":""},{"dropping-particle":"","family":"Richman","given":"Susan D.","non-dropping-particle":"","parse-names":false,"suffix":""},{"dropping-particle":"","family":"Krause","given":"Jeremias","non-dropping-particle":"","parse-names":false,"suffix":""},{"dropping-particle":"","family":"Alwers","given":"Elizabeth","non-dropping-particle":"","parse-names":false,"suffix":""},{"dropping-particle":"","family":"Jenniskens","given":"Josien","non-dropping-particle":"","parse-names":false,"suffix":""},{"dropping-particle":"","family":"Offermans","given":"Kelly","non-dropping-particle":"","parse-names":false,"suffix":""},{"dropping-particle":"","family":"Gray","given":"Richard","non-dropping-particle":"","parse-names":false,"suffix":""},{"dropping-particle":"","family":"Brenner","given":"Hermann","non-dropping-particle":"","parse-names":false,"suffix":""},{"dropping-particle":"","family":"Chang-Claude","given":"Jenny","non-dropping-particle":"","parse-names":false,"suffix":""},{"dropping-particle":"","family":"Trautwein","given":"Christian","non-dropping-particle":"","parse-names":false,"suffix":""},{"dropping-particle":"","family":"Pearson","given":"Alexander T.","non-dropping-particle":"","parse-names":false,"suffix":""},{"dropping-particle":"","family":"Boor","given":"Peter","non-dropping-particle":"","parse-names":false,"suffix":""},{"dropping-particle":"","family":"Luedde","given":"Tom","non-dropping-particle":"","parse-names":false,"suffix":""},{"dropping-particle":"","family":"Gaisa","given":"Nadine Therese","non-dropping-particle":"","parse-names":false,"suffix":""},{"dropping-particle":"","family":"Hoffmeister","given":"Michael","non-dropping-particle":"","parse-names":false,"suffix":""},{"dropping-particle":"","family":"Kather","given":"Jakob Nikolas","non-dropping-particle":"","parse-names":false,"suffix":""}],"container-title":"Gastroenterology","id":"ITEM-1","issue":"4","issued":{"date-parts":[["2020","10","1"]]},"page":"1406-1416.e11","publisher":"Gastroenterology","title":"Clinical-Grade Detection of Microsatellite Instability in Colorectal Tumors by Deep Learning","type":"article-journal","volume":"159"},"uris":["http://www.mendeley.com/documents/?uuid=bdd8af3e-b644-3bd8-bbc3-691377598a75"]}],"mendeley":{"formattedCitation":"[7]","plainTextFormattedCitation":"[7]","previouslyFormattedCitation":"[7]"},"properties":{"noteIndex":0},"schema":"https://github.com/citation-style-language/schema/raw/master/csl-citation.json"}</w:instrText>
      </w:r>
      <w:r w:rsidRPr="004108F2">
        <w:rPr>
          <w:rStyle w:val="Emphasis"/>
        </w:rPr>
        <w:fldChar w:fldCharType="separate"/>
      </w:r>
      <w:r w:rsidRPr="004108F2">
        <w:rPr>
          <w:rStyle w:val="Emphasis"/>
        </w:rPr>
        <w:t>[7]</w:t>
      </w:r>
      <w:r w:rsidRPr="004108F2">
        <w:rPr>
          <w:rStyle w:val="Emphasis"/>
        </w:rPr>
        <w:fldChar w:fldCharType="end"/>
      </w:r>
      <w:r w:rsidRPr="004108F2">
        <w:rPr>
          <w:rStyle w:val="Emphasis"/>
        </w:rPr>
        <w:fldChar w:fldCharType="begin" w:fldLock="1"/>
      </w:r>
      <w:r w:rsidRPr="004108F2">
        <w:rPr>
          <w:rStyle w:val="Emphasis"/>
        </w:rPr>
        <w:instrText>ADDIN CSL_CITATION {"citationItems":[{"id":"ITEM-1","itemData":{"DOI":"10.1109/ISBI45749.2020.9098647","ISBN":"9781538693308","ISSN":"19458452","abstract":"Microsatellite instability is an important clinical marker for various types of cancers and is related to patients' prognosis and response to immunotherapy. Currently, identifying mi-crosatellite status relies on genetic tests, which are not widely accessible for every patient. We propose a novel pipeline to predict MSI directly from histology slides which represent the gold standard for cancer diagnosis and are ubiquitously available for cancer patients. Our method outperformed existing method on the uterine corpus endometrial carcinoma cohort in The Cancer Genome Atlas (AUC 0.73 vs. 0.56).","author":[{"dropping-particle":"","family":"Wang","given":"Tongxin","non-dropping-particle":"","parse-names":false,"suffix":""},{"dropping-particle":"","family":"Lu","given":"Weijia","non-dropping-particle":"","parse-names":false,"suffix":""},{"dropping-particle":"","family":"Yang","given":"Fan","non-dropping-particle":"","parse-names":false,"suffix":""},{"dropping-particle":"","family":"Liu","given":"Li","non-dropping-particle":"","parse-names":false,"suffix":""},{"dropping-particle":"","family":"Dong","given":"Zhongyi","non-dropping-particle":"","parse-names":false,"suffix":""},{"dropping-particle":"","family":"Tang","given":"Weimin","non-dropping-particle":"","parse-names":false,"suffix":""},{"dropping-particle":"","family":"Chang","given":"Jia","non-dropping-particle":"","parse-names":false,"suffix":""},{"dropping-particle":"","family":"Huan","given":"Wenjing","non-dropping-particle":"","parse-names":false,"suffix":""},{"dropping-particle":"","family":"Huang","given":"Kun","non-dropping-particle":"","parse-names":false,"suffix":""},{"dropping-particle":"","family":"Yao","given":"Jianhua","non-dropping-particle":"","parse-names":false,"suffix":""}],"container-title":"Proceedings - International Symposium on Biomedical Imaging","id":"ITEM-1","issued":{"date-parts":[["2020","4","1"]]},"page":"1289-1292","publisher":"IEEE Computer Society","title":"Microsatellite Instability Prediction of Uterine Corpus Endometrial Carcinoma Based on HE Histology Whole-Slide Imaging","type":"article-journal","volume":"2020-April"},"uris":["http://www.mendeley.com/documents/?uuid=ce82b004-a604-3242-ae3a-15bb18e4d47e"]}],"mendeley":{"formattedCitation":"[8]","plainTextFormattedCitation":"[8]","previouslyFormattedCitation":"[8]"},"properties":{"noteIndex":0},"schema":"https://github.com/citation-style-language/schema/raw/master/csl-citation.json"}</w:instrText>
      </w:r>
      <w:r w:rsidRPr="004108F2">
        <w:rPr>
          <w:rStyle w:val="Emphasis"/>
        </w:rPr>
        <w:fldChar w:fldCharType="separate"/>
      </w:r>
      <w:r w:rsidRPr="004108F2">
        <w:rPr>
          <w:rStyle w:val="Emphasis"/>
        </w:rPr>
        <w:t>[8]</w:t>
      </w:r>
      <w:r w:rsidRPr="004108F2">
        <w:rPr>
          <w:rStyle w:val="Emphasis"/>
        </w:rPr>
        <w:fldChar w:fldCharType="end"/>
      </w:r>
      <w:r w:rsidRPr="004108F2">
        <w:rPr>
          <w:rStyle w:val="Emphasis"/>
        </w:rPr>
        <w:t xml:space="preserve">. Other factors such as time, the accuracy of identification, and experts are also considered when identifying the status of microsatellites. Therefore, it takes technology that can identify the status of </w:t>
      </w:r>
      <w:r w:rsidRPr="004108F2">
        <w:rPr>
          <w:rStyle w:val="Emphasis"/>
        </w:rPr>
        <w:lastRenderedPageBreak/>
        <w:t xml:space="preserve">microsatellite in gastrointestinal cancer cells with a fast time, and accurate results </w:t>
      </w:r>
      <w:r w:rsidRPr="004108F2">
        <w:rPr>
          <w:rStyle w:val="Emphasis"/>
        </w:rPr>
        <w:fldChar w:fldCharType="begin" w:fldLock="1"/>
      </w:r>
      <w:r w:rsidRPr="004108F2">
        <w:rPr>
          <w:rStyle w:val="Emphasis"/>
        </w:rPr>
        <w:instrText>ADDIN CSL_CITATION {"citationItems":[{"id":"ITEM-1","itemData":{"DOI":"10.1016/J.AQUACULTURE.2005.11.031","ISSN":"0044-8486","abstract":"Microsatellites represent codominant molecular genetic markers, which are ubiquitously distributed within genomes. Due to their high level of polymorphism, relatively small size and rapid detection protocols, these markers are widely used in a variety of fundamental and applied fields of life and medical sciences. In the field of aquaculture, microsatellites represent workhorse markers, which are useful for the characterization of genetic stocks, broodstock selection, constructing dense linkage maps, mapping economically important quantitative traits, identifying genes responsible for these traits and application to marker-assisted breeding programmes. In this review, genomic distribution, function, evolution and practical applications of microsatellites are considered, with special emphasis on fish genetics and aquaculture. © 2005 Elsevier B.V. All rights reserved.","author":[{"dropping-particle":"","family":"Chistiakov","given":"Dimitry A.","non-dropping-particle":"","parse-names":false,"suffix":""},{"dropping-particle":"","family":"Hellemans","given":"Bart","non-dropping-particle":"","parse-names":false,"suffix":""},{"dropping-particle":"","family":"Volckaert","given":"Filip A.M.","non-dropping-particle":"","parse-names":false,"suffix":""}],"container-title":"Aquaculture","id":"ITEM-1","issue":"1-4","issued":{"date-parts":[["2006","5","31"]]},"page":"1-29","publisher":"Elsevier","title":"Microsatellites and their genomic distribution, evolution, function and applications: A review with special reference to fish genetics","type":"article-journal","volume":"255"},"uris":["http://www.mendeley.com/documents/?uuid=a7485ef1-0685-3113-ab07-a76c8911e5e3"]}],"mendeley":{"formattedCitation":"[1]","plainTextFormattedCitation":"[1]","previouslyFormattedCitation":"[1]"},"properties":{"noteIndex":0},"schema":"https://github.com/citation-style-language/schema/raw/master/csl-citation.json"}</w:instrText>
      </w:r>
      <w:r w:rsidRPr="004108F2">
        <w:rPr>
          <w:rStyle w:val="Emphasis"/>
        </w:rPr>
        <w:fldChar w:fldCharType="separate"/>
      </w:r>
      <w:r w:rsidRPr="004108F2">
        <w:rPr>
          <w:rStyle w:val="Emphasis"/>
        </w:rPr>
        <w:t>[1]</w:t>
      </w:r>
      <w:r w:rsidRPr="004108F2">
        <w:rPr>
          <w:rStyle w:val="Emphasis"/>
        </w:rPr>
        <w:fldChar w:fldCharType="end"/>
      </w:r>
      <w:r w:rsidRPr="004108F2">
        <w:rPr>
          <w:rStyle w:val="Emphasis"/>
        </w:rPr>
        <w:fldChar w:fldCharType="begin" w:fldLock="1"/>
      </w:r>
      <w:r w:rsidRPr="004108F2">
        <w:rPr>
          <w:rStyle w:val="Emphasis"/>
        </w:rPr>
        <w:instrText>ADDIN CSL_CITATION {"citationItems":[{"id":"ITEM-1","itemData":{"DOI":"10.1038/BJC.2016.161","ISSN":"1532-1827","PMID":"27228287","abstract":"Background: Among colorectal cancers (CRCs), high-frequency microsatellite instability (MSI-H) is associated with a better prognosis, compared with low-frequency MSI or microsatellite stability (MSI-L/MSS). However, it is unclear whether MSI affects the prognosis of recurrent CRCs. Methods: This study included 2940 patients with stage I-III CRC who underwent complete resection. The associations of MSI status with recurrence patterns, disease-free survival (DFS), overall survival from diagnosis to death (OS1), and overall survival from recurrence to death (OS2) were analysed. Results: A total of 261 patients (8.9%) had MSI-H CRC. Patients with MSI-H CRC had better DFS, compared to patients with MSI-L/MSS CRC (hazard ratio (HR): 0.619, P&lt;0.001). High-frequency microsatellite instability CRC was associated with more frequent local recurrence (30.0% vs 12.0%, P=0.032) or peritoneal metastasis (40.0% vs 12.3%, P=0.003), and less frequent lung (10.0% vs 42.5%, P=0.004) or liver metastases (15.0% vs 44.7%, P=0.01). Recurrent MSI-H CRC was associated with worse OS1 (HR: 1.363, P=0.035) and OS2 (HR: 2.667, P&lt;0.001). An analysis of patients with colon cancer yielded similar results. Conclusions: Recurrence patterns differed between MSI-H CRC and MSI-L/MSS CRC, and recurrent MSI-H CRCs had a worse prognosis.","author":[{"dropping-particle":"","family":"Kim","given":"Chang Gon","non-dropping-particle":"","parse-names":false,"suffix":""},{"dropping-particle":"","family":"Ahn","given":"Joong Bae","non-dropping-particle":"","parse-names":false,"suffix":""},{"dropping-particle":"","family":"Jung","given":"Minkyu","non-dropping-particle":"","parse-names":false,"suffix":""},{"dropping-particle":"","family":"Beom","given":"Seung Hoon","non-dropping-particle":"","parse-names":false,"suffix":""},{"dropping-particle":"","family":"Kim","given":"Chan","non-dropping-particle":"","parse-names":false,"suffix":""},{"dropping-particle":"","family":"Kim","given":"Joo Hoon","non-dropping-particle":"","parse-names":false,"suffix":""},{"dropping-particle":"","family":"Heo","given":"Su Jin","non-dropping-particle":"","parse-names":false,"suffix":""},{"dropping-particle":"","family":"Park","given":"Hyung Soon","non-dropping-particle":"","parse-names":false,"suffix":""},{"dropping-particle":"","family":"Kim","given":"Jee Hung","non-dropping-particle":"","parse-names":false,"suffix":""},{"dropping-particle":"","family":"Kim","given":"Nam Kyu","non-dropping-particle":"","parse-names":false,"suffix":""},{"dropping-particle":"","family":"Min","given":"Byung Soh","non-dropping-particle":"","parse-names":false,"suffix":""},{"dropping-particle":"","family":"Kim","given":"Hoguen","non-dropping-particle":"","parse-names":false,"suffix":""},{"dropping-particle":"","family":"Koom","given":"Woong Sub","non-dropping-particle":"","parse-names":false,"suffix":""},{"dropping-particle":"","family":"Shin","given":"Sang Joon","non-dropping-particle":"","parse-names":false,"suffix":""}],"container-title":"British journal of cancer","id":"ITEM-1","issue":"1","issued":{"date-parts":[["2016","6","28"]]},"page":"25-33","publisher":"Br J Cancer","title":"Effects of microsatellite instability on recurrence patterns and outcomes in colorectal cancers","type":"article-journal","volume":"115"},"uris":["http://www.mendeley.com/documents/?uuid=713bc0e4-738e-3df9-934e-de01a86570f2"]}],"mendeley":{"formattedCitation":"[5]","plainTextFormattedCitation":"[5]","previouslyFormattedCitation":"[5]"},"properties":{"noteIndex":0},"schema":"https://github.com/citation-style-language/schema/raw/master/csl-citation.json"}</w:instrText>
      </w:r>
      <w:r w:rsidRPr="004108F2">
        <w:rPr>
          <w:rStyle w:val="Emphasis"/>
        </w:rPr>
        <w:fldChar w:fldCharType="separate"/>
      </w:r>
      <w:r w:rsidRPr="004108F2">
        <w:rPr>
          <w:rStyle w:val="Emphasis"/>
        </w:rPr>
        <w:t>[5]</w:t>
      </w:r>
      <w:r w:rsidRPr="004108F2">
        <w:rPr>
          <w:rStyle w:val="Emphasis"/>
        </w:rPr>
        <w:fldChar w:fldCharType="end"/>
      </w:r>
      <w:r w:rsidRPr="004108F2">
        <w:rPr>
          <w:rStyle w:val="Emphasis"/>
        </w:rPr>
        <w:t xml:space="preserve">. In this problem, there is one part of artificial intelligence called Deep Learning. Deep Learning can classify the status of microsatellite by using histopathological image data of cancer cells in the gastrointestinal </w:t>
      </w:r>
      <w:r w:rsidRPr="004108F2">
        <w:rPr>
          <w:rStyle w:val="Emphasis"/>
        </w:rPr>
        <w:fldChar w:fldCharType="begin" w:fldLock="1"/>
      </w:r>
      <w:r w:rsidRPr="004108F2">
        <w:rPr>
          <w:rStyle w:val="Emphasis"/>
        </w:rPr>
        <w:instrText>ADDIN CSL_CITATION {"citationItems":[{"id":"ITEM-1","itemData":{"DOI":"10.1002/IJC.33599","ISSN":"1097-0215","PMID":"33851412","abstract":"High levels of microsatellite instability (MSI-H) occurs in about 15% of sporadic colorectal cancer (CRC) and is an important predictive marker for response to immune checkpoint inhibitors. To test the feasibility of a deep learning (DL)-based classifier as a screening tool for MSI status, we built a fully automated DL-based MSI classifier using pathology whole-slide images (WSIs) of CRCs. On small image patches of The Cancer Genome Atlas (TCGA) CRC WSI dataset, tissue/non-tissue, normal/tumor and MSS/MSI-H classifiers were applied sequentially for the fully automated prediction of the MSI status. The classifiers were also tested on an independent cohort. Furthermore, to test how the expansion of the training data affects the performance of the DL-based classifier, additional classifier trained on both TCGA and external datasets was tested. The areas under the receiver operating characteristic curves were 0.892 and 0.972 for the TCGA and external datasets, respectively, by a classifier trained on both datasets. The performance of the DL-based classifier was much better than that of previously reported histomorphology-based methods. We speculated that about 40% of CRC slides could be screened for MSI status without molecular testing by the DL-based classifier. These results demonstrated that the DL-based method has potential as a screening tool to discriminate molecular alteration in tissue slides.","author":[{"dropping-particle":"","family":"Lee","given":"Sung Hak","non-dropping-particle":"","parse-names":false,"suffix":""},{"dropping-particle":"","family":"Song","given":"In Hye","non-dropping-particle":"","parse-names":false,"suffix":""},{"dropping-particle":"","family":"Jang","given":"Hyun Jong","non-dropping-particle":"","parse-names":false,"suffix":""}],"container-title":"International Journal of Cancer","id":"ITEM-1","issue":"3","issued":{"date-parts":[["2021","8","1"]]},"page":"728-740","publisher":"John Wiley &amp; Sons, Ltd","title":"Feasibility of deep learning-based fully automated classification of microsatellite instability in tissue slides of colorectal cancer","type":"article-journal","volume":"149"},"uris":["http://www.mendeley.com/documents/?uuid=3b79fb61-3013-37be-90a0-4953e73c2b54"]}],"mendeley":{"formattedCitation":"[9]","plainTextFormattedCitation":"[9]","previouslyFormattedCitation":"[9]"},"properties":{"noteIndex":0},"schema":"https://github.com/citation-style-language/schema/raw/master/csl-citation.json"}</w:instrText>
      </w:r>
      <w:r w:rsidRPr="004108F2">
        <w:rPr>
          <w:rStyle w:val="Emphasis"/>
        </w:rPr>
        <w:fldChar w:fldCharType="separate"/>
      </w:r>
      <w:r w:rsidRPr="004108F2">
        <w:rPr>
          <w:rStyle w:val="Emphasis"/>
        </w:rPr>
        <w:t>[9]</w:t>
      </w:r>
      <w:r w:rsidRPr="004108F2">
        <w:rPr>
          <w:rStyle w:val="Emphasis"/>
        </w:rPr>
        <w:fldChar w:fldCharType="end"/>
      </w:r>
      <w:r w:rsidRPr="004108F2">
        <w:rPr>
          <w:rStyle w:val="Emphasis"/>
        </w:rPr>
        <w:t xml:space="preserve">. There are many methods that can be used for image classification in Deep Learning, one of which is Convolutional Neural Networks (CNN) </w:t>
      </w:r>
      <w:r w:rsidRPr="004108F2">
        <w:rPr>
          <w:rStyle w:val="Emphasis"/>
        </w:rPr>
        <w:fldChar w:fldCharType="begin" w:fldLock="1"/>
      </w:r>
      <w:r w:rsidRPr="004108F2">
        <w:rPr>
          <w:rStyle w:val="Emphasis"/>
        </w:rPr>
        <w:instrText>ADDIN CSL_CITATION {"citationItems":[{"id":"ITEM-1","itemData":{"DOI":"10.1109/ICOICT52021.2021.9527427","ISBN":"9781665404471","abstract":"Pneumonia is acknowledged as a respiratory disease caused by bacterial and, viral or fungal infections and has a high mortality rate. Identification of pneumonia is typically performed with Chest X-Ray image, but hampered by other lung problems that have been experienced by the patient. Therefore, this study proposes a Convolutional Neural Networks method by adding a Gabor filter and an Image Enhancement Preprocessing technique. The application of the Gabor filter obtains the best accuracy with a value of 94.4% and a loss of 44%, while Image Enhancement obtains an accuracy of 87.8% and the best loss of 35.8%. Combining the Gabor filter and Image Enhancement obtains better accuracy and loss of 93.9% and 40% than utilizing these methods separately.","author":[{"dropping-particle":"","family":"Minarno","given":"Agus Eko","non-dropping-particle":"","parse-names":false,"suffix":""},{"dropping-particle":"","family":"Rifal Alfarizy","given":"Muhammad","non-dropping-particle":"","parse-names":false,"suffix":""},{"dropping-particle":"","family":"Hendryawan","given":"Agus","non-dropping-particle":"","parse-names":false,"suffix":""},{"dropping-particle":"","family":"Syaifuddin","given":"Syaifuddin","non-dropping-particle":"","parse-names":false,"suffix":""},{"dropping-particle":"","family":"Munarko","given":"Yuda","non-dropping-particle":"","parse-names":false,"suffix":""}],"container-title":"2021 9th International Conference on Information and Communication Technology, ICoICT 2021","id":"ITEM-1","issued":{"date-parts":[["2021","8","3"]]},"page":"180-185","publisher":"Institute of Electrical and Electronics Engineers Inc.","title":"Pneumonia Classification using Gabor-Convolutional Neural Networks and Image Enhancement","type":"article-journal"},"uris":["http://www.mendeley.com/documents/?uuid=516e3430-d182-313d-80d0-88d5e015a170"]}],"mendeley":{"formattedCitation":"[10]","plainTextFormattedCitation":"[10]","previouslyFormattedCitation":"[10]"},"properties":{"noteIndex":0},"schema":"https://github.com/citation-style-language/schema/raw/master/csl-citation.json"}</w:instrText>
      </w:r>
      <w:r w:rsidRPr="004108F2">
        <w:rPr>
          <w:rStyle w:val="Emphasis"/>
        </w:rPr>
        <w:fldChar w:fldCharType="separate"/>
      </w:r>
      <w:r w:rsidRPr="004108F2">
        <w:rPr>
          <w:rStyle w:val="Emphasis"/>
        </w:rPr>
        <w:t>[10]</w:t>
      </w:r>
      <w:r w:rsidRPr="004108F2">
        <w:rPr>
          <w:rStyle w:val="Emphasis"/>
        </w:rPr>
        <w:fldChar w:fldCharType="end"/>
      </w:r>
      <w:r w:rsidRPr="004108F2">
        <w:rPr>
          <w:rStyle w:val="Emphasis"/>
        </w:rPr>
        <w:fldChar w:fldCharType="begin" w:fldLock="1"/>
      </w:r>
      <w:r w:rsidRPr="004108F2">
        <w:rPr>
          <w:rStyle w:val="Emphasis"/>
        </w:rPr>
        <w:instrText>ADDIN CSL_CITATION {"citationItems":[{"id":"ITEM-1","itemData":{"DOI":"10.22219/KINETIK.V6I2.1219","ISSN":"2503-2267","abstract":"Brain tumor has been acknowledged as the most dangerous disease through all its circles. Early identification of tumor disease is considered pivotal to identify the spread of brain tumors in administering the appropriate treatment. This study proposes a Convolutional Neural Network method to detect brain tumor on MRI images. The 3264 datasets were undertaken in this study with detailed images of Glioma tumor (926 images), Meningioma tumors (937 images), pituitary tumors (901 images), and other with no-tumors (500 images). The application of CNN method combined with Hyperparameter Tuning is proposed to achieve optimal results in classifying the brain tumor types. Hyperparameter Tuning acts as a navigator to achieve the best parameters in the proposed CNN model. In this study, the model testing was conducted with three different scenarios. The result of brain tumor classification depicts an accuracy of 96% in the third model testing scenario.","author":[{"dropping-particle":"","family":"Minarno","given":"Agus Eko","non-dropping-particle":"","parse-names":false,"suffix":""},{"dropping-particle":"","family":"Mandiri","given":"Mochammad Hazmi Cokro","non-dropping-particle":"","parse-names":false,"suffix":""},{"dropping-particle":"","family":"Munarko","given":"Yuda","non-dropping-particle":"","parse-names":false,"suffix":""},{"dropping-particle":"","family":"Hariyady","given":"Hariyady","non-dropping-particle":"","parse-names":false,"suffix":""}],"container-title":"Kinetik: Game Technology, Information System, Computer Network, Computing, Electronics, and Control","id":"ITEM-1","issue":"2","issued":{"date-parts":[["2021","5","31"]]},"page":"127-132","publisher":"Universitas Muhammadiyah Malang","title":"Convolutional Neural Network with Hyperparameter Tuning for Brain Tumor Classification","type":"article-journal","volume":"6"},"uris":["http://www.mendeley.com/documents/?uuid=d9470689-438e-3de9-ad0b-25215380444c"]}],"mendeley":{"formattedCitation":"[11]","plainTextFormattedCitation":"[11]","previouslyFormattedCitation":"[11]"},"properties":{"noteIndex":0},"schema":"https://github.com/citation-style-language/schema/raw/master/csl-citation.json"}</w:instrText>
      </w:r>
      <w:r w:rsidRPr="004108F2">
        <w:rPr>
          <w:rStyle w:val="Emphasis"/>
        </w:rPr>
        <w:fldChar w:fldCharType="separate"/>
      </w:r>
      <w:r w:rsidRPr="004108F2">
        <w:rPr>
          <w:rStyle w:val="Emphasis"/>
        </w:rPr>
        <w:t>[11]</w:t>
      </w:r>
      <w:r w:rsidRPr="004108F2">
        <w:rPr>
          <w:rStyle w:val="Emphasis"/>
        </w:rPr>
        <w:fldChar w:fldCharType="end"/>
      </w:r>
      <w:r w:rsidRPr="004108F2">
        <w:rPr>
          <w:rStyle w:val="Emphasis"/>
        </w:rPr>
        <w:t xml:space="preserve">. CNN has proven successful in image interpretation issues, and can be used in obtaining additional information from histopathology imagery </w:t>
      </w:r>
      <w:r w:rsidRPr="004108F2">
        <w:rPr>
          <w:rStyle w:val="Emphasis"/>
        </w:rPr>
        <w:fldChar w:fldCharType="begin" w:fldLock="1"/>
      </w:r>
      <w:r w:rsidRPr="004108F2">
        <w:rPr>
          <w:rStyle w:val="Emphasis"/>
        </w:rPr>
        <w:instrText>ADDIN CSL_CITATION {"citationItems":[{"id":"ITEM-1","itemData":{"DOI":"10.1016/S0140-6736(19)32998-8","ISSN":"1474-547X","PMID":"32007170","abstract":"Background: Improved markers of prognosis are needed to stratify patients with early-stage colorectal cancer to refine selection of adjuvant therapy. The aim of the present study was to develop a biomarker of patient outcome after primary colorectal cancer resection by directly analysing scanned conventional haematoxylin and eosin stained sections using deep learning. Methods: More than 12 000 000 image tiles from patients with a distinctly good or poor disease outcome from four cohorts were used to train a total of ten convolutional neural networks, purpose-built for classifying supersized heterogeneous images. A prognostic biomarker integrating the ten networks was determined using patients with a non-distinct outcome. The marker was tested on 920 patients with slides prepared in the UK, and then independently validated according to a predefined protocol in 1122 patients treated with single-agent capecitabine using slides prepared in Norway. All cohorts included only patients with resectable tumours, and a formalin-fixed, paraffin-embedded tumour tissue block available for analysis. The primary outcome was cancer-specific survival. Findings: 828 patients from four cohorts had a distinct outcome and were used as a training cohort to obtain clear ground truth. 1645 patients had a non-distinct outcome and were used for tuning. The biomarker provided a hazard ratio for poor versus good prognosis of 3·84 (95% CI 2·72–5·43; p&lt;0·0001) in the primary analysis of the validation cohort, and 3·04 (2·07–4·47; p&lt;0·0001) after adjusting for established prognostic markers significant in univariable analyses of the same cohort, which were pN stage, pT stage, lymphatic invasion, and venous vascular invasion. Interpretation: A clinically useful prognostic marker was developed using deep learning allied to digital scanning of conventional haematoxylin and eosin stained tumour tissue sections. The assay has been extensively evaluated in large, independent patient populations, correlates with and outperforms established molecular and morphological prognostic markers, and gives consistent results across tumour and nodal stage. The biomarker stratified stage II and III patients into sufficiently distinct prognostic groups that potentially could be used to guide selection of adjuvant treatment by avoiding therapy in very low risk groups and identifying patients who would benefit from more intensive treatment regimes. Funding: The Research Council of Norway.","author":[{"dropping-particle":"","family":"Skrede","given":"Ole Johan","non-dropping-particle":"","parse-names":false,"suffix":""},{"dropping-particle":"","family":"Raedt","given":"Sepp","non-dropping-particle":"De","parse-names":false,"suffix":""},{"dropping-particle":"","family":"Kleppe","given":"Andreas","non-dropping-particle":"","parse-names":false,"suffix":""},{"dropping-particle":"","family":"Hveem","given":"Tarjei S.","non-dropping-particle":"","parse-names":false,"suffix":""},{"dropping-particle":"","family":"Liestøl","given":"Knut","non-dropping-particle":"","parse-names":false,"suffix":""},{"dropping-particle":"","family":"Maddison","given":"John","non-dropping-particle":"","parse-names":false,"suffix":""},{"dropping-particle":"","family":"Askautrud","given":"Hanne A.","non-dropping-particle":"","parse-names":false,"suffix":""},{"dropping-particle":"","family":"Pradhan","given":"Manohar","non-dropping-particle":"","parse-names":false,"suffix":""},{"dropping-particle":"","family":"Nesheim","given":"John Arne","non-dropping-particle":"","parse-names":false,"suffix":""},{"dropping-particle":"","family":"Albregtsen","given":"Fritz","non-dropping-particle":"","parse-names":false,"suffix":""},{"dropping-particle":"","family":"Farstad","given":"Inger Nina","non-dropping-particle":"","parse-names":false,"suffix":""},{"dropping-particle":"","family":"Domingo","given":"Enric","non-dropping-particle":"","parse-names":false,"suffix":""},{"dropping-particle":"","family":"Church","given":"David N.","non-dropping-particle":"","parse-names":false,"suffix":""},{"dropping-particle":"","family":"Nesbakken","given":"Arild","non-dropping-particle":"","parse-names":false,"suffix":""},{"dropping-particle":"","family":"Shepherd","given":"Neil A.","non-dropping-particle":"","parse-names":false,"suffix":""},{"dropping-particle":"","family":"Tomlinson","given":"Ian","non-dropping-particle":"","parse-names":false,"suffix":""},{"dropping-particle":"","family":"Kerr","given":"Rachel","non-dropping-particle":"","parse-names":false,"suffix":""},{"dropping-particle":"","family":"Novelli","given":"Marco","non-dropping-particle":"","parse-names":false,"suffix":""},{"dropping-particle":"","family":"Kerr","given":"David J.","non-dropping-particle":"","parse-names":false,"suffix":""},{"dropping-particle":"","family":"Danielsen","given":"Håvard E.","non-dropping-particle":"","parse-names":false,"suffix":""}],"container-title":"Lancet (London, England)","id":"ITEM-1","issue":"10221","issued":{"date-parts":[["2020","2","1"]]},"page":"350-360","publisher":"Lancet","title":"Deep learning for prediction of colorectal cancer outcome: a discovery and validation study","type":"article-journal","volume":"395"},"uris":["http://www.mendeley.com/documents/?uuid=039a7722-a1af-3de8-9a8c-44f3277d5a9e"]}],"mendeley":{"formattedCitation":"[12]","plainTextFormattedCitation":"[12]","previouslyFormattedCitation":"[12]"},"properties":{"noteIndex":0},"schema":"https://github.com/citation-style-language/schema/raw/master/csl-citation.json"}</w:instrText>
      </w:r>
      <w:r w:rsidRPr="004108F2">
        <w:rPr>
          <w:rStyle w:val="Emphasis"/>
        </w:rPr>
        <w:fldChar w:fldCharType="separate"/>
      </w:r>
      <w:r w:rsidRPr="004108F2">
        <w:rPr>
          <w:rStyle w:val="Emphasis"/>
        </w:rPr>
        <w:t>[12]</w:t>
      </w:r>
      <w:r w:rsidRPr="004108F2">
        <w:rPr>
          <w:rStyle w:val="Emphasis"/>
        </w:rPr>
        <w:fldChar w:fldCharType="end"/>
      </w:r>
      <w:r w:rsidRPr="004108F2">
        <w:rPr>
          <w:rStyle w:val="Emphasis"/>
        </w:rPr>
        <w:fldChar w:fldCharType="begin" w:fldLock="1"/>
      </w:r>
      <w:r w:rsidRPr="004108F2">
        <w:rPr>
          <w:rStyle w:val="Emphasis"/>
        </w:rPr>
        <w:instrText>ADDIN CSL_CITATION {"citationItems":[{"id":"ITEM-1","itemData":{"DOI":"10.1109/ISITIA52817.2021.9502205","ISBN":"9781665428477","abstract":"Content Based Medical Image Retrieval (CBMIR) is considered as a common technique to retrieve relevant images by comparing the features contained in the query image with the features contained in the image located in the database. Currently, the study related to CBMIR on breast cancer image however remains challenging due to inadequate research in such area. Previous study has a low performance and misinformation emphasizing the feature extraction process. Therefore, this study aims to utilize the CNN based Autoencoder method to minimize misinformation in the feature extraction process and to improve the performance result. The dataset used in this study is the BreakHis dataset. Overall, the results of image retrieval in breast cancer applying the CNN based Autoencoder method achieved higher performance compared to the method used in the previous study with an average precision of 0.9237 in the mainclass dataset category and 0.6825 in the subclass dataset category.","author":[{"dropping-particle":"","family":"Minarno","given":"Agus Eko","non-dropping-particle":"","parse-names":false,"suffix":""},{"dropping-particle":"","family":"Ghufron","given":"Kharisma Muzaki","non-dropping-particle":"","parse-names":false,"suffix":""},{"dropping-particle":"","family":"Sabrila","given":"Trifebi Shina","non-dropping-particle":"","parse-names":false,"suffix":""},{"dropping-particle":"","family":"Husniah","given":"Lailatul","non-dropping-particle":"","parse-names":false,"suffix":""},{"dropping-particle":"","family":"Sumadi","given":"Fauzi Dwi Setiawan","non-dropping-particle":"","parse-names":false,"suffix":""}],"container-title":"Proceedings - 2021 International Seminar on Intelligent Technology and Its Application: Intelligent Systems for the New Normal Era, ISITIA 2021","id":"ITEM-1","issued":{"date-parts":[["2021","7","21"]]},"page":"29-34","publisher":"Institute of Electrical and Electronics Engineers Inc.","title":"CNN Based Autoencoder Application in Breast Cancer Image Retrieval","type":"article-journal"},"uris":["http://www.mendeley.com/documents/?uuid=12529fa0-e318-353a-ba09-397c763800f3"]}],"mendeley":{"formattedCitation":"[13]","plainTextFormattedCitation":"[13]","previouslyFormattedCitation":"[13]"},"properties":{"noteIndex":0},"schema":"https://github.com/citation-style-language/schema/raw/master/csl-citation.json"}</w:instrText>
      </w:r>
      <w:r w:rsidRPr="004108F2">
        <w:rPr>
          <w:rStyle w:val="Emphasis"/>
        </w:rPr>
        <w:fldChar w:fldCharType="separate"/>
      </w:r>
      <w:r w:rsidRPr="004108F2">
        <w:rPr>
          <w:rStyle w:val="Emphasis"/>
        </w:rPr>
        <w:t>[13]</w:t>
      </w:r>
      <w:r w:rsidRPr="004108F2">
        <w:rPr>
          <w:rStyle w:val="Emphasis"/>
        </w:rPr>
        <w:fldChar w:fldCharType="end"/>
      </w:r>
      <w:r w:rsidRPr="004108F2">
        <w:rPr>
          <w:rStyle w:val="Emphasis"/>
        </w:rPr>
        <w:t>.</w:t>
      </w:r>
    </w:p>
    <w:p w14:paraId="1305F20A" w14:textId="77777777" w:rsidR="006852C5" w:rsidRPr="004108F2" w:rsidRDefault="006852C5" w:rsidP="004108F2">
      <w:pPr>
        <w:pStyle w:val="Paragraph"/>
        <w:rPr>
          <w:rStyle w:val="Emphasis"/>
        </w:rPr>
      </w:pPr>
      <w:r w:rsidRPr="004108F2">
        <w:rPr>
          <w:rStyle w:val="Emphasis"/>
        </w:rPr>
        <w:t xml:space="preserve">Research on the classification of microsatellite status using Deep Learning, and CNN has been conducted before, one of them by the U.S. Echle in a study titled “Clinical-grade Detection of Microsatellite Instability in Colorectal Tumors by Deep Learning”. The study used Deep Learning with a modified Shufflenet architecture. The data used is The Cancer Genome Atlas (TCGA) amounting to 5,000 data of patients with stage I-IV colorectal cancer in the United States and found in portal.gdc.cancer.gov. The results obtained AUC values of 0.92, AUPRC 0.63, Specificity 63%, and Sensitivity 95% </w:t>
      </w:r>
      <w:r w:rsidRPr="004108F2">
        <w:rPr>
          <w:rStyle w:val="Emphasis"/>
        </w:rPr>
        <w:fldChar w:fldCharType="begin" w:fldLock="1"/>
      </w:r>
      <w:r w:rsidRPr="004108F2">
        <w:rPr>
          <w:rStyle w:val="Emphasis"/>
        </w:rPr>
        <w:instrText xml:space="preserve">ADDIN CSL_CITATION {"citationItems":[{"id":"ITEM-1","itemData":{"DOI":"10.1002/IJC.26167","ISSN":"1097-0215","PMID":"21544814","abstract":"Defects in the mismatch repair system lead to microsatellite instability (MSI), a feature observed in </w:instrText>
      </w:r>
      <w:r w:rsidRPr="004108F2">
        <w:rPr>
          <w:rStyle w:val="Emphasis"/>
          <w:rFonts w:ascii="Cambria Math" w:hAnsi="Cambria Math" w:cs="Cambria Math"/>
        </w:rPr>
        <w:instrText>∼</w:instrText>
      </w:r>
      <w:r w:rsidRPr="004108F2">
        <w:rPr>
          <w:rStyle w:val="Emphasis"/>
        </w:rPr>
        <w:instrText xml:space="preserve"> 15% of all colorectal cancers (CRCs). Microsatellite mutations that drive tumourigenesis, typically inactivation of tumour suppressors, are selected for and are frequently detected in MSI cancers. Here, we evaluated somatic mutations in microsatellite repeats of 790 genes chosen based on reduced expression in MSI CRC and existence of a coding mononucleotide repeat of 6-10 bp in length. All the repeats were initially sequenced in 30 primary MSI CRC samples and whenever frameshift mutations were identified in &gt;20%, additional 70 samples were sequenced. To distinguish driver mutations from passengers, we similarly analyzed the occurrence of frameshift mutations in 121 intronic control repeats and utilized a statistical regression model to determine cut-off mutation frequencies for repeats of all types (A/T and C/G, 6-10 bp). Along with several know target genes, including TGFBR2, ACVR2, and MSH3, six novel candidate driver genes emerged that harbored significantly more mutations than identical control repeats. The mutation frequencies in 100 MSI CRC samples were 51% in G8 of GLYR1, 47% in T9 of ABCC5, 43% in G8 of WDTC1, 33% in A8 of ROCK1, 30% in T8 of OR51E2, and 28% in A8 of TCEB3. Immunohistochemical staining of GLYR1 revealed defective protein expression in tumors carrying biallelic mutations, supporting a loss of function hypothesis. This is a large scale, unbiased effort to identify genes that when mutated are likely to contribute to MSI CRC development. Copyright © 2011 UICC.","author":[{"dropping-particle":"","family":"Alhopuro","given":"Pia","non-dropping-particle":"","parse-names":false,"suffix":""},{"dropping-particle":"","family":"Sammalkorpi","given":"Heli","non-dropping-particle":"","parse-names":false,"suffix":""},{"dropping-particle":"","family":"Niittymäki","given":"Iina","non-dropping-particle":"","parse-names":false,"suffix":""},{"dropping-particle":"","family":"Biström","given":"Mia","non-dropping-particle":"","parse-names":false,"suffix":""},{"dropping-particle":"","family":"Raitila","given":"Anniina","non-dropping-particle":"","parse-names":false,"suffix":""},{"dropping-particle":"","family":"Saharinen","given":"Juha","non-dropping-particle":"","parse-names":false,"suffix":""},{"dropping-particle":"","family":"Nousiainen","given":"Kari","non-dropping-particle":"","parse-names":false,"suffix":""},{"dropping-particle":"","family":"Lehtonen","given":"Heli J.","non-dropping-particle":"","parse-names":false,"suffix":""},{"dropping-particle":"","family":"Heliövaara","given":"Elina","non-dropping-particle":"","parse-names":false,"suffix":""},{"dropping-particle":"","family":"Puhakka","given":"Jani","non-dropping-particle":"","parse-names":false,"suffix":""},{"dropping-particle":"","family":"Tuupanen","given":"Sari","non-dropping-particle":"","parse-names":false,"suffix":""},{"dropping-particle":"","family":"Sousa","given":"Sõnia","non-dropping-particle":"","parse-names":false,"suffix":""},{"dropping-particle":"","family":"Seruca","given":"Raquel","non-dropping-particle":"","parse-names":false,"suffix":""},{"dropping-particle":"","family":"Ferreira","given":"Ana M.","non-dropping-particle":"","parse-names":false,"suffix":""},{"dropping-particle":"","family":"Hofstra","given":"Robert M.W.","non-dropping-particle":"","parse-names":false,"suffix":""},{"dropping-particle":"","family":"Mecklin","given":"Jukka Pekka","non-dropping-particle":"","parse-names":false,"suffix":""},{"dropping-particle":"","family":"Järvinen","given":"Heikki","non-dropping-particle":"","parse-names":false,"suffix":""},{"dropping-particle":"","family":"Ristimäki","given":"Ari","non-dropping-particle":"","parse-names":false,"suffix":""},{"dropping-particle":"","family":"Ørntoft","given":"Torben F.","non-dropping-particle":"","parse-names":false,"suffix":""},{"dropping-particle":"","family":"Hautaniemi","given":"Sampsa","non-dropping-particle":"","parse-names":false,"suffix":""},{"dropping-particle":"","family":"Arango","given":"Diego","non-dropping-particle":"","parse-names":false,"suffix":""},{"dropping-particle":"","family":"Karhu","given":"Auli","non-dropping-particle":"","parse-names":false,"suffix":""},{"dropping-particle":"","family":"Aaltonen","given":"Lauri A.","non-dropping-particle":"","parse-names":false,"suffix":""}],"container-title":"International journal of cancer","id":"ITEM-1","issue":"7","issued":{"date-parts":[["2012","4","1"]]},"page":"1558-1566","publisher":"Int J Cancer","title":"Candidate driver genes in microsatellite-unstable colorectal cancer","type":"article-journal","volume":"130"},"uris":["http://www.mendeley.com/documents/?uuid=49916e38-9553-322a-9b19-f51798dfd49f"]}],"mendeley":{"formattedCitation":"[2]","plainTextFormattedCitation":"[2]","previouslyFormattedCitation":"[2]"},"properties":{"noteIndex":0},"schema":"https://github.com/citation-style-language/schema/raw/master/csl-citation.json"}</w:instrText>
      </w:r>
      <w:r w:rsidRPr="004108F2">
        <w:rPr>
          <w:rStyle w:val="Emphasis"/>
        </w:rPr>
        <w:fldChar w:fldCharType="separate"/>
      </w:r>
      <w:r w:rsidRPr="004108F2">
        <w:rPr>
          <w:rStyle w:val="Emphasis"/>
        </w:rPr>
        <w:t>[2]</w:t>
      </w:r>
      <w:r w:rsidRPr="004108F2">
        <w:rPr>
          <w:rStyle w:val="Emphasis"/>
        </w:rPr>
        <w:fldChar w:fldCharType="end"/>
      </w:r>
      <w:r w:rsidRPr="004108F2">
        <w:rPr>
          <w:rStyle w:val="Emphasis"/>
        </w:rPr>
        <w:fldChar w:fldCharType="begin" w:fldLock="1"/>
      </w:r>
      <w:r w:rsidRPr="004108F2">
        <w:rPr>
          <w:rStyle w:val="Emphasis"/>
        </w:rPr>
        <w:instrText>ADDIN CSL_CITATION {"citationItems":[{"id":"ITEM-1","itemData":{"DOI":"10.1053/J.GASTRO.2020.06.021","ISSN":"1528-0012","PMID":"32562722","abstract":"Background &amp; Aims: Microsatellite instability (MSI) and mismatch-repair deficiency (dMMR) in colorectal tumors are used to select treatment for patients. Deep learning can detect MSI and dMMR in tumor samples on routine histology slides faster and less expensively than molecular assays. However, clinical application of this technology requires high performance and multisite validation, which have not yet been performed. Methods: We collected H&amp;E-stained slides and findings from molecular analyses for MSI and dMMR from 8836 colorectal tumors (of all stages) included in the MSIDETECT consortium study, from Germany, the Netherlands, the United Kingdom, and the United States. Specimens with dMMR were identified by immunohistochemistry analyses of tissue microarrays for loss of MLH1, MSH2, MSH6, and/or PMS2. Specimens with MSI were identified by genetic analyses. We trained a deep-learning detector to identify samples with MSI from these slides; performance was assessed by cross-validation (N = 6406 specimens) and validated in an external cohort (n = 771 specimens). Prespecified endpoints were area under the receiver operating characteristic (AUROC) curve and area under the precision-recall curve (AUPRC). Results: The deep-learning detector identified specimens with dMMR or MSI with a mean AUROC curve of 0.92 (lower bound, 0.91; upper bound, 0.93) and an AUPRC of 0.63 (range, 0.59–0.65), or 67% specificity and 95% sensitivity, in the cross-validation development cohort. In the validation cohort, the classifier identified samples with dMMR with an AUROC of 0.95 (range, 0.92–0.96) without image preprocessing and an AUROC of 0.96 (range, 0.93–0.98) after color normalization. Conclusions: We developed a deep-learning system that detects colorectal cancer specimens with dMMR or MSI using H&amp;E-stained slides; it detected tissues with dMMR with an AUROC of 0.96 in a large, international validation cohort. This system might be used for high-throughput, low-cost evaluation of colorectal tissue specimens.","author":[{"dropping-particle":"","family":"Echle","given":"Amelie","non-dropping-particle":"","parse-names":false,"suffix":""},{"dropping-particle":"","family":"Grabsch","given":"Heike Irmgard","non-dropping-particle":"","parse-names":false,"suffix":""},{"dropping-particle":"","family":"Quirke","given":"Philip","non-dropping-particle":"","parse-names":false,"suffix":""},{"dropping-particle":"","family":"Brandt","given":"Piet A.","non-dropping-particle":"van den","parse-names":false,"suffix":""},{"dropping-particle":"","family":"West","given":"Nicholas P.","non-dropping-particle":"","parse-names":false,"suffix":""},{"dropping-particle":"","family":"Hutchins","given":"Gordon G.A.","non-dropping-particle":"","parse-names":false,"suffix":""},{"dropping-particle":"","family":"Heij","given":"Lara R.","non-dropping-particle":"","parse-names":false,"suffix":""},{"dropping-particle":"","family":"Tan","given":"Xiuxiang","non-dropping-particle":"","parse-names":false,"suffix":""},{"dropping-particle":"","family":"Richman","given":"Susan D.","non-dropping-particle":"","parse-names":false,"suffix":""},{"dropping-particle":"","family":"Krause","given":"Jeremias","non-dropping-particle":"","parse-names":false,"suffix":""},{"dropping-particle":"","family":"Alwers","given":"Elizabeth","non-dropping-particle":"","parse-names":false,"suffix":""},{"dropping-particle":"","family":"Jenniskens","given":"Josien","non-dropping-particle":"","parse-names":false,"suffix":""},{"dropping-particle":"","family":"Offermans","given":"Kelly","non-dropping-particle":"","parse-names":false,"suffix":""},{"dropping-particle":"","family":"Gray","given":"Richard","non-dropping-particle":"","parse-names":false,"suffix":""},{"dropping-particle":"","family":"Brenner","given":"Hermann","non-dropping-particle":"","parse-names":false,"suffix":""},{"dropping-particle":"","family":"Chang-Claude","given":"Jenny","non-dropping-particle":"","parse-names":false,"suffix":""},{"dropping-particle":"","family":"Trautwein","given":"Christian","non-dropping-particle":"","parse-names":false,"suffix":""},{"dropping-particle":"","family":"Pearson","given":"Alexander T.","non-dropping-particle":"","parse-names":false,"suffix":""},{"dropping-particle":"","family":"Boor","given":"Peter","non-dropping-particle":"","parse-names":false,"suffix":""},{"dropping-particle":"","family":"Luedde","given":"Tom","non-dropping-particle":"","parse-names":false,"suffix":""},{"dropping-particle":"","family":"Gaisa","given":"Nadine Therese","non-dropping-particle":"","parse-names":false,"suffix":""},{"dropping-particle":"","family":"Hoffmeister","given":"Michael","non-dropping-particle":"","parse-names":false,"suffix":""},{"dropping-particle":"","family":"Kather","given":"Jakob Nikolas","non-dropping-particle":"","parse-names":false,"suffix":""}],"container-title":"Gastroenterology","id":"ITEM-1","issue":"4","issued":{"date-parts":[["2020","10","1"]]},"page":"1406-1416.e11","publisher":"Gastroenterology","title":"Clinical-Grade Detection of Microsatellite Instability in Colorectal Tumors by Deep Learning","type":"article-journal","volume":"159"},"uris":["http://www.mendeley.com/documents/?uuid=bdd8af3e-b644-3bd8-bbc3-691377598a75"]}],"mendeley":{"formattedCitation":"[7]","plainTextFormattedCitation":"[7]","previouslyFormattedCitation":"[7]"},"properties":{"noteIndex":0},"schema":"https://github.com/citation-style-language/schema/raw/master/csl-citation.json"}</w:instrText>
      </w:r>
      <w:r w:rsidRPr="004108F2">
        <w:rPr>
          <w:rStyle w:val="Emphasis"/>
        </w:rPr>
        <w:fldChar w:fldCharType="separate"/>
      </w:r>
      <w:r w:rsidRPr="004108F2">
        <w:rPr>
          <w:rStyle w:val="Emphasis"/>
        </w:rPr>
        <w:t>[7]</w:t>
      </w:r>
      <w:r w:rsidRPr="004108F2">
        <w:rPr>
          <w:rStyle w:val="Emphasis"/>
        </w:rPr>
        <w:fldChar w:fldCharType="end"/>
      </w:r>
      <w:r w:rsidRPr="004108F2">
        <w:rPr>
          <w:rStyle w:val="Emphasis"/>
        </w:rPr>
        <w:t>.</w:t>
      </w:r>
    </w:p>
    <w:p w14:paraId="66231AA2" w14:textId="77777777" w:rsidR="006852C5" w:rsidRPr="004108F2" w:rsidRDefault="006852C5" w:rsidP="004108F2">
      <w:pPr>
        <w:pStyle w:val="Paragraph"/>
        <w:rPr>
          <w:rStyle w:val="Emphasis"/>
        </w:rPr>
      </w:pPr>
      <w:r w:rsidRPr="004108F2">
        <w:rPr>
          <w:rStyle w:val="Emphasis"/>
        </w:rPr>
        <w:t xml:space="preserve">The next research was conducted by T. Wang with the title Microsatellite Instability Prediction of Uterine Corpus Endometrial Carcinoma Based On H&amp;E Histology Whole-Slide Imaging. The data used were from the UCEC Cohort with 516 patients obtained from the TCGA. The method used is CNN architecture ResNet-18 with additional PALHI. The results of this study are in the form of AUC values of 0.73 </w:t>
      </w:r>
      <w:r w:rsidRPr="004108F2">
        <w:rPr>
          <w:rStyle w:val="Emphasis"/>
        </w:rPr>
        <w:fldChar w:fldCharType="begin" w:fldLock="1"/>
      </w:r>
      <w:r w:rsidRPr="004108F2">
        <w:rPr>
          <w:rStyle w:val="Emphasis"/>
        </w:rPr>
        <w:instrText>ADDIN CSL_CITATION {"citationItems":[{"id":"ITEM-1","itemData":{"DOI":"10.1109/ISBI45749.2020.9098647","ISBN":"9781538693308","ISSN":"19458452","abstract":"Microsatellite instability is an important clinical marker for various types of cancers and is related to patients' prognosis and response to immunotherapy. Currently, identifying mi-crosatellite status relies on genetic tests, which are not widely accessible for every patient. We propose a novel pipeline to predict MSI directly from histology slides which represent the gold standard for cancer diagnosis and are ubiquitously available for cancer patients. Our method outperformed existing method on the uterine corpus endometrial carcinoma cohort in The Cancer Genome Atlas (AUC 0.73 vs. 0.56).","author":[{"dropping-particle":"","family":"Wang","given":"Tongxin","non-dropping-particle":"","parse-names":false,"suffix":""},{"dropping-particle":"","family":"Lu","given":"Weijia","non-dropping-particle":"","parse-names":false,"suffix":""},{"dropping-particle":"","family":"Yang","given":"Fan","non-dropping-particle":"","parse-names":false,"suffix":""},{"dropping-particle":"","family":"Liu","given":"Li","non-dropping-particle":"","parse-names":false,"suffix":""},{"dropping-particle":"","family":"Dong","given":"Zhongyi","non-dropping-particle":"","parse-names":false,"suffix":""},{"dropping-particle":"","family":"Tang","given":"Weimin","non-dropping-particle":"","parse-names":false,"suffix":""},{"dropping-particle":"","family":"Chang","given":"Jia","non-dropping-particle":"","parse-names":false,"suffix":""},{"dropping-particle":"","family":"Huan","given":"Wenjing","non-dropping-particle":"","parse-names":false,"suffix":""},{"dropping-particle":"","family":"Huang","given":"Kun","non-dropping-particle":"","parse-names":false,"suffix":""},{"dropping-particle":"","family":"Yao","given":"Jianhua","non-dropping-particle":"","parse-names":false,"suffix":""}],"container-title":"Proceedings - International Symposium on Biomedical Imaging","id":"ITEM-1","issued":{"date-parts":[["2020","4","1"]]},"page":"1289-1292","publisher":"IEEE Computer Society","title":"Microsatellite Instability Prediction of Uterine Corpus Endometrial Carcinoma Based on HE Histology Whole-Slide Imaging","type":"article-journal","volume":"2020-April"},"uris":["http://www.mendeley.com/documents/?uuid=ce82b004-a604-3242-ae3a-15bb18e4d47e"]}],"mendeley":{"formattedCitation":"[8]","plainTextFormattedCitation":"[8]","previouslyFormattedCitation":"[8]"},"properties":{"noteIndex":0},"schema":"https://github.com/citation-style-language/schema/raw/master/csl-citation.json"}</w:instrText>
      </w:r>
      <w:r w:rsidRPr="004108F2">
        <w:rPr>
          <w:rStyle w:val="Emphasis"/>
        </w:rPr>
        <w:fldChar w:fldCharType="separate"/>
      </w:r>
      <w:r w:rsidRPr="004108F2">
        <w:rPr>
          <w:rStyle w:val="Emphasis"/>
        </w:rPr>
        <w:t>[8]</w:t>
      </w:r>
      <w:r w:rsidRPr="004108F2">
        <w:rPr>
          <w:rStyle w:val="Emphasis"/>
        </w:rPr>
        <w:fldChar w:fldCharType="end"/>
      </w:r>
      <w:r w:rsidRPr="004108F2">
        <w:rPr>
          <w:rStyle w:val="Emphasis"/>
        </w:rPr>
        <w:t>.</w:t>
      </w:r>
    </w:p>
    <w:p w14:paraId="6BC1B11C" w14:textId="77777777" w:rsidR="006852C5" w:rsidRPr="004108F2" w:rsidRDefault="006852C5" w:rsidP="004108F2">
      <w:pPr>
        <w:pStyle w:val="Paragraph"/>
        <w:rPr>
          <w:rStyle w:val="Emphasis"/>
        </w:rPr>
      </w:pPr>
      <w:r w:rsidRPr="004108F2">
        <w:rPr>
          <w:rStyle w:val="Emphasis"/>
        </w:rPr>
        <w:t xml:space="preserve">Another study was conducted by O.J. Skrede titled “Deep learning for prediction of colorectal cancer outcome: a discovery, and validation study”. The data used for testing came from 920 colorectal cancer patients in UK, and 1122 colorectal cancer patients in Norway. The data used is an image of colorectal cancer cells. The methods used are CNN MobilenetV2 giving AUC results of 0.71, Accuracy of 76%, Specificity of 78%, and Sensitivity of 52% </w:t>
      </w:r>
      <w:r w:rsidRPr="004108F2">
        <w:rPr>
          <w:rStyle w:val="Emphasis"/>
        </w:rPr>
        <w:fldChar w:fldCharType="begin" w:fldLock="1"/>
      </w:r>
      <w:r w:rsidRPr="004108F2">
        <w:rPr>
          <w:rStyle w:val="Emphasis"/>
        </w:rPr>
        <w:instrText>ADDIN CSL_CITATION {"citationItems":[{"id":"ITEM-1","itemData":{"DOI":"10.1016/S0140-6736(19)32998-8","ISSN":"1474-547X","PMID":"32007170","abstract":"Background: Improved markers of prognosis are needed to stratify patients with early-stage colorectal cancer to refine selection of adjuvant therapy. The aim of the present study was to develop a biomarker of patient outcome after primary colorectal cancer resection by directly analysing scanned conventional haematoxylin and eosin stained sections using deep learning. Methods: More than 12 000 000 image tiles from patients with a distinctly good or poor disease outcome from four cohorts were used to train a total of ten convolutional neural networks, purpose-built for classifying supersized heterogeneous images. A prognostic biomarker integrating the ten networks was determined using patients with a non-distinct outcome. The marker was tested on 920 patients with slides prepared in the UK, and then independently validated according to a predefined protocol in 1122 patients treated with single-agent capecitabine using slides prepared in Norway. All cohorts included only patients with resectable tumours, and a formalin-fixed, paraffin-embedded tumour tissue block available for analysis. The primary outcome was cancer-specific survival. Findings: 828 patients from four cohorts had a distinct outcome and were used as a training cohort to obtain clear ground truth. 1645 patients had a non-distinct outcome and were used for tuning. The biomarker provided a hazard ratio for poor versus good prognosis of 3·84 (95% CI 2·72–5·43; p&lt;0·0001) in the primary analysis of the validation cohort, and 3·04 (2·07–4·47; p&lt;0·0001) after adjusting for established prognostic markers significant in univariable analyses of the same cohort, which were pN stage, pT stage, lymphatic invasion, and venous vascular invasion. Interpretation: A clinically useful prognostic marker was developed using deep learning allied to digital scanning of conventional haematoxylin and eosin stained tumour tissue sections. The assay has been extensively evaluated in large, independent patient populations, correlates with and outperforms established molecular and morphological prognostic markers, and gives consistent results across tumour and nodal stage. The biomarker stratified stage II and III patients into sufficiently distinct prognostic groups that potentially could be used to guide selection of adjuvant treatment by avoiding therapy in very low risk groups and identifying patients who would benefit from more intensive treatment regimes. Funding: The Research Council of Norway.","author":[{"dropping-particle":"","family":"Skrede","given":"Ole Johan","non-dropping-particle":"","parse-names":false,"suffix":""},{"dropping-particle":"","family":"Raedt","given":"Sepp","non-dropping-particle":"De","parse-names":false,"suffix":""},{"dropping-particle":"","family":"Kleppe","given":"Andreas","non-dropping-particle":"","parse-names":false,"suffix":""},{"dropping-particle":"","family":"Hveem","given":"Tarjei S.","non-dropping-particle":"","parse-names":false,"suffix":""},{"dropping-particle":"","family":"Liestøl","given":"Knut","non-dropping-particle":"","parse-names":false,"suffix":""},{"dropping-particle":"","family":"Maddison","given":"John","non-dropping-particle":"","parse-names":false,"suffix":""},{"dropping-particle":"","family":"Askautrud","given":"Hanne A.","non-dropping-particle":"","parse-names":false,"suffix":""},{"dropping-particle":"","family":"Pradhan","given":"Manohar","non-dropping-particle":"","parse-names":false,"suffix":""},{"dropping-particle":"","family":"Nesheim","given":"John Arne","non-dropping-particle":"","parse-names":false,"suffix":""},{"dropping-particle":"","family":"Albregtsen","given":"Fritz","non-dropping-particle":"","parse-names":false,"suffix":""},{"dropping-particle":"","family":"Farstad","given":"Inger Nina","non-dropping-particle":"","parse-names":false,"suffix":""},{"dropping-particle":"","family":"Domingo","given":"Enric","non-dropping-particle":"","parse-names":false,"suffix":""},{"dropping-particle":"","family":"Church","given":"David N.","non-dropping-particle":"","parse-names":false,"suffix":""},{"dropping-particle":"","family":"Nesbakken","given":"Arild","non-dropping-particle":"","parse-names":false,"suffix":""},{"dropping-particle":"","family":"Shepherd","given":"Neil A.","non-dropping-particle":"","parse-names":false,"suffix":""},{"dropping-particle":"","family":"Tomlinson","given":"Ian","non-dropping-particle":"","parse-names":false,"suffix":""},{"dropping-particle":"","family":"Kerr","given":"Rachel","non-dropping-particle":"","parse-names":false,"suffix":""},{"dropping-particle":"","family":"Novelli","given":"Marco","non-dropping-particle":"","parse-names":false,"suffix":""},{"dropping-particle":"","family":"Kerr","given":"David J.","non-dropping-particle":"","parse-names":false,"suffix":""},{"dropping-particle":"","family":"Danielsen","given":"Håvard E.","non-dropping-particle":"","parse-names":false,"suffix":""}],"container-title":"Lancet (London, England)","id":"ITEM-1","issue":"10221","issued":{"date-parts":[["2020","2","1"]]},"page":"350-360","publisher":"Lancet","title":"Deep learning for prediction of colorectal cancer outcome: a discovery and validation study","type":"article-journal","volume":"395"},"uris":["http://www.mendeley.com/documents/?uuid=039a7722-a1af-3de8-9a8c-44f3277d5a9e"]}],"mendeley":{"formattedCitation":"[12]","plainTextFormattedCitation":"[12]","previouslyFormattedCitation":"[12]"},"properties":{"noteIndex":0},"schema":"https://github.com/citation-style-language/schema/raw/master/csl-citation.json"}</w:instrText>
      </w:r>
      <w:r w:rsidRPr="004108F2">
        <w:rPr>
          <w:rStyle w:val="Emphasis"/>
        </w:rPr>
        <w:fldChar w:fldCharType="separate"/>
      </w:r>
      <w:r w:rsidRPr="004108F2">
        <w:rPr>
          <w:rStyle w:val="Emphasis"/>
        </w:rPr>
        <w:t>[12]</w:t>
      </w:r>
      <w:r w:rsidRPr="004108F2">
        <w:rPr>
          <w:rStyle w:val="Emphasis"/>
        </w:rPr>
        <w:fldChar w:fldCharType="end"/>
      </w:r>
      <w:r w:rsidRPr="004108F2">
        <w:rPr>
          <w:rStyle w:val="Emphasis"/>
        </w:rPr>
        <w:t>.</w:t>
      </w:r>
    </w:p>
    <w:p w14:paraId="00B46D78" w14:textId="77777777" w:rsidR="006852C5" w:rsidRPr="004108F2" w:rsidRDefault="006852C5" w:rsidP="004108F2">
      <w:pPr>
        <w:pStyle w:val="Paragraph"/>
        <w:rPr>
          <w:rStyle w:val="Emphasis"/>
        </w:rPr>
      </w:pPr>
      <w:r w:rsidRPr="004108F2">
        <w:rPr>
          <w:rStyle w:val="Emphasis"/>
        </w:rPr>
        <w:t xml:space="preserve">The same research was also conducted by Wang, L. with the title “A novel approach combined transfer learning, and deep learning to predict TMB from histology image”. The method used is CNN with the model architecture that gets the best accuracy in this study, namely VGG19. The data used from zenodo.org/record/2530835#.X8hXeWgzbIU amount 217,916 TMB-STAD, and 154,063 TMB-COAD-DX with classes divided into TMB High, and TMB Low patients. The study obtained an AUC score of 0.82, and an accuracy of 77% in coad-dx TMB data while the TMB-STAD data obtained an AUC value of 0.75, and an accuracy of 71% </w:t>
      </w:r>
      <w:r w:rsidRPr="004108F2">
        <w:rPr>
          <w:rStyle w:val="Emphasis"/>
        </w:rPr>
        <w:fldChar w:fldCharType="begin" w:fldLock="1"/>
      </w:r>
      <w:r w:rsidRPr="004108F2">
        <w:rPr>
          <w:rStyle w:val="Emphasis"/>
        </w:rPr>
        <w:instrText>ADDIN CSL_CITATION {"citationItems":[{"id":"ITEM-1","itemData":{"DOI":"10.1016/J.PATREC.2020.04.008","ISSN":"0167-8655","abstract":"Tumor Mutation Burden(TMB) is a quantifiable clinical indicator that can be used to predict the responses to immunotherapy of a range of tumors. However, the current DNA sequencing-based TMB measurement method represented by Whole Exome Sequencing (WES) is expensive and time-consuming, which limits its utilization in clinical practice. In this paper, we design a method through deep learning in order to predict TMB from available H&amp;E stained whole slide images of gastrointestinal cancer. Experimental results demonstrate that our approach is capable of distinguishing high and low TMB with an AUC higher than 0.75. We further performed post-processing to improve the accuracy on both test sets to above 0.7 (0.71 accuracy for TMB-STAD and 0.77 accuracy for TMB-COAD-DX). Furthermore, the predicted low and high TMB patients with gastric and colon cancer have different survival rates, with p values of 0.348 and 0.8113, respectively, which indicates that our study is potentially helpful for practical treatment.","author":[{"dropping-particle":"","family":"Wang","given":"Liansheng","non-dropping-particle":"","parse-names":false,"suffix":""},{"dropping-particle":"","family":"Jiao","given":"Yudi","non-dropping-particle":"","parse-names":false,"suffix":""},{"dropping-particle":"","family":"Qiao","given":"Ying","non-dropping-particle":"","parse-names":false,"suffix":""},{"dropping-particle":"","family":"Zeng","given":"Nianyin","non-dropping-particle":"","parse-names":false,"suffix":""},{"dropping-particle":"","family":"Yu","given":"Rongshan","non-dropping-particle":"","parse-names":false,"suffix":""}],"container-title":"Pattern Recognition Letters","id":"ITEM-1","issued":{"date-parts":[["2020","7","1"]]},"page":"244-248","publisher":"North-Holland","title":"A novel approach combined transfer learning and deep learning to predict TMB from histology image","type":"article-journal","volume":"135"},"uris":["http://www.mendeley.com/documents/?uuid=766efb33-8bd2-349e-924d-7259a47952a3"]}],"mendeley":{"formattedCitation":"[14]","plainTextFormattedCitation":"[14]","previouslyFormattedCitation":"[14]"},"properties":{"noteIndex":0},"schema":"https://github.com/citation-style-language/schema/raw/master/csl-citation.json"}</w:instrText>
      </w:r>
      <w:r w:rsidRPr="004108F2">
        <w:rPr>
          <w:rStyle w:val="Emphasis"/>
        </w:rPr>
        <w:fldChar w:fldCharType="separate"/>
      </w:r>
      <w:r w:rsidRPr="004108F2">
        <w:rPr>
          <w:rStyle w:val="Emphasis"/>
        </w:rPr>
        <w:t>[14]</w:t>
      </w:r>
      <w:r w:rsidRPr="004108F2">
        <w:rPr>
          <w:rStyle w:val="Emphasis"/>
        </w:rPr>
        <w:fldChar w:fldCharType="end"/>
      </w:r>
    </w:p>
    <w:p w14:paraId="24D85675" w14:textId="77777777" w:rsidR="006852C5" w:rsidRPr="004108F2" w:rsidRDefault="006852C5" w:rsidP="004108F2">
      <w:pPr>
        <w:pStyle w:val="Paragraph"/>
        <w:rPr>
          <w:rStyle w:val="Emphasis"/>
        </w:rPr>
      </w:pPr>
      <w:r w:rsidRPr="004108F2">
        <w:rPr>
          <w:rStyle w:val="Emphasis"/>
        </w:rPr>
        <w:t xml:space="preserve">In previous studies, there are some problems, and suggestions for further research. One of them was in a study conducted by A. Echle that provided advice for researching with larger datasets to test the stability of the CNN model used </w:t>
      </w:r>
      <w:r w:rsidRPr="004108F2">
        <w:rPr>
          <w:rStyle w:val="Emphasis"/>
        </w:rPr>
        <w:fldChar w:fldCharType="begin" w:fldLock="1"/>
      </w:r>
      <w:r w:rsidRPr="004108F2">
        <w:rPr>
          <w:rStyle w:val="Emphasis"/>
        </w:rPr>
        <w:instrText>ADDIN CSL_CITATION {"citationItems":[{"id":"ITEM-1","itemData":{"DOI":"10.1053/J.GASTRO.2020.06.021","ISSN":"1528-0012","PMID":"32562722","abstract":"Background &amp; Aims: Microsatellite instability (MSI) and mismatch-repair deficiency (dMMR) in colorectal tumors are used to select treatment for patients. Deep learning can detect MSI and dMMR in tumor samples on routine histology slides faster and less expensively than molecular assays. However, clinical application of this technology requires high performance and multisite validation, which have not yet been performed. Methods: We collected H&amp;E-stained slides and findings from molecular analyses for MSI and dMMR from 8836 colorectal tumors (of all stages) included in the MSIDETECT consortium study, from Germany, the Netherlands, the United Kingdom, and the United States. Specimens with dMMR were identified by immunohistochemistry analyses of tissue microarrays for loss of MLH1, MSH2, MSH6, and/or PMS2. Specimens with MSI were identified by genetic analyses. We trained a deep-learning detector to identify samples with MSI from these slides; performance was assessed by cross-validation (N = 6406 specimens) and validated in an external cohort (n = 771 specimens). Prespecified endpoints were area under the receiver operating characteristic (AUROC) curve and area under the precision-recall curve (AUPRC). Results: The deep-learning detector identified specimens with dMMR or MSI with a mean AUROC curve of 0.92 (lower bound, 0.91; upper bound, 0.93) and an AUPRC of 0.63 (range, 0.59–0.65), or 67% specificity and 95% sensitivity, in the cross-validation development cohort. In the validation cohort, the classifier identified samples with dMMR with an AUROC of 0.95 (range, 0.92–0.96) without image preprocessing and an AUROC of 0.96 (range, 0.93–0.98) after color normalization. Conclusions: We developed a deep-learning system that detects colorectal cancer specimens with dMMR or MSI using H&amp;E-stained slides; it detected tissues with dMMR with an AUROC of 0.96 in a large, international validation cohort. This system might be used for high-throughput, low-cost evaluation of colorectal tissue specimens.","author":[{"dropping-particle":"","family":"Echle","given":"Amelie","non-dropping-particle":"","parse-names":false,"suffix":""},{"dropping-particle":"","family":"Grabsch","given":"Heike Irmgard","non-dropping-particle":"","parse-names":false,"suffix":""},{"dropping-particle":"","family":"Quirke","given":"Philip","non-dropping-particle":"","parse-names":false,"suffix":""},{"dropping-particle":"","family":"Brandt","given":"Piet A.","non-dropping-particle":"van den","parse-names":false,"suffix":""},{"dropping-particle":"","family":"West","given":"Nicholas P.","non-dropping-particle":"","parse-names":false,"suffix":""},{"dropping-particle":"","family":"Hutchins","given":"Gordon G.A.","non-dropping-particle":"","parse-names":false,"suffix":""},{"dropping-particle":"","family":"Heij","given":"Lara R.","non-dropping-particle":"","parse-names":false,"suffix":""},{"dropping-particle":"","family":"Tan","given":"Xiuxiang","non-dropping-particle":"","parse-names":false,"suffix":""},{"dropping-particle":"","family":"Richman","given":"Susan D.","non-dropping-particle":"","parse-names":false,"suffix":""},{"dropping-particle":"","family":"Krause","given":"Jeremias","non-dropping-particle":"","parse-names":false,"suffix":""},{"dropping-particle":"","family":"Alwers","given":"Elizabeth","non-dropping-particle":"","parse-names":false,"suffix":""},{"dropping-particle":"","family":"Jenniskens","given":"Josien","non-dropping-particle":"","parse-names":false,"suffix":""},{"dropping-particle":"","family":"Offermans","given":"Kelly","non-dropping-particle":"","parse-names":false,"suffix":""},{"dropping-particle":"","family":"Gray","given":"Richard","non-dropping-particle":"","parse-names":false,"suffix":""},{"dropping-particle":"","family":"Brenner","given":"Hermann","non-dropping-particle":"","parse-names":false,"suffix":""},{"dropping-particle":"","family":"Chang-Claude","given":"Jenny","non-dropping-particle":"","parse-names":false,"suffix":""},{"dropping-particle":"","family":"Trautwein","given":"Christian","non-dropping-particle":"","parse-names":false,"suffix":""},{"dropping-particle":"","family":"Pearson","given":"Alexander T.","non-dropping-particle":"","parse-names":false,"suffix":""},{"dropping-particle":"","family":"Boor","given":"Peter","non-dropping-particle":"","parse-names":false,"suffix":""},{"dropping-particle":"","family":"Luedde","given":"Tom","non-dropping-particle":"","parse-names":false,"suffix":""},{"dropping-particle":"","family":"Gaisa","given":"Nadine Therese","non-dropping-particle":"","parse-names":false,"suffix":""},{"dropping-particle":"","family":"Hoffmeister","given":"Michael","non-dropping-particle":"","parse-names":false,"suffix":""},{"dropping-particle":"","family":"Kather","given":"Jakob Nikolas","non-dropping-particle":"","parse-names":false,"suffix":""}],"container-title":"Gastroenterology","id":"ITEM-1","issue":"4","issued":{"date-parts":[["2020","10","1"]]},"page":"1406-1416.e11","publisher":"Gastroenterology","title":"Clinical-Grade Detection of Microsatellite Instability in Colorectal Tumors by Deep Learning","type":"article-journal","volume":"159"},"uris":["http://www.mendeley.com/documents/?uuid=bdd8af3e-b644-3bd8-bbc3-691377598a75"]}],"mendeley":{"formattedCitation":"[7]","plainTextFormattedCitation":"[7]","previouslyFormattedCitation":"[7]"},"properties":{"noteIndex":0},"schema":"https://github.com/citation-style-language/schema/raw/master/csl-citation.json"}</w:instrText>
      </w:r>
      <w:r w:rsidRPr="004108F2">
        <w:rPr>
          <w:rStyle w:val="Emphasis"/>
        </w:rPr>
        <w:fldChar w:fldCharType="separate"/>
      </w:r>
      <w:r w:rsidRPr="004108F2">
        <w:rPr>
          <w:rStyle w:val="Emphasis"/>
        </w:rPr>
        <w:t>[7]</w:t>
      </w:r>
      <w:r w:rsidRPr="004108F2">
        <w:rPr>
          <w:rStyle w:val="Emphasis"/>
        </w:rPr>
        <w:fldChar w:fldCharType="end"/>
      </w:r>
      <w:r w:rsidRPr="004108F2">
        <w:rPr>
          <w:rStyle w:val="Emphasis"/>
        </w:rPr>
        <w:t xml:space="preserve">. This can be addressed by using data augmentation techniques that are proven to improve model training results better than adding new data </w:t>
      </w:r>
      <w:r w:rsidRPr="004108F2">
        <w:rPr>
          <w:rStyle w:val="Emphasis"/>
        </w:rPr>
        <w:fldChar w:fldCharType="begin" w:fldLock="1"/>
      </w:r>
      <w:r w:rsidRPr="004108F2">
        <w:rPr>
          <w:rStyle w:val="Emphasis"/>
        </w:rPr>
        <w:instrText>ADDIN CSL_CITATION {"citationItems":[{"id":"ITEM-1","itemData":{"DOI":"10.1016/J.NEUCOM.2018.09.013","ISSN":"0925-2312","abstract":"Deep learning methods, and in particular convolutional neural networks (CNNs), have led to an enormous breakthrough in a wide range of computer vision tasks, primarily by using large-scale annotated datasets. However, obtaining such datasets in the medical domain remains a challenge. In this paper, we present methods for generating synthetic medical images using recently presented deep learning Generative Adversarial Networks (GANs). Furthermore, we show that generated medical images can be used for synthetic data augmentation, and improve the performance of CNN for medical image classification. Our novel method is demonstrated on a limited dataset of computed tomography (CT) images of 182 liver lesions (53 cysts, 64 metastases and 65 hemangiomas). We first exploit GAN architectures for synthesizing high quality liver lesion ROIs. Then we present a novel scheme for liver lesion classification using CNN. Finally, we train the CNN using classic data augmentation and our synthetic data augmentation and compare performance. In addition, we explore the quality of our synthesized examples using visualization and expert assessment. The classification performance using only classic data augmentation yielded 78.6% sensitivity and 88.4% specificity. By adding the synthetic data augmentation the results increased to 85.7% sensitivity and 92.4% specificity. We believe that this approach to synthetic data augmentation can generalize to other medical classification applications and thus support radiologists’ efforts to improve diagnosis.","author":[{"dropping-particle":"","family":"Frid-Adar","given":"Maayan","non-dropping-particle":"","parse-names":false,"suffix":""},{"dropping-particle":"","family":"Diamant","given":"Idit","non-dropping-particle":"","parse-names":false,"suffix":""},{"dropping-particle":"","family":"Klang","given":"Eyal","non-dropping-particle":"","parse-names":false,"suffix":""},{"dropping-particle":"","family":"Amitai","given":"Michal","non-dropping-particle":"","parse-names":false,"suffix":""},{"dropping-particle":"","family":"Goldberger","given":"Jacob","non-dropping-particle":"","parse-names":false,"suffix":""},{"dropping-particle":"","family":"Greenspan","given":"Hayit","non-dropping-particle":"","parse-names":false,"suffix":""}],"container-title":"Neurocomputing","id":"ITEM-1","issued":{"date-parts":[["2018","12","10"]]},"page":"321-331","publisher":"Elsevier","title":"GAN-based synthetic medical image augmentation for increased CNN performance in liver lesion classification","type":"article-journal","volume":"321"},"uris":["http://www.mendeley.com/documents/?uuid=a9dacbba-0492-3822-b077-baca69f43e63"]}],"mendeley":{"formattedCitation":"[15]","plainTextFormattedCitation":"[15]","previouslyFormattedCitation":"[15]"},"properties":{"noteIndex":0},"schema":"https://github.com/citation-style-language/schema/raw/master/csl-citation.json"}</w:instrText>
      </w:r>
      <w:r w:rsidRPr="004108F2">
        <w:rPr>
          <w:rStyle w:val="Emphasis"/>
        </w:rPr>
        <w:fldChar w:fldCharType="separate"/>
      </w:r>
      <w:r w:rsidRPr="004108F2">
        <w:rPr>
          <w:rStyle w:val="Emphasis"/>
        </w:rPr>
        <w:t>[15]</w:t>
      </w:r>
      <w:r w:rsidRPr="004108F2">
        <w:rPr>
          <w:rStyle w:val="Emphasis"/>
        </w:rPr>
        <w:fldChar w:fldCharType="end"/>
      </w:r>
      <w:r w:rsidRPr="004108F2">
        <w:rPr>
          <w:rStyle w:val="Emphasis"/>
        </w:rPr>
        <w:fldChar w:fldCharType="begin" w:fldLock="1"/>
      </w:r>
      <w:r w:rsidRPr="004108F2">
        <w:rPr>
          <w:rStyle w:val="Emphasis"/>
        </w:rPr>
        <w:instrText>ADDIN CSL_CITATION {"citationItems":[{"id":"ITEM-1","itemData":{"DOI":"10.1109/CLOUD.2019.00097","ISBN":"9781728127057","ISSN":"21596190","abstract":"The paper discusses how we can leverage cloud infrastructure for efficient hyperparameter tuning of deep neural networks on high dimensional hyperparameter spaces using Bayesian Optimization. The paper experiments Bayesian optimization in the cloud at different levels of concurrency for the warmup runs for the Bayesian optimization. Two different distributed hyperparameter tuning approaches were experimented in the cloud-Training on multiple nodes with higher warm-up concurrency Vs Distributed Training on multiple nodes with Horovod and reduced number of warm-up runs. The results indicate that greater number of warm-up runs for Bayesian optimization results in better exploration of the search space. The hyper parameter tuning and distributed training with Horovod in the cloud was performed using the HyperDrive framework of Azure Machine Learning Service for Video Activity Recognition problem. The experiment used a Long-term Recurrent Convolutional Network (LRCN) with transfer learning from Resnet50 backbone.","author":[{"dropping-particle":"","family":"Ranjit","given":"Mercy Prasanna","non-dropping-particle":"","parse-names":false,"suffix":""},{"dropping-particle":"","family":"Ganapathy","given":"Gopinath","non-dropping-particle":"","parse-names":false,"suffix":""},{"dropping-particle":"","family":"Sridhar","given":"Kalaivani","non-dropping-particle":"","parse-names":false,"suffix":""},{"dropping-particle":"","family":"Arumugham","given":"Vikram","non-dropping-particle":"","parse-names":false,"suffix":""}],"container-title":"IEEE International Conference on Cloud Computing, CLOUD","id":"ITEM-1","issued":{"date-parts":[["2019","7","1"]]},"page":"520-522","publisher":"IEEE Computer Society","title":"Efficient deep learning hyperparameter tuning using cloud infrastructure: Intelligent distributed hyperparameter tuning with Bayesian optimization in the cloud","type":"article-journal","volume":"2019-July"},"uris":["http://www.mendeley.com/documents/?uuid=aed4c66d-73a3-3a67-99b1-8e5e1acf3ca0"]}],"mendeley":{"formattedCitation":"[16]","plainTextFormattedCitation":"[16]","previouslyFormattedCitation":"[16]"},"properties":{"noteIndex":0},"schema":"https://github.com/citation-style-language/schema/raw/master/csl-citation.json"}</w:instrText>
      </w:r>
      <w:r w:rsidRPr="004108F2">
        <w:rPr>
          <w:rStyle w:val="Emphasis"/>
        </w:rPr>
        <w:fldChar w:fldCharType="separate"/>
      </w:r>
      <w:r w:rsidRPr="004108F2">
        <w:rPr>
          <w:rStyle w:val="Emphasis"/>
        </w:rPr>
        <w:t>[16]</w:t>
      </w:r>
      <w:r w:rsidRPr="004108F2">
        <w:rPr>
          <w:rStyle w:val="Emphasis"/>
        </w:rPr>
        <w:fldChar w:fldCharType="end"/>
      </w:r>
      <w:r w:rsidRPr="004108F2">
        <w:rPr>
          <w:rStyle w:val="Emphasis"/>
        </w:rPr>
        <w:fldChar w:fldCharType="begin" w:fldLock="1"/>
      </w:r>
      <w:r w:rsidRPr="004108F2">
        <w:rPr>
          <w:rStyle w:val="Emphasis"/>
        </w:rPr>
        <w:instrText>ADDIN CSL_CITATION {"citationItems":[{"id":"ITEM-1","itemData":{"DOI":"10.1109/ICCC.2018.00017","ISBN":"9781538672419","abstract":"Major gains have been made in recent years in object recognition due to advances in deep neural networks. One struggle with deep learning, however, revolves around the fact that currently it is unknown what network architecture is best for a given problem. Consequently, different configurations are tried until one is identified that gives acceptable results. This paper proposes an asynchronous reinforcement learning algorithm that finds an optimal network configuration by automatically adjusting parameters for a given problem. It is shown that asynchronous reinforcement learning is able to converge on an optimal solution for the MNIST data set.","author":[{"dropping-particle":"","family":"Neary","given":"Patrick L.","non-dropping-particle":"","parse-names":false,"suffix":""}],"container-title":"Proceedings - 2018 IEEE International Conference on Cognitive Computing, ICCC 2018 - Part of the 2018 IEEE World Congress on Services","id":"ITEM-1","issued":{"date-parts":[["2018","9","7"]]},"page":"73-77","publisher":"Institute of Electrical and Electronics Engineers Inc.","title":"Automatic hyperparameter tuning in deep convolutional neural networks using asynchronous reinforcement learning","type":"article-journal"},"uris":["http://www.mendeley.com/documents/?uuid=b5409458-e752-3fed-9f3b-a2f0928ffdf6"]}],"mendeley":{"formattedCitation":"[17]","plainTextFormattedCitation":"[17]","previouslyFormattedCitation":"[17]"},"properties":{"noteIndex":0},"schema":"https://github.com/citation-style-language/schema/raw/master/csl-citation.json"}</w:instrText>
      </w:r>
      <w:r w:rsidRPr="004108F2">
        <w:rPr>
          <w:rStyle w:val="Emphasis"/>
        </w:rPr>
        <w:fldChar w:fldCharType="separate"/>
      </w:r>
      <w:r w:rsidRPr="004108F2">
        <w:rPr>
          <w:rStyle w:val="Emphasis"/>
        </w:rPr>
        <w:t>[17]</w:t>
      </w:r>
      <w:r w:rsidRPr="004108F2">
        <w:rPr>
          <w:rStyle w:val="Emphasis"/>
        </w:rPr>
        <w:fldChar w:fldCharType="end"/>
      </w:r>
      <w:r w:rsidRPr="004108F2">
        <w:rPr>
          <w:rStyle w:val="Emphasis"/>
        </w:rPr>
        <w:fldChar w:fldCharType="begin" w:fldLock="1"/>
      </w:r>
      <w:r w:rsidRPr="004108F2">
        <w:rPr>
          <w:rStyle w:val="Emphasis"/>
        </w:rPr>
        <w:instrText>ADDIN CSL_CITATION {"citationItems":[{"id":"ITEM-1","itemData":{"DOI":"10.1016/J.ICTE.2020.04.010","ISSN":"2405-9595","abstract":"Many hyperparameters have to be tuned to have a robust convolutional neural network that will be able to accurately classify images. One of the most important hyperparameters is the batch size, which is the number of images used to train a single forward and backward pass. In this study, the effect of batch size on the performance of convolutional neural networks and the impact of learning rates will be studied for image classification, specifically for medical images. To train the network faster, a VGG16 network with ImageNet weights was used in this experiment. Our results concluded that a higher batch size does not usually achieve high accuracy, and the learning rate and the optimizer used will have a significant impact as well. Lowering the learning rate and decreasing the batch size will allow the network to train better, especially in the case of fine-tuning.","author":[{"dropping-particle":"","family":"Kandel","given":"Ibrahem","non-dropping-particle":"","parse-names":false,"suffix":""},{"dropping-particle":"","family":"Castelli","given":"Mauro","non-dropping-particle":"","parse-names":false,"suffix":""}],"container-title":"ICT Express","id":"ITEM-1","issue":"4","issued":{"date-parts":[["2020","12","1"]]},"page":"312-315","publisher":"Elsevier","title":"The effect of batch size on the generalizability of the convolutional neural networks on a histopathology dataset","type":"article-journal","volume":"6"},"uris":["http://www.mendeley.com/documents/?uuid=46dadf8b-40a1-3e45-8f77-319bed65ebfe"]}],"mendeley":{"formattedCitation":"[18]","plainTextFormattedCitation":"[18]","previouslyFormattedCitation":"[18]"},"properties":{"noteIndex":0},"schema":"https://github.com/citation-style-language/schema/raw/master/csl-citation.json"}</w:instrText>
      </w:r>
      <w:r w:rsidRPr="004108F2">
        <w:rPr>
          <w:rStyle w:val="Emphasis"/>
        </w:rPr>
        <w:fldChar w:fldCharType="separate"/>
      </w:r>
      <w:r w:rsidRPr="004108F2">
        <w:rPr>
          <w:rStyle w:val="Emphasis"/>
        </w:rPr>
        <w:t>[18]</w:t>
      </w:r>
      <w:r w:rsidRPr="004108F2">
        <w:rPr>
          <w:rStyle w:val="Emphasis"/>
        </w:rPr>
        <w:fldChar w:fldCharType="end"/>
      </w:r>
      <w:r w:rsidRPr="004108F2">
        <w:rPr>
          <w:rStyle w:val="Emphasis"/>
        </w:rPr>
        <w:t xml:space="preserve">. In addition to the research conducted by A. Echle, another study using the same dataset as this study conducted by Wang, L has a deficiency in the proposed CNN VGG19 model to obtain unsatisfactory accuracy in the test data which is 77% for microsatellite in colorectal cells, and 71% in gastric cells </w:t>
      </w:r>
      <w:r w:rsidRPr="004108F2">
        <w:rPr>
          <w:rStyle w:val="Emphasis"/>
        </w:rPr>
        <w:fldChar w:fldCharType="begin" w:fldLock="1"/>
      </w:r>
      <w:r w:rsidRPr="004108F2">
        <w:rPr>
          <w:rStyle w:val="Emphasis"/>
        </w:rPr>
        <w:instrText>ADDIN CSL_CITATION {"citationItems":[{"id":"ITEM-1","itemData":{"DOI":"10.1016/J.PATREC.2020.04.008","ISSN":"0167-8655","abstract":"Tumor Mutation Burden(TMB) is a quantifiable clinical indicator that can be used to predict the responses to immunotherapy of a range of tumors. However, the current DNA sequencing-based TMB measurement method represented by Whole Exome Sequencing (WES) is expensive and time-consuming, which limits its utilization in clinical practice. In this paper, we design a method through deep learning in order to predict TMB from available H&amp;E stained whole slide images of gastrointestinal cancer. Experimental results demonstrate that our approach is capable of distinguishing high and low TMB with an AUC higher than 0.75. We further performed post-processing to improve the accuracy on both test sets to above 0.7 (0.71 accuracy for TMB-STAD and 0.77 accuracy for TMB-COAD-DX). Furthermore, the predicted low and high TMB patients with gastric and colon cancer have different survival rates, with p values of 0.348 and 0.8113, respectively, which indicates that our study is potentially helpful for practical treatment.","author":[{"dropping-particle":"","family":"Wang","given":"Liansheng","non-dropping-particle":"","parse-names":false,"suffix":""},{"dropping-particle":"","family":"Jiao","given":"Yudi","non-dropping-particle":"","parse-names":false,"suffix":""},{"dropping-particle":"","family":"Qiao","given":"Ying","non-dropping-particle":"","parse-names":false,"suffix":""},{"dropping-particle":"","family":"Zeng","given":"Nianyin","non-dropping-particle":"","parse-names":false,"suffix":""},{"dropping-particle":"","family":"Yu","given":"Rongshan","non-dropping-particle":"","parse-names":false,"suffix":""}],"container-title":"Pattern Recognition Letters","id":"ITEM-1","issued":{"date-parts":[["2020","7","1"]]},"page":"244-248","publisher":"North-Holland","title":"A novel approach combined transfer learning and deep learning to predict TMB from histology image","type":"article-journal","volume":"135"},"uris":["http://www.mendeley.com/documents/?uuid=766efb33-8bd2-349e-924d-7259a47952a3"]}],"mendeley":{"formattedCitation":"[14]","plainTextFormattedCitation":"[14]","previouslyFormattedCitation":"[14]"},"properties":{"noteIndex":0},"schema":"https://github.com/citation-style-language/schema/raw/master/csl-citation.json"}</w:instrText>
      </w:r>
      <w:r w:rsidRPr="004108F2">
        <w:rPr>
          <w:rStyle w:val="Emphasis"/>
        </w:rPr>
        <w:fldChar w:fldCharType="separate"/>
      </w:r>
      <w:r w:rsidRPr="004108F2">
        <w:rPr>
          <w:rStyle w:val="Emphasis"/>
        </w:rPr>
        <w:t>[14]</w:t>
      </w:r>
      <w:r w:rsidRPr="004108F2">
        <w:rPr>
          <w:rStyle w:val="Emphasis"/>
        </w:rPr>
        <w:fldChar w:fldCharType="end"/>
      </w:r>
      <w:r w:rsidRPr="004108F2">
        <w:rPr>
          <w:rStyle w:val="Emphasis"/>
        </w:rPr>
        <w:t xml:space="preserve"> This may be caused by an overfitting model or a model that is used inappropriately to handle that data. The problem can be addressed by trying other models, adding layer or increasing the dropout layer parameters in the CNN model. In some cases, dropout layers can be used to handle overfitting models, and improve training accuracy </w:t>
      </w:r>
      <w:r w:rsidRPr="004108F2">
        <w:rPr>
          <w:rStyle w:val="Emphasis"/>
        </w:rPr>
        <w:fldChar w:fldCharType="begin" w:fldLock="1"/>
      </w:r>
      <w:r w:rsidRPr="004108F2">
        <w:rPr>
          <w:rStyle w:val="Emphasis"/>
        </w:rPr>
        <w:instrText xml:space="preserve">ADDIN CSL_CITATION {"citationItems":[{"id":"ITEM-1","itemData":{"DOI":"10.1002/IJC.26167","ISSN":"1097-0215","PMID":"21544814","abstract":"Defects in the mismatch repair system lead to microsatellite instability (MSI), a feature observed in </w:instrText>
      </w:r>
      <w:r w:rsidRPr="004108F2">
        <w:rPr>
          <w:rStyle w:val="Emphasis"/>
          <w:rFonts w:ascii="Cambria Math" w:hAnsi="Cambria Math" w:cs="Cambria Math"/>
        </w:rPr>
        <w:instrText>∼</w:instrText>
      </w:r>
      <w:r w:rsidRPr="004108F2">
        <w:rPr>
          <w:rStyle w:val="Emphasis"/>
        </w:rPr>
        <w:instrText xml:space="preserve"> 15% of all colorectal cancers (CRCs). Microsatellite mutations that drive tumourigenesis, typically inactivation of tumour suppressors, are selected for and are frequently detected in MSI cancers. Here, we evaluated somatic mutations in microsatellite repeats of 790 genes chosen based on reduced expression in MSI CRC and existence of a coding mononucleotide repeat of 6-10 bp in length. All the repeats were initially sequenced in 30 primary MSI CRC samples and whenever frameshift mutations were identified in &gt;20%, additional 70 samples were sequenced. To distinguish driver mutations from passengers, we similarly analyzed the occurrence of frameshift mutations in 121 intronic control repeats and utilized a statistical regression model to determine cut-off mutation frequencies for repeats of all types (A/T and C/G, 6-10 bp). Along with several know target genes, including TGFBR2, ACVR2, and MSH3, six novel candidate driver genes emerged that harbored significantly more mutations than identical control repeats. The mutation frequencies in 100 MSI CRC samples were 51% in G8 of GLYR1, 47% in T9 of ABCC5, 43% in G8 of WDTC1, 33% in A8 of ROCK1, 30% in T8 of OR51E2, and 28% in A8 of TCEB3. Immunohistochemical staining of GLYR1 revealed defective protein expression in tumors carrying biallelic mutations, supporting a loss of function hypothesis. This is a large scale, unbiased effort to identify genes that when mutated are likely to contribute to MSI CRC development. Copyright © 2011 UICC.","author":[{"dropping-particle":"","family":"Alhopuro","given":"Pia","non-dropping-particle":"","parse-names":false,"suffix":""},{"dropping-particle":"","family":"Sammalkorpi","given":"Heli","non-dropping-particle":"","parse-names":false,"suffix":""},{"dropping-particle":"","family":"Niittymäki","given":"Iina","non-dropping-particle":"","parse-names":false,"suffix":""},{"dropping-particle":"","family":"Biström","given":"Mia","non-dropping-particle":"","parse-names":false,"suffix":""},{"dropping-particle":"","family":"Raitila","given":"Anniina","non-dropping-particle":"","parse-names":false,"suffix":""},{"dropping-particle":"","family":"Saharinen","given":"Juha","non-dropping-particle":"","parse-names":false,"suffix":""},{"dropping-particle":"","family":"Nousiainen","given":"Kari","non-dropping-particle":"","parse-names":false,"suffix":""},{"dropping-particle":"","family":"Lehtonen","given":"Heli J.","non-dropping-particle":"","parse-names":false,"suffix":""},{"dropping-particle":"","family":"Heliövaara","given":"Elina","non-dropping-particle":"","parse-names":false,"suffix":""},{"dropping-particle":"","family":"Puhakka","given":"Jani","non-dropping-particle":"","parse-names":false,"suffix":""},{"dropping-particle":"","family":"Tuupanen","given":"Sari","non-dropping-particle":"","parse-names":false,"suffix":""},{"dropping-particle":"","family":"Sousa","given":"Sõnia","non-dropping-particle":"","parse-names":false,"suffix":""},{"dropping-particle":"","family":"Seruca","given":"Raquel","non-dropping-particle":"","parse-names":false,"suffix":""},{"dropping-particle":"","family":"Ferreira","given":"Ana M.","non-dropping-particle":"","parse-names":false,"suffix":""},{"dropping-particle":"","family":"Hofstra","given":"Robert M.W.","non-dropping-particle":"","parse-names":false,"suffix":""},{"dropping-particle":"","family":"Mecklin","given":"Jukka Pekka","non-dropping-particle":"","parse-names":false,"suffix":""},{"dropping-particle":"","family":"Järvinen","given":"Heikki","non-dropping-particle":"","parse-names":false,"suffix":""},{"dropping-particle":"","family":"Ristimäki","given":"Ari","non-dropping-particle":"","parse-names":false,"suffix":""},{"dropping-particle":"","family":"Ørntoft","given":"Torben F.","non-dropping-particle":"","parse-names":false,"suffix":""},{"dropping-particle":"","family":"Hautaniemi","given":"Sampsa","non-dropping-particle":"","parse-names":false,"suffix":""},{"dropping-particle":"","family":"Arango","given":"Diego","non-dropping-particle":"","parse-names":false,"suffix":""},{"dropping-particle":"","family":"Karhu","given":"Auli","non-dropping-particle":"","parse-names":false,"suffix":""},{"dropping-particle":"","family":"Aaltonen","given":"Lauri A.","non-dropping-particle":"","parse-names":false,"suffix":""}],"container-title":"International journal of cancer","id":"ITEM-1","issue":"7","issued":{"date-parts":[["2012","4","1"]]},"page":"1558-1566","publisher":"Int J Cancer","title":"Candidate driver genes in microsatellite-unstable colorectal cancer","type":"article-journal","volume":"130"},"uris":["http://www.mendeley.com/documents/?uuid=49916e38-9553-322a-9b19-f51798dfd49f"]}],"mendeley":{"formattedCitation":"[2]","plainTextFormattedCitation":"[2]","previouslyFormattedCitation":"[2]"},"properties":{"noteIndex":0},"schema":"https://github.com/citation-style-language/schema/raw/master/csl-citation.json"}</w:instrText>
      </w:r>
      <w:r w:rsidRPr="004108F2">
        <w:rPr>
          <w:rStyle w:val="Emphasis"/>
        </w:rPr>
        <w:fldChar w:fldCharType="separate"/>
      </w:r>
      <w:r w:rsidRPr="004108F2">
        <w:rPr>
          <w:rStyle w:val="Emphasis"/>
        </w:rPr>
        <w:t>[2]</w:t>
      </w:r>
      <w:r w:rsidRPr="004108F2">
        <w:rPr>
          <w:rStyle w:val="Emphasis"/>
        </w:rPr>
        <w:fldChar w:fldCharType="end"/>
      </w:r>
      <w:r w:rsidRPr="004108F2">
        <w:rPr>
          <w:rStyle w:val="Emphasis"/>
        </w:rPr>
        <w:t>.</w:t>
      </w:r>
    </w:p>
    <w:p w14:paraId="15F26AAC" w14:textId="1A799362" w:rsidR="00C90568" w:rsidRPr="004108F2" w:rsidRDefault="006852C5" w:rsidP="004108F2">
      <w:pPr>
        <w:pStyle w:val="Paragraph"/>
        <w:rPr>
          <w:rStyle w:val="Emphasis"/>
        </w:rPr>
      </w:pPr>
      <w:r w:rsidRPr="004108F2">
        <w:rPr>
          <w:rStyle w:val="Emphasis"/>
        </w:rPr>
        <w:t xml:space="preserve">Based on the issues outlined, and research conducted previously by O.J. Skrede, A. Echle, and Wang, L </w:t>
      </w:r>
      <w:r w:rsidRPr="004108F2">
        <w:rPr>
          <w:rStyle w:val="Emphasis"/>
        </w:rPr>
        <w:fldChar w:fldCharType="begin" w:fldLock="1"/>
      </w:r>
      <w:r w:rsidRPr="004108F2">
        <w:rPr>
          <w:rStyle w:val="Emphasis"/>
        </w:rPr>
        <w:instrText>ADDIN CSL_CITATION {"citationItems":[{"id":"ITEM-1","itemData":{"DOI":"10.1053/J.GASTRO.2020.06.021","ISSN":"1528-0012","PMID":"32562722","abstract":"Background &amp; Aims: Microsatellite instability (MSI) and mismatch-repair deficiency (dMMR) in colorectal tumors are used to select treatment for patients. Deep learning can detect MSI and dMMR in tumor samples on routine histology slides faster and less expensively than molecular assays. However, clinical application of this technology requires high performance and multisite validation, which have not yet been performed. Methods: We collected H&amp;E-stained slides and findings from molecular analyses for MSI and dMMR from 8836 colorectal tumors (of all stages) included in the MSIDETECT consortium study, from Germany, the Netherlands, the United Kingdom, and the United States. Specimens with dMMR were identified by immunohistochemistry analyses of tissue microarrays for loss of MLH1, MSH2, MSH6, and/or PMS2. Specimens with MSI were identified by genetic analyses. We trained a deep-learning detector to identify samples with MSI from these slides; performance was assessed by cross-validation (N = 6406 specimens) and validated in an external cohort (n = 771 specimens). Prespecified endpoints were area under the receiver operating characteristic (AUROC) curve and area under the precision-recall curve (AUPRC). Results: The deep-learning detector identified specimens with dMMR or MSI with a mean AUROC curve of 0.92 (lower bound, 0.91; upper bound, 0.93) and an AUPRC of 0.63 (range, 0.59–0.65), or 67% specificity and 95% sensitivity, in the cross-validation development cohort. In the validation cohort, the classifier identified samples with dMMR with an AUROC of 0.95 (range, 0.92–0.96) without image preprocessing and an AUROC of 0.96 (range, 0.93–0.98) after color normalization. Conclusions: We developed a deep-learning system that detects colorectal cancer specimens with dMMR or MSI using H&amp;E-stained slides; it detected tissues with dMMR with an AUROC of 0.96 in a large, international validation cohort. This system might be used for high-throughput, low-cost evaluation of colorectal tissue specimens.","author":[{"dropping-particle":"","family":"Echle","given":"Amelie","non-dropping-particle":"","parse-names":false,"suffix":""},{"dropping-particle":"","family":"Grabsch","given":"Heike Irmgard","non-dropping-particle":"","parse-names":false,"suffix":""},{"dropping-particle":"","family":"Quirke","given":"Philip","non-dropping-particle":"","parse-names":false,"suffix":""},{"dropping-particle":"","family":"Brandt","given":"Piet A.","non-dropping-particle":"van den","parse-names":false,"suffix":""},{"dropping-particle":"","family":"West","given":"Nicholas P.","non-dropping-particle":"","parse-names":false,"suffix":""},{"dropping-particle":"","family":"Hutchins","given":"Gordon G.A.","non-dropping-particle":"","parse-names":false,"suffix":""},{"dropping-particle":"","family":"Heij","given":"Lara R.","non-dropping-particle":"","parse-names":false,"suffix":""},{"dropping-particle":"","family":"Tan","given":"Xiuxiang","non-dropping-particle":"","parse-names":false,"suffix":""},{"dropping-particle":"","family":"Richman","given":"Susan D.","non-dropping-particle":"","parse-names":false,"suffix":""},{"dropping-particle":"","family":"Krause","given":"Jeremias","non-dropping-particle":"","parse-names":false,"suffix":""},{"dropping-particle":"","family":"Alwers","given":"Elizabeth","non-dropping-particle":"","parse-names":false,"suffix":""},{"dropping-particle":"","family":"Jenniskens","given":"Josien","non-dropping-particle":"","parse-names":false,"suffix":""},{"dropping-particle":"","family":"Offermans","given":"Kelly","non-dropping-particle":"","parse-names":false,"suffix":""},{"dropping-particle":"","family":"Gray","given":"Richard","non-dropping-particle":"","parse-names":false,"suffix":""},{"dropping-particle":"","family":"Brenner","given":"Hermann","non-dropping-particle":"","parse-names":false,"suffix":""},{"dropping-particle":"","family":"Chang-Claude","given":"Jenny","non-dropping-particle":"","parse-names":false,"suffix":""},{"dropping-particle":"","family":"Trautwein","given":"Christian","non-dropping-particle":"","parse-names":false,"suffix":""},{"dropping-particle":"","family":"Pearson","given":"Alexander T.","non-dropping-particle":"","parse-names":false,"suffix":""},{"dropping-particle":"","family":"Boor","given":"Peter","non-dropping-particle":"","parse-names":false,"suffix":""},{"dropping-particle":"","family":"Luedde","given":"Tom","non-dropping-particle":"","parse-names":false,"suffix":""},{"dropping-particle":"","family":"Gaisa","given":"Nadine Therese","non-dropping-particle":"","parse-names":false,"suffix":""},{"dropping-particle":"","family":"Hoffmeister","given":"Michael","non-dropping-particle":"","parse-names":false,"suffix":""},{"dropping-particle":"","family":"Kather","given":"Jakob Nikolas","non-dropping-particle":"","parse-names":false,"suffix":""}],"container-title":"Gastroenterology","id":"ITEM-1","issue":"4","issued":{"date-parts":[["2020","10","1"]]},"page":"1406-1416.e11","publisher":"Gastroenterology","title":"Clinical-Grade Detection of Microsatellite Instability in Colorectal Tumors by Deep Learning","type":"article-journal","volume":"159"},"uris":["http://www.mendeley.com/documents/?uuid=bdd8af3e-b644-3bd8-bbc3-691377598a75"]}],"mendeley":{"formattedCitation":"[7]","plainTextFormattedCitation":"[7]","previouslyFormattedCitation":"[7]"},"properties":{"noteIndex":0},"schema":"https://github.com/citation-style-language/schema/raw/master/csl-citation.json"}</w:instrText>
      </w:r>
      <w:r w:rsidRPr="004108F2">
        <w:rPr>
          <w:rStyle w:val="Emphasis"/>
        </w:rPr>
        <w:fldChar w:fldCharType="separate"/>
      </w:r>
      <w:r w:rsidRPr="004108F2">
        <w:rPr>
          <w:rStyle w:val="Emphasis"/>
        </w:rPr>
        <w:t>[7]</w:t>
      </w:r>
      <w:r w:rsidRPr="004108F2">
        <w:rPr>
          <w:rStyle w:val="Emphasis"/>
        </w:rPr>
        <w:fldChar w:fldCharType="end"/>
      </w:r>
      <w:r w:rsidRPr="004108F2">
        <w:rPr>
          <w:rStyle w:val="Emphasis"/>
        </w:rPr>
        <w:fldChar w:fldCharType="begin" w:fldLock="1"/>
      </w:r>
      <w:r w:rsidRPr="004108F2">
        <w:rPr>
          <w:rStyle w:val="Emphasis"/>
        </w:rPr>
        <w:instrText>ADDIN CSL_CITATION {"citationItems":[{"id":"ITEM-1","itemData":{"DOI":"10.1016/S0140-6736(19)32998-8","ISSN":"1474-547X","PMID":"32007170","abstract":"Background: Improved markers of prognosis are needed to stratify patients with early-stage colorectal cancer to refine selection of adjuvant therapy. The aim of the present study was to develop a biomarker of patient outcome after primary colorectal cancer resection by directly analysing scanned conventional haematoxylin and eosin stained sections using deep learning. Methods: More than 12 000 000 image tiles from patients with a distinctly good or poor disease outcome from four cohorts were used to train a total of ten convolutional neural networks, purpose-built for classifying supersized heterogeneous images. A prognostic biomarker integrating the ten networks was determined using patients with a non-distinct outcome. The marker was tested on 920 patients with slides prepared in the UK, and then independently validated according to a predefined protocol in 1122 patients treated with single-agent capecitabine using slides prepared in Norway. All cohorts included only patients with resectable tumours, and a formalin-fixed, paraffin-embedded tumour tissue block available for analysis. The primary outcome was cancer-specific survival. Findings: 828 patients from four cohorts had a distinct outcome and were used as a training cohort to obtain clear ground truth. 1645 patients had a non-distinct outcome and were used for tuning. The biomarker provided a hazard ratio for poor versus good prognosis of 3·84 (95% CI 2·72–5·43; p&lt;0·0001) in the primary analysis of the validation cohort, and 3·04 (2·07–4·47; p&lt;0·0001) after adjusting for established prognostic markers significant in univariable analyses of the same cohort, which were pN stage, pT stage, lymphatic invasion, and venous vascular invasion. Interpretation: A clinically useful prognostic marker was developed using deep learning allied to digital scanning of conventional haematoxylin and eosin stained tumour tissue sections. The assay has been extensively evaluated in large, independent patient populations, correlates with and outperforms established molecular and morphological prognostic markers, and gives consistent results across tumour and nodal stage. The biomarker stratified stage II and III patients into sufficiently distinct prognostic groups that potentially could be used to guide selection of adjuvant treatment by avoiding therapy in very low risk groups and identifying patients who would benefit from more intensive treatment regimes. Funding: The Research Council of Norway.","author":[{"dropping-particle":"","family":"Skrede","given":"Ole Johan","non-dropping-particle":"","parse-names":false,"suffix":""},{"dropping-particle":"","family":"Raedt","given":"Sepp","non-dropping-particle":"De","parse-names":false,"suffix":""},{"dropping-particle":"","family":"Kleppe","given":"Andreas","non-dropping-particle":"","parse-names":false,"suffix":""},{"dropping-particle":"","family":"Hveem","given":"Tarjei S.","non-dropping-particle":"","parse-names":false,"suffix":""},{"dropping-particle":"","family":"Liestøl","given":"Knut","non-dropping-particle":"","parse-names":false,"suffix":""},{"dropping-particle":"","family":"Maddison","given":"John","non-dropping-particle":"","parse-names":false,"suffix":""},{"dropping-particle":"","family":"Askautrud","given":"Hanne A.","non-dropping-particle":"","parse-names":false,"suffix":""},{"dropping-particle":"","family":"Pradhan","given":"Manohar","non-dropping-particle":"","parse-names":false,"suffix":""},{"dropping-particle":"","family":"Nesheim","given":"John Arne","non-dropping-particle":"","parse-names":false,"suffix":""},{"dropping-particle":"","family":"Albregtsen","given":"Fritz","non-dropping-particle":"","parse-names":false,"suffix":""},{"dropping-particle":"","family":"Farstad","given":"Inger Nina","non-dropping-particle":"","parse-names":false,"suffix":""},{"dropping-particle":"","family":"Domingo","given":"Enric","non-dropping-particle":"","parse-names":false,"suffix":""},{"dropping-particle":"","family":"Church","given":"David N.","non-dropping-particle":"","parse-names":false,"suffix":""},{"dropping-particle":"","family":"Nesbakken","given":"Arild","non-dropping-particle":"","parse-names":false,"suffix":""},{"dropping-particle":"","family":"Shepherd","given":"Neil A.","non-dropping-particle":"","parse-names":false,"suffix":""},{"dropping-particle":"","family":"Tomlinson","given":"Ian","non-dropping-particle":"","parse-names":false,"suffix":""},{"dropping-particle":"","family":"Kerr","given":"Rachel","non-dropping-particle":"","parse-names":false,"suffix":""},{"dropping-particle":"","family":"Novelli","given":"Marco","non-dropping-particle":"","parse-names":false,"suffix":""},{"dropping-particle":"","family":"Kerr","given":"David J.","non-dropping-particle":"","parse-names":false,"suffix":""},{"dropping-particle":"","family":"Danielsen","given":"Håvard E.","non-dropping-particle":"","parse-names":false,"suffix":""}],"container-title":"Lancet (London, England)","id":"ITEM-1","issue":"10221","issued":{"date-parts":[["2020","2","1"]]},"page":"350-360","publisher":"Lancet","title":"Deep learning for prediction of colorectal cancer outcome: a discovery and validation study","type":"article-journal","volume":"395"},"uris":["http://www.mendeley.com/documents/?uuid=039a7722-a1af-3de8-9a8c-44f3277d5a9e"]}],"mendeley":{"formattedCitation":"[12]","plainTextFormattedCitation":"[12]","previouslyFormattedCitation":"[12]"},"properties":{"noteIndex":0},"schema":"https://github.com/citation-style-language/schema/raw/master/csl-citation.json"}</w:instrText>
      </w:r>
      <w:r w:rsidRPr="004108F2">
        <w:rPr>
          <w:rStyle w:val="Emphasis"/>
        </w:rPr>
        <w:fldChar w:fldCharType="separate"/>
      </w:r>
      <w:r w:rsidRPr="004108F2">
        <w:rPr>
          <w:rStyle w:val="Emphasis"/>
        </w:rPr>
        <w:t>[12]</w:t>
      </w:r>
      <w:r w:rsidRPr="004108F2">
        <w:rPr>
          <w:rStyle w:val="Emphasis"/>
        </w:rPr>
        <w:fldChar w:fldCharType="end"/>
      </w:r>
      <w:r w:rsidRPr="004108F2">
        <w:rPr>
          <w:rStyle w:val="Emphasis"/>
        </w:rPr>
        <w:fldChar w:fldCharType="begin" w:fldLock="1"/>
      </w:r>
      <w:r w:rsidRPr="004108F2">
        <w:rPr>
          <w:rStyle w:val="Emphasis"/>
        </w:rPr>
        <w:instrText>ADDIN CSL_CITATION {"citationItems":[{"id":"ITEM-1","itemData":{"DOI":"10.1109/ISITIA52817.2021.9502205","ISBN":"9781665428477","abstract":"Content Based Medical Image Retrieval (CBMIR) is considered as a common technique to retrieve relevant images by comparing the features contained in the query image with the features contained in the image located in the database. Currently, the study related to CBMIR on breast cancer image however remains challenging due to inadequate research in such area. Previous study has a low performance and misinformation emphasizing the feature extraction process. Therefore, this study aims to utilize the CNN based Autoencoder method to minimize misinformation in the feature extraction process and to improve the performance result. The dataset used in this study is the BreakHis dataset. Overall, the results of image retrieval in breast cancer applying the CNN based Autoencoder method achieved higher performance compared to the method used in the previous study with an average precision of 0.9237 in the mainclass dataset category and 0.6825 in the subclass dataset category.","author":[{"dropping-particle":"","family":"Minarno","given":"Agus Eko","non-dropping-particle":"","parse-names":false,"suffix":""},{"dropping-particle":"","family":"Ghufron","given":"Kharisma Muzaki","non-dropping-particle":"","parse-names":false,"suffix":""},{"dropping-particle":"","family":"Sabrila","given":"Trifebi Shina","non-dropping-particle":"","parse-names":false,"suffix":""},{"dropping-particle":"","family":"Husniah","given":"Lailatul","non-dropping-particle":"","parse-names":false,"suffix":""},{"dropping-particle":"","family":"Sumadi","given":"Fauzi Dwi Setiawan","non-dropping-particle":"","parse-names":false,"suffix":""}],"container-title":"Proceedings - 2021 International Seminar on Intelligent Technology and Its Application: Intelligent Systems for the New Normal Era, ISITIA 2021","id":"ITEM-1","issued":{"date-parts":[["2021","7","21"]]},"page":"29-34","publisher":"Institute of Electrical and Electronics Engineers Inc.","title":"CNN Based Autoencoder Application in Breast Cancer Image Retrieval","type":"article-journal"},"uris":["http://www.mendeley.com/documents/?uuid=12529fa0-e318-353a-ba09-397c763800f3"]}],"mendeley":{"formattedCitation":"[13]","plainTextFormattedCitation":"[13]","previouslyFormattedCitation":"[13]"},"properties":{"noteIndex":0},"schema":"https://github.com/citation-style-language/schema/raw/master/csl-citation.json"}</w:instrText>
      </w:r>
      <w:r w:rsidRPr="004108F2">
        <w:rPr>
          <w:rStyle w:val="Emphasis"/>
        </w:rPr>
        <w:fldChar w:fldCharType="separate"/>
      </w:r>
      <w:r w:rsidRPr="004108F2">
        <w:rPr>
          <w:rStyle w:val="Emphasis"/>
        </w:rPr>
        <w:t>[13]</w:t>
      </w:r>
      <w:r w:rsidRPr="004108F2">
        <w:rPr>
          <w:rStyle w:val="Emphasis"/>
        </w:rPr>
        <w:fldChar w:fldCharType="end"/>
      </w:r>
      <w:r w:rsidRPr="004108F2">
        <w:rPr>
          <w:rStyle w:val="Emphasis"/>
        </w:rPr>
        <w:t>. This research will be conducted experiments at the stage of modeling, augmentation, and modification of models. In model creation, it would be proposed that the model has the same structure as VGG19 with multiple layer reduction and optimize parameter combination with Hyperparameter Tuning as scenario 1. In the augmentation stage, experiments were conducted using several augmentation techniques as scenario 2. Then at the modification stage is done with some changes one of which is to add a dropout layer placed after the entire pooling layer as scenario 3. The experiment will be conducted on a dataset of colorectal cancer cells, then the best-case scenario is used to test gastric cancer cell data. Data augmentation techniques, and Hyperparameter Tuning are expected to improve train, and test accuracy as well as modification of dropout layer placement is expected to reduce, and stabilize the graph of accuracy, and loss development during model training.</w:t>
      </w:r>
    </w:p>
    <w:p w14:paraId="590C3C2B" w14:textId="078523CF" w:rsidR="00EA50A7" w:rsidRPr="00F350C5" w:rsidRDefault="00EA50A7" w:rsidP="00784F94">
      <w:pPr>
        <w:pStyle w:val="Heading1"/>
        <w:rPr>
          <w:color w:val="FF0000"/>
        </w:rPr>
      </w:pPr>
      <w:r w:rsidRPr="000F3AAB">
        <w:t>METHODS</w:t>
      </w:r>
    </w:p>
    <w:p w14:paraId="44815AB3" w14:textId="1018C3EB" w:rsidR="006852C5" w:rsidRPr="004108F2" w:rsidRDefault="006852C5" w:rsidP="004108F2">
      <w:pPr>
        <w:pStyle w:val="Paragraph"/>
        <w:rPr>
          <w:rStyle w:val="Emphasis"/>
        </w:rPr>
      </w:pPr>
      <w:r w:rsidRPr="004108F2">
        <w:rPr>
          <w:rStyle w:val="Emphasis"/>
        </w:rPr>
        <w:t xml:space="preserve">This chapter will discuss the stages of research including data, methods, scenarios, and evaluations that will be conducted. This study was conducted testing two different datasets separately. Testing to determine the influence of the proposed model, augmentation technique, and dropout APL will be conducted on colorectal cancer cell datasets (COAD) with scenarios 1, 2, and 3. Then the best model of all three scenarios will be used directly on the gastric cancer cell datasets (STAD) with the addition of callback techniques. An overview of the research stages can be seen in </w:t>
      </w:r>
      <w:r w:rsidRPr="004108F2">
        <w:rPr>
          <w:rStyle w:val="Emphasis"/>
          <w:b/>
          <w:bCs/>
        </w:rPr>
        <w:t>FIGURE 1</w:t>
      </w:r>
      <w:r w:rsidRPr="004108F2">
        <w:rPr>
          <w:rStyle w:val="Emphasis"/>
        </w:rPr>
        <w:t>.</w:t>
      </w:r>
    </w:p>
    <w:p w14:paraId="31816370" w14:textId="77777777" w:rsidR="006852C5" w:rsidRDefault="006852C5" w:rsidP="006852C5">
      <w:pPr>
        <w:pBdr>
          <w:top w:val="nil"/>
          <w:left w:val="nil"/>
          <w:bottom w:val="nil"/>
          <w:right w:val="nil"/>
          <w:between w:val="nil"/>
        </w:pBdr>
        <w:spacing w:after="60"/>
        <w:jc w:val="both"/>
        <w:rPr>
          <w:sz w:val="20"/>
        </w:rPr>
      </w:pPr>
    </w:p>
    <w:p w14:paraId="4BD0946E" w14:textId="77777777" w:rsidR="006852C5" w:rsidRDefault="006852C5" w:rsidP="006852C5">
      <w:pPr>
        <w:pBdr>
          <w:top w:val="nil"/>
          <w:left w:val="nil"/>
          <w:bottom w:val="nil"/>
          <w:right w:val="nil"/>
          <w:between w:val="nil"/>
        </w:pBdr>
        <w:spacing w:after="60"/>
        <w:jc w:val="center"/>
        <w:rPr>
          <w:sz w:val="20"/>
        </w:rPr>
      </w:pPr>
      <w:r>
        <w:rPr>
          <w:noProof/>
        </w:rPr>
        <w:lastRenderedPageBreak/>
        <w:drawing>
          <wp:inline distT="0" distB="0" distL="0" distR="0" wp14:anchorId="2018B2C8" wp14:editId="6A45A854">
            <wp:extent cx="4446717" cy="284952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83407" cy="2873037"/>
                    </a:xfrm>
                    <a:prstGeom prst="rect">
                      <a:avLst/>
                    </a:prstGeom>
                  </pic:spPr>
                </pic:pic>
              </a:graphicData>
            </a:graphic>
          </wp:inline>
        </w:drawing>
      </w:r>
    </w:p>
    <w:p w14:paraId="1BDB2A83" w14:textId="6DA37C07" w:rsidR="006852C5" w:rsidRPr="007908BE" w:rsidRDefault="006852C5" w:rsidP="004108F2">
      <w:pPr>
        <w:pStyle w:val="FigureCaption"/>
        <w:rPr>
          <w:sz w:val="20"/>
        </w:rPr>
      </w:pPr>
      <w:r w:rsidRPr="006852C5">
        <w:rPr>
          <w:b/>
          <w:bCs/>
        </w:rPr>
        <w:t>FIGURE. 1</w:t>
      </w:r>
      <w:r w:rsidRPr="00245B96">
        <w:t>.  Research Stage Diagram</w:t>
      </w:r>
    </w:p>
    <w:p w14:paraId="41FAA24E" w14:textId="77777777" w:rsidR="006852C5" w:rsidRPr="006852C5" w:rsidRDefault="006852C5" w:rsidP="006852C5">
      <w:pPr>
        <w:pStyle w:val="Heading2"/>
      </w:pPr>
      <w:r w:rsidRPr="006852C5">
        <w:t>Dataset</w:t>
      </w:r>
    </w:p>
    <w:p w14:paraId="47316573" w14:textId="6820FBC8" w:rsidR="006852C5" w:rsidRDefault="006852C5" w:rsidP="006852C5">
      <w:pPr>
        <w:pBdr>
          <w:top w:val="nil"/>
          <w:left w:val="nil"/>
          <w:bottom w:val="nil"/>
          <w:right w:val="nil"/>
          <w:between w:val="nil"/>
        </w:pBdr>
        <w:spacing w:after="60"/>
        <w:ind w:firstLine="284"/>
        <w:jc w:val="both"/>
        <w:rPr>
          <w:rStyle w:val="Emphasis"/>
          <w:sz w:val="20"/>
        </w:rPr>
      </w:pPr>
      <w:r w:rsidRPr="004108F2">
        <w:rPr>
          <w:rStyle w:val="Emphasis"/>
          <w:sz w:val="20"/>
        </w:rPr>
        <w:t xml:space="preserve">The dataset used for this study is a histological image of cancer cells from FFPE (Formalin-Fixed Paraffin-Embedded). The data is sourced from doi.org/10.5281/zenodo.2530835. Data has two classes, namely MSIMUT (Microsatellite Instable High Mutation), and MSS (Microsatellite Stable). Data has been preprocessed, such as resizing the image to 224 x 224 pixels at a resolution of 0.5 μm/px, and normalizing colors with the Macenko method </w:t>
      </w:r>
      <w:r w:rsidRPr="004108F2">
        <w:rPr>
          <w:rStyle w:val="Emphasis"/>
          <w:sz w:val="20"/>
        </w:rPr>
        <w:fldChar w:fldCharType="begin" w:fldLock="1"/>
      </w:r>
      <w:r w:rsidRPr="004108F2">
        <w:rPr>
          <w:rStyle w:val="Emphasis"/>
          <w:sz w:val="20"/>
        </w:rPr>
        <w:instrText>ADDIN CSL_CITATION {"citationItems":[{"id":"ITEM-1","itemData":{"DOI":"10.1109/ISBI.2009.5193250","ISBN":"9781424439324","abstract":"Inconsistencies in the preparation of histology slides make it difficult to perform quantitative analysis on their results. In this paper we provide two mechanisms for overcoming many of the known inconsistencies in the staining process, thereby bringing slides that were processed or stored under very different conditions into a common, normalized space to enable improved quantitative analysis. © 2009 IEEE.","author":[{"dropping-particle":"","family":"Macenko","given":"Marc","non-dropping-particle":"","parse-names":false,"suffix":""},{"dropping-particle":"","family":"Niethammer","given":"Marc","non-dropping-particle":"","parse-names":false,"suffix":""},{"dropping-particle":"","family":"Marron","given":"J. S.","non-dropping-particle":"","parse-names":false,"suffix":""},{"dropping-particle":"","family":"Borland","given":"David","non-dropping-particle":"","parse-names":false,"suffix":""},{"dropping-particle":"","family":"Woosley","given":"John T.","non-dropping-particle":"","parse-names":false,"suffix":""},{"dropping-particle":"","family":"Guan","given":"Xiaojun","non-dropping-particle":"","parse-names":false,"suffix":""},{"dropping-particle":"","family":"Schmitt","given":"Charles","non-dropping-particle":"","parse-names":false,"suffix":""},{"dropping-particle":"","family":"Thomas","given":"Nancy E.","non-dropping-particle":"","parse-names":false,"suffix":""}],"container-title":"Proceedings - 2009 IEEE International Symposium on Biomedical Imaging: From Nano to Macro, ISBI 2009","id":"ITEM-1","issued":{"date-parts":[["2009"]]},"page":"1107-1110","title":"A method for normalizing histology slides for quantitative analysis","type":"article-journal"},"uris":["http://www.mendeley.com/documents/?uuid=7118ac10-5e74-34f2-b683-fa0755580136"]}],"mendeley":{"formattedCitation":"[19]","plainTextFormattedCitation":"[19]","previouslyFormattedCitation":"[19]"},"properties":{"noteIndex":0},"schema":"https://github.com/citation-style-language/schema/raw/master/csl-citation.json"}</w:instrText>
      </w:r>
      <w:r w:rsidRPr="004108F2">
        <w:rPr>
          <w:rStyle w:val="Emphasis"/>
          <w:sz w:val="20"/>
        </w:rPr>
        <w:fldChar w:fldCharType="separate"/>
      </w:r>
      <w:r w:rsidRPr="004108F2">
        <w:rPr>
          <w:rStyle w:val="Emphasis"/>
          <w:sz w:val="20"/>
        </w:rPr>
        <w:t>[19]</w:t>
      </w:r>
      <w:r w:rsidRPr="004108F2">
        <w:rPr>
          <w:rStyle w:val="Emphasis"/>
          <w:sz w:val="20"/>
        </w:rPr>
        <w:fldChar w:fldCharType="end"/>
      </w:r>
      <w:r w:rsidRPr="004108F2">
        <w:rPr>
          <w:rStyle w:val="Emphasis"/>
          <w:sz w:val="20"/>
        </w:rPr>
        <w:t xml:space="preserve">. The dataset initially amounted to 411,890 image data, but in this study only 193,978 data were used with the same composition of MSI, and MSS to the make model could study features well </w:t>
      </w:r>
      <w:r w:rsidRPr="004108F2">
        <w:rPr>
          <w:rStyle w:val="Emphasis"/>
          <w:sz w:val="20"/>
        </w:rPr>
        <w:fldChar w:fldCharType="begin" w:fldLock="1"/>
      </w:r>
      <w:r w:rsidRPr="004108F2">
        <w:rPr>
          <w:rStyle w:val="Emphasis"/>
          <w:sz w:val="20"/>
        </w:rPr>
        <w:instrText>ADDIN CSL_CITATION {"citationItems":[{"id":"ITEM-1","itemData":{"DOI":"10.1109/ACCESS.2019.2947484","ISSN":"21693536","abstract":"Diabetic Retinopathy (DR) is an ophthalmic disease that damages retinal blood vessels. DR causes impaired vision and may even lead to blindness if it is not diagnosed in early stages. DR has five stages or classes, namely normal, mild, moderate, severe and PDR (Proliferative Diabetic Retinopathy). Normally, highly trained experts examine the colored fundus images to diagnose this fatal disease. This manual diagnosis of this condition (by clinicians) is tedious and error-prone. Therefore, various computer vision-based techniques have been proposed to automatically detect DR and its different stages from retina images. However, these methods are unable to encode the underlying complicated features and can only classify DR's different stages with very low accuracy particularly, for the early stages. In this research, we used the publicly available Kaggle dataset of retina images to train an ensemble of five deep Convolution Neural Network (CNN) models (Resnet50, Inceptionv3, Xception, Dense121, Dense169) to encode the rich features and improve the classification for different stages of DR. The experimental results show that the proposed model detects all the stages of DR unlike the current methods and performs better compared to state-of-the-art methods on the same Kaggle dataset.","author":[{"dropping-particle":"","family":"Qummar","given":"Sehrish","non-dropping-particle":"","parse-names":false,"suffix":""},{"dropping-particle":"","family":"Khan","given":"Fiaz Gul","non-dropping-particle":"","parse-names":false,"suffix":""},{"dropping-particle":"","family":"Shah","given":"Sajid","non-dropping-particle":"","parse-names":false,"suffix":""},{"dropping-particle":"","family":"Khan","given":"Ahmad","non-dropping-particle":"","parse-names":false,"suffix":""},{"dropping-particle":"","family":"Shamshirband","given":"Shahaboddin","non-dropping-particle":"","parse-names":false,"suffix":""},{"dropping-particle":"","family":"Rehman","given":"Zia Ur","non-dropping-particle":"","parse-names":false,"suffix":""},{"dropping-particle":"","family":"Khan","given":"Iftikhar Ahmed","non-dropping-particle":"","parse-names":false,"suffix":""},{"dropping-particle":"","family":"Jadoon","given":"Waqas","non-dropping-particle":"","parse-names":false,"suffix":""}],"container-title":"IEEE Access","id":"ITEM-1","issued":{"date-parts":[["2019"]]},"page":"150530-150539","publisher":"Institute of Electrical and Electronics Engineers Inc.","title":"A Deep Learning Ensemble Approach for Diabetic Retinopathy Detection","type":"article-journal","volume":"7"},"uris":["http://www.mendeley.com/documents/?uuid=75b6312b-df62-3fd7-9c5c-a185e7afd5ac"]}],"mendeley":{"formattedCitation":"[20]","plainTextFormattedCitation":"[20]","previouslyFormattedCitation":"[20]"},"properties":{"noteIndex":0},"schema":"https://github.com/citation-style-language/schema/raw/master/csl-citation.json"}</w:instrText>
      </w:r>
      <w:r w:rsidRPr="004108F2">
        <w:rPr>
          <w:rStyle w:val="Emphasis"/>
          <w:sz w:val="20"/>
        </w:rPr>
        <w:fldChar w:fldCharType="separate"/>
      </w:r>
      <w:r w:rsidRPr="004108F2">
        <w:rPr>
          <w:rStyle w:val="Emphasis"/>
          <w:sz w:val="20"/>
        </w:rPr>
        <w:t>[20]</w:t>
      </w:r>
      <w:r w:rsidRPr="004108F2">
        <w:rPr>
          <w:rStyle w:val="Emphasis"/>
          <w:sz w:val="20"/>
        </w:rPr>
        <w:fldChar w:fldCharType="end"/>
      </w:r>
      <w:r w:rsidRPr="004108F2">
        <w:rPr>
          <w:rStyle w:val="Emphasis"/>
          <w:sz w:val="20"/>
        </w:rPr>
        <w:t xml:space="preserve">. The data is used only in the CRC, and STAD train folders. The dataset is divided by the composition of 80% of train, and 20% of the test follows the Pareto Principle math rules which state that about 80% of wealth is concentrated in 20% of the total population </w:t>
      </w:r>
      <w:r w:rsidRPr="004108F2">
        <w:rPr>
          <w:rStyle w:val="Emphasis"/>
          <w:sz w:val="20"/>
        </w:rPr>
        <w:fldChar w:fldCharType="begin" w:fldLock="1"/>
      </w:r>
      <w:r w:rsidRPr="004108F2">
        <w:rPr>
          <w:rStyle w:val="Emphasis"/>
          <w:sz w:val="20"/>
        </w:rPr>
        <w:instrText>ADDIN CSL_CITATION {"citationItems":[{"id":"ITEM-1","itemData":{"DOI":"10.1016/0895-7177(94)90041-8","ISSN":"0895-7177","abstract":"The well-known Pareto principle states that approximately 80% of wealth was concentrated in about 20% of a population. Two problems have been reported on the abuse of the 80/20 phenomenon: (1) the measure deviates from 80/20 in many applications of the principle; under what condition, then, will the 80/20 rule be true? And, (2) if the 80/20 measure is correct at the time of analysis, will it be true over time? In this paper, we address these two problems by conducting mathematical modelling and computer simulations of the Pareto principle. Several significant factors influencing the phenomenon are identified. © 1994.","author":[{"dropping-particle":"","family":"Chen","given":"Y. S.","non-dropping-particle":"","parse-names":false,"suffix":""},{"dropping-particle":"","family":"Chong","given":"P. P.","non-dropping-particle":"","parse-names":false,"suffix":""},{"dropping-particle":"","family":"Tong","given":"M. Y.","non-dropping-particle":"","parse-names":false,"suffix":""}],"container-title":"Mathematical and Computer Modelling","id":"ITEM-1","issue":"9","issued":{"date-parts":[["1994","5","1"]]},"page":"61-80","publisher":"Pergamon","title":"Mathematical and computer modelling of the Pareto principle","type":"article-journal","volume":"19"},"uris":["http://www.mendeley.com/documents/?uuid=4ef5610d-1bca-3702-af0f-3650015c7208"]}],"mendeley":{"formattedCitation":"[21]","plainTextFormattedCitation":"[21]","previouslyFormattedCitation":"[21]"},"properties":{"noteIndex":0},"schema":"https://github.com/citation-style-language/schema/raw/master/csl-citation.json"}</w:instrText>
      </w:r>
      <w:r w:rsidRPr="004108F2">
        <w:rPr>
          <w:rStyle w:val="Emphasis"/>
          <w:sz w:val="20"/>
        </w:rPr>
        <w:fldChar w:fldCharType="separate"/>
      </w:r>
      <w:r w:rsidRPr="004108F2">
        <w:rPr>
          <w:rStyle w:val="Emphasis"/>
          <w:sz w:val="20"/>
        </w:rPr>
        <w:t>[21]</w:t>
      </w:r>
      <w:r w:rsidRPr="004108F2">
        <w:rPr>
          <w:rStyle w:val="Emphasis"/>
          <w:sz w:val="20"/>
        </w:rPr>
        <w:fldChar w:fldCharType="end"/>
      </w:r>
      <w:r w:rsidRPr="004108F2">
        <w:rPr>
          <w:rStyle w:val="Emphasis"/>
          <w:sz w:val="20"/>
        </w:rPr>
        <w:t xml:space="preserve">. Pareto Principle can improve results, and make models more efficient </w:t>
      </w:r>
      <w:r w:rsidRPr="004108F2">
        <w:rPr>
          <w:rStyle w:val="Emphasis"/>
          <w:sz w:val="20"/>
        </w:rPr>
        <w:fldChar w:fldCharType="begin" w:fldLock="1"/>
      </w:r>
      <w:r w:rsidRPr="004108F2">
        <w:rPr>
          <w:rStyle w:val="Emphasis"/>
          <w:sz w:val="20"/>
        </w:rPr>
        <w:instrText>ADDIN CSL_CITATION {"citationItems":[{"id":"ITEM-1","itemData":{"DOI":"10.1016/0895-7177(94)90041-8","ISSN":"0895-7177","abstract":"The well-known Pareto principle states that approximately 80% of wealth was concentrated in about 20% of a population. Two problems have been reported on the abuse of the 80/20 phenomenon: (1) the measure deviates from 80/20 in many applications of the principle; under what condition, then, will the 80/20 rule be true? And, (2) if the 80/20 measure is correct at the time of analysis, will it be true over time? In this paper, we address these two problems by conducting mathematical modelling and computer simulations of the Pareto principle. Several significant factors influencing the phenomenon are identified. © 1994.","author":[{"dropping-particle":"","family":"Chen","given":"Y. S.","non-dropping-particle":"","parse-names":false,"suffix":""},{"dropping-particle":"","family":"Chong","given":"P. P.","non-dropping-particle":"","parse-names":false,"suffix":""},{"dropping-particle":"","family":"Tong","given":"M. Y.","non-dropping-particle":"","parse-names":false,"suffix":""}],"container-title":"Mathematical and Computer Modelling","id":"ITEM-1","issue":"9","issued":{"date-parts":[["1994","5","1"]]},"page":"61-80","publisher":"Pergamon","title":"Mathematical and computer modelling of the Pareto principle","type":"article-journal","volume":"19"},"uris":["http://www.mendeley.com/documents/?uuid=4ef5610d-1bca-3702-af0f-3650015c7208"]}],"mendeley":{"formattedCitation":"[21]","plainTextFormattedCitation":"[21]","previouslyFormattedCitation":"[21]"},"properties":{"noteIndex":0},"schema":"https://github.com/citation-style-language/schema/raw/master/csl-citation.json"}</w:instrText>
      </w:r>
      <w:r w:rsidRPr="004108F2">
        <w:rPr>
          <w:rStyle w:val="Emphasis"/>
          <w:sz w:val="20"/>
        </w:rPr>
        <w:fldChar w:fldCharType="separate"/>
      </w:r>
      <w:r w:rsidRPr="004108F2">
        <w:rPr>
          <w:rStyle w:val="Emphasis"/>
          <w:sz w:val="20"/>
        </w:rPr>
        <w:t>[21]</w:t>
      </w:r>
      <w:r w:rsidRPr="004108F2">
        <w:rPr>
          <w:rStyle w:val="Emphasis"/>
          <w:sz w:val="20"/>
        </w:rPr>
        <w:fldChar w:fldCharType="end"/>
      </w:r>
      <w:r w:rsidRPr="004108F2">
        <w:rPr>
          <w:rStyle w:val="Emphasis"/>
          <w:sz w:val="20"/>
        </w:rPr>
        <w:fldChar w:fldCharType="begin" w:fldLock="1"/>
      </w:r>
      <w:r w:rsidRPr="004108F2">
        <w:rPr>
          <w:rStyle w:val="Emphasis"/>
          <w:sz w:val="20"/>
        </w:rPr>
        <w:instrText>ADDIN CSL_CITATION {"citationItems":[{"id":"ITEM-1","itemData":{"DOI":"10.1108/EB024706/FULL/XML","ISSN":"08876045","abstract":"Vilfredo Pareto was a late nineteenth‐century economist/sociologist who first noted and reported his observation that about 80 percent of wealth was concentrated in about 20 percent of a population. This is the basis for what we now call the Pareto Principle.","author":[{"dropping-particle":"","family":"Sanders","given":"Robert","non-dropping-particle":"","parse-names":false,"suffix":""}],"container-title":"Journal of Services Marketing","id":"ITEM-1","issue":"2","issued":{"date-parts":[["1987"]]},"page":"37-40","publisher":"MCB UP Ltd","title":"The pareto principle: Its use and abuse","type":"article-journal","volume":"1"},"uris":["http://www.mendeley.com/documents/?uuid=34a59117-71cf-3c01-b7cc-1c1009b574dd"]}],"mendeley":{"formattedCitation":"[22]","plainTextFormattedCitation":"[22]","previouslyFormattedCitation":"[22]"},"properties":{"noteIndex":0},"schema":"https://github.com/citation-style-language/schema/raw/master/csl-citation.json"}</w:instrText>
      </w:r>
      <w:r w:rsidRPr="004108F2">
        <w:rPr>
          <w:rStyle w:val="Emphasis"/>
          <w:sz w:val="20"/>
        </w:rPr>
        <w:fldChar w:fldCharType="separate"/>
      </w:r>
      <w:r w:rsidRPr="004108F2">
        <w:rPr>
          <w:rStyle w:val="Emphasis"/>
          <w:sz w:val="20"/>
        </w:rPr>
        <w:t>[22]</w:t>
      </w:r>
      <w:r w:rsidRPr="004108F2">
        <w:rPr>
          <w:rStyle w:val="Emphasis"/>
          <w:sz w:val="20"/>
        </w:rPr>
        <w:fldChar w:fldCharType="end"/>
      </w:r>
      <w:r w:rsidRPr="004108F2">
        <w:rPr>
          <w:rStyle w:val="Emphasis"/>
          <w:sz w:val="20"/>
        </w:rPr>
        <w:t xml:space="preserve">. Details on sample datasets on colorectal and gastric cancer cells can be seen in </w:t>
      </w:r>
      <w:r w:rsidRPr="004108F2">
        <w:rPr>
          <w:rStyle w:val="Emphasis"/>
          <w:b/>
          <w:bCs/>
          <w:sz w:val="20"/>
        </w:rPr>
        <w:t>FIGURE 2</w:t>
      </w:r>
      <w:r w:rsidRPr="004108F2">
        <w:rPr>
          <w:rStyle w:val="Emphasis"/>
          <w:sz w:val="20"/>
        </w:rPr>
        <w:t xml:space="preserve">. </w:t>
      </w:r>
    </w:p>
    <w:p w14:paraId="54680457" w14:textId="77777777" w:rsidR="004108F2" w:rsidRPr="004108F2" w:rsidRDefault="004108F2" w:rsidP="006852C5">
      <w:pPr>
        <w:pBdr>
          <w:top w:val="nil"/>
          <w:left w:val="nil"/>
          <w:bottom w:val="nil"/>
          <w:right w:val="nil"/>
          <w:between w:val="nil"/>
        </w:pBdr>
        <w:spacing w:after="60"/>
        <w:ind w:firstLine="284"/>
        <w:jc w:val="both"/>
        <w:rPr>
          <w:rStyle w:val="Emphasis"/>
          <w:sz w:val="20"/>
        </w:rPr>
      </w:pPr>
    </w:p>
    <w:p w14:paraId="4D0DC1D2" w14:textId="77777777" w:rsidR="006852C5" w:rsidRDefault="006852C5" w:rsidP="006852C5">
      <w:pPr>
        <w:pBdr>
          <w:top w:val="nil"/>
          <w:left w:val="nil"/>
          <w:bottom w:val="nil"/>
          <w:right w:val="nil"/>
          <w:between w:val="nil"/>
        </w:pBdr>
        <w:spacing w:after="60"/>
        <w:jc w:val="center"/>
        <w:rPr>
          <w:sz w:val="20"/>
        </w:rPr>
      </w:pPr>
      <w:r>
        <w:rPr>
          <w:noProof/>
          <w:sz w:val="20"/>
        </w:rPr>
        <w:drawing>
          <wp:inline distT="0" distB="0" distL="0" distR="0" wp14:anchorId="0B8F0C09" wp14:editId="594E2C48">
            <wp:extent cx="3413052" cy="2137144"/>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7468" cy="2152433"/>
                    </a:xfrm>
                    <a:prstGeom prst="rect">
                      <a:avLst/>
                    </a:prstGeom>
                  </pic:spPr>
                </pic:pic>
              </a:graphicData>
            </a:graphic>
          </wp:inline>
        </w:drawing>
      </w:r>
    </w:p>
    <w:p w14:paraId="23D17559" w14:textId="6A5E4F26" w:rsidR="006852C5" w:rsidRPr="007908BE" w:rsidRDefault="006852C5" w:rsidP="004108F2">
      <w:pPr>
        <w:pStyle w:val="FigureCaption"/>
        <w:rPr>
          <w:sz w:val="20"/>
        </w:rPr>
      </w:pPr>
      <w:r w:rsidRPr="006852C5">
        <w:rPr>
          <w:b/>
          <w:bCs/>
          <w:szCs w:val="16"/>
        </w:rPr>
        <w:t>FIGURE</w:t>
      </w:r>
      <w:r w:rsidRPr="00245B96">
        <w:rPr>
          <w:szCs w:val="16"/>
        </w:rPr>
        <w:t xml:space="preserve"> </w:t>
      </w:r>
      <w:r w:rsidRPr="006852C5">
        <w:rPr>
          <w:b/>
          <w:bCs/>
          <w:szCs w:val="16"/>
        </w:rPr>
        <w:t>2</w:t>
      </w:r>
      <w:r>
        <w:rPr>
          <w:szCs w:val="16"/>
        </w:rPr>
        <w:t>.</w:t>
      </w:r>
      <w:r w:rsidRPr="00245B96">
        <w:rPr>
          <w:szCs w:val="16"/>
        </w:rPr>
        <w:t xml:space="preserve">  </w:t>
      </w:r>
      <w:r w:rsidRPr="00245B96">
        <w:t>Sample Data COAD, and STAD</w:t>
      </w:r>
    </w:p>
    <w:p w14:paraId="358FABED" w14:textId="77777777" w:rsidR="006852C5" w:rsidRPr="006852C5" w:rsidRDefault="006852C5" w:rsidP="006852C5">
      <w:pPr>
        <w:pStyle w:val="Heading2"/>
      </w:pPr>
      <w:r w:rsidRPr="006852C5">
        <w:lastRenderedPageBreak/>
        <w:t>Preprocessing</w:t>
      </w:r>
    </w:p>
    <w:p w14:paraId="63C37FB5" w14:textId="77777777" w:rsidR="006852C5" w:rsidRDefault="006852C5" w:rsidP="006852C5">
      <w:pPr>
        <w:pBdr>
          <w:top w:val="nil"/>
          <w:left w:val="nil"/>
          <w:bottom w:val="nil"/>
          <w:right w:val="nil"/>
          <w:between w:val="nil"/>
        </w:pBdr>
        <w:spacing w:after="60"/>
        <w:ind w:firstLine="284"/>
        <w:jc w:val="both"/>
        <w:rPr>
          <w:sz w:val="20"/>
        </w:rPr>
      </w:pPr>
      <w:r w:rsidRPr="00245B96">
        <w:rPr>
          <w:sz w:val="20"/>
        </w:rPr>
        <w:t xml:space="preserve">At the preprocessing stage will be done several processing steps on the histopathology image data. The first stage is to set the data size to 224x224 pixels to maintain the consistency of the image size, then label each class on the data, the MSIMUT image data will be labeled 0, and the MSS image data will be labeled 1, the next stage is normalizing the data to be input for CNN, and the last stage is to augmentation </w:t>
      </w:r>
      <w:r>
        <w:rPr>
          <w:sz w:val="20"/>
        </w:rPr>
        <w:fldChar w:fldCharType="begin" w:fldLock="1"/>
      </w:r>
      <w:r>
        <w:rPr>
          <w:sz w:val="20"/>
        </w:rPr>
        <w:instrText>ADDIN CSL_CITATION {"citationItems":[{"id":"ITEM-1","itemData":{"DOI":"10.1016/J.BSPC.2019.101782","ISSN":"1746-8094","abstract":"The major challenge in applying deep neural network techniques in the medical imaging domain is how to cope with small datasets and the limited amount of annotated samples. Data augmentation procedures that include conventional geometrical transformation based augmentation techniques and the recent image synthesis techniques using generative adversarial networks (GANs) can be employed to artificially increase the number of training images. This paper is focused on data augmentation for image segmentation task, which has an inherent challenge when compared to the conventional image classification task, due to its requirement to produce a corresponding mask for each generated image. To tackle the challenge of image-mask pair augmentation for image segmentation, this paper proposes a novel two-stage generative adversarial network. The proposed approach first employs a GAN to generate a synthesized binary mask, then incorporates this synthesized mask into the second GAN to perform a conditional generation of the synthesized image. Thus, these two GANs collaborate to generate the synthesized image-mask pairs, which are used to improve the performance of the conventional image segmentation approaches. The proposed approach is evaluated using the cell nuclei image segmentation task and demonstrates the superior performance to outperform both the traditional augmentation methods and the existing GAN-based augmentation methods in extensive results conducted using the benchmark Kaggle cell nuclei image segmentation dataset.","author":[{"dropping-particle":"","family":"Pandey","given":"Siddharth","non-dropping-particle":"","parse-names":false,"suffix":""},{"dropping-particle":"","family":"Singh","given":"Pranshu Ranjan","non-dropping-particle":"","parse-names":false,"suffix":""},{"dropping-particle":"","family":"Tian","given":"Jing","non-dropping-particle":"","parse-names":false,"suffix":""}],"container-title":"Biomedical Signal Processing and Control","id":"ITEM-1","issued":{"date-parts":[["2020","3","1"]]},"page":"101782","publisher":"Elsevier","title":"An image augmentation approach using two-stage generative adversarial network for nuclei image segmentation","type":"article-journal","volume":"57"},"uris":["http://www.mendeley.com/documents/?uuid=36260fb3-adba-34bb-8f9a-e7f07d84ed49"]}],"mendeley":{"formattedCitation":"[23]","plainTextFormattedCitation":"[23]","previouslyFormattedCitation":"[23]"},"properties":{"noteIndex":0},"schema":"https://github.com/citation-style-language/schema/raw/master/csl-citation.json"}</w:instrText>
      </w:r>
      <w:r>
        <w:rPr>
          <w:sz w:val="20"/>
        </w:rPr>
        <w:fldChar w:fldCharType="separate"/>
      </w:r>
      <w:r w:rsidRPr="00263F44">
        <w:rPr>
          <w:noProof/>
          <w:sz w:val="20"/>
        </w:rPr>
        <w:t>[23]</w:t>
      </w:r>
      <w:r>
        <w:rPr>
          <w:sz w:val="20"/>
        </w:rPr>
        <w:fldChar w:fldCharType="end"/>
      </w:r>
      <w:r w:rsidRPr="00245B96">
        <w:rPr>
          <w:sz w:val="20"/>
        </w:rPr>
        <w:t>.</w:t>
      </w:r>
    </w:p>
    <w:p w14:paraId="5E073013" w14:textId="77777777" w:rsidR="006852C5" w:rsidRPr="006852C5" w:rsidRDefault="006852C5" w:rsidP="006852C5">
      <w:pPr>
        <w:pStyle w:val="Heading2"/>
      </w:pPr>
      <w:r w:rsidRPr="006852C5">
        <w:t>Augmentation</w:t>
      </w:r>
    </w:p>
    <w:p w14:paraId="54CC2344" w14:textId="592229E8" w:rsidR="006852C5" w:rsidRPr="00541A3B" w:rsidRDefault="006852C5" w:rsidP="006852C5">
      <w:pPr>
        <w:pBdr>
          <w:top w:val="nil"/>
          <w:left w:val="nil"/>
          <w:bottom w:val="nil"/>
          <w:right w:val="nil"/>
          <w:between w:val="nil"/>
        </w:pBdr>
        <w:spacing w:after="60"/>
        <w:ind w:firstLine="284"/>
        <w:jc w:val="both"/>
        <w:rPr>
          <w:rStyle w:val="Emphasis"/>
          <w:sz w:val="20"/>
        </w:rPr>
      </w:pPr>
      <w:r w:rsidRPr="00541A3B">
        <w:rPr>
          <w:rStyle w:val="Emphasis"/>
          <w:sz w:val="20"/>
        </w:rPr>
        <w:t>The augmentation stage is done to increase the amount of data by creating new data by modifying existing data until the program recognizes that the data is different data</w:t>
      </w:r>
      <w:r w:rsidRPr="00541A3B">
        <w:rPr>
          <w:rStyle w:val="Emphasis"/>
          <w:sz w:val="20"/>
        </w:rPr>
        <w:fldChar w:fldCharType="begin" w:fldLock="1"/>
      </w:r>
      <w:r w:rsidRPr="00541A3B">
        <w:rPr>
          <w:rStyle w:val="Emphasis"/>
          <w:sz w:val="20"/>
        </w:rPr>
        <w:instrText>ADDIN CSL_CITATION {"citationItems":[{"id":"ITEM-1","itemData":{"DOI":"10.1016/J.BSPC.2019.101782","ISSN":"1746-8094","abstract":"The major challenge in applying deep neural network techniques in the medical imaging domain is how to cope with small datasets and the limited amount of annotated samples. Data augmentation procedures that include conventional geometrical transformation based augmentation techniques and the recent image synthesis techniques using generative adversarial networks (GANs) can be employed to artificially increase the number of training images. This paper is focused on data augmentation for image segmentation task, which has an inherent challenge when compared to the conventional image classification task, due to its requirement to produce a corresponding mask for each generated image. To tackle the challenge of image-mask pair augmentation for image segmentation, this paper proposes a novel two-stage generative adversarial network. The proposed approach first employs a GAN to generate a synthesized binary mask, then incorporates this synthesized mask into the second GAN to perform a conditional generation of the synthesized image. Thus, these two GANs collaborate to generate the synthesized image-mask pairs, which are used to improve the performance of the conventional image segmentation approaches. The proposed approach is evaluated using the cell nuclei image segmentation task and demonstrates the superior performance to outperform both the traditional augmentation methods and the existing GAN-based augmentation methods in extensive results conducted using the benchmark Kaggle cell nuclei image segmentation dataset.","author":[{"dropping-particle":"","family":"Pandey","given":"Siddharth","non-dropping-particle":"","parse-names":false,"suffix":""},{"dropping-particle":"","family":"Singh","given":"Pranshu Ranjan","non-dropping-particle":"","parse-names":false,"suffix":""},{"dropping-particle":"","family":"Tian","given":"Jing","non-dropping-particle":"","parse-names":false,"suffix":""}],"container-title":"Biomedical Signal Processing and Control","id":"ITEM-1","issued":{"date-parts":[["2020","3","1"]]},"page":"101782","publisher":"Elsevier","title":"An image augmentation approach using two-stage generative adversarial network for nuclei image segmentation","type":"article-journal","volume":"57"},"uris":["http://www.mendeley.com/documents/?uuid=36260fb3-adba-34bb-8f9a-e7f07d84ed49"]}],"mendeley":{"formattedCitation":"[23]","plainTextFormattedCitation":"[23]","previouslyFormattedCitation":"[23]"},"properties":{"noteIndex":0},"schema":"https://github.com/citation-style-language/schema/raw/master/csl-citation.json"}</w:instrText>
      </w:r>
      <w:r w:rsidRPr="00541A3B">
        <w:rPr>
          <w:rStyle w:val="Emphasis"/>
          <w:sz w:val="20"/>
        </w:rPr>
        <w:fldChar w:fldCharType="separate"/>
      </w:r>
      <w:r w:rsidRPr="00541A3B">
        <w:rPr>
          <w:rStyle w:val="Emphasis"/>
          <w:sz w:val="20"/>
        </w:rPr>
        <w:t>[23]</w:t>
      </w:r>
      <w:r w:rsidRPr="00541A3B">
        <w:rPr>
          <w:rStyle w:val="Emphasis"/>
          <w:sz w:val="20"/>
        </w:rPr>
        <w:fldChar w:fldCharType="end"/>
      </w:r>
      <w:r w:rsidRPr="00541A3B">
        <w:rPr>
          <w:rStyle w:val="Emphasis"/>
          <w:sz w:val="20"/>
        </w:rPr>
        <w:fldChar w:fldCharType="begin" w:fldLock="1"/>
      </w:r>
      <w:r w:rsidRPr="00541A3B">
        <w:rPr>
          <w:rStyle w:val="Emphasis"/>
          <w:sz w:val="20"/>
        </w:rPr>
        <w:instrText>ADDIN CSL_CITATION {"citationItems":[{"id":"ITEM-1","itemData":{"DOI":"10.1016/J.CHAOS.2020.110069","ISSN":"0960-0779","abstract":"The application of machine learning algorithms to neuroimaging data shows great promise for the classification of physiological and pathological brain states. However, classifiers trained on high dimensional data are prone to overfitting, especially for a low number of training samples. We describe the use of whole-brain computational models for data augmentation in brain state classification. Our low dimensional model is based on nonlinear oscillators coupled by the empirical structural connectivity of the brain. We use this model to enhance a dataset consisting of functional magnetic resonance imaging recordings acquired during all stages of the human wake-sleep cycle. After fitting the model to the average functional connectivity of each state, we show that the synthetic data generated by the model yields classification accuracies comparable to those obtained from the empirical data. We also show that models fitted to individual subjects generate surrogates with enough information to train classifiers that present significant transfer learning accuracy to the whole sample. Whole-brain computational modeling represents a useful tool to produce large synthetic datasets for data augmentation in the classification of certain brain states, with potential applications to computer-assisted diagnosis and prognosis of neuropsychiatric disorders.","author":[{"dropping-particle":"","family":"Perl","given":"Yonatan Sanz","non-dropping-particle":"","parse-names":false,"suffix":""},{"dropping-particle":"","family":"Pallavicini","given":"Carla","non-dropping-particle":"","parse-names":false,"suffix":""},{"dropping-particle":"","family":"Ipiña","given":"Ignacio Perez","non-dropping-particle":"","parse-names":false,"suffix":""},{"dropping-particle":"","family":"Kringelbach","given":"Morten","non-dropping-particle":"","parse-names":false,"suffix":""},{"dropping-particle":"","family":"Deco","given":"Gustavo","non-dropping-particle":"","parse-names":false,"suffix":""},{"dropping-particle":"","family":"Laufs","given":"Helmut","non-dropping-particle":"","parse-names":false,"suffix":""},{"dropping-particle":"","family":"Tagliazucchi","given":"Enzo","non-dropping-particle":"","parse-names":false,"suffix":""}],"container-title":"Chaos, Solitons &amp; Fractals","id":"ITEM-1","issued":{"date-parts":[["2020","10","1"]]},"page":"110069","publisher":"Pergamon","title":"Data augmentation based on dynamical systems for the classification of brain states","type":"article-journal","volume":"139"},"uris":["http://www.mendeley.com/documents/?uuid=d9714438-f53e-3e95-ac02-ee4fd28e7a6a"]}],"mendeley":{"formattedCitation":"[24]","plainTextFormattedCitation":"[24]","previouslyFormattedCitation":"[24]"},"properties":{"noteIndex":0},"schema":"https://github.com/citation-style-language/schema/raw/master/csl-citation.json"}</w:instrText>
      </w:r>
      <w:r w:rsidRPr="00541A3B">
        <w:rPr>
          <w:rStyle w:val="Emphasis"/>
          <w:sz w:val="20"/>
        </w:rPr>
        <w:fldChar w:fldCharType="separate"/>
      </w:r>
      <w:r w:rsidRPr="00541A3B">
        <w:rPr>
          <w:rStyle w:val="Emphasis"/>
          <w:sz w:val="20"/>
        </w:rPr>
        <w:t>[24]</w:t>
      </w:r>
      <w:r w:rsidRPr="00541A3B">
        <w:rPr>
          <w:rStyle w:val="Emphasis"/>
          <w:sz w:val="20"/>
        </w:rPr>
        <w:fldChar w:fldCharType="end"/>
      </w:r>
      <w:r w:rsidRPr="00541A3B">
        <w:rPr>
          <w:rStyle w:val="Emphasis"/>
          <w:sz w:val="20"/>
        </w:rPr>
        <w:fldChar w:fldCharType="begin" w:fldLock="1"/>
      </w:r>
      <w:r w:rsidRPr="00541A3B">
        <w:rPr>
          <w:rStyle w:val="Emphasis"/>
          <w:sz w:val="20"/>
        </w:rPr>
        <w:instrText>ADDIN CSL_CITATION {"citationItems":[{"id":"ITEM-1","itemData":{"DOI":"10.1016/J.CHEMOLAB.2021.104367","ISSN":"0169-7439","abstract":"Infrared spectroscopy hampered by physical distortions from scattering and instrumental effects. Therefore, it is generally accepted that spectra should be pre-processed before further data analysis. Deep learning community offers augmentation techniques as an alternative approach to deal with variability in the data. In this paper we propose an Extended Multiplicative Signal Augmentation (EMSA) method for augmenting physical distortions in infrared spectra. In order to study the effect of pre-processing and augmentation techniques we combine them with a wide range of classifiers from chemometrics, machine learning and statistics for four different spectral data sets. While the conventional pre-processing strategies perform well with all classifiers evaluated, augmentation can replace pre-processing when combined with Deep Convolutional Neural Networks and is especially successful when applied to small data sets.","author":[{"dropping-particle":"","family":"Blazhko","given":"Uladzislau","non-dropping-particle":"","parse-names":false,"suffix":""},{"dropping-particle":"","family":"Shapaval","given":"Volha","non-dropping-particle":"","parse-names":false,"suffix":""},{"dropping-particle":"","family":"Kovalev","given":"Vassili","non-dropping-particle":"","parse-names":false,"suffix":""},{"dropping-particle":"","family":"Kohler","given":"Achim","non-dropping-particle":"","parse-names":false,"suffix":""}],"container-title":"Chemometrics and Intelligent Laboratory Systems","id":"ITEM-1","issued":{"date-parts":[["2021","8","15"]]},"page":"104367","publisher":"Elsevier","title":"Comparison of augmentation and pre-processing for deep learning and chemometric classification of infrared spectra","type":"article-journal","volume":"215"},"uris":["http://www.mendeley.com/documents/?uuid=8d6149ea-09f5-3744-81e5-12760f92edbe"]}],"mendeley":{"formattedCitation":"[25]","plainTextFormattedCitation":"[25]","previouslyFormattedCitation":"[25]"},"properties":{"noteIndex":0},"schema":"https://github.com/citation-style-language/schema/raw/master/csl-citation.json"}</w:instrText>
      </w:r>
      <w:r w:rsidRPr="00541A3B">
        <w:rPr>
          <w:rStyle w:val="Emphasis"/>
          <w:sz w:val="20"/>
        </w:rPr>
        <w:fldChar w:fldCharType="separate"/>
      </w:r>
      <w:r w:rsidRPr="00541A3B">
        <w:rPr>
          <w:rStyle w:val="Emphasis"/>
          <w:sz w:val="20"/>
        </w:rPr>
        <w:t>[25]</w:t>
      </w:r>
      <w:r w:rsidRPr="00541A3B">
        <w:rPr>
          <w:rStyle w:val="Emphasis"/>
          <w:sz w:val="20"/>
        </w:rPr>
        <w:fldChar w:fldCharType="end"/>
      </w:r>
      <w:r w:rsidRPr="00541A3B">
        <w:rPr>
          <w:rStyle w:val="Emphasis"/>
          <w:sz w:val="20"/>
        </w:rPr>
        <w:t xml:space="preserve">. This augmentation stage is performed in cases with a small amount of data to makes the data have more variability that can make it easier for the model to process the classification of objects, and avoid overfitting </w:t>
      </w:r>
      <w:r w:rsidRPr="00541A3B">
        <w:rPr>
          <w:rStyle w:val="Emphasis"/>
          <w:sz w:val="20"/>
        </w:rPr>
        <w:fldChar w:fldCharType="begin" w:fldLock="1"/>
      </w:r>
      <w:r w:rsidRPr="00541A3B">
        <w:rPr>
          <w:rStyle w:val="Emphasis"/>
          <w:sz w:val="20"/>
        </w:rPr>
        <w:instrText>ADDIN CSL_CITATION {"citationItems":[{"id":"ITEM-1","itemData":{"DOI":"10.1016/J.CHEMOLAB.2021.104367","ISSN":"0169-7439","abstract":"Infrared spectroscopy hampered by physical distortions from scattering and instrumental effects. Therefore, it is generally accepted that spectra should be pre-processed before further data analysis. Deep learning community offers augmentation techniques as an alternative approach to deal with variability in the data. In this paper we propose an Extended Multiplicative Signal Augmentation (EMSA) method for augmenting physical distortions in infrared spectra. In order to study the effect of pre-processing and augmentation techniques we combine them with a wide range of classifiers from chemometrics, machine learning and statistics for four different spectral data sets. While the conventional pre-processing strategies perform well with all classifiers evaluated, augmentation can replace pre-processing when combined with Deep Convolutional Neural Networks and is especially successful when applied to small data sets.","author":[{"dropping-particle":"","family":"Blazhko","given":"Uladzislau","non-dropping-particle":"","parse-names":false,"suffix":""},{"dropping-particle":"","family":"Shapaval","given":"Volha","non-dropping-particle":"","parse-names":false,"suffix":""},{"dropping-particle":"","family":"Kovalev","given":"Vassili","non-dropping-particle":"","parse-names":false,"suffix":""},{"dropping-particle":"","family":"Kohler","given":"Achim","non-dropping-particle":"","parse-names":false,"suffix":""}],"container-title":"Chemometrics and Intelligent Laboratory Systems","id":"ITEM-1","issued":{"date-parts":[["2021","8","15"]]},"page":"104367","publisher":"Elsevier","title":"Comparison of augmentation and pre-processing for deep learning and chemometric classification of infrared spectra","type":"article-journal","volume":"215"},"uris":["http://www.mendeley.com/documents/?uuid=8d6149ea-09f5-3744-81e5-12760f92edbe"]}],"mendeley":{"formattedCitation":"[25]","plainTextFormattedCitation":"[25]","previouslyFormattedCitation":"[25]"},"properties":{"noteIndex":0},"schema":"https://github.com/citation-style-language/schema/raw/master/csl-citation.json"}</w:instrText>
      </w:r>
      <w:r w:rsidRPr="00541A3B">
        <w:rPr>
          <w:rStyle w:val="Emphasis"/>
          <w:sz w:val="20"/>
        </w:rPr>
        <w:fldChar w:fldCharType="separate"/>
      </w:r>
      <w:r w:rsidRPr="00541A3B">
        <w:rPr>
          <w:rStyle w:val="Emphasis"/>
          <w:sz w:val="20"/>
        </w:rPr>
        <w:t>[25]</w:t>
      </w:r>
      <w:r w:rsidRPr="00541A3B">
        <w:rPr>
          <w:rStyle w:val="Emphasis"/>
          <w:sz w:val="20"/>
        </w:rPr>
        <w:fldChar w:fldCharType="end"/>
      </w:r>
      <w:r w:rsidRPr="00541A3B">
        <w:rPr>
          <w:rStyle w:val="Emphasis"/>
          <w:sz w:val="20"/>
        </w:rPr>
        <w:t xml:space="preserve">. The techniques used in this study are horizontal flip = True, vertical flip = True, rotation = 180°, zoom = 10%, width shift = 10%, height shift = 10%, and fill mode = reflect </w:t>
      </w:r>
      <w:r w:rsidRPr="00541A3B">
        <w:rPr>
          <w:rStyle w:val="Emphasis"/>
          <w:sz w:val="20"/>
        </w:rPr>
        <w:fldChar w:fldCharType="begin" w:fldLock="1"/>
      </w:r>
      <w:r w:rsidRPr="00541A3B">
        <w:rPr>
          <w:rStyle w:val="Emphasis"/>
          <w:sz w:val="20"/>
        </w:rPr>
        <w:instrText>ADDIN CSL_CITATION {"citationItems":[{"id":"ITEM-1","itemData":{"DOI":"10.1016/J.ICTE.2020.04.010","ISSN":"2405-9595","abstract":"Many hyperparameters have to be tuned to have a robust convolutional neural network that will be able to accurately classify images. One of the most important hyperparameters is the batch size, which is the number of images used to train a single forward and backward pass. In this study, the effect of batch size on the performance of convolutional neural networks and the impact of learning rates will be studied for image classification, specifically for medical images. To train the network faster, a VGG16 network with ImageNet weights was used in this experiment. Our results concluded that a higher batch size does not usually achieve high accuracy, and the learning rate and the optimizer used will have a significant impact as well. Lowering the learning rate and decreasing the batch size will allow the network to train better, especially in the case of fine-tuning.","author":[{"dropping-particle":"","family":"Kandel","given":"Ibrahem","non-dropping-particle":"","parse-names":false,"suffix":""},{"dropping-particle":"","family":"Castelli","given":"Mauro","non-dropping-particle":"","parse-names":false,"suffix":""}],"container-title":"ICT Express","id":"ITEM-1","issue":"4","issued":{"date-parts":[["2020","12","1"]]},"page":"312-315","publisher":"Elsevier","title":"The effect of batch size on the generalizability of the convolutional neural networks on a histopathology dataset","type":"article-journal","volume":"6"},"uris":["http://www.mendeley.com/documents/?uuid=46dadf8b-40a1-3e45-8f77-319bed65ebfe"]}],"mendeley":{"formattedCitation":"[18]","plainTextFormattedCitation":"[18]","previouslyFormattedCitation":"[18]"},"properties":{"noteIndex":0},"schema":"https://github.com/citation-style-language/schema/raw/master/csl-citation.json"}</w:instrText>
      </w:r>
      <w:r w:rsidRPr="00541A3B">
        <w:rPr>
          <w:rStyle w:val="Emphasis"/>
          <w:sz w:val="20"/>
        </w:rPr>
        <w:fldChar w:fldCharType="separate"/>
      </w:r>
      <w:r w:rsidRPr="00541A3B">
        <w:rPr>
          <w:rStyle w:val="Emphasis"/>
          <w:sz w:val="20"/>
        </w:rPr>
        <w:t>[18]</w:t>
      </w:r>
      <w:r w:rsidRPr="00541A3B">
        <w:rPr>
          <w:rStyle w:val="Emphasis"/>
          <w:sz w:val="20"/>
        </w:rPr>
        <w:fldChar w:fldCharType="end"/>
      </w:r>
      <w:r w:rsidRPr="00541A3B">
        <w:rPr>
          <w:rStyle w:val="Emphasis"/>
          <w:sz w:val="20"/>
        </w:rPr>
        <w:fldChar w:fldCharType="begin" w:fldLock="1"/>
      </w:r>
      <w:r w:rsidRPr="00541A3B">
        <w:rPr>
          <w:rStyle w:val="Emphasis"/>
          <w:sz w:val="20"/>
        </w:rPr>
        <w:instrText>ADDIN CSL_CITATION {"citationItems":[{"id":"ITEM-1","itemData":{"DOI":"10.1016/J.CHAOS.2020.110069","ISSN":"0960-0779","abstract":"The application of machine learning algorithms to neuroimaging data shows great promise for the classification of physiological and pathological brain states. However, classifiers trained on high dimensional data are prone to overfitting, especially for a low number of training samples. We describe the use of whole-brain computational models for data augmentation in brain state classification. Our low dimensional model is based on nonlinear oscillators coupled by the empirical structural connectivity of the brain. We use this model to enhance a dataset consisting of functional magnetic resonance imaging recordings acquired during all stages of the human wake-sleep cycle. After fitting the model to the average functional connectivity of each state, we show that the synthetic data generated by the model yields classification accuracies comparable to those obtained from the empirical data. We also show that models fitted to individual subjects generate surrogates with enough information to train classifiers that present significant transfer learning accuracy to the whole sample. Whole-brain computational modeling represents a useful tool to produce large synthetic datasets for data augmentation in the classification of certain brain states, with potential applications to computer-assisted diagnosis and prognosis of neuropsychiatric disorders.","author":[{"dropping-particle":"","family":"Perl","given":"Yonatan Sanz","non-dropping-particle":"","parse-names":false,"suffix":""},{"dropping-particle":"","family":"Pallavicini","given":"Carla","non-dropping-particle":"","parse-names":false,"suffix":""},{"dropping-particle":"","family":"Ipiña","given":"Ignacio Perez","non-dropping-particle":"","parse-names":false,"suffix":""},{"dropping-particle":"","family":"Kringelbach","given":"Morten","non-dropping-particle":"","parse-names":false,"suffix":""},{"dropping-particle":"","family":"Deco","given":"Gustavo","non-dropping-particle":"","parse-names":false,"suffix":""},{"dropping-particle":"","family":"Laufs","given":"Helmut","non-dropping-particle":"","parse-names":false,"suffix":""},{"dropping-particle":"","family":"Tagliazucchi","given":"Enzo","non-dropping-particle":"","parse-names":false,"suffix":""}],"container-title":"Chaos, Solitons &amp; Fractals","id":"ITEM-1","issued":{"date-parts":[["2020","10","1"]]},"page":"110069","publisher":"Pergamon","title":"Data augmentation based on dynamical systems for the classification of brain states","type":"article-journal","volume":"139"},"uris":["http://www.mendeley.com/documents/?uuid=d9714438-f53e-3e95-ac02-ee4fd28e7a6a"]}],"mendeley":{"formattedCitation":"[24]","plainTextFormattedCitation":"[24]","previouslyFormattedCitation":"[24]"},"properties":{"noteIndex":0},"schema":"https://github.com/citation-style-language/schema/raw/master/csl-citation.json"}</w:instrText>
      </w:r>
      <w:r w:rsidRPr="00541A3B">
        <w:rPr>
          <w:rStyle w:val="Emphasis"/>
          <w:sz w:val="20"/>
        </w:rPr>
        <w:fldChar w:fldCharType="separate"/>
      </w:r>
      <w:r w:rsidRPr="00541A3B">
        <w:rPr>
          <w:rStyle w:val="Emphasis"/>
          <w:sz w:val="20"/>
        </w:rPr>
        <w:t>[24]</w:t>
      </w:r>
      <w:r w:rsidRPr="00541A3B">
        <w:rPr>
          <w:rStyle w:val="Emphasis"/>
          <w:sz w:val="20"/>
        </w:rPr>
        <w:fldChar w:fldCharType="end"/>
      </w:r>
      <w:r w:rsidRPr="00541A3B">
        <w:rPr>
          <w:rStyle w:val="Emphasis"/>
          <w:sz w:val="20"/>
        </w:rPr>
        <w:t>. The proposed augmentation makes the image data to be 8x more, the previous data of colorectal cancer cells 93,408 data to 747,264 data, and gastric cancer cell data that was previously 100,570 data to 804,560 data. Details of the augmentation results can be seen in</w:t>
      </w:r>
      <w:r w:rsidRPr="00541A3B">
        <w:rPr>
          <w:rStyle w:val="Emphasis"/>
          <w:b/>
          <w:bCs/>
          <w:sz w:val="20"/>
        </w:rPr>
        <w:t xml:space="preserve"> FIGURE 3</w:t>
      </w:r>
      <w:r w:rsidRPr="00541A3B">
        <w:rPr>
          <w:rStyle w:val="Emphasis"/>
          <w:sz w:val="20"/>
        </w:rPr>
        <w:t>.</w:t>
      </w:r>
    </w:p>
    <w:p w14:paraId="3671C3CA" w14:textId="77777777" w:rsidR="006852C5" w:rsidRDefault="006852C5" w:rsidP="006852C5">
      <w:pPr>
        <w:pBdr>
          <w:top w:val="nil"/>
          <w:left w:val="nil"/>
          <w:bottom w:val="nil"/>
          <w:right w:val="nil"/>
          <w:between w:val="nil"/>
        </w:pBdr>
        <w:spacing w:after="60"/>
        <w:jc w:val="center"/>
        <w:rPr>
          <w:sz w:val="20"/>
        </w:rPr>
      </w:pPr>
    </w:p>
    <w:p w14:paraId="4570FF4A" w14:textId="77777777" w:rsidR="006852C5" w:rsidRDefault="006852C5" w:rsidP="006852C5">
      <w:pPr>
        <w:pBdr>
          <w:top w:val="nil"/>
          <w:left w:val="nil"/>
          <w:bottom w:val="nil"/>
          <w:right w:val="nil"/>
          <w:between w:val="nil"/>
        </w:pBdr>
        <w:spacing w:after="60"/>
        <w:jc w:val="center"/>
        <w:rPr>
          <w:sz w:val="20"/>
        </w:rPr>
      </w:pPr>
      <w:r w:rsidRPr="00B61819">
        <w:rPr>
          <w:noProof/>
        </w:rPr>
        <w:drawing>
          <wp:inline distT="0" distB="0" distL="0" distR="0" wp14:anchorId="2A0FA3DA" wp14:editId="0A9DE6ED">
            <wp:extent cx="3848986" cy="2190307"/>
            <wp:effectExtent l="0" t="0" r="0" b="635"/>
            <wp:docPr id="2" name="Picture 2" descr="C:\Users\Alfarizy\Desktop\Bismillah\Sidang\Laporan Akhir\Pict\Revision Augmentatio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lfarizy\Desktop\Bismillah\Sidang\Laporan Akhir\Pict\Revision Augmentation.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86" b="-2089"/>
                    <a:stretch/>
                  </pic:blipFill>
                  <pic:spPr bwMode="auto">
                    <a:xfrm>
                      <a:off x="0" y="0"/>
                      <a:ext cx="3877404" cy="2206478"/>
                    </a:xfrm>
                    <a:prstGeom prst="rect">
                      <a:avLst/>
                    </a:prstGeom>
                    <a:noFill/>
                    <a:ln>
                      <a:noFill/>
                    </a:ln>
                    <a:extLst>
                      <a:ext uri="{53640926-AAD7-44D8-BBD7-CCE9431645EC}">
                        <a14:shadowObscured xmlns:a14="http://schemas.microsoft.com/office/drawing/2010/main"/>
                      </a:ext>
                    </a:extLst>
                  </pic:spPr>
                </pic:pic>
              </a:graphicData>
            </a:graphic>
          </wp:inline>
        </w:drawing>
      </w:r>
    </w:p>
    <w:p w14:paraId="1AFE8ABC" w14:textId="484238FA" w:rsidR="006852C5" w:rsidRPr="00513CB7" w:rsidRDefault="006852C5" w:rsidP="00541A3B">
      <w:pPr>
        <w:pStyle w:val="FigureCaption"/>
      </w:pPr>
      <w:r w:rsidRPr="006852C5">
        <w:rPr>
          <w:b/>
          <w:bCs/>
          <w:szCs w:val="16"/>
        </w:rPr>
        <w:t>FIGURE 3</w:t>
      </w:r>
      <w:r>
        <w:rPr>
          <w:szCs w:val="16"/>
        </w:rPr>
        <w:t>.</w:t>
      </w:r>
      <w:r w:rsidRPr="00245B96">
        <w:rPr>
          <w:szCs w:val="16"/>
        </w:rPr>
        <w:t xml:space="preserve">  </w:t>
      </w:r>
      <w:r>
        <w:t>Result of augmentation</w:t>
      </w:r>
    </w:p>
    <w:p w14:paraId="321D0166" w14:textId="77777777" w:rsidR="006852C5" w:rsidRPr="006852C5" w:rsidRDefault="006852C5" w:rsidP="006852C5">
      <w:pPr>
        <w:pStyle w:val="Heading2"/>
      </w:pPr>
      <w:r w:rsidRPr="006852C5">
        <w:t>Hyperparameter Tuning</w:t>
      </w:r>
    </w:p>
    <w:p w14:paraId="1DCB7B40" w14:textId="77777777" w:rsidR="006852C5" w:rsidRPr="00541A3B" w:rsidRDefault="006852C5" w:rsidP="006852C5">
      <w:pPr>
        <w:pBdr>
          <w:top w:val="nil"/>
          <w:left w:val="nil"/>
          <w:bottom w:val="nil"/>
          <w:right w:val="nil"/>
          <w:between w:val="nil"/>
        </w:pBdr>
        <w:spacing w:after="60"/>
        <w:ind w:firstLine="284"/>
        <w:jc w:val="both"/>
        <w:rPr>
          <w:rStyle w:val="Emphasis"/>
          <w:sz w:val="20"/>
        </w:rPr>
      </w:pPr>
      <w:r w:rsidRPr="00541A3B">
        <w:rPr>
          <w:rStyle w:val="Emphasis"/>
          <w:sz w:val="20"/>
        </w:rPr>
        <w:t xml:space="preserve">Hyperparameter tuning is the process before training the model to get the best combination of parameters. In this study, hyperparameter tuning is focused on finding the combination of optimizer and dropout parameters. Dropouts on the model are divided into two parts based on their location, namely on the after pooling layer (Dropout APL), and at the fully connected layer (Dropout FCL) </w:t>
      </w:r>
      <w:r w:rsidRPr="00541A3B">
        <w:rPr>
          <w:rStyle w:val="Emphasis"/>
          <w:sz w:val="20"/>
        </w:rPr>
        <w:fldChar w:fldCharType="begin" w:fldLock="1"/>
      </w:r>
      <w:r w:rsidRPr="00541A3B">
        <w:rPr>
          <w:rStyle w:val="Emphasis"/>
          <w:sz w:val="20"/>
        </w:rPr>
        <w:instrText>ADDIN CSL_CITATION {"citationItems":[{"id":"ITEM-1","itemData":{"DOI":"10.1109/ICCC.2018.00017","ISBN":"9781538672419","abstract":"Major gains have been made in recent years in object recognition due to advances in deep neural networks. One struggle with deep learning, however, revolves around the fact that currently it is unknown what network architecture is best for a given problem. Consequently, different configurations are tried until one is identified that gives acceptable results. This paper proposes an asynchronous reinforcement learning algorithm that finds an optimal network configuration by automatically adjusting parameters for a given problem. It is shown that asynchronous reinforcement learning is able to converge on an optimal solution for the MNIST data set.","author":[{"dropping-particle":"","family":"Neary","given":"Patrick L.","non-dropping-particle":"","parse-names":false,"suffix":""}],"container-title":"Proceedings - 2018 IEEE International Conference on Cognitive Computing, ICCC 2018 - Part of the 2018 IEEE World Congress on Services","id":"ITEM-1","issued":{"date-parts":[["2018","9","7"]]},"page":"73-77","publisher":"Institute of Electrical and Electronics Engineers Inc.","title":"Automatic hyperparameter tuning in deep convolutional neural networks using asynchronous reinforcement learning","type":"article-journal"},"uris":["http://www.mendeley.com/documents/?uuid=b5409458-e752-3fed-9f3b-a2f0928ffdf6"]}],"mendeley":{"formattedCitation":"[17]","plainTextFormattedCitation":"[17]","previouslyFormattedCitation":"[17]"},"properties":{"noteIndex":0},"schema":"https://github.com/citation-style-language/schema/raw/master/csl-citation.json"}</w:instrText>
      </w:r>
      <w:r w:rsidRPr="00541A3B">
        <w:rPr>
          <w:rStyle w:val="Emphasis"/>
          <w:sz w:val="20"/>
        </w:rPr>
        <w:fldChar w:fldCharType="separate"/>
      </w:r>
      <w:r w:rsidRPr="00541A3B">
        <w:rPr>
          <w:rStyle w:val="Emphasis"/>
          <w:sz w:val="20"/>
        </w:rPr>
        <w:t>[17]</w:t>
      </w:r>
      <w:r w:rsidRPr="00541A3B">
        <w:rPr>
          <w:rStyle w:val="Emphasis"/>
          <w:sz w:val="20"/>
        </w:rPr>
        <w:fldChar w:fldCharType="end"/>
      </w:r>
      <w:r w:rsidRPr="00541A3B">
        <w:rPr>
          <w:rStyle w:val="Emphasis"/>
          <w:sz w:val="20"/>
        </w:rPr>
        <w:t xml:space="preserve">. This stage provides improved the model performance and shortens the research </w:t>
      </w:r>
      <w:r w:rsidRPr="00541A3B">
        <w:rPr>
          <w:rStyle w:val="Emphasis"/>
          <w:sz w:val="20"/>
        </w:rPr>
        <w:fldChar w:fldCharType="begin" w:fldLock="1"/>
      </w:r>
      <w:r w:rsidRPr="00541A3B">
        <w:rPr>
          <w:rStyle w:val="Emphasis"/>
          <w:sz w:val="20"/>
        </w:rPr>
        <w:instrText>ADDIN CSL_CITATION {"citationItems":[{"id":"ITEM-1","itemData":{"DOI":"10.1109/CLOUD.2019.00097","ISBN":"9781728127057","ISSN":"21596190","abstract":"The paper discusses how we can leverage cloud infrastructure for efficient hyperparameter tuning of deep neural networks on high dimensional hyperparameter spaces using Bayesian Optimization. The paper experiments Bayesian optimization in the cloud at different levels of concurrency for the warmup runs for the Bayesian optimization. Two different distributed hyperparameter tuning approaches were experimented in the cloud-Training on multiple nodes with higher warm-up concurrency Vs Distributed Training on multiple nodes with Horovod and reduced number of warm-up runs. The results indicate that greater number of warm-up runs for Bayesian optimization results in better exploration of the search space. The hyper parameter tuning and distributed training with Horovod in the cloud was performed using the HyperDrive framework of Azure Machine Learning Service for Video Activity Recognition problem. The experiment used a Long-term Recurrent Convolutional Network (LRCN) with transfer learning from Resnet50 backbone.","author":[{"dropping-particle":"","family":"Ranjit","given":"Mercy Prasanna","non-dropping-particle":"","parse-names":false,"suffix":""},{"dropping-particle":"","family":"Ganapathy","given":"Gopinath","non-dropping-particle":"","parse-names":false,"suffix":""},{"dropping-particle":"","family":"Sridhar","given":"Kalaivani","non-dropping-particle":"","parse-names":false,"suffix":""},{"dropping-particle":"","family":"Arumugham","given":"Vikram","non-dropping-particle":"","parse-names":false,"suffix":""}],"container-title":"IEEE International Conference on Cloud Computing, CLOUD","id":"ITEM-1","issued":{"date-parts":[["2019","7","1"]]},"page":"520-522","publisher":"IEEE Computer Society","title":"Efficient deep learning hyperparameter tuning using cloud infrastructure: Intelligent distributed hyperparameter tuning with Bayesian optimization in the cloud","type":"article-journal","volume":"2019-July"},"uris":["http://www.mendeley.com/documents/?uuid=aed4c66d-73a3-3a67-99b1-8e5e1acf3ca0"]}],"mendeley":{"formattedCitation":"[16]","plainTextFormattedCitation":"[16]","previouslyFormattedCitation":"[16]"},"properties":{"noteIndex":0},"schema":"https://github.com/citation-style-language/schema/raw/master/csl-citation.json"}</w:instrText>
      </w:r>
      <w:r w:rsidRPr="00541A3B">
        <w:rPr>
          <w:rStyle w:val="Emphasis"/>
          <w:sz w:val="20"/>
        </w:rPr>
        <w:fldChar w:fldCharType="separate"/>
      </w:r>
      <w:r w:rsidRPr="00541A3B">
        <w:rPr>
          <w:rStyle w:val="Emphasis"/>
          <w:sz w:val="20"/>
        </w:rPr>
        <w:t>[16]</w:t>
      </w:r>
      <w:r w:rsidRPr="00541A3B">
        <w:rPr>
          <w:rStyle w:val="Emphasis"/>
          <w:sz w:val="20"/>
        </w:rPr>
        <w:fldChar w:fldCharType="end"/>
      </w:r>
      <w:r w:rsidRPr="00541A3B">
        <w:rPr>
          <w:rStyle w:val="Emphasis"/>
          <w:sz w:val="20"/>
        </w:rPr>
        <w:t>. In this study, the parameters to be compared were Optimizer (Adam, RMSprop, SGD), Dropout APL (5%, and 10%), and Dropout FCL (25%, and 50%).</w:t>
      </w:r>
    </w:p>
    <w:p w14:paraId="22440DE2" w14:textId="77777777" w:rsidR="006852C5" w:rsidRDefault="006852C5" w:rsidP="006852C5">
      <w:pPr>
        <w:pBdr>
          <w:top w:val="nil"/>
          <w:left w:val="nil"/>
          <w:bottom w:val="nil"/>
          <w:right w:val="nil"/>
          <w:between w:val="nil"/>
        </w:pBdr>
        <w:spacing w:after="60"/>
        <w:jc w:val="both"/>
        <w:rPr>
          <w:sz w:val="20"/>
        </w:rPr>
      </w:pPr>
    </w:p>
    <w:p w14:paraId="27D56375" w14:textId="77777777" w:rsidR="006852C5" w:rsidRPr="006852C5" w:rsidRDefault="006852C5" w:rsidP="006852C5">
      <w:pPr>
        <w:pStyle w:val="Heading2"/>
      </w:pPr>
      <w:r w:rsidRPr="006852C5">
        <w:t>Proposed architecture model</w:t>
      </w:r>
    </w:p>
    <w:p w14:paraId="456D197C" w14:textId="40553680" w:rsidR="00EA50A7" w:rsidRPr="00541A3B" w:rsidRDefault="006852C5" w:rsidP="006852C5">
      <w:pPr>
        <w:pStyle w:val="Paragraph"/>
        <w:rPr>
          <w:rStyle w:val="Emphasis"/>
        </w:rPr>
      </w:pPr>
      <w:r w:rsidRPr="00541A3B">
        <w:rPr>
          <w:rStyle w:val="Emphasis"/>
        </w:rPr>
        <w:t xml:space="preserve">At this stage of the study, the architectural model in this study followed the VGG19 model used by Wang, L </w:t>
      </w:r>
      <w:r w:rsidRPr="00541A3B">
        <w:rPr>
          <w:rStyle w:val="Emphasis"/>
        </w:rPr>
        <w:fldChar w:fldCharType="begin" w:fldLock="1"/>
      </w:r>
      <w:r w:rsidRPr="00541A3B">
        <w:rPr>
          <w:rStyle w:val="Emphasis"/>
        </w:rPr>
        <w:instrText>ADDIN CSL_CITATION {"citationItems":[{"id":"ITEM-1","itemData":{"DOI":"10.1038/BJC.2016.161","ISSN":"1532-1827","PMID":"27228287","abstract":"Background: Among colorectal cancers (CRCs), high-frequency microsatellite instability (MSI-H) is associated with a better prognosis, compared with low-frequency MSI or microsatellite stability (MSI-L/MSS). However, it is unclear whether MSI affects the prognosis of recurrent CRCs. Methods: This study included 2940 patients with stage I-III CRC who underwent complete resection. The associations of MSI status with recurrence patterns, disease-free survival (DFS), overall survival from diagnosis to death (OS1), and overall survival from recurrence to death (OS2) were analysed. Results: A total of 261 patients (8.9%) had MSI-H CRC. Patients with MSI-H CRC had better DFS, compared to patients with MSI-L/MSS CRC (hazard ratio (HR): 0.619, P&lt;0.001). High-frequency microsatellite instability CRC was associated with more frequent local recurrence (30.0% vs 12.0%, P=0.032) or peritoneal metastasis (40.0% vs 12.3%, P=0.003), and less frequent lung (10.0% vs 42.5%, P=0.004) or liver metastases (15.0% vs 44.7%, P=0.01). Recurrent MSI-H CRC was associated with worse OS1 (HR: 1.363, P=0.035) and OS2 (HR: 2.667, P&lt;0.001). An analysis of patients with colon cancer yielded similar results. Conclusions: Recurrence patterns differed between MSI-H CRC and MSI-L/MSS CRC, and recurrent MSI-H CRCs had a worse prognosis.","author":[{"dropping-particle":"","family":"Kim","given":"Chang Gon","non-dropping-particle":"","parse-names":false,"suffix":""},{"dropping-particle":"","family":"Ahn","given":"Joong Bae","non-dropping-particle":"","parse-names":false,"suffix":""},{"dropping-particle":"","family":"Jung","given":"Minkyu","non-dropping-particle":"","parse-names":false,"suffix":""},{"dropping-particle":"","family":"Beom","given":"Seung Hoon","non-dropping-particle":"","parse-names":false,"suffix":""},{"dropping-particle":"","family":"Kim","given":"Chan","non-dropping-particle":"","parse-names":false,"suffix":""},{"dropping-particle":"","family":"Kim","given":"Joo Hoon","non-dropping-particle":"","parse-names":false,"suffix":""},{"dropping-particle":"","family":"Heo","given":"Su Jin","non-dropping-particle":"","parse-names":false,"suffix":""},{"dropping-particle":"","family":"Park","given":"Hyung Soon","non-dropping-particle":"","parse-names":false,"suffix":""},{"dropping-particle":"","family":"Kim","given":"Jee Hung","non-dropping-particle":"","parse-names":false,"suffix":""},{"dropping-particle":"","family":"Kim","given":"Nam Kyu","non-dropping-particle":"","parse-names":false,"suffix":""},{"dropping-particle":"","family":"Min","given":"Byung Soh","non-dropping-particle":"","parse-names":false,"suffix":""},{"dropping-particle":"","family":"Kim","given":"Hoguen","non-dropping-particle":"","parse-names":false,"suffix":""},{"dropping-particle":"","family":"Koom","given":"Woong Sub","non-dropping-particle":"","parse-names":false,"suffix":""},{"dropping-particle":"","family":"Shin","given":"Sang Joon","non-dropping-particle":"","parse-names":false,"suffix":""}],"container-title":"British journal of cancer","id":"ITEM-1","issue":"1","issued":{"date-parts":[["2016","6","28"]]},"page":"25-33","publisher":"Br J Cancer","title":"Effects of microsatellite instability on recurrence patterns and outcomes in colorectal cancers","type":"article-journal","volume":"115"},"uris":["http://www.mendeley.com/documents/?uuid=713bc0e4-738e-3df9-934e-de01a86570f2"]}],"mendeley":{"formattedCitation":"[5]","plainTextFormattedCitation":"[5]","previouslyFormattedCitation":"[5]"},"properties":{"noteIndex":0},"schema":"https://github.com/citation-style-language/schema/raw/master/csl-citation.json"}</w:instrText>
      </w:r>
      <w:r w:rsidRPr="00541A3B">
        <w:rPr>
          <w:rStyle w:val="Emphasis"/>
        </w:rPr>
        <w:fldChar w:fldCharType="separate"/>
      </w:r>
      <w:r w:rsidRPr="00541A3B">
        <w:rPr>
          <w:rStyle w:val="Emphasis"/>
        </w:rPr>
        <w:t>[5]</w:t>
      </w:r>
      <w:r w:rsidRPr="00541A3B">
        <w:rPr>
          <w:rStyle w:val="Emphasis"/>
        </w:rPr>
        <w:fldChar w:fldCharType="end"/>
      </w:r>
      <w:r w:rsidRPr="00541A3B">
        <w:rPr>
          <w:rStyle w:val="Emphasis"/>
        </w:rPr>
        <w:t xml:space="preserve">. with slight modifications to convolution layer reduction, use of average pooling, the addition of batch normalization, the addition of dropouts after pooling layers, and parameter changes based on the results of hyperparameter tuning. On the convolution layer, the filter used is valued (64, 128, 256, 256, 512, 512, 512, 512), the kernel size to be used is worth (3, 3), the stride is 1, padding is 'same', and the activation used is ReLu. While in the pooling layer will be selected average pooling with pool size value (2, 2), and padding value 'same'. In the dropout layer, the value used depends on the result of the Hyperparameter Tuning that has been done, the dropout layer will be divided into two </w:t>
      </w:r>
      <w:r w:rsidRPr="00541A3B">
        <w:rPr>
          <w:rStyle w:val="Emphasis"/>
        </w:rPr>
        <w:lastRenderedPageBreak/>
        <w:t>parts based on its location, namely dropout on after pooling layer (Dropout APL), and dropout on the fully connected layer (Dropout FCL). Before the fully connected layer, Global Average Pooling is inserted after the last dropout. In a fully connected layer, there are three dense layers just like VGG19 models with values 4096, 4096, 1000, flatten, and then output layers using one class with sigmoid activation.</w:t>
      </w:r>
    </w:p>
    <w:p w14:paraId="384519A9" w14:textId="67BFBE96" w:rsidR="00EA50A7" w:rsidRDefault="00EA50A7" w:rsidP="00784F94">
      <w:pPr>
        <w:pStyle w:val="Heading1"/>
      </w:pPr>
      <w:r w:rsidRPr="00784F94">
        <w:t>RESULTS AND DISCUSSION</w:t>
      </w:r>
    </w:p>
    <w:p w14:paraId="2889540C" w14:textId="3CC60CBA" w:rsidR="006852C5" w:rsidRPr="00541A3B" w:rsidRDefault="006852C5" w:rsidP="006852C5">
      <w:pPr>
        <w:pStyle w:val="Paragraph"/>
        <w:rPr>
          <w:rStyle w:val="Emphasis"/>
        </w:rPr>
      </w:pPr>
      <w:r w:rsidRPr="00541A3B">
        <w:rPr>
          <w:rStyle w:val="Emphasis"/>
        </w:rPr>
        <w:t>Model testing will be carried out differently on colorectal cancer cell data (COAD) and gastric cancer cell data (STAD). Tests to determine the effect of the proposed model, augmentation, and dropout APL will be performed on the data COAD with scenario 1 as the testing of the proposed model, scenario 2 is the addition of the augmentation, and scenario 3 is the addition of the dropout APL. Then the best-case scenario will be used to test the data STAD by adding some callback techniques to enhance the results. Tests will be performed with the parameters as the epoch was 50 and a batch size of 32.</w:t>
      </w:r>
    </w:p>
    <w:p w14:paraId="6454EA5C" w14:textId="77777777" w:rsidR="006852C5" w:rsidRPr="006852C5" w:rsidRDefault="006852C5" w:rsidP="006852C5">
      <w:pPr>
        <w:pStyle w:val="Heading2"/>
      </w:pPr>
      <w:r w:rsidRPr="006852C5">
        <w:t>Hyperparameter tuning</w:t>
      </w:r>
    </w:p>
    <w:p w14:paraId="168243B6" w14:textId="4255C5E6" w:rsidR="006852C5" w:rsidRPr="00541A3B" w:rsidRDefault="006852C5" w:rsidP="006852C5">
      <w:pPr>
        <w:pBdr>
          <w:top w:val="nil"/>
          <w:left w:val="nil"/>
          <w:bottom w:val="nil"/>
          <w:right w:val="nil"/>
          <w:between w:val="nil"/>
        </w:pBdr>
        <w:spacing w:after="60"/>
        <w:ind w:left="-76" w:firstLine="360"/>
        <w:jc w:val="both"/>
        <w:rPr>
          <w:rStyle w:val="Emphasis"/>
          <w:sz w:val="20"/>
        </w:rPr>
      </w:pPr>
      <w:r w:rsidRPr="00541A3B">
        <w:rPr>
          <w:rStyle w:val="Emphasis"/>
          <w:sz w:val="20"/>
        </w:rPr>
        <w:t xml:space="preserve">Hyperparameter tuning was performed only on colorectal cancer cell data (COAD) using the proposed model. Additional test parameters that will be used in this process are epoch numbered 5 and a batch size of 32. Details about the results of best five parameters combination from hyperparameter tuning process sorted by accuracy values can be seen in </w:t>
      </w:r>
      <w:r w:rsidRPr="00541A3B">
        <w:rPr>
          <w:rStyle w:val="Emphasis"/>
          <w:b/>
          <w:bCs/>
          <w:sz w:val="20"/>
        </w:rPr>
        <w:t>TABLE 1</w:t>
      </w:r>
      <w:r w:rsidRPr="00541A3B">
        <w:rPr>
          <w:rStyle w:val="Emphasis"/>
          <w:sz w:val="20"/>
        </w:rPr>
        <w:t>.</w:t>
      </w:r>
    </w:p>
    <w:p w14:paraId="6105AAB9" w14:textId="779B6602" w:rsidR="006852C5" w:rsidRDefault="006852C5" w:rsidP="00541A3B">
      <w:pPr>
        <w:pStyle w:val="TableCaption"/>
      </w:pPr>
      <w:r w:rsidRPr="006852C5">
        <w:rPr>
          <w:b/>
          <w:bCs/>
        </w:rPr>
        <w:t>TABLE 1</w:t>
      </w:r>
      <w:r>
        <w:t>. The best parameter combination from hyperparameter tuning</w:t>
      </w:r>
    </w:p>
    <w:tbl>
      <w:tblPr>
        <w:tblW w:w="50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0"/>
        <w:gridCol w:w="1880"/>
        <w:gridCol w:w="1880"/>
        <w:gridCol w:w="1880"/>
        <w:gridCol w:w="1880"/>
      </w:tblGrid>
      <w:tr w:rsidR="006852C5" w:rsidRPr="00320BED" w14:paraId="367E8C82" w14:textId="77777777" w:rsidTr="00320BED">
        <w:trPr>
          <w:trHeight w:val="576"/>
          <w:jc w:val="center"/>
        </w:trPr>
        <w:tc>
          <w:tcPr>
            <w:tcW w:w="1000" w:type="pct"/>
            <w:vAlign w:val="center"/>
          </w:tcPr>
          <w:p w14:paraId="31735BF1" w14:textId="77777777" w:rsidR="006852C5" w:rsidRPr="00320BED" w:rsidRDefault="006852C5" w:rsidP="00A165C5">
            <w:pPr>
              <w:adjustRightInd w:val="0"/>
              <w:snapToGrid w:val="0"/>
              <w:jc w:val="center"/>
              <w:rPr>
                <w:b/>
                <w:bCs/>
                <w:sz w:val="20"/>
              </w:rPr>
            </w:pPr>
            <w:r w:rsidRPr="00320BED">
              <w:rPr>
                <w:b/>
                <w:bCs/>
                <w:sz w:val="20"/>
              </w:rPr>
              <w:t>Optimizer</w:t>
            </w:r>
          </w:p>
        </w:tc>
        <w:tc>
          <w:tcPr>
            <w:tcW w:w="1000" w:type="pct"/>
            <w:vAlign w:val="center"/>
          </w:tcPr>
          <w:p w14:paraId="319AF322" w14:textId="77777777" w:rsidR="006852C5" w:rsidRPr="00320BED" w:rsidRDefault="006852C5" w:rsidP="00A165C5">
            <w:pPr>
              <w:adjustRightInd w:val="0"/>
              <w:snapToGrid w:val="0"/>
              <w:jc w:val="center"/>
              <w:rPr>
                <w:b/>
                <w:bCs/>
                <w:sz w:val="20"/>
              </w:rPr>
            </w:pPr>
            <w:r w:rsidRPr="00320BED">
              <w:rPr>
                <w:b/>
                <w:bCs/>
                <w:sz w:val="20"/>
              </w:rPr>
              <w:t>Dropout APL</w:t>
            </w:r>
          </w:p>
        </w:tc>
        <w:tc>
          <w:tcPr>
            <w:tcW w:w="1000" w:type="pct"/>
            <w:vAlign w:val="center"/>
          </w:tcPr>
          <w:p w14:paraId="206E3D3D" w14:textId="77777777" w:rsidR="006852C5" w:rsidRPr="00320BED" w:rsidRDefault="006852C5" w:rsidP="00A165C5">
            <w:pPr>
              <w:adjustRightInd w:val="0"/>
              <w:snapToGrid w:val="0"/>
              <w:jc w:val="center"/>
              <w:rPr>
                <w:b/>
                <w:bCs/>
                <w:sz w:val="20"/>
              </w:rPr>
            </w:pPr>
            <w:r w:rsidRPr="00320BED">
              <w:rPr>
                <w:b/>
                <w:bCs/>
                <w:sz w:val="20"/>
              </w:rPr>
              <w:t>Dropout FCL</w:t>
            </w:r>
          </w:p>
        </w:tc>
        <w:tc>
          <w:tcPr>
            <w:tcW w:w="1000" w:type="pct"/>
            <w:vAlign w:val="center"/>
          </w:tcPr>
          <w:p w14:paraId="4030177D" w14:textId="77777777" w:rsidR="006852C5" w:rsidRPr="00320BED" w:rsidRDefault="006852C5" w:rsidP="00A165C5">
            <w:pPr>
              <w:adjustRightInd w:val="0"/>
              <w:snapToGrid w:val="0"/>
              <w:jc w:val="center"/>
              <w:rPr>
                <w:b/>
                <w:bCs/>
                <w:sz w:val="20"/>
              </w:rPr>
            </w:pPr>
            <w:r w:rsidRPr="00320BED">
              <w:rPr>
                <w:b/>
                <w:bCs/>
                <w:sz w:val="20"/>
              </w:rPr>
              <w:t>Accuracy</w:t>
            </w:r>
          </w:p>
        </w:tc>
        <w:tc>
          <w:tcPr>
            <w:tcW w:w="1000" w:type="pct"/>
            <w:vAlign w:val="center"/>
          </w:tcPr>
          <w:p w14:paraId="1001F772" w14:textId="77777777" w:rsidR="006852C5" w:rsidRPr="00320BED" w:rsidRDefault="006852C5" w:rsidP="00A165C5">
            <w:pPr>
              <w:adjustRightInd w:val="0"/>
              <w:snapToGrid w:val="0"/>
              <w:jc w:val="center"/>
              <w:rPr>
                <w:b/>
                <w:bCs/>
                <w:sz w:val="20"/>
              </w:rPr>
            </w:pPr>
            <w:r w:rsidRPr="00320BED">
              <w:rPr>
                <w:b/>
                <w:bCs/>
                <w:sz w:val="20"/>
              </w:rPr>
              <w:t>Loss</w:t>
            </w:r>
          </w:p>
        </w:tc>
      </w:tr>
      <w:tr w:rsidR="006852C5" w:rsidRPr="00320BED" w14:paraId="3763E52A" w14:textId="77777777" w:rsidTr="00320BED">
        <w:trPr>
          <w:trHeight w:val="288"/>
          <w:jc w:val="center"/>
        </w:trPr>
        <w:tc>
          <w:tcPr>
            <w:tcW w:w="1000" w:type="pct"/>
            <w:vAlign w:val="center"/>
          </w:tcPr>
          <w:p w14:paraId="2FE124A1" w14:textId="77777777" w:rsidR="006852C5" w:rsidRPr="00320BED" w:rsidRDefault="006852C5" w:rsidP="00A165C5">
            <w:pPr>
              <w:adjustRightInd w:val="0"/>
              <w:snapToGrid w:val="0"/>
              <w:jc w:val="center"/>
              <w:rPr>
                <w:sz w:val="20"/>
              </w:rPr>
            </w:pPr>
            <w:r w:rsidRPr="00320BED">
              <w:rPr>
                <w:sz w:val="20"/>
              </w:rPr>
              <w:t>SGD</w:t>
            </w:r>
          </w:p>
        </w:tc>
        <w:tc>
          <w:tcPr>
            <w:tcW w:w="1000" w:type="pct"/>
            <w:vAlign w:val="center"/>
          </w:tcPr>
          <w:p w14:paraId="6B470050" w14:textId="77777777" w:rsidR="006852C5" w:rsidRPr="00320BED" w:rsidRDefault="006852C5" w:rsidP="00A165C5">
            <w:pPr>
              <w:adjustRightInd w:val="0"/>
              <w:snapToGrid w:val="0"/>
              <w:jc w:val="center"/>
              <w:rPr>
                <w:sz w:val="20"/>
              </w:rPr>
            </w:pPr>
            <w:r w:rsidRPr="00320BED">
              <w:rPr>
                <w:sz w:val="20"/>
              </w:rPr>
              <w:t>0.05</w:t>
            </w:r>
          </w:p>
        </w:tc>
        <w:tc>
          <w:tcPr>
            <w:tcW w:w="1000" w:type="pct"/>
            <w:vAlign w:val="center"/>
          </w:tcPr>
          <w:p w14:paraId="1DE3F660" w14:textId="77777777" w:rsidR="006852C5" w:rsidRPr="00320BED" w:rsidRDefault="006852C5" w:rsidP="00A165C5">
            <w:pPr>
              <w:adjustRightInd w:val="0"/>
              <w:snapToGrid w:val="0"/>
              <w:jc w:val="center"/>
              <w:rPr>
                <w:sz w:val="20"/>
              </w:rPr>
            </w:pPr>
            <w:r w:rsidRPr="00320BED">
              <w:rPr>
                <w:sz w:val="20"/>
              </w:rPr>
              <w:t>0.25</w:t>
            </w:r>
          </w:p>
        </w:tc>
        <w:tc>
          <w:tcPr>
            <w:tcW w:w="1000" w:type="pct"/>
            <w:vAlign w:val="center"/>
          </w:tcPr>
          <w:p w14:paraId="4D6F7759" w14:textId="77777777" w:rsidR="006852C5" w:rsidRPr="00320BED" w:rsidRDefault="006852C5" w:rsidP="00A165C5">
            <w:pPr>
              <w:adjustRightInd w:val="0"/>
              <w:snapToGrid w:val="0"/>
              <w:jc w:val="center"/>
              <w:rPr>
                <w:sz w:val="20"/>
              </w:rPr>
            </w:pPr>
            <w:r w:rsidRPr="00320BED">
              <w:rPr>
                <w:sz w:val="20"/>
              </w:rPr>
              <w:t>0.6584</w:t>
            </w:r>
          </w:p>
        </w:tc>
        <w:tc>
          <w:tcPr>
            <w:tcW w:w="1000" w:type="pct"/>
            <w:vAlign w:val="center"/>
          </w:tcPr>
          <w:p w14:paraId="48426D32" w14:textId="77777777" w:rsidR="006852C5" w:rsidRPr="00320BED" w:rsidRDefault="006852C5" w:rsidP="00A165C5">
            <w:pPr>
              <w:adjustRightInd w:val="0"/>
              <w:snapToGrid w:val="0"/>
              <w:jc w:val="center"/>
              <w:rPr>
                <w:sz w:val="20"/>
              </w:rPr>
            </w:pPr>
            <w:r w:rsidRPr="00320BED">
              <w:rPr>
                <w:sz w:val="20"/>
              </w:rPr>
              <w:t>0.6233</w:t>
            </w:r>
          </w:p>
        </w:tc>
      </w:tr>
      <w:tr w:rsidR="006852C5" w:rsidRPr="00320BED" w14:paraId="531CC8F0" w14:textId="77777777" w:rsidTr="00320BED">
        <w:trPr>
          <w:trHeight w:val="288"/>
          <w:jc w:val="center"/>
        </w:trPr>
        <w:tc>
          <w:tcPr>
            <w:tcW w:w="1000" w:type="pct"/>
            <w:vAlign w:val="center"/>
          </w:tcPr>
          <w:p w14:paraId="0E5B5979" w14:textId="77777777" w:rsidR="006852C5" w:rsidRPr="00320BED" w:rsidRDefault="006852C5" w:rsidP="00A165C5">
            <w:pPr>
              <w:adjustRightInd w:val="0"/>
              <w:snapToGrid w:val="0"/>
              <w:jc w:val="center"/>
              <w:rPr>
                <w:sz w:val="20"/>
              </w:rPr>
            </w:pPr>
            <w:r w:rsidRPr="00320BED">
              <w:rPr>
                <w:sz w:val="20"/>
              </w:rPr>
              <w:t>Adam</w:t>
            </w:r>
          </w:p>
        </w:tc>
        <w:tc>
          <w:tcPr>
            <w:tcW w:w="1000" w:type="pct"/>
            <w:vAlign w:val="center"/>
          </w:tcPr>
          <w:p w14:paraId="618428EF" w14:textId="77777777" w:rsidR="006852C5" w:rsidRPr="00320BED" w:rsidRDefault="006852C5" w:rsidP="00A165C5">
            <w:pPr>
              <w:adjustRightInd w:val="0"/>
              <w:snapToGrid w:val="0"/>
              <w:jc w:val="center"/>
              <w:rPr>
                <w:sz w:val="20"/>
              </w:rPr>
            </w:pPr>
            <w:r w:rsidRPr="00320BED">
              <w:rPr>
                <w:sz w:val="20"/>
              </w:rPr>
              <w:t>0.05</w:t>
            </w:r>
          </w:p>
        </w:tc>
        <w:tc>
          <w:tcPr>
            <w:tcW w:w="1000" w:type="pct"/>
            <w:vAlign w:val="center"/>
          </w:tcPr>
          <w:p w14:paraId="26233896" w14:textId="77777777" w:rsidR="006852C5" w:rsidRPr="00320BED" w:rsidRDefault="006852C5" w:rsidP="00A165C5">
            <w:pPr>
              <w:adjustRightInd w:val="0"/>
              <w:snapToGrid w:val="0"/>
              <w:jc w:val="center"/>
              <w:rPr>
                <w:sz w:val="20"/>
              </w:rPr>
            </w:pPr>
            <w:r w:rsidRPr="00320BED">
              <w:rPr>
                <w:sz w:val="20"/>
              </w:rPr>
              <w:t>0.5</w:t>
            </w:r>
          </w:p>
        </w:tc>
        <w:tc>
          <w:tcPr>
            <w:tcW w:w="1000" w:type="pct"/>
            <w:vAlign w:val="center"/>
          </w:tcPr>
          <w:p w14:paraId="303E8B37" w14:textId="77777777" w:rsidR="006852C5" w:rsidRPr="00320BED" w:rsidRDefault="006852C5" w:rsidP="00A165C5">
            <w:pPr>
              <w:adjustRightInd w:val="0"/>
              <w:snapToGrid w:val="0"/>
              <w:jc w:val="center"/>
              <w:rPr>
                <w:sz w:val="20"/>
              </w:rPr>
            </w:pPr>
            <w:r w:rsidRPr="00320BED">
              <w:rPr>
                <w:sz w:val="20"/>
              </w:rPr>
              <w:t>0.6113</w:t>
            </w:r>
          </w:p>
        </w:tc>
        <w:tc>
          <w:tcPr>
            <w:tcW w:w="1000" w:type="pct"/>
            <w:vAlign w:val="center"/>
          </w:tcPr>
          <w:p w14:paraId="6A6F83B6" w14:textId="77777777" w:rsidR="006852C5" w:rsidRPr="00320BED" w:rsidRDefault="006852C5" w:rsidP="00A165C5">
            <w:pPr>
              <w:adjustRightInd w:val="0"/>
              <w:snapToGrid w:val="0"/>
              <w:jc w:val="center"/>
              <w:rPr>
                <w:sz w:val="20"/>
              </w:rPr>
            </w:pPr>
            <w:r w:rsidRPr="00320BED">
              <w:rPr>
                <w:sz w:val="20"/>
              </w:rPr>
              <w:t>0.6609</w:t>
            </w:r>
          </w:p>
        </w:tc>
      </w:tr>
      <w:tr w:rsidR="006852C5" w:rsidRPr="00320BED" w14:paraId="4B051B3E" w14:textId="77777777" w:rsidTr="00320BED">
        <w:trPr>
          <w:trHeight w:val="288"/>
          <w:jc w:val="center"/>
        </w:trPr>
        <w:tc>
          <w:tcPr>
            <w:tcW w:w="1000" w:type="pct"/>
            <w:vAlign w:val="center"/>
          </w:tcPr>
          <w:p w14:paraId="125587A4" w14:textId="77777777" w:rsidR="006852C5" w:rsidRPr="00320BED" w:rsidRDefault="006852C5" w:rsidP="00A165C5">
            <w:pPr>
              <w:adjustRightInd w:val="0"/>
              <w:snapToGrid w:val="0"/>
              <w:jc w:val="center"/>
              <w:rPr>
                <w:sz w:val="20"/>
              </w:rPr>
            </w:pPr>
            <w:r w:rsidRPr="00320BED">
              <w:rPr>
                <w:sz w:val="20"/>
              </w:rPr>
              <w:t>SGD</w:t>
            </w:r>
          </w:p>
        </w:tc>
        <w:tc>
          <w:tcPr>
            <w:tcW w:w="1000" w:type="pct"/>
            <w:vAlign w:val="center"/>
          </w:tcPr>
          <w:p w14:paraId="764159FE" w14:textId="77777777" w:rsidR="006852C5" w:rsidRPr="00320BED" w:rsidRDefault="006852C5" w:rsidP="00A165C5">
            <w:pPr>
              <w:adjustRightInd w:val="0"/>
              <w:snapToGrid w:val="0"/>
              <w:jc w:val="center"/>
              <w:rPr>
                <w:sz w:val="20"/>
              </w:rPr>
            </w:pPr>
            <w:r w:rsidRPr="00320BED">
              <w:rPr>
                <w:sz w:val="20"/>
              </w:rPr>
              <w:t>0.15</w:t>
            </w:r>
          </w:p>
        </w:tc>
        <w:tc>
          <w:tcPr>
            <w:tcW w:w="1000" w:type="pct"/>
            <w:vAlign w:val="center"/>
          </w:tcPr>
          <w:p w14:paraId="4426670D" w14:textId="77777777" w:rsidR="006852C5" w:rsidRPr="00320BED" w:rsidRDefault="006852C5" w:rsidP="00A165C5">
            <w:pPr>
              <w:adjustRightInd w:val="0"/>
              <w:snapToGrid w:val="0"/>
              <w:jc w:val="center"/>
              <w:rPr>
                <w:sz w:val="20"/>
              </w:rPr>
            </w:pPr>
            <w:r w:rsidRPr="00320BED">
              <w:rPr>
                <w:sz w:val="20"/>
              </w:rPr>
              <w:t>0.25</w:t>
            </w:r>
          </w:p>
        </w:tc>
        <w:tc>
          <w:tcPr>
            <w:tcW w:w="1000" w:type="pct"/>
            <w:vAlign w:val="center"/>
          </w:tcPr>
          <w:p w14:paraId="104C2848" w14:textId="77777777" w:rsidR="006852C5" w:rsidRPr="00320BED" w:rsidRDefault="006852C5" w:rsidP="00A165C5">
            <w:pPr>
              <w:adjustRightInd w:val="0"/>
              <w:snapToGrid w:val="0"/>
              <w:jc w:val="center"/>
              <w:rPr>
                <w:sz w:val="20"/>
              </w:rPr>
            </w:pPr>
            <w:r w:rsidRPr="00320BED">
              <w:rPr>
                <w:sz w:val="20"/>
              </w:rPr>
              <w:t>0.6054</w:t>
            </w:r>
          </w:p>
        </w:tc>
        <w:tc>
          <w:tcPr>
            <w:tcW w:w="1000" w:type="pct"/>
            <w:vAlign w:val="center"/>
          </w:tcPr>
          <w:p w14:paraId="54B1FB5E" w14:textId="77777777" w:rsidR="006852C5" w:rsidRPr="00320BED" w:rsidRDefault="006852C5" w:rsidP="00A165C5">
            <w:pPr>
              <w:adjustRightInd w:val="0"/>
              <w:snapToGrid w:val="0"/>
              <w:jc w:val="center"/>
              <w:rPr>
                <w:sz w:val="20"/>
              </w:rPr>
            </w:pPr>
            <w:r w:rsidRPr="00320BED">
              <w:rPr>
                <w:sz w:val="20"/>
              </w:rPr>
              <w:t>0.7202</w:t>
            </w:r>
          </w:p>
        </w:tc>
      </w:tr>
      <w:tr w:rsidR="006852C5" w:rsidRPr="00320BED" w14:paraId="53E4173B" w14:textId="77777777" w:rsidTr="00320BED">
        <w:trPr>
          <w:trHeight w:val="288"/>
          <w:jc w:val="center"/>
        </w:trPr>
        <w:tc>
          <w:tcPr>
            <w:tcW w:w="1000" w:type="pct"/>
            <w:vAlign w:val="center"/>
          </w:tcPr>
          <w:p w14:paraId="1DF2E80D" w14:textId="77777777" w:rsidR="006852C5" w:rsidRPr="00320BED" w:rsidRDefault="006852C5" w:rsidP="00A165C5">
            <w:pPr>
              <w:adjustRightInd w:val="0"/>
              <w:snapToGrid w:val="0"/>
              <w:jc w:val="center"/>
              <w:rPr>
                <w:sz w:val="20"/>
              </w:rPr>
            </w:pPr>
            <w:r w:rsidRPr="00320BED">
              <w:rPr>
                <w:sz w:val="20"/>
              </w:rPr>
              <w:t>Adam</w:t>
            </w:r>
          </w:p>
        </w:tc>
        <w:tc>
          <w:tcPr>
            <w:tcW w:w="1000" w:type="pct"/>
            <w:vAlign w:val="center"/>
          </w:tcPr>
          <w:p w14:paraId="0ABCFBFD" w14:textId="77777777" w:rsidR="006852C5" w:rsidRPr="00320BED" w:rsidRDefault="006852C5" w:rsidP="00A165C5">
            <w:pPr>
              <w:adjustRightInd w:val="0"/>
              <w:snapToGrid w:val="0"/>
              <w:jc w:val="center"/>
              <w:rPr>
                <w:sz w:val="20"/>
              </w:rPr>
            </w:pPr>
            <w:r w:rsidRPr="00320BED">
              <w:rPr>
                <w:sz w:val="20"/>
              </w:rPr>
              <w:t>0.15</w:t>
            </w:r>
          </w:p>
        </w:tc>
        <w:tc>
          <w:tcPr>
            <w:tcW w:w="1000" w:type="pct"/>
            <w:vAlign w:val="center"/>
          </w:tcPr>
          <w:p w14:paraId="0F1BD468" w14:textId="77777777" w:rsidR="006852C5" w:rsidRPr="00320BED" w:rsidRDefault="006852C5" w:rsidP="00A165C5">
            <w:pPr>
              <w:adjustRightInd w:val="0"/>
              <w:snapToGrid w:val="0"/>
              <w:jc w:val="center"/>
              <w:rPr>
                <w:sz w:val="20"/>
              </w:rPr>
            </w:pPr>
            <w:r w:rsidRPr="00320BED">
              <w:rPr>
                <w:sz w:val="20"/>
              </w:rPr>
              <w:t>0.5</w:t>
            </w:r>
          </w:p>
        </w:tc>
        <w:tc>
          <w:tcPr>
            <w:tcW w:w="1000" w:type="pct"/>
            <w:vAlign w:val="center"/>
          </w:tcPr>
          <w:p w14:paraId="39B055CD" w14:textId="77777777" w:rsidR="006852C5" w:rsidRPr="00320BED" w:rsidRDefault="006852C5" w:rsidP="00A165C5">
            <w:pPr>
              <w:adjustRightInd w:val="0"/>
              <w:snapToGrid w:val="0"/>
              <w:jc w:val="center"/>
              <w:rPr>
                <w:sz w:val="20"/>
              </w:rPr>
            </w:pPr>
            <w:r w:rsidRPr="00320BED">
              <w:rPr>
                <w:sz w:val="20"/>
              </w:rPr>
              <w:t>0.5995</w:t>
            </w:r>
          </w:p>
        </w:tc>
        <w:tc>
          <w:tcPr>
            <w:tcW w:w="1000" w:type="pct"/>
            <w:vAlign w:val="center"/>
          </w:tcPr>
          <w:p w14:paraId="3CD85FE8" w14:textId="77777777" w:rsidR="006852C5" w:rsidRPr="00320BED" w:rsidRDefault="006852C5" w:rsidP="00A165C5">
            <w:pPr>
              <w:adjustRightInd w:val="0"/>
              <w:snapToGrid w:val="0"/>
              <w:jc w:val="center"/>
              <w:rPr>
                <w:sz w:val="20"/>
              </w:rPr>
            </w:pPr>
            <w:r w:rsidRPr="00320BED">
              <w:rPr>
                <w:sz w:val="20"/>
              </w:rPr>
              <w:t>0.6619</w:t>
            </w:r>
          </w:p>
        </w:tc>
      </w:tr>
      <w:tr w:rsidR="006852C5" w:rsidRPr="00320BED" w14:paraId="2DB7B017" w14:textId="77777777" w:rsidTr="00320BED">
        <w:trPr>
          <w:trHeight w:val="288"/>
          <w:jc w:val="center"/>
        </w:trPr>
        <w:tc>
          <w:tcPr>
            <w:tcW w:w="1000" w:type="pct"/>
            <w:vAlign w:val="center"/>
          </w:tcPr>
          <w:p w14:paraId="705C0500" w14:textId="77777777" w:rsidR="006852C5" w:rsidRPr="00320BED" w:rsidRDefault="006852C5" w:rsidP="00A165C5">
            <w:pPr>
              <w:adjustRightInd w:val="0"/>
              <w:snapToGrid w:val="0"/>
              <w:jc w:val="center"/>
              <w:rPr>
                <w:sz w:val="20"/>
              </w:rPr>
            </w:pPr>
            <w:r w:rsidRPr="00320BED">
              <w:rPr>
                <w:sz w:val="20"/>
              </w:rPr>
              <w:t>SGD</w:t>
            </w:r>
          </w:p>
        </w:tc>
        <w:tc>
          <w:tcPr>
            <w:tcW w:w="1000" w:type="pct"/>
            <w:vAlign w:val="center"/>
          </w:tcPr>
          <w:p w14:paraId="1538D7A6" w14:textId="77777777" w:rsidR="006852C5" w:rsidRPr="00320BED" w:rsidRDefault="006852C5" w:rsidP="00A165C5">
            <w:pPr>
              <w:adjustRightInd w:val="0"/>
              <w:snapToGrid w:val="0"/>
              <w:jc w:val="center"/>
              <w:rPr>
                <w:sz w:val="20"/>
              </w:rPr>
            </w:pPr>
            <w:r w:rsidRPr="00320BED">
              <w:rPr>
                <w:sz w:val="20"/>
              </w:rPr>
              <w:t>0.15</w:t>
            </w:r>
          </w:p>
        </w:tc>
        <w:tc>
          <w:tcPr>
            <w:tcW w:w="1000" w:type="pct"/>
            <w:vAlign w:val="center"/>
          </w:tcPr>
          <w:p w14:paraId="40B5BE84" w14:textId="77777777" w:rsidR="006852C5" w:rsidRPr="00320BED" w:rsidRDefault="006852C5" w:rsidP="00A165C5">
            <w:pPr>
              <w:adjustRightInd w:val="0"/>
              <w:snapToGrid w:val="0"/>
              <w:jc w:val="center"/>
              <w:rPr>
                <w:sz w:val="20"/>
              </w:rPr>
            </w:pPr>
            <w:r w:rsidRPr="00320BED">
              <w:rPr>
                <w:sz w:val="20"/>
              </w:rPr>
              <w:t>0.5</w:t>
            </w:r>
          </w:p>
        </w:tc>
        <w:tc>
          <w:tcPr>
            <w:tcW w:w="1000" w:type="pct"/>
            <w:vAlign w:val="center"/>
          </w:tcPr>
          <w:p w14:paraId="175AA52C" w14:textId="77777777" w:rsidR="006852C5" w:rsidRPr="00320BED" w:rsidRDefault="006852C5" w:rsidP="00A165C5">
            <w:pPr>
              <w:adjustRightInd w:val="0"/>
              <w:snapToGrid w:val="0"/>
              <w:jc w:val="center"/>
              <w:rPr>
                <w:sz w:val="20"/>
              </w:rPr>
            </w:pPr>
            <w:r w:rsidRPr="00320BED">
              <w:rPr>
                <w:sz w:val="20"/>
              </w:rPr>
              <w:t>0.5872</w:t>
            </w:r>
          </w:p>
        </w:tc>
        <w:tc>
          <w:tcPr>
            <w:tcW w:w="1000" w:type="pct"/>
            <w:vAlign w:val="center"/>
          </w:tcPr>
          <w:p w14:paraId="0B7F4CF3" w14:textId="77777777" w:rsidR="006852C5" w:rsidRPr="00320BED" w:rsidRDefault="006852C5" w:rsidP="00A165C5">
            <w:pPr>
              <w:adjustRightInd w:val="0"/>
              <w:snapToGrid w:val="0"/>
              <w:jc w:val="center"/>
              <w:rPr>
                <w:sz w:val="20"/>
              </w:rPr>
            </w:pPr>
            <w:r w:rsidRPr="00320BED">
              <w:rPr>
                <w:sz w:val="20"/>
              </w:rPr>
              <w:t>0.8552</w:t>
            </w:r>
          </w:p>
        </w:tc>
      </w:tr>
    </w:tbl>
    <w:p w14:paraId="29BC8684" w14:textId="77777777" w:rsidR="006852C5" w:rsidRPr="006852C5" w:rsidRDefault="006852C5" w:rsidP="006852C5">
      <w:pPr>
        <w:pStyle w:val="Heading2"/>
      </w:pPr>
      <w:r w:rsidRPr="006852C5">
        <w:t>Scenario 1: Proposed model</w:t>
      </w:r>
    </w:p>
    <w:p w14:paraId="40813A37" w14:textId="4F0EC19B" w:rsidR="006852C5" w:rsidRPr="00541A3B" w:rsidRDefault="006852C5" w:rsidP="006852C5">
      <w:pPr>
        <w:pBdr>
          <w:top w:val="nil"/>
          <w:left w:val="nil"/>
          <w:bottom w:val="nil"/>
          <w:right w:val="nil"/>
          <w:between w:val="nil"/>
        </w:pBdr>
        <w:spacing w:after="60"/>
        <w:ind w:left="-76" w:firstLine="360"/>
        <w:jc w:val="both"/>
        <w:rPr>
          <w:rStyle w:val="Emphasis"/>
          <w:sz w:val="20"/>
        </w:rPr>
      </w:pPr>
      <w:r w:rsidRPr="00541A3B">
        <w:rPr>
          <w:rStyle w:val="Emphasis"/>
          <w:sz w:val="20"/>
        </w:rPr>
        <w:t xml:space="preserve">In the first scenario, testing is carried out using the proposed model with best parameter combination from hyperparameter tuning. Based on the resulting accuracy and loss graph, this scenario gives less than optimal results due to fluctuating, and overfitting indications. The graph of the results from the first scenario can be seen in </w:t>
      </w:r>
      <w:r w:rsidR="00913803" w:rsidRPr="00541A3B">
        <w:rPr>
          <w:rStyle w:val="Emphasis"/>
          <w:b/>
          <w:bCs/>
          <w:sz w:val="20"/>
        </w:rPr>
        <w:t xml:space="preserve">FIGURE </w:t>
      </w:r>
      <w:r w:rsidRPr="00541A3B">
        <w:rPr>
          <w:rStyle w:val="Emphasis"/>
          <w:b/>
          <w:bCs/>
          <w:sz w:val="20"/>
        </w:rPr>
        <w:t>4</w:t>
      </w:r>
      <w:r w:rsidRPr="00541A3B">
        <w:rPr>
          <w:rStyle w:val="Emphasis"/>
          <w:sz w:val="20"/>
        </w:rPr>
        <w:t>.</w:t>
      </w:r>
    </w:p>
    <w:tbl>
      <w:tblPr>
        <w:tblStyle w:val="TableGrid"/>
        <w:tblW w:w="9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5"/>
        <w:gridCol w:w="4865"/>
      </w:tblGrid>
      <w:tr w:rsidR="006852C5" w14:paraId="21FB2F9E" w14:textId="77777777" w:rsidTr="00913803">
        <w:trPr>
          <w:trHeight w:val="2778"/>
        </w:trPr>
        <w:tc>
          <w:tcPr>
            <w:tcW w:w="4865" w:type="dxa"/>
          </w:tcPr>
          <w:p w14:paraId="2C6FD8CF" w14:textId="77777777" w:rsidR="006852C5" w:rsidRDefault="006852C5" w:rsidP="006852C5">
            <w:pPr>
              <w:pBdr>
                <w:top w:val="nil"/>
                <w:left w:val="nil"/>
                <w:bottom w:val="nil"/>
                <w:right w:val="nil"/>
                <w:between w:val="nil"/>
              </w:pBdr>
              <w:spacing w:after="60"/>
              <w:jc w:val="center"/>
              <w:rPr>
                <w:sz w:val="20"/>
              </w:rPr>
            </w:pPr>
            <w:r w:rsidRPr="007A4665">
              <w:rPr>
                <w:noProof/>
              </w:rPr>
              <w:drawing>
                <wp:inline distT="0" distB="0" distL="0" distR="0" wp14:anchorId="1A8C35E1" wp14:editId="0FFBA9D2">
                  <wp:extent cx="2872293" cy="1914861"/>
                  <wp:effectExtent l="0" t="0" r="0" b="3175"/>
                  <wp:docPr id="19" name="Picture 19" descr="C:\Users\Alfarizy\Desktop\Bismillah\Sidang\Laporan Akhir\Pict\S1 A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farizy\Desktop\Bismillah\Sidang\Laporan Akhir\Pict\S1 ACC.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543" cy="1920361"/>
                          </a:xfrm>
                          <a:prstGeom prst="rect">
                            <a:avLst/>
                          </a:prstGeom>
                          <a:noFill/>
                          <a:ln>
                            <a:noFill/>
                          </a:ln>
                        </pic:spPr>
                      </pic:pic>
                    </a:graphicData>
                  </a:graphic>
                </wp:inline>
              </w:drawing>
            </w:r>
          </w:p>
          <w:p w14:paraId="5C7955FD" w14:textId="6CA2420E" w:rsidR="006852C5" w:rsidRDefault="006852C5" w:rsidP="00435124">
            <w:pPr>
              <w:pBdr>
                <w:top w:val="nil"/>
                <w:left w:val="nil"/>
                <w:bottom w:val="nil"/>
                <w:right w:val="nil"/>
                <w:between w:val="nil"/>
              </w:pBdr>
              <w:spacing w:after="60"/>
              <w:jc w:val="center"/>
              <w:rPr>
                <w:sz w:val="20"/>
              </w:rPr>
            </w:pPr>
            <w:r>
              <w:rPr>
                <w:sz w:val="20"/>
              </w:rPr>
              <w:t>(a)</w:t>
            </w:r>
          </w:p>
        </w:tc>
        <w:tc>
          <w:tcPr>
            <w:tcW w:w="4865" w:type="dxa"/>
          </w:tcPr>
          <w:p w14:paraId="2F067FC8" w14:textId="77777777" w:rsidR="00435124" w:rsidRDefault="00435124" w:rsidP="00435124">
            <w:pPr>
              <w:pBdr>
                <w:top w:val="nil"/>
                <w:left w:val="nil"/>
                <w:bottom w:val="nil"/>
                <w:right w:val="nil"/>
                <w:between w:val="nil"/>
              </w:pBdr>
              <w:spacing w:after="60"/>
              <w:jc w:val="center"/>
              <w:rPr>
                <w:sz w:val="20"/>
              </w:rPr>
            </w:pPr>
            <w:r w:rsidRPr="007A4665">
              <w:rPr>
                <w:noProof/>
              </w:rPr>
              <w:drawing>
                <wp:inline distT="0" distB="0" distL="0" distR="0" wp14:anchorId="49CE87D0" wp14:editId="58C3DA80">
                  <wp:extent cx="2869809" cy="1913206"/>
                  <wp:effectExtent l="0" t="0" r="6985" b="0"/>
                  <wp:docPr id="20" name="Picture 20" descr="C:\Users\Alfarizy\Desktop\Bismillah\Sidang\Laporan Akhir\Pict\S1 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arizy\Desktop\Bismillah\Sidang\Laporan Akhir\Pict\S1 LOS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5495" cy="1923663"/>
                          </a:xfrm>
                          <a:prstGeom prst="rect">
                            <a:avLst/>
                          </a:prstGeom>
                          <a:noFill/>
                          <a:ln>
                            <a:noFill/>
                          </a:ln>
                        </pic:spPr>
                      </pic:pic>
                    </a:graphicData>
                  </a:graphic>
                </wp:inline>
              </w:drawing>
            </w:r>
          </w:p>
          <w:p w14:paraId="35E4B4DC" w14:textId="27CCFFF5" w:rsidR="006852C5" w:rsidRDefault="00435124" w:rsidP="00435124">
            <w:pPr>
              <w:pBdr>
                <w:top w:val="nil"/>
                <w:left w:val="nil"/>
                <w:bottom w:val="nil"/>
                <w:right w:val="nil"/>
                <w:between w:val="nil"/>
              </w:pBdr>
              <w:spacing w:after="60"/>
              <w:jc w:val="center"/>
              <w:rPr>
                <w:sz w:val="20"/>
              </w:rPr>
            </w:pPr>
            <w:r>
              <w:rPr>
                <w:sz w:val="20"/>
              </w:rPr>
              <w:t>(b)</w:t>
            </w:r>
          </w:p>
        </w:tc>
      </w:tr>
    </w:tbl>
    <w:p w14:paraId="4A679696" w14:textId="445900C4" w:rsidR="006852C5" w:rsidRPr="00913803" w:rsidRDefault="00913803" w:rsidP="00913803">
      <w:pPr>
        <w:pStyle w:val="FigureCaption"/>
      </w:pPr>
      <w:r w:rsidRPr="00913803">
        <w:rPr>
          <w:b/>
          <w:bCs/>
        </w:rPr>
        <w:t>FIG</w:t>
      </w:r>
      <w:r>
        <w:rPr>
          <w:b/>
          <w:bCs/>
        </w:rPr>
        <w:t>URE</w:t>
      </w:r>
      <w:r w:rsidR="006852C5" w:rsidRPr="00913803">
        <w:rPr>
          <w:b/>
          <w:bCs/>
        </w:rPr>
        <w:t xml:space="preserve"> 4.  </w:t>
      </w:r>
      <w:r w:rsidR="006852C5" w:rsidRPr="00913803">
        <w:t>Result of Scenario 1. (a) Graph of accuracy and (b) Graph of loss</w:t>
      </w:r>
    </w:p>
    <w:p w14:paraId="0308D435" w14:textId="77777777" w:rsidR="006852C5" w:rsidRPr="006852C5" w:rsidRDefault="006852C5" w:rsidP="006852C5">
      <w:pPr>
        <w:pStyle w:val="Heading2"/>
      </w:pPr>
      <w:r w:rsidRPr="006852C5">
        <w:lastRenderedPageBreak/>
        <w:t>Scenario 2: Proposed model + augmentation</w:t>
      </w:r>
    </w:p>
    <w:p w14:paraId="04C1B552" w14:textId="13462703" w:rsidR="006852C5" w:rsidRPr="00541A3B" w:rsidRDefault="006852C5" w:rsidP="006852C5">
      <w:pPr>
        <w:pBdr>
          <w:top w:val="nil"/>
          <w:left w:val="nil"/>
          <w:bottom w:val="nil"/>
          <w:right w:val="nil"/>
          <w:between w:val="nil"/>
        </w:pBdr>
        <w:spacing w:after="60"/>
        <w:ind w:left="-76" w:firstLine="218"/>
        <w:jc w:val="both"/>
        <w:rPr>
          <w:rStyle w:val="Emphasis"/>
          <w:sz w:val="20"/>
        </w:rPr>
      </w:pPr>
      <w:r w:rsidRPr="00541A3B">
        <w:rPr>
          <w:rStyle w:val="Emphasis"/>
          <w:sz w:val="20"/>
        </w:rPr>
        <w:t xml:space="preserve">In the second scenario, testing is carried out with a model like the first scenario, but in preprocessing an augmentation process is carried out. This second scenario gives good results because it can provide higher accuracy and reduce overfitting. The accuracy and loss graphs provided are also slightly more stable than in the first scenario. Details regarding the results of the second scenario can be seen in </w:t>
      </w:r>
      <w:r w:rsidR="00913803" w:rsidRPr="00541A3B">
        <w:rPr>
          <w:rStyle w:val="Emphasis"/>
          <w:b/>
          <w:bCs/>
          <w:sz w:val="20"/>
        </w:rPr>
        <w:t>FIGURE</w:t>
      </w:r>
      <w:r w:rsidRPr="00541A3B">
        <w:rPr>
          <w:rStyle w:val="Emphasis"/>
          <w:b/>
          <w:bCs/>
          <w:sz w:val="20"/>
        </w:rPr>
        <w:t xml:space="preserve"> 5</w:t>
      </w:r>
      <w:r w:rsidRPr="00541A3B">
        <w:rPr>
          <w:rStyle w:val="Emphasis"/>
          <w:sz w:val="20"/>
        </w:rPr>
        <w:t>.</w:t>
      </w:r>
    </w:p>
    <w:tbl>
      <w:tblPr>
        <w:tblStyle w:val="TableGrid"/>
        <w:tblW w:w="0" w:type="auto"/>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739"/>
      </w:tblGrid>
      <w:tr w:rsidR="00913803" w14:paraId="60430FCD" w14:textId="77777777" w:rsidTr="00913803">
        <w:tc>
          <w:tcPr>
            <w:tcW w:w="4788" w:type="dxa"/>
          </w:tcPr>
          <w:p w14:paraId="4620D6D2" w14:textId="77777777" w:rsidR="00913803" w:rsidRDefault="00913803" w:rsidP="00913803">
            <w:pPr>
              <w:pBdr>
                <w:top w:val="nil"/>
                <w:left w:val="nil"/>
                <w:bottom w:val="nil"/>
                <w:right w:val="nil"/>
                <w:between w:val="nil"/>
              </w:pBdr>
              <w:spacing w:after="60"/>
              <w:jc w:val="center"/>
              <w:rPr>
                <w:sz w:val="20"/>
              </w:rPr>
            </w:pPr>
            <w:r w:rsidRPr="007A4665">
              <w:rPr>
                <w:noProof/>
              </w:rPr>
              <w:drawing>
                <wp:inline distT="0" distB="0" distL="0" distR="0" wp14:anchorId="08B875A9" wp14:editId="27868A92">
                  <wp:extent cx="2818130" cy="2162287"/>
                  <wp:effectExtent l="0" t="0" r="1270" b="0"/>
                  <wp:docPr id="23" name="Picture 23" descr="C:\Users\Alfarizy\Desktop\Bismillah\Sidang\Laporan Akhir\Pict\S2 A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arizy\Desktop\Bismillah\Sidang\Laporan Akhir\Pict\S2 AC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8343" cy="2200814"/>
                          </a:xfrm>
                          <a:prstGeom prst="rect">
                            <a:avLst/>
                          </a:prstGeom>
                          <a:noFill/>
                          <a:ln>
                            <a:noFill/>
                          </a:ln>
                        </pic:spPr>
                      </pic:pic>
                    </a:graphicData>
                  </a:graphic>
                </wp:inline>
              </w:drawing>
            </w:r>
          </w:p>
          <w:p w14:paraId="597F0EB3" w14:textId="248EA39A" w:rsidR="00913803" w:rsidRDefault="00913803" w:rsidP="00913803">
            <w:pPr>
              <w:pBdr>
                <w:top w:val="nil"/>
                <w:left w:val="nil"/>
                <w:bottom w:val="nil"/>
                <w:right w:val="nil"/>
                <w:between w:val="nil"/>
              </w:pBdr>
              <w:spacing w:after="60"/>
              <w:jc w:val="center"/>
              <w:rPr>
                <w:sz w:val="20"/>
              </w:rPr>
            </w:pPr>
            <w:r>
              <w:rPr>
                <w:sz w:val="20"/>
              </w:rPr>
              <w:t>(a)</w:t>
            </w:r>
          </w:p>
        </w:tc>
        <w:tc>
          <w:tcPr>
            <w:tcW w:w="4788" w:type="dxa"/>
          </w:tcPr>
          <w:p w14:paraId="55EC34D9" w14:textId="77777777" w:rsidR="00913803" w:rsidRDefault="00913803" w:rsidP="00913803">
            <w:pPr>
              <w:pBdr>
                <w:top w:val="nil"/>
                <w:left w:val="nil"/>
                <w:bottom w:val="nil"/>
                <w:right w:val="nil"/>
                <w:between w:val="nil"/>
              </w:pBdr>
              <w:spacing w:after="60"/>
              <w:jc w:val="center"/>
              <w:rPr>
                <w:sz w:val="20"/>
              </w:rPr>
            </w:pPr>
            <w:r w:rsidRPr="007A4665">
              <w:rPr>
                <w:noProof/>
              </w:rPr>
              <w:drawing>
                <wp:inline distT="0" distB="0" distL="0" distR="0" wp14:anchorId="5A889C80" wp14:editId="45E8CAAB">
                  <wp:extent cx="2855595" cy="2162287"/>
                  <wp:effectExtent l="0" t="0" r="1905" b="0"/>
                  <wp:docPr id="24" name="Picture 24" descr="C:\Users\Alfarizy\Desktop\Bismillah\Sidang\Laporan Akhir\Pict\S2 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arizy\Desktop\Bismillah\Sidang\Laporan Akhir\Pict\S2 LOS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3383" cy="2183328"/>
                          </a:xfrm>
                          <a:prstGeom prst="rect">
                            <a:avLst/>
                          </a:prstGeom>
                          <a:noFill/>
                          <a:ln>
                            <a:noFill/>
                          </a:ln>
                        </pic:spPr>
                      </pic:pic>
                    </a:graphicData>
                  </a:graphic>
                </wp:inline>
              </w:drawing>
            </w:r>
          </w:p>
          <w:p w14:paraId="7A63C32A" w14:textId="0EB3D8BE" w:rsidR="00913803" w:rsidRDefault="00913803" w:rsidP="00913803">
            <w:pPr>
              <w:pBdr>
                <w:top w:val="nil"/>
                <w:left w:val="nil"/>
                <w:bottom w:val="nil"/>
                <w:right w:val="nil"/>
                <w:between w:val="nil"/>
              </w:pBdr>
              <w:spacing w:after="60"/>
              <w:jc w:val="center"/>
              <w:rPr>
                <w:sz w:val="20"/>
              </w:rPr>
            </w:pPr>
            <w:r>
              <w:rPr>
                <w:sz w:val="20"/>
              </w:rPr>
              <w:t>(b)</w:t>
            </w:r>
          </w:p>
        </w:tc>
      </w:tr>
    </w:tbl>
    <w:p w14:paraId="083476CB" w14:textId="40323322" w:rsidR="006852C5" w:rsidRPr="00913803" w:rsidRDefault="00913803" w:rsidP="00913803">
      <w:pPr>
        <w:pStyle w:val="FigureCaption"/>
      </w:pPr>
      <w:r w:rsidRPr="00913803">
        <w:rPr>
          <w:b/>
          <w:bCs/>
        </w:rPr>
        <w:t>FIG</w:t>
      </w:r>
      <w:r>
        <w:rPr>
          <w:b/>
          <w:bCs/>
        </w:rPr>
        <w:t>URE</w:t>
      </w:r>
      <w:r w:rsidR="006852C5" w:rsidRPr="00913803">
        <w:rPr>
          <w:b/>
          <w:bCs/>
        </w:rPr>
        <w:t xml:space="preserve"> 5.  </w:t>
      </w:r>
      <w:r w:rsidR="006852C5" w:rsidRPr="00913803">
        <w:t>Result of Scenario 2. (a) Graph of accuracy and (b) Graph of loss</w:t>
      </w:r>
    </w:p>
    <w:p w14:paraId="5FBDEBC3" w14:textId="77777777" w:rsidR="006852C5" w:rsidRDefault="006852C5" w:rsidP="006852C5">
      <w:pPr>
        <w:pBdr>
          <w:top w:val="nil"/>
          <w:left w:val="nil"/>
          <w:bottom w:val="nil"/>
          <w:right w:val="nil"/>
          <w:between w:val="nil"/>
        </w:pBdr>
        <w:spacing w:after="60"/>
        <w:jc w:val="center"/>
        <w:rPr>
          <w:sz w:val="20"/>
        </w:rPr>
      </w:pPr>
    </w:p>
    <w:p w14:paraId="140A8384" w14:textId="77777777" w:rsidR="006852C5" w:rsidRPr="006852C5" w:rsidRDefault="006852C5" w:rsidP="006852C5">
      <w:pPr>
        <w:pStyle w:val="Heading2"/>
      </w:pPr>
      <w:r w:rsidRPr="006852C5">
        <w:t>Scenario 3: Proposed model + augmentation + dropout APL</w:t>
      </w:r>
    </w:p>
    <w:p w14:paraId="7264131A" w14:textId="30361175" w:rsidR="006852C5" w:rsidRPr="00541A3B" w:rsidRDefault="006852C5" w:rsidP="006852C5">
      <w:pPr>
        <w:pBdr>
          <w:top w:val="nil"/>
          <w:left w:val="nil"/>
          <w:bottom w:val="nil"/>
          <w:right w:val="nil"/>
          <w:between w:val="nil"/>
        </w:pBdr>
        <w:spacing w:after="60"/>
        <w:ind w:firstLine="284"/>
        <w:jc w:val="both"/>
        <w:rPr>
          <w:rStyle w:val="Emphasis"/>
          <w:sz w:val="20"/>
        </w:rPr>
      </w:pPr>
      <w:r w:rsidRPr="00541A3B">
        <w:rPr>
          <w:rStyle w:val="Emphasis"/>
          <w:sz w:val="20"/>
        </w:rPr>
        <w:t xml:space="preserve">In this third scenario, testing is carried out using the second scenario with the addition of APL Dropout on the proposed model. The augmentation process is also used in this scenario. The given Dropout APL reduces accuracy slightly but makes the model performance more stable than the second scenario, and there is no indication of overfitting. The graph of this third scenario can be seen in </w:t>
      </w:r>
      <w:r w:rsidR="00913803" w:rsidRPr="00541A3B">
        <w:rPr>
          <w:rStyle w:val="Emphasis"/>
          <w:b/>
          <w:bCs/>
          <w:sz w:val="20"/>
        </w:rPr>
        <w:t xml:space="preserve">FIGURE </w:t>
      </w:r>
      <w:r w:rsidRPr="00541A3B">
        <w:rPr>
          <w:rStyle w:val="Emphasis"/>
          <w:b/>
          <w:bCs/>
          <w:sz w:val="20"/>
        </w:rPr>
        <w:t>6</w:t>
      </w:r>
      <w:r w:rsidRPr="00541A3B">
        <w:rPr>
          <w:rStyle w:val="Emphasis"/>
          <w:sz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616"/>
      </w:tblGrid>
      <w:tr w:rsidR="00913803" w14:paraId="65BFC850" w14:textId="77777777" w:rsidTr="00913803">
        <w:tc>
          <w:tcPr>
            <w:tcW w:w="4788" w:type="dxa"/>
          </w:tcPr>
          <w:p w14:paraId="15679096" w14:textId="14BBDAE9" w:rsidR="00913803" w:rsidRDefault="00913803" w:rsidP="00913803">
            <w:pPr>
              <w:pBdr>
                <w:top w:val="nil"/>
                <w:left w:val="nil"/>
                <w:bottom w:val="nil"/>
                <w:right w:val="nil"/>
                <w:between w:val="nil"/>
              </w:pBdr>
              <w:spacing w:after="60"/>
              <w:jc w:val="center"/>
              <w:rPr>
                <w:sz w:val="20"/>
              </w:rPr>
            </w:pPr>
            <w:r w:rsidRPr="007A4665">
              <w:rPr>
                <w:noProof/>
              </w:rPr>
              <w:drawing>
                <wp:inline distT="0" distB="0" distL="0" distR="0" wp14:anchorId="4212B8EA" wp14:editId="634CCF5C">
                  <wp:extent cx="2887980" cy="2130014"/>
                  <wp:effectExtent l="0" t="0" r="0" b="3810"/>
                  <wp:docPr id="25" name="Picture 25" descr="C:\Users\Alfarizy\Desktop\Bismillah\Sidang\Laporan Akhir\Pict\S3 A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farizy\Desktop\Bismillah\Sidang\Laporan Akhir\Pict\S3 ACC.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7078" cy="2144099"/>
                          </a:xfrm>
                          <a:prstGeom prst="rect">
                            <a:avLst/>
                          </a:prstGeom>
                          <a:noFill/>
                          <a:ln>
                            <a:noFill/>
                          </a:ln>
                        </pic:spPr>
                      </pic:pic>
                    </a:graphicData>
                  </a:graphic>
                </wp:inline>
              </w:drawing>
            </w:r>
            <w:r>
              <w:rPr>
                <w:sz w:val="20"/>
              </w:rPr>
              <w:br/>
              <w:t>(a)</w:t>
            </w:r>
          </w:p>
        </w:tc>
        <w:tc>
          <w:tcPr>
            <w:tcW w:w="4788" w:type="dxa"/>
          </w:tcPr>
          <w:p w14:paraId="5416EE5D" w14:textId="77777777" w:rsidR="00913803" w:rsidRDefault="00913803" w:rsidP="00913803">
            <w:pPr>
              <w:pBdr>
                <w:top w:val="nil"/>
                <w:left w:val="nil"/>
                <w:bottom w:val="nil"/>
                <w:right w:val="nil"/>
                <w:between w:val="nil"/>
              </w:pBdr>
              <w:spacing w:after="60"/>
              <w:jc w:val="center"/>
              <w:rPr>
                <w:sz w:val="20"/>
              </w:rPr>
            </w:pPr>
            <w:r w:rsidRPr="007A4665">
              <w:rPr>
                <w:noProof/>
              </w:rPr>
              <w:drawing>
                <wp:inline distT="0" distB="0" distL="0" distR="0" wp14:anchorId="75BFB406" wp14:editId="566A40DD">
                  <wp:extent cx="2807018" cy="2162287"/>
                  <wp:effectExtent l="0" t="0" r="0" b="0"/>
                  <wp:docPr id="26" name="Picture 26" descr="C:\Users\Alfarizy\Desktop\Bismillah\Sidang\Laporan Akhir\Pict\S3 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farizy\Desktop\Bismillah\Sidang\Laporan Akhir\Pict\S3 LOS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7231" cy="2177858"/>
                          </a:xfrm>
                          <a:prstGeom prst="rect">
                            <a:avLst/>
                          </a:prstGeom>
                          <a:noFill/>
                          <a:ln>
                            <a:noFill/>
                          </a:ln>
                        </pic:spPr>
                      </pic:pic>
                    </a:graphicData>
                  </a:graphic>
                </wp:inline>
              </w:drawing>
            </w:r>
          </w:p>
          <w:p w14:paraId="41228E74" w14:textId="0EC34F23" w:rsidR="00913803" w:rsidRDefault="00913803" w:rsidP="00913803">
            <w:pPr>
              <w:spacing w:after="60"/>
              <w:jc w:val="center"/>
              <w:rPr>
                <w:sz w:val="20"/>
              </w:rPr>
            </w:pPr>
            <w:r>
              <w:rPr>
                <w:sz w:val="20"/>
              </w:rPr>
              <w:t>(b)</w:t>
            </w:r>
          </w:p>
        </w:tc>
      </w:tr>
    </w:tbl>
    <w:p w14:paraId="45327734" w14:textId="3D1F47D4" w:rsidR="006852C5" w:rsidRPr="00913803" w:rsidRDefault="00913803" w:rsidP="00913803">
      <w:pPr>
        <w:pStyle w:val="FigureCaption"/>
        <w:rPr>
          <w:b/>
          <w:bCs/>
        </w:rPr>
      </w:pPr>
      <w:r w:rsidRPr="00913803">
        <w:rPr>
          <w:b/>
          <w:bCs/>
        </w:rPr>
        <w:t>FIG</w:t>
      </w:r>
      <w:r>
        <w:rPr>
          <w:b/>
          <w:bCs/>
        </w:rPr>
        <w:t>URE</w:t>
      </w:r>
      <w:r w:rsidRPr="00913803">
        <w:rPr>
          <w:b/>
          <w:bCs/>
        </w:rPr>
        <w:t xml:space="preserve"> </w:t>
      </w:r>
      <w:r w:rsidR="006852C5" w:rsidRPr="00913803">
        <w:rPr>
          <w:b/>
          <w:bCs/>
        </w:rPr>
        <w:t xml:space="preserve">6.  </w:t>
      </w:r>
      <w:r w:rsidR="006852C5" w:rsidRPr="00913803">
        <w:t>Result of Scenario 3. (a) Graph of accuracy and (b) Graph of loss</w:t>
      </w:r>
    </w:p>
    <w:p w14:paraId="3C13CDBF" w14:textId="77777777" w:rsidR="006852C5" w:rsidRDefault="006852C5" w:rsidP="006852C5">
      <w:pPr>
        <w:pBdr>
          <w:top w:val="nil"/>
          <w:left w:val="nil"/>
          <w:bottom w:val="nil"/>
          <w:right w:val="nil"/>
          <w:between w:val="nil"/>
        </w:pBdr>
        <w:spacing w:after="60"/>
        <w:jc w:val="center"/>
        <w:rPr>
          <w:sz w:val="20"/>
          <w:szCs w:val="11"/>
        </w:rPr>
      </w:pPr>
    </w:p>
    <w:p w14:paraId="5EC8F9A4" w14:textId="77777777" w:rsidR="006852C5" w:rsidRPr="006852C5" w:rsidRDefault="006852C5" w:rsidP="006852C5">
      <w:pPr>
        <w:pStyle w:val="Heading2"/>
      </w:pPr>
      <w:r w:rsidRPr="006852C5">
        <w:lastRenderedPageBreak/>
        <w:t>Scenario dataset STAD</w:t>
      </w:r>
    </w:p>
    <w:p w14:paraId="5F1DFFF0" w14:textId="0ECBD8A3" w:rsidR="006852C5" w:rsidRPr="00541A3B" w:rsidRDefault="006852C5" w:rsidP="006852C5">
      <w:pPr>
        <w:pBdr>
          <w:top w:val="nil"/>
          <w:left w:val="nil"/>
          <w:bottom w:val="nil"/>
          <w:right w:val="nil"/>
          <w:between w:val="nil"/>
        </w:pBdr>
        <w:spacing w:after="60"/>
        <w:ind w:left="-76" w:firstLine="360"/>
        <w:jc w:val="both"/>
        <w:rPr>
          <w:rStyle w:val="Emphasis"/>
          <w:sz w:val="20"/>
        </w:rPr>
      </w:pPr>
      <w:r w:rsidRPr="00541A3B">
        <w:rPr>
          <w:rStyle w:val="Emphasis"/>
          <w:sz w:val="20"/>
        </w:rPr>
        <w:t xml:space="preserve">This test is carried out using the second scenario on the COAD because gets the highest accuracy results than the other scenarios. This scenario is added callbacks Early Stopping, Learning Rate Scheduler, and Model Checkpoint. The Callback can make the model reach optimal conditions, but the results are not good. The graph of this scenario can be seen in </w:t>
      </w:r>
      <w:r w:rsidR="00913803" w:rsidRPr="00541A3B">
        <w:rPr>
          <w:rStyle w:val="Emphasis"/>
          <w:b/>
          <w:bCs/>
          <w:sz w:val="20"/>
        </w:rPr>
        <w:t xml:space="preserve">FIGURE </w:t>
      </w:r>
      <w:r w:rsidRPr="00541A3B">
        <w:rPr>
          <w:rStyle w:val="Emphasis"/>
          <w:b/>
          <w:bCs/>
          <w:sz w:val="20"/>
        </w:rPr>
        <w:t>7</w:t>
      </w:r>
      <w:r w:rsidRPr="00541A3B">
        <w:rPr>
          <w:rStyle w:val="Emphasis"/>
          <w:sz w:val="20"/>
        </w:rPr>
        <w:t>.</w:t>
      </w:r>
    </w:p>
    <w:tbl>
      <w:tblPr>
        <w:tblStyle w:val="TableGrid"/>
        <w:tblW w:w="0" w:type="auto"/>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743"/>
      </w:tblGrid>
      <w:tr w:rsidR="00913803" w14:paraId="0A1C1993" w14:textId="77777777" w:rsidTr="00913803">
        <w:tc>
          <w:tcPr>
            <w:tcW w:w="4788" w:type="dxa"/>
          </w:tcPr>
          <w:p w14:paraId="2EC804AD" w14:textId="77777777" w:rsidR="00913803" w:rsidRDefault="00913803" w:rsidP="00913803">
            <w:pPr>
              <w:pBdr>
                <w:top w:val="nil"/>
                <w:left w:val="nil"/>
                <w:bottom w:val="nil"/>
                <w:right w:val="nil"/>
                <w:between w:val="nil"/>
              </w:pBdr>
              <w:spacing w:after="60"/>
              <w:jc w:val="center"/>
              <w:rPr>
                <w:sz w:val="20"/>
                <w:szCs w:val="11"/>
              </w:rPr>
            </w:pPr>
            <w:r w:rsidRPr="007A4665">
              <w:rPr>
                <w:noProof/>
              </w:rPr>
              <w:drawing>
                <wp:inline distT="0" distB="0" distL="0" distR="0" wp14:anchorId="1B8384E8" wp14:editId="1F8E6E28">
                  <wp:extent cx="2807018" cy="2162287"/>
                  <wp:effectExtent l="0" t="0" r="0" b="0"/>
                  <wp:docPr id="27" name="Picture 27" descr="C:\Users\Alfarizy\Desktop\Bismillah\Sidang\Laporan Akhir\Pict\STAD A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arizy\Desktop\Bismillah\Sidang\Laporan Akhir\Pict\STAD ACC.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7903" cy="2178375"/>
                          </a:xfrm>
                          <a:prstGeom prst="rect">
                            <a:avLst/>
                          </a:prstGeom>
                          <a:noFill/>
                          <a:ln>
                            <a:noFill/>
                          </a:ln>
                        </pic:spPr>
                      </pic:pic>
                    </a:graphicData>
                  </a:graphic>
                </wp:inline>
              </w:drawing>
            </w:r>
          </w:p>
          <w:p w14:paraId="2B352FB0" w14:textId="3624BF03" w:rsidR="00913803" w:rsidRDefault="00913803" w:rsidP="00913803">
            <w:pPr>
              <w:pBdr>
                <w:top w:val="nil"/>
                <w:left w:val="nil"/>
                <w:bottom w:val="nil"/>
                <w:right w:val="nil"/>
                <w:between w:val="nil"/>
              </w:pBdr>
              <w:spacing w:after="60"/>
              <w:jc w:val="center"/>
              <w:rPr>
                <w:sz w:val="20"/>
                <w:szCs w:val="11"/>
              </w:rPr>
            </w:pPr>
            <w:r>
              <w:rPr>
                <w:sz w:val="20"/>
                <w:szCs w:val="11"/>
              </w:rPr>
              <w:t>(a)</w:t>
            </w:r>
          </w:p>
        </w:tc>
        <w:tc>
          <w:tcPr>
            <w:tcW w:w="4788" w:type="dxa"/>
          </w:tcPr>
          <w:p w14:paraId="6EAB3322" w14:textId="77777777" w:rsidR="00913803" w:rsidRDefault="00913803" w:rsidP="00913803">
            <w:pPr>
              <w:pBdr>
                <w:top w:val="nil"/>
                <w:left w:val="nil"/>
                <w:bottom w:val="nil"/>
                <w:right w:val="nil"/>
                <w:between w:val="nil"/>
              </w:pBdr>
              <w:spacing w:after="60"/>
              <w:jc w:val="center"/>
              <w:rPr>
                <w:sz w:val="20"/>
                <w:szCs w:val="11"/>
              </w:rPr>
            </w:pPr>
            <w:r w:rsidRPr="007A4665">
              <w:rPr>
                <w:noProof/>
              </w:rPr>
              <w:drawing>
                <wp:inline distT="0" distB="0" distL="0" distR="0" wp14:anchorId="7196F2F6" wp14:editId="46F3B19E">
                  <wp:extent cx="2855595" cy="2162287"/>
                  <wp:effectExtent l="0" t="0" r="1905" b="0"/>
                  <wp:docPr id="28" name="Picture 28" descr="C:\Users\Alfarizy\Desktop\Bismillah\Sidang\Laporan Akhir\Pict\STAD 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farizy\Desktop\Bismillah\Sidang\Laporan Akhir\Pict\STAD LOS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8518" cy="2172073"/>
                          </a:xfrm>
                          <a:prstGeom prst="rect">
                            <a:avLst/>
                          </a:prstGeom>
                          <a:noFill/>
                          <a:ln>
                            <a:noFill/>
                          </a:ln>
                        </pic:spPr>
                      </pic:pic>
                    </a:graphicData>
                  </a:graphic>
                </wp:inline>
              </w:drawing>
            </w:r>
          </w:p>
          <w:p w14:paraId="32733DF1" w14:textId="0DF1C3C2" w:rsidR="00913803" w:rsidRDefault="00913803" w:rsidP="00913803">
            <w:pPr>
              <w:pBdr>
                <w:top w:val="nil"/>
                <w:left w:val="nil"/>
                <w:bottom w:val="nil"/>
                <w:right w:val="nil"/>
                <w:between w:val="nil"/>
              </w:pBdr>
              <w:spacing w:after="60"/>
              <w:jc w:val="center"/>
              <w:rPr>
                <w:sz w:val="20"/>
                <w:szCs w:val="11"/>
              </w:rPr>
            </w:pPr>
            <w:r>
              <w:rPr>
                <w:sz w:val="20"/>
                <w:szCs w:val="11"/>
              </w:rPr>
              <w:t>(b)</w:t>
            </w:r>
          </w:p>
        </w:tc>
      </w:tr>
    </w:tbl>
    <w:p w14:paraId="3D429BC3" w14:textId="77777777" w:rsidR="00913803" w:rsidRDefault="00913803" w:rsidP="006852C5">
      <w:pPr>
        <w:pBdr>
          <w:top w:val="nil"/>
          <w:left w:val="nil"/>
          <w:bottom w:val="nil"/>
          <w:right w:val="nil"/>
          <w:between w:val="nil"/>
        </w:pBdr>
        <w:spacing w:after="60"/>
        <w:ind w:left="-76" w:firstLine="360"/>
        <w:jc w:val="both"/>
        <w:rPr>
          <w:sz w:val="20"/>
          <w:szCs w:val="11"/>
        </w:rPr>
      </w:pPr>
    </w:p>
    <w:p w14:paraId="113BD18E" w14:textId="1DEE78BB" w:rsidR="006852C5" w:rsidRPr="00913803" w:rsidRDefault="00913803" w:rsidP="00913803">
      <w:pPr>
        <w:pStyle w:val="FigureCaption"/>
        <w:rPr>
          <w:b/>
          <w:bCs/>
        </w:rPr>
      </w:pPr>
      <w:r w:rsidRPr="00913803">
        <w:rPr>
          <w:b/>
          <w:bCs/>
        </w:rPr>
        <w:t>FIG</w:t>
      </w:r>
      <w:r>
        <w:rPr>
          <w:b/>
          <w:bCs/>
        </w:rPr>
        <w:t>URE</w:t>
      </w:r>
      <w:r w:rsidRPr="00913803">
        <w:rPr>
          <w:b/>
          <w:bCs/>
        </w:rPr>
        <w:t xml:space="preserve"> </w:t>
      </w:r>
      <w:r w:rsidR="006852C5" w:rsidRPr="00913803">
        <w:rPr>
          <w:b/>
          <w:bCs/>
        </w:rPr>
        <w:t xml:space="preserve">7.  </w:t>
      </w:r>
      <w:r w:rsidR="006852C5" w:rsidRPr="00913803">
        <w:t>Result of Scenario STAD. (a) Graph of accuracy and (b) Graph of loss</w:t>
      </w:r>
    </w:p>
    <w:p w14:paraId="3EE2E8E3" w14:textId="77777777" w:rsidR="006852C5" w:rsidRDefault="006852C5" w:rsidP="006852C5">
      <w:pPr>
        <w:pBdr>
          <w:top w:val="nil"/>
          <w:left w:val="nil"/>
          <w:bottom w:val="nil"/>
          <w:right w:val="nil"/>
          <w:between w:val="nil"/>
        </w:pBdr>
        <w:spacing w:after="60"/>
        <w:jc w:val="both"/>
        <w:rPr>
          <w:sz w:val="20"/>
          <w:szCs w:val="11"/>
        </w:rPr>
      </w:pPr>
    </w:p>
    <w:p w14:paraId="220D1E10" w14:textId="77777777" w:rsidR="006852C5" w:rsidRPr="006852C5" w:rsidRDefault="006852C5" w:rsidP="006852C5">
      <w:pPr>
        <w:pStyle w:val="Heading2"/>
      </w:pPr>
      <w:r w:rsidRPr="006852C5">
        <w:t>Compare and analysis model</w:t>
      </w:r>
    </w:p>
    <w:p w14:paraId="6C471E3B" w14:textId="1450472F" w:rsidR="006852C5" w:rsidRPr="00541A3B" w:rsidRDefault="006852C5" w:rsidP="006852C5">
      <w:pPr>
        <w:pBdr>
          <w:top w:val="nil"/>
          <w:left w:val="nil"/>
          <w:bottom w:val="nil"/>
          <w:right w:val="nil"/>
          <w:between w:val="nil"/>
        </w:pBdr>
        <w:spacing w:after="60"/>
        <w:ind w:firstLine="284"/>
        <w:jc w:val="both"/>
        <w:rPr>
          <w:rStyle w:val="Emphasis"/>
          <w:sz w:val="20"/>
        </w:rPr>
      </w:pPr>
      <w:r w:rsidRPr="00541A3B">
        <w:rPr>
          <w:rStyle w:val="Emphasis"/>
          <w:sz w:val="20"/>
        </w:rPr>
        <w:t xml:space="preserve">This study proposes a modification of the VGG19 model with hyperparameter tuning, augmentation technique, and dropout of APL (After Pooling Layer) for classification of microsatellite status in gastrointestinal cancer cells. Testing of the influence of the proposed model, augmentation techniques, and Dropout APL was conducted on COAD data. The proposed VGG19 modification model is close to the results of the VGG19 model that has previously been tested on COAD data by getting an accuracy of 76.2% in scenario 1 with a training time of 71 hours. Then the proposed augmentation technique has a good impact on accuracy by getting 77.1% accuracy, and reducing overfitting, and fluctuations in the graph but requires ±39% longer training time with 115 hours. Meanwhile, the addition of the Dropout APL can make the graph continue to increase but reduce the accuracy to 76.3% and make the training time ±13% longer with 132 hours. Then the last was conducted on STAD data with the purposed model with augmentation given callbac221k, can provide optimal performance in the model on STAD data with an accuracy of 76.4%, and reduce training time to 27 hours or ±77% faster using only 27 epochs. Details regarding the summary of the results of this study, and previous studies can be seen in </w:t>
      </w:r>
      <w:r w:rsidR="00656226" w:rsidRPr="00541A3B">
        <w:rPr>
          <w:rStyle w:val="Emphasis"/>
          <w:b/>
          <w:bCs/>
          <w:sz w:val="20"/>
        </w:rPr>
        <w:t>TABLE 2</w:t>
      </w:r>
      <w:r w:rsidRPr="00541A3B">
        <w:rPr>
          <w:rStyle w:val="Emphasis"/>
          <w:sz w:val="20"/>
        </w:rPr>
        <w:t xml:space="preserve"> for COAD data, and </w:t>
      </w:r>
      <w:r w:rsidR="00656226" w:rsidRPr="00541A3B">
        <w:rPr>
          <w:rStyle w:val="Emphasis"/>
          <w:b/>
          <w:bCs/>
          <w:sz w:val="20"/>
        </w:rPr>
        <w:t>TABLE 3</w:t>
      </w:r>
      <w:r w:rsidRPr="00541A3B">
        <w:rPr>
          <w:rStyle w:val="Emphasis"/>
          <w:sz w:val="20"/>
        </w:rPr>
        <w:t xml:space="preserve"> for STAD data.</w:t>
      </w:r>
    </w:p>
    <w:p w14:paraId="7F5FB624" w14:textId="77777777" w:rsidR="006852C5" w:rsidRPr="00541A3B" w:rsidRDefault="006852C5" w:rsidP="006852C5">
      <w:pPr>
        <w:pBdr>
          <w:top w:val="nil"/>
          <w:left w:val="nil"/>
          <w:bottom w:val="nil"/>
          <w:right w:val="nil"/>
          <w:between w:val="nil"/>
        </w:pBdr>
        <w:spacing w:after="60"/>
        <w:ind w:firstLine="284"/>
        <w:jc w:val="both"/>
        <w:rPr>
          <w:rStyle w:val="Emphasis"/>
          <w:sz w:val="20"/>
        </w:rPr>
      </w:pPr>
      <w:r w:rsidRPr="00541A3B">
        <w:rPr>
          <w:rStyle w:val="Emphasis"/>
          <w:sz w:val="20"/>
        </w:rPr>
        <w:t>A similar subsequent study was conducted by Wang, L. The study used the same dataset as this study. Wang, L. proposed the VGG19 method for the colorectal cancer cell dataset, attaching the results with an accuracy of 77%, and AUC of 0.82. In this study, trimming the convolution layer of the VGG19 architecture or in scenario 1 does not exceed the accuracy of the VGG19 model carried out by Wang, L. However, the addition of augmentation techniques in scenario 2 can increase the accuracy to exceed that of Wang, L.'s research, although only slightly with a value of 77.1%, and The AUC obtained is only 0.775, it cannot exceed the research of Wang, L. The proposed Dropout APL technique also cannot exceed the research of Wang, L., but it is very likely that the technique will get better accuracy if it is tested at larger epochs because the graph of development obtained steadily rising.</w:t>
      </w:r>
    </w:p>
    <w:p w14:paraId="14E30574" w14:textId="2E706EC1" w:rsidR="006852C5" w:rsidRPr="00541A3B" w:rsidRDefault="006852C5" w:rsidP="006852C5">
      <w:pPr>
        <w:pStyle w:val="Paragraph"/>
        <w:rPr>
          <w:rStyle w:val="Emphasis"/>
        </w:rPr>
      </w:pPr>
      <w:r w:rsidRPr="00541A3B">
        <w:rPr>
          <w:rStyle w:val="Emphasis"/>
        </w:rPr>
        <w:t xml:space="preserve">In identifying the microsatellite status of gastric cancer cells, a similar study was only carried out by Wang, L. using the same dataset. Research conducted by Wang, L. using CNN with VGG19 architecture. In this study, the method, and model used are the same as in the colorectal cancer cell experiment, namely VGG19 which has been modified by trimming the number of convolutions layers and using the proposed augmentation technique with the addition of callbacks. This study obtained better results than Wang, L. with a comparison of accuracy, and AUC values of 71%, and 0.75 in Wang, L.'s study, and 76.4%, and 0.764 in this study. This is caused by the proposed augmentation </w:t>
      </w:r>
      <w:r w:rsidRPr="00541A3B">
        <w:rPr>
          <w:rStyle w:val="Emphasis"/>
        </w:rPr>
        <w:lastRenderedPageBreak/>
        <w:t>technique with the addition of model checkpoint callbacks to get the best accuracy than learning rate scheduler, and early stopping to prevent overfitting.</w:t>
      </w:r>
    </w:p>
    <w:p w14:paraId="2A55B2F6" w14:textId="34BF60D5" w:rsidR="006852C5" w:rsidRPr="00913803" w:rsidRDefault="006852C5" w:rsidP="00913803">
      <w:pPr>
        <w:pStyle w:val="FigureCaption"/>
        <w:rPr>
          <w:b/>
          <w:bCs/>
        </w:rPr>
      </w:pPr>
    </w:p>
    <w:p w14:paraId="7306EF08" w14:textId="6F961816" w:rsidR="006852C5" w:rsidRPr="00913803" w:rsidRDefault="006852C5" w:rsidP="00541A3B">
      <w:pPr>
        <w:pStyle w:val="TableCaption"/>
        <w:rPr>
          <w:b/>
          <w:bCs/>
        </w:rPr>
      </w:pPr>
      <w:r w:rsidRPr="00913803">
        <w:rPr>
          <w:b/>
          <w:bCs/>
        </w:rPr>
        <w:t xml:space="preserve">TABLE </w:t>
      </w:r>
      <w:r w:rsidR="00913803">
        <w:rPr>
          <w:b/>
          <w:bCs/>
        </w:rPr>
        <w:t xml:space="preserve">2. </w:t>
      </w:r>
      <w:r w:rsidRPr="00913803">
        <w:t>Summary of research result on data COAD</w:t>
      </w:r>
    </w:p>
    <w:tbl>
      <w:tblPr>
        <w:tblW w:w="9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1070"/>
        <w:gridCol w:w="666"/>
        <w:gridCol w:w="617"/>
        <w:gridCol w:w="613"/>
        <w:gridCol w:w="613"/>
        <w:gridCol w:w="613"/>
        <w:gridCol w:w="1141"/>
        <w:gridCol w:w="845"/>
        <w:gridCol w:w="786"/>
      </w:tblGrid>
      <w:tr w:rsidR="006852C5" w:rsidRPr="00320BED" w14:paraId="4259BE9B" w14:textId="77777777" w:rsidTr="00541A3B">
        <w:trPr>
          <w:trHeight w:val="288"/>
          <w:jc w:val="center"/>
        </w:trPr>
        <w:tc>
          <w:tcPr>
            <w:tcW w:w="2965" w:type="dxa"/>
            <w:vMerge w:val="restart"/>
            <w:shd w:val="clear" w:color="auto" w:fill="auto"/>
            <w:vAlign w:val="center"/>
            <w:hideMark/>
          </w:tcPr>
          <w:p w14:paraId="6C0CF89E" w14:textId="77777777" w:rsidR="006852C5" w:rsidRPr="00320BED" w:rsidRDefault="006852C5" w:rsidP="00A165C5">
            <w:pPr>
              <w:jc w:val="center"/>
              <w:rPr>
                <w:b/>
                <w:color w:val="000000"/>
                <w:sz w:val="20"/>
              </w:rPr>
            </w:pPr>
            <w:r w:rsidRPr="00320BED">
              <w:rPr>
                <w:b/>
                <w:color w:val="000000"/>
                <w:sz w:val="20"/>
              </w:rPr>
              <w:t>Method</w:t>
            </w:r>
          </w:p>
          <w:p w14:paraId="48AAC932" w14:textId="77777777" w:rsidR="006852C5" w:rsidRPr="00320BED" w:rsidRDefault="006852C5" w:rsidP="00A165C5">
            <w:pPr>
              <w:jc w:val="center"/>
              <w:rPr>
                <w:b/>
                <w:color w:val="000000"/>
                <w:sz w:val="20"/>
              </w:rPr>
            </w:pPr>
            <w:r w:rsidRPr="00320BED">
              <w:rPr>
                <w:b/>
                <w:color w:val="000000"/>
                <w:sz w:val="20"/>
              </w:rPr>
              <w:t>(Researcher)</w:t>
            </w:r>
          </w:p>
        </w:tc>
        <w:tc>
          <w:tcPr>
            <w:tcW w:w="1070" w:type="dxa"/>
            <w:vMerge w:val="restart"/>
            <w:shd w:val="clear" w:color="auto" w:fill="auto"/>
            <w:vAlign w:val="center"/>
            <w:hideMark/>
          </w:tcPr>
          <w:p w14:paraId="5AF5707C" w14:textId="77777777" w:rsidR="006852C5" w:rsidRPr="00320BED" w:rsidRDefault="006852C5" w:rsidP="00A165C5">
            <w:pPr>
              <w:jc w:val="center"/>
              <w:rPr>
                <w:b/>
                <w:color w:val="000000"/>
                <w:sz w:val="20"/>
              </w:rPr>
            </w:pPr>
            <w:r w:rsidRPr="00320BED">
              <w:rPr>
                <w:b/>
                <w:color w:val="000000"/>
                <w:sz w:val="20"/>
              </w:rPr>
              <w:t>Time (D:H:M)</w:t>
            </w:r>
          </w:p>
        </w:tc>
        <w:tc>
          <w:tcPr>
            <w:tcW w:w="666" w:type="dxa"/>
            <w:vMerge w:val="restart"/>
            <w:shd w:val="clear" w:color="auto" w:fill="auto"/>
            <w:vAlign w:val="center"/>
            <w:hideMark/>
          </w:tcPr>
          <w:p w14:paraId="14E91F6A" w14:textId="77777777" w:rsidR="006852C5" w:rsidRPr="00320BED" w:rsidRDefault="006852C5" w:rsidP="00A165C5">
            <w:pPr>
              <w:jc w:val="center"/>
              <w:rPr>
                <w:b/>
                <w:color w:val="000000"/>
                <w:sz w:val="20"/>
              </w:rPr>
            </w:pPr>
            <w:r w:rsidRPr="00320BED">
              <w:rPr>
                <w:b/>
                <w:color w:val="000000"/>
                <w:sz w:val="20"/>
              </w:rPr>
              <w:t>AUC</w:t>
            </w:r>
          </w:p>
        </w:tc>
        <w:tc>
          <w:tcPr>
            <w:tcW w:w="1230" w:type="dxa"/>
            <w:gridSpan w:val="2"/>
            <w:shd w:val="clear" w:color="auto" w:fill="auto"/>
            <w:noWrap/>
            <w:vAlign w:val="center"/>
            <w:hideMark/>
          </w:tcPr>
          <w:p w14:paraId="4E66DB3B" w14:textId="77777777" w:rsidR="006852C5" w:rsidRPr="00320BED" w:rsidRDefault="006852C5" w:rsidP="00A165C5">
            <w:pPr>
              <w:jc w:val="center"/>
              <w:rPr>
                <w:b/>
                <w:color w:val="000000"/>
                <w:sz w:val="20"/>
              </w:rPr>
            </w:pPr>
            <w:r w:rsidRPr="00320BED">
              <w:rPr>
                <w:b/>
                <w:color w:val="000000"/>
                <w:sz w:val="20"/>
              </w:rPr>
              <w:t>Train</w:t>
            </w:r>
          </w:p>
        </w:tc>
        <w:tc>
          <w:tcPr>
            <w:tcW w:w="1226" w:type="dxa"/>
            <w:gridSpan w:val="2"/>
            <w:shd w:val="clear" w:color="auto" w:fill="auto"/>
            <w:noWrap/>
            <w:vAlign w:val="center"/>
            <w:hideMark/>
          </w:tcPr>
          <w:p w14:paraId="5AF54956" w14:textId="77777777" w:rsidR="006852C5" w:rsidRPr="00320BED" w:rsidRDefault="006852C5" w:rsidP="00A165C5">
            <w:pPr>
              <w:jc w:val="center"/>
              <w:rPr>
                <w:b/>
                <w:color w:val="000000"/>
                <w:sz w:val="20"/>
              </w:rPr>
            </w:pPr>
            <w:r w:rsidRPr="00320BED">
              <w:rPr>
                <w:b/>
                <w:color w:val="000000"/>
                <w:sz w:val="20"/>
              </w:rPr>
              <w:t>Val</w:t>
            </w:r>
          </w:p>
        </w:tc>
        <w:tc>
          <w:tcPr>
            <w:tcW w:w="2772" w:type="dxa"/>
            <w:gridSpan w:val="3"/>
            <w:shd w:val="clear" w:color="auto" w:fill="auto"/>
            <w:noWrap/>
            <w:vAlign w:val="center"/>
            <w:hideMark/>
          </w:tcPr>
          <w:p w14:paraId="0F0B5F75" w14:textId="77777777" w:rsidR="006852C5" w:rsidRPr="00320BED" w:rsidRDefault="006852C5" w:rsidP="00A165C5">
            <w:pPr>
              <w:jc w:val="center"/>
              <w:rPr>
                <w:b/>
                <w:color w:val="000000"/>
                <w:sz w:val="20"/>
              </w:rPr>
            </w:pPr>
            <w:r w:rsidRPr="00320BED">
              <w:rPr>
                <w:b/>
                <w:color w:val="000000"/>
                <w:sz w:val="20"/>
              </w:rPr>
              <w:t>Macro Avg</w:t>
            </w:r>
          </w:p>
        </w:tc>
      </w:tr>
      <w:tr w:rsidR="006852C5" w:rsidRPr="00320BED" w14:paraId="6AF234F6" w14:textId="77777777" w:rsidTr="00541A3B">
        <w:trPr>
          <w:trHeight w:val="78"/>
          <w:jc w:val="center"/>
        </w:trPr>
        <w:tc>
          <w:tcPr>
            <w:tcW w:w="2965" w:type="dxa"/>
            <w:vMerge/>
            <w:vAlign w:val="center"/>
            <w:hideMark/>
          </w:tcPr>
          <w:p w14:paraId="07F21581" w14:textId="77777777" w:rsidR="006852C5" w:rsidRPr="00320BED" w:rsidRDefault="006852C5" w:rsidP="00A165C5">
            <w:pPr>
              <w:jc w:val="center"/>
              <w:rPr>
                <w:b/>
                <w:color w:val="000000"/>
                <w:sz w:val="20"/>
              </w:rPr>
            </w:pPr>
          </w:p>
        </w:tc>
        <w:tc>
          <w:tcPr>
            <w:tcW w:w="1070" w:type="dxa"/>
            <w:vMerge/>
            <w:vAlign w:val="center"/>
            <w:hideMark/>
          </w:tcPr>
          <w:p w14:paraId="6D2FBD7E" w14:textId="77777777" w:rsidR="006852C5" w:rsidRPr="00320BED" w:rsidRDefault="006852C5" w:rsidP="00A165C5">
            <w:pPr>
              <w:jc w:val="center"/>
              <w:rPr>
                <w:b/>
                <w:color w:val="000000"/>
                <w:sz w:val="20"/>
              </w:rPr>
            </w:pPr>
          </w:p>
        </w:tc>
        <w:tc>
          <w:tcPr>
            <w:tcW w:w="666" w:type="dxa"/>
            <w:vMerge/>
            <w:vAlign w:val="center"/>
            <w:hideMark/>
          </w:tcPr>
          <w:p w14:paraId="5B857D7D" w14:textId="77777777" w:rsidR="006852C5" w:rsidRPr="00320BED" w:rsidRDefault="006852C5" w:rsidP="00A165C5">
            <w:pPr>
              <w:jc w:val="center"/>
              <w:rPr>
                <w:b/>
                <w:color w:val="000000"/>
                <w:sz w:val="20"/>
              </w:rPr>
            </w:pPr>
          </w:p>
        </w:tc>
        <w:tc>
          <w:tcPr>
            <w:tcW w:w="617" w:type="dxa"/>
            <w:shd w:val="clear" w:color="auto" w:fill="auto"/>
            <w:noWrap/>
            <w:vAlign w:val="center"/>
            <w:hideMark/>
          </w:tcPr>
          <w:p w14:paraId="2B2C01D9" w14:textId="77777777" w:rsidR="006852C5" w:rsidRPr="00320BED" w:rsidRDefault="006852C5" w:rsidP="00A165C5">
            <w:pPr>
              <w:jc w:val="center"/>
              <w:rPr>
                <w:b/>
                <w:color w:val="000000"/>
                <w:sz w:val="20"/>
              </w:rPr>
            </w:pPr>
            <w:r w:rsidRPr="00320BED">
              <w:rPr>
                <w:b/>
                <w:color w:val="000000"/>
                <w:sz w:val="20"/>
              </w:rPr>
              <w:t>Acc</w:t>
            </w:r>
          </w:p>
        </w:tc>
        <w:tc>
          <w:tcPr>
            <w:tcW w:w="613" w:type="dxa"/>
            <w:shd w:val="clear" w:color="auto" w:fill="auto"/>
            <w:noWrap/>
            <w:vAlign w:val="center"/>
            <w:hideMark/>
          </w:tcPr>
          <w:p w14:paraId="524FA8B7" w14:textId="77777777" w:rsidR="006852C5" w:rsidRPr="00320BED" w:rsidRDefault="006852C5" w:rsidP="00A165C5">
            <w:pPr>
              <w:jc w:val="center"/>
              <w:rPr>
                <w:b/>
                <w:color w:val="000000"/>
                <w:sz w:val="20"/>
              </w:rPr>
            </w:pPr>
            <w:r w:rsidRPr="00320BED">
              <w:rPr>
                <w:b/>
                <w:color w:val="000000"/>
                <w:sz w:val="20"/>
              </w:rPr>
              <w:t>Loss</w:t>
            </w:r>
          </w:p>
        </w:tc>
        <w:tc>
          <w:tcPr>
            <w:tcW w:w="613" w:type="dxa"/>
            <w:shd w:val="clear" w:color="auto" w:fill="auto"/>
            <w:noWrap/>
            <w:vAlign w:val="center"/>
            <w:hideMark/>
          </w:tcPr>
          <w:p w14:paraId="550847E0" w14:textId="77777777" w:rsidR="006852C5" w:rsidRPr="00320BED" w:rsidRDefault="006852C5" w:rsidP="00A165C5">
            <w:pPr>
              <w:jc w:val="center"/>
              <w:rPr>
                <w:b/>
                <w:color w:val="000000"/>
                <w:sz w:val="20"/>
              </w:rPr>
            </w:pPr>
            <w:r w:rsidRPr="00320BED">
              <w:rPr>
                <w:b/>
                <w:color w:val="000000"/>
                <w:sz w:val="20"/>
              </w:rPr>
              <w:t>Acc</w:t>
            </w:r>
          </w:p>
        </w:tc>
        <w:tc>
          <w:tcPr>
            <w:tcW w:w="613" w:type="dxa"/>
            <w:shd w:val="clear" w:color="auto" w:fill="auto"/>
            <w:noWrap/>
            <w:vAlign w:val="center"/>
            <w:hideMark/>
          </w:tcPr>
          <w:p w14:paraId="39BA3C95" w14:textId="77777777" w:rsidR="006852C5" w:rsidRPr="00320BED" w:rsidRDefault="006852C5" w:rsidP="00A165C5">
            <w:pPr>
              <w:jc w:val="center"/>
              <w:rPr>
                <w:b/>
                <w:color w:val="000000"/>
                <w:sz w:val="20"/>
              </w:rPr>
            </w:pPr>
            <w:r w:rsidRPr="00320BED">
              <w:rPr>
                <w:b/>
                <w:color w:val="000000"/>
                <w:sz w:val="20"/>
              </w:rPr>
              <w:t>Loss</w:t>
            </w:r>
          </w:p>
        </w:tc>
        <w:tc>
          <w:tcPr>
            <w:tcW w:w="1141" w:type="dxa"/>
            <w:shd w:val="clear" w:color="auto" w:fill="auto"/>
            <w:noWrap/>
            <w:vAlign w:val="center"/>
            <w:hideMark/>
          </w:tcPr>
          <w:p w14:paraId="38B302A9" w14:textId="77777777" w:rsidR="006852C5" w:rsidRPr="00320BED" w:rsidRDefault="006852C5" w:rsidP="00A165C5">
            <w:pPr>
              <w:jc w:val="center"/>
              <w:rPr>
                <w:b/>
                <w:color w:val="000000"/>
                <w:sz w:val="20"/>
              </w:rPr>
            </w:pPr>
            <w:r w:rsidRPr="00320BED">
              <w:rPr>
                <w:b/>
                <w:color w:val="000000"/>
                <w:sz w:val="20"/>
              </w:rPr>
              <w:t>Precision</w:t>
            </w:r>
          </w:p>
        </w:tc>
        <w:tc>
          <w:tcPr>
            <w:tcW w:w="845" w:type="dxa"/>
            <w:shd w:val="clear" w:color="auto" w:fill="auto"/>
            <w:noWrap/>
            <w:vAlign w:val="center"/>
            <w:hideMark/>
          </w:tcPr>
          <w:p w14:paraId="4679E1C4" w14:textId="77777777" w:rsidR="006852C5" w:rsidRPr="00320BED" w:rsidRDefault="006852C5" w:rsidP="00A165C5">
            <w:pPr>
              <w:jc w:val="center"/>
              <w:rPr>
                <w:b/>
                <w:color w:val="000000"/>
                <w:sz w:val="20"/>
              </w:rPr>
            </w:pPr>
            <w:r w:rsidRPr="00320BED">
              <w:rPr>
                <w:b/>
                <w:color w:val="000000"/>
                <w:sz w:val="20"/>
              </w:rPr>
              <w:t>Recall</w:t>
            </w:r>
          </w:p>
        </w:tc>
        <w:tc>
          <w:tcPr>
            <w:tcW w:w="786" w:type="dxa"/>
            <w:shd w:val="clear" w:color="auto" w:fill="auto"/>
            <w:noWrap/>
            <w:vAlign w:val="center"/>
            <w:hideMark/>
          </w:tcPr>
          <w:p w14:paraId="4CD6E3E9" w14:textId="77777777" w:rsidR="006852C5" w:rsidRPr="00320BED" w:rsidRDefault="006852C5" w:rsidP="00A165C5">
            <w:pPr>
              <w:jc w:val="center"/>
              <w:rPr>
                <w:b/>
                <w:color w:val="000000"/>
                <w:sz w:val="20"/>
              </w:rPr>
            </w:pPr>
            <w:r w:rsidRPr="00320BED">
              <w:rPr>
                <w:b/>
                <w:color w:val="000000"/>
                <w:sz w:val="20"/>
              </w:rPr>
              <w:t>F1-Score</w:t>
            </w:r>
          </w:p>
        </w:tc>
      </w:tr>
      <w:tr w:rsidR="006852C5" w:rsidRPr="00320BED" w14:paraId="3A16A3FE" w14:textId="77777777" w:rsidTr="00541A3B">
        <w:trPr>
          <w:trHeight w:val="78"/>
          <w:jc w:val="center"/>
        </w:trPr>
        <w:tc>
          <w:tcPr>
            <w:tcW w:w="2965" w:type="dxa"/>
            <w:shd w:val="clear" w:color="auto" w:fill="auto"/>
            <w:noWrap/>
            <w:vAlign w:val="center"/>
          </w:tcPr>
          <w:p w14:paraId="68E6C0F8" w14:textId="77777777" w:rsidR="006852C5" w:rsidRPr="00320BED" w:rsidRDefault="006852C5" w:rsidP="00A165C5">
            <w:pPr>
              <w:spacing w:line="276" w:lineRule="auto"/>
              <w:jc w:val="center"/>
              <w:rPr>
                <w:color w:val="000000"/>
                <w:sz w:val="20"/>
              </w:rPr>
            </w:pPr>
            <w:r w:rsidRPr="00320BED">
              <w:rPr>
                <w:color w:val="000000"/>
                <w:sz w:val="20"/>
              </w:rPr>
              <w:t xml:space="preserve">MobileNetV2 </w:t>
            </w:r>
            <w:sdt>
              <w:sdtPr>
                <w:rPr>
                  <w:color w:val="000000"/>
                  <w:sz w:val="20"/>
                </w:rPr>
                <w:tag w:val="MENDELEY_CITATION_v3_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"/>
                <w:id w:val="-1741087449"/>
                <w:placeholder>
                  <w:docPart w:val="C44E15F610F84BBCA7DAC93915086596"/>
                </w:placeholder>
              </w:sdtPr>
              <w:sdtContent>
                <w:r w:rsidRPr="00320BED">
                  <w:rPr>
                    <w:color w:val="000000"/>
                    <w:sz w:val="20"/>
                  </w:rPr>
                  <w:t>[14]</w:t>
                </w:r>
              </w:sdtContent>
            </w:sdt>
          </w:p>
        </w:tc>
        <w:tc>
          <w:tcPr>
            <w:tcW w:w="1070" w:type="dxa"/>
            <w:shd w:val="clear" w:color="auto" w:fill="auto"/>
            <w:noWrap/>
            <w:vAlign w:val="center"/>
          </w:tcPr>
          <w:p w14:paraId="7785D0D1" w14:textId="77777777" w:rsidR="006852C5" w:rsidRPr="00320BED" w:rsidRDefault="006852C5" w:rsidP="00A165C5">
            <w:pPr>
              <w:jc w:val="center"/>
              <w:rPr>
                <w:b/>
                <w:color w:val="000000"/>
                <w:sz w:val="20"/>
              </w:rPr>
            </w:pPr>
            <w:r w:rsidRPr="00320BED">
              <w:rPr>
                <w:b/>
                <w:color w:val="000000"/>
                <w:sz w:val="20"/>
              </w:rPr>
              <w:t>-</w:t>
            </w:r>
          </w:p>
        </w:tc>
        <w:tc>
          <w:tcPr>
            <w:tcW w:w="666" w:type="dxa"/>
            <w:shd w:val="clear" w:color="auto" w:fill="auto"/>
            <w:noWrap/>
            <w:vAlign w:val="center"/>
          </w:tcPr>
          <w:p w14:paraId="63A8E340" w14:textId="77777777" w:rsidR="006852C5" w:rsidRPr="00320BED" w:rsidRDefault="006852C5" w:rsidP="00A165C5">
            <w:pPr>
              <w:jc w:val="center"/>
              <w:rPr>
                <w:color w:val="000000"/>
                <w:sz w:val="20"/>
              </w:rPr>
            </w:pPr>
            <w:r w:rsidRPr="00320BED">
              <w:rPr>
                <w:color w:val="000000"/>
                <w:sz w:val="20"/>
              </w:rPr>
              <w:t>0.71</w:t>
            </w:r>
          </w:p>
        </w:tc>
        <w:tc>
          <w:tcPr>
            <w:tcW w:w="617" w:type="dxa"/>
            <w:shd w:val="clear" w:color="auto" w:fill="auto"/>
            <w:noWrap/>
            <w:vAlign w:val="center"/>
          </w:tcPr>
          <w:p w14:paraId="6122FBDE" w14:textId="77777777" w:rsidR="006852C5" w:rsidRPr="00320BED" w:rsidRDefault="006852C5" w:rsidP="00A165C5">
            <w:pPr>
              <w:jc w:val="center"/>
              <w:rPr>
                <w:b/>
                <w:color w:val="000000"/>
                <w:sz w:val="20"/>
              </w:rPr>
            </w:pPr>
            <w:r w:rsidRPr="00320BED">
              <w:rPr>
                <w:b/>
                <w:color w:val="000000"/>
                <w:sz w:val="20"/>
              </w:rPr>
              <w:t>-</w:t>
            </w:r>
          </w:p>
        </w:tc>
        <w:tc>
          <w:tcPr>
            <w:tcW w:w="613" w:type="dxa"/>
            <w:shd w:val="clear" w:color="auto" w:fill="auto"/>
            <w:noWrap/>
            <w:vAlign w:val="center"/>
          </w:tcPr>
          <w:p w14:paraId="162569E3" w14:textId="77777777" w:rsidR="006852C5" w:rsidRPr="00320BED" w:rsidRDefault="006852C5" w:rsidP="00A165C5">
            <w:pPr>
              <w:jc w:val="center"/>
              <w:rPr>
                <w:b/>
                <w:color w:val="000000"/>
                <w:sz w:val="20"/>
              </w:rPr>
            </w:pPr>
            <w:r w:rsidRPr="00320BED">
              <w:rPr>
                <w:b/>
                <w:color w:val="000000"/>
                <w:sz w:val="20"/>
              </w:rPr>
              <w:t>-</w:t>
            </w:r>
          </w:p>
        </w:tc>
        <w:tc>
          <w:tcPr>
            <w:tcW w:w="613" w:type="dxa"/>
            <w:shd w:val="clear" w:color="auto" w:fill="auto"/>
            <w:noWrap/>
            <w:vAlign w:val="center"/>
          </w:tcPr>
          <w:p w14:paraId="345BF512" w14:textId="77777777" w:rsidR="006852C5" w:rsidRPr="00320BED" w:rsidRDefault="006852C5" w:rsidP="00A165C5">
            <w:pPr>
              <w:jc w:val="center"/>
              <w:rPr>
                <w:color w:val="000000"/>
                <w:sz w:val="20"/>
              </w:rPr>
            </w:pPr>
            <w:r w:rsidRPr="00320BED">
              <w:rPr>
                <w:color w:val="000000"/>
                <w:sz w:val="20"/>
              </w:rPr>
              <w:t>76</w:t>
            </w:r>
          </w:p>
        </w:tc>
        <w:tc>
          <w:tcPr>
            <w:tcW w:w="613" w:type="dxa"/>
            <w:shd w:val="clear" w:color="auto" w:fill="auto"/>
            <w:noWrap/>
            <w:vAlign w:val="center"/>
          </w:tcPr>
          <w:p w14:paraId="46D57194" w14:textId="77777777" w:rsidR="006852C5" w:rsidRPr="00320BED" w:rsidRDefault="006852C5" w:rsidP="00A165C5">
            <w:pPr>
              <w:jc w:val="center"/>
              <w:rPr>
                <w:color w:val="000000"/>
                <w:sz w:val="20"/>
              </w:rPr>
            </w:pPr>
            <w:r w:rsidRPr="00320BED">
              <w:rPr>
                <w:color w:val="000000"/>
                <w:sz w:val="20"/>
              </w:rPr>
              <w:t>-</w:t>
            </w:r>
          </w:p>
        </w:tc>
        <w:tc>
          <w:tcPr>
            <w:tcW w:w="1141" w:type="dxa"/>
            <w:shd w:val="clear" w:color="auto" w:fill="auto"/>
            <w:noWrap/>
            <w:vAlign w:val="center"/>
          </w:tcPr>
          <w:p w14:paraId="057323E5" w14:textId="77777777" w:rsidR="006852C5" w:rsidRPr="00320BED" w:rsidRDefault="006852C5" w:rsidP="00A165C5">
            <w:pPr>
              <w:jc w:val="center"/>
              <w:rPr>
                <w:color w:val="000000"/>
                <w:sz w:val="20"/>
              </w:rPr>
            </w:pPr>
            <w:r w:rsidRPr="00320BED">
              <w:rPr>
                <w:color w:val="000000"/>
                <w:sz w:val="20"/>
              </w:rPr>
              <w:t>-</w:t>
            </w:r>
          </w:p>
        </w:tc>
        <w:tc>
          <w:tcPr>
            <w:tcW w:w="845" w:type="dxa"/>
            <w:shd w:val="clear" w:color="auto" w:fill="auto"/>
            <w:noWrap/>
            <w:vAlign w:val="center"/>
          </w:tcPr>
          <w:p w14:paraId="2D34B599" w14:textId="77777777" w:rsidR="006852C5" w:rsidRPr="00320BED" w:rsidRDefault="006852C5" w:rsidP="00A165C5">
            <w:pPr>
              <w:jc w:val="center"/>
              <w:rPr>
                <w:color w:val="000000"/>
                <w:sz w:val="20"/>
              </w:rPr>
            </w:pPr>
            <w:r w:rsidRPr="00320BED">
              <w:rPr>
                <w:color w:val="000000"/>
                <w:sz w:val="20"/>
              </w:rPr>
              <w:t>52</w:t>
            </w:r>
          </w:p>
        </w:tc>
        <w:tc>
          <w:tcPr>
            <w:tcW w:w="786" w:type="dxa"/>
            <w:shd w:val="clear" w:color="auto" w:fill="auto"/>
            <w:noWrap/>
            <w:vAlign w:val="center"/>
          </w:tcPr>
          <w:p w14:paraId="5A278B44" w14:textId="77777777" w:rsidR="006852C5" w:rsidRPr="00320BED" w:rsidRDefault="006852C5" w:rsidP="00A165C5">
            <w:pPr>
              <w:jc w:val="center"/>
              <w:rPr>
                <w:color w:val="000000"/>
                <w:sz w:val="20"/>
              </w:rPr>
            </w:pPr>
            <w:r w:rsidRPr="00320BED">
              <w:rPr>
                <w:color w:val="000000"/>
                <w:sz w:val="20"/>
              </w:rPr>
              <w:t>-</w:t>
            </w:r>
          </w:p>
        </w:tc>
      </w:tr>
      <w:tr w:rsidR="006852C5" w:rsidRPr="00320BED" w14:paraId="58397F82" w14:textId="77777777" w:rsidTr="00541A3B">
        <w:trPr>
          <w:trHeight w:val="88"/>
          <w:jc w:val="center"/>
        </w:trPr>
        <w:tc>
          <w:tcPr>
            <w:tcW w:w="2965" w:type="dxa"/>
            <w:shd w:val="clear" w:color="auto" w:fill="auto"/>
            <w:noWrap/>
            <w:vAlign w:val="center"/>
          </w:tcPr>
          <w:p w14:paraId="119E1D85" w14:textId="77777777" w:rsidR="006852C5" w:rsidRPr="00320BED" w:rsidRDefault="006852C5" w:rsidP="00A165C5">
            <w:pPr>
              <w:spacing w:line="276" w:lineRule="auto"/>
              <w:jc w:val="center"/>
              <w:rPr>
                <w:color w:val="000000"/>
                <w:sz w:val="20"/>
              </w:rPr>
            </w:pPr>
            <w:r w:rsidRPr="00320BED">
              <w:rPr>
                <w:color w:val="000000"/>
                <w:sz w:val="20"/>
              </w:rPr>
              <w:t xml:space="preserve">VGG19 </w:t>
            </w:r>
            <w:sdt>
              <w:sdtPr>
                <w:rPr>
                  <w:color w:val="000000"/>
                  <w:sz w:val="20"/>
                </w:rPr>
                <w:tag w:val="MENDELEY_CITATION_v3_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"/>
                <w:id w:val="-141656154"/>
                <w:placeholder>
                  <w:docPart w:val="C44E15F610F84BBCA7DAC93915086596"/>
                </w:placeholder>
              </w:sdtPr>
              <w:sdtContent>
                <w:r w:rsidRPr="00320BED">
                  <w:rPr>
                    <w:color w:val="000000"/>
                    <w:sz w:val="20"/>
                  </w:rPr>
                  <w:t>[19]</w:t>
                </w:r>
              </w:sdtContent>
            </w:sdt>
          </w:p>
        </w:tc>
        <w:tc>
          <w:tcPr>
            <w:tcW w:w="1070" w:type="dxa"/>
            <w:shd w:val="clear" w:color="auto" w:fill="auto"/>
            <w:noWrap/>
            <w:vAlign w:val="center"/>
          </w:tcPr>
          <w:p w14:paraId="79DF2D69" w14:textId="77777777" w:rsidR="006852C5" w:rsidRPr="00320BED" w:rsidRDefault="006852C5" w:rsidP="00A165C5">
            <w:pPr>
              <w:jc w:val="center"/>
              <w:rPr>
                <w:b/>
                <w:color w:val="000000"/>
                <w:sz w:val="20"/>
              </w:rPr>
            </w:pPr>
            <w:r w:rsidRPr="00320BED">
              <w:rPr>
                <w:b/>
                <w:color w:val="000000"/>
                <w:sz w:val="20"/>
              </w:rPr>
              <w:t>-</w:t>
            </w:r>
          </w:p>
        </w:tc>
        <w:tc>
          <w:tcPr>
            <w:tcW w:w="666" w:type="dxa"/>
            <w:shd w:val="clear" w:color="auto" w:fill="auto"/>
            <w:noWrap/>
            <w:vAlign w:val="center"/>
          </w:tcPr>
          <w:p w14:paraId="01DE1AE5" w14:textId="77777777" w:rsidR="006852C5" w:rsidRPr="00320BED" w:rsidRDefault="006852C5" w:rsidP="00A165C5">
            <w:pPr>
              <w:jc w:val="center"/>
              <w:rPr>
                <w:b/>
                <w:color w:val="000000"/>
                <w:sz w:val="20"/>
              </w:rPr>
            </w:pPr>
            <w:r w:rsidRPr="00320BED">
              <w:rPr>
                <w:b/>
                <w:color w:val="000000"/>
                <w:sz w:val="20"/>
              </w:rPr>
              <w:t>0.82</w:t>
            </w:r>
          </w:p>
        </w:tc>
        <w:tc>
          <w:tcPr>
            <w:tcW w:w="617" w:type="dxa"/>
            <w:shd w:val="clear" w:color="auto" w:fill="auto"/>
            <w:noWrap/>
            <w:vAlign w:val="center"/>
          </w:tcPr>
          <w:p w14:paraId="40BA7F82" w14:textId="77777777" w:rsidR="006852C5" w:rsidRPr="00320BED" w:rsidRDefault="006852C5" w:rsidP="00A165C5">
            <w:pPr>
              <w:jc w:val="center"/>
              <w:rPr>
                <w:b/>
                <w:color w:val="000000"/>
                <w:sz w:val="20"/>
              </w:rPr>
            </w:pPr>
            <w:r w:rsidRPr="00320BED">
              <w:rPr>
                <w:b/>
                <w:color w:val="000000"/>
                <w:sz w:val="20"/>
              </w:rPr>
              <w:t>-</w:t>
            </w:r>
          </w:p>
        </w:tc>
        <w:tc>
          <w:tcPr>
            <w:tcW w:w="613" w:type="dxa"/>
            <w:shd w:val="clear" w:color="auto" w:fill="auto"/>
            <w:noWrap/>
            <w:vAlign w:val="center"/>
          </w:tcPr>
          <w:p w14:paraId="4DBA8089" w14:textId="77777777" w:rsidR="006852C5" w:rsidRPr="00320BED" w:rsidRDefault="006852C5" w:rsidP="00A165C5">
            <w:pPr>
              <w:jc w:val="center"/>
              <w:rPr>
                <w:b/>
                <w:color w:val="000000"/>
                <w:sz w:val="20"/>
              </w:rPr>
            </w:pPr>
            <w:r w:rsidRPr="00320BED">
              <w:rPr>
                <w:b/>
                <w:color w:val="000000"/>
                <w:sz w:val="20"/>
              </w:rPr>
              <w:t>-</w:t>
            </w:r>
          </w:p>
        </w:tc>
        <w:tc>
          <w:tcPr>
            <w:tcW w:w="613" w:type="dxa"/>
            <w:shd w:val="clear" w:color="auto" w:fill="auto"/>
            <w:noWrap/>
            <w:vAlign w:val="center"/>
          </w:tcPr>
          <w:p w14:paraId="06E1DE3E" w14:textId="77777777" w:rsidR="006852C5" w:rsidRPr="00320BED" w:rsidRDefault="006852C5" w:rsidP="00A165C5">
            <w:pPr>
              <w:jc w:val="center"/>
              <w:rPr>
                <w:color w:val="000000"/>
                <w:sz w:val="20"/>
              </w:rPr>
            </w:pPr>
            <w:r w:rsidRPr="00320BED">
              <w:rPr>
                <w:color w:val="000000"/>
                <w:sz w:val="20"/>
              </w:rPr>
              <w:t>77</w:t>
            </w:r>
          </w:p>
        </w:tc>
        <w:tc>
          <w:tcPr>
            <w:tcW w:w="613" w:type="dxa"/>
            <w:shd w:val="clear" w:color="auto" w:fill="auto"/>
            <w:noWrap/>
            <w:vAlign w:val="center"/>
          </w:tcPr>
          <w:p w14:paraId="2217952A" w14:textId="77777777" w:rsidR="006852C5" w:rsidRPr="00320BED" w:rsidRDefault="006852C5" w:rsidP="00A165C5">
            <w:pPr>
              <w:jc w:val="center"/>
              <w:rPr>
                <w:color w:val="000000"/>
                <w:sz w:val="20"/>
              </w:rPr>
            </w:pPr>
            <w:r w:rsidRPr="00320BED">
              <w:rPr>
                <w:color w:val="000000"/>
                <w:sz w:val="20"/>
              </w:rPr>
              <w:t>-</w:t>
            </w:r>
          </w:p>
        </w:tc>
        <w:tc>
          <w:tcPr>
            <w:tcW w:w="1141" w:type="dxa"/>
            <w:shd w:val="clear" w:color="auto" w:fill="auto"/>
            <w:noWrap/>
            <w:vAlign w:val="center"/>
          </w:tcPr>
          <w:p w14:paraId="7DC23F46" w14:textId="77777777" w:rsidR="006852C5" w:rsidRPr="00320BED" w:rsidRDefault="006852C5" w:rsidP="00A165C5">
            <w:pPr>
              <w:jc w:val="center"/>
              <w:rPr>
                <w:color w:val="000000"/>
                <w:sz w:val="20"/>
              </w:rPr>
            </w:pPr>
            <w:r w:rsidRPr="00320BED">
              <w:rPr>
                <w:color w:val="000000"/>
                <w:sz w:val="20"/>
              </w:rPr>
              <w:t>-</w:t>
            </w:r>
          </w:p>
        </w:tc>
        <w:tc>
          <w:tcPr>
            <w:tcW w:w="845" w:type="dxa"/>
            <w:shd w:val="clear" w:color="auto" w:fill="auto"/>
            <w:noWrap/>
            <w:vAlign w:val="center"/>
          </w:tcPr>
          <w:p w14:paraId="20026A86" w14:textId="77777777" w:rsidR="006852C5" w:rsidRPr="00320BED" w:rsidRDefault="006852C5" w:rsidP="00A165C5">
            <w:pPr>
              <w:jc w:val="center"/>
              <w:rPr>
                <w:color w:val="000000"/>
                <w:sz w:val="20"/>
              </w:rPr>
            </w:pPr>
            <w:r w:rsidRPr="00320BED">
              <w:rPr>
                <w:color w:val="000000"/>
                <w:sz w:val="20"/>
              </w:rPr>
              <w:t>-</w:t>
            </w:r>
          </w:p>
        </w:tc>
        <w:tc>
          <w:tcPr>
            <w:tcW w:w="786" w:type="dxa"/>
            <w:shd w:val="clear" w:color="auto" w:fill="auto"/>
            <w:noWrap/>
            <w:vAlign w:val="center"/>
          </w:tcPr>
          <w:p w14:paraId="17BD6788" w14:textId="77777777" w:rsidR="006852C5" w:rsidRPr="00320BED" w:rsidRDefault="006852C5" w:rsidP="00A165C5">
            <w:pPr>
              <w:jc w:val="center"/>
              <w:rPr>
                <w:color w:val="000000"/>
                <w:sz w:val="20"/>
              </w:rPr>
            </w:pPr>
            <w:r w:rsidRPr="00320BED">
              <w:rPr>
                <w:color w:val="000000"/>
                <w:sz w:val="20"/>
              </w:rPr>
              <w:t>-</w:t>
            </w:r>
          </w:p>
        </w:tc>
      </w:tr>
      <w:tr w:rsidR="006852C5" w:rsidRPr="00320BED" w14:paraId="14D1EAB8" w14:textId="77777777" w:rsidTr="00541A3B">
        <w:trPr>
          <w:trHeight w:val="88"/>
          <w:jc w:val="center"/>
        </w:trPr>
        <w:tc>
          <w:tcPr>
            <w:tcW w:w="2965" w:type="dxa"/>
            <w:shd w:val="clear" w:color="auto" w:fill="auto"/>
            <w:noWrap/>
            <w:vAlign w:val="center"/>
            <w:hideMark/>
          </w:tcPr>
          <w:p w14:paraId="30DD736C" w14:textId="77777777" w:rsidR="006852C5" w:rsidRPr="00320BED" w:rsidRDefault="006852C5" w:rsidP="00A165C5">
            <w:pPr>
              <w:spacing w:line="276" w:lineRule="auto"/>
              <w:jc w:val="center"/>
              <w:rPr>
                <w:color w:val="000000"/>
                <w:sz w:val="20"/>
              </w:rPr>
            </w:pPr>
            <w:r w:rsidRPr="00320BED">
              <w:rPr>
                <w:color w:val="000000"/>
                <w:sz w:val="20"/>
              </w:rPr>
              <w:t>Proposed Model (Scenario 1)</w:t>
            </w:r>
          </w:p>
        </w:tc>
        <w:tc>
          <w:tcPr>
            <w:tcW w:w="1070" w:type="dxa"/>
            <w:shd w:val="clear" w:color="auto" w:fill="auto"/>
            <w:noWrap/>
            <w:vAlign w:val="center"/>
            <w:hideMark/>
          </w:tcPr>
          <w:p w14:paraId="3AA1BDDE" w14:textId="77777777" w:rsidR="006852C5" w:rsidRPr="00320BED" w:rsidRDefault="006852C5" w:rsidP="00A165C5">
            <w:pPr>
              <w:jc w:val="center"/>
              <w:rPr>
                <w:b/>
                <w:color w:val="000000"/>
                <w:sz w:val="20"/>
              </w:rPr>
            </w:pPr>
            <w:r w:rsidRPr="00320BED">
              <w:rPr>
                <w:b/>
                <w:color w:val="000000"/>
                <w:sz w:val="20"/>
              </w:rPr>
              <w:t>2:23:57</w:t>
            </w:r>
          </w:p>
        </w:tc>
        <w:tc>
          <w:tcPr>
            <w:tcW w:w="666" w:type="dxa"/>
            <w:shd w:val="clear" w:color="auto" w:fill="auto"/>
            <w:noWrap/>
            <w:vAlign w:val="center"/>
            <w:hideMark/>
          </w:tcPr>
          <w:p w14:paraId="69FDBA00" w14:textId="77777777" w:rsidR="006852C5" w:rsidRPr="00320BED" w:rsidRDefault="006852C5" w:rsidP="00A165C5">
            <w:pPr>
              <w:jc w:val="center"/>
              <w:rPr>
                <w:color w:val="000000"/>
                <w:sz w:val="20"/>
              </w:rPr>
            </w:pPr>
            <w:r w:rsidRPr="00320BED">
              <w:rPr>
                <w:color w:val="000000"/>
                <w:sz w:val="20"/>
              </w:rPr>
              <w:t>0.762</w:t>
            </w:r>
          </w:p>
        </w:tc>
        <w:tc>
          <w:tcPr>
            <w:tcW w:w="617" w:type="dxa"/>
            <w:shd w:val="clear" w:color="auto" w:fill="auto"/>
            <w:noWrap/>
            <w:vAlign w:val="center"/>
            <w:hideMark/>
          </w:tcPr>
          <w:p w14:paraId="45D56F5C" w14:textId="77777777" w:rsidR="006852C5" w:rsidRPr="00320BED" w:rsidRDefault="006852C5" w:rsidP="00A165C5">
            <w:pPr>
              <w:jc w:val="center"/>
              <w:rPr>
                <w:b/>
                <w:color w:val="000000"/>
                <w:sz w:val="20"/>
              </w:rPr>
            </w:pPr>
            <w:r w:rsidRPr="00320BED">
              <w:rPr>
                <w:b/>
                <w:color w:val="000000"/>
                <w:sz w:val="20"/>
              </w:rPr>
              <w:t>79.6</w:t>
            </w:r>
          </w:p>
        </w:tc>
        <w:tc>
          <w:tcPr>
            <w:tcW w:w="613" w:type="dxa"/>
            <w:shd w:val="clear" w:color="auto" w:fill="auto"/>
            <w:noWrap/>
            <w:vAlign w:val="center"/>
            <w:hideMark/>
          </w:tcPr>
          <w:p w14:paraId="281E02B3" w14:textId="77777777" w:rsidR="006852C5" w:rsidRPr="00320BED" w:rsidRDefault="006852C5" w:rsidP="00A165C5">
            <w:pPr>
              <w:jc w:val="center"/>
              <w:rPr>
                <w:b/>
                <w:color w:val="000000"/>
                <w:sz w:val="20"/>
              </w:rPr>
            </w:pPr>
            <w:r w:rsidRPr="00320BED">
              <w:rPr>
                <w:b/>
                <w:color w:val="000000"/>
                <w:sz w:val="20"/>
              </w:rPr>
              <w:t>44.6</w:t>
            </w:r>
          </w:p>
        </w:tc>
        <w:tc>
          <w:tcPr>
            <w:tcW w:w="613" w:type="dxa"/>
            <w:shd w:val="clear" w:color="auto" w:fill="auto"/>
            <w:noWrap/>
            <w:vAlign w:val="center"/>
            <w:hideMark/>
          </w:tcPr>
          <w:p w14:paraId="225A648C" w14:textId="77777777" w:rsidR="006852C5" w:rsidRPr="00320BED" w:rsidRDefault="006852C5" w:rsidP="00A165C5">
            <w:pPr>
              <w:jc w:val="center"/>
              <w:rPr>
                <w:color w:val="000000"/>
                <w:sz w:val="20"/>
              </w:rPr>
            </w:pPr>
            <w:r w:rsidRPr="00320BED">
              <w:rPr>
                <w:color w:val="000000"/>
                <w:sz w:val="20"/>
              </w:rPr>
              <w:t>76.2</w:t>
            </w:r>
          </w:p>
        </w:tc>
        <w:tc>
          <w:tcPr>
            <w:tcW w:w="613" w:type="dxa"/>
            <w:shd w:val="clear" w:color="auto" w:fill="auto"/>
            <w:noWrap/>
            <w:vAlign w:val="center"/>
            <w:hideMark/>
          </w:tcPr>
          <w:p w14:paraId="00D00855" w14:textId="77777777" w:rsidR="006852C5" w:rsidRPr="00320BED" w:rsidRDefault="006852C5" w:rsidP="00A165C5">
            <w:pPr>
              <w:jc w:val="center"/>
              <w:rPr>
                <w:color w:val="000000"/>
                <w:sz w:val="20"/>
              </w:rPr>
            </w:pPr>
            <w:r w:rsidRPr="00320BED">
              <w:rPr>
                <w:color w:val="000000"/>
                <w:sz w:val="20"/>
              </w:rPr>
              <w:t>52.8</w:t>
            </w:r>
          </w:p>
        </w:tc>
        <w:tc>
          <w:tcPr>
            <w:tcW w:w="1141" w:type="dxa"/>
            <w:shd w:val="clear" w:color="auto" w:fill="auto"/>
            <w:noWrap/>
            <w:vAlign w:val="center"/>
            <w:hideMark/>
          </w:tcPr>
          <w:p w14:paraId="47DC6491" w14:textId="77777777" w:rsidR="006852C5" w:rsidRPr="00320BED" w:rsidRDefault="006852C5" w:rsidP="00A165C5">
            <w:pPr>
              <w:jc w:val="center"/>
              <w:rPr>
                <w:color w:val="000000"/>
                <w:sz w:val="20"/>
              </w:rPr>
            </w:pPr>
            <w:r w:rsidRPr="00320BED">
              <w:rPr>
                <w:color w:val="000000"/>
                <w:sz w:val="20"/>
              </w:rPr>
              <w:t>78</w:t>
            </w:r>
          </w:p>
        </w:tc>
        <w:tc>
          <w:tcPr>
            <w:tcW w:w="845" w:type="dxa"/>
            <w:shd w:val="clear" w:color="auto" w:fill="auto"/>
            <w:noWrap/>
            <w:vAlign w:val="center"/>
            <w:hideMark/>
          </w:tcPr>
          <w:p w14:paraId="6D0AF7A6" w14:textId="77777777" w:rsidR="006852C5" w:rsidRPr="00320BED" w:rsidRDefault="006852C5" w:rsidP="00A165C5">
            <w:pPr>
              <w:jc w:val="center"/>
              <w:rPr>
                <w:color w:val="000000"/>
                <w:sz w:val="20"/>
              </w:rPr>
            </w:pPr>
            <w:r w:rsidRPr="00320BED">
              <w:rPr>
                <w:color w:val="000000"/>
                <w:sz w:val="20"/>
              </w:rPr>
              <w:t>76</w:t>
            </w:r>
          </w:p>
        </w:tc>
        <w:tc>
          <w:tcPr>
            <w:tcW w:w="786" w:type="dxa"/>
            <w:shd w:val="clear" w:color="auto" w:fill="auto"/>
            <w:noWrap/>
            <w:vAlign w:val="center"/>
            <w:hideMark/>
          </w:tcPr>
          <w:p w14:paraId="58CB92F7" w14:textId="77777777" w:rsidR="006852C5" w:rsidRPr="00320BED" w:rsidRDefault="006852C5" w:rsidP="00A165C5">
            <w:pPr>
              <w:jc w:val="center"/>
              <w:rPr>
                <w:color w:val="000000"/>
                <w:sz w:val="20"/>
              </w:rPr>
            </w:pPr>
            <w:r w:rsidRPr="00320BED">
              <w:rPr>
                <w:color w:val="000000"/>
                <w:sz w:val="20"/>
              </w:rPr>
              <w:t>76</w:t>
            </w:r>
          </w:p>
        </w:tc>
      </w:tr>
      <w:tr w:rsidR="006852C5" w:rsidRPr="00320BED" w14:paraId="5E7A98EE" w14:textId="77777777" w:rsidTr="00541A3B">
        <w:trPr>
          <w:trHeight w:val="88"/>
          <w:jc w:val="center"/>
        </w:trPr>
        <w:tc>
          <w:tcPr>
            <w:tcW w:w="2965" w:type="dxa"/>
            <w:shd w:val="clear" w:color="auto" w:fill="auto"/>
            <w:noWrap/>
            <w:vAlign w:val="center"/>
            <w:hideMark/>
          </w:tcPr>
          <w:p w14:paraId="54265847" w14:textId="77777777" w:rsidR="006852C5" w:rsidRPr="00320BED" w:rsidRDefault="006852C5" w:rsidP="00A165C5">
            <w:pPr>
              <w:spacing w:line="276" w:lineRule="auto"/>
              <w:jc w:val="center"/>
              <w:rPr>
                <w:color w:val="000000"/>
                <w:sz w:val="20"/>
              </w:rPr>
            </w:pPr>
            <w:r w:rsidRPr="00320BED">
              <w:rPr>
                <w:color w:val="000000"/>
                <w:sz w:val="20"/>
              </w:rPr>
              <w:t>Proposed Model + Augmentation (Scenario 2)</w:t>
            </w:r>
          </w:p>
        </w:tc>
        <w:tc>
          <w:tcPr>
            <w:tcW w:w="1070" w:type="dxa"/>
            <w:shd w:val="clear" w:color="auto" w:fill="auto"/>
            <w:noWrap/>
            <w:vAlign w:val="center"/>
            <w:hideMark/>
          </w:tcPr>
          <w:p w14:paraId="5E1587EA" w14:textId="77777777" w:rsidR="006852C5" w:rsidRPr="00320BED" w:rsidRDefault="006852C5" w:rsidP="00A165C5">
            <w:pPr>
              <w:jc w:val="center"/>
              <w:rPr>
                <w:color w:val="000000"/>
                <w:sz w:val="20"/>
              </w:rPr>
            </w:pPr>
            <w:r w:rsidRPr="00320BED">
              <w:rPr>
                <w:color w:val="000000"/>
                <w:sz w:val="20"/>
              </w:rPr>
              <w:t>4:19:18</w:t>
            </w:r>
          </w:p>
        </w:tc>
        <w:tc>
          <w:tcPr>
            <w:tcW w:w="666" w:type="dxa"/>
            <w:shd w:val="clear" w:color="auto" w:fill="auto"/>
            <w:noWrap/>
            <w:vAlign w:val="center"/>
            <w:hideMark/>
          </w:tcPr>
          <w:p w14:paraId="7B0BF9F7" w14:textId="77777777" w:rsidR="006852C5" w:rsidRPr="00320BED" w:rsidRDefault="006852C5" w:rsidP="00A165C5">
            <w:pPr>
              <w:jc w:val="center"/>
              <w:rPr>
                <w:color w:val="000000"/>
                <w:sz w:val="20"/>
              </w:rPr>
            </w:pPr>
            <w:r w:rsidRPr="00320BED">
              <w:rPr>
                <w:color w:val="000000"/>
                <w:sz w:val="20"/>
              </w:rPr>
              <w:t>0.775</w:t>
            </w:r>
          </w:p>
        </w:tc>
        <w:tc>
          <w:tcPr>
            <w:tcW w:w="617" w:type="dxa"/>
            <w:shd w:val="clear" w:color="auto" w:fill="auto"/>
            <w:noWrap/>
            <w:vAlign w:val="center"/>
            <w:hideMark/>
          </w:tcPr>
          <w:p w14:paraId="15817065" w14:textId="77777777" w:rsidR="006852C5" w:rsidRPr="00320BED" w:rsidRDefault="006852C5" w:rsidP="00A165C5">
            <w:pPr>
              <w:jc w:val="center"/>
              <w:rPr>
                <w:color w:val="000000"/>
                <w:sz w:val="20"/>
              </w:rPr>
            </w:pPr>
            <w:r w:rsidRPr="00320BED">
              <w:rPr>
                <w:color w:val="000000"/>
                <w:sz w:val="20"/>
              </w:rPr>
              <w:t>77.7</w:t>
            </w:r>
          </w:p>
        </w:tc>
        <w:tc>
          <w:tcPr>
            <w:tcW w:w="613" w:type="dxa"/>
            <w:shd w:val="clear" w:color="auto" w:fill="auto"/>
            <w:noWrap/>
            <w:vAlign w:val="center"/>
            <w:hideMark/>
          </w:tcPr>
          <w:p w14:paraId="21C18951" w14:textId="77777777" w:rsidR="006852C5" w:rsidRPr="00320BED" w:rsidRDefault="006852C5" w:rsidP="00A165C5">
            <w:pPr>
              <w:jc w:val="center"/>
              <w:rPr>
                <w:color w:val="000000"/>
                <w:sz w:val="20"/>
              </w:rPr>
            </w:pPr>
            <w:r w:rsidRPr="00320BED">
              <w:rPr>
                <w:color w:val="000000"/>
                <w:sz w:val="20"/>
              </w:rPr>
              <w:t>47.1</w:t>
            </w:r>
          </w:p>
        </w:tc>
        <w:tc>
          <w:tcPr>
            <w:tcW w:w="613" w:type="dxa"/>
            <w:shd w:val="clear" w:color="auto" w:fill="auto"/>
            <w:noWrap/>
            <w:vAlign w:val="center"/>
            <w:hideMark/>
          </w:tcPr>
          <w:p w14:paraId="18BDABDD" w14:textId="77777777" w:rsidR="006852C5" w:rsidRPr="00320BED" w:rsidRDefault="006852C5" w:rsidP="00A165C5">
            <w:pPr>
              <w:jc w:val="center"/>
              <w:rPr>
                <w:b/>
                <w:color w:val="000000"/>
                <w:sz w:val="20"/>
              </w:rPr>
            </w:pPr>
            <w:r w:rsidRPr="00320BED">
              <w:rPr>
                <w:b/>
                <w:color w:val="000000"/>
                <w:sz w:val="20"/>
              </w:rPr>
              <w:t>77.1</w:t>
            </w:r>
          </w:p>
        </w:tc>
        <w:tc>
          <w:tcPr>
            <w:tcW w:w="613" w:type="dxa"/>
            <w:shd w:val="clear" w:color="auto" w:fill="auto"/>
            <w:noWrap/>
            <w:vAlign w:val="center"/>
            <w:hideMark/>
          </w:tcPr>
          <w:p w14:paraId="3F77030B" w14:textId="77777777" w:rsidR="006852C5" w:rsidRPr="00320BED" w:rsidRDefault="006852C5" w:rsidP="00A165C5">
            <w:pPr>
              <w:jc w:val="center"/>
              <w:rPr>
                <w:b/>
                <w:color w:val="000000"/>
                <w:sz w:val="20"/>
              </w:rPr>
            </w:pPr>
            <w:r w:rsidRPr="00320BED">
              <w:rPr>
                <w:b/>
                <w:color w:val="000000"/>
                <w:sz w:val="20"/>
              </w:rPr>
              <w:t>48.1</w:t>
            </w:r>
          </w:p>
        </w:tc>
        <w:tc>
          <w:tcPr>
            <w:tcW w:w="1141" w:type="dxa"/>
            <w:shd w:val="clear" w:color="auto" w:fill="auto"/>
            <w:noWrap/>
            <w:vAlign w:val="center"/>
            <w:hideMark/>
          </w:tcPr>
          <w:p w14:paraId="53BC9AF5" w14:textId="77777777" w:rsidR="006852C5" w:rsidRPr="00320BED" w:rsidRDefault="006852C5" w:rsidP="00A165C5">
            <w:pPr>
              <w:jc w:val="center"/>
              <w:rPr>
                <w:b/>
                <w:color w:val="000000"/>
                <w:sz w:val="20"/>
              </w:rPr>
            </w:pPr>
            <w:r w:rsidRPr="00320BED">
              <w:rPr>
                <w:b/>
                <w:color w:val="000000"/>
                <w:sz w:val="20"/>
              </w:rPr>
              <w:t>79</w:t>
            </w:r>
          </w:p>
        </w:tc>
        <w:tc>
          <w:tcPr>
            <w:tcW w:w="845" w:type="dxa"/>
            <w:shd w:val="clear" w:color="auto" w:fill="auto"/>
            <w:noWrap/>
            <w:vAlign w:val="center"/>
            <w:hideMark/>
          </w:tcPr>
          <w:p w14:paraId="05917A4E" w14:textId="77777777" w:rsidR="006852C5" w:rsidRPr="00320BED" w:rsidRDefault="006852C5" w:rsidP="00A165C5">
            <w:pPr>
              <w:jc w:val="center"/>
              <w:rPr>
                <w:b/>
                <w:color w:val="000000"/>
                <w:sz w:val="20"/>
              </w:rPr>
            </w:pPr>
            <w:r w:rsidRPr="00320BED">
              <w:rPr>
                <w:b/>
                <w:color w:val="000000"/>
                <w:sz w:val="20"/>
              </w:rPr>
              <w:t>77</w:t>
            </w:r>
          </w:p>
        </w:tc>
        <w:tc>
          <w:tcPr>
            <w:tcW w:w="786" w:type="dxa"/>
            <w:shd w:val="clear" w:color="auto" w:fill="auto"/>
            <w:noWrap/>
            <w:vAlign w:val="center"/>
            <w:hideMark/>
          </w:tcPr>
          <w:p w14:paraId="390DB8E2" w14:textId="77777777" w:rsidR="006852C5" w:rsidRPr="00320BED" w:rsidRDefault="006852C5" w:rsidP="00A165C5">
            <w:pPr>
              <w:jc w:val="center"/>
              <w:rPr>
                <w:b/>
                <w:color w:val="000000"/>
                <w:sz w:val="20"/>
              </w:rPr>
            </w:pPr>
            <w:r w:rsidRPr="00320BED">
              <w:rPr>
                <w:b/>
                <w:color w:val="000000"/>
                <w:sz w:val="20"/>
              </w:rPr>
              <w:t>77</w:t>
            </w:r>
          </w:p>
        </w:tc>
      </w:tr>
      <w:tr w:rsidR="006852C5" w:rsidRPr="00320BED" w14:paraId="5986A089" w14:textId="77777777" w:rsidTr="00541A3B">
        <w:trPr>
          <w:trHeight w:val="562"/>
          <w:jc w:val="center"/>
        </w:trPr>
        <w:tc>
          <w:tcPr>
            <w:tcW w:w="2965" w:type="dxa"/>
            <w:shd w:val="clear" w:color="auto" w:fill="auto"/>
            <w:noWrap/>
            <w:vAlign w:val="center"/>
            <w:hideMark/>
          </w:tcPr>
          <w:p w14:paraId="2049D2B5" w14:textId="77777777" w:rsidR="006852C5" w:rsidRPr="00320BED" w:rsidRDefault="006852C5" w:rsidP="00A165C5">
            <w:pPr>
              <w:spacing w:line="276" w:lineRule="auto"/>
              <w:jc w:val="center"/>
              <w:rPr>
                <w:color w:val="000000"/>
                <w:sz w:val="20"/>
              </w:rPr>
            </w:pPr>
            <w:r w:rsidRPr="00320BED">
              <w:rPr>
                <w:color w:val="000000"/>
                <w:sz w:val="20"/>
              </w:rPr>
              <w:t>Proposed Model + Augmentation + Dropout APL (Scenario 3)</w:t>
            </w:r>
          </w:p>
        </w:tc>
        <w:tc>
          <w:tcPr>
            <w:tcW w:w="1070" w:type="dxa"/>
            <w:shd w:val="clear" w:color="auto" w:fill="auto"/>
            <w:noWrap/>
            <w:vAlign w:val="center"/>
            <w:hideMark/>
          </w:tcPr>
          <w:p w14:paraId="4B2520FA" w14:textId="77777777" w:rsidR="006852C5" w:rsidRPr="00320BED" w:rsidRDefault="006852C5" w:rsidP="00A165C5">
            <w:pPr>
              <w:jc w:val="center"/>
              <w:rPr>
                <w:color w:val="000000"/>
                <w:sz w:val="20"/>
              </w:rPr>
            </w:pPr>
            <w:r w:rsidRPr="00320BED">
              <w:rPr>
                <w:color w:val="000000"/>
                <w:sz w:val="20"/>
              </w:rPr>
              <w:t>5:12:09</w:t>
            </w:r>
          </w:p>
        </w:tc>
        <w:tc>
          <w:tcPr>
            <w:tcW w:w="666" w:type="dxa"/>
            <w:shd w:val="clear" w:color="auto" w:fill="auto"/>
            <w:noWrap/>
            <w:vAlign w:val="center"/>
            <w:hideMark/>
          </w:tcPr>
          <w:p w14:paraId="6A6EEBA3" w14:textId="77777777" w:rsidR="006852C5" w:rsidRPr="00320BED" w:rsidRDefault="006852C5" w:rsidP="00A165C5">
            <w:pPr>
              <w:jc w:val="center"/>
              <w:rPr>
                <w:color w:val="000000"/>
                <w:sz w:val="20"/>
              </w:rPr>
            </w:pPr>
            <w:r w:rsidRPr="00320BED">
              <w:rPr>
                <w:color w:val="000000"/>
                <w:sz w:val="20"/>
              </w:rPr>
              <w:t>0.763</w:t>
            </w:r>
          </w:p>
        </w:tc>
        <w:tc>
          <w:tcPr>
            <w:tcW w:w="617" w:type="dxa"/>
            <w:shd w:val="clear" w:color="auto" w:fill="auto"/>
            <w:noWrap/>
            <w:vAlign w:val="center"/>
            <w:hideMark/>
          </w:tcPr>
          <w:p w14:paraId="3C52BDBB" w14:textId="77777777" w:rsidR="006852C5" w:rsidRPr="00320BED" w:rsidRDefault="006852C5" w:rsidP="00A165C5">
            <w:pPr>
              <w:jc w:val="center"/>
              <w:rPr>
                <w:color w:val="000000"/>
                <w:sz w:val="20"/>
              </w:rPr>
            </w:pPr>
            <w:r w:rsidRPr="00320BED">
              <w:rPr>
                <w:color w:val="000000"/>
                <w:sz w:val="20"/>
              </w:rPr>
              <w:t>76.2</w:t>
            </w:r>
          </w:p>
        </w:tc>
        <w:tc>
          <w:tcPr>
            <w:tcW w:w="613" w:type="dxa"/>
            <w:shd w:val="clear" w:color="auto" w:fill="auto"/>
            <w:noWrap/>
            <w:vAlign w:val="center"/>
            <w:hideMark/>
          </w:tcPr>
          <w:p w14:paraId="4D458FE4" w14:textId="77777777" w:rsidR="006852C5" w:rsidRPr="00320BED" w:rsidRDefault="006852C5" w:rsidP="00A165C5">
            <w:pPr>
              <w:jc w:val="center"/>
              <w:rPr>
                <w:color w:val="000000"/>
                <w:sz w:val="20"/>
              </w:rPr>
            </w:pPr>
            <w:r w:rsidRPr="00320BED">
              <w:rPr>
                <w:color w:val="000000"/>
                <w:sz w:val="20"/>
              </w:rPr>
              <w:t>48.6</w:t>
            </w:r>
          </w:p>
        </w:tc>
        <w:tc>
          <w:tcPr>
            <w:tcW w:w="613" w:type="dxa"/>
            <w:shd w:val="clear" w:color="auto" w:fill="auto"/>
            <w:noWrap/>
            <w:vAlign w:val="center"/>
            <w:hideMark/>
          </w:tcPr>
          <w:p w14:paraId="00ADF952" w14:textId="77777777" w:rsidR="006852C5" w:rsidRPr="00320BED" w:rsidRDefault="006852C5" w:rsidP="00A165C5">
            <w:pPr>
              <w:jc w:val="center"/>
              <w:rPr>
                <w:color w:val="000000"/>
                <w:sz w:val="20"/>
              </w:rPr>
            </w:pPr>
            <w:r w:rsidRPr="00320BED">
              <w:rPr>
                <w:color w:val="000000"/>
                <w:sz w:val="20"/>
              </w:rPr>
              <w:t>76.3</w:t>
            </w:r>
          </w:p>
        </w:tc>
        <w:tc>
          <w:tcPr>
            <w:tcW w:w="613" w:type="dxa"/>
            <w:shd w:val="clear" w:color="auto" w:fill="auto"/>
            <w:noWrap/>
            <w:vAlign w:val="center"/>
            <w:hideMark/>
          </w:tcPr>
          <w:p w14:paraId="2D4269F3" w14:textId="77777777" w:rsidR="006852C5" w:rsidRPr="00320BED" w:rsidRDefault="006852C5" w:rsidP="00A165C5">
            <w:pPr>
              <w:jc w:val="center"/>
              <w:rPr>
                <w:color w:val="000000"/>
                <w:sz w:val="20"/>
              </w:rPr>
            </w:pPr>
            <w:r w:rsidRPr="00320BED">
              <w:rPr>
                <w:color w:val="000000"/>
                <w:sz w:val="20"/>
              </w:rPr>
              <w:t>49</w:t>
            </w:r>
          </w:p>
        </w:tc>
        <w:tc>
          <w:tcPr>
            <w:tcW w:w="1141" w:type="dxa"/>
            <w:shd w:val="clear" w:color="auto" w:fill="auto"/>
            <w:noWrap/>
            <w:vAlign w:val="center"/>
            <w:hideMark/>
          </w:tcPr>
          <w:p w14:paraId="67E75ABB" w14:textId="77777777" w:rsidR="006852C5" w:rsidRPr="00320BED" w:rsidRDefault="006852C5" w:rsidP="00A165C5">
            <w:pPr>
              <w:jc w:val="center"/>
              <w:rPr>
                <w:color w:val="000000"/>
                <w:sz w:val="20"/>
              </w:rPr>
            </w:pPr>
            <w:r w:rsidRPr="00320BED">
              <w:rPr>
                <w:color w:val="000000"/>
                <w:sz w:val="20"/>
              </w:rPr>
              <w:t>77</w:t>
            </w:r>
          </w:p>
        </w:tc>
        <w:tc>
          <w:tcPr>
            <w:tcW w:w="845" w:type="dxa"/>
            <w:shd w:val="clear" w:color="auto" w:fill="auto"/>
            <w:noWrap/>
            <w:vAlign w:val="center"/>
            <w:hideMark/>
          </w:tcPr>
          <w:p w14:paraId="319099E7" w14:textId="77777777" w:rsidR="006852C5" w:rsidRPr="00320BED" w:rsidRDefault="006852C5" w:rsidP="00A165C5">
            <w:pPr>
              <w:jc w:val="center"/>
              <w:rPr>
                <w:color w:val="000000"/>
                <w:sz w:val="20"/>
              </w:rPr>
            </w:pPr>
            <w:r w:rsidRPr="00320BED">
              <w:rPr>
                <w:color w:val="000000"/>
                <w:sz w:val="20"/>
              </w:rPr>
              <w:t>76</w:t>
            </w:r>
          </w:p>
        </w:tc>
        <w:tc>
          <w:tcPr>
            <w:tcW w:w="786" w:type="dxa"/>
            <w:shd w:val="clear" w:color="auto" w:fill="auto"/>
            <w:noWrap/>
            <w:vAlign w:val="center"/>
            <w:hideMark/>
          </w:tcPr>
          <w:p w14:paraId="136D0C89" w14:textId="77777777" w:rsidR="006852C5" w:rsidRPr="00320BED" w:rsidRDefault="006852C5" w:rsidP="00A165C5">
            <w:pPr>
              <w:jc w:val="center"/>
              <w:rPr>
                <w:color w:val="000000"/>
                <w:sz w:val="20"/>
              </w:rPr>
            </w:pPr>
            <w:r w:rsidRPr="00320BED">
              <w:rPr>
                <w:color w:val="000000"/>
                <w:sz w:val="20"/>
              </w:rPr>
              <w:t>76</w:t>
            </w:r>
          </w:p>
        </w:tc>
      </w:tr>
    </w:tbl>
    <w:p w14:paraId="1CC98D86" w14:textId="77777777" w:rsidR="006852C5" w:rsidRDefault="006852C5" w:rsidP="006852C5">
      <w:pPr>
        <w:pBdr>
          <w:top w:val="nil"/>
          <w:left w:val="nil"/>
          <w:bottom w:val="nil"/>
          <w:right w:val="nil"/>
          <w:between w:val="nil"/>
        </w:pBdr>
        <w:spacing w:after="60"/>
        <w:ind w:firstLine="284"/>
        <w:jc w:val="center"/>
        <w:rPr>
          <w:sz w:val="20"/>
        </w:rPr>
      </w:pPr>
    </w:p>
    <w:p w14:paraId="7B471AC7" w14:textId="67D15466" w:rsidR="006852C5" w:rsidRPr="00541A3B" w:rsidRDefault="006852C5" w:rsidP="00541A3B">
      <w:pPr>
        <w:pStyle w:val="TableCaption"/>
      </w:pPr>
      <w:r w:rsidRPr="00541A3B">
        <w:rPr>
          <w:b/>
          <w:bCs/>
        </w:rPr>
        <w:t xml:space="preserve">TABLE </w:t>
      </w:r>
      <w:r w:rsidR="00913803" w:rsidRPr="00541A3B">
        <w:rPr>
          <w:b/>
          <w:bCs/>
        </w:rPr>
        <w:t>3</w:t>
      </w:r>
      <w:r w:rsidR="00913803" w:rsidRPr="00541A3B">
        <w:t xml:space="preserve">. </w:t>
      </w:r>
      <w:r w:rsidRPr="00541A3B">
        <w:t>Summary of research result on data STAD</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990"/>
        <w:gridCol w:w="666"/>
        <w:gridCol w:w="630"/>
        <w:gridCol w:w="630"/>
        <w:gridCol w:w="630"/>
        <w:gridCol w:w="630"/>
        <w:gridCol w:w="1083"/>
        <w:gridCol w:w="750"/>
        <w:gridCol w:w="906"/>
      </w:tblGrid>
      <w:tr w:rsidR="006852C5" w:rsidRPr="00042FCA" w14:paraId="78AE20BF" w14:textId="77777777" w:rsidTr="00541A3B">
        <w:trPr>
          <w:trHeight w:val="288"/>
          <w:jc w:val="center"/>
        </w:trPr>
        <w:tc>
          <w:tcPr>
            <w:tcW w:w="2965" w:type="dxa"/>
            <w:vMerge w:val="restart"/>
            <w:shd w:val="clear" w:color="auto" w:fill="auto"/>
            <w:vAlign w:val="center"/>
            <w:hideMark/>
          </w:tcPr>
          <w:p w14:paraId="71DB40F9" w14:textId="77777777" w:rsidR="006852C5" w:rsidRPr="00042FCA" w:rsidRDefault="006852C5" w:rsidP="00A165C5">
            <w:pPr>
              <w:jc w:val="center"/>
              <w:rPr>
                <w:b/>
                <w:color w:val="000000"/>
                <w:sz w:val="20"/>
              </w:rPr>
            </w:pPr>
            <w:r w:rsidRPr="00042FCA">
              <w:rPr>
                <w:b/>
                <w:color w:val="000000"/>
                <w:sz w:val="20"/>
              </w:rPr>
              <w:t>Method</w:t>
            </w:r>
          </w:p>
          <w:p w14:paraId="035873E4" w14:textId="77777777" w:rsidR="006852C5" w:rsidRPr="00042FCA" w:rsidRDefault="006852C5" w:rsidP="00A165C5">
            <w:pPr>
              <w:jc w:val="center"/>
              <w:rPr>
                <w:b/>
                <w:color w:val="000000"/>
                <w:sz w:val="20"/>
              </w:rPr>
            </w:pPr>
            <w:r w:rsidRPr="00042FCA">
              <w:rPr>
                <w:b/>
                <w:color w:val="000000"/>
                <w:sz w:val="20"/>
              </w:rPr>
              <w:t>(Researcher)</w:t>
            </w:r>
          </w:p>
        </w:tc>
        <w:tc>
          <w:tcPr>
            <w:tcW w:w="990" w:type="dxa"/>
            <w:vMerge w:val="restart"/>
            <w:shd w:val="clear" w:color="auto" w:fill="auto"/>
            <w:vAlign w:val="center"/>
            <w:hideMark/>
          </w:tcPr>
          <w:p w14:paraId="7362A6CD" w14:textId="77777777" w:rsidR="006852C5" w:rsidRPr="00042FCA" w:rsidRDefault="006852C5" w:rsidP="00A165C5">
            <w:pPr>
              <w:jc w:val="center"/>
              <w:rPr>
                <w:b/>
                <w:color w:val="000000"/>
                <w:sz w:val="20"/>
              </w:rPr>
            </w:pPr>
            <w:r w:rsidRPr="00042FCA">
              <w:rPr>
                <w:b/>
                <w:color w:val="000000"/>
                <w:sz w:val="20"/>
              </w:rPr>
              <w:t>Time (D:H:M)</w:t>
            </w:r>
          </w:p>
        </w:tc>
        <w:tc>
          <w:tcPr>
            <w:tcW w:w="666" w:type="dxa"/>
            <w:vMerge w:val="restart"/>
            <w:shd w:val="clear" w:color="auto" w:fill="auto"/>
            <w:vAlign w:val="center"/>
            <w:hideMark/>
          </w:tcPr>
          <w:p w14:paraId="2AA5F06C" w14:textId="77777777" w:rsidR="006852C5" w:rsidRPr="00042FCA" w:rsidRDefault="006852C5" w:rsidP="00A165C5">
            <w:pPr>
              <w:jc w:val="center"/>
              <w:rPr>
                <w:b/>
                <w:color w:val="000000"/>
                <w:sz w:val="20"/>
              </w:rPr>
            </w:pPr>
            <w:r w:rsidRPr="00042FCA">
              <w:rPr>
                <w:b/>
                <w:color w:val="000000"/>
                <w:sz w:val="20"/>
              </w:rPr>
              <w:t>AUC</w:t>
            </w:r>
          </w:p>
        </w:tc>
        <w:tc>
          <w:tcPr>
            <w:tcW w:w="1260" w:type="dxa"/>
            <w:gridSpan w:val="2"/>
            <w:shd w:val="clear" w:color="auto" w:fill="auto"/>
            <w:noWrap/>
            <w:vAlign w:val="center"/>
            <w:hideMark/>
          </w:tcPr>
          <w:p w14:paraId="3B053314" w14:textId="77777777" w:rsidR="006852C5" w:rsidRPr="00042FCA" w:rsidRDefault="006852C5" w:rsidP="00A165C5">
            <w:pPr>
              <w:jc w:val="center"/>
              <w:rPr>
                <w:b/>
                <w:color w:val="000000"/>
                <w:sz w:val="20"/>
              </w:rPr>
            </w:pPr>
            <w:r w:rsidRPr="00042FCA">
              <w:rPr>
                <w:b/>
                <w:color w:val="000000"/>
                <w:sz w:val="20"/>
              </w:rPr>
              <w:t>Train</w:t>
            </w:r>
          </w:p>
        </w:tc>
        <w:tc>
          <w:tcPr>
            <w:tcW w:w="1260" w:type="dxa"/>
            <w:gridSpan w:val="2"/>
            <w:shd w:val="clear" w:color="auto" w:fill="auto"/>
            <w:noWrap/>
            <w:vAlign w:val="center"/>
            <w:hideMark/>
          </w:tcPr>
          <w:p w14:paraId="518569EB" w14:textId="77777777" w:rsidR="006852C5" w:rsidRPr="00042FCA" w:rsidRDefault="006852C5" w:rsidP="00A165C5">
            <w:pPr>
              <w:jc w:val="center"/>
              <w:rPr>
                <w:b/>
                <w:color w:val="000000"/>
                <w:sz w:val="20"/>
              </w:rPr>
            </w:pPr>
            <w:r w:rsidRPr="00042FCA">
              <w:rPr>
                <w:b/>
                <w:color w:val="000000"/>
                <w:sz w:val="20"/>
              </w:rPr>
              <w:t>Val</w:t>
            </w:r>
          </w:p>
        </w:tc>
        <w:tc>
          <w:tcPr>
            <w:tcW w:w="2739" w:type="dxa"/>
            <w:gridSpan w:val="3"/>
            <w:shd w:val="clear" w:color="auto" w:fill="auto"/>
            <w:noWrap/>
            <w:vAlign w:val="center"/>
            <w:hideMark/>
          </w:tcPr>
          <w:p w14:paraId="063D4C8B" w14:textId="77777777" w:rsidR="006852C5" w:rsidRPr="00042FCA" w:rsidRDefault="006852C5" w:rsidP="00A165C5">
            <w:pPr>
              <w:jc w:val="center"/>
              <w:rPr>
                <w:b/>
                <w:color w:val="000000"/>
                <w:sz w:val="20"/>
              </w:rPr>
            </w:pPr>
            <w:r w:rsidRPr="00042FCA">
              <w:rPr>
                <w:b/>
                <w:color w:val="000000"/>
                <w:sz w:val="20"/>
              </w:rPr>
              <w:t>MacroAvg</w:t>
            </w:r>
          </w:p>
        </w:tc>
      </w:tr>
      <w:tr w:rsidR="006852C5" w:rsidRPr="00042FCA" w14:paraId="1EBC4031" w14:textId="77777777" w:rsidTr="00541A3B">
        <w:trPr>
          <w:trHeight w:val="88"/>
          <w:jc w:val="center"/>
        </w:trPr>
        <w:tc>
          <w:tcPr>
            <w:tcW w:w="2965" w:type="dxa"/>
            <w:vMerge/>
            <w:vAlign w:val="center"/>
            <w:hideMark/>
          </w:tcPr>
          <w:p w14:paraId="4B2B3EB1" w14:textId="77777777" w:rsidR="006852C5" w:rsidRPr="00042FCA" w:rsidRDefault="006852C5" w:rsidP="00A165C5">
            <w:pPr>
              <w:jc w:val="center"/>
              <w:rPr>
                <w:b/>
                <w:color w:val="000000"/>
                <w:sz w:val="20"/>
              </w:rPr>
            </w:pPr>
          </w:p>
        </w:tc>
        <w:tc>
          <w:tcPr>
            <w:tcW w:w="990" w:type="dxa"/>
            <w:vMerge/>
            <w:vAlign w:val="center"/>
            <w:hideMark/>
          </w:tcPr>
          <w:p w14:paraId="5510D727" w14:textId="77777777" w:rsidR="006852C5" w:rsidRPr="00042FCA" w:rsidRDefault="006852C5" w:rsidP="00A165C5">
            <w:pPr>
              <w:jc w:val="center"/>
              <w:rPr>
                <w:b/>
                <w:color w:val="000000"/>
                <w:sz w:val="20"/>
              </w:rPr>
            </w:pPr>
          </w:p>
        </w:tc>
        <w:tc>
          <w:tcPr>
            <w:tcW w:w="666" w:type="dxa"/>
            <w:vMerge/>
            <w:vAlign w:val="center"/>
            <w:hideMark/>
          </w:tcPr>
          <w:p w14:paraId="021ADE9F" w14:textId="77777777" w:rsidR="006852C5" w:rsidRPr="00042FCA" w:rsidRDefault="006852C5" w:rsidP="00A165C5">
            <w:pPr>
              <w:jc w:val="center"/>
              <w:rPr>
                <w:b/>
                <w:color w:val="000000"/>
                <w:sz w:val="20"/>
              </w:rPr>
            </w:pPr>
          </w:p>
        </w:tc>
        <w:tc>
          <w:tcPr>
            <w:tcW w:w="630" w:type="dxa"/>
            <w:shd w:val="clear" w:color="auto" w:fill="auto"/>
            <w:noWrap/>
            <w:vAlign w:val="center"/>
            <w:hideMark/>
          </w:tcPr>
          <w:p w14:paraId="5BDB1901" w14:textId="77777777" w:rsidR="006852C5" w:rsidRPr="00042FCA" w:rsidRDefault="006852C5" w:rsidP="00A165C5">
            <w:pPr>
              <w:jc w:val="center"/>
              <w:rPr>
                <w:b/>
                <w:color w:val="000000"/>
                <w:sz w:val="20"/>
              </w:rPr>
            </w:pPr>
            <w:r w:rsidRPr="00042FCA">
              <w:rPr>
                <w:b/>
                <w:color w:val="000000"/>
                <w:sz w:val="20"/>
              </w:rPr>
              <w:t>Acc</w:t>
            </w:r>
          </w:p>
        </w:tc>
        <w:tc>
          <w:tcPr>
            <w:tcW w:w="630" w:type="dxa"/>
            <w:shd w:val="clear" w:color="auto" w:fill="auto"/>
            <w:noWrap/>
            <w:vAlign w:val="center"/>
            <w:hideMark/>
          </w:tcPr>
          <w:p w14:paraId="7F5B31C0" w14:textId="77777777" w:rsidR="006852C5" w:rsidRPr="00042FCA" w:rsidRDefault="006852C5" w:rsidP="00A165C5">
            <w:pPr>
              <w:jc w:val="center"/>
              <w:rPr>
                <w:b/>
                <w:color w:val="000000"/>
                <w:sz w:val="20"/>
              </w:rPr>
            </w:pPr>
            <w:r w:rsidRPr="00042FCA">
              <w:rPr>
                <w:b/>
                <w:color w:val="000000"/>
                <w:sz w:val="20"/>
              </w:rPr>
              <w:t>Loss</w:t>
            </w:r>
          </w:p>
        </w:tc>
        <w:tc>
          <w:tcPr>
            <w:tcW w:w="630" w:type="dxa"/>
            <w:shd w:val="clear" w:color="auto" w:fill="auto"/>
            <w:noWrap/>
            <w:vAlign w:val="center"/>
            <w:hideMark/>
          </w:tcPr>
          <w:p w14:paraId="6890834A" w14:textId="77777777" w:rsidR="006852C5" w:rsidRPr="00042FCA" w:rsidRDefault="006852C5" w:rsidP="00A165C5">
            <w:pPr>
              <w:jc w:val="center"/>
              <w:rPr>
                <w:b/>
                <w:color w:val="000000"/>
                <w:sz w:val="20"/>
              </w:rPr>
            </w:pPr>
            <w:r w:rsidRPr="00042FCA">
              <w:rPr>
                <w:b/>
                <w:color w:val="000000"/>
                <w:sz w:val="20"/>
              </w:rPr>
              <w:t>Acc</w:t>
            </w:r>
          </w:p>
        </w:tc>
        <w:tc>
          <w:tcPr>
            <w:tcW w:w="630" w:type="dxa"/>
            <w:shd w:val="clear" w:color="auto" w:fill="auto"/>
            <w:noWrap/>
            <w:vAlign w:val="center"/>
            <w:hideMark/>
          </w:tcPr>
          <w:p w14:paraId="0B09A77F" w14:textId="77777777" w:rsidR="006852C5" w:rsidRPr="00042FCA" w:rsidRDefault="006852C5" w:rsidP="00A165C5">
            <w:pPr>
              <w:jc w:val="center"/>
              <w:rPr>
                <w:b/>
                <w:color w:val="000000"/>
                <w:sz w:val="20"/>
              </w:rPr>
            </w:pPr>
            <w:r w:rsidRPr="00042FCA">
              <w:rPr>
                <w:b/>
                <w:color w:val="000000"/>
                <w:sz w:val="20"/>
              </w:rPr>
              <w:t>Loss</w:t>
            </w:r>
          </w:p>
        </w:tc>
        <w:tc>
          <w:tcPr>
            <w:tcW w:w="1083" w:type="dxa"/>
            <w:shd w:val="clear" w:color="auto" w:fill="auto"/>
            <w:noWrap/>
            <w:vAlign w:val="center"/>
            <w:hideMark/>
          </w:tcPr>
          <w:p w14:paraId="0C6B5F0C" w14:textId="77777777" w:rsidR="006852C5" w:rsidRPr="00042FCA" w:rsidRDefault="006852C5" w:rsidP="00A165C5">
            <w:pPr>
              <w:jc w:val="center"/>
              <w:rPr>
                <w:b/>
                <w:color w:val="000000"/>
                <w:sz w:val="20"/>
              </w:rPr>
            </w:pPr>
            <w:r w:rsidRPr="00042FCA">
              <w:rPr>
                <w:b/>
                <w:color w:val="000000"/>
                <w:sz w:val="20"/>
              </w:rPr>
              <w:t>Precission</w:t>
            </w:r>
          </w:p>
        </w:tc>
        <w:tc>
          <w:tcPr>
            <w:tcW w:w="750" w:type="dxa"/>
            <w:shd w:val="clear" w:color="auto" w:fill="auto"/>
            <w:noWrap/>
            <w:vAlign w:val="center"/>
            <w:hideMark/>
          </w:tcPr>
          <w:p w14:paraId="0E2A13C6" w14:textId="77777777" w:rsidR="006852C5" w:rsidRPr="00042FCA" w:rsidRDefault="006852C5" w:rsidP="00A165C5">
            <w:pPr>
              <w:jc w:val="center"/>
              <w:rPr>
                <w:b/>
                <w:color w:val="000000"/>
                <w:sz w:val="20"/>
              </w:rPr>
            </w:pPr>
            <w:r w:rsidRPr="00042FCA">
              <w:rPr>
                <w:b/>
                <w:color w:val="000000"/>
                <w:sz w:val="20"/>
              </w:rPr>
              <w:t>Recall</w:t>
            </w:r>
          </w:p>
        </w:tc>
        <w:tc>
          <w:tcPr>
            <w:tcW w:w="906" w:type="dxa"/>
            <w:shd w:val="clear" w:color="auto" w:fill="auto"/>
            <w:noWrap/>
            <w:vAlign w:val="center"/>
            <w:hideMark/>
          </w:tcPr>
          <w:p w14:paraId="7F45402F" w14:textId="77777777" w:rsidR="006852C5" w:rsidRPr="00042FCA" w:rsidRDefault="006852C5" w:rsidP="00A165C5">
            <w:pPr>
              <w:jc w:val="center"/>
              <w:rPr>
                <w:b/>
                <w:color w:val="000000"/>
                <w:sz w:val="20"/>
              </w:rPr>
            </w:pPr>
            <w:r w:rsidRPr="00042FCA">
              <w:rPr>
                <w:b/>
                <w:color w:val="000000"/>
                <w:sz w:val="20"/>
              </w:rPr>
              <w:t>F1-Score</w:t>
            </w:r>
          </w:p>
        </w:tc>
      </w:tr>
      <w:tr w:rsidR="006852C5" w:rsidRPr="00042FCA" w14:paraId="4E9ADE9A" w14:textId="77777777" w:rsidTr="00541A3B">
        <w:trPr>
          <w:trHeight w:val="78"/>
          <w:jc w:val="center"/>
        </w:trPr>
        <w:tc>
          <w:tcPr>
            <w:tcW w:w="2965" w:type="dxa"/>
            <w:shd w:val="clear" w:color="auto" w:fill="auto"/>
            <w:noWrap/>
            <w:vAlign w:val="center"/>
          </w:tcPr>
          <w:p w14:paraId="36F747AE" w14:textId="77777777" w:rsidR="006852C5" w:rsidRPr="00042FCA" w:rsidRDefault="006852C5" w:rsidP="00A165C5">
            <w:pPr>
              <w:spacing w:line="276" w:lineRule="auto"/>
              <w:jc w:val="center"/>
              <w:rPr>
                <w:color w:val="000000"/>
                <w:sz w:val="20"/>
              </w:rPr>
            </w:pPr>
            <w:r w:rsidRPr="00042FCA">
              <w:rPr>
                <w:color w:val="000000"/>
                <w:sz w:val="20"/>
              </w:rPr>
              <w:t xml:space="preserve">VGG19 </w:t>
            </w:r>
            <w:sdt>
              <w:sdtPr>
                <w:rPr>
                  <w:color w:val="000000"/>
                  <w:sz w:val="20"/>
                </w:rPr>
                <w:tag w:val="MENDELEY_CITATION_v3_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"/>
                <w:id w:val="-1809931841"/>
                <w:placeholder>
                  <w:docPart w:val="B51D58027F184A11AC15C7CF5DE72369"/>
                </w:placeholder>
              </w:sdtPr>
              <w:sdtContent>
                <w:r w:rsidRPr="00042FCA">
                  <w:rPr>
                    <w:color w:val="000000"/>
                    <w:sz w:val="20"/>
                  </w:rPr>
                  <w:t>[19]</w:t>
                </w:r>
              </w:sdtContent>
            </w:sdt>
          </w:p>
        </w:tc>
        <w:tc>
          <w:tcPr>
            <w:tcW w:w="990" w:type="dxa"/>
            <w:shd w:val="clear" w:color="auto" w:fill="auto"/>
            <w:noWrap/>
            <w:vAlign w:val="center"/>
          </w:tcPr>
          <w:p w14:paraId="4785BAAC" w14:textId="77777777" w:rsidR="006852C5" w:rsidRPr="00042FCA" w:rsidRDefault="006852C5" w:rsidP="00A165C5">
            <w:pPr>
              <w:jc w:val="center"/>
              <w:rPr>
                <w:b/>
                <w:color w:val="000000"/>
                <w:sz w:val="20"/>
              </w:rPr>
            </w:pPr>
            <w:r w:rsidRPr="00042FCA">
              <w:rPr>
                <w:b/>
                <w:color w:val="000000"/>
                <w:sz w:val="20"/>
              </w:rPr>
              <w:t>-</w:t>
            </w:r>
          </w:p>
        </w:tc>
        <w:tc>
          <w:tcPr>
            <w:tcW w:w="666" w:type="dxa"/>
            <w:shd w:val="clear" w:color="auto" w:fill="auto"/>
            <w:noWrap/>
            <w:vAlign w:val="center"/>
          </w:tcPr>
          <w:p w14:paraId="705737DE" w14:textId="77777777" w:rsidR="006852C5" w:rsidRPr="00042FCA" w:rsidRDefault="006852C5" w:rsidP="00A165C5">
            <w:pPr>
              <w:jc w:val="center"/>
              <w:rPr>
                <w:color w:val="000000"/>
                <w:sz w:val="20"/>
              </w:rPr>
            </w:pPr>
            <w:r w:rsidRPr="00042FCA">
              <w:rPr>
                <w:color w:val="000000"/>
                <w:sz w:val="20"/>
              </w:rPr>
              <w:t>0.75</w:t>
            </w:r>
          </w:p>
        </w:tc>
        <w:tc>
          <w:tcPr>
            <w:tcW w:w="630" w:type="dxa"/>
            <w:shd w:val="clear" w:color="auto" w:fill="auto"/>
            <w:noWrap/>
            <w:vAlign w:val="center"/>
          </w:tcPr>
          <w:p w14:paraId="5D072241" w14:textId="77777777" w:rsidR="006852C5" w:rsidRPr="00042FCA" w:rsidRDefault="006852C5" w:rsidP="00A165C5">
            <w:pPr>
              <w:jc w:val="center"/>
              <w:rPr>
                <w:b/>
                <w:color w:val="000000"/>
                <w:sz w:val="20"/>
              </w:rPr>
            </w:pPr>
            <w:r w:rsidRPr="00042FCA">
              <w:rPr>
                <w:b/>
                <w:color w:val="000000"/>
                <w:sz w:val="20"/>
              </w:rPr>
              <w:t>-</w:t>
            </w:r>
          </w:p>
        </w:tc>
        <w:tc>
          <w:tcPr>
            <w:tcW w:w="630" w:type="dxa"/>
            <w:shd w:val="clear" w:color="auto" w:fill="auto"/>
            <w:noWrap/>
            <w:vAlign w:val="center"/>
          </w:tcPr>
          <w:p w14:paraId="75B9F2F3" w14:textId="77777777" w:rsidR="006852C5" w:rsidRPr="00042FCA" w:rsidRDefault="006852C5" w:rsidP="00A165C5">
            <w:pPr>
              <w:jc w:val="center"/>
              <w:rPr>
                <w:b/>
                <w:color w:val="000000"/>
                <w:sz w:val="20"/>
              </w:rPr>
            </w:pPr>
            <w:r w:rsidRPr="00042FCA">
              <w:rPr>
                <w:b/>
                <w:color w:val="000000"/>
                <w:sz w:val="20"/>
              </w:rPr>
              <w:t>-</w:t>
            </w:r>
          </w:p>
        </w:tc>
        <w:tc>
          <w:tcPr>
            <w:tcW w:w="630" w:type="dxa"/>
            <w:shd w:val="clear" w:color="auto" w:fill="auto"/>
            <w:noWrap/>
            <w:vAlign w:val="center"/>
          </w:tcPr>
          <w:p w14:paraId="79AA3E39" w14:textId="77777777" w:rsidR="006852C5" w:rsidRPr="00042FCA" w:rsidRDefault="006852C5" w:rsidP="00A165C5">
            <w:pPr>
              <w:jc w:val="center"/>
              <w:rPr>
                <w:color w:val="000000"/>
                <w:sz w:val="20"/>
              </w:rPr>
            </w:pPr>
            <w:r w:rsidRPr="00042FCA">
              <w:rPr>
                <w:color w:val="000000"/>
                <w:sz w:val="20"/>
              </w:rPr>
              <w:t>71</w:t>
            </w:r>
          </w:p>
        </w:tc>
        <w:tc>
          <w:tcPr>
            <w:tcW w:w="630" w:type="dxa"/>
            <w:shd w:val="clear" w:color="auto" w:fill="auto"/>
            <w:noWrap/>
            <w:vAlign w:val="center"/>
          </w:tcPr>
          <w:p w14:paraId="13220AEB" w14:textId="77777777" w:rsidR="006852C5" w:rsidRPr="00042FCA" w:rsidRDefault="006852C5" w:rsidP="00A165C5">
            <w:pPr>
              <w:jc w:val="center"/>
              <w:rPr>
                <w:color w:val="000000"/>
                <w:sz w:val="20"/>
              </w:rPr>
            </w:pPr>
            <w:r w:rsidRPr="00042FCA">
              <w:rPr>
                <w:color w:val="000000"/>
                <w:sz w:val="20"/>
              </w:rPr>
              <w:t>-</w:t>
            </w:r>
          </w:p>
        </w:tc>
        <w:tc>
          <w:tcPr>
            <w:tcW w:w="1083" w:type="dxa"/>
            <w:shd w:val="clear" w:color="auto" w:fill="auto"/>
            <w:noWrap/>
            <w:vAlign w:val="center"/>
          </w:tcPr>
          <w:p w14:paraId="1C0996BD" w14:textId="77777777" w:rsidR="006852C5" w:rsidRPr="00042FCA" w:rsidRDefault="006852C5" w:rsidP="00A165C5">
            <w:pPr>
              <w:jc w:val="center"/>
              <w:rPr>
                <w:color w:val="000000"/>
                <w:sz w:val="20"/>
              </w:rPr>
            </w:pPr>
            <w:r w:rsidRPr="00042FCA">
              <w:rPr>
                <w:color w:val="000000"/>
                <w:sz w:val="20"/>
              </w:rPr>
              <w:t>-</w:t>
            </w:r>
          </w:p>
        </w:tc>
        <w:tc>
          <w:tcPr>
            <w:tcW w:w="750" w:type="dxa"/>
            <w:shd w:val="clear" w:color="auto" w:fill="auto"/>
            <w:noWrap/>
            <w:vAlign w:val="center"/>
          </w:tcPr>
          <w:p w14:paraId="36E8A16F" w14:textId="77777777" w:rsidR="006852C5" w:rsidRPr="00042FCA" w:rsidRDefault="006852C5" w:rsidP="00A165C5">
            <w:pPr>
              <w:jc w:val="center"/>
              <w:rPr>
                <w:color w:val="000000"/>
                <w:sz w:val="20"/>
              </w:rPr>
            </w:pPr>
            <w:r w:rsidRPr="00042FCA">
              <w:rPr>
                <w:color w:val="000000"/>
                <w:sz w:val="20"/>
              </w:rPr>
              <w:t>-</w:t>
            </w:r>
          </w:p>
        </w:tc>
        <w:tc>
          <w:tcPr>
            <w:tcW w:w="906" w:type="dxa"/>
            <w:shd w:val="clear" w:color="auto" w:fill="auto"/>
            <w:noWrap/>
            <w:vAlign w:val="center"/>
          </w:tcPr>
          <w:p w14:paraId="1585F1D3" w14:textId="77777777" w:rsidR="006852C5" w:rsidRPr="00042FCA" w:rsidRDefault="006852C5" w:rsidP="00A165C5">
            <w:pPr>
              <w:jc w:val="center"/>
              <w:rPr>
                <w:color w:val="000000"/>
                <w:sz w:val="20"/>
              </w:rPr>
            </w:pPr>
            <w:r w:rsidRPr="00042FCA">
              <w:rPr>
                <w:color w:val="000000"/>
                <w:sz w:val="20"/>
              </w:rPr>
              <w:t>-</w:t>
            </w:r>
          </w:p>
        </w:tc>
      </w:tr>
      <w:tr w:rsidR="006852C5" w:rsidRPr="00042FCA" w14:paraId="42601123" w14:textId="77777777" w:rsidTr="00541A3B">
        <w:trPr>
          <w:trHeight w:val="88"/>
          <w:jc w:val="center"/>
        </w:trPr>
        <w:tc>
          <w:tcPr>
            <w:tcW w:w="2965" w:type="dxa"/>
            <w:shd w:val="clear" w:color="auto" w:fill="auto"/>
            <w:noWrap/>
            <w:vAlign w:val="center"/>
            <w:hideMark/>
          </w:tcPr>
          <w:p w14:paraId="265AA791" w14:textId="77777777" w:rsidR="006852C5" w:rsidRPr="00042FCA" w:rsidRDefault="006852C5" w:rsidP="00A165C5">
            <w:pPr>
              <w:spacing w:line="276" w:lineRule="auto"/>
              <w:jc w:val="center"/>
              <w:rPr>
                <w:color w:val="000000"/>
                <w:sz w:val="20"/>
              </w:rPr>
            </w:pPr>
            <w:r w:rsidRPr="00042FCA">
              <w:rPr>
                <w:color w:val="000000"/>
                <w:sz w:val="20"/>
              </w:rPr>
              <w:t>Proposed Model + Augmentation + Callback (Scenario 3)</w:t>
            </w:r>
          </w:p>
        </w:tc>
        <w:tc>
          <w:tcPr>
            <w:tcW w:w="990" w:type="dxa"/>
            <w:shd w:val="clear" w:color="auto" w:fill="auto"/>
            <w:noWrap/>
            <w:vAlign w:val="center"/>
            <w:hideMark/>
          </w:tcPr>
          <w:p w14:paraId="7EDB358C" w14:textId="77777777" w:rsidR="006852C5" w:rsidRPr="00042FCA" w:rsidRDefault="006852C5" w:rsidP="00A165C5">
            <w:pPr>
              <w:jc w:val="center"/>
              <w:rPr>
                <w:color w:val="000000"/>
                <w:sz w:val="20"/>
              </w:rPr>
            </w:pPr>
            <w:r w:rsidRPr="00042FCA">
              <w:rPr>
                <w:color w:val="000000"/>
                <w:sz w:val="20"/>
              </w:rPr>
              <w:t>1:03:55</w:t>
            </w:r>
          </w:p>
        </w:tc>
        <w:tc>
          <w:tcPr>
            <w:tcW w:w="666" w:type="dxa"/>
            <w:shd w:val="clear" w:color="auto" w:fill="auto"/>
            <w:noWrap/>
            <w:vAlign w:val="center"/>
            <w:hideMark/>
          </w:tcPr>
          <w:p w14:paraId="3AA22DD3" w14:textId="77777777" w:rsidR="006852C5" w:rsidRPr="00042FCA" w:rsidRDefault="006852C5" w:rsidP="00A165C5">
            <w:pPr>
              <w:jc w:val="center"/>
              <w:rPr>
                <w:b/>
                <w:color w:val="000000"/>
                <w:sz w:val="20"/>
              </w:rPr>
            </w:pPr>
            <w:r w:rsidRPr="00042FCA">
              <w:rPr>
                <w:b/>
                <w:color w:val="000000"/>
                <w:sz w:val="20"/>
              </w:rPr>
              <w:t>0.764</w:t>
            </w:r>
          </w:p>
        </w:tc>
        <w:tc>
          <w:tcPr>
            <w:tcW w:w="630" w:type="dxa"/>
            <w:shd w:val="clear" w:color="auto" w:fill="auto"/>
            <w:noWrap/>
            <w:vAlign w:val="center"/>
            <w:hideMark/>
          </w:tcPr>
          <w:p w14:paraId="7AC4DC21" w14:textId="77777777" w:rsidR="006852C5" w:rsidRPr="00042FCA" w:rsidRDefault="006852C5" w:rsidP="00A165C5">
            <w:pPr>
              <w:jc w:val="center"/>
              <w:rPr>
                <w:color w:val="000000"/>
                <w:sz w:val="20"/>
              </w:rPr>
            </w:pPr>
            <w:r w:rsidRPr="00042FCA">
              <w:rPr>
                <w:color w:val="000000"/>
                <w:sz w:val="20"/>
              </w:rPr>
              <w:t>76.6</w:t>
            </w:r>
          </w:p>
        </w:tc>
        <w:tc>
          <w:tcPr>
            <w:tcW w:w="630" w:type="dxa"/>
            <w:shd w:val="clear" w:color="auto" w:fill="auto"/>
            <w:noWrap/>
            <w:vAlign w:val="center"/>
            <w:hideMark/>
          </w:tcPr>
          <w:p w14:paraId="6D3DCE14" w14:textId="77777777" w:rsidR="006852C5" w:rsidRPr="00042FCA" w:rsidRDefault="006852C5" w:rsidP="00A165C5">
            <w:pPr>
              <w:jc w:val="center"/>
              <w:rPr>
                <w:color w:val="000000"/>
                <w:sz w:val="20"/>
              </w:rPr>
            </w:pPr>
            <w:r w:rsidRPr="00042FCA">
              <w:rPr>
                <w:color w:val="000000"/>
                <w:sz w:val="20"/>
              </w:rPr>
              <w:t>49.8</w:t>
            </w:r>
          </w:p>
        </w:tc>
        <w:tc>
          <w:tcPr>
            <w:tcW w:w="630" w:type="dxa"/>
            <w:shd w:val="clear" w:color="auto" w:fill="auto"/>
            <w:noWrap/>
            <w:vAlign w:val="center"/>
            <w:hideMark/>
          </w:tcPr>
          <w:p w14:paraId="7717CB46" w14:textId="77777777" w:rsidR="006852C5" w:rsidRPr="00042FCA" w:rsidRDefault="006852C5" w:rsidP="00A165C5">
            <w:pPr>
              <w:jc w:val="center"/>
              <w:rPr>
                <w:b/>
                <w:color w:val="000000"/>
                <w:sz w:val="20"/>
              </w:rPr>
            </w:pPr>
            <w:r w:rsidRPr="00042FCA">
              <w:rPr>
                <w:b/>
                <w:color w:val="000000"/>
                <w:sz w:val="20"/>
              </w:rPr>
              <w:t>76.4</w:t>
            </w:r>
          </w:p>
        </w:tc>
        <w:tc>
          <w:tcPr>
            <w:tcW w:w="630" w:type="dxa"/>
            <w:shd w:val="clear" w:color="auto" w:fill="auto"/>
            <w:noWrap/>
            <w:vAlign w:val="center"/>
            <w:hideMark/>
          </w:tcPr>
          <w:p w14:paraId="66DE3FED" w14:textId="77777777" w:rsidR="006852C5" w:rsidRPr="00042FCA" w:rsidRDefault="006852C5" w:rsidP="00A165C5">
            <w:pPr>
              <w:jc w:val="center"/>
              <w:rPr>
                <w:color w:val="000000"/>
                <w:sz w:val="20"/>
              </w:rPr>
            </w:pPr>
            <w:r w:rsidRPr="00042FCA">
              <w:rPr>
                <w:color w:val="000000"/>
                <w:sz w:val="20"/>
              </w:rPr>
              <w:t>50.2</w:t>
            </w:r>
          </w:p>
        </w:tc>
        <w:tc>
          <w:tcPr>
            <w:tcW w:w="1083" w:type="dxa"/>
            <w:shd w:val="clear" w:color="auto" w:fill="auto"/>
            <w:noWrap/>
            <w:vAlign w:val="center"/>
            <w:hideMark/>
          </w:tcPr>
          <w:p w14:paraId="77475EE8" w14:textId="77777777" w:rsidR="006852C5" w:rsidRPr="00042FCA" w:rsidRDefault="006852C5" w:rsidP="00A165C5">
            <w:pPr>
              <w:jc w:val="center"/>
              <w:rPr>
                <w:color w:val="000000"/>
                <w:sz w:val="20"/>
              </w:rPr>
            </w:pPr>
            <w:r w:rsidRPr="00042FCA">
              <w:rPr>
                <w:color w:val="000000"/>
                <w:sz w:val="20"/>
              </w:rPr>
              <w:t>76</w:t>
            </w:r>
          </w:p>
        </w:tc>
        <w:tc>
          <w:tcPr>
            <w:tcW w:w="750" w:type="dxa"/>
            <w:shd w:val="clear" w:color="auto" w:fill="auto"/>
            <w:noWrap/>
            <w:vAlign w:val="center"/>
            <w:hideMark/>
          </w:tcPr>
          <w:p w14:paraId="0810D522" w14:textId="77777777" w:rsidR="006852C5" w:rsidRPr="00042FCA" w:rsidRDefault="006852C5" w:rsidP="00A165C5">
            <w:pPr>
              <w:jc w:val="center"/>
              <w:rPr>
                <w:color w:val="000000"/>
                <w:sz w:val="20"/>
              </w:rPr>
            </w:pPr>
            <w:r w:rsidRPr="00042FCA">
              <w:rPr>
                <w:color w:val="000000"/>
                <w:sz w:val="20"/>
              </w:rPr>
              <w:t>76</w:t>
            </w:r>
          </w:p>
        </w:tc>
        <w:tc>
          <w:tcPr>
            <w:tcW w:w="906" w:type="dxa"/>
            <w:shd w:val="clear" w:color="auto" w:fill="auto"/>
            <w:noWrap/>
            <w:vAlign w:val="center"/>
            <w:hideMark/>
          </w:tcPr>
          <w:p w14:paraId="08CD2DBB" w14:textId="77777777" w:rsidR="006852C5" w:rsidRPr="00042FCA" w:rsidRDefault="006852C5" w:rsidP="00A165C5">
            <w:pPr>
              <w:jc w:val="center"/>
              <w:rPr>
                <w:color w:val="000000"/>
                <w:sz w:val="20"/>
              </w:rPr>
            </w:pPr>
            <w:r w:rsidRPr="00042FCA">
              <w:rPr>
                <w:color w:val="000000"/>
                <w:sz w:val="20"/>
              </w:rPr>
              <w:t>76</w:t>
            </w:r>
          </w:p>
        </w:tc>
      </w:tr>
    </w:tbl>
    <w:p w14:paraId="2CF2A093" w14:textId="77777777" w:rsidR="006852C5" w:rsidRPr="006852C5" w:rsidRDefault="006852C5" w:rsidP="006852C5">
      <w:pPr>
        <w:pStyle w:val="Paragraph"/>
      </w:pPr>
    </w:p>
    <w:p w14:paraId="318F5619" w14:textId="4F8E9575" w:rsidR="00EA50A7" w:rsidRPr="00CA3BBC" w:rsidRDefault="00EA50A7" w:rsidP="00CA3BBC">
      <w:pPr>
        <w:jc w:val="both"/>
        <w:rPr>
          <w:rFonts w:eastAsia="Calibri"/>
          <w:color w:val="FF0000"/>
        </w:rPr>
      </w:pPr>
      <w:r w:rsidRPr="00494005">
        <w:rPr>
          <w:rFonts w:eastAsia="Calibri"/>
          <w:color w:val="FF0000"/>
        </w:rPr>
        <w:tab/>
      </w:r>
    </w:p>
    <w:p w14:paraId="488462FA" w14:textId="0E1A7B8B" w:rsidR="00EA50A7" w:rsidRPr="00494005" w:rsidRDefault="00EA50A7" w:rsidP="009A7BC2">
      <w:pPr>
        <w:pStyle w:val="Heading1"/>
        <w:rPr>
          <w:color w:val="FF0000"/>
          <w:sz w:val="20"/>
        </w:rPr>
      </w:pPr>
      <w:r w:rsidRPr="009A7BC2">
        <w:t>CONCLUSIONS</w:t>
      </w:r>
    </w:p>
    <w:p w14:paraId="28FBFB98" w14:textId="77777777" w:rsidR="006852C5" w:rsidRPr="00541A3B" w:rsidRDefault="006852C5" w:rsidP="006852C5">
      <w:pPr>
        <w:pBdr>
          <w:top w:val="nil"/>
          <w:left w:val="nil"/>
          <w:bottom w:val="nil"/>
          <w:right w:val="nil"/>
          <w:between w:val="nil"/>
        </w:pBdr>
        <w:spacing w:after="80"/>
        <w:ind w:firstLine="284"/>
        <w:jc w:val="both"/>
        <w:rPr>
          <w:rStyle w:val="Emphasis"/>
          <w:sz w:val="20"/>
        </w:rPr>
      </w:pPr>
      <w:r w:rsidRPr="00541A3B">
        <w:rPr>
          <w:rStyle w:val="Emphasis"/>
          <w:sz w:val="20"/>
        </w:rPr>
        <w:t>The proposed models achieved accuracy, loss, and AUC of 76.2%, 52.8%, and 0.762. The addition of augmentation led to increased training time ±39% but got the best results in the study with this data in accuracy, loss, and AUC of 77.1%, 48.1%, and 0.775. The addition of this augmentation also reduces overfitting, and makes accuracy, and loss per epoch more stable. The addition of Dropout APL combined with augmentation techniques increases training time by ±13% longer than not using Dropout APL. The addition of Dropout APL also did not provide better results with accuracy, loss, and AUC values of 76.3%, 49%, and 0.763. However, the Dropout APL provides a very stable, and continuously rising accuracy, and loss per epoch chart development. This allows for better performance than not using Dropout APL if using a higher number of epochs.</w:t>
      </w:r>
    </w:p>
    <w:p w14:paraId="65EFBCA6" w14:textId="77777777" w:rsidR="006852C5" w:rsidRPr="00541A3B" w:rsidRDefault="006852C5" w:rsidP="006852C5">
      <w:pPr>
        <w:pBdr>
          <w:top w:val="nil"/>
          <w:left w:val="nil"/>
          <w:bottom w:val="nil"/>
          <w:right w:val="nil"/>
          <w:between w:val="nil"/>
        </w:pBdr>
        <w:spacing w:after="80"/>
        <w:ind w:firstLine="284"/>
        <w:jc w:val="both"/>
        <w:rPr>
          <w:rStyle w:val="Emphasis"/>
          <w:sz w:val="20"/>
        </w:rPr>
      </w:pPr>
      <w:r w:rsidRPr="00541A3B">
        <w:rPr>
          <w:rStyle w:val="Emphasis"/>
          <w:sz w:val="20"/>
        </w:rPr>
        <w:t>On the STAD data, testing was carried out using a proposed model with augmentation added. This test got better performance results than previous research that used STAD data. Testing is done by adding several callbacks to reduce training time and overcome fluctuating problems in accuracy and loss. The callback method gets good results with accuracy, loss, and AUC values of 76.4%, 50.2%, and 0.764. Training time can be reduced ±77% faster. In addition, overfitting and fluctuating problems can be handled with this scenario.</w:t>
      </w:r>
    </w:p>
    <w:p w14:paraId="69A8AAB9" w14:textId="3925229E" w:rsidR="00EA50A7" w:rsidRPr="00541A3B" w:rsidRDefault="006852C5" w:rsidP="006852C5">
      <w:pPr>
        <w:pStyle w:val="Paragraphnumbered"/>
        <w:numPr>
          <w:ilvl w:val="0"/>
          <w:numId w:val="0"/>
        </w:numPr>
        <w:ind w:firstLine="284"/>
        <w:rPr>
          <w:rStyle w:val="Emphasis"/>
        </w:rPr>
      </w:pPr>
      <w:r w:rsidRPr="00541A3B">
        <w:rPr>
          <w:rStyle w:val="Emphasis"/>
        </w:rPr>
        <w:t>In future research, methods are needed especially in preprocessing so that the dataset is more easily understood by the model. The image enhancement technique in focusing the contrast of the image can support the previous color normalization method, the Gaussian Blur Technique can also be added to reduce noise in the image. Then, trying to use texture analysis techniques might be able to help models that have data with irregular patterns such as this cancer cell data.</w:t>
      </w:r>
    </w:p>
    <w:p w14:paraId="48D51471" w14:textId="6AE8AAD2" w:rsidR="00CB1FE9" w:rsidRPr="00312B60" w:rsidRDefault="00CB1FE9" w:rsidP="00CB1FE9">
      <w:pPr>
        <w:pStyle w:val="Heading1"/>
        <w:rPr>
          <w:color w:val="FF0000"/>
        </w:rPr>
      </w:pPr>
      <w:r w:rsidRPr="00CC2C58">
        <w:t>Acknowledgments</w:t>
      </w:r>
    </w:p>
    <w:p w14:paraId="61A3C84B" w14:textId="77777777" w:rsidR="006852C5" w:rsidRPr="00541A3B" w:rsidRDefault="006852C5" w:rsidP="006852C5">
      <w:pPr>
        <w:pBdr>
          <w:top w:val="nil"/>
          <w:left w:val="nil"/>
          <w:bottom w:val="nil"/>
          <w:right w:val="nil"/>
          <w:between w:val="nil"/>
        </w:pBdr>
        <w:spacing w:after="80"/>
        <w:ind w:firstLine="284"/>
        <w:jc w:val="both"/>
        <w:rPr>
          <w:rStyle w:val="Emphasis"/>
          <w:sz w:val="20"/>
        </w:rPr>
      </w:pPr>
      <w:r w:rsidRPr="00541A3B">
        <w:rPr>
          <w:rStyle w:val="Emphasis"/>
          <w:sz w:val="20"/>
        </w:rPr>
        <w:t>This research was supported by the Computer Vision Laboratory of Informatics Engineering Universitas Muhammadiyah Malang in devices, and intellectuals.</w:t>
      </w:r>
    </w:p>
    <w:p w14:paraId="542949F5" w14:textId="3574EC8E" w:rsidR="009A7BC2" w:rsidRPr="009A7BC2" w:rsidRDefault="009A7BC2" w:rsidP="009A7BC2">
      <w:pPr>
        <w:pStyle w:val="Paragraph"/>
      </w:pPr>
    </w:p>
    <w:p w14:paraId="30A60A5E" w14:textId="4E029174" w:rsidR="006852C5" w:rsidRPr="00814CF0" w:rsidRDefault="00EA50A7" w:rsidP="00814CF0">
      <w:pPr>
        <w:pStyle w:val="Heading1"/>
      </w:pPr>
      <w:r w:rsidRPr="009A7BC2">
        <w:t>References</w:t>
      </w:r>
    </w:p>
    <w:p w14:paraId="6CE896A1" w14:textId="3AB43145" w:rsidR="006852C5" w:rsidRPr="001B4D1F" w:rsidRDefault="006852C5" w:rsidP="00320BED">
      <w:pPr>
        <w:pStyle w:val="ListParagraph"/>
        <w:widowControl w:val="0"/>
        <w:numPr>
          <w:ilvl w:val="0"/>
          <w:numId w:val="10"/>
        </w:numPr>
        <w:autoSpaceDE w:val="0"/>
        <w:autoSpaceDN w:val="0"/>
        <w:adjustRightInd w:val="0"/>
        <w:jc w:val="both"/>
        <w:rPr>
          <w:noProof/>
          <w:sz w:val="20"/>
          <w:szCs w:val="20"/>
        </w:rPr>
      </w:pPr>
      <w:r w:rsidRPr="001B4D1F">
        <w:rPr>
          <w:sz w:val="20"/>
          <w:szCs w:val="20"/>
        </w:rPr>
        <w:fldChar w:fldCharType="begin" w:fldLock="1"/>
      </w:r>
      <w:r w:rsidRPr="001B4D1F">
        <w:rPr>
          <w:sz w:val="20"/>
          <w:szCs w:val="20"/>
        </w:rPr>
        <w:instrText xml:space="preserve">ADDIN Mendeley Bibliography CSL_BIBLIOGRAPHY </w:instrText>
      </w:r>
      <w:r w:rsidRPr="001B4D1F">
        <w:rPr>
          <w:sz w:val="20"/>
          <w:szCs w:val="20"/>
        </w:rPr>
        <w:fldChar w:fldCharType="separate"/>
      </w:r>
      <w:r w:rsidRPr="001B4D1F">
        <w:rPr>
          <w:noProof/>
          <w:sz w:val="20"/>
          <w:szCs w:val="20"/>
        </w:rPr>
        <w:t xml:space="preserve">D. A. Chistiakov, B. Hellemans, and F. A. M. Volckaert, “Microsatellites and their genomic distribution, evolution, function and applications: A review with special reference to fish genetics,” </w:t>
      </w:r>
      <w:r w:rsidRPr="001B4D1F">
        <w:rPr>
          <w:i/>
          <w:iCs/>
          <w:noProof/>
          <w:sz w:val="20"/>
          <w:szCs w:val="20"/>
        </w:rPr>
        <w:t>Aquaculture</w:t>
      </w:r>
      <w:r w:rsidRPr="001B4D1F">
        <w:rPr>
          <w:noProof/>
          <w:sz w:val="20"/>
          <w:szCs w:val="20"/>
        </w:rPr>
        <w:t>, vol. 255, no. 1–4, pp. 1–29, May 2006.</w:t>
      </w:r>
    </w:p>
    <w:p w14:paraId="31E7A091" w14:textId="2DD2E8A1" w:rsidR="006852C5" w:rsidRPr="001B4D1F" w:rsidRDefault="006852C5" w:rsidP="00320BED">
      <w:pPr>
        <w:pStyle w:val="ListParagraph"/>
        <w:widowControl w:val="0"/>
        <w:numPr>
          <w:ilvl w:val="0"/>
          <w:numId w:val="10"/>
        </w:numPr>
        <w:autoSpaceDE w:val="0"/>
        <w:autoSpaceDN w:val="0"/>
        <w:adjustRightInd w:val="0"/>
        <w:jc w:val="both"/>
        <w:rPr>
          <w:noProof/>
          <w:sz w:val="20"/>
          <w:szCs w:val="20"/>
        </w:rPr>
      </w:pPr>
      <w:r w:rsidRPr="001B4D1F">
        <w:rPr>
          <w:noProof/>
          <w:sz w:val="20"/>
          <w:szCs w:val="20"/>
        </w:rPr>
        <w:t xml:space="preserve">P. Alhopuro </w:t>
      </w:r>
      <w:r w:rsidRPr="001B4D1F">
        <w:rPr>
          <w:i/>
          <w:iCs/>
          <w:noProof/>
          <w:sz w:val="20"/>
          <w:szCs w:val="20"/>
        </w:rPr>
        <w:t>et al.</w:t>
      </w:r>
      <w:r w:rsidRPr="001B4D1F">
        <w:rPr>
          <w:noProof/>
          <w:sz w:val="20"/>
          <w:szCs w:val="20"/>
        </w:rPr>
        <w:t xml:space="preserve">, “Candidate driver genes in microsatellite-unstable colorectal cancer,” </w:t>
      </w:r>
      <w:r w:rsidRPr="001B4D1F">
        <w:rPr>
          <w:i/>
          <w:iCs/>
          <w:noProof/>
          <w:sz w:val="20"/>
          <w:szCs w:val="20"/>
        </w:rPr>
        <w:t>International journal of cancer</w:t>
      </w:r>
      <w:r w:rsidRPr="001B4D1F">
        <w:rPr>
          <w:noProof/>
          <w:sz w:val="20"/>
          <w:szCs w:val="20"/>
        </w:rPr>
        <w:t>, vol. 130, no. 7, pp. 1558–1566, Apr. 2012.</w:t>
      </w:r>
    </w:p>
    <w:p w14:paraId="1E079ABE" w14:textId="0F3323AF" w:rsidR="006852C5" w:rsidRPr="001B4D1F" w:rsidRDefault="006852C5" w:rsidP="00320BED">
      <w:pPr>
        <w:pStyle w:val="ListParagraph"/>
        <w:widowControl w:val="0"/>
        <w:numPr>
          <w:ilvl w:val="0"/>
          <w:numId w:val="10"/>
        </w:numPr>
        <w:autoSpaceDE w:val="0"/>
        <w:autoSpaceDN w:val="0"/>
        <w:adjustRightInd w:val="0"/>
        <w:jc w:val="both"/>
        <w:rPr>
          <w:noProof/>
          <w:sz w:val="20"/>
          <w:szCs w:val="20"/>
        </w:rPr>
      </w:pPr>
      <w:r w:rsidRPr="001B4D1F">
        <w:rPr>
          <w:noProof/>
          <w:sz w:val="20"/>
          <w:szCs w:val="20"/>
        </w:rPr>
        <w:t xml:space="preserve">G. Yang, R. yi Zheng, and Z. shun Jin, “Correlations between microsatellite instability and the biological behaviour of tumours,” </w:t>
      </w:r>
      <w:r w:rsidRPr="001B4D1F">
        <w:rPr>
          <w:i/>
          <w:iCs/>
          <w:noProof/>
          <w:sz w:val="20"/>
          <w:szCs w:val="20"/>
        </w:rPr>
        <w:t>Journal of cancer research and clinical oncology</w:t>
      </w:r>
      <w:r w:rsidRPr="001B4D1F">
        <w:rPr>
          <w:noProof/>
          <w:sz w:val="20"/>
          <w:szCs w:val="20"/>
        </w:rPr>
        <w:t>, vol. 145, no. 12, pp. 2891–2899, Dec. 2019.</w:t>
      </w:r>
    </w:p>
    <w:p w14:paraId="24C82A1D" w14:textId="37ECB715" w:rsidR="006852C5" w:rsidRPr="001B4D1F" w:rsidRDefault="006852C5" w:rsidP="00320BED">
      <w:pPr>
        <w:pStyle w:val="ListParagraph"/>
        <w:widowControl w:val="0"/>
        <w:numPr>
          <w:ilvl w:val="0"/>
          <w:numId w:val="10"/>
        </w:numPr>
        <w:autoSpaceDE w:val="0"/>
        <w:autoSpaceDN w:val="0"/>
        <w:adjustRightInd w:val="0"/>
        <w:jc w:val="both"/>
        <w:rPr>
          <w:noProof/>
          <w:sz w:val="20"/>
          <w:szCs w:val="20"/>
        </w:rPr>
      </w:pPr>
      <w:r w:rsidRPr="001B4D1F">
        <w:rPr>
          <w:noProof/>
          <w:sz w:val="20"/>
          <w:szCs w:val="20"/>
        </w:rPr>
        <w:t xml:space="preserve">S. Velho, M. S. Fernandes, M. Leite, C. Figueiredo, and R. Seruca, “Causes and consequences of microsatellite instability in gastric carcinogenesis,” </w:t>
      </w:r>
      <w:r w:rsidRPr="001B4D1F">
        <w:rPr>
          <w:i/>
          <w:iCs/>
          <w:noProof/>
          <w:sz w:val="20"/>
          <w:szCs w:val="20"/>
        </w:rPr>
        <w:t>World journal of gastroenterology</w:t>
      </w:r>
      <w:r w:rsidRPr="001B4D1F">
        <w:rPr>
          <w:noProof/>
          <w:sz w:val="20"/>
          <w:szCs w:val="20"/>
        </w:rPr>
        <w:t>, vol. 20, no. 44, pp. 16433–16442, Nov. 2014.</w:t>
      </w:r>
    </w:p>
    <w:p w14:paraId="2E047221" w14:textId="0F38778D" w:rsidR="006852C5" w:rsidRPr="001B4D1F" w:rsidRDefault="006852C5" w:rsidP="00320BED">
      <w:pPr>
        <w:pStyle w:val="ListParagraph"/>
        <w:widowControl w:val="0"/>
        <w:numPr>
          <w:ilvl w:val="0"/>
          <w:numId w:val="10"/>
        </w:numPr>
        <w:autoSpaceDE w:val="0"/>
        <w:autoSpaceDN w:val="0"/>
        <w:adjustRightInd w:val="0"/>
        <w:jc w:val="both"/>
        <w:rPr>
          <w:noProof/>
          <w:sz w:val="20"/>
          <w:szCs w:val="20"/>
        </w:rPr>
      </w:pPr>
      <w:r w:rsidRPr="001B4D1F">
        <w:rPr>
          <w:noProof/>
          <w:sz w:val="20"/>
          <w:szCs w:val="20"/>
        </w:rPr>
        <w:t xml:space="preserve">C. G. Kim </w:t>
      </w:r>
      <w:r w:rsidRPr="001B4D1F">
        <w:rPr>
          <w:i/>
          <w:iCs/>
          <w:noProof/>
          <w:sz w:val="20"/>
          <w:szCs w:val="20"/>
        </w:rPr>
        <w:t>et al.</w:t>
      </w:r>
      <w:r w:rsidRPr="001B4D1F">
        <w:rPr>
          <w:noProof/>
          <w:sz w:val="20"/>
          <w:szCs w:val="20"/>
        </w:rPr>
        <w:t xml:space="preserve">, “Effects of microsatellite instability on recurrence patterns and outcomes in colorectal cancers,” </w:t>
      </w:r>
      <w:r w:rsidRPr="001B4D1F">
        <w:rPr>
          <w:i/>
          <w:iCs/>
          <w:noProof/>
          <w:sz w:val="20"/>
          <w:szCs w:val="20"/>
        </w:rPr>
        <w:t>British journal of cancer</w:t>
      </w:r>
      <w:r w:rsidRPr="001B4D1F">
        <w:rPr>
          <w:noProof/>
          <w:sz w:val="20"/>
          <w:szCs w:val="20"/>
        </w:rPr>
        <w:t>, vol. 115, no. 1, pp. 25–33, Jun. 2016.</w:t>
      </w:r>
    </w:p>
    <w:p w14:paraId="7B9B1C6C" w14:textId="044F0450" w:rsidR="006852C5" w:rsidRPr="001B4D1F" w:rsidRDefault="006852C5" w:rsidP="00320BED">
      <w:pPr>
        <w:pStyle w:val="ListParagraph"/>
        <w:widowControl w:val="0"/>
        <w:numPr>
          <w:ilvl w:val="0"/>
          <w:numId w:val="10"/>
        </w:numPr>
        <w:autoSpaceDE w:val="0"/>
        <w:autoSpaceDN w:val="0"/>
        <w:adjustRightInd w:val="0"/>
        <w:jc w:val="both"/>
        <w:rPr>
          <w:noProof/>
          <w:sz w:val="20"/>
          <w:szCs w:val="20"/>
        </w:rPr>
      </w:pPr>
      <w:r w:rsidRPr="001B4D1F">
        <w:rPr>
          <w:noProof/>
          <w:sz w:val="20"/>
          <w:szCs w:val="20"/>
        </w:rPr>
        <w:t xml:space="preserve">Y. Fu </w:t>
      </w:r>
      <w:r w:rsidRPr="001B4D1F">
        <w:rPr>
          <w:i/>
          <w:iCs/>
          <w:noProof/>
          <w:sz w:val="20"/>
          <w:szCs w:val="20"/>
        </w:rPr>
        <w:t>et al.</w:t>
      </w:r>
      <w:r w:rsidRPr="001B4D1F">
        <w:rPr>
          <w:noProof/>
          <w:sz w:val="20"/>
          <w:szCs w:val="20"/>
        </w:rPr>
        <w:t xml:space="preserve">, “A qualitative transcriptional signature for predicting microsatellite instability status of right-sided Colon Cancer,” </w:t>
      </w:r>
      <w:r w:rsidRPr="001B4D1F">
        <w:rPr>
          <w:i/>
          <w:iCs/>
          <w:noProof/>
          <w:sz w:val="20"/>
          <w:szCs w:val="20"/>
        </w:rPr>
        <w:t>BMC genomics</w:t>
      </w:r>
      <w:r w:rsidRPr="001B4D1F">
        <w:rPr>
          <w:noProof/>
          <w:sz w:val="20"/>
          <w:szCs w:val="20"/>
        </w:rPr>
        <w:t>, vol. 20, no. 1, Oct. 2019.</w:t>
      </w:r>
    </w:p>
    <w:p w14:paraId="089E6388" w14:textId="66652B5B" w:rsidR="006852C5" w:rsidRPr="001B4D1F" w:rsidRDefault="006852C5" w:rsidP="00320BED">
      <w:pPr>
        <w:pStyle w:val="ListParagraph"/>
        <w:widowControl w:val="0"/>
        <w:numPr>
          <w:ilvl w:val="0"/>
          <w:numId w:val="10"/>
        </w:numPr>
        <w:autoSpaceDE w:val="0"/>
        <w:autoSpaceDN w:val="0"/>
        <w:adjustRightInd w:val="0"/>
        <w:jc w:val="both"/>
        <w:rPr>
          <w:noProof/>
          <w:sz w:val="20"/>
          <w:szCs w:val="20"/>
        </w:rPr>
      </w:pPr>
      <w:r w:rsidRPr="001B4D1F">
        <w:rPr>
          <w:noProof/>
          <w:sz w:val="20"/>
          <w:szCs w:val="20"/>
        </w:rPr>
        <w:t xml:space="preserve">A. Echle </w:t>
      </w:r>
      <w:r w:rsidRPr="001B4D1F">
        <w:rPr>
          <w:i/>
          <w:iCs/>
          <w:noProof/>
          <w:sz w:val="20"/>
          <w:szCs w:val="20"/>
        </w:rPr>
        <w:t>et al.</w:t>
      </w:r>
      <w:r w:rsidRPr="001B4D1F">
        <w:rPr>
          <w:noProof/>
          <w:sz w:val="20"/>
          <w:szCs w:val="20"/>
        </w:rPr>
        <w:t xml:space="preserve">, “Clinical-Grade Detection of Microsatellite Instability in Colorectal Tumors by Deep Learning,” </w:t>
      </w:r>
      <w:r w:rsidRPr="001B4D1F">
        <w:rPr>
          <w:i/>
          <w:iCs/>
          <w:noProof/>
          <w:sz w:val="20"/>
          <w:szCs w:val="20"/>
        </w:rPr>
        <w:t>Gastroenterology</w:t>
      </w:r>
      <w:r w:rsidRPr="001B4D1F">
        <w:rPr>
          <w:noProof/>
          <w:sz w:val="20"/>
          <w:szCs w:val="20"/>
        </w:rPr>
        <w:t>, vol. 159, no. 4, pp. 1406-1416.e11, Oct. 2020.</w:t>
      </w:r>
    </w:p>
    <w:p w14:paraId="3F5D1B78" w14:textId="523D2809" w:rsidR="006852C5" w:rsidRPr="001B4D1F" w:rsidRDefault="006852C5" w:rsidP="00320BED">
      <w:pPr>
        <w:pStyle w:val="ListParagraph"/>
        <w:widowControl w:val="0"/>
        <w:numPr>
          <w:ilvl w:val="0"/>
          <w:numId w:val="10"/>
        </w:numPr>
        <w:autoSpaceDE w:val="0"/>
        <w:autoSpaceDN w:val="0"/>
        <w:adjustRightInd w:val="0"/>
        <w:jc w:val="both"/>
        <w:rPr>
          <w:noProof/>
          <w:sz w:val="20"/>
          <w:szCs w:val="20"/>
        </w:rPr>
      </w:pPr>
      <w:r w:rsidRPr="001B4D1F">
        <w:rPr>
          <w:noProof/>
          <w:sz w:val="20"/>
          <w:szCs w:val="20"/>
        </w:rPr>
        <w:t xml:space="preserve">T. Wang </w:t>
      </w:r>
      <w:r w:rsidRPr="001B4D1F">
        <w:rPr>
          <w:i/>
          <w:iCs/>
          <w:noProof/>
          <w:sz w:val="20"/>
          <w:szCs w:val="20"/>
        </w:rPr>
        <w:t>et al.</w:t>
      </w:r>
      <w:r w:rsidRPr="001B4D1F">
        <w:rPr>
          <w:noProof/>
          <w:sz w:val="20"/>
          <w:szCs w:val="20"/>
        </w:rPr>
        <w:t xml:space="preserve">, “Microsatellite Instability Prediction of Uterine Corpus Endometrial Carcinoma Based on HE Histology Whole-Slide Imaging,” </w:t>
      </w:r>
      <w:r w:rsidRPr="001B4D1F">
        <w:rPr>
          <w:i/>
          <w:iCs/>
          <w:noProof/>
          <w:sz w:val="20"/>
          <w:szCs w:val="20"/>
        </w:rPr>
        <w:t>Proceedings - International Symposium on Biomedical Imaging</w:t>
      </w:r>
      <w:r w:rsidRPr="001B4D1F">
        <w:rPr>
          <w:noProof/>
          <w:sz w:val="20"/>
          <w:szCs w:val="20"/>
        </w:rPr>
        <w:t>, vol. 2020-April, pp. 1289–1292, Apr. 2020.</w:t>
      </w:r>
    </w:p>
    <w:p w14:paraId="71F393DF" w14:textId="0F35C347" w:rsidR="006852C5" w:rsidRPr="001B4D1F" w:rsidRDefault="006852C5" w:rsidP="00320BED">
      <w:pPr>
        <w:pStyle w:val="ListParagraph"/>
        <w:widowControl w:val="0"/>
        <w:numPr>
          <w:ilvl w:val="0"/>
          <w:numId w:val="10"/>
        </w:numPr>
        <w:autoSpaceDE w:val="0"/>
        <w:autoSpaceDN w:val="0"/>
        <w:adjustRightInd w:val="0"/>
        <w:jc w:val="both"/>
        <w:rPr>
          <w:noProof/>
          <w:sz w:val="20"/>
          <w:szCs w:val="20"/>
        </w:rPr>
      </w:pPr>
      <w:r w:rsidRPr="001B4D1F">
        <w:rPr>
          <w:noProof/>
          <w:sz w:val="20"/>
          <w:szCs w:val="20"/>
        </w:rPr>
        <w:t xml:space="preserve">S. H. Lee, I. H. Song, and H. J. Jang, “Feasibility of deep learning-based fully automated classification of microsatellite instability in tissue slides of colorectal cancer,” </w:t>
      </w:r>
      <w:r w:rsidRPr="001B4D1F">
        <w:rPr>
          <w:i/>
          <w:iCs/>
          <w:noProof/>
          <w:sz w:val="20"/>
          <w:szCs w:val="20"/>
        </w:rPr>
        <w:t>International Journal of Cancer</w:t>
      </w:r>
      <w:r w:rsidRPr="001B4D1F">
        <w:rPr>
          <w:noProof/>
          <w:sz w:val="20"/>
          <w:szCs w:val="20"/>
        </w:rPr>
        <w:t>, vol. 149, no. 3, pp. 728–740, Aug. 2021.</w:t>
      </w:r>
    </w:p>
    <w:p w14:paraId="287CC494" w14:textId="1C9144C0" w:rsidR="006852C5" w:rsidRPr="001B4D1F" w:rsidRDefault="006852C5" w:rsidP="00320BED">
      <w:pPr>
        <w:pStyle w:val="ListParagraph"/>
        <w:widowControl w:val="0"/>
        <w:numPr>
          <w:ilvl w:val="0"/>
          <w:numId w:val="10"/>
        </w:numPr>
        <w:autoSpaceDE w:val="0"/>
        <w:autoSpaceDN w:val="0"/>
        <w:adjustRightInd w:val="0"/>
        <w:jc w:val="both"/>
        <w:rPr>
          <w:noProof/>
          <w:sz w:val="20"/>
          <w:szCs w:val="20"/>
        </w:rPr>
      </w:pPr>
      <w:r w:rsidRPr="001B4D1F">
        <w:rPr>
          <w:noProof/>
          <w:sz w:val="20"/>
          <w:szCs w:val="20"/>
        </w:rPr>
        <w:t xml:space="preserve">A. E. Minarno, M. Rifal Alfarizy, A. Hendryawan, S. Syaifuddin, and Y. Munarko, “Pneumonia Classification using Gabor-Convolutional Neural Networks and Image Enhancement,” </w:t>
      </w:r>
      <w:r w:rsidRPr="001B4D1F">
        <w:rPr>
          <w:i/>
          <w:iCs/>
          <w:noProof/>
          <w:sz w:val="20"/>
          <w:szCs w:val="20"/>
        </w:rPr>
        <w:t>2021 9th International Conference on Information and Communication Technology, ICoICT 2021</w:t>
      </w:r>
      <w:r w:rsidRPr="001B4D1F">
        <w:rPr>
          <w:noProof/>
          <w:sz w:val="20"/>
          <w:szCs w:val="20"/>
        </w:rPr>
        <w:t>, pp. 180–185, Aug. 2021.</w:t>
      </w:r>
    </w:p>
    <w:p w14:paraId="558E3143" w14:textId="0C0737F2" w:rsidR="006852C5" w:rsidRPr="001B4D1F" w:rsidRDefault="006852C5" w:rsidP="00320BED">
      <w:pPr>
        <w:pStyle w:val="ListParagraph"/>
        <w:widowControl w:val="0"/>
        <w:numPr>
          <w:ilvl w:val="0"/>
          <w:numId w:val="10"/>
        </w:numPr>
        <w:autoSpaceDE w:val="0"/>
        <w:autoSpaceDN w:val="0"/>
        <w:adjustRightInd w:val="0"/>
        <w:jc w:val="both"/>
        <w:rPr>
          <w:noProof/>
          <w:sz w:val="20"/>
          <w:szCs w:val="20"/>
        </w:rPr>
      </w:pPr>
      <w:r w:rsidRPr="001B4D1F">
        <w:rPr>
          <w:noProof/>
          <w:sz w:val="20"/>
          <w:szCs w:val="20"/>
        </w:rPr>
        <w:t xml:space="preserve">A. E. Minarno, M. H. C. Mandiri, Y. Munarko, and H. Hariyady, “Convolutional Neural Network with Hyperparameter Tuning for Brain Tumor Classification,” </w:t>
      </w:r>
      <w:r w:rsidRPr="001B4D1F">
        <w:rPr>
          <w:i/>
          <w:iCs/>
          <w:noProof/>
          <w:sz w:val="20"/>
          <w:szCs w:val="20"/>
        </w:rPr>
        <w:t>Kinetik: Game Technology, Information System, Computer Network, Computing, Electronics, and Control</w:t>
      </w:r>
      <w:r w:rsidRPr="001B4D1F">
        <w:rPr>
          <w:noProof/>
          <w:sz w:val="20"/>
          <w:szCs w:val="20"/>
        </w:rPr>
        <w:t>, vol. 6, no. 2, pp. 127–132, May 2021.</w:t>
      </w:r>
    </w:p>
    <w:p w14:paraId="4B04CCD4" w14:textId="0BF9E941" w:rsidR="006852C5" w:rsidRPr="001B4D1F" w:rsidRDefault="006852C5" w:rsidP="00320BED">
      <w:pPr>
        <w:pStyle w:val="ListParagraph"/>
        <w:widowControl w:val="0"/>
        <w:numPr>
          <w:ilvl w:val="0"/>
          <w:numId w:val="10"/>
        </w:numPr>
        <w:autoSpaceDE w:val="0"/>
        <w:autoSpaceDN w:val="0"/>
        <w:adjustRightInd w:val="0"/>
        <w:jc w:val="both"/>
        <w:rPr>
          <w:noProof/>
          <w:sz w:val="20"/>
          <w:szCs w:val="20"/>
        </w:rPr>
      </w:pPr>
      <w:r w:rsidRPr="001B4D1F">
        <w:rPr>
          <w:noProof/>
          <w:sz w:val="20"/>
          <w:szCs w:val="20"/>
        </w:rPr>
        <w:t xml:space="preserve">O. J. Skrede </w:t>
      </w:r>
      <w:r w:rsidRPr="001B4D1F">
        <w:rPr>
          <w:i/>
          <w:iCs/>
          <w:noProof/>
          <w:sz w:val="20"/>
          <w:szCs w:val="20"/>
        </w:rPr>
        <w:t>et al.</w:t>
      </w:r>
      <w:r w:rsidRPr="001B4D1F">
        <w:rPr>
          <w:noProof/>
          <w:sz w:val="20"/>
          <w:szCs w:val="20"/>
        </w:rPr>
        <w:t xml:space="preserve">, “Deep learning for prediction of colorectal cancer outcome: a discovery and validation study,” </w:t>
      </w:r>
      <w:r w:rsidRPr="001B4D1F">
        <w:rPr>
          <w:i/>
          <w:iCs/>
          <w:noProof/>
          <w:sz w:val="20"/>
          <w:szCs w:val="20"/>
        </w:rPr>
        <w:t>Lancet (London, England)</w:t>
      </w:r>
      <w:r w:rsidRPr="001B4D1F">
        <w:rPr>
          <w:noProof/>
          <w:sz w:val="20"/>
          <w:szCs w:val="20"/>
        </w:rPr>
        <w:t>, vol. 395, no. 10221, pp. 350–360, Feb. 2020.</w:t>
      </w:r>
    </w:p>
    <w:p w14:paraId="1232B3AA" w14:textId="0D7607C8" w:rsidR="006852C5" w:rsidRPr="001B4D1F" w:rsidRDefault="006852C5" w:rsidP="00320BED">
      <w:pPr>
        <w:pStyle w:val="ListParagraph"/>
        <w:widowControl w:val="0"/>
        <w:numPr>
          <w:ilvl w:val="0"/>
          <w:numId w:val="10"/>
        </w:numPr>
        <w:autoSpaceDE w:val="0"/>
        <w:autoSpaceDN w:val="0"/>
        <w:adjustRightInd w:val="0"/>
        <w:jc w:val="both"/>
        <w:rPr>
          <w:noProof/>
          <w:sz w:val="20"/>
          <w:szCs w:val="20"/>
        </w:rPr>
      </w:pPr>
      <w:r w:rsidRPr="001B4D1F">
        <w:rPr>
          <w:noProof/>
          <w:sz w:val="20"/>
          <w:szCs w:val="20"/>
        </w:rPr>
        <w:t xml:space="preserve">A. E. Minarno, K. M. Ghufron, T. S. Sabrila, L. Husniah, and F. D. S. Sumadi, “CNN Based Autoencoder Application in Breast Cancer Image Retrieval,” </w:t>
      </w:r>
      <w:r w:rsidRPr="001B4D1F">
        <w:rPr>
          <w:i/>
          <w:iCs/>
          <w:noProof/>
          <w:sz w:val="20"/>
          <w:szCs w:val="20"/>
        </w:rPr>
        <w:t>Proceedings - 2021 International Seminar on Intelligent Technology and Its Application: Intelligent Systems for the New Normal Era, ISITIA 2021</w:t>
      </w:r>
      <w:r w:rsidRPr="001B4D1F">
        <w:rPr>
          <w:noProof/>
          <w:sz w:val="20"/>
          <w:szCs w:val="20"/>
        </w:rPr>
        <w:t>, pp. 29–34, Jul. 2021.</w:t>
      </w:r>
    </w:p>
    <w:p w14:paraId="3E2341A5" w14:textId="04153ABC" w:rsidR="006852C5" w:rsidRPr="001B4D1F" w:rsidRDefault="006852C5" w:rsidP="00320BED">
      <w:pPr>
        <w:pStyle w:val="ListParagraph"/>
        <w:widowControl w:val="0"/>
        <w:numPr>
          <w:ilvl w:val="0"/>
          <w:numId w:val="10"/>
        </w:numPr>
        <w:autoSpaceDE w:val="0"/>
        <w:autoSpaceDN w:val="0"/>
        <w:adjustRightInd w:val="0"/>
        <w:jc w:val="both"/>
        <w:rPr>
          <w:noProof/>
          <w:sz w:val="20"/>
          <w:szCs w:val="20"/>
        </w:rPr>
      </w:pPr>
      <w:r w:rsidRPr="001B4D1F">
        <w:rPr>
          <w:noProof/>
          <w:sz w:val="20"/>
          <w:szCs w:val="20"/>
        </w:rPr>
        <w:t xml:space="preserve">L. Wang, Y. Jiao, Y. Qiao, N. Zeng, and R. Yu, “A novel approach combined transfer learning and deep learning to predict TMB from histology image,” </w:t>
      </w:r>
      <w:r w:rsidRPr="001B4D1F">
        <w:rPr>
          <w:i/>
          <w:iCs/>
          <w:noProof/>
          <w:sz w:val="20"/>
          <w:szCs w:val="20"/>
        </w:rPr>
        <w:t>Pattern Recognition Letters</w:t>
      </w:r>
      <w:r w:rsidRPr="001B4D1F">
        <w:rPr>
          <w:noProof/>
          <w:sz w:val="20"/>
          <w:szCs w:val="20"/>
        </w:rPr>
        <w:t>, vol. 135, pp. 244–248, Jul. 2020.</w:t>
      </w:r>
    </w:p>
    <w:p w14:paraId="699A3C51" w14:textId="3D7ADED1" w:rsidR="006852C5" w:rsidRPr="001B4D1F" w:rsidRDefault="006852C5" w:rsidP="00320BED">
      <w:pPr>
        <w:pStyle w:val="ListParagraph"/>
        <w:widowControl w:val="0"/>
        <w:numPr>
          <w:ilvl w:val="0"/>
          <w:numId w:val="10"/>
        </w:numPr>
        <w:autoSpaceDE w:val="0"/>
        <w:autoSpaceDN w:val="0"/>
        <w:adjustRightInd w:val="0"/>
        <w:jc w:val="both"/>
        <w:rPr>
          <w:noProof/>
          <w:sz w:val="20"/>
          <w:szCs w:val="20"/>
        </w:rPr>
      </w:pPr>
      <w:r w:rsidRPr="001B4D1F">
        <w:rPr>
          <w:noProof/>
          <w:sz w:val="20"/>
          <w:szCs w:val="20"/>
        </w:rPr>
        <w:t xml:space="preserve">M. Frid-Adar, I. Diamant, E. Klang, M. Amitai, J. Goldberger, and H. Greenspan, “GAN-based synthetic medical image augmentation for increased CNN performance in liver lesion classification,” </w:t>
      </w:r>
      <w:r w:rsidRPr="001B4D1F">
        <w:rPr>
          <w:i/>
          <w:iCs/>
          <w:noProof/>
          <w:sz w:val="20"/>
          <w:szCs w:val="20"/>
        </w:rPr>
        <w:t>Neurocomputing</w:t>
      </w:r>
      <w:r w:rsidRPr="001B4D1F">
        <w:rPr>
          <w:noProof/>
          <w:sz w:val="20"/>
          <w:szCs w:val="20"/>
        </w:rPr>
        <w:t>, vol. 321, pp. 321–331, Dec. 2018.</w:t>
      </w:r>
    </w:p>
    <w:p w14:paraId="5D08E669" w14:textId="2DC2CB53" w:rsidR="006852C5" w:rsidRPr="001B4D1F" w:rsidRDefault="006852C5" w:rsidP="00320BED">
      <w:pPr>
        <w:pStyle w:val="ListParagraph"/>
        <w:widowControl w:val="0"/>
        <w:numPr>
          <w:ilvl w:val="0"/>
          <w:numId w:val="10"/>
        </w:numPr>
        <w:autoSpaceDE w:val="0"/>
        <w:autoSpaceDN w:val="0"/>
        <w:adjustRightInd w:val="0"/>
        <w:jc w:val="both"/>
        <w:rPr>
          <w:noProof/>
          <w:sz w:val="20"/>
          <w:szCs w:val="20"/>
        </w:rPr>
      </w:pPr>
      <w:r w:rsidRPr="001B4D1F">
        <w:rPr>
          <w:noProof/>
          <w:sz w:val="20"/>
          <w:szCs w:val="20"/>
        </w:rPr>
        <w:t xml:space="preserve">M. P. Ranjit, G. Ganapathy, K. Sridhar, and V. Arumugham, “Efficient deep learning hyperparameter tuning using cloud infrastructure: Intelligent distributed hyperparameter tuning with Bayesian optimization in the cloud,” </w:t>
      </w:r>
      <w:r w:rsidRPr="001B4D1F">
        <w:rPr>
          <w:i/>
          <w:iCs/>
          <w:noProof/>
          <w:sz w:val="20"/>
          <w:szCs w:val="20"/>
        </w:rPr>
        <w:t>IEEE International Conference on Cloud Computing, CLOUD</w:t>
      </w:r>
      <w:r w:rsidRPr="001B4D1F">
        <w:rPr>
          <w:noProof/>
          <w:sz w:val="20"/>
          <w:szCs w:val="20"/>
        </w:rPr>
        <w:t>, vol. 2019-July, pp. 520–522, Jul. 2019.</w:t>
      </w:r>
    </w:p>
    <w:p w14:paraId="397C3511" w14:textId="24FEE900" w:rsidR="006852C5" w:rsidRPr="001B4D1F" w:rsidRDefault="006852C5" w:rsidP="00320BED">
      <w:pPr>
        <w:pStyle w:val="ListParagraph"/>
        <w:widowControl w:val="0"/>
        <w:numPr>
          <w:ilvl w:val="0"/>
          <w:numId w:val="10"/>
        </w:numPr>
        <w:autoSpaceDE w:val="0"/>
        <w:autoSpaceDN w:val="0"/>
        <w:adjustRightInd w:val="0"/>
        <w:jc w:val="both"/>
        <w:rPr>
          <w:noProof/>
          <w:sz w:val="20"/>
          <w:szCs w:val="20"/>
        </w:rPr>
      </w:pPr>
      <w:r w:rsidRPr="001B4D1F">
        <w:rPr>
          <w:noProof/>
          <w:sz w:val="20"/>
          <w:szCs w:val="20"/>
        </w:rPr>
        <w:t xml:space="preserve">P. L. Neary, “Automatic hyperparameter tuning in deep convolutional neural networks using asynchronous reinforcement learning,” </w:t>
      </w:r>
      <w:r w:rsidRPr="001B4D1F">
        <w:rPr>
          <w:i/>
          <w:iCs/>
          <w:noProof/>
          <w:sz w:val="20"/>
          <w:szCs w:val="20"/>
        </w:rPr>
        <w:t>Proceedings - 2018 IEEE International Conference on Cognitive Computing, ICCC 2018 - Part of the 2018 IEEE World Congress on Services</w:t>
      </w:r>
      <w:r w:rsidRPr="001B4D1F">
        <w:rPr>
          <w:noProof/>
          <w:sz w:val="20"/>
          <w:szCs w:val="20"/>
        </w:rPr>
        <w:t>, pp. 73–77, Sep. 2018.</w:t>
      </w:r>
    </w:p>
    <w:p w14:paraId="6D0CAEBB" w14:textId="623D612A" w:rsidR="006852C5" w:rsidRPr="001B4D1F" w:rsidRDefault="006852C5" w:rsidP="00320BED">
      <w:pPr>
        <w:pStyle w:val="ListParagraph"/>
        <w:widowControl w:val="0"/>
        <w:numPr>
          <w:ilvl w:val="0"/>
          <w:numId w:val="10"/>
        </w:numPr>
        <w:autoSpaceDE w:val="0"/>
        <w:autoSpaceDN w:val="0"/>
        <w:adjustRightInd w:val="0"/>
        <w:jc w:val="both"/>
        <w:rPr>
          <w:noProof/>
          <w:sz w:val="20"/>
          <w:szCs w:val="20"/>
        </w:rPr>
      </w:pPr>
      <w:r w:rsidRPr="001B4D1F">
        <w:rPr>
          <w:noProof/>
          <w:sz w:val="20"/>
          <w:szCs w:val="20"/>
        </w:rPr>
        <w:t xml:space="preserve">I. Kandel and M. Castelli, “The effect of batch size on the generalizability of the convolutional neural networks on a histopathology dataset,” </w:t>
      </w:r>
      <w:r w:rsidRPr="001B4D1F">
        <w:rPr>
          <w:i/>
          <w:iCs/>
          <w:noProof/>
          <w:sz w:val="20"/>
          <w:szCs w:val="20"/>
        </w:rPr>
        <w:t>ICT Express</w:t>
      </w:r>
      <w:r w:rsidRPr="001B4D1F">
        <w:rPr>
          <w:noProof/>
          <w:sz w:val="20"/>
          <w:szCs w:val="20"/>
        </w:rPr>
        <w:t>, vol. 6, no. 4, pp. 312–315, Dec. 2020.</w:t>
      </w:r>
    </w:p>
    <w:p w14:paraId="1A9828CF" w14:textId="67C582FD" w:rsidR="006852C5" w:rsidRPr="001B4D1F" w:rsidRDefault="006852C5" w:rsidP="00320BED">
      <w:pPr>
        <w:pStyle w:val="ListParagraph"/>
        <w:widowControl w:val="0"/>
        <w:numPr>
          <w:ilvl w:val="0"/>
          <w:numId w:val="10"/>
        </w:numPr>
        <w:autoSpaceDE w:val="0"/>
        <w:autoSpaceDN w:val="0"/>
        <w:adjustRightInd w:val="0"/>
        <w:jc w:val="both"/>
        <w:rPr>
          <w:noProof/>
          <w:sz w:val="20"/>
          <w:szCs w:val="20"/>
        </w:rPr>
      </w:pPr>
      <w:r w:rsidRPr="001B4D1F">
        <w:rPr>
          <w:noProof/>
          <w:sz w:val="20"/>
          <w:szCs w:val="20"/>
        </w:rPr>
        <w:t xml:space="preserve">M. Macenko </w:t>
      </w:r>
      <w:r w:rsidRPr="001B4D1F">
        <w:rPr>
          <w:i/>
          <w:iCs/>
          <w:noProof/>
          <w:sz w:val="20"/>
          <w:szCs w:val="20"/>
        </w:rPr>
        <w:t>et al.</w:t>
      </w:r>
      <w:r w:rsidRPr="001B4D1F">
        <w:rPr>
          <w:noProof/>
          <w:sz w:val="20"/>
          <w:szCs w:val="20"/>
        </w:rPr>
        <w:t xml:space="preserve">, “A method for normalizing histology slides for quantitative analysis,” </w:t>
      </w:r>
      <w:r w:rsidRPr="001B4D1F">
        <w:rPr>
          <w:i/>
          <w:iCs/>
          <w:noProof/>
          <w:sz w:val="20"/>
          <w:szCs w:val="20"/>
        </w:rPr>
        <w:t xml:space="preserve">Proceedings - 2009 </w:t>
      </w:r>
      <w:r w:rsidRPr="001B4D1F">
        <w:rPr>
          <w:i/>
          <w:iCs/>
          <w:noProof/>
          <w:sz w:val="20"/>
          <w:szCs w:val="20"/>
        </w:rPr>
        <w:lastRenderedPageBreak/>
        <w:t>IEEE International Symposium on Biomedical Imaging: From Nano to Macro, ISBI 2009</w:t>
      </w:r>
      <w:r w:rsidRPr="001B4D1F">
        <w:rPr>
          <w:noProof/>
          <w:sz w:val="20"/>
          <w:szCs w:val="20"/>
        </w:rPr>
        <w:t>, pp. 1107–1110, 2009.</w:t>
      </w:r>
    </w:p>
    <w:p w14:paraId="5A623DD4" w14:textId="1F3F11FB" w:rsidR="006852C5" w:rsidRPr="001B4D1F" w:rsidRDefault="006852C5" w:rsidP="00320BED">
      <w:pPr>
        <w:pStyle w:val="ListParagraph"/>
        <w:widowControl w:val="0"/>
        <w:numPr>
          <w:ilvl w:val="0"/>
          <w:numId w:val="10"/>
        </w:numPr>
        <w:autoSpaceDE w:val="0"/>
        <w:autoSpaceDN w:val="0"/>
        <w:adjustRightInd w:val="0"/>
        <w:jc w:val="both"/>
        <w:rPr>
          <w:noProof/>
          <w:sz w:val="20"/>
          <w:szCs w:val="20"/>
        </w:rPr>
      </w:pPr>
      <w:r w:rsidRPr="001B4D1F">
        <w:rPr>
          <w:noProof/>
          <w:sz w:val="20"/>
          <w:szCs w:val="20"/>
        </w:rPr>
        <w:t xml:space="preserve">S. Qummar </w:t>
      </w:r>
      <w:r w:rsidRPr="001B4D1F">
        <w:rPr>
          <w:i/>
          <w:iCs/>
          <w:noProof/>
          <w:sz w:val="20"/>
          <w:szCs w:val="20"/>
        </w:rPr>
        <w:t>et al.</w:t>
      </w:r>
      <w:r w:rsidRPr="001B4D1F">
        <w:rPr>
          <w:noProof/>
          <w:sz w:val="20"/>
          <w:szCs w:val="20"/>
        </w:rPr>
        <w:t xml:space="preserve">, “A Deep Learning Ensemble Approach for Diabetic Retinopathy Detection,” </w:t>
      </w:r>
      <w:r w:rsidRPr="001B4D1F">
        <w:rPr>
          <w:i/>
          <w:iCs/>
          <w:noProof/>
          <w:sz w:val="20"/>
          <w:szCs w:val="20"/>
        </w:rPr>
        <w:t>IEEE Access</w:t>
      </w:r>
      <w:r w:rsidRPr="001B4D1F">
        <w:rPr>
          <w:noProof/>
          <w:sz w:val="20"/>
          <w:szCs w:val="20"/>
        </w:rPr>
        <w:t>, vol. 7, pp. 150530–150539, 2019.</w:t>
      </w:r>
    </w:p>
    <w:p w14:paraId="05EAC370" w14:textId="51A19D81" w:rsidR="006852C5" w:rsidRPr="001B4D1F" w:rsidRDefault="006852C5" w:rsidP="00320BED">
      <w:pPr>
        <w:pStyle w:val="ListParagraph"/>
        <w:widowControl w:val="0"/>
        <w:numPr>
          <w:ilvl w:val="0"/>
          <w:numId w:val="10"/>
        </w:numPr>
        <w:autoSpaceDE w:val="0"/>
        <w:autoSpaceDN w:val="0"/>
        <w:adjustRightInd w:val="0"/>
        <w:jc w:val="both"/>
        <w:rPr>
          <w:noProof/>
          <w:sz w:val="20"/>
          <w:szCs w:val="20"/>
        </w:rPr>
      </w:pPr>
      <w:r w:rsidRPr="001B4D1F">
        <w:rPr>
          <w:noProof/>
          <w:sz w:val="20"/>
          <w:szCs w:val="20"/>
        </w:rPr>
        <w:t xml:space="preserve">Y. S. Chen, P. P. Chong, and M. Y. Tong, “Mathematical and computer modelling of the Pareto principle,” </w:t>
      </w:r>
      <w:r w:rsidRPr="001B4D1F">
        <w:rPr>
          <w:i/>
          <w:iCs/>
          <w:noProof/>
          <w:sz w:val="20"/>
          <w:szCs w:val="20"/>
        </w:rPr>
        <w:t>Mathematical and Computer Modelling</w:t>
      </w:r>
      <w:r w:rsidRPr="001B4D1F">
        <w:rPr>
          <w:noProof/>
          <w:sz w:val="20"/>
          <w:szCs w:val="20"/>
        </w:rPr>
        <w:t>, vol. 19, no. 9, pp. 61–80, May 1994.</w:t>
      </w:r>
    </w:p>
    <w:p w14:paraId="1A5855DD" w14:textId="4024371A" w:rsidR="006852C5" w:rsidRPr="001B4D1F" w:rsidRDefault="006852C5" w:rsidP="00320BED">
      <w:pPr>
        <w:pStyle w:val="ListParagraph"/>
        <w:widowControl w:val="0"/>
        <w:numPr>
          <w:ilvl w:val="0"/>
          <w:numId w:val="10"/>
        </w:numPr>
        <w:autoSpaceDE w:val="0"/>
        <w:autoSpaceDN w:val="0"/>
        <w:adjustRightInd w:val="0"/>
        <w:jc w:val="both"/>
        <w:rPr>
          <w:noProof/>
          <w:sz w:val="20"/>
          <w:szCs w:val="20"/>
        </w:rPr>
      </w:pPr>
      <w:r w:rsidRPr="001B4D1F">
        <w:rPr>
          <w:noProof/>
          <w:sz w:val="20"/>
          <w:szCs w:val="20"/>
        </w:rPr>
        <w:t xml:space="preserve">R. Sanders, “The pareto principle: Its use and abuse,” </w:t>
      </w:r>
      <w:r w:rsidRPr="001B4D1F">
        <w:rPr>
          <w:i/>
          <w:iCs/>
          <w:noProof/>
          <w:sz w:val="20"/>
          <w:szCs w:val="20"/>
        </w:rPr>
        <w:t>Journal of Services Marketing</w:t>
      </w:r>
      <w:r w:rsidRPr="001B4D1F">
        <w:rPr>
          <w:noProof/>
          <w:sz w:val="20"/>
          <w:szCs w:val="20"/>
        </w:rPr>
        <w:t>, vol. 1, no. 2, pp. 37–40, 1987.</w:t>
      </w:r>
    </w:p>
    <w:p w14:paraId="49E2BF46" w14:textId="4862C719" w:rsidR="006852C5" w:rsidRPr="001B4D1F" w:rsidRDefault="006852C5" w:rsidP="00320BED">
      <w:pPr>
        <w:pStyle w:val="ListParagraph"/>
        <w:widowControl w:val="0"/>
        <w:numPr>
          <w:ilvl w:val="0"/>
          <w:numId w:val="10"/>
        </w:numPr>
        <w:autoSpaceDE w:val="0"/>
        <w:autoSpaceDN w:val="0"/>
        <w:adjustRightInd w:val="0"/>
        <w:jc w:val="both"/>
        <w:rPr>
          <w:noProof/>
          <w:sz w:val="20"/>
          <w:szCs w:val="20"/>
        </w:rPr>
      </w:pPr>
      <w:r w:rsidRPr="001B4D1F">
        <w:rPr>
          <w:noProof/>
          <w:sz w:val="20"/>
          <w:szCs w:val="20"/>
        </w:rPr>
        <w:t xml:space="preserve">S. Pandey, P. R. Singh, and J. Tian, “An image augmentation approach using two-stage generative adversarial network for nuclei image segmentation,” </w:t>
      </w:r>
      <w:r w:rsidRPr="001B4D1F">
        <w:rPr>
          <w:i/>
          <w:iCs/>
          <w:noProof/>
          <w:sz w:val="20"/>
          <w:szCs w:val="20"/>
        </w:rPr>
        <w:t>Biomedical Signal Processing and Control</w:t>
      </w:r>
      <w:r w:rsidRPr="001B4D1F">
        <w:rPr>
          <w:noProof/>
          <w:sz w:val="20"/>
          <w:szCs w:val="20"/>
        </w:rPr>
        <w:t>, vol. 57, p. 101782, Mar. 2020.</w:t>
      </w:r>
    </w:p>
    <w:p w14:paraId="1AD0BEEB" w14:textId="107CDE14" w:rsidR="006852C5" w:rsidRPr="001B4D1F" w:rsidRDefault="006852C5" w:rsidP="00320BED">
      <w:pPr>
        <w:pStyle w:val="ListParagraph"/>
        <w:widowControl w:val="0"/>
        <w:numPr>
          <w:ilvl w:val="0"/>
          <w:numId w:val="10"/>
        </w:numPr>
        <w:autoSpaceDE w:val="0"/>
        <w:autoSpaceDN w:val="0"/>
        <w:adjustRightInd w:val="0"/>
        <w:jc w:val="both"/>
        <w:rPr>
          <w:noProof/>
          <w:sz w:val="20"/>
          <w:szCs w:val="20"/>
        </w:rPr>
      </w:pPr>
      <w:r w:rsidRPr="001B4D1F">
        <w:rPr>
          <w:noProof/>
          <w:sz w:val="20"/>
          <w:szCs w:val="20"/>
        </w:rPr>
        <w:t xml:space="preserve">Y. S. Perl </w:t>
      </w:r>
      <w:r w:rsidRPr="001B4D1F">
        <w:rPr>
          <w:i/>
          <w:iCs/>
          <w:noProof/>
          <w:sz w:val="20"/>
          <w:szCs w:val="20"/>
        </w:rPr>
        <w:t>et al.</w:t>
      </w:r>
      <w:r w:rsidRPr="001B4D1F">
        <w:rPr>
          <w:noProof/>
          <w:sz w:val="20"/>
          <w:szCs w:val="20"/>
        </w:rPr>
        <w:t xml:space="preserve">, “Data augmentation based on dynamical systems for the classification of brain states,” </w:t>
      </w:r>
      <w:r w:rsidRPr="001B4D1F">
        <w:rPr>
          <w:i/>
          <w:iCs/>
          <w:noProof/>
          <w:sz w:val="20"/>
          <w:szCs w:val="20"/>
        </w:rPr>
        <w:t>Chaos, Solitons &amp; Fractals</w:t>
      </w:r>
      <w:r w:rsidRPr="001B4D1F">
        <w:rPr>
          <w:noProof/>
          <w:sz w:val="20"/>
          <w:szCs w:val="20"/>
        </w:rPr>
        <w:t>, vol. 139, p. 110069, Oct. 2020.</w:t>
      </w:r>
    </w:p>
    <w:p w14:paraId="5538F2B8" w14:textId="2160707F" w:rsidR="006852C5" w:rsidRPr="001B4D1F" w:rsidRDefault="006852C5" w:rsidP="00320BED">
      <w:pPr>
        <w:pStyle w:val="ListParagraph"/>
        <w:widowControl w:val="0"/>
        <w:numPr>
          <w:ilvl w:val="0"/>
          <w:numId w:val="10"/>
        </w:numPr>
        <w:autoSpaceDE w:val="0"/>
        <w:autoSpaceDN w:val="0"/>
        <w:adjustRightInd w:val="0"/>
        <w:jc w:val="both"/>
        <w:rPr>
          <w:noProof/>
          <w:sz w:val="20"/>
          <w:szCs w:val="20"/>
        </w:rPr>
      </w:pPr>
      <w:r w:rsidRPr="001B4D1F">
        <w:rPr>
          <w:noProof/>
          <w:sz w:val="20"/>
          <w:szCs w:val="20"/>
        </w:rPr>
        <w:t xml:space="preserve">U. Blazhko, V. Shapaval, V. Kovalev, and A. Kohler, “Comparison of augmentation and pre-processing for deep learning and chemometric classification of infrared spectra,” </w:t>
      </w:r>
      <w:r w:rsidRPr="001B4D1F">
        <w:rPr>
          <w:i/>
          <w:iCs/>
          <w:noProof/>
          <w:sz w:val="20"/>
          <w:szCs w:val="20"/>
        </w:rPr>
        <w:t>Chemometrics and Intelligent Laboratory Systems</w:t>
      </w:r>
      <w:r w:rsidRPr="001B4D1F">
        <w:rPr>
          <w:noProof/>
          <w:sz w:val="20"/>
          <w:szCs w:val="20"/>
        </w:rPr>
        <w:t>, vol. 215, p. 104367, Aug. 2021.</w:t>
      </w:r>
    </w:p>
    <w:p w14:paraId="7E85C954" w14:textId="04C46346" w:rsidR="00BF6F61" w:rsidRPr="005D571B" w:rsidRDefault="006852C5" w:rsidP="006852C5">
      <w:pPr>
        <w:pStyle w:val="Reference"/>
        <w:numPr>
          <w:ilvl w:val="0"/>
          <w:numId w:val="0"/>
        </w:numPr>
        <w:rPr>
          <w:rFonts w:eastAsia="Calibri"/>
        </w:rPr>
      </w:pPr>
      <w:r w:rsidRPr="001B4D1F">
        <w:fldChar w:fldCharType="end"/>
      </w:r>
      <w:r w:rsidR="00EA50A7" w:rsidRPr="005D571B">
        <w:rPr>
          <w:rFonts w:eastAsia="Calibri"/>
        </w:rPr>
        <w:t xml:space="preserve"> </w:t>
      </w:r>
    </w:p>
    <w:sectPr w:rsidR="00BF6F61" w:rsidRPr="005D571B" w:rsidSect="00A10F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5F26DA"/>
    <w:multiLevelType w:val="hybridMultilevel"/>
    <w:tmpl w:val="7FDA5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7C74E1"/>
    <w:multiLevelType w:val="hybridMultilevel"/>
    <w:tmpl w:val="4AB8E7F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3B46A7F"/>
    <w:multiLevelType w:val="hybridMultilevel"/>
    <w:tmpl w:val="4474A270"/>
    <w:lvl w:ilvl="0" w:tplc="5D4EE71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8C31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4E5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CF5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263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2EE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E90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6C3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411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5596471"/>
    <w:multiLevelType w:val="multilevel"/>
    <w:tmpl w:val="EFB6A20E"/>
    <w:lvl w:ilvl="0">
      <w:start w:val="1"/>
      <w:numFmt w:val="upperLetter"/>
      <w:lvlText w:val="%1."/>
      <w:lvlJc w:val="left"/>
      <w:pPr>
        <w:ind w:left="360" w:hanging="360"/>
      </w:pPr>
      <w:rPr>
        <w:b w:val="0"/>
        <w:i/>
        <w:smallCaps/>
        <w:strike w:val="0"/>
        <w:color w:val="000000"/>
        <w:sz w:val="20"/>
        <w:szCs w:val="20"/>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665D42F8"/>
    <w:multiLevelType w:val="hybridMultilevel"/>
    <w:tmpl w:val="67A6CE80"/>
    <w:lvl w:ilvl="0" w:tplc="77AEE9DC">
      <w:start w:val="1"/>
      <w:numFmt w:val="upperLetter"/>
      <w:lvlText w:val="%1."/>
      <w:lvlJc w:val="left"/>
      <w:pPr>
        <w:ind w:left="720" w:hanging="360"/>
      </w:pPr>
      <w:rPr>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61053C"/>
    <w:multiLevelType w:val="hybridMultilevel"/>
    <w:tmpl w:val="50A6712E"/>
    <w:lvl w:ilvl="0" w:tplc="D0468A98">
      <w:start w:val="1"/>
      <w:numFmt w:val="lowerLetter"/>
      <w:lvlText w:val="%1."/>
      <w:lvlJc w:val="left"/>
      <w:pPr>
        <w:ind w:left="644" w:hanging="360"/>
      </w:pPr>
      <w:rPr>
        <w:rFonts w:hint="default"/>
        <w:i w:val="0"/>
        <w:color w:val="333333"/>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9" w15:restartNumberingAfterBreak="0">
    <w:nsid w:val="7C1C0695"/>
    <w:multiLevelType w:val="hybridMultilevel"/>
    <w:tmpl w:val="8AF41C20"/>
    <w:lvl w:ilvl="0" w:tplc="77AEE9DC">
      <w:start w:val="1"/>
      <w:numFmt w:val="upperLetter"/>
      <w:lvlText w:val="%1."/>
      <w:lvlJc w:val="left"/>
      <w:pPr>
        <w:ind w:left="720" w:hanging="360"/>
      </w:pPr>
      <w:rPr>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6409346">
    <w:abstractNumId w:val="2"/>
  </w:num>
  <w:num w:numId="2" w16cid:durableId="823620291">
    <w:abstractNumId w:val="0"/>
  </w:num>
  <w:num w:numId="3" w16cid:durableId="1508405430">
    <w:abstractNumId w:val="3"/>
  </w:num>
  <w:num w:numId="4" w16cid:durableId="1715039621">
    <w:abstractNumId w:val="8"/>
  </w:num>
  <w:num w:numId="5" w16cid:durableId="1145705345">
    <w:abstractNumId w:val="4"/>
  </w:num>
  <w:num w:numId="6" w16cid:durableId="1645159115">
    <w:abstractNumId w:val="7"/>
  </w:num>
  <w:num w:numId="7" w16cid:durableId="63261597">
    <w:abstractNumId w:val="5"/>
  </w:num>
  <w:num w:numId="8" w16cid:durableId="1469788249">
    <w:abstractNumId w:val="9"/>
  </w:num>
  <w:num w:numId="9" w16cid:durableId="1813787791">
    <w:abstractNumId w:val="6"/>
  </w:num>
  <w:num w:numId="10" w16cid:durableId="2148502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7AwMbUwNzA2NTMwMzNX0lEKTi0uzszPAykwrAUAwzbyViw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EA50A7"/>
    <w:rsid w:val="0001007B"/>
    <w:rsid w:val="000442BF"/>
    <w:rsid w:val="00052AE0"/>
    <w:rsid w:val="00053169"/>
    <w:rsid w:val="00053198"/>
    <w:rsid w:val="00075A9B"/>
    <w:rsid w:val="000C4C41"/>
    <w:rsid w:val="000F1554"/>
    <w:rsid w:val="000F1D3A"/>
    <w:rsid w:val="000F6769"/>
    <w:rsid w:val="001403BE"/>
    <w:rsid w:val="001656F5"/>
    <w:rsid w:val="0017487D"/>
    <w:rsid w:val="001B1CF1"/>
    <w:rsid w:val="001B4656"/>
    <w:rsid w:val="001B4D1F"/>
    <w:rsid w:val="001B50EC"/>
    <w:rsid w:val="002424DD"/>
    <w:rsid w:val="002547D6"/>
    <w:rsid w:val="00294220"/>
    <w:rsid w:val="002B7DA8"/>
    <w:rsid w:val="00300407"/>
    <w:rsid w:val="00320BED"/>
    <w:rsid w:val="00323753"/>
    <w:rsid w:val="00345A86"/>
    <w:rsid w:val="00346886"/>
    <w:rsid w:val="00352007"/>
    <w:rsid w:val="00366DB0"/>
    <w:rsid w:val="003E0ED5"/>
    <w:rsid w:val="004108F2"/>
    <w:rsid w:val="00427C79"/>
    <w:rsid w:val="00435124"/>
    <w:rsid w:val="00483823"/>
    <w:rsid w:val="004D1B67"/>
    <w:rsid w:val="004F0FE1"/>
    <w:rsid w:val="004F659E"/>
    <w:rsid w:val="005079FC"/>
    <w:rsid w:val="00511881"/>
    <w:rsid w:val="00517755"/>
    <w:rsid w:val="00523BA3"/>
    <w:rsid w:val="00525C15"/>
    <w:rsid w:val="00541A3B"/>
    <w:rsid w:val="005649A6"/>
    <w:rsid w:val="005A240E"/>
    <w:rsid w:val="005C2B16"/>
    <w:rsid w:val="005D571B"/>
    <w:rsid w:val="005E0C4C"/>
    <w:rsid w:val="00656226"/>
    <w:rsid w:val="006852C5"/>
    <w:rsid w:val="006C4020"/>
    <w:rsid w:val="006F6357"/>
    <w:rsid w:val="007279A9"/>
    <w:rsid w:val="00784F94"/>
    <w:rsid w:val="007B0D2E"/>
    <w:rsid w:val="007B730D"/>
    <w:rsid w:val="007B7914"/>
    <w:rsid w:val="00814CF0"/>
    <w:rsid w:val="00852515"/>
    <w:rsid w:val="008B1275"/>
    <w:rsid w:val="008C3B35"/>
    <w:rsid w:val="008C53E3"/>
    <w:rsid w:val="008D6ED3"/>
    <w:rsid w:val="009008AB"/>
    <w:rsid w:val="00913803"/>
    <w:rsid w:val="00971E8B"/>
    <w:rsid w:val="00991411"/>
    <w:rsid w:val="009A7BC2"/>
    <w:rsid w:val="00A10F65"/>
    <w:rsid w:val="00A5576E"/>
    <w:rsid w:val="00AA3156"/>
    <w:rsid w:val="00AC5C22"/>
    <w:rsid w:val="00AD0697"/>
    <w:rsid w:val="00B10665"/>
    <w:rsid w:val="00B11341"/>
    <w:rsid w:val="00B45A8C"/>
    <w:rsid w:val="00B56FCD"/>
    <w:rsid w:val="00B6146E"/>
    <w:rsid w:val="00BF6F61"/>
    <w:rsid w:val="00C15386"/>
    <w:rsid w:val="00C90568"/>
    <w:rsid w:val="00CA3BBC"/>
    <w:rsid w:val="00CB1FE9"/>
    <w:rsid w:val="00D2657D"/>
    <w:rsid w:val="00D67413"/>
    <w:rsid w:val="00D72429"/>
    <w:rsid w:val="00DA6D7D"/>
    <w:rsid w:val="00DF7FEA"/>
    <w:rsid w:val="00EA50A7"/>
    <w:rsid w:val="00EC02EB"/>
    <w:rsid w:val="00F05A2C"/>
    <w:rsid w:val="00F162DE"/>
    <w:rsid w:val="00F8468D"/>
    <w:rsid w:val="00FF5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1A451"/>
  <w15:docId w15:val="{0D4BFCF4-E0BE-482C-B5DA-B8D3D0FC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84F94"/>
    <w:pPr>
      <w:spacing w:after="0" w:line="240" w:lineRule="auto"/>
    </w:pPr>
    <w:rPr>
      <w:rFonts w:ascii="Times New Roman" w:eastAsia="Times New Roman" w:hAnsi="Times New Roman" w:cs="Times New Roman"/>
      <w:sz w:val="24"/>
      <w:szCs w:val="20"/>
    </w:rPr>
  </w:style>
  <w:style w:type="paragraph" w:styleId="Heading1">
    <w:name w:val="heading 1"/>
    <w:basedOn w:val="Normal"/>
    <w:next w:val="Paragraph"/>
    <w:link w:val="Heading1Char"/>
    <w:qFormat/>
    <w:rsid w:val="00784F94"/>
    <w:pPr>
      <w:keepNext/>
      <w:spacing w:before="240" w:after="240"/>
      <w:jc w:val="center"/>
      <w:outlineLvl w:val="0"/>
    </w:pPr>
    <w:rPr>
      <w:b/>
      <w:caps/>
    </w:rPr>
  </w:style>
  <w:style w:type="paragraph" w:styleId="Heading2">
    <w:name w:val="heading 2"/>
    <w:basedOn w:val="Normal"/>
    <w:next w:val="Paragraph"/>
    <w:link w:val="Heading2Char"/>
    <w:qFormat/>
    <w:rsid w:val="00784F94"/>
    <w:pPr>
      <w:keepNext/>
      <w:spacing w:before="240" w:after="240"/>
      <w:jc w:val="center"/>
      <w:outlineLvl w:val="1"/>
    </w:pPr>
    <w:rPr>
      <w:b/>
    </w:rPr>
  </w:style>
  <w:style w:type="paragraph" w:styleId="Heading3">
    <w:name w:val="heading 3"/>
    <w:basedOn w:val="Normal"/>
    <w:next w:val="Normal"/>
    <w:link w:val="Heading3Char"/>
    <w:qFormat/>
    <w:rsid w:val="00784F94"/>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50A7"/>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EA50A7"/>
    <w:rPr>
      <w:rFonts w:ascii="Times New Roman" w:eastAsia="Times New Roman" w:hAnsi="Times New Roman" w:cs="Times New Roman"/>
      <w:b/>
      <w:sz w:val="24"/>
      <w:szCs w:val="20"/>
    </w:rPr>
  </w:style>
  <w:style w:type="paragraph" w:customStyle="1" w:styleId="Abstract">
    <w:name w:val="Abstract"/>
    <w:basedOn w:val="Normal"/>
    <w:next w:val="Heading1"/>
    <w:rsid w:val="00784F94"/>
    <w:pPr>
      <w:spacing w:before="360" w:after="360"/>
      <w:ind w:left="289" w:right="289"/>
      <w:jc w:val="both"/>
    </w:pPr>
    <w:rPr>
      <w:sz w:val="18"/>
    </w:rPr>
  </w:style>
  <w:style w:type="paragraph" w:customStyle="1" w:styleId="AuthorAffiliation">
    <w:name w:val="Author Affiliation"/>
    <w:basedOn w:val="Normal"/>
    <w:rsid w:val="00784F94"/>
    <w:pPr>
      <w:jc w:val="center"/>
    </w:pPr>
    <w:rPr>
      <w:i/>
      <w:sz w:val="20"/>
    </w:rPr>
  </w:style>
  <w:style w:type="paragraph" w:customStyle="1" w:styleId="AuthorEmail">
    <w:name w:val="Author Email"/>
    <w:basedOn w:val="Normal"/>
    <w:qFormat/>
    <w:rsid w:val="00784F94"/>
    <w:pPr>
      <w:jc w:val="center"/>
    </w:pPr>
    <w:rPr>
      <w:sz w:val="20"/>
    </w:rPr>
  </w:style>
  <w:style w:type="paragraph" w:customStyle="1" w:styleId="AuthorName">
    <w:name w:val="Author Name"/>
    <w:basedOn w:val="Normal"/>
    <w:next w:val="AuthorAffiliation"/>
    <w:rsid w:val="00784F94"/>
    <w:pPr>
      <w:spacing w:before="360" w:after="360"/>
      <w:jc w:val="center"/>
    </w:pPr>
    <w:rPr>
      <w:sz w:val="28"/>
    </w:rPr>
  </w:style>
  <w:style w:type="paragraph" w:styleId="BalloonText">
    <w:name w:val="Balloon Text"/>
    <w:basedOn w:val="Normal"/>
    <w:link w:val="BalloonTextChar"/>
    <w:rsid w:val="00784F94"/>
    <w:rPr>
      <w:rFonts w:ascii="Tahoma" w:hAnsi="Tahoma" w:cs="Tahoma"/>
      <w:sz w:val="16"/>
      <w:szCs w:val="16"/>
    </w:rPr>
  </w:style>
  <w:style w:type="character" w:customStyle="1" w:styleId="BalloonTextChar">
    <w:name w:val="Balloon Text Char"/>
    <w:basedOn w:val="DefaultParagraphFont"/>
    <w:link w:val="BalloonText"/>
    <w:rsid w:val="00784F94"/>
    <w:rPr>
      <w:rFonts w:ascii="Tahoma" w:eastAsia="Times New Roman" w:hAnsi="Tahoma" w:cs="Tahoma"/>
      <w:sz w:val="16"/>
      <w:szCs w:val="16"/>
    </w:rPr>
  </w:style>
  <w:style w:type="character" w:styleId="Emphasis">
    <w:name w:val="Emphasis"/>
    <w:basedOn w:val="DefaultParagraphFont"/>
    <w:uiPriority w:val="20"/>
    <w:qFormat/>
    <w:rsid w:val="004108F2"/>
    <w:rPr>
      <w:color w:val="333333"/>
    </w:rPr>
  </w:style>
  <w:style w:type="paragraph" w:customStyle="1" w:styleId="Paragraph">
    <w:name w:val="Paragraph"/>
    <w:basedOn w:val="Normal"/>
    <w:rsid w:val="00784F94"/>
    <w:pPr>
      <w:ind w:firstLine="284"/>
      <w:jc w:val="both"/>
    </w:pPr>
    <w:rPr>
      <w:sz w:val="20"/>
    </w:rPr>
  </w:style>
  <w:style w:type="paragraph" w:customStyle="1" w:styleId="Equation">
    <w:name w:val="Equation"/>
    <w:basedOn w:val="Paragraph"/>
    <w:rsid w:val="00784F94"/>
    <w:pPr>
      <w:tabs>
        <w:tab w:val="center" w:pos="4320"/>
        <w:tab w:val="right" w:pos="9242"/>
      </w:tabs>
      <w:ind w:firstLine="0"/>
      <w:jc w:val="center"/>
    </w:pPr>
  </w:style>
  <w:style w:type="paragraph" w:customStyle="1" w:styleId="Figure">
    <w:name w:val="Figure"/>
    <w:basedOn w:val="Paragraph"/>
    <w:rsid w:val="00784F94"/>
    <w:pPr>
      <w:keepNext/>
      <w:ind w:firstLine="0"/>
      <w:jc w:val="center"/>
    </w:pPr>
  </w:style>
  <w:style w:type="paragraph" w:customStyle="1" w:styleId="FigureCaption">
    <w:name w:val="Figure Caption"/>
    <w:next w:val="Paragraph"/>
    <w:rsid w:val="00784F94"/>
    <w:pPr>
      <w:spacing w:before="120" w:after="0" w:line="240" w:lineRule="auto"/>
      <w:jc w:val="center"/>
    </w:pPr>
    <w:rPr>
      <w:rFonts w:ascii="Times New Roman" w:eastAsia="Times New Roman" w:hAnsi="Times New Roman" w:cs="Times New Roman"/>
      <w:sz w:val="18"/>
      <w:szCs w:val="20"/>
    </w:rPr>
  </w:style>
  <w:style w:type="character" w:styleId="FootnoteReference">
    <w:name w:val="footnote reference"/>
    <w:semiHidden/>
    <w:rsid w:val="00784F94"/>
    <w:rPr>
      <w:vertAlign w:val="superscript"/>
    </w:rPr>
  </w:style>
  <w:style w:type="paragraph" w:styleId="FootnoteText">
    <w:name w:val="footnote text"/>
    <w:basedOn w:val="Normal"/>
    <w:link w:val="FootnoteTextChar"/>
    <w:semiHidden/>
    <w:rsid w:val="00784F94"/>
    <w:rPr>
      <w:sz w:val="16"/>
    </w:rPr>
  </w:style>
  <w:style w:type="character" w:customStyle="1" w:styleId="FootnoteTextChar">
    <w:name w:val="Footnote Text Char"/>
    <w:basedOn w:val="DefaultParagraphFont"/>
    <w:link w:val="FootnoteText"/>
    <w:semiHidden/>
    <w:rsid w:val="00784F94"/>
    <w:rPr>
      <w:rFonts w:ascii="Times New Roman" w:eastAsia="Times New Roman" w:hAnsi="Times New Roman" w:cs="Times New Roman"/>
      <w:sz w:val="16"/>
      <w:szCs w:val="20"/>
    </w:rPr>
  </w:style>
  <w:style w:type="character" w:customStyle="1" w:styleId="Heading3Char">
    <w:name w:val="Heading 3 Char"/>
    <w:basedOn w:val="DefaultParagraphFont"/>
    <w:link w:val="Heading3"/>
    <w:rsid w:val="00784F94"/>
    <w:rPr>
      <w:rFonts w:ascii="Times New Roman" w:eastAsia="Times New Roman" w:hAnsi="Times New Roman" w:cs="Times New Roman"/>
      <w:i/>
      <w:sz w:val="20"/>
      <w:szCs w:val="20"/>
    </w:rPr>
  </w:style>
  <w:style w:type="character" w:styleId="Hyperlink">
    <w:name w:val="Hyperlink"/>
    <w:rsid w:val="00784F94"/>
    <w:rPr>
      <w:color w:val="0000FF"/>
      <w:u w:val="single"/>
    </w:rPr>
  </w:style>
  <w:style w:type="paragraph" w:styleId="NormalWeb">
    <w:name w:val="Normal (Web)"/>
    <w:basedOn w:val="Normal"/>
    <w:uiPriority w:val="99"/>
    <w:unhideWhenUsed/>
    <w:rsid w:val="00784F94"/>
    <w:pPr>
      <w:spacing w:before="100" w:beforeAutospacing="1" w:after="100" w:afterAutospacing="1"/>
    </w:pPr>
    <w:rPr>
      <w:szCs w:val="24"/>
      <w:lang w:val="en-GB" w:eastAsia="en-GB"/>
    </w:rPr>
  </w:style>
  <w:style w:type="paragraph" w:customStyle="1" w:styleId="PaperTitle">
    <w:name w:val="Paper Title"/>
    <w:basedOn w:val="Normal"/>
    <w:next w:val="AuthorName"/>
    <w:rsid w:val="00784F94"/>
    <w:pPr>
      <w:spacing w:before="1200"/>
      <w:jc w:val="center"/>
    </w:pPr>
    <w:rPr>
      <w:b/>
      <w:sz w:val="36"/>
    </w:rPr>
  </w:style>
  <w:style w:type="paragraph" w:customStyle="1" w:styleId="Paragraphbulleted">
    <w:name w:val="Paragraph (bulleted)"/>
    <w:basedOn w:val="Paragraph"/>
    <w:rsid w:val="00784F94"/>
    <w:pPr>
      <w:numPr>
        <w:numId w:val="3"/>
      </w:numPr>
    </w:pPr>
  </w:style>
  <w:style w:type="paragraph" w:customStyle="1" w:styleId="Paragraphnumbered">
    <w:name w:val="Paragraph (numbered)"/>
    <w:rsid w:val="00784F94"/>
    <w:pPr>
      <w:numPr>
        <w:numId w:val="4"/>
      </w:numPr>
      <w:spacing w:after="0" w:line="240" w:lineRule="auto"/>
      <w:jc w:val="both"/>
    </w:pPr>
    <w:rPr>
      <w:rFonts w:ascii="Times New Roman" w:eastAsia="Times New Roman" w:hAnsi="Times New Roman" w:cs="Times New Roman"/>
      <w:sz w:val="20"/>
      <w:szCs w:val="20"/>
    </w:rPr>
  </w:style>
  <w:style w:type="paragraph" w:customStyle="1" w:styleId="Reference">
    <w:name w:val="Reference"/>
    <w:basedOn w:val="Paragraph"/>
    <w:rsid w:val="00784F94"/>
    <w:pPr>
      <w:numPr>
        <w:numId w:val="5"/>
      </w:numPr>
    </w:pPr>
  </w:style>
  <w:style w:type="character" w:styleId="Strong">
    <w:name w:val="Strong"/>
    <w:basedOn w:val="DefaultParagraphFont"/>
    <w:uiPriority w:val="22"/>
    <w:qFormat/>
    <w:rsid w:val="00784F94"/>
    <w:rPr>
      <w:b/>
      <w:bCs/>
    </w:rPr>
  </w:style>
  <w:style w:type="paragraph" w:customStyle="1" w:styleId="TableCaption">
    <w:name w:val="Table Caption"/>
    <w:basedOn w:val="FigureCaption"/>
    <w:qFormat/>
    <w:rsid w:val="00784F94"/>
    <w:rPr>
      <w:szCs w:val="18"/>
    </w:rPr>
  </w:style>
  <w:style w:type="table" w:styleId="TableGrid">
    <w:name w:val="Table Grid"/>
    <w:basedOn w:val="TableNormal"/>
    <w:rsid w:val="00784F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B6146E"/>
    <w:rPr>
      <w:color w:val="605E5C"/>
      <w:shd w:val="clear" w:color="auto" w:fill="E1DFDD"/>
    </w:rPr>
  </w:style>
  <w:style w:type="paragraph" w:customStyle="1" w:styleId="IJASEITParagraph">
    <w:name w:val="IJASEIT Paragraph"/>
    <w:basedOn w:val="Normal"/>
    <w:link w:val="IJASEITParagraphChar"/>
    <w:rsid w:val="006852C5"/>
    <w:pPr>
      <w:adjustRightInd w:val="0"/>
      <w:snapToGrid w:val="0"/>
      <w:ind w:firstLine="216"/>
      <w:jc w:val="both"/>
    </w:pPr>
    <w:rPr>
      <w:sz w:val="20"/>
      <w:szCs w:val="24"/>
      <w:lang w:eastAsia="zh-CN"/>
    </w:rPr>
  </w:style>
  <w:style w:type="character" w:customStyle="1" w:styleId="IJASEITParagraphChar">
    <w:name w:val="IJASEIT Paragraph Char"/>
    <w:link w:val="IJASEITParagraph"/>
    <w:rsid w:val="006852C5"/>
    <w:rPr>
      <w:rFonts w:ascii="Times New Roman" w:eastAsia="Times New Roman" w:hAnsi="Times New Roman" w:cs="Times New Roman"/>
      <w:sz w:val="20"/>
      <w:szCs w:val="24"/>
      <w:lang w:eastAsia="zh-CN"/>
    </w:rPr>
  </w:style>
  <w:style w:type="paragraph" w:styleId="ListParagraph">
    <w:name w:val="List Paragraph"/>
    <w:aliases w:val="NamaImage,Tabel dan Gambar,Tabel dan GambarCxSpLast,Body of text,kepala,heading 3"/>
    <w:basedOn w:val="Normal"/>
    <w:link w:val="ListParagraphChar"/>
    <w:qFormat/>
    <w:rsid w:val="006852C5"/>
    <w:pPr>
      <w:ind w:left="720"/>
      <w:contextualSpacing/>
    </w:pPr>
    <w:rPr>
      <w:szCs w:val="24"/>
      <w:lang w:eastAsia="zh-CN"/>
    </w:rPr>
  </w:style>
  <w:style w:type="character" w:customStyle="1" w:styleId="ListParagraphChar">
    <w:name w:val="List Paragraph Char"/>
    <w:aliases w:val="NamaImage Char,Tabel dan Gambar Char,Tabel dan GambarCxSpLast Char,Body of text Char,kepala Char,heading 3 Char"/>
    <w:link w:val="ListParagraph"/>
    <w:uiPriority w:val="34"/>
    <w:rsid w:val="006852C5"/>
    <w:rPr>
      <w:rFonts w:ascii="Times New Roman" w:eastAsia="Times New Roman" w:hAnsi="Times New Roman" w:cs="Times New Roman"/>
      <w:sz w:val="24"/>
      <w:szCs w:val="24"/>
      <w:lang w:eastAsia="zh-CN"/>
    </w:rPr>
  </w:style>
  <w:style w:type="paragraph" w:customStyle="1" w:styleId="IJASEITFigure">
    <w:name w:val="IJASEIT Figure"/>
    <w:basedOn w:val="Normal"/>
    <w:next w:val="Normal"/>
    <w:rsid w:val="006852C5"/>
    <w:pPr>
      <w:jc w:val="center"/>
    </w:pPr>
    <w:rPr>
      <w:szCs w:val="24"/>
      <w:lang w:eastAsia="zh-CN"/>
    </w:rPr>
  </w:style>
  <w:style w:type="paragraph" w:customStyle="1" w:styleId="IJASEITReferenceItem">
    <w:name w:val="IJASEIT Reference Item"/>
    <w:basedOn w:val="Normal"/>
    <w:rsid w:val="006852C5"/>
    <w:pPr>
      <w:tabs>
        <w:tab w:val="num" w:pos="720"/>
      </w:tabs>
      <w:adjustRightInd w:val="0"/>
      <w:snapToGrid w:val="0"/>
      <w:ind w:left="720" w:hanging="720"/>
      <w:jc w:val="both"/>
    </w:pPr>
    <w:rPr>
      <w:sz w:val="16"/>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dana@umm.ac.id"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hyperlink" Target="mailto:aguseko@umm.ac.id"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44E15F610F84BBCA7DAC93915086596"/>
        <w:category>
          <w:name w:val="General"/>
          <w:gallery w:val="placeholder"/>
        </w:category>
        <w:types>
          <w:type w:val="bbPlcHdr"/>
        </w:types>
        <w:behaviors>
          <w:behavior w:val="content"/>
        </w:behaviors>
        <w:guid w:val="{4EBC2631-5432-4BD4-98B7-A6CEF6E6C470}"/>
      </w:docPartPr>
      <w:docPartBody>
        <w:p w:rsidR="007B480F" w:rsidRDefault="00E53640" w:rsidP="00E53640">
          <w:pPr>
            <w:pStyle w:val="C44E15F610F84BBCA7DAC93915086596"/>
          </w:pPr>
          <w:r w:rsidRPr="000B4CAB">
            <w:rPr>
              <w:rStyle w:val="PlaceholderText"/>
            </w:rPr>
            <w:t>Click or tap here to enter text.</w:t>
          </w:r>
        </w:p>
      </w:docPartBody>
    </w:docPart>
    <w:docPart>
      <w:docPartPr>
        <w:name w:val="B51D58027F184A11AC15C7CF5DE72369"/>
        <w:category>
          <w:name w:val="General"/>
          <w:gallery w:val="placeholder"/>
        </w:category>
        <w:types>
          <w:type w:val="bbPlcHdr"/>
        </w:types>
        <w:behaviors>
          <w:behavior w:val="content"/>
        </w:behaviors>
        <w:guid w:val="{3686003C-C743-4E61-974D-01E8A6E26C72}"/>
      </w:docPartPr>
      <w:docPartBody>
        <w:p w:rsidR="007B480F" w:rsidRDefault="00E53640" w:rsidP="00E53640">
          <w:pPr>
            <w:pStyle w:val="B51D58027F184A11AC15C7CF5DE72369"/>
          </w:pPr>
          <w:r w:rsidRPr="000B4CA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640"/>
    <w:rsid w:val="00084505"/>
    <w:rsid w:val="002547D6"/>
    <w:rsid w:val="006205D7"/>
    <w:rsid w:val="007B480F"/>
    <w:rsid w:val="007B730D"/>
    <w:rsid w:val="00994FBC"/>
    <w:rsid w:val="00A33D98"/>
    <w:rsid w:val="00E53640"/>
    <w:rsid w:val="00F5596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3640"/>
    <w:rPr>
      <w:color w:val="808080"/>
    </w:rPr>
  </w:style>
  <w:style w:type="paragraph" w:customStyle="1" w:styleId="C44E15F610F84BBCA7DAC93915086596">
    <w:name w:val="C44E15F610F84BBCA7DAC93915086596"/>
    <w:rsid w:val="00E53640"/>
  </w:style>
  <w:style w:type="paragraph" w:customStyle="1" w:styleId="B51D58027F184A11AC15C7CF5DE72369">
    <w:name w:val="B51D58027F184A11AC15C7CF5DE72369"/>
    <w:rsid w:val="00E536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BBC8D-CC2F-4112-B531-BBDF249C9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25352</Words>
  <Characters>144508</Characters>
  <Application>Microsoft Office Word</Application>
  <DocSecurity>0</DocSecurity>
  <Lines>1204</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Yosapaht Sumantri</dc:creator>
  <cp:lastModifiedBy>Hp</cp:lastModifiedBy>
  <cp:revision>5</cp:revision>
  <cp:lastPrinted>2019-11-26T03:45:00Z</cp:lastPrinted>
  <dcterms:created xsi:type="dcterms:W3CDTF">2024-10-08T04:51:00Z</dcterms:created>
  <dcterms:modified xsi:type="dcterms:W3CDTF">2024-11-05T00:30:00Z</dcterms:modified>
</cp:coreProperties>
</file>