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978682" w14:textId="77777777" w:rsidR="00FE70BF" w:rsidRDefault="00FE70BF" w:rsidP="00FE70BF">
      <w:pPr>
        <w:pStyle w:val="PaperTitle"/>
        <w:spacing w:before="0"/>
        <w:jc w:val="left"/>
      </w:pPr>
    </w:p>
    <w:p w14:paraId="0A3E8144" w14:textId="77777777" w:rsidR="00FE70BF" w:rsidRDefault="00FE70BF" w:rsidP="00FE70BF">
      <w:pPr>
        <w:pStyle w:val="PaperTitle"/>
        <w:spacing w:before="0"/>
        <w:jc w:val="left"/>
      </w:pPr>
    </w:p>
    <w:p w14:paraId="49477F77" w14:textId="77777777" w:rsidR="00FE70BF" w:rsidRDefault="00FE70BF" w:rsidP="00FE70BF">
      <w:pPr>
        <w:pStyle w:val="PaperTitle"/>
        <w:spacing w:before="0"/>
        <w:jc w:val="left"/>
      </w:pPr>
    </w:p>
    <w:p w14:paraId="3B9815EA" w14:textId="1AF1CCB8" w:rsidR="0016385D" w:rsidRPr="00075EA6" w:rsidRDefault="000715DD" w:rsidP="00FE70BF">
      <w:pPr>
        <w:pStyle w:val="PaperTitle"/>
        <w:spacing w:before="0"/>
        <w:rPr>
          <w:b w:val="0"/>
          <w:bCs/>
          <w:sz w:val="24"/>
          <w:szCs w:val="24"/>
        </w:rPr>
      </w:pPr>
      <w:r w:rsidRPr="000715DD">
        <w:t xml:space="preserve">Comprehensive Security Evaluation of Web Login Services in Academic Digital Libraries: Leveraging OWASP ZAP and </w:t>
      </w:r>
      <w:proofErr w:type="spellStart"/>
      <w:r w:rsidRPr="000715DD">
        <w:t>Arachni</w:t>
      </w:r>
      <w:proofErr w:type="spellEnd"/>
      <w:r w:rsidR="00BE5FD1" w:rsidRPr="002B5648">
        <w:t xml:space="preserve"> </w:t>
      </w:r>
      <w:r w:rsidR="00A90413" w:rsidRPr="00075EA6">
        <w:br/>
      </w:r>
    </w:p>
    <w:p w14:paraId="548D96A3" w14:textId="3B3181A8" w:rsidR="00C14B14" w:rsidRDefault="00B50CEB" w:rsidP="00275C3A">
      <w:pPr>
        <w:pStyle w:val="AuthorName"/>
        <w:rPr>
          <w:sz w:val="20"/>
          <w:lang w:val="en-GB" w:eastAsia="en-GB"/>
        </w:rPr>
      </w:pPr>
      <w:r>
        <w:t>Hanugra Aulia Sidharta</w:t>
      </w:r>
      <w:r w:rsidR="00EF6940" w:rsidRPr="2F830975">
        <w:rPr>
          <w:vertAlign w:val="superscript"/>
        </w:rPr>
        <w:t>1,</w:t>
      </w:r>
      <w:r w:rsidR="003A5C85" w:rsidRPr="2F830975">
        <w:rPr>
          <w:vertAlign w:val="superscript"/>
        </w:rPr>
        <w:t xml:space="preserve"> </w:t>
      </w:r>
      <w:r w:rsidR="00EF6940" w:rsidRPr="2F830975">
        <w:rPr>
          <w:vertAlign w:val="superscript"/>
        </w:rPr>
        <w:t>a)</w:t>
      </w:r>
      <w:r w:rsidR="00387BF7">
        <w:t xml:space="preserve">, </w:t>
      </w:r>
      <w:r w:rsidR="00387BF7" w:rsidRPr="00387BF7">
        <w:t>Muhammad Zakiy Alfaris</w:t>
      </w:r>
      <w:r w:rsidR="00387BF7">
        <w:rPr>
          <w:vertAlign w:val="superscript"/>
        </w:rPr>
        <w:t>2</w:t>
      </w:r>
      <w:r w:rsidR="00387BF7" w:rsidRPr="2F830975">
        <w:rPr>
          <w:vertAlign w:val="superscript"/>
        </w:rPr>
        <w:t xml:space="preserve">, </w:t>
      </w:r>
      <w:r w:rsidR="00387BF7">
        <w:rPr>
          <w:vertAlign w:val="superscript"/>
        </w:rPr>
        <w:t>b</w:t>
      </w:r>
      <w:r w:rsidR="00387BF7" w:rsidRPr="2F830975">
        <w:rPr>
          <w:vertAlign w:val="superscript"/>
        </w:rPr>
        <w:t>)</w:t>
      </w:r>
      <w:r w:rsidR="00387BF7">
        <w:t xml:space="preserve">, </w:t>
      </w:r>
      <w:r w:rsidR="0016385D">
        <w:t xml:space="preserve">and </w:t>
      </w:r>
      <w:proofErr w:type="spellStart"/>
      <w:r>
        <w:t>Diah</w:t>
      </w:r>
      <w:proofErr w:type="spellEnd"/>
      <w:r>
        <w:t xml:space="preserve"> </w:t>
      </w:r>
      <w:proofErr w:type="spellStart"/>
      <w:r>
        <w:t>Risqiwati</w:t>
      </w:r>
      <w:proofErr w:type="spellEnd"/>
      <w:r w:rsidRPr="2F830975">
        <w:rPr>
          <w:vertAlign w:val="superscript"/>
        </w:rPr>
        <w:t xml:space="preserve"> </w:t>
      </w:r>
      <w:r w:rsidR="00387BF7">
        <w:rPr>
          <w:vertAlign w:val="superscript"/>
        </w:rPr>
        <w:t>3</w:t>
      </w:r>
      <w:r w:rsidR="007B4863" w:rsidRPr="2F830975">
        <w:rPr>
          <w:vertAlign w:val="superscript"/>
        </w:rPr>
        <w:t>,</w:t>
      </w:r>
      <w:r w:rsidR="003A5C85" w:rsidRPr="2F830975">
        <w:rPr>
          <w:vertAlign w:val="superscript"/>
        </w:rPr>
        <w:t xml:space="preserve"> </w:t>
      </w:r>
      <w:r w:rsidR="00387BF7">
        <w:rPr>
          <w:vertAlign w:val="superscript"/>
        </w:rPr>
        <w:t>c</w:t>
      </w:r>
      <w:r w:rsidR="003A5C85" w:rsidRPr="2F830975">
        <w:rPr>
          <w:vertAlign w:val="superscript"/>
        </w:rPr>
        <w:t>)</w:t>
      </w:r>
    </w:p>
    <w:p w14:paraId="56D8C2E1" w14:textId="77777777" w:rsidR="00C14B14" w:rsidRPr="003B0050" w:rsidRDefault="00C14B14" w:rsidP="00275C3A">
      <w:pPr>
        <w:pStyle w:val="AuthorName"/>
        <w:spacing w:before="0" w:after="0"/>
        <w:rPr>
          <w:sz w:val="20"/>
          <w:lang w:val="en-GB" w:eastAsia="en-GB"/>
        </w:rPr>
      </w:pPr>
      <w:r>
        <w:rPr>
          <w:sz w:val="20"/>
          <w:lang w:val="en-GB" w:eastAsia="en-GB"/>
        </w:rPr>
        <w:t xml:space="preserve">Author Affiliations </w:t>
      </w:r>
    </w:p>
    <w:p w14:paraId="771D6B6C" w14:textId="6214B2A6" w:rsidR="00C14B14" w:rsidRPr="00075EA6" w:rsidRDefault="00027428" w:rsidP="00275C3A">
      <w:pPr>
        <w:pStyle w:val="AuthorAffiliation"/>
      </w:pPr>
      <w:r w:rsidRPr="00075EA6">
        <w:rPr>
          <w:i w:val="0"/>
          <w:iCs/>
          <w:vertAlign w:val="superscript"/>
        </w:rPr>
        <w:t>1</w:t>
      </w:r>
      <w:r w:rsidR="00B50CEB" w:rsidRPr="00B50CEB">
        <w:t xml:space="preserve"> Computer Science Department, School of Computer Science, Bina Nusantara University, Jakarta, Indonesia</w:t>
      </w:r>
      <w:r w:rsidR="00B50CEB" w:rsidRPr="00FE34AB">
        <w:t xml:space="preserve"> </w:t>
      </w:r>
      <w:r w:rsidR="0016782F" w:rsidRPr="00075EA6">
        <w:br/>
        <w:t xml:space="preserve"> </w:t>
      </w:r>
      <w:r w:rsidR="00C14B14" w:rsidRPr="00075EA6">
        <w:rPr>
          <w:i w:val="0"/>
          <w:iCs/>
          <w:vertAlign w:val="superscript"/>
        </w:rPr>
        <w:t>2</w:t>
      </w:r>
      <w:r w:rsidR="00387BF7">
        <w:rPr>
          <w:i w:val="0"/>
          <w:iCs/>
          <w:vertAlign w:val="superscript"/>
        </w:rPr>
        <w:t>,3</w:t>
      </w:r>
      <w:r w:rsidR="00B50CEB" w:rsidRPr="00B50CEB">
        <w:t xml:space="preserve"> </w:t>
      </w:r>
      <w:r w:rsidR="00B50CEB" w:rsidRPr="00FE34AB">
        <w:t>Department of Informatics, Universitas Muhammadiyah Malang, Malang, Indonesia</w:t>
      </w:r>
    </w:p>
    <w:p w14:paraId="3EAF16AE" w14:textId="77777777" w:rsidR="00C14B14" w:rsidRDefault="00C14B14" w:rsidP="00275C3A">
      <w:pPr>
        <w:pStyle w:val="AuthorAffiliation"/>
      </w:pPr>
      <w:r w:rsidRPr="00075EA6">
        <w:br/>
      </w:r>
      <w:r>
        <w:t>Author Emails</w:t>
      </w:r>
    </w:p>
    <w:p w14:paraId="26A738A9" w14:textId="77777777" w:rsidR="00387BF7" w:rsidRDefault="00ED4A2C" w:rsidP="00275C3A">
      <w:pPr>
        <w:pStyle w:val="AuthorEmail"/>
      </w:pPr>
      <w:r w:rsidRPr="00075EA6">
        <w:br/>
      </w:r>
      <w:bookmarkStart w:id="0" w:name="_Hlk205658153"/>
      <w:r w:rsidR="00003D7C" w:rsidRPr="00075EA6">
        <w:rPr>
          <w:szCs w:val="28"/>
          <w:vertAlign w:val="superscript"/>
        </w:rPr>
        <w:t>a)</w:t>
      </w:r>
      <w:r w:rsidR="00003D7C" w:rsidRPr="00075EA6">
        <w:t xml:space="preserve"> </w:t>
      </w:r>
      <w:r w:rsidR="00B50CEB">
        <w:t>hanugra.sidharta@binus.ac.id</w:t>
      </w:r>
      <w:r w:rsidR="00B50CEB" w:rsidRPr="00075EA6">
        <w:t xml:space="preserve"> </w:t>
      </w:r>
      <w:bookmarkEnd w:id="0"/>
    </w:p>
    <w:p w14:paraId="5E05E235" w14:textId="3486F436" w:rsidR="003A5C85" w:rsidRPr="00075EA6" w:rsidRDefault="00387BF7" w:rsidP="00275C3A">
      <w:pPr>
        <w:pStyle w:val="AuthorEmail"/>
      </w:pPr>
      <w:r>
        <w:rPr>
          <w:iCs/>
          <w:vertAlign w:val="superscript"/>
        </w:rPr>
        <w:t>b</w:t>
      </w:r>
      <w:r w:rsidRPr="00387BF7">
        <w:rPr>
          <w:iCs/>
          <w:vertAlign w:val="superscript"/>
        </w:rPr>
        <w:t>)</w:t>
      </w:r>
      <w:r w:rsidRPr="00387BF7">
        <w:rPr>
          <w:iCs/>
        </w:rPr>
        <w:t xml:space="preserve"> zakiyalfaris02@webmail.umm.ac.id</w:t>
      </w:r>
      <w:r w:rsidR="001D469C" w:rsidRPr="00075EA6">
        <w:rPr>
          <w:i/>
        </w:rPr>
        <w:br/>
      </w:r>
      <w:r>
        <w:rPr>
          <w:szCs w:val="28"/>
          <w:vertAlign w:val="superscript"/>
        </w:rPr>
        <w:t>c</w:t>
      </w:r>
      <w:r w:rsidR="003A5C85" w:rsidRPr="00075EA6">
        <w:rPr>
          <w:szCs w:val="28"/>
          <w:vertAlign w:val="superscript"/>
        </w:rPr>
        <w:t>)</w:t>
      </w:r>
      <w:r w:rsidR="00B50CEB">
        <w:t xml:space="preserve"> </w:t>
      </w:r>
      <w:r w:rsidR="00B50CEB" w:rsidRPr="00075EA6">
        <w:t xml:space="preserve">Corresponding author: </w:t>
      </w:r>
      <w:r w:rsidR="00B50CEB">
        <w:t>risqiwati@umm.ac.id</w:t>
      </w:r>
      <w:r w:rsidR="00B50CEB" w:rsidRPr="00075EA6">
        <w:t xml:space="preserve"> </w:t>
      </w:r>
      <w:r w:rsidR="003A5C85" w:rsidRPr="00075EA6">
        <w:br/>
      </w:r>
    </w:p>
    <w:p w14:paraId="1F275C28" w14:textId="6B6D85A6" w:rsidR="0099584A" w:rsidRDefault="0016385D" w:rsidP="00275C3A">
      <w:pPr>
        <w:pStyle w:val="Abstract"/>
      </w:pPr>
      <w:r w:rsidRPr="00075EA6">
        <w:rPr>
          <w:b/>
          <w:bCs/>
        </w:rPr>
        <w:t>Abstract.</w:t>
      </w:r>
      <w:r w:rsidRPr="00075EA6">
        <w:t xml:space="preserve"> </w:t>
      </w:r>
      <w:r w:rsidR="0099584A" w:rsidRPr="0099584A">
        <w:rPr>
          <w:b/>
          <w:bCs/>
        </w:rPr>
        <w:t>T</w:t>
      </w:r>
      <w:r w:rsidR="0099584A">
        <w:t>he evolving security threat landscape increasingly targets web applications, with attackers exploiting vulnerabilities in data validation and error handling to gain unauthorized access, steal sensitive information, or disrupt services. In response to these growing risks, this research aims to assess the security posture of the University of Muhammadiyah Malang (UMM) public digital library platform, focusing specifically on its web login services, which are critical entry points for users and potential targets for attackers. To conduct a thorough vulnerability assessment, Dynamic Application Security Testing (DAST) tools</w:t>
      </w:r>
      <w:r w:rsidR="000715DD">
        <w:t xml:space="preserve">, </w:t>
      </w:r>
      <w:r w:rsidR="0099584A">
        <w:t xml:space="preserve">OWASP ZAP and </w:t>
      </w:r>
      <w:proofErr w:type="spellStart"/>
      <w:r w:rsidR="0099584A">
        <w:t>Arachni</w:t>
      </w:r>
      <w:proofErr w:type="spellEnd"/>
      <w:r w:rsidR="000715DD">
        <w:t xml:space="preserve"> </w:t>
      </w:r>
      <w:r w:rsidR="0099584A">
        <w:t xml:space="preserve">were employed, leveraging their complementary capabilities to identify and analyze potential security weaknesses. The assessment was guided by the OWASP Top 10 2021 framework, widely recognized as a comprehensive and authoritative set of security best practices. To maintain focus and reduce complexity, the study concentrated on vulnerabilities related to Data Validation and Error Handling failures, narrowing the scope from ten to four key observations. Initial automated scans revealed 19 potential risks using ZAP and 5 using </w:t>
      </w:r>
      <w:proofErr w:type="spellStart"/>
      <w:r w:rsidR="0099584A">
        <w:t>Arachni</w:t>
      </w:r>
      <w:proofErr w:type="spellEnd"/>
      <w:r w:rsidR="0099584A">
        <w:t>, highlighting areas of concern that warranted further investigation. Subsequent analysis followed the OWASP Web Security Testing Guide (WSTG), incorporating in-depth testing techniques such as Cross-Site Scripting (XSS), SQL Injection (</w:t>
      </w:r>
      <w:proofErr w:type="spellStart"/>
      <w:r w:rsidR="0099584A">
        <w:t>SQLi</w:t>
      </w:r>
      <w:proofErr w:type="spellEnd"/>
      <w:r w:rsidR="0099584A">
        <w:t xml:space="preserve">), and manual evaluation of error handling mechanisms. Based on the calculated Likelihood and Impact Factors, the platform was assessed to have a moderate risk level from ZAP’s perspective, while </w:t>
      </w:r>
      <w:proofErr w:type="spellStart"/>
      <w:r w:rsidR="0099584A">
        <w:t>Arachni’s</w:t>
      </w:r>
      <w:proofErr w:type="spellEnd"/>
      <w:r w:rsidR="0099584A">
        <w:t xml:space="preserve"> analysis indicated a lower risk level. These findings underscore the importance of continuous, multi-faceted security testing to protect critical web services against evolving threats.</w:t>
      </w:r>
    </w:p>
    <w:p w14:paraId="5240E3FB" w14:textId="0F052AD8" w:rsidR="003A287B" w:rsidRPr="00075EA6" w:rsidRDefault="00A03E5A" w:rsidP="00275C3A">
      <w:pPr>
        <w:pStyle w:val="Heading1"/>
        <w:rPr>
          <w:b w:val="0"/>
          <w:caps w:val="0"/>
          <w:sz w:val="20"/>
        </w:rPr>
      </w:pPr>
      <w:r>
        <w:t>introduction</w:t>
      </w:r>
      <w:r w:rsidR="00616F3B" w:rsidRPr="00075EA6">
        <w:br/>
      </w:r>
    </w:p>
    <w:p w14:paraId="043C863F" w14:textId="4FDA00B7" w:rsidR="00E35FE1" w:rsidRDefault="00E35FE1" w:rsidP="00275C3A">
      <w:pPr>
        <w:pStyle w:val="Paragraph"/>
      </w:pPr>
      <w:r>
        <w:t xml:space="preserve">The digital security landscape is evolving rapidly, driven by cybercriminals leveraging artificial intelligence to automate malware mutation, phishing content generation, and defense evasion. By 2025, 60% of IT professionals worldwide have identified AI-driven threats as their primary concern. </w:t>
      </w:r>
      <w:proofErr w:type="spellStart"/>
      <w:r>
        <w:t>Deepfake</w:t>
      </w:r>
      <w:proofErr w:type="spellEnd"/>
      <w:r>
        <w:t>-based social engineering attacks have increased by 550% between 2019 and 2023 and are projected to reach 8 million incidents by 2025. Credential-related risks remain predominant, with Trend Micro reporting identity and access misconfigurations as the leading risk event for 2024–2025, exacerbated by the rise of remote work and cloud migration</w:t>
      </w:r>
      <w:r>
        <w:fldChar w:fldCharType="begin" w:fldLock="1"/>
      </w:r>
      <w:r>
        <w:instrText>ADDIN CSL_CITATION {"citationItems":[{"id":"ITEM-1","itemData":{"URL":"https://onlinedegrees.sandiego.edu/faculty/michelle-moore/","author":[{"dropping-particle":"","family":"Michelle Moore","given":"","non-dropping-particle":"","parse-names":false,"suffix":""}],"id":"ITEM-1","issued":{"date-parts":[["2025"]]},"title":"No TiTop Cybersecurity Threats to Watch in 2025tle","type":"webpage"},"uris":["http://www.mendeley.com/documents/?uuid=007dba96-eb33-4d4b-86d7-0f6dcccf15fa"]}],"mendeley":{"formattedCitation":"[1]","plainTextFormattedCitation":"[1]","previouslyFormattedCitation":"[1]"},"properties":{"noteIndex":0},"schema":"https://github.com/citation-style-language/schema/raw/master/csl-citation.json"}</w:instrText>
      </w:r>
      <w:r>
        <w:fldChar w:fldCharType="separate"/>
      </w:r>
      <w:r w:rsidRPr="00E35FE1">
        <w:rPr>
          <w:noProof/>
        </w:rPr>
        <w:t>[1]</w:t>
      </w:r>
      <w:r>
        <w:fldChar w:fldCharType="end"/>
      </w:r>
      <w:r>
        <w:fldChar w:fldCharType="begin" w:fldLock="1"/>
      </w:r>
      <w:r w:rsidR="002E211E">
        <w:instrText>ADDIN CSL_CITATION {"citationItems":[{"id":"ITEM-1","itemData":{"author":[{"dropping-particle":"","family":"Centre","given":"Trend Micro Research","non-dropping-particle":"","parse-names":false,"suffix":""}],"id":"ITEM-1","issued":{"date-parts":[["2025"]]},"title":"The Trend 2025 Cyber Risk Index","type":"article-journal"},"uris":["http://www.mendeley.com/documents/?uuid=01536ec9-bd81-43f0-87cc-d27177483507"]}],"mendeley":{"formattedCitation":"[2]","plainTextFormattedCitation":"[2]","previouslyFormattedCitation":"[2]"},"properties":{"noteIndex":0},"schema":"https://github.com/citation-style-language/schema/raw/master/csl-citation.json"}</w:instrText>
      </w:r>
      <w:r>
        <w:fldChar w:fldCharType="separate"/>
      </w:r>
      <w:r w:rsidRPr="00E35FE1">
        <w:rPr>
          <w:noProof/>
        </w:rPr>
        <w:t>[2]</w:t>
      </w:r>
      <w:r>
        <w:fldChar w:fldCharType="end"/>
      </w:r>
      <w:r>
        <w:t>.</w:t>
      </w:r>
    </w:p>
    <w:p w14:paraId="4C21D92B" w14:textId="7AC26A48" w:rsidR="00F64975" w:rsidRDefault="00E35FE1" w:rsidP="00275C3A">
      <w:pPr>
        <w:pStyle w:val="Paragraph"/>
      </w:pPr>
      <w:r>
        <w:t>In 2024, 65% of enterprises inadvertently exposed sensitive data due to cloud storage misconfigurations. Trend Micro identified non-compliant AWS S3 buckets</w:t>
      </w:r>
      <w:r w:rsidR="002E211E">
        <w:t xml:space="preserve">, </w:t>
      </w:r>
      <w:r>
        <w:t>such as those with public access settings—as the most common misconfiguration, which has led to significant data breaches, including Schneider Electric’s 1.5TB leak</w:t>
      </w:r>
      <w:r w:rsidR="002E211E">
        <w:fldChar w:fldCharType="begin" w:fldLock="1"/>
      </w:r>
      <w:r w:rsidR="002E211E">
        <w:instrText>ADDIN CSL_CITATION {"citationItems":[{"id":"ITEM-1","itemData":{"URL":"https://secureframe.com/blog/recent-cyber-attacks","accessed":{"date-parts":[["2025","8","8"]]},"id":"ITEM-1","issued":{"date-parts":[["0"]]},"title":"20 Recent Cyber Attacks &amp; What They Tell Us About the Future of Cybersecurity","type":"webpage"},"uris":["http://www.mendeley.com/documents/?uuid=a34ae351-0f06-3837-a4e6-d5946ddbd986"]}],"mendeley":{"formattedCitation":"[3]","plainTextFormattedCitation":"[3]","previouslyFormattedCitation":"[3]"},"properties":{"noteIndex":0},"schema":"https://github.com/citation-style-language/schema/raw/master/csl-citation.json"}</w:instrText>
      </w:r>
      <w:r w:rsidR="002E211E">
        <w:fldChar w:fldCharType="separate"/>
      </w:r>
      <w:r w:rsidR="002E211E" w:rsidRPr="002E211E">
        <w:rPr>
          <w:noProof/>
        </w:rPr>
        <w:t>[3]</w:t>
      </w:r>
      <w:r w:rsidR="002E211E">
        <w:fldChar w:fldCharType="end"/>
      </w:r>
      <w:r>
        <w:t xml:space="preserve">. </w:t>
      </w:r>
      <w:r>
        <w:lastRenderedPageBreak/>
        <w:t>Additionally, the OWASP Top 10 for 2021 introduced "Insecure Design" (A04) as a new category, highlighting vulnerabilities such as Insecure Direct Object Reference (IDOR). A notable example is the First American Financial breach, which exposed 885 million records due to IDOR flaws in website design</w:t>
      </w:r>
      <w:r w:rsidR="002E211E">
        <w:fldChar w:fldCharType="begin" w:fldLock="1"/>
      </w:r>
      <w:r w:rsidR="0002126D">
        <w:instrText>ADDIN CSL_CITATION {"citationItems":[{"id":"ITEM-1","itemData":{"URL":"https://owasp.org/www-project-top-ten/","accessed":{"date-parts":[["2025","8","8"]]},"id":"ITEM-1","issued":{"date-parts":[["0"]]},"title":"OWASP Top Ten | OWASP Foundation","type":"webpage"},"uris":["http://www.mendeley.com/documents/?uuid=ac46912e-010f-33ad-865c-b3cc61fc0b6b"]}],"mendeley":{"formattedCitation":"[4]","plainTextFormattedCitation":"[4]","previouslyFormattedCitation":"[4]"},"properties":{"noteIndex":0},"schema":"https://github.com/citation-style-language/schema/raw/master/csl-citation.json"}</w:instrText>
      </w:r>
      <w:r w:rsidR="002E211E">
        <w:fldChar w:fldCharType="separate"/>
      </w:r>
      <w:r w:rsidR="002E211E" w:rsidRPr="002E211E">
        <w:rPr>
          <w:noProof/>
        </w:rPr>
        <w:t>[4]</w:t>
      </w:r>
      <w:r w:rsidR="002E211E">
        <w:fldChar w:fldCharType="end"/>
      </w:r>
      <w:r>
        <w:t>.</w:t>
      </w:r>
    </w:p>
    <w:p w14:paraId="745DA4E7" w14:textId="7862F118" w:rsidR="00B2506E" w:rsidRDefault="00B2506E" w:rsidP="00275C3A">
      <w:pPr>
        <w:pStyle w:val="Paragraph"/>
      </w:pPr>
      <w:r>
        <w:t>Enhancing web security requires a combination of proactive measures and continuous monitoring. A key strategy is conducting regular vulnerability scans to identify security weaknesses before they can be exploited by attackers. For example, Dann’s research focuses on the security of open source software by performing vulnerability scans on 7,024 Java projects developed at SAP, uncovering potential security issues</w:t>
      </w:r>
      <w:r w:rsidR="0002126D">
        <w:fldChar w:fldCharType="begin" w:fldLock="1"/>
      </w:r>
      <w:r>
        <w:instrText>ADDIN CSL_CITATION {"citationItems":[{"id":"ITEM-1","itemData":{"DOI":"10.1109/TSE.2021.3101739","ISSN":"19393520","abstract":"The use of vulnerable open-source dependencies is a known problem in today's software development. Several vulnerability scanners to detect known-vulnerable dependencies appeared in the last decade, however, there exists no case study investigating the impact of development practices, e.g., forking, patching, re-bundling, on their performance. This paper studies (i) types of modifications that may affect vulnerable open-source dependencies and (ii) their impact on the performance of vulnerability scanners. Through an empirical study on 7,024 Java projects developed at SAP, we identified four types of modifications: re-compilation, re-bundling, metadata-removal and re-packaging. In particular, we found that more than 87 percent (56 percent, resp.) of the vulnerable Java classes considered occur in Maven Central in re-bundled (re-packaged, resp.) form. We assessed the impact of these modifications on the performance of the open-source vulnerability scanners OWASP Dependency-Check (OWASP) and Eclipse Steady, GitHub Security Alerts, and three commercial scanners. The results show that none of the scanners is able to handle all the types of modifications identified. Finally, we present Achilles, a novel test suite with 2,505 test cases that allow replicating the modifications on open-source dependencies.","author":[{"dropping-particle":"","family":"Dann","given":"Andreas","non-dropping-particle":"","parse-names":false,"suffix":""},{"dropping-particle":"","family":"Plate","given":"Henrik","non-dropping-particle":"","parse-names":false,"suffix":""},{"dropping-particle":"","family":"Hermann","given":"Ben","non-dropping-particle":"","parse-names":false,"suffix":""},{"dropping-particle":"","family":"Ponta","given":"Serena Elisa","non-dropping-particle":"","parse-names":false,"suffix":""},{"dropping-particle":"","family":"Bodden","given":"Eric","non-dropping-particle":"","parse-names":false,"suffix":""}],"container-title":"IEEE Transactions on Software Engineering","id":"ITEM-1","issue":"9","issued":{"date-parts":[["2022"]]},"page":"3613-3625","publisher":"IEEE","title":"Identifying Challenges for OSS Vulnerability Scanners-A Study &amp; Test Suite","type":"article-journal","volume":"48"},"uris":["http://www.mendeley.com/documents/?uuid=59d29388-b3e0-4881-af7d-45780c04d63a"]}],"mendeley":{"formattedCitation":"[5]","plainTextFormattedCitation":"[5]","previouslyFormattedCitation":"[5]"},"properties":{"noteIndex":0},"schema":"https://github.com/citation-style-language/schema/raw/master/csl-citation.json"}</w:instrText>
      </w:r>
      <w:r w:rsidR="0002126D">
        <w:fldChar w:fldCharType="separate"/>
      </w:r>
      <w:r w:rsidR="0002126D" w:rsidRPr="0002126D">
        <w:rPr>
          <w:noProof/>
        </w:rPr>
        <w:t>[5]</w:t>
      </w:r>
      <w:r w:rsidR="0002126D">
        <w:fldChar w:fldCharType="end"/>
      </w:r>
      <w:r w:rsidR="0002126D">
        <w:t xml:space="preserve">. </w:t>
      </w:r>
      <w:r w:rsidRPr="00B2506E">
        <w:t>Additionally, Ferda is developing a dashboard designed to visualize attack patterns, enabling more detailed observation and mitigation of vulnerabilities</w:t>
      </w:r>
      <w:r w:rsidR="0002126D">
        <w:fldChar w:fldCharType="begin" w:fldLock="1"/>
      </w:r>
      <w:r>
        <w:instrText>ADDIN CSL_CITATION {"citationItems":[{"id":"ITEM-1","itemData":{"DOI":"10.1109/ACCESS.2021.3057044","ISSN":"21693536","abstract":"As the number of web applications and the corresponding number and sophistication of the threats increases, creating new tools that are efficient and accessible becomes essential. Although there is much research concentrating on network security visualizations, there are only a few studies considering the web application vulnerabilities' possible visualization options. Consequently, to fill this gap, this research centers around a novel perception configuration to improve web application vulnerability monitoring. This study forms a generic data structure based on data sources that might be readily associated and commonly available for the majority of the web applications. The primary contribution of this study is a new dashboard tool for visualizing dynamic application security test results. Another contribution is the metrics/measures that the tool presents. The paper also describes a validation study in which participants answered quiz questions upon using the tool prototype. For the case study, sample data has been generated using the OWASP ZAP scanner tool and a prototype has been implemented to be used for validation purposes. This study allows the investigation of fifty metrics/measures for the multi-project/phase environment that enhances its benefits if the user aims to monitor a series of analyses' results and the changes between them for more than one web project.","author":[{"dropping-particle":"","family":"Sonmez","given":"Ferda Ozdemir","non-dropping-particle":"","parse-names":false,"suffix":""},{"dropping-particle":"","family":"Kilic","given":"Banu Gunel","non-dropping-particle":"","parse-names":false,"suffix":""}],"container-title":"IEEE Access","id":"ITEM-1","issued":{"date-parts":[["2021"]]},"page":"25858-25884","title":"Holistic Web Application Security Visualization for Multi-Project and Multi-Phase Dynamic Application Security Test Results","type":"article-journal","volume":"9"},"uris":["http://www.mendeley.com/documents/?uuid=25ef4a74-2a4a-421d-a39f-284a09f16901"]}],"mendeley":{"formattedCitation":"[6]","plainTextFormattedCitation":"[6]","previouslyFormattedCitation":"[6]"},"properties":{"noteIndex":0},"schema":"https://github.com/citation-style-language/schema/raw/master/csl-citation.json"}</w:instrText>
      </w:r>
      <w:r w:rsidR="0002126D">
        <w:fldChar w:fldCharType="separate"/>
      </w:r>
      <w:r w:rsidR="0002126D" w:rsidRPr="0002126D">
        <w:rPr>
          <w:noProof/>
        </w:rPr>
        <w:t>[6]</w:t>
      </w:r>
      <w:r w:rsidR="0002126D">
        <w:fldChar w:fldCharType="end"/>
      </w:r>
      <w:r w:rsidR="0002126D">
        <w:t xml:space="preserve">. </w:t>
      </w:r>
    </w:p>
    <w:p w14:paraId="0A862396" w14:textId="77BA56C4" w:rsidR="00B2506E" w:rsidRDefault="00B2506E" w:rsidP="00275C3A">
      <w:pPr>
        <w:pStyle w:val="Paragraph"/>
      </w:pPr>
      <w:r w:rsidRPr="00B2506E">
        <w:t>Researchers conduct security assessments by utilizing prominent tools, such as OWASP ZAP, which has demonstrated reliability and effectiveness across numerous real-world cases</w:t>
      </w:r>
      <w:r>
        <w:fldChar w:fldCharType="begin" w:fldLock="1"/>
      </w:r>
      <w:r>
        <w:instrText>ADDIN CSL_CITATION {"citationItems":[{"id":"ITEM-1","itemData":{"abstract":"Today, new web applications are made every single day with increasingly more sensitive data to manage. To ensure that no security vulnerabilities such as data leakage in web applications exist, developers are using tools such as a web vulnerability scanner. This type of tool can detect vulnerabilities by automatically finding input fields where data can be injected and performing different attacks on these fields. One of the most common web vulnerability scanners is OWASP ZAP. Web vulnerability scanners were first devel- oped during a time when traditional multi-page applications were prominent. Nowadays, when modern single-page applications have become the de facto standard, new challenges for web vulnerability scanners have arisen. These problems include identifying dynam- ically updated web pages. This thesis aims to evaluate the techniques used by OWASP ZAP and several other web vulnerability scanners for identifying two of the most common vulnerabilities, SQL injections and cross-site scripting. This issue is approached by testing the selected web vulnerability scanners on deliberately vulnerable web applications, to as- sess the performance and techniques used, and to determine if the performance of OWASP ZAP could be improved. If an identified technique in another web vulnerability scanner performed better than the counterpart in OWASP ZAP, it will be implemented in OWASP ZAP and evaluated. From the tests performed, it could be concluded that the performance of OWASP ZAP was lacking in the search for input fields, where a depth-first search al- gorithm was used. The breadth-first search algorithm used by other scanners was shown to be more effective in specific cases and was therefore implemented in OWASP ZAP. The result shows that the use case for the two algorithms differs between web applications and by using both of the algorithms to find vulnerabilities, better performance is achieved.","author":[{"dropping-particle":"","family":"Jakobsson","given":"Adam","non-dropping-particle":"","parse-names":false,"suffix":""},{"dropping-particle":"","family":"Häggström","given":"Isak","non-dropping-particle":"","parse-names":false,"suffix":""}],"id":"ITEM-1","issued":{"date-parts":[["2022"]]},"page":"69","title":"Study of the techniques used by OWASP ZAP for analysis of vulnerabilities in web applications","type":"article-journal"},"uris":["http://www.mendeley.com/documents/?uuid=4a46c454-4d0c-4c4c-9d2c-e3371aa4dded"]}],"mendeley":{"formattedCitation":"[7]","plainTextFormattedCitation":"[7]","previouslyFormattedCitation":"[7]"},"properties":{"noteIndex":0},"schema":"https://github.com/citation-style-language/schema/raw/master/csl-citation.json"}</w:instrText>
      </w:r>
      <w:r>
        <w:fldChar w:fldCharType="separate"/>
      </w:r>
      <w:r w:rsidRPr="00B2506E">
        <w:rPr>
          <w:noProof/>
        </w:rPr>
        <w:t>[7]</w:t>
      </w:r>
      <w:r>
        <w:fldChar w:fldCharType="end"/>
      </w:r>
      <w:r>
        <w:t xml:space="preserve">. </w:t>
      </w:r>
      <w:r w:rsidRPr="00B2506E">
        <w:t>OWASP ZAP is robust because it offers comprehensive, automated vulnerability scanning combined with manual testing tools, making it effective for identifying a wide range of web application security issues.</w:t>
      </w:r>
      <w:r>
        <w:t xml:space="preserve"> </w:t>
      </w:r>
      <w:r w:rsidR="00E20FE6" w:rsidRPr="00E20FE6">
        <w:t xml:space="preserve">In addition to OWASP ZAP, another valuable tool is </w:t>
      </w:r>
      <w:proofErr w:type="spellStart"/>
      <w:r w:rsidR="00E20FE6" w:rsidRPr="00E20FE6">
        <w:t>Arachni</w:t>
      </w:r>
      <w:proofErr w:type="spellEnd"/>
      <w:r w:rsidR="00E20FE6" w:rsidRPr="00E20FE6">
        <w:t xml:space="preserve">, which is widely recognized for its thorough and scalable web application security scanning. </w:t>
      </w:r>
      <w:proofErr w:type="spellStart"/>
      <w:r w:rsidR="00E20FE6" w:rsidRPr="00E20FE6">
        <w:t>Arachni</w:t>
      </w:r>
      <w:proofErr w:type="spellEnd"/>
      <w:r w:rsidR="00E20FE6" w:rsidRPr="00E20FE6">
        <w:t xml:space="preserve"> offers advanced detection features and supports seamless integration into existing development workflows, facilitating continuous security testing and early vulnerability detection </w:t>
      </w:r>
      <w:r>
        <w:fldChar w:fldCharType="begin" w:fldLock="1"/>
      </w:r>
      <w:r w:rsidR="0003793F">
        <w:instrText>ADDIN CSL_CITATION {"citationItems":[{"id":"ITEM-1","itemData":{"DOI":"10.1109/ICIC64337.2024.10956935","ISBN":"9798331517601","abstract":"Security testing is a crucial step in protecting information and ensuring that the software system meets security standards. To identify vulnerabilities, analysis with scanning tools like OWASP ZAP and Arachni is required. However, without a comprehensive understanding of the scope and criticality of vulnerabilities identified by these tools, it's challenging to determine the accuracy and relevance of the results. Therefore, it is essential to perform thorough evaluations and benchmarking of vulnerability scanning tools to ensure they deliver reliable and accurate outcomes. This research aims to analyze and compare the performance of OWASP ZAP and Arachni in detecting vulnerabilities. The method used includes the preparation of testing equipment requirements, preparation of testing tools, vulnerability analysis, penetration testing, performance comparison of vulnerability scan tools, and performance evaluation of vulnerability scan tools. The results show that OWASP ZAP detected 16 vulnerabilities with a high level of consistency with the penetration testing results, while Arachni detected 9 vulnerabilities with lower consistency, making OWASP ZAP superior to Arachni.","author":[{"dropping-particle":"","family":"Irzan","given":"Achmad Muhaimin","non-dropping-particle":"","parse-names":false,"suffix":""},{"dropping-particle":"","family":"Sulistiyani","given":"Endang","non-dropping-particle":"","parse-names":false,"suffix":""}],"container-title":"2024 9th International Conference on Informatics and Computing, ICIC 2024","id":"ITEM-1","issued":{"date-parts":[["2024"]]},"page":"1-6","publisher":"IEEE","title":"Owasp Zap vs Arachni: Which One is Better in Vulnerability Assesment?","type":"article-journal"},"uris":["http://www.mendeley.com/documents/?uuid=6e764ddd-6a31-4af2-9516-6aaa5a98b585"]}],"mendeley":{"formattedCitation":"[8]","plainTextFormattedCitation":"[8]","previouslyFormattedCitation":"[8]"},"properties":{"noteIndex":0},"schema":"https://github.com/citation-style-language/schema/raw/master/csl-citation.json"}</w:instrText>
      </w:r>
      <w:r>
        <w:fldChar w:fldCharType="separate"/>
      </w:r>
      <w:r w:rsidRPr="00B2506E">
        <w:rPr>
          <w:noProof/>
        </w:rPr>
        <w:t>[8]</w:t>
      </w:r>
      <w:r>
        <w:fldChar w:fldCharType="end"/>
      </w:r>
      <w:r w:rsidRPr="00B2506E">
        <w:t>.</w:t>
      </w:r>
      <w:r w:rsidR="00E20FE6">
        <w:t xml:space="preserve"> </w:t>
      </w:r>
      <w:r w:rsidR="00E20FE6" w:rsidRPr="00E20FE6">
        <w:t>Its scalability and adaptability make it particularly suitable for large and complex web applications, ensuring that security risks are identified and addressed efficiently.</w:t>
      </w:r>
    </w:p>
    <w:p w14:paraId="2561271F" w14:textId="23467997" w:rsidR="00A03E5A" w:rsidRPr="00075EA6" w:rsidRDefault="00A03E5A" w:rsidP="00275C3A">
      <w:pPr>
        <w:pStyle w:val="Heading1"/>
        <w:rPr>
          <w:b w:val="0"/>
          <w:caps w:val="0"/>
          <w:sz w:val="20"/>
        </w:rPr>
      </w:pPr>
      <w:r>
        <w:t>related work</w:t>
      </w:r>
      <w:r w:rsidRPr="00075EA6">
        <w:br/>
      </w:r>
    </w:p>
    <w:p w14:paraId="3FA1CC54" w14:textId="74C9823C" w:rsidR="00B50CEB" w:rsidRDefault="00B50CEB" w:rsidP="00275C3A">
      <w:pPr>
        <w:pStyle w:val="Paragraph"/>
      </w:pPr>
      <w:r>
        <w:t>The Open Web Application Security Project (OWASP) has been a leading authority in web application security since its establishment in 2001. It provides widely recognized resources that guide vulnerability management and risk mitigation efforts. Among these, the OWASP Top 10 stands out as a critical framework that identifies the most significant security threats to web applications. This resource has become a de facto industry standard and is extensively utilized by researchers and practitioners due to its broad applicability across various security scenarios. Complementing this, the OWASP Web Security Testing Guide (WSTG) offers in-depth methodologies for detecting a wide range of attack vectors. The WSTG has proven effective in diverse applications such as web server office management</w:t>
      </w:r>
      <w:r>
        <w:fldChar w:fldCharType="begin" w:fldLock="1"/>
      </w:r>
      <w:r>
        <w:instrText>ADDIN CSL_CITATION {"citationItems":[{"id":"ITEM-1","itemData":{"DOI":"10.1109/ICORIS50180.2020.9320833","ISBN":"9781728172576","abstract":"Cases of lost scripts/programs have occurred, but the server crashed due to electrical problems for problems related to attacks whose impact is felt, namely the type of defacing attack. However, his hopes of this research outside of the attack could secure it before another attack case. There are various kinds of attacks, for example, such as cross-site scripting (XSS) attacks. This case has not yet happened, and the web server admin hopes to secure it early, so there are no data/information loss cases. Data/information that is more important on this website than other data is data/information from the Information Management and Documentation Officer. Vulnerability is a loophole that people often use not for getting the data and information they need in any way. This research type of research uses action research methods, the nature of this research uses quasi-experimental research, and the approach conducted by researchers used a quantitative approach. The research was carried out using the OWASP scanner approach on the Diskominfo web server, with the hope of providing solutions or recommendations to the webserver admin in implementing web server security as needed.","author":[{"dropping-particle":"","family":"Wijayanto","given":"Agung","non-dropping-particle":"","parse-names":false,"suffix":""},{"dropping-particle":"","family":"Utami","given":"Ema","non-dropping-particle":"","parse-names":false,"suffix":""},{"dropping-particle":"","family":"Prasetio","given":"Agung Budi","non-dropping-particle":"","parse-names":false,"suffix":""}],"container-title":"2020 2nd International Conference on Cybernetics and Intelligent System, ICORIS 2020","id":"ITEM-1","issued":{"date-parts":[["2020"]]},"page":"8-12","title":"Analysis of Vulnerability Webserver Office Management of Information and Documentation Diskominfo using OWASP Scanner","type":"article-journal"},"uris":["http://www.mendeley.com/documents/?uuid=87318587-be40-4d29-b7f1-8fa040c0d740"]}],"mendeley":{"formattedCitation":"[9]","plainTextFormattedCitation":"[9]","previouslyFormattedCitation":"[9]"},"properties":{"noteIndex":0},"schema":"https://github.com/citation-style-language/schema/raw/master/csl-citation.json"}</w:instrText>
      </w:r>
      <w:r>
        <w:fldChar w:fldCharType="separate"/>
      </w:r>
      <w:r w:rsidRPr="0003793F">
        <w:rPr>
          <w:noProof/>
        </w:rPr>
        <w:t>[9]</w:t>
      </w:r>
      <w:r>
        <w:fldChar w:fldCharType="end"/>
      </w:r>
      <w:r>
        <w:t>, network penetration testing</w:t>
      </w:r>
      <w:r>
        <w:fldChar w:fldCharType="begin" w:fldLock="1"/>
      </w:r>
      <w:r>
        <w:instrText>ADDIN CSL_CITATION {"citationItems":[{"id":"ITEM-1","itemData":{"DOI":"10.1109/ESCI48226.2020.9167645","ISBN":"9781728152639","abstract":"Penetration testing is gaining its popularity in the current generation as there has been evidences where the hacker have broken the system. There are standards that are available in the market which help the entire software industry to overcome such scenarios. One of the non-profit organization is Open Web Application Security Project (OWASP). Penetration testing or we say as ethical hacking is one of the important activity in the Cyber Security domain. In this paper we will be discussion about the well-known vulnerability defined by OWASP 2017 which stands in number 9 or A9 in the list i.e. 'using components of with known vulnerabilities'. The reason for bringing up this topic is because A9 vulnerability is very frequently seen as per my experience in the pen testing. We will be discussing about how to identity the known vulnerability in a web application from hacker point of view and how remediation would help the developer to close the vulnerability. Please note the practicality that is discussed in this paper should only be performed prior the approval of the application owner.","author":[{"dropping-particle":"","family":"Anantharaman","given":"Narayanan","non-dropping-particle":"","parse-names":false,"suffix":""},{"dropping-particle":"","family":"Wukkadada","given":"Bharati","non-dropping-particle":"","parse-names":false,"suffix":""}],"container-title":"2020 International Conference on Emerging Smart Computing and Informatics, ESCI 2020","id":"ITEM-1","issued":{"date-parts":[["2020"]]},"page":"88-91","title":"Identifying the Usage of Known Vulnerabilities Components Based on OWASP A9","type":"article-journal"},"uris":["http://www.mendeley.com/documents/?uuid=def31c7b-a17c-425f-bc84-881c18b572e7"]}],"mendeley":{"formattedCitation":"[10]","plainTextFormattedCitation":"[10]","previouslyFormattedCitation":"[10]"},"properties":{"noteIndex":0},"schema":"https://github.com/citation-style-language/schema/raw/master/csl-citation.json"}</w:instrText>
      </w:r>
      <w:r>
        <w:fldChar w:fldCharType="separate"/>
      </w:r>
      <w:r w:rsidRPr="0003793F">
        <w:rPr>
          <w:noProof/>
        </w:rPr>
        <w:t>[10]</w:t>
      </w:r>
      <w:r>
        <w:fldChar w:fldCharType="end"/>
      </w:r>
      <w:r>
        <w:t>, and assessing security risks in mobile health applications</w:t>
      </w:r>
      <w:r>
        <w:fldChar w:fldCharType="begin" w:fldLock="1"/>
      </w:r>
      <w:r>
        <w:instrText>ADDIN CSL_CITATION {"citationItems":[{"id":"ITEM-1","itemData":{"DOI":"10.1109/ICITSI56531.2022.9970949","ISBN":"9781665465557","abstract":"The increase of smartphone users in Indonesia is the reason for various sectors to improve their services through mobile applications, including the healthcare sector. The healthcare sector is considered a critical sector as it stores various health data of its users classified as confidential. This is the basis for the need to conduct a security analysis for mobile health applications, which are widely used in Indonesia. MobSF (Mobile Security Framework) and MARA (Mobile Application Reverse Engineering and Analysis) Framework are mobile application security analysis methods capable of assessing security levels based on OWASP (Open Web Application Security Project) Mobile Top 10 2016 classification, CVSS (Common Vulnerability Scoring System) and CWE (Common Weakness Enumeration). It is expected that the test results with MobSF and MARA can provide a safety metric for mobile health applications as a means of safety information for users and application developers.","author":[{"dropping-particle":"","family":"Priambodo","given":"Dimas Febriyan","non-dropping-particle":"","parse-names":false,"suffix":""},{"dropping-particle":"","family":"Ajie","given":"Guntur Satria","non-dropping-particle":"","parse-names":false,"suffix":""},{"dropping-particle":"","family":"Rahman","given":"Hendy Aulia","non-dropping-particle":"","parse-names":false,"suffix":""},{"dropping-particle":"","family":"Nugraha","given":"Aldi Cahya Fajar","non-dropping-particle":"","parse-names":false,"suffix":""},{"dropping-particle":"","family":"Rachmawati","given":"Aulia","non-dropping-particle":"","parse-names":false,"suffix":""},{"dropping-particle":"","family":"Avianti","given":"Marcella Risky","non-dropping-particle":"","parse-names":false,"suffix":""}],"container-title":"2022 International Conference on Information Technology Systems and Innovation, ICITSI 2022 - Proceedings","id":"ITEM-1","issued":{"date-parts":[["2022"]]},"page":"25-29","publisher":"IEEE","title":"Mobile Health Application Security Assesment Based on OWASP Top 10 Mobile Vulnerabilities","type":"article-journal"},"uris":["http://www.mendeley.com/documents/?uuid=767139bf-b1e3-4fd7-81ba-a2bad713dbac"]}],"mendeley":{"formattedCitation":"[11]","plainTextFormattedCitation":"[11]","previouslyFormattedCitation":"[11]"},"properties":{"noteIndex":0},"schema":"https://github.com/citation-style-language/schema/raw/master/csl-citation.json"}</w:instrText>
      </w:r>
      <w:r>
        <w:fldChar w:fldCharType="separate"/>
      </w:r>
      <w:r w:rsidRPr="0003793F">
        <w:rPr>
          <w:noProof/>
        </w:rPr>
        <w:t>[11]</w:t>
      </w:r>
      <w:r>
        <w:fldChar w:fldCharType="end"/>
      </w:r>
      <w:r>
        <w:t>, supported by secure coding standards that enhance overall software security</w:t>
      </w:r>
      <w:r>
        <w:fldChar w:fldCharType="begin" w:fldLock="1"/>
      </w:r>
      <w:r>
        <w:instrText>ADDIN CSL_CITATION {"citationItems":[{"id":"ITEM-1","itemData":{"DOI":"10.1109/IWBIS50925.2020.9255559","ISBN":"9781728190983","abstract":"Sistem Informasi Akademik dan Pengasuhan (SIAP) is an application web that facilitates the academic community in accessing information about academics and student care. However, in its development, if the code system is poorly written, a web application might have vulnerabilities. This study aims to determine the vulnerabilities found in SIAP using OWASP guide and how to fix these vulnerabilities. OWASP is the best choice because it can be obtained free of charge and freely on the internet and periodically up to date. Before vulnerability testing, analysis about security level of SIAP is done using OWASP ASVS. Then, OWASP Testing Guide is used for vulnerability testing. In the tests conducted, it was found that SIAP is vulnerable to injection, broken authentication, and broken access control. Injection is one of the vulnerabilities that has the highest risk value. After testing, a code review using OWASP Code Review Guide is performed to find the location of the vulnerability in the source code. For the last, a secure code recommendation will be given that can overcome the vulnerabilities found from the used guidelines.","author":[{"dropping-particle":"","family":"Nanisura Damanik","given":"Venia Noella","non-dropping-particle":"","parse-names":false,"suffix":""},{"dropping-particle":"","family":"Sunaringtyas","given":"Septia Ulfa","non-dropping-particle":"","parse-names":false,"suffix":""}],"container-title":"2020 International Workshop on Big Data and Information Security, IWBIS 2020","id":"ITEM-1","issued":{"date-parts":[["2020"]]},"page":"153-157","title":"Secure code recommendation based on code review result using owasp code review guide","type":"article-journal"},"uris":["http://www.mendeley.com/documents/?uuid=711ee2d0-fb2f-4cdb-bcb9-240a46b1bc55"]}],"mendeley":{"formattedCitation":"[12]","plainTextFormattedCitation":"[12]","previouslyFormattedCitation":"[12]"},"properties":{"noteIndex":0},"schema":"https://github.com/citation-style-language/schema/raw/master/csl-citation.json"}</w:instrText>
      </w:r>
      <w:r>
        <w:fldChar w:fldCharType="separate"/>
      </w:r>
      <w:r w:rsidRPr="0003793F">
        <w:rPr>
          <w:noProof/>
        </w:rPr>
        <w:t>[12]</w:t>
      </w:r>
      <w:r>
        <w:fldChar w:fldCharType="end"/>
      </w:r>
      <w:r>
        <w:t>.</w:t>
      </w:r>
    </w:p>
    <w:p w14:paraId="3D2889E2" w14:textId="77777777" w:rsidR="00B50CEB" w:rsidRDefault="00B50CEB" w:rsidP="00275C3A">
      <w:pPr>
        <w:pStyle w:val="Paragraph"/>
      </w:pPr>
    </w:p>
    <w:p w14:paraId="2AAECEC5" w14:textId="3AF5766D" w:rsidR="00B50CEB" w:rsidRDefault="00B50CEB" w:rsidP="00275C3A">
      <w:pPr>
        <w:pStyle w:val="Paragraph"/>
      </w:pPr>
      <w:r>
        <w:t>In addition to its documentation, OWASP provides practical tools like the OWASP Zed Attack Proxy (ZAP), which is highly versatile and easily customizable for vulnerability scanning and attack prevention. This tool has been successfully employed to enhance the security posture of government websites</w:t>
      </w:r>
      <w:r w:rsidRPr="00B50CEB">
        <w:t xml:space="preserve"> </w:t>
      </w:r>
      <w:r>
        <w:t>k</w:t>
      </w:r>
      <w:r>
        <w:fldChar w:fldCharType="begin" w:fldLock="1"/>
      </w:r>
      <w:r>
        <w:instrText>ADDIN CSL_CITATION {"citationItems":[{"id":"ITEM-1","itemData":{"DOI":"10.1109/ICITCOM60176.2023.10442816","ISBN":"9798350359633","abstract":"In August 2022, the Directorate of Cyber Security Operations, National Cyber and Crypto Agency received the most complaints about cybercrime. Of these complaints, there were more than 100 hacking cases, which were dominated by the local government sector. In the same year, there was a leak of medical sample data belonging to the Central Government of the Republic of Indonesia's Ministry of Health. So, this research aims to analyze the security of a website belonging to the health service of one of the districts in Indonesia. There were eleven vulnerabilities discovered and successfully classified using the OWASP Top 10 2021. Of the eleven vulnerabilities discovered, nine vulnerabilities were successfully exploited by following the WSTG 4.2 guidelines. By using the OWASP Risk Assessment Calculator, four vulnerabilities have a medium severity level and five others have a low severity level. Based on these findings, recommendations for improving each vulnerability are given.","author":[{"dropping-particle":"","family":"Choiriyah","given":"Ayu","non-dropping-particle":"","parse-names":false,"suffix":""},{"dropping-particle":"","family":"Qomariasih","given":"Nurul","non-dropping-particle":"","parse-names":false,"suffix":""}],"container-title":"Proceeding - International Conference on Information Technology and Computing 2023, ICITCOM 2023","id":"ITEM-1","issued":{"date-parts":[["2023"]]},"page":"267-272","publisher":"IEEE","title":"Security Analysis on Websites Belonging to the Health Service Districts in Indonesia Based on the Open Web Application Security Project (OWASP) Top 10 2021","type":"article-journal"},"uris":["http://www.mendeley.com/documents/?uuid=c6eda835-4727-410b-952b-672bfc7bb60e"]}],"mendeley":{"formattedCitation":"[14]","plainTextFormattedCitation":"[14]"},"properties":{"noteIndex":0},"schema":"https://github.com/citation-style-language/schema/raw/master/csl-citation.json"}</w:instrText>
      </w:r>
      <w:r>
        <w:fldChar w:fldCharType="separate"/>
      </w:r>
      <w:r w:rsidRPr="00B50CEB">
        <w:rPr>
          <w:noProof/>
        </w:rPr>
        <w:t>[14]</w:t>
      </w:r>
      <w:r>
        <w:fldChar w:fldCharType="end"/>
      </w:r>
      <w:r>
        <w:t xml:space="preserve"> and other critical infrastructures</w:t>
      </w:r>
      <w:r>
        <w:fldChar w:fldCharType="begin" w:fldLock="1"/>
      </w:r>
      <w:r>
        <w:instrText>ADDIN CSL_CITATION {"citationItems":[{"id":"ITEM-1","itemData":{"DOI":"10.1109/BigDataSecurity-HPSC-IDS58521.2023.00028","ISBN":"9798350312935","abstract":"As web applications become increasingly popular for offering data and services among businesses and organizations they also become more susceptible to security risks. Many organizations rely today on Web Vulnerability Scanners (WVSs) to identify vulnerabilities in their web applications. However, one of the most prevalent types of web application vulnerabilities, SQL Injections (SQLi), can often go undetected by WVSs. OWASP ZAP is an open-source web vulnerability scanner that allows security professionals to develop rules to improve vulnerability detection capability. In this paper, a new method is proposed to improve the detection capability of OWASP ZAP for SQLi. We aim to accurately detect the four major types of SQLi: Error-based, Union-based, Time-based blind, and Authentication Bypass. We implemented this new method using OWASP ZAP detection policies. The method was tested against two benchmark vulnerable web applications, Mutillidae and WebGoat, and was shown to significantly improve the detection of SQL injection attacks.","author":[{"dropping-particle":"","family":"Alazmi","given":"Suliman","non-dropping-particle":"","parse-names":false,"suffix":""},{"dropping-particle":"","family":"Leon","given":"Daniel Conte","non-dropping-particle":"De","parse-names":false,"suffix":""}],"container-title":"Proceedings - 2023 IEEE 9th International Conference on Big Data Security on Cloud, IEEE International Conference on High Performance and Smart Computing, and IEEE International Conference on Intelligent Data and Security, BigDataSecurity-HPSC-IDS 2023","id":"ITEM-1","issued":{"date-parts":[["2023"]]},"page":"102-106","publisher":"IEEE","title":"Customizing OWASP ZAP: A Proven Method for Detecting SQL Injection Vulnerabilities","type":"article-journal"},"uris":["http://www.mendeley.com/documents/?uuid=86eea70b-67d6-4cba-b387-699d49d28276"]}],"mendeley":{"formattedCitation":"[13]","plainTextFormattedCitation":"[13]","previouslyFormattedCitation":"[13]"},"properties":{"noteIndex":0},"schema":"https://github.com/citation-style-language/schema/raw/master/csl-citation.json"}</w:instrText>
      </w:r>
      <w:r>
        <w:fldChar w:fldCharType="separate"/>
      </w:r>
      <w:r w:rsidRPr="0003793F">
        <w:rPr>
          <w:noProof/>
        </w:rPr>
        <w:t>[13]</w:t>
      </w:r>
      <w:r>
        <w:fldChar w:fldCharType="end"/>
      </w:r>
      <w:r>
        <w:t>. OWASP’s extensive knowledge base is continuously updated to reflect the latest threat patterns and security research, ensuring its ongoing relevance in the rapidly evolving cybersecurity landscape. The organization’s commitment to maintaining up-to-date resources, including recent updates as of this year</w:t>
      </w:r>
      <w:r>
        <w:fldChar w:fldCharType="begin" w:fldLock="1"/>
      </w:r>
      <w:r>
        <w:instrText>ADDIN CSL_CITATION {"citationItems":[{"id":"ITEM-1","itemData":{"DOI":"10.1109/ICICT64420.2025.11004742","ISBN":"9798331512248","abstract":"The Open Web Application Security Project (OWASP) is widely recognized for its role in identifying and publishing the most critical vulnerabilities in the web application security domain through its OWASP Top 10 list. This study provides the first comprehensive evolutionary analysis of the OWASP Top 10, tracing its development from its inception to the most recent edition. By systematically analyzing historical trends, this research highlights key shifts in vulnerability patterns and emerging security challenges, offering a thorough perspective that expands upon existing literature on web application security. In particular, the study also presents a forward-looking projection for the upcoming 2025 OWASP Top 10, which is anticipated to be released later this year. This prediction is grounded in four primary factors influencing the evolving cybersecurity landscape: the increasing risks associated with artificial intelligence (AI) and machine learning (ML), the growing complexities of API and cloud security, the rising frequency of software supply chain attacks (SSCA), and the expanding impact of regulatory and compliance frameworks. The findings contribute significantly to the understanding of the dynamic threat environment, providing actionable insights for researchers, practitioners, and policymakers to enhance security strategies and mitigate future risks effectively.","author":[{"dropping-particle":"","family":"Li","given":"Jinfeng","non-dropping-particle":"","parse-names":false,"suffix":""},{"dropping-particle":"","family":"Li","given":"Haorong","non-dropping-particle":"","parse-names":false,"suffix":""}],"container-title":"Proceedings of 8th International Conference on Inventive Computation Technologies, ICICT 2025","id":"ITEM-1","issued":{"date-parts":[["2025"]]},"page":"1178-1183","publisher":"IEEE","title":"Evolution of Application Security based on OWASP Top 10 and CWE/SANS Top 25 with Predictions for the 2025 OWASP Top 10","type":"article-journal"},"uris":["http://www.mendeley.com/documents/?uuid=a5e7afba-1c94-413b-bb3c-21c665b2c6df"]}],"mendeley":{"formattedCitation":"[15]","plainTextFormattedCitation":"[15]","previouslyFormattedCitation":"[14]"},"properties":{"noteIndex":0},"schema":"https://github.com/citation-style-language/schema/raw/master/csl-citation.json"}</w:instrText>
      </w:r>
      <w:r>
        <w:fldChar w:fldCharType="separate"/>
      </w:r>
      <w:r w:rsidRPr="00B50CEB">
        <w:rPr>
          <w:noProof/>
        </w:rPr>
        <w:t>[15]</w:t>
      </w:r>
      <w:r>
        <w:fldChar w:fldCharType="end"/>
      </w:r>
      <w:r>
        <w:t>, underscores its vital role in supporting secure web application development and defense strategies worldwide.</w:t>
      </w:r>
    </w:p>
    <w:p w14:paraId="54FA0933" w14:textId="75CD0D49" w:rsidR="0003793F" w:rsidRDefault="0003793F" w:rsidP="00275C3A">
      <w:pPr>
        <w:pStyle w:val="Paragraph"/>
      </w:pPr>
      <w:r>
        <w:t xml:space="preserve"> </w:t>
      </w:r>
    </w:p>
    <w:p w14:paraId="6CCD4566" w14:textId="74C645AC" w:rsidR="00A03E5A" w:rsidRPr="00075EA6" w:rsidRDefault="00A03E5A" w:rsidP="00275C3A">
      <w:pPr>
        <w:pStyle w:val="Heading1"/>
        <w:rPr>
          <w:b w:val="0"/>
          <w:caps w:val="0"/>
          <w:sz w:val="20"/>
        </w:rPr>
      </w:pPr>
      <w:r>
        <w:t>methodology</w:t>
      </w:r>
    </w:p>
    <w:p w14:paraId="35967A7B" w14:textId="14872773" w:rsidR="00290DBA" w:rsidRDefault="00E20FE6" w:rsidP="00275C3A">
      <w:pPr>
        <w:pStyle w:val="Paragraph"/>
      </w:pPr>
      <w:r>
        <w:t xml:space="preserve">In this research is composed of three important </w:t>
      </w:r>
      <w:proofErr w:type="gramStart"/>
      <w:r>
        <w:t>key</w:t>
      </w:r>
      <w:proofErr w:type="gramEnd"/>
      <w:r>
        <w:t>, such as vulnerability framework, DAST tools selection, and scoring system that been used to measure vulnerability.</w:t>
      </w:r>
    </w:p>
    <w:p w14:paraId="1BABDD38" w14:textId="59C97B7C" w:rsidR="00290DBA" w:rsidRDefault="00290DBA" w:rsidP="00275C3A">
      <w:pPr>
        <w:pStyle w:val="Heading2"/>
      </w:pPr>
      <w:r>
        <w:t xml:space="preserve">Vulnerability </w:t>
      </w:r>
      <w:r w:rsidR="001176F1">
        <w:t>Framework</w:t>
      </w:r>
    </w:p>
    <w:p w14:paraId="73EBDD5A" w14:textId="69E05278" w:rsidR="003656E7" w:rsidRDefault="003656E7" w:rsidP="00275C3A">
      <w:pPr>
        <w:pStyle w:val="Paragraph"/>
      </w:pPr>
      <w:r>
        <w:t>Vulnerability frameworks offer essential methodologies for identifying, categorizing, and mitigating security weaknesses in software systems. Notable frameworks include the NIST Cybersecurity Framework</w:t>
      </w:r>
      <w:r>
        <w:fldChar w:fldCharType="begin" w:fldLock="1"/>
      </w:r>
      <w:r w:rsidR="00B50CEB">
        <w:instrText>ADDIN CSL_CITATION {"citationItems":[{"id":"ITEM-1","itemData":{"abstract":"The NIST Cybersecurity Framework (CSF) 2.0 provides guidance to industry, government agencies, and other organizations to manage cybersecurity risks. It offers a taxonomy of high-level cybersecurity outcomes that can be used by any organization — regardless of its size, sector, or maturity — to better understand, assess, prioritize, and communicate its cybersecurity efforts. The CSF does not prescribe how outcomes should be achieved. Rather, it links to online resources that provide additional guidance on practices and controls that could be used to achieve those outcomes. This document describes CSF 2.0, its components, and some of the many ways that it can be used.","author":[{"dropping-particle":"","family":"Pascoe, C. , Quinn","given":"S. and Scarfone","non-dropping-particle":"","parse-names":false,"suffix":""}],"id":"ITEM-1","issued":{"date-parts":[["2024"]]},"page":"32","title":"The NIST Cybersecurity","type":"article-journal"},"uris":["http://www.mendeley.com/documents/?uuid=a865b75c-7296-41aa-9fab-0bfa44249f0b"]}],"mendeley":{"formattedCitation":"[16]","plainTextFormattedCitation":"[16]","previouslyFormattedCitation":"[15]"},"properties":{"noteIndex":0},"schema":"https://github.com/citation-style-language/schema/raw/master/csl-citation.json"}</w:instrText>
      </w:r>
      <w:r>
        <w:fldChar w:fldCharType="separate"/>
      </w:r>
      <w:r w:rsidR="00B50CEB" w:rsidRPr="00B50CEB">
        <w:rPr>
          <w:noProof/>
        </w:rPr>
        <w:t>[16]</w:t>
      </w:r>
      <w:r>
        <w:fldChar w:fldCharType="end"/>
      </w:r>
      <w:r>
        <w:t>, MITRE ATT&amp;CK</w:t>
      </w:r>
      <w:r>
        <w:fldChar w:fldCharType="begin" w:fldLock="1"/>
      </w:r>
      <w:r w:rsidR="00B50CEB">
        <w:instrText>ADDIN CSL_CITATION {"citationItems":[{"id":"ITEM-1","itemData":{"DOI":"10.1145/3687300","ISSN":"15577341","abstract":"MITRE ATT&amp;CK is a comprehensive framework of adversary tactics, techniques, and procedures based on real-world observations. It has been used as a foundation for threat modeling in different sectors, such as government, academia, and industry. To the best of our knowledge, no previous work has been devoted to the comprehensive collection, study, and investigation of the current state of the art leveraging the MITRE ATT&amp;CK framework. We select and inspect more than 50 major research contributions, while conducting a detailed analysis of their methodology and objectives in relation to the MITRE ATT&amp;CK framework. We provide a categorization of the identified papers according to different criteria such as use cases, application scenarios, adopted methodologies, and the use of additional data. Finally, we discuss open issues and future research directions involving not only the MITRE ATT&amp;CK framework but also the fields of threat analysis, threat modeling, and in general cyber-Threat intelligence.","author":[{"dropping-particle":"","family":"Al-Sada","given":"Bader","non-dropping-particle":"","parse-names":false,"suffix":""},{"dropping-particle":"","family":"Sadighian","given":"Alireza","non-dropping-particle":"","parse-names":false,"suffix":""},{"dropping-particle":"","family":"Oligeri","given":"Gabriele","non-dropping-particle":"","parse-names":false,"suffix":""}],"container-title":"ACM Computing Surveys","id":"ITEM-1","issue":"1","issued":{"date-parts":[["2024"]]},"title":"MITRE ATT&amp;CK: State of the Art and Way Forward","type":"article-journal","volume":"57"},"uris":["http://www.mendeley.com/documents/?uuid=b686285a-5ad8-4ef3-8dd8-b9f00033959e"]}],"mendeley":{"formattedCitation":"[17]","plainTextFormattedCitation":"[17]","previouslyFormattedCitation":"[16]"},"properties":{"noteIndex":0},"schema":"https://github.com/citation-style-language/schema/raw/master/csl-citation.json"}</w:instrText>
      </w:r>
      <w:r>
        <w:fldChar w:fldCharType="separate"/>
      </w:r>
      <w:r w:rsidR="00B50CEB" w:rsidRPr="00B50CEB">
        <w:rPr>
          <w:noProof/>
        </w:rPr>
        <w:t>[17]</w:t>
      </w:r>
      <w:r>
        <w:fldChar w:fldCharType="end"/>
      </w:r>
      <w:r>
        <w:t xml:space="preserve">, and OWASP Top 10, each with distinct focuses: NIST provides a broad risk management approach, MITRE ATT&amp;CK emphasizes adversary tactics, and OWASP Top 10 targets the most critical web application risks. OWASP’s specialization in web security, driven by community input and data, helps organizations prioritize security efforts, improve development practices, and effectively reduce attack surfaces. The OWASP Top 10 2021 edition, recognized as a leading standard, reflects the evolving threat landscape by introducing new categories like "Insecure </w:t>
      </w:r>
      <w:r>
        <w:lastRenderedPageBreak/>
        <w:t>Design" and refining others such as "Broken Access Control," ensuring relevance through empirical data and expert consensus.</w:t>
      </w:r>
    </w:p>
    <w:p w14:paraId="4B36B2B5" w14:textId="756BDDC1" w:rsidR="003656E7" w:rsidRDefault="003656E7" w:rsidP="00275C3A">
      <w:pPr>
        <w:pStyle w:val="Paragraph"/>
      </w:pPr>
      <w:r>
        <w:t>This research adopts the OWASP Top 10 2021 as its primary risk taxonomy, focusing specifically on vulnerabilities related to Data Validation and Error Handling failures. These areas are critical because improper data validation can lead to injection attacks and cross-site scripting, while poor error handling may expose sensitive information exploitable by attackers. Together, they account for approximately 80% of common web application security issues. This focus aligns with the OWASP Web Security Testing Guide (WSTG) version 4.1</w:t>
      </w:r>
      <w:r w:rsidR="00184EE5">
        <w:t xml:space="preserve"> as define on Table. 1</w:t>
      </w:r>
      <w:r>
        <w:t>, particularly sections on Data Validation Testing (WSTG-INPV) and Error Handling Analysis (WSTG-ERRH), which provide best practices to prevent malicious input and secure error management. Given that these failures are responsible for many detected vulnerabilities, including SQL injection and information disclosure, concentrating on these aspects offers a comprehensive approach to mitigating prevalent and severe web security risks.</w:t>
      </w:r>
    </w:p>
    <w:p w14:paraId="46272222" w14:textId="77777777" w:rsidR="00275C3A" w:rsidRDefault="00275C3A" w:rsidP="00275C3A">
      <w:pPr>
        <w:pStyle w:val="Paragraph"/>
      </w:pPr>
    </w:p>
    <w:p w14:paraId="02D9A765" w14:textId="4B42108A" w:rsidR="0094271D" w:rsidRDefault="0094271D" w:rsidP="00275C3A">
      <w:pPr>
        <w:pStyle w:val="Paragraph"/>
      </w:pPr>
      <w:r w:rsidRPr="00075EA6">
        <w:rPr>
          <w:b/>
        </w:rPr>
        <w:t xml:space="preserve">TABLE 1. </w:t>
      </w:r>
      <w:r>
        <w:t>OWASP mapping category aligning with d</w:t>
      </w:r>
      <w:r w:rsidRPr="0094271D">
        <w:t xml:space="preserve">ata </w:t>
      </w:r>
      <w:r>
        <w:t>v</w:t>
      </w:r>
      <w:r w:rsidRPr="0094271D">
        <w:t xml:space="preserve">alidation </w:t>
      </w:r>
      <w:r>
        <w:t>t</w:t>
      </w:r>
      <w:r w:rsidRPr="0094271D">
        <w:t xml:space="preserve">esting dan </w:t>
      </w:r>
      <w:r>
        <w:t>e</w:t>
      </w:r>
      <w:r w:rsidRPr="0094271D">
        <w:t xml:space="preserve">rror </w:t>
      </w:r>
      <w:r>
        <w:t>h</w:t>
      </w:r>
      <w:r w:rsidRPr="0094271D">
        <w:t>andling</w:t>
      </w:r>
      <w:r>
        <w:t xml:space="preserve"> goals</w:t>
      </w:r>
      <w:r w:rsidRPr="0094271D">
        <w:t>.</w:t>
      </w:r>
    </w:p>
    <w:tbl>
      <w:tblPr>
        <w:tblW w:w="0" w:type="auto"/>
        <w:jc w:val="center"/>
        <w:tblBorders>
          <w:bottom w:val="single" w:sz="4" w:space="0" w:color="auto"/>
        </w:tblBorders>
        <w:tblLayout w:type="fixed"/>
        <w:tblLook w:val="0000" w:firstRow="0" w:lastRow="0" w:firstColumn="0" w:lastColumn="0" w:noHBand="0" w:noVBand="0"/>
      </w:tblPr>
      <w:tblGrid>
        <w:gridCol w:w="2790"/>
        <w:gridCol w:w="1746"/>
        <w:gridCol w:w="3828"/>
      </w:tblGrid>
      <w:tr w:rsidR="0094271D" w:rsidRPr="00184EE5" w14:paraId="44655CBD" w14:textId="77777777" w:rsidTr="00184EE5">
        <w:trPr>
          <w:cantSplit/>
          <w:trHeight w:val="272"/>
          <w:jc w:val="center"/>
        </w:trPr>
        <w:tc>
          <w:tcPr>
            <w:tcW w:w="2790" w:type="dxa"/>
            <w:tcBorders>
              <w:top w:val="single" w:sz="4" w:space="0" w:color="auto"/>
              <w:bottom w:val="single" w:sz="4" w:space="0" w:color="auto"/>
            </w:tcBorders>
            <w:vAlign w:val="center"/>
          </w:tcPr>
          <w:p w14:paraId="412BACD1" w14:textId="3739B8DD" w:rsidR="0094271D" w:rsidRPr="00184EE5" w:rsidRDefault="0094271D" w:rsidP="00275C3A">
            <w:pPr>
              <w:jc w:val="center"/>
              <w:rPr>
                <w:b/>
                <w:bCs/>
                <w:sz w:val="20"/>
              </w:rPr>
            </w:pPr>
            <w:r w:rsidRPr="00184EE5">
              <w:rPr>
                <w:rFonts w:ascii="Aptos Narrow" w:hAnsi="Aptos Narrow"/>
                <w:b/>
                <w:bCs/>
                <w:color w:val="000000"/>
                <w:sz w:val="20"/>
              </w:rPr>
              <w:t>OWASP Category</w:t>
            </w:r>
          </w:p>
        </w:tc>
        <w:tc>
          <w:tcPr>
            <w:tcW w:w="1746" w:type="dxa"/>
            <w:tcBorders>
              <w:top w:val="single" w:sz="4" w:space="0" w:color="auto"/>
              <w:bottom w:val="single" w:sz="4" w:space="0" w:color="auto"/>
            </w:tcBorders>
            <w:vAlign w:val="center"/>
          </w:tcPr>
          <w:p w14:paraId="439193E9" w14:textId="0B2656AF" w:rsidR="0094271D" w:rsidRPr="00184EE5" w:rsidRDefault="0094271D" w:rsidP="00275C3A">
            <w:pPr>
              <w:jc w:val="center"/>
              <w:rPr>
                <w:b/>
                <w:bCs/>
                <w:sz w:val="20"/>
              </w:rPr>
            </w:pPr>
            <w:r w:rsidRPr="00184EE5">
              <w:rPr>
                <w:rFonts w:ascii="Aptos Narrow" w:hAnsi="Aptos Narrow"/>
                <w:b/>
                <w:bCs/>
                <w:color w:val="000000"/>
                <w:sz w:val="20"/>
              </w:rPr>
              <w:t>WSTG Test ID</w:t>
            </w:r>
          </w:p>
        </w:tc>
        <w:tc>
          <w:tcPr>
            <w:tcW w:w="3828" w:type="dxa"/>
            <w:tcBorders>
              <w:top w:val="single" w:sz="4" w:space="0" w:color="auto"/>
              <w:bottom w:val="single" w:sz="4" w:space="0" w:color="auto"/>
            </w:tcBorders>
            <w:vAlign w:val="center"/>
          </w:tcPr>
          <w:p w14:paraId="42E41E25" w14:textId="7A0F0B56" w:rsidR="0094271D" w:rsidRPr="00184EE5" w:rsidRDefault="0094271D" w:rsidP="00275C3A">
            <w:pPr>
              <w:jc w:val="center"/>
              <w:rPr>
                <w:b/>
                <w:bCs/>
                <w:sz w:val="20"/>
              </w:rPr>
            </w:pPr>
            <w:r w:rsidRPr="00184EE5">
              <w:rPr>
                <w:rFonts w:ascii="Aptos Narrow" w:hAnsi="Aptos Narrow"/>
                <w:b/>
                <w:bCs/>
                <w:color w:val="000000"/>
                <w:sz w:val="20"/>
              </w:rPr>
              <w:t>Relevance</w:t>
            </w:r>
          </w:p>
        </w:tc>
      </w:tr>
      <w:tr w:rsidR="0094271D" w:rsidRPr="00184EE5" w14:paraId="0DBA8133" w14:textId="77777777" w:rsidTr="00184EE5">
        <w:trPr>
          <w:cantSplit/>
          <w:jc w:val="center"/>
        </w:trPr>
        <w:tc>
          <w:tcPr>
            <w:tcW w:w="2790" w:type="dxa"/>
            <w:tcBorders>
              <w:top w:val="nil"/>
            </w:tcBorders>
            <w:vAlign w:val="center"/>
          </w:tcPr>
          <w:p w14:paraId="7FA39CB1" w14:textId="713180A4" w:rsidR="0094271D" w:rsidRPr="00184EE5" w:rsidRDefault="0094271D" w:rsidP="00275C3A">
            <w:pPr>
              <w:pStyle w:val="Paragraph"/>
              <w:ind w:hanging="107"/>
              <w:jc w:val="center"/>
            </w:pPr>
            <w:r w:rsidRPr="00184EE5">
              <w:rPr>
                <w:rFonts w:ascii="Aptos Narrow" w:hAnsi="Aptos Narrow"/>
                <w:color w:val="000000"/>
              </w:rPr>
              <w:t>A03: Injection</w:t>
            </w:r>
          </w:p>
        </w:tc>
        <w:tc>
          <w:tcPr>
            <w:tcW w:w="1746" w:type="dxa"/>
            <w:tcBorders>
              <w:top w:val="nil"/>
            </w:tcBorders>
            <w:vAlign w:val="center"/>
          </w:tcPr>
          <w:p w14:paraId="790F4F25" w14:textId="0896DC8B" w:rsidR="0094271D" w:rsidRPr="00184EE5" w:rsidRDefault="0094271D" w:rsidP="00275C3A">
            <w:pPr>
              <w:jc w:val="center"/>
              <w:rPr>
                <w:rFonts w:ascii="Aptos Narrow" w:hAnsi="Aptos Narrow"/>
                <w:color w:val="000000"/>
                <w:sz w:val="20"/>
              </w:rPr>
            </w:pPr>
            <w:r w:rsidRPr="00184EE5">
              <w:rPr>
                <w:rFonts w:ascii="Aptos Narrow" w:hAnsi="Aptos Narrow"/>
                <w:color w:val="000000"/>
                <w:sz w:val="20"/>
              </w:rPr>
              <w:t>WSTG-INPV-01 to</w:t>
            </w:r>
          </w:p>
          <w:p w14:paraId="42BF30EE" w14:textId="347B4B94" w:rsidR="0094271D" w:rsidRPr="00184EE5" w:rsidRDefault="0094271D" w:rsidP="00275C3A">
            <w:pPr>
              <w:jc w:val="center"/>
              <w:rPr>
                <w:sz w:val="20"/>
              </w:rPr>
            </w:pPr>
            <w:r w:rsidRPr="00184EE5">
              <w:rPr>
                <w:rFonts w:ascii="Aptos Narrow" w:hAnsi="Aptos Narrow"/>
                <w:color w:val="000000"/>
                <w:sz w:val="20"/>
              </w:rPr>
              <w:t>WSTG-INPV-19</w:t>
            </w:r>
          </w:p>
        </w:tc>
        <w:tc>
          <w:tcPr>
            <w:tcW w:w="3828" w:type="dxa"/>
            <w:tcBorders>
              <w:top w:val="nil"/>
            </w:tcBorders>
            <w:vAlign w:val="center"/>
          </w:tcPr>
          <w:p w14:paraId="3BC4F367" w14:textId="6B78DAAE" w:rsidR="0094271D" w:rsidRPr="00184EE5" w:rsidRDefault="0094271D" w:rsidP="00275C3A">
            <w:pPr>
              <w:jc w:val="center"/>
              <w:rPr>
                <w:sz w:val="20"/>
              </w:rPr>
            </w:pPr>
            <w:r w:rsidRPr="00184EE5">
              <w:rPr>
                <w:rFonts w:ascii="Aptos Narrow" w:hAnsi="Aptos Narrow"/>
                <w:color w:val="000000"/>
                <w:sz w:val="20"/>
              </w:rPr>
              <w:t xml:space="preserve">Core focus: </w:t>
            </w:r>
            <w:proofErr w:type="spellStart"/>
            <w:r w:rsidRPr="00184EE5">
              <w:rPr>
                <w:rFonts w:ascii="Aptos Narrow" w:hAnsi="Aptos Narrow"/>
                <w:color w:val="000000"/>
                <w:sz w:val="20"/>
              </w:rPr>
              <w:t>SQLi</w:t>
            </w:r>
            <w:proofErr w:type="spellEnd"/>
            <w:r w:rsidRPr="00184EE5">
              <w:rPr>
                <w:rFonts w:ascii="Aptos Narrow" w:hAnsi="Aptos Narrow"/>
                <w:color w:val="000000"/>
                <w:sz w:val="20"/>
              </w:rPr>
              <w:t>, XSS, Command Injection via malicious input fuzzing.</w:t>
            </w:r>
          </w:p>
        </w:tc>
      </w:tr>
      <w:tr w:rsidR="0094271D" w:rsidRPr="00184EE5" w14:paraId="0AA5896B" w14:textId="77777777" w:rsidTr="00184EE5">
        <w:trPr>
          <w:cantSplit/>
          <w:jc w:val="center"/>
        </w:trPr>
        <w:tc>
          <w:tcPr>
            <w:tcW w:w="2790" w:type="dxa"/>
            <w:vAlign w:val="center"/>
          </w:tcPr>
          <w:p w14:paraId="46FB3FA5" w14:textId="5B5C2B3C" w:rsidR="0094271D" w:rsidRPr="00184EE5" w:rsidRDefault="0094271D" w:rsidP="00275C3A">
            <w:pPr>
              <w:pStyle w:val="Paragraph"/>
              <w:ind w:hanging="107"/>
              <w:jc w:val="center"/>
            </w:pPr>
            <w:r w:rsidRPr="00184EE5">
              <w:rPr>
                <w:rFonts w:ascii="Aptos Narrow" w:hAnsi="Aptos Narrow"/>
                <w:color w:val="000000"/>
              </w:rPr>
              <w:t>A05: Security Misconfiguration</w:t>
            </w:r>
          </w:p>
        </w:tc>
        <w:tc>
          <w:tcPr>
            <w:tcW w:w="1746" w:type="dxa"/>
            <w:vAlign w:val="center"/>
          </w:tcPr>
          <w:p w14:paraId="2FC566AC" w14:textId="1107DD17" w:rsidR="0094271D" w:rsidRPr="00184EE5" w:rsidRDefault="0094271D" w:rsidP="00275C3A">
            <w:pPr>
              <w:jc w:val="center"/>
              <w:rPr>
                <w:sz w:val="20"/>
              </w:rPr>
            </w:pPr>
            <w:r w:rsidRPr="00184EE5">
              <w:rPr>
                <w:rFonts w:ascii="Aptos Narrow" w:hAnsi="Aptos Narrow"/>
                <w:color w:val="000000"/>
                <w:sz w:val="20"/>
              </w:rPr>
              <w:t>WSTG-ERRH-01</w:t>
            </w:r>
          </w:p>
        </w:tc>
        <w:tc>
          <w:tcPr>
            <w:tcW w:w="3828" w:type="dxa"/>
            <w:vAlign w:val="center"/>
          </w:tcPr>
          <w:p w14:paraId="4300A422" w14:textId="166A3AB4" w:rsidR="0094271D" w:rsidRPr="00184EE5" w:rsidRDefault="0094271D" w:rsidP="00275C3A">
            <w:pPr>
              <w:jc w:val="center"/>
              <w:rPr>
                <w:sz w:val="20"/>
              </w:rPr>
            </w:pPr>
            <w:r w:rsidRPr="00184EE5">
              <w:rPr>
                <w:rFonts w:ascii="Aptos Narrow" w:hAnsi="Aptos Narrow"/>
                <w:color w:val="000000"/>
                <w:sz w:val="20"/>
              </w:rPr>
              <w:t>Critical: Detection of stack traces, debug errors, or system details leakage.</w:t>
            </w:r>
          </w:p>
        </w:tc>
      </w:tr>
      <w:tr w:rsidR="0094271D" w:rsidRPr="00184EE5" w14:paraId="7E18C0A4" w14:textId="77777777" w:rsidTr="00184EE5">
        <w:trPr>
          <w:cantSplit/>
          <w:trHeight w:val="237"/>
          <w:jc w:val="center"/>
        </w:trPr>
        <w:tc>
          <w:tcPr>
            <w:tcW w:w="2790" w:type="dxa"/>
            <w:vAlign w:val="center"/>
          </w:tcPr>
          <w:p w14:paraId="0B9571EA" w14:textId="5794E58A" w:rsidR="0094271D" w:rsidRPr="00184EE5" w:rsidRDefault="0094271D" w:rsidP="00275C3A">
            <w:pPr>
              <w:pStyle w:val="Paragraph"/>
              <w:ind w:hanging="107"/>
              <w:jc w:val="center"/>
            </w:pPr>
            <w:r w:rsidRPr="00184EE5">
              <w:rPr>
                <w:rFonts w:ascii="Aptos Narrow" w:hAnsi="Aptos Narrow"/>
                <w:color w:val="000000"/>
              </w:rPr>
              <w:t>A01: Broken Access Control</w:t>
            </w:r>
          </w:p>
        </w:tc>
        <w:tc>
          <w:tcPr>
            <w:tcW w:w="1746" w:type="dxa"/>
            <w:vAlign w:val="center"/>
          </w:tcPr>
          <w:p w14:paraId="7F3FDFA4" w14:textId="7C127DBF" w:rsidR="0094271D" w:rsidRPr="00184EE5" w:rsidRDefault="0094271D" w:rsidP="00275C3A">
            <w:pPr>
              <w:jc w:val="center"/>
              <w:rPr>
                <w:sz w:val="20"/>
              </w:rPr>
            </w:pPr>
            <w:r w:rsidRPr="00184EE5">
              <w:rPr>
                <w:rFonts w:ascii="Aptos Narrow" w:hAnsi="Aptos Narrow"/>
                <w:color w:val="000000"/>
                <w:sz w:val="20"/>
              </w:rPr>
              <w:t>WSTG-ATHZ-02,04</w:t>
            </w:r>
          </w:p>
        </w:tc>
        <w:tc>
          <w:tcPr>
            <w:tcW w:w="3828" w:type="dxa"/>
            <w:vAlign w:val="center"/>
          </w:tcPr>
          <w:p w14:paraId="50739B47" w14:textId="045AB7AD" w:rsidR="0094271D" w:rsidRPr="00184EE5" w:rsidRDefault="0094271D" w:rsidP="00275C3A">
            <w:pPr>
              <w:jc w:val="center"/>
              <w:rPr>
                <w:sz w:val="20"/>
              </w:rPr>
            </w:pPr>
            <w:r w:rsidRPr="00184EE5">
              <w:rPr>
                <w:rFonts w:ascii="Aptos Narrow" w:hAnsi="Aptos Narrow"/>
                <w:color w:val="000000"/>
                <w:sz w:val="20"/>
              </w:rPr>
              <w:t>Secondary: IDOR via parameter manipulation during input validation.</w:t>
            </w:r>
          </w:p>
        </w:tc>
      </w:tr>
      <w:tr w:rsidR="0094271D" w:rsidRPr="00184EE5" w14:paraId="5B67A387" w14:textId="77777777" w:rsidTr="00184EE5">
        <w:trPr>
          <w:cantSplit/>
          <w:trHeight w:val="237"/>
          <w:jc w:val="center"/>
        </w:trPr>
        <w:tc>
          <w:tcPr>
            <w:tcW w:w="2790" w:type="dxa"/>
            <w:vAlign w:val="center"/>
          </w:tcPr>
          <w:p w14:paraId="4B260776" w14:textId="5125FF0D" w:rsidR="0094271D" w:rsidRPr="00184EE5" w:rsidRDefault="0094271D" w:rsidP="00275C3A">
            <w:pPr>
              <w:pStyle w:val="Paragraph"/>
              <w:ind w:hanging="107"/>
              <w:jc w:val="center"/>
              <w:rPr>
                <w:rFonts w:ascii="Aptos Narrow" w:hAnsi="Aptos Narrow"/>
                <w:color w:val="000000"/>
              </w:rPr>
            </w:pPr>
            <w:r w:rsidRPr="00184EE5">
              <w:rPr>
                <w:rFonts w:ascii="Aptos Narrow" w:hAnsi="Aptos Narrow"/>
                <w:color w:val="000000"/>
              </w:rPr>
              <w:t>A10: SSRF</w:t>
            </w:r>
          </w:p>
        </w:tc>
        <w:tc>
          <w:tcPr>
            <w:tcW w:w="1746" w:type="dxa"/>
            <w:vAlign w:val="center"/>
          </w:tcPr>
          <w:p w14:paraId="0CF909BF" w14:textId="39B66380" w:rsidR="0094271D" w:rsidRPr="00184EE5" w:rsidRDefault="0094271D" w:rsidP="00275C3A">
            <w:pPr>
              <w:jc w:val="center"/>
              <w:rPr>
                <w:rFonts w:ascii="Aptos Narrow" w:hAnsi="Aptos Narrow"/>
                <w:color w:val="000000"/>
                <w:sz w:val="20"/>
              </w:rPr>
            </w:pPr>
            <w:r w:rsidRPr="00184EE5">
              <w:rPr>
                <w:rFonts w:ascii="Aptos Narrow" w:hAnsi="Aptos Narrow"/>
                <w:color w:val="000000"/>
                <w:sz w:val="20"/>
              </w:rPr>
              <w:t>WSTG-INPV-12</w:t>
            </w:r>
          </w:p>
        </w:tc>
        <w:tc>
          <w:tcPr>
            <w:tcW w:w="3828" w:type="dxa"/>
            <w:vAlign w:val="center"/>
          </w:tcPr>
          <w:p w14:paraId="48F789A0" w14:textId="2513EDCF" w:rsidR="0094271D" w:rsidRPr="00184EE5" w:rsidRDefault="0094271D" w:rsidP="00275C3A">
            <w:pPr>
              <w:jc w:val="center"/>
              <w:rPr>
                <w:rFonts w:ascii="Aptos Narrow" w:hAnsi="Aptos Narrow"/>
                <w:color w:val="000000"/>
                <w:sz w:val="20"/>
              </w:rPr>
            </w:pPr>
            <w:r w:rsidRPr="00184EE5">
              <w:rPr>
                <w:rFonts w:ascii="Aptos Narrow" w:hAnsi="Aptos Narrow"/>
                <w:color w:val="000000"/>
                <w:sz w:val="20"/>
              </w:rPr>
              <w:t>High-priority: Input validation flaws enabling internal network access.</w:t>
            </w:r>
          </w:p>
        </w:tc>
      </w:tr>
    </w:tbl>
    <w:p w14:paraId="663689FF" w14:textId="0A33D032" w:rsidR="0094271D" w:rsidRDefault="0094271D" w:rsidP="00275C3A">
      <w:pPr>
        <w:pStyle w:val="Heading2"/>
      </w:pPr>
      <w:r w:rsidRPr="0094271D">
        <w:t>DAST Tools Selection</w:t>
      </w:r>
    </w:p>
    <w:p w14:paraId="6FE61EA3" w14:textId="77777777" w:rsidR="00184EE5" w:rsidRDefault="00184EE5" w:rsidP="00275C3A">
      <w:pPr>
        <w:pStyle w:val="Paragraph"/>
      </w:pPr>
      <w:r>
        <w:t xml:space="preserve">In this study, we selected two prominent open-source Dynamic Application Security Testing (DAST) tools—OWASP ZAP (v2.12.0) and </w:t>
      </w:r>
      <w:proofErr w:type="spellStart"/>
      <w:r>
        <w:t>Arachni</w:t>
      </w:r>
      <w:proofErr w:type="spellEnd"/>
      <w:r>
        <w:t xml:space="preserve"> (v2.0.0)—for their complementary strengths in dynamic security analysis. Both tools enhance detection of vulnerabilities related to data validation and error handling, which are central to this research. OWASP ZAP excels in data validation testing with its advanced fuzzing engine featuring over 800 built-in payloads and support for custom Python and JavaScript scripting. It enables extensive input manipulation, including real-time parameter tampering on AJAX and API endpoints via </w:t>
      </w:r>
      <w:proofErr w:type="spellStart"/>
      <w:r>
        <w:t>OpenAPI</w:t>
      </w:r>
      <w:proofErr w:type="spellEnd"/>
      <w:r>
        <w:t xml:space="preserve"> and SOAP integration. For error handling, ZAP scans for leakage of sensitive debug information and analyzes HTTP headers to detect missing security controls like Content Security Policy (CSP) and HTTP Strict Transport Security (HSTS).</w:t>
      </w:r>
    </w:p>
    <w:p w14:paraId="7494225E" w14:textId="77777777" w:rsidR="00184EE5" w:rsidRDefault="00184EE5" w:rsidP="00275C3A">
      <w:pPr>
        <w:pStyle w:val="Paragraph"/>
      </w:pPr>
      <w:r>
        <w:t xml:space="preserve">Conversely, </w:t>
      </w:r>
      <w:proofErr w:type="spellStart"/>
      <w:r>
        <w:t>Arachni</w:t>
      </w:r>
      <w:proofErr w:type="spellEnd"/>
      <w:r>
        <w:t xml:space="preserve"> offers strengths in data validation through framework-specific payloads tailored for Rails, PHP, and .NET, enabling deep injection testing customized to the target stack. Its machine-learning-driven false-positive reduction improves detection accuracy and efficiency. In error handling, </w:t>
      </w:r>
      <w:proofErr w:type="spellStart"/>
      <w:r>
        <w:t>Arachni</w:t>
      </w:r>
      <w:proofErr w:type="spellEnd"/>
      <w:r>
        <w:t xml:space="preserve"> passively identifies misconfigured cookies and headers by analyzing response fingerprints and provides high-accuracy Server-Side Request Forgery (SSRF) detection using sophisticated out-of-band techniques. Together, OWASP ZAP and </w:t>
      </w:r>
      <w:proofErr w:type="spellStart"/>
      <w:r>
        <w:t>Arachni</w:t>
      </w:r>
      <w:proofErr w:type="spellEnd"/>
      <w:r>
        <w:t xml:space="preserve"> deliver a balanced and thorough dynamic security testing approach, with each tool addressing different aspects of data validation and error handling vulnerabilities. This dual-tool strategy broadens coverage and enhances the reliability and depth of the vulnerability analysis in this research.</w:t>
      </w:r>
    </w:p>
    <w:p w14:paraId="12A80476" w14:textId="22EBAAC7" w:rsidR="00301C1B" w:rsidRDefault="00301C1B" w:rsidP="00275C3A">
      <w:pPr>
        <w:pStyle w:val="Heading2"/>
      </w:pPr>
      <w:r>
        <w:t xml:space="preserve">Scoring </w:t>
      </w:r>
      <w:r w:rsidR="001176F1">
        <w:t>System</w:t>
      </w:r>
    </w:p>
    <w:p w14:paraId="68FCFBAB" w14:textId="40BE4823" w:rsidR="00301C1B" w:rsidRDefault="006979B0" w:rsidP="00275C3A">
      <w:pPr>
        <w:pStyle w:val="Paragraph"/>
      </w:pPr>
      <w:r>
        <w:t>S</w:t>
      </w:r>
      <w:r w:rsidR="00301C1B" w:rsidRPr="00301C1B">
        <w:t>tructured scoring system is employed to evaluate vulnerabilities based on two primary dimensions: Likelihood Factors and Impact Factors.</w:t>
      </w:r>
      <w:r w:rsidR="00301C1B">
        <w:t xml:space="preserve"> Likelihood factors in vulnerability assessment serve to estimate the probability of a successful exploitation by potential threat actors, often considering worst-case scenarios to ensure comprehensive risk evaluation. These factors encompass attributes related to the attacker, including the level of skill required, motivation, access to necessary resources, and the size of the attacker population. Complementing these are vulnerability-specific factors such as ease of discovery, ease of exploitation, attacker awareness, and detectability. Each element is assigned a weighted score to systematically quantify the likelihood dimension, thereby enabling a nuanced and data-driven appraisal of exploitation potential.</w:t>
      </w:r>
    </w:p>
    <w:p w14:paraId="289B8553" w14:textId="77777777" w:rsidR="00301C1B" w:rsidRDefault="00301C1B" w:rsidP="00275C3A">
      <w:pPr>
        <w:pStyle w:val="Paragraph"/>
      </w:pPr>
      <w:r>
        <w:t xml:space="preserve">Impact factors assess the ramifications of a successful exploit from both technical and business perspectives. The technical impact dimension evaluates the extent of damage to confidentiality, integrity, availability, and traceability </w:t>
      </w:r>
      <w:r>
        <w:lastRenderedPageBreak/>
        <w:t>of systems and data, ranging from minimal exposure to total compromise. Business impact considers broader organizational consequences, including financial loss, reputational damage, regulatory non-compliance, and privacy breaches. These impacts are similarly weighted to facilitate prioritization, with an emphasis on business impact as advocated by OWASP, ensuring that security assessments align with strategic organizational objectives.</w:t>
      </w:r>
    </w:p>
    <w:p w14:paraId="302B7B2A" w14:textId="7511A751" w:rsidR="00301C1B" w:rsidRDefault="00301C1B" w:rsidP="00275C3A">
      <w:pPr>
        <w:pStyle w:val="Paragraph"/>
      </w:pPr>
      <w:r>
        <w:t>Together, the likelihood and impact factors constitute a robust scoring framework that balances the probability of exploitation against the severity of potential outcomes. This dual-faceted approach equips security practitioners with a systematic methodology to prioritize vulnerabilities effectively, directing remediation efforts toward those weaknesses that pose the greatest overall risk to both technical assets and business operations.</w:t>
      </w:r>
    </w:p>
    <w:p w14:paraId="42BE1E95" w14:textId="0F20B6CE" w:rsidR="00301C1B" w:rsidRDefault="00301C1B" w:rsidP="00275C3A">
      <w:pPr>
        <w:pStyle w:val="Paragraph"/>
      </w:pPr>
      <w:r>
        <w:t>By integrating these weighted factors into a cohesive scoring model, organizations can make informed, risk-based decisions regarding vulnerability management and resource allocation. This ensures that security initiatives are both efficient and aligned with the organization’s risk tolerance and business priorities, ultimately enhancing the resilience and security posture of the enterprise.</w:t>
      </w:r>
    </w:p>
    <w:p w14:paraId="1E6A97A3" w14:textId="0C19E747" w:rsidR="00A03E5A" w:rsidRPr="00075EA6" w:rsidRDefault="00A03E5A" w:rsidP="00275C3A">
      <w:pPr>
        <w:pStyle w:val="Heading1"/>
        <w:rPr>
          <w:b w:val="0"/>
          <w:caps w:val="0"/>
          <w:sz w:val="20"/>
        </w:rPr>
      </w:pPr>
      <w:r>
        <w:t xml:space="preserve"> </w:t>
      </w:r>
      <w:r w:rsidR="006979B0">
        <w:t xml:space="preserve">result </w:t>
      </w:r>
      <w:r>
        <w:t>and discussion</w:t>
      </w:r>
      <w:r w:rsidRPr="00075EA6">
        <w:br/>
      </w:r>
    </w:p>
    <w:p w14:paraId="2E735DB8" w14:textId="2453B58B" w:rsidR="00184EE5" w:rsidRDefault="00184EE5" w:rsidP="00275C3A">
      <w:pPr>
        <w:pStyle w:val="Paragraph"/>
      </w:pPr>
      <w:r>
        <w:t xml:space="preserve">This research analyzes vulnerabilities related to Data Validation and Error Handling failures using the OWASP Top 10 2021 as the primary risk taxonomy. The study focuses on assessing the security of the University of Muhammadiyah Malang (UMM) public digital library platform, especially its web login services. To achieve this, two complementary open-source Dynamic Application Security Testing (DAST) tools. The vulnerability assessment follows a two-stage process combining automated scanning and active penetration testing. OWASP ZAP uses an advanced fuzzing engine and real-time parameter manipulation to inspect AJAX and API endpoints, while detecting error handling flaws such as debug information leaks and missing security headers. </w:t>
      </w:r>
      <w:proofErr w:type="spellStart"/>
      <w:r>
        <w:t>Arachni</w:t>
      </w:r>
      <w:proofErr w:type="spellEnd"/>
      <w:r>
        <w:t xml:space="preserve"> complements this with framework-specific payloads, machine-learning-based false positive reduction, and out-of-band techniques for complex vulnerabilities like Server-Side Request Forgery (SSRF). A combined scoring system based on Likelihood and Impact Factors guides prioritization of vulnerabilities by evaluating their exploitability and potential technical and business consequences. This comprehensive approach ensures a thorough and accurate security evaluation, supporting effective risk management and improvements for the UMM digital library’s web login services.</w:t>
      </w:r>
    </w:p>
    <w:p w14:paraId="57FD2408" w14:textId="77777777" w:rsidR="00184EE5" w:rsidRDefault="00184EE5" w:rsidP="00275C3A">
      <w:pPr>
        <w:pStyle w:val="Paragraph"/>
      </w:pPr>
    </w:p>
    <w:p w14:paraId="34DF29AF" w14:textId="7BD7CE93" w:rsidR="00D408B8" w:rsidRDefault="00D408B8" w:rsidP="00275C3A">
      <w:pPr>
        <w:pStyle w:val="Heading2"/>
      </w:pPr>
      <w:r w:rsidRPr="0094271D">
        <w:t xml:space="preserve">DAST </w:t>
      </w:r>
      <w:r w:rsidR="001176F1">
        <w:t>Scanning Analysis</w:t>
      </w:r>
    </w:p>
    <w:p w14:paraId="2706C85F" w14:textId="77777777" w:rsidR="000C4850" w:rsidRDefault="000C4850" w:rsidP="00275C3A">
      <w:pPr>
        <w:pStyle w:val="Paragraph"/>
      </w:pPr>
      <w:r>
        <w:t xml:space="preserve">The results of the DAST scanning, summarized in Table 2, illustrate the distribution of identified vulnerabilities by severity risk across both OWASP ZAP and </w:t>
      </w:r>
      <w:proofErr w:type="spellStart"/>
      <w:r>
        <w:t>Arachni</w:t>
      </w:r>
      <w:proofErr w:type="spellEnd"/>
      <w:r>
        <w:t xml:space="preserve"> tools. OWASP ZAP detected a higher number of vulnerabilities overall, with 4 high-risk, 6 medium-risk, and 9 low-risk findings, whereas </w:t>
      </w:r>
      <w:proofErr w:type="spellStart"/>
      <w:r>
        <w:t>Arachni</w:t>
      </w:r>
      <w:proofErr w:type="spellEnd"/>
      <w:r>
        <w:t xml:space="preserve"> reported fewer issues, identifying 1 high-risk, 3 medium-risk, and 2 low-risk vulnerabilities. This disparity highlights the complementary nature of the tools, with ZAP providing more extensive coverage, particularly in lower-severity categories. The greater detection capability of ZAP can be attributed to its advanced fuzzing engine, extensive payload library, and real-time parameter manipulation, which enable it to probe a wider range of inputs and application behaviors. Additionally, ZAP’s active scanning features are highly effective at uncovering common misconfigurations and error-handling issues that often manifest as low- to medium-severity vulnerabilities.</w:t>
      </w:r>
    </w:p>
    <w:p w14:paraId="02506660" w14:textId="54D78F65" w:rsidR="00DC0043" w:rsidRDefault="000C4850" w:rsidP="00275C3A">
      <w:pPr>
        <w:pStyle w:val="Paragraph"/>
      </w:pPr>
      <w:r>
        <w:t xml:space="preserve">Despite detecting fewer vulnerabilities, </w:t>
      </w:r>
      <w:proofErr w:type="spellStart"/>
      <w:r>
        <w:t>Arachni</w:t>
      </w:r>
      <w:proofErr w:type="spellEnd"/>
      <w:r>
        <w:t xml:space="preserve"> remains an essential component of the testing suite due to its specialized strengths. Its framework-specific payloads and machine-learning-driven false-positive reduction enhance its precision, particularly for complex vulnerabilities that may be missed by more generic scanners. </w:t>
      </w:r>
      <w:proofErr w:type="spellStart"/>
      <w:r>
        <w:t>Arachni’s</w:t>
      </w:r>
      <w:proofErr w:type="spellEnd"/>
      <w:r>
        <w:t xml:space="preserve"> passive detection methods and out-of-band techniques also allow it to identify subtle issues such as Server-Side Request Forgery (SSRF) and cookie misconfigurations with high accuracy. Therefore, while ZAP excels in breadth and active probing, </w:t>
      </w:r>
      <w:proofErr w:type="spellStart"/>
      <w:r>
        <w:t>Arachni</w:t>
      </w:r>
      <w:proofErr w:type="spellEnd"/>
      <w:r>
        <w:t xml:space="preserve"> contributes valuable depth and accuracy, making their combined use a robust strategy for comprehensive vulnerability assessment.</w:t>
      </w:r>
    </w:p>
    <w:p w14:paraId="0D92B411" w14:textId="77777777" w:rsidR="000C4850" w:rsidRDefault="000C4850" w:rsidP="00275C3A">
      <w:pPr>
        <w:pStyle w:val="Paragraph"/>
      </w:pPr>
    </w:p>
    <w:p w14:paraId="17B24D12" w14:textId="7C01778A" w:rsidR="00DC0043" w:rsidRDefault="00DC0043" w:rsidP="00275C3A">
      <w:pPr>
        <w:pStyle w:val="Paragraph"/>
      </w:pPr>
      <w:r w:rsidRPr="00075EA6">
        <w:rPr>
          <w:b/>
        </w:rPr>
        <w:t xml:space="preserve">TABLE </w:t>
      </w:r>
      <w:r>
        <w:rPr>
          <w:b/>
        </w:rPr>
        <w:t>2</w:t>
      </w:r>
      <w:r w:rsidRPr="00075EA6">
        <w:rPr>
          <w:b/>
        </w:rPr>
        <w:t xml:space="preserve">. </w:t>
      </w:r>
      <w:r>
        <w:t>Summary of DAST scanning finding based on severity risk</w:t>
      </w:r>
      <w:r w:rsidRPr="0094271D">
        <w:t>.</w:t>
      </w:r>
    </w:p>
    <w:tbl>
      <w:tblPr>
        <w:tblW w:w="3918" w:type="dxa"/>
        <w:jc w:val="center"/>
        <w:tblBorders>
          <w:bottom w:val="single" w:sz="4" w:space="0" w:color="auto"/>
        </w:tblBorders>
        <w:tblLayout w:type="fixed"/>
        <w:tblLook w:val="0000" w:firstRow="0" w:lastRow="0" w:firstColumn="0" w:lastColumn="0" w:noHBand="0" w:noVBand="0"/>
      </w:tblPr>
      <w:tblGrid>
        <w:gridCol w:w="1985"/>
        <w:gridCol w:w="850"/>
        <w:gridCol w:w="1083"/>
      </w:tblGrid>
      <w:tr w:rsidR="00DC0043" w:rsidRPr="00075EA6" w14:paraId="7927487B" w14:textId="77777777" w:rsidTr="00664C80">
        <w:trPr>
          <w:cantSplit/>
          <w:trHeight w:val="272"/>
          <w:jc w:val="center"/>
        </w:trPr>
        <w:tc>
          <w:tcPr>
            <w:tcW w:w="1985" w:type="dxa"/>
            <w:tcBorders>
              <w:top w:val="single" w:sz="4" w:space="0" w:color="auto"/>
              <w:bottom w:val="single" w:sz="4" w:space="0" w:color="auto"/>
            </w:tcBorders>
            <w:vAlign w:val="bottom"/>
          </w:tcPr>
          <w:p w14:paraId="2E4359C5" w14:textId="23E5F149" w:rsidR="00DC0043" w:rsidRPr="0094271D" w:rsidRDefault="00DC0043" w:rsidP="00275C3A">
            <w:pPr>
              <w:jc w:val="center"/>
              <w:rPr>
                <w:b/>
                <w:bCs/>
              </w:rPr>
            </w:pPr>
            <w:r>
              <w:rPr>
                <w:rFonts w:ascii="Aptos Narrow" w:hAnsi="Aptos Narrow"/>
                <w:b/>
                <w:bCs/>
                <w:color w:val="000000"/>
                <w:sz w:val="22"/>
                <w:szCs w:val="22"/>
              </w:rPr>
              <w:t xml:space="preserve">Risk </w:t>
            </w:r>
          </w:p>
        </w:tc>
        <w:tc>
          <w:tcPr>
            <w:tcW w:w="850" w:type="dxa"/>
            <w:tcBorders>
              <w:top w:val="single" w:sz="4" w:space="0" w:color="auto"/>
              <w:bottom w:val="single" w:sz="4" w:space="0" w:color="auto"/>
            </w:tcBorders>
            <w:vAlign w:val="bottom"/>
          </w:tcPr>
          <w:p w14:paraId="68D7B72D" w14:textId="740FB7F4" w:rsidR="00DC0043" w:rsidRPr="0094271D" w:rsidRDefault="00DC0043" w:rsidP="00275C3A">
            <w:pPr>
              <w:jc w:val="center"/>
              <w:rPr>
                <w:b/>
                <w:bCs/>
                <w:sz w:val="18"/>
                <w:szCs w:val="18"/>
              </w:rPr>
            </w:pPr>
            <w:r>
              <w:rPr>
                <w:rFonts w:ascii="Aptos Narrow" w:hAnsi="Aptos Narrow"/>
                <w:b/>
                <w:bCs/>
                <w:color w:val="000000"/>
                <w:sz w:val="22"/>
                <w:szCs w:val="22"/>
              </w:rPr>
              <w:t>ZAP</w:t>
            </w:r>
          </w:p>
        </w:tc>
        <w:tc>
          <w:tcPr>
            <w:tcW w:w="1083" w:type="dxa"/>
            <w:tcBorders>
              <w:top w:val="single" w:sz="4" w:space="0" w:color="auto"/>
              <w:bottom w:val="single" w:sz="4" w:space="0" w:color="auto"/>
            </w:tcBorders>
            <w:vAlign w:val="bottom"/>
          </w:tcPr>
          <w:p w14:paraId="369B26AB" w14:textId="1CAB623E" w:rsidR="00DC0043" w:rsidRPr="0094271D" w:rsidRDefault="00DC0043" w:rsidP="00275C3A">
            <w:pPr>
              <w:jc w:val="center"/>
              <w:rPr>
                <w:b/>
                <w:bCs/>
                <w:sz w:val="18"/>
                <w:szCs w:val="18"/>
              </w:rPr>
            </w:pPr>
            <w:proofErr w:type="spellStart"/>
            <w:r>
              <w:t>Arachni</w:t>
            </w:r>
            <w:proofErr w:type="spellEnd"/>
          </w:p>
        </w:tc>
      </w:tr>
      <w:tr w:rsidR="00DC0043" w:rsidRPr="005A0E21" w14:paraId="2BB3C1D0" w14:textId="77777777" w:rsidTr="00664C80">
        <w:trPr>
          <w:cantSplit/>
          <w:jc w:val="center"/>
        </w:trPr>
        <w:tc>
          <w:tcPr>
            <w:tcW w:w="1985" w:type="dxa"/>
            <w:tcBorders>
              <w:top w:val="nil"/>
            </w:tcBorders>
            <w:vAlign w:val="center"/>
          </w:tcPr>
          <w:p w14:paraId="73149922" w14:textId="3708C318" w:rsidR="00DC0043" w:rsidRPr="005A0E21" w:rsidRDefault="00DC0043" w:rsidP="00275C3A">
            <w:pPr>
              <w:pStyle w:val="Paragraph"/>
              <w:jc w:val="center"/>
            </w:pPr>
            <w:r>
              <w:rPr>
                <w:rFonts w:ascii="Aptos Narrow" w:hAnsi="Aptos Narrow"/>
                <w:color w:val="000000"/>
                <w:sz w:val="22"/>
                <w:szCs w:val="22"/>
              </w:rPr>
              <w:t>High</w:t>
            </w:r>
          </w:p>
        </w:tc>
        <w:tc>
          <w:tcPr>
            <w:tcW w:w="850" w:type="dxa"/>
            <w:tcBorders>
              <w:top w:val="nil"/>
            </w:tcBorders>
            <w:vAlign w:val="center"/>
          </w:tcPr>
          <w:p w14:paraId="5304E4C5" w14:textId="7D87F58D" w:rsidR="00DC0043" w:rsidRPr="005A0E21" w:rsidRDefault="00DC0043" w:rsidP="00275C3A">
            <w:pPr>
              <w:jc w:val="center"/>
              <w:rPr>
                <w:sz w:val="20"/>
              </w:rPr>
            </w:pPr>
            <w:r>
              <w:rPr>
                <w:sz w:val="20"/>
              </w:rPr>
              <w:t>4</w:t>
            </w:r>
          </w:p>
        </w:tc>
        <w:tc>
          <w:tcPr>
            <w:tcW w:w="1083" w:type="dxa"/>
            <w:tcBorders>
              <w:top w:val="nil"/>
            </w:tcBorders>
            <w:vAlign w:val="center"/>
          </w:tcPr>
          <w:p w14:paraId="2B27AA0F" w14:textId="28A5B8E9" w:rsidR="00DC0043" w:rsidRPr="005A0E21" w:rsidRDefault="00664C80" w:rsidP="00275C3A">
            <w:pPr>
              <w:jc w:val="center"/>
              <w:rPr>
                <w:sz w:val="20"/>
              </w:rPr>
            </w:pPr>
            <w:r>
              <w:rPr>
                <w:sz w:val="20"/>
              </w:rPr>
              <w:t>1</w:t>
            </w:r>
          </w:p>
        </w:tc>
      </w:tr>
      <w:tr w:rsidR="00DC0043" w:rsidRPr="005A0E21" w14:paraId="16637453" w14:textId="77777777" w:rsidTr="00664C80">
        <w:trPr>
          <w:cantSplit/>
          <w:jc w:val="center"/>
        </w:trPr>
        <w:tc>
          <w:tcPr>
            <w:tcW w:w="1985" w:type="dxa"/>
            <w:vAlign w:val="center"/>
          </w:tcPr>
          <w:p w14:paraId="2A1F2387" w14:textId="57825508" w:rsidR="00DC0043" w:rsidRPr="005A0E21" w:rsidRDefault="00DC0043" w:rsidP="00275C3A">
            <w:pPr>
              <w:pStyle w:val="Paragraph"/>
              <w:jc w:val="center"/>
            </w:pPr>
            <w:r>
              <w:t>Medium</w:t>
            </w:r>
          </w:p>
        </w:tc>
        <w:tc>
          <w:tcPr>
            <w:tcW w:w="850" w:type="dxa"/>
            <w:vAlign w:val="center"/>
          </w:tcPr>
          <w:p w14:paraId="07A2B927" w14:textId="1B54B295" w:rsidR="00DC0043" w:rsidRPr="005A0E21" w:rsidRDefault="00664C80" w:rsidP="00275C3A">
            <w:pPr>
              <w:jc w:val="center"/>
              <w:rPr>
                <w:sz w:val="20"/>
              </w:rPr>
            </w:pPr>
            <w:r>
              <w:rPr>
                <w:sz w:val="20"/>
              </w:rPr>
              <w:t>6</w:t>
            </w:r>
          </w:p>
        </w:tc>
        <w:tc>
          <w:tcPr>
            <w:tcW w:w="1083" w:type="dxa"/>
            <w:vAlign w:val="center"/>
          </w:tcPr>
          <w:p w14:paraId="5C0712A7" w14:textId="78B3875A" w:rsidR="00DC0043" w:rsidRPr="005A0E21" w:rsidRDefault="00664C80" w:rsidP="00275C3A">
            <w:pPr>
              <w:jc w:val="center"/>
              <w:rPr>
                <w:sz w:val="20"/>
              </w:rPr>
            </w:pPr>
            <w:r>
              <w:rPr>
                <w:sz w:val="20"/>
              </w:rPr>
              <w:t>3</w:t>
            </w:r>
          </w:p>
        </w:tc>
      </w:tr>
      <w:tr w:rsidR="00DC0043" w:rsidRPr="005A0E21" w14:paraId="5B790683" w14:textId="77777777" w:rsidTr="00664C80">
        <w:trPr>
          <w:cantSplit/>
          <w:trHeight w:val="237"/>
          <w:jc w:val="center"/>
        </w:trPr>
        <w:tc>
          <w:tcPr>
            <w:tcW w:w="1985" w:type="dxa"/>
            <w:vAlign w:val="center"/>
          </w:tcPr>
          <w:p w14:paraId="734FC370" w14:textId="03817706" w:rsidR="00DC0043" w:rsidRDefault="00DC0043" w:rsidP="00275C3A">
            <w:pPr>
              <w:pStyle w:val="Paragraph"/>
              <w:jc w:val="center"/>
              <w:rPr>
                <w:rFonts w:ascii="Aptos Narrow" w:hAnsi="Aptos Narrow"/>
                <w:color w:val="000000"/>
                <w:sz w:val="22"/>
                <w:szCs w:val="22"/>
              </w:rPr>
            </w:pPr>
            <w:r>
              <w:rPr>
                <w:rFonts w:ascii="Aptos Narrow" w:hAnsi="Aptos Narrow"/>
                <w:color w:val="000000"/>
                <w:sz w:val="22"/>
                <w:szCs w:val="22"/>
              </w:rPr>
              <w:t>Low</w:t>
            </w:r>
          </w:p>
        </w:tc>
        <w:tc>
          <w:tcPr>
            <w:tcW w:w="850" w:type="dxa"/>
            <w:vAlign w:val="center"/>
          </w:tcPr>
          <w:p w14:paraId="56099057" w14:textId="1019C75B" w:rsidR="00DC0043" w:rsidRDefault="0050689F" w:rsidP="00275C3A">
            <w:pPr>
              <w:jc w:val="center"/>
              <w:rPr>
                <w:rFonts w:ascii="Aptos Narrow" w:hAnsi="Aptos Narrow"/>
                <w:color w:val="000000"/>
                <w:sz w:val="22"/>
                <w:szCs w:val="22"/>
              </w:rPr>
            </w:pPr>
            <w:r>
              <w:rPr>
                <w:rFonts w:ascii="Aptos Narrow" w:hAnsi="Aptos Narrow"/>
                <w:color w:val="000000"/>
                <w:sz w:val="22"/>
                <w:szCs w:val="22"/>
              </w:rPr>
              <w:t>9</w:t>
            </w:r>
          </w:p>
        </w:tc>
        <w:tc>
          <w:tcPr>
            <w:tcW w:w="1083" w:type="dxa"/>
            <w:vAlign w:val="center"/>
          </w:tcPr>
          <w:p w14:paraId="47F34A5F" w14:textId="1A5C7731" w:rsidR="00DC0043" w:rsidRDefault="00664C80" w:rsidP="00275C3A">
            <w:pPr>
              <w:jc w:val="center"/>
              <w:rPr>
                <w:rFonts w:ascii="Aptos Narrow" w:hAnsi="Aptos Narrow"/>
                <w:color w:val="000000"/>
                <w:sz w:val="22"/>
                <w:szCs w:val="22"/>
              </w:rPr>
            </w:pPr>
            <w:r>
              <w:rPr>
                <w:rFonts w:ascii="Aptos Narrow" w:hAnsi="Aptos Narrow"/>
                <w:color w:val="000000"/>
                <w:sz w:val="22"/>
                <w:szCs w:val="22"/>
              </w:rPr>
              <w:t>2</w:t>
            </w:r>
          </w:p>
        </w:tc>
      </w:tr>
    </w:tbl>
    <w:p w14:paraId="62422B3E" w14:textId="77777777" w:rsidR="000C4850" w:rsidRPr="00DC0043" w:rsidRDefault="000C4850" w:rsidP="00275C3A"/>
    <w:p w14:paraId="3A94A602" w14:textId="3A8F0A3F" w:rsidR="009E3BDE" w:rsidRDefault="009E3BDE" w:rsidP="00275C3A">
      <w:pPr>
        <w:pStyle w:val="Paragraph"/>
      </w:pPr>
      <w:r w:rsidRPr="00075EA6">
        <w:rPr>
          <w:b/>
        </w:rPr>
        <w:t xml:space="preserve">TABLE </w:t>
      </w:r>
      <w:r w:rsidR="00E34135">
        <w:rPr>
          <w:b/>
        </w:rPr>
        <w:t>3</w:t>
      </w:r>
      <w:r w:rsidRPr="00075EA6">
        <w:rPr>
          <w:b/>
        </w:rPr>
        <w:t xml:space="preserve">. </w:t>
      </w:r>
      <w:r>
        <w:t xml:space="preserve">Mapping ZAP and </w:t>
      </w:r>
      <w:proofErr w:type="spellStart"/>
      <w:r>
        <w:t>Arachni</w:t>
      </w:r>
      <w:proofErr w:type="spellEnd"/>
      <w:r>
        <w:t xml:space="preserve"> finding based on OWASP category</w:t>
      </w:r>
      <w:r w:rsidRPr="0094271D">
        <w:t>.</w:t>
      </w:r>
    </w:p>
    <w:tbl>
      <w:tblPr>
        <w:tblW w:w="6044" w:type="dxa"/>
        <w:jc w:val="center"/>
        <w:tblBorders>
          <w:bottom w:val="single" w:sz="4" w:space="0" w:color="auto"/>
        </w:tblBorders>
        <w:tblLayout w:type="fixed"/>
        <w:tblLook w:val="0000" w:firstRow="0" w:lastRow="0" w:firstColumn="0" w:lastColumn="0" w:noHBand="0" w:noVBand="0"/>
      </w:tblPr>
      <w:tblGrid>
        <w:gridCol w:w="4111"/>
        <w:gridCol w:w="850"/>
        <w:gridCol w:w="1083"/>
      </w:tblGrid>
      <w:tr w:rsidR="009E3BDE" w:rsidRPr="00184EE5" w14:paraId="23179A79" w14:textId="77777777" w:rsidTr="009E3BDE">
        <w:trPr>
          <w:cantSplit/>
          <w:trHeight w:val="272"/>
          <w:jc w:val="center"/>
        </w:trPr>
        <w:tc>
          <w:tcPr>
            <w:tcW w:w="4111" w:type="dxa"/>
            <w:tcBorders>
              <w:top w:val="single" w:sz="4" w:space="0" w:color="auto"/>
              <w:bottom w:val="single" w:sz="4" w:space="0" w:color="auto"/>
            </w:tcBorders>
            <w:vAlign w:val="bottom"/>
          </w:tcPr>
          <w:p w14:paraId="73B17A8F" w14:textId="4F8B223A" w:rsidR="009E3BDE" w:rsidRPr="00184EE5" w:rsidRDefault="009E3BDE" w:rsidP="00275C3A">
            <w:pPr>
              <w:jc w:val="center"/>
              <w:rPr>
                <w:rFonts w:ascii="Aptos Narrow" w:hAnsi="Aptos Narrow"/>
                <w:b/>
                <w:bCs/>
                <w:sz w:val="20"/>
              </w:rPr>
            </w:pPr>
            <w:r w:rsidRPr="00184EE5">
              <w:rPr>
                <w:rFonts w:ascii="Aptos Narrow" w:hAnsi="Aptos Narrow"/>
                <w:b/>
                <w:bCs/>
                <w:color w:val="000000"/>
                <w:sz w:val="20"/>
              </w:rPr>
              <w:t xml:space="preserve">OWASP category </w:t>
            </w:r>
          </w:p>
        </w:tc>
        <w:tc>
          <w:tcPr>
            <w:tcW w:w="850" w:type="dxa"/>
            <w:tcBorders>
              <w:top w:val="single" w:sz="4" w:space="0" w:color="auto"/>
              <w:bottom w:val="single" w:sz="4" w:space="0" w:color="auto"/>
            </w:tcBorders>
            <w:vAlign w:val="bottom"/>
          </w:tcPr>
          <w:p w14:paraId="7AB7A600" w14:textId="77777777" w:rsidR="009E3BDE" w:rsidRPr="00184EE5" w:rsidRDefault="009E3BDE" w:rsidP="00275C3A">
            <w:pPr>
              <w:jc w:val="center"/>
              <w:rPr>
                <w:rFonts w:ascii="Aptos Narrow" w:hAnsi="Aptos Narrow"/>
                <w:b/>
                <w:bCs/>
                <w:sz w:val="20"/>
              </w:rPr>
            </w:pPr>
            <w:r w:rsidRPr="00184EE5">
              <w:rPr>
                <w:rFonts w:ascii="Aptos Narrow" w:hAnsi="Aptos Narrow"/>
                <w:b/>
                <w:bCs/>
                <w:color w:val="000000"/>
                <w:sz w:val="20"/>
              </w:rPr>
              <w:t>ZAP</w:t>
            </w:r>
          </w:p>
        </w:tc>
        <w:tc>
          <w:tcPr>
            <w:tcW w:w="1083" w:type="dxa"/>
            <w:tcBorders>
              <w:top w:val="single" w:sz="4" w:space="0" w:color="auto"/>
              <w:bottom w:val="single" w:sz="4" w:space="0" w:color="auto"/>
            </w:tcBorders>
            <w:vAlign w:val="bottom"/>
          </w:tcPr>
          <w:p w14:paraId="7268371F" w14:textId="77777777" w:rsidR="009E3BDE" w:rsidRPr="00184EE5" w:rsidRDefault="009E3BDE" w:rsidP="00275C3A">
            <w:pPr>
              <w:jc w:val="center"/>
              <w:rPr>
                <w:rFonts w:ascii="Aptos Narrow" w:hAnsi="Aptos Narrow"/>
                <w:b/>
                <w:bCs/>
                <w:sz w:val="20"/>
              </w:rPr>
            </w:pPr>
            <w:proofErr w:type="spellStart"/>
            <w:r w:rsidRPr="00184EE5">
              <w:rPr>
                <w:rFonts w:ascii="Aptos Narrow" w:hAnsi="Aptos Narrow"/>
                <w:sz w:val="20"/>
              </w:rPr>
              <w:t>Arachni</w:t>
            </w:r>
            <w:proofErr w:type="spellEnd"/>
          </w:p>
        </w:tc>
      </w:tr>
      <w:tr w:rsidR="009E3BDE" w:rsidRPr="00184EE5" w14:paraId="2B973389" w14:textId="77777777" w:rsidTr="009E3BDE">
        <w:trPr>
          <w:cantSplit/>
          <w:jc w:val="center"/>
        </w:trPr>
        <w:tc>
          <w:tcPr>
            <w:tcW w:w="4111" w:type="dxa"/>
            <w:tcBorders>
              <w:top w:val="nil"/>
            </w:tcBorders>
          </w:tcPr>
          <w:p w14:paraId="5B8DD152" w14:textId="3A44F69C" w:rsidR="009E3BDE" w:rsidRPr="00184EE5" w:rsidRDefault="009E3BDE" w:rsidP="00275C3A">
            <w:pPr>
              <w:pStyle w:val="Paragraph"/>
              <w:jc w:val="center"/>
              <w:rPr>
                <w:rFonts w:ascii="Aptos Narrow" w:hAnsi="Aptos Narrow"/>
              </w:rPr>
            </w:pPr>
            <w:r w:rsidRPr="00184EE5">
              <w:rPr>
                <w:rFonts w:ascii="Aptos Narrow" w:hAnsi="Aptos Narrow"/>
              </w:rPr>
              <w:t>A01: Broken Access Control</w:t>
            </w:r>
          </w:p>
        </w:tc>
        <w:tc>
          <w:tcPr>
            <w:tcW w:w="850" w:type="dxa"/>
            <w:tcBorders>
              <w:top w:val="nil"/>
            </w:tcBorders>
          </w:tcPr>
          <w:p w14:paraId="6AA42DEC" w14:textId="0CDF1D4C" w:rsidR="009E3BDE" w:rsidRPr="00184EE5" w:rsidRDefault="009E3BDE" w:rsidP="00275C3A">
            <w:pPr>
              <w:jc w:val="center"/>
              <w:rPr>
                <w:rFonts w:ascii="Aptos Narrow" w:hAnsi="Aptos Narrow"/>
                <w:sz w:val="20"/>
              </w:rPr>
            </w:pPr>
            <w:r w:rsidRPr="00184EE5">
              <w:rPr>
                <w:rFonts w:ascii="Aptos Narrow" w:hAnsi="Aptos Narrow"/>
                <w:sz w:val="20"/>
              </w:rPr>
              <w:t>1</w:t>
            </w:r>
          </w:p>
        </w:tc>
        <w:tc>
          <w:tcPr>
            <w:tcW w:w="1083" w:type="dxa"/>
            <w:tcBorders>
              <w:top w:val="nil"/>
            </w:tcBorders>
          </w:tcPr>
          <w:p w14:paraId="3782AF98" w14:textId="6673AEEC" w:rsidR="009E3BDE" w:rsidRPr="00184EE5" w:rsidRDefault="009E3BDE" w:rsidP="00275C3A">
            <w:pPr>
              <w:jc w:val="center"/>
              <w:rPr>
                <w:rFonts w:ascii="Aptos Narrow" w:hAnsi="Aptos Narrow"/>
                <w:sz w:val="20"/>
              </w:rPr>
            </w:pPr>
          </w:p>
        </w:tc>
      </w:tr>
      <w:tr w:rsidR="009E3BDE" w:rsidRPr="00184EE5" w14:paraId="4FB1F45C" w14:textId="77777777" w:rsidTr="009E3BDE">
        <w:trPr>
          <w:cantSplit/>
          <w:jc w:val="center"/>
        </w:trPr>
        <w:tc>
          <w:tcPr>
            <w:tcW w:w="4111" w:type="dxa"/>
          </w:tcPr>
          <w:p w14:paraId="62A0D606" w14:textId="501F7EC8" w:rsidR="009E3BDE" w:rsidRPr="00184EE5" w:rsidRDefault="009E3BDE" w:rsidP="00275C3A">
            <w:pPr>
              <w:pStyle w:val="Paragraph"/>
              <w:jc w:val="center"/>
              <w:rPr>
                <w:rFonts w:ascii="Aptos Narrow" w:hAnsi="Aptos Narrow"/>
              </w:rPr>
            </w:pPr>
            <w:r w:rsidRPr="00184EE5">
              <w:rPr>
                <w:rFonts w:ascii="Aptos Narrow" w:hAnsi="Aptos Narrow"/>
              </w:rPr>
              <w:t>A02: Cryptographic Failures</w:t>
            </w:r>
          </w:p>
        </w:tc>
        <w:tc>
          <w:tcPr>
            <w:tcW w:w="850" w:type="dxa"/>
          </w:tcPr>
          <w:p w14:paraId="4F3F9A6A" w14:textId="030F69FB" w:rsidR="009E3BDE" w:rsidRPr="00184EE5" w:rsidRDefault="009E3BDE" w:rsidP="00275C3A">
            <w:pPr>
              <w:jc w:val="center"/>
              <w:rPr>
                <w:rFonts w:ascii="Aptos Narrow" w:hAnsi="Aptos Narrow"/>
                <w:sz w:val="20"/>
              </w:rPr>
            </w:pPr>
            <w:r w:rsidRPr="00184EE5">
              <w:rPr>
                <w:rFonts w:ascii="Aptos Narrow" w:hAnsi="Aptos Narrow"/>
                <w:sz w:val="20"/>
              </w:rPr>
              <w:t>2</w:t>
            </w:r>
          </w:p>
        </w:tc>
        <w:tc>
          <w:tcPr>
            <w:tcW w:w="1083" w:type="dxa"/>
          </w:tcPr>
          <w:p w14:paraId="5613C679" w14:textId="016171EB" w:rsidR="009E3BDE" w:rsidRPr="00184EE5" w:rsidRDefault="009E3BDE" w:rsidP="00275C3A">
            <w:pPr>
              <w:jc w:val="center"/>
              <w:rPr>
                <w:rFonts w:ascii="Aptos Narrow" w:hAnsi="Aptos Narrow"/>
                <w:sz w:val="20"/>
              </w:rPr>
            </w:pPr>
          </w:p>
        </w:tc>
      </w:tr>
      <w:tr w:rsidR="009E3BDE" w:rsidRPr="00184EE5" w14:paraId="79B02A33" w14:textId="77777777" w:rsidTr="009E3BDE">
        <w:trPr>
          <w:cantSplit/>
          <w:jc w:val="center"/>
        </w:trPr>
        <w:tc>
          <w:tcPr>
            <w:tcW w:w="4111" w:type="dxa"/>
          </w:tcPr>
          <w:p w14:paraId="59B91EC9" w14:textId="125BEC8A" w:rsidR="009E3BDE" w:rsidRPr="00184EE5" w:rsidRDefault="009E3BDE" w:rsidP="00275C3A">
            <w:pPr>
              <w:pStyle w:val="Paragraph"/>
              <w:jc w:val="center"/>
              <w:rPr>
                <w:rFonts w:ascii="Aptos Narrow" w:hAnsi="Aptos Narrow"/>
              </w:rPr>
            </w:pPr>
            <w:r w:rsidRPr="00184EE5">
              <w:rPr>
                <w:rFonts w:ascii="Aptos Narrow" w:hAnsi="Aptos Narrow"/>
              </w:rPr>
              <w:t>A05: Security Misconfiguration</w:t>
            </w:r>
          </w:p>
        </w:tc>
        <w:tc>
          <w:tcPr>
            <w:tcW w:w="850" w:type="dxa"/>
          </w:tcPr>
          <w:p w14:paraId="2DDEFC9B" w14:textId="6B8E1C07" w:rsidR="009E3BDE" w:rsidRPr="00184EE5" w:rsidRDefault="009E3BDE" w:rsidP="00275C3A">
            <w:pPr>
              <w:jc w:val="center"/>
              <w:rPr>
                <w:rFonts w:ascii="Aptos Narrow" w:hAnsi="Aptos Narrow"/>
                <w:sz w:val="20"/>
              </w:rPr>
            </w:pPr>
            <w:r w:rsidRPr="00184EE5">
              <w:rPr>
                <w:rFonts w:ascii="Aptos Narrow" w:hAnsi="Aptos Narrow"/>
                <w:sz w:val="20"/>
              </w:rPr>
              <w:t>13</w:t>
            </w:r>
          </w:p>
        </w:tc>
        <w:tc>
          <w:tcPr>
            <w:tcW w:w="1083" w:type="dxa"/>
          </w:tcPr>
          <w:p w14:paraId="5E8D9C40" w14:textId="45D62492" w:rsidR="009E3BDE" w:rsidRPr="00184EE5" w:rsidRDefault="009E3BDE" w:rsidP="00275C3A">
            <w:pPr>
              <w:jc w:val="center"/>
              <w:rPr>
                <w:rFonts w:ascii="Aptos Narrow" w:hAnsi="Aptos Narrow"/>
                <w:sz w:val="20"/>
              </w:rPr>
            </w:pPr>
            <w:r w:rsidRPr="00184EE5">
              <w:rPr>
                <w:rFonts w:ascii="Aptos Narrow" w:hAnsi="Aptos Narrow"/>
                <w:sz w:val="20"/>
              </w:rPr>
              <w:t>4</w:t>
            </w:r>
          </w:p>
        </w:tc>
      </w:tr>
      <w:tr w:rsidR="009E3BDE" w:rsidRPr="00184EE5" w14:paraId="0AE74951" w14:textId="77777777" w:rsidTr="009E3BDE">
        <w:trPr>
          <w:cantSplit/>
          <w:jc w:val="center"/>
        </w:trPr>
        <w:tc>
          <w:tcPr>
            <w:tcW w:w="4111" w:type="dxa"/>
          </w:tcPr>
          <w:p w14:paraId="216CD2E3" w14:textId="4345D3F9" w:rsidR="009E3BDE" w:rsidRPr="00184EE5" w:rsidRDefault="009E3BDE" w:rsidP="00275C3A">
            <w:pPr>
              <w:pStyle w:val="Paragraph"/>
              <w:jc w:val="center"/>
              <w:rPr>
                <w:rFonts w:ascii="Aptos Narrow" w:hAnsi="Aptos Narrow"/>
              </w:rPr>
            </w:pPr>
            <w:r w:rsidRPr="00184EE5">
              <w:rPr>
                <w:rFonts w:ascii="Aptos Narrow" w:hAnsi="Aptos Narrow"/>
              </w:rPr>
              <w:t>A06: Vulnerable Components</w:t>
            </w:r>
          </w:p>
        </w:tc>
        <w:tc>
          <w:tcPr>
            <w:tcW w:w="850" w:type="dxa"/>
          </w:tcPr>
          <w:p w14:paraId="66E31DE3" w14:textId="68E1D69D" w:rsidR="009E3BDE" w:rsidRPr="00184EE5" w:rsidRDefault="009E3BDE" w:rsidP="00275C3A">
            <w:pPr>
              <w:jc w:val="center"/>
              <w:rPr>
                <w:rFonts w:ascii="Aptos Narrow" w:hAnsi="Aptos Narrow"/>
                <w:sz w:val="20"/>
              </w:rPr>
            </w:pPr>
            <w:r w:rsidRPr="00184EE5">
              <w:rPr>
                <w:rFonts w:ascii="Aptos Narrow" w:hAnsi="Aptos Narrow"/>
                <w:sz w:val="20"/>
              </w:rPr>
              <w:t>1</w:t>
            </w:r>
          </w:p>
        </w:tc>
        <w:tc>
          <w:tcPr>
            <w:tcW w:w="1083" w:type="dxa"/>
          </w:tcPr>
          <w:p w14:paraId="31FE7BFC" w14:textId="77777777" w:rsidR="009E3BDE" w:rsidRPr="00184EE5" w:rsidRDefault="009E3BDE" w:rsidP="00275C3A">
            <w:pPr>
              <w:jc w:val="center"/>
              <w:rPr>
                <w:rFonts w:ascii="Aptos Narrow" w:hAnsi="Aptos Narrow"/>
                <w:sz w:val="20"/>
              </w:rPr>
            </w:pPr>
          </w:p>
        </w:tc>
      </w:tr>
      <w:tr w:rsidR="009E3BDE" w:rsidRPr="00184EE5" w14:paraId="2BC1A104" w14:textId="77777777" w:rsidTr="009E3BDE">
        <w:trPr>
          <w:cantSplit/>
          <w:trHeight w:val="237"/>
          <w:jc w:val="center"/>
        </w:trPr>
        <w:tc>
          <w:tcPr>
            <w:tcW w:w="4111" w:type="dxa"/>
          </w:tcPr>
          <w:p w14:paraId="78F8568B" w14:textId="1FE25BC9" w:rsidR="009E3BDE" w:rsidRPr="00184EE5" w:rsidRDefault="009E3BDE" w:rsidP="00275C3A">
            <w:pPr>
              <w:pStyle w:val="Paragraph"/>
              <w:jc w:val="center"/>
              <w:rPr>
                <w:rFonts w:ascii="Aptos Narrow" w:hAnsi="Aptos Narrow"/>
                <w:color w:val="000000"/>
              </w:rPr>
            </w:pPr>
            <w:r w:rsidRPr="00184EE5">
              <w:rPr>
                <w:rFonts w:ascii="Aptos Narrow" w:hAnsi="Aptos Narrow"/>
              </w:rPr>
              <w:t>A07: Identification Failures</w:t>
            </w:r>
          </w:p>
        </w:tc>
        <w:tc>
          <w:tcPr>
            <w:tcW w:w="850" w:type="dxa"/>
          </w:tcPr>
          <w:p w14:paraId="6A1D0CA1" w14:textId="62017CF1" w:rsidR="009E3BDE" w:rsidRPr="00184EE5" w:rsidRDefault="009E3BDE" w:rsidP="00275C3A">
            <w:pPr>
              <w:jc w:val="center"/>
              <w:rPr>
                <w:rFonts w:ascii="Aptos Narrow" w:hAnsi="Aptos Narrow"/>
                <w:color w:val="000000"/>
                <w:sz w:val="20"/>
              </w:rPr>
            </w:pPr>
            <w:r w:rsidRPr="00184EE5">
              <w:rPr>
                <w:rFonts w:ascii="Aptos Narrow" w:hAnsi="Aptos Narrow"/>
                <w:sz w:val="20"/>
              </w:rPr>
              <w:t>1</w:t>
            </w:r>
          </w:p>
        </w:tc>
        <w:tc>
          <w:tcPr>
            <w:tcW w:w="1083" w:type="dxa"/>
          </w:tcPr>
          <w:p w14:paraId="777A5952" w14:textId="532B83A2" w:rsidR="009E3BDE" w:rsidRPr="00184EE5" w:rsidRDefault="009E3BDE" w:rsidP="00275C3A">
            <w:pPr>
              <w:jc w:val="center"/>
              <w:rPr>
                <w:rFonts w:ascii="Aptos Narrow" w:hAnsi="Aptos Narrow"/>
                <w:color w:val="000000"/>
                <w:sz w:val="20"/>
              </w:rPr>
            </w:pPr>
            <w:r w:rsidRPr="00184EE5">
              <w:rPr>
                <w:rFonts w:ascii="Aptos Narrow" w:hAnsi="Aptos Narrow"/>
                <w:sz w:val="20"/>
              </w:rPr>
              <w:t>1</w:t>
            </w:r>
          </w:p>
        </w:tc>
      </w:tr>
      <w:tr w:rsidR="009E3BDE" w:rsidRPr="00184EE5" w14:paraId="1C622322" w14:textId="77777777" w:rsidTr="009E3BDE">
        <w:trPr>
          <w:cantSplit/>
          <w:trHeight w:val="237"/>
          <w:jc w:val="center"/>
        </w:trPr>
        <w:tc>
          <w:tcPr>
            <w:tcW w:w="4111" w:type="dxa"/>
          </w:tcPr>
          <w:p w14:paraId="50DCB908" w14:textId="4765C22E" w:rsidR="009E3BDE" w:rsidRPr="00184EE5" w:rsidRDefault="009E3BDE" w:rsidP="00275C3A">
            <w:pPr>
              <w:pStyle w:val="Paragraph"/>
              <w:jc w:val="center"/>
              <w:rPr>
                <w:rFonts w:ascii="Aptos Narrow" w:hAnsi="Aptos Narrow"/>
                <w:color w:val="000000"/>
              </w:rPr>
            </w:pPr>
            <w:r w:rsidRPr="00184EE5">
              <w:rPr>
                <w:rFonts w:ascii="Aptos Narrow" w:hAnsi="Aptos Narrow"/>
              </w:rPr>
              <w:t>A08: Software and Data Integrity Failures</w:t>
            </w:r>
          </w:p>
        </w:tc>
        <w:tc>
          <w:tcPr>
            <w:tcW w:w="850" w:type="dxa"/>
          </w:tcPr>
          <w:p w14:paraId="3EB3577A" w14:textId="25D740DE" w:rsidR="009E3BDE" w:rsidRPr="00184EE5" w:rsidRDefault="009E3BDE" w:rsidP="00275C3A">
            <w:pPr>
              <w:jc w:val="center"/>
              <w:rPr>
                <w:rFonts w:ascii="Aptos Narrow" w:hAnsi="Aptos Narrow"/>
                <w:color w:val="000000"/>
                <w:sz w:val="20"/>
              </w:rPr>
            </w:pPr>
            <w:r w:rsidRPr="00184EE5">
              <w:rPr>
                <w:rFonts w:ascii="Aptos Narrow" w:hAnsi="Aptos Narrow"/>
                <w:sz w:val="20"/>
              </w:rPr>
              <w:t>1</w:t>
            </w:r>
          </w:p>
        </w:tc>
        <w:tc>
          <w:tcPr>
            <w:tcW w:w="1083" w:type="dxa"/>
          </w:tcPr>
          <w:p w14:paraId="012FA88F" w14:textId="77777777" w:rsidR="009E3BDE" w:rsidRPr="00184EE5" w:rsidRDefault="009E3BDE" w:rsidP="00275C3A">
            <w:pPr>
              <w:jc w:val="center"/>
              <w:rPr>
                <w:rFonts w:ascii="Aptos Narrow" w:hAnsi="Aptos Narrow"/>
                <w:color w:val="000000"/>
                <w:sz w:val="20"/>
              </w:rPr>
            </w:pPr>
          </w:p>
        </w:tc>
      </w:tr>
    </w:tbl>
    <w:p w14:paraId="7D5F50FF" w14:textId="3856AEE8" w:rsidR="00DC0043" w:rsidRPr="00DC0043" w:rsidRDefault="00DC0043" w:rsidP="00275C3A"/>
    <w:p w14:paraId="71197B02" w14:textId="4BA3B09B" w:rsidR="00185EB5" w:rsidRDefault="00185EB5" w:rsidP="00275C3A">
      <w:pPr>
        <w:pStyle w:val="Paragraph"/>
      </w:pPr>
      <w:r>
        <w:t xml:space="preserve">Table </w:t>
      </w:r>
      <w:r w:rsidR="00E34135">
        <w:t>3</w:t>
      </w:r>
      <w:r>
        <w:t xml:space="preserve"> consolidates the findings from both tools by mapping them against OWASP Top 10 categories, providing a comparative overview of vulnerability coverage. Notably, Security Misconfiguration (A05) emerges as the most frequently detected category, with OWASP ZAP identifying 13 instances and </w:t>
      </w:r>
      <w:proofErr w:type="spellStart"/>
      <w:r>
        <w:t>Arachni</w:t>
      </w:r>
      <w:proofErr w:type="spellEnd"/>
      <w:r>
        <w:t xml:space="preserve"> 4. This prevalence underscores a critical insight: a significant portion of the vulnerabilities discovered in the tested application stem from misconfigurations that, in many cases, could be mitigated through relatively straightforward server and application configuration adjustments. Issues such as missing security headers, improper cookie settings, exposed sensitive files, and inadequate access controls often do not require complex code changes but rather careful tuning of server settings, web server directives, and security policies.</w:t>
      </w:r>
    </w:p>
    <w:p w14:paraId="16BCA051" w14:textId="0A75A8F5" w:rsidR="00DC0043" w:rsidRDefault="00185EB5" w:rsidP="00275C3A">
      <w:pPr>
        <w:pStyle w:val="Paragraph"/>
      </w:pPr>
      <w:r>
        <w:t>The dominance of security misconfiguration as a vulnerability category highlights a persistent challenge in web application security, ensuring that default or legacy configurations are hardened to meet modern security standards. Many of these weaknesses can be addressed by implementing best practices such as enabling HTTP Strict Transport Security (HSTS), configuring Content Security Policy (CSP), setting secure cookie attributes (</w:t>
      </w:r>
      <w:proofErr w:type="spellStart"/>
      <w:r>
        <w:t>HttpOnly</w:t>
      </w:r>
      <w:proofErr w:type="spellEnd"/>
      <w:r>
        <w:t xml:space="preserve">, </w:t>
      </w:r>
      <w:proofErr w:type="spellStart"/>
      <w:r>
        <w:t>SameSite</w:t>
      </w:r>
      <w:proofErr w:type="spellEnd"/>
      <w:r>
        <w:t>), and restricting directory access. The fact that such issues remain widespread suggests gaps in deployment processes, insufficient security awareness, or lack of automated configuration management in the development and operational lifecycle.</w:t>
      </w:r>
    </w:p>
    <w:p w14:paraId="550A1A34" w14:textId="7DB43B9E" w:rsidR="00185EB5" w:rsidRDefault="00C43484" w:rsidP="00275C3A">
      <w:pPr>
        <w:pStyle w:val="Heading2"/>
      </w:pPr>
      <w:r>
        <w:t xml:space="preserve">DAST </w:t>
      </w:r>
      <w:r w:rsidR="001176F1">
        <w:t xml:space="preserve">Testing Based </w:t>
      </w:r>
      <w:r>
        <w:t xml:space="preserve">on WSTG </w:t>
      </w:r>
      <w:r w:rsidR="001176F1">
        <w:t>Standard</w:t>
      </w:r>
    </w:p>
    <w:p w14:paraId="74E035C4" w14:textId="77777777" w:rsidR="00EE2095" w:rsidRDefault="00EE2095" w:rsidP="00275C3A">
      <w:pPr>
        <w:pStyle w:val="Paragraph"/>
      </w:pPr>
      <w:r>
        <w:t>Three main types of testing were conducted in this research, guided by the OWASP Web Security Testing Guide (WSTG) to ensure a focused and systematic assessment of critical vulnerabilities. The tests performed include Reflected Cross-Site Scripting (XSS), SQL Injection (</w:t>
      </w:r>
      <w:proofErr w:type="spellStart"/>
      <w:r>
        <w:t>SQLi</w:t>
      </w:r>
      <w:proofErr w:type="spellEnd"/>
      <w:r>
        <w:t>), and manual error handling analysis, corresponding to WSTG-INPV-01, WSTG-INPV-05, and WSTG-ERRH-01 respectively, as summarized in Table 6. The primary focus of this research is the login page of the application, as it represents a critical attack surface and a common entry point for attackers seeking unauthorized access.</w:t>
      </w:r>
    </w:p>
    <w:p w14:paraId="458A33C3" w14:textId="77777777" w:rsidR="00EE2095" w:rsidRDefault="00EE2095" w:rsidP="00275C3A">
      <w:pPr>
        <w:pStyle w:val="Paragraph"/>
      </w:pPr>
    </w:p>
    <w:p w14:paraId="4946AA63" w14:textId="5D5905F6" w:rsidR="00EE2095" w:rsidRDefault="00EE2095" w:rsidP="00275C3A">
      <w:pPr>
        <w:pStyle w:val="Paragraph"/>
      </w:pPr>
      <w:r w:rsidRPr="00075EA6">
        <w:rPr>
          <w:b/>
        </w:rPr>
        <w:t xml:space="preserve">TABLE </w:t>
      </w:r>
      <w:r w:rsidR="00E34135">
        <w:rPr>
          <w:b/>
        </w:rPr>
        <w:t>4</w:t>
      </w:r>
      <w:r w:rsidRPr="00075EA6">
        <w:rPr>
          <w:b/>
        </w:rPr>
        <w:t>.</w:t>
      </w:r>
      <w:r>
        <w:t xml:space="preserve"> Mapping proposed testing with WSTG category</w:t>
      </w:r>
      <w:r w:rsidRPr="0094271D">
        <w:t>.</w:t>
      </w:r>
    </w:p>
    <w:tbl>
      <w:tblPr>
        <w:tblW w:w="8222" w:type="dxa"/>
        <w:jc w:val="center"/>
        <w:tblBorders>
          <w:bottom w:val="single" w:sz="4" w:space="0" w:color="auto"/>
        </w:tblBorders>
        <w:tblLayout w:type="fixed"/>
        <w:tblLook w:val="0000" w:firstRow="0" w:lastRow="0" w:firstColumn="0" w:lastColumn="0" w:noHBand="0" w:noVBand="0"/>
      </w:tblPr>
      <w:tblGrid>
        <w:gridCol w:w="1701"/>
        <w:gridCol w:w="2790"/>
        <w:gridCol w:w="3731"/>
      </w:tblGrid>
      <w:tr w:rsidR="00EE2095" w:rsidRPr="006C3DF4" w14:paraId="5A2C6161" w14:textId="77777777" w:rsidTr="00CD7193">
        <w:trPr>
          <w:cantSplit/>
          <w:trHeight w:val="272"/>
          <w:jc w:val="center"/>
        </w:trPr>
        <w:tc>
          <w:tcPr>
            <w:tcW w:w="1701" w:type="dxa"/>
            <w:tcBorders>
              <w:top w:val="single" w:sz="4" w:space="0" w:color="auto"/>
              <w:bottom w:val="single" w:sz="4" w:space="0" w:color="auto"/>
            </w:tcBorders>
            <w:vAlign w:val="center"/>
          </w:tcPr>
          <w:p w14:paraId="3703709B" w14:textId="77777777" w:rsidR="00EE2095" w:rsidRPr="006C3DF4" w:rsidRDefault="00EE2095" w:rsidP="00275C3A">
            <w:pPr>
              <w:jc w:val="center"/>
              <w:rPr>
                <w:rFonts w:ascii="Aptos Narrow" w:hAnsi="Aptos Narrow"/>
                <w:b/>
                <w:bCs/>
                <w:sz w:val="18"/>
                <w:szCs w:val="18"/>
              </w:rPr>
            </w:pPr>
            <w:r w:rsidRPr="006C3DF4">
              <w:rPr>
                <w:rFonts w:ascii="Aptos Narrow" w:hAnsi="Aptos Narrow"/>
                <w:b/>
                <w:bCs/>
                <w:color w:val="000000"/>
                <w:sz w:val="18"/>
                <w:szCs w:val="18"/>
              </w:rPr>
              <w:t>WSTG category</w:t>
            </w:r>
          </w:p>
        </w:tc>
        <w:tc>
          <w:tcPr>
            <w:tcW w:w="2790" w:type="dxa"/>
            <w:tcBorders>
              <w:top w:val="single" w:sz="4" w:space="0" w:color="auto"/>
              <w:bottom w:val="single" w:sz="4" w:space="0" w:color="auto"/>
            </w:tcBorders>
            <w:vAlign w:val="center"/>
          </w:tcPr>
          <w:p w14:paraId="1A03BF94" w14:textId="77777777" w:rsidR="00EE2095" w:rsidRPr="006C3DF4" w:rsidRDefault="00EE2095" w:rsidP="00275C3A">
            <w:pPr>
              <w:jc w:val="center"/>
              <w:rPr>
                <w:rFonts w:ascii="Aptos Narrow" w:hAnsi="Aptos Narrow"/>
                <w:b/>
                <w:bCs/>
                <w:sz w:val="18"/>
                <w:szCs w:val="18"/>
              </w:rPr>
            </w:pPr>
            <w:r w:rsidRPr="006C3DF4">
              <w:rPr>
                <w:rFonts w:ascii="Aptos Narrow" w:hAnsi="Aptos Narrow"/>
                <w:b/>
                <w:bCs/>
                <w:color w:val="000000"/>
                <w:sz w:val="18"/>
                <w:szCs w:val="18"/>
              </w:rPr>
              <w:t xml:space="preserve">Testing </w:t>
            </w:r>
          </w:p>
        </w:tc>
        <w:tc>
          <w:tcPr>
            <w:tcW w:w="3731" w:type="dxa"/>
            <w:tcBorders>
              <w:top w:val="single" w:sz="4" w:space="0" w:color="auto"/>
              <w:bottom w:val="single" w:sz="4" w:space="0" w:color="auto"/>
            </w:tcBorders>
            <w:vAlign w:val="center"/>
          </w:tcPr>
          <w:p w14:paraId="1CD95F5E" w14:textId="77777777" w:rsidR="00EE2095" w:rsidRPr="006C3DF4" w:rsidRDefault="00EE2095" w:rsidP="00275C3A">
            <w:pPr>
              <w:jc w:val="center"/>
              <w:rPr>
                <w:rFonts w:ascii="Aptos Narrow" w:hAnsi="Aptos Narrow"/>
                <w:b/>
                <w:bCs/>
                <w:sz w:val="18"/>
                <w:szCs w:val="18"/>
              </w:rPr>
            </w:pPr>
            <w:r w:rsidRPr="006C3DF4">
              <w:rPr>
                <w:rFonts w:ascii="Aptos Narrow" w:hAnsi="Aptos Narrow"/>
                <w:b/>
                <w:bCs/>
                <w:color w:val="000000"/>
                <w:sz w:val="18"/>
                <w:szCs w:val="18"/>
              </w:rPr>
              <w:t>Objective</w:t>
            </w:r>
          </w:p>
        </w:tc>
      </w:tr>
      <w:tr w:rsidR="00EE2095" w:rsidRPr="006C3DF4" w14:paraId="2162065A" w14:textId="77777777" w:rsidTr="00CD7193">
        <w:trPr>
          <w:cantSplit/>
          <w:jc w:val="center"/>
        </w:trPr>
        <w:tc>
          <w:tcPr>
            <w:tcW w:w="1701" w:type="dxa"/>
            <w:tcBorders>
              <w:top w:val="nil"/>
            </w:tcBorders>
            <w:vAlign w:val="center"/>
          </w:tcPr>
          <w:p w14:paraId="73A0A3F9" w14:textId="77777777" w:rsidR="00EE2095" w:rsidRPr="006C3DF4" w:rsidRDefault="00EE2095" w:rsidP="00275C3A">
            <w:pPr>
              <w:pStyle w:val="Paragraph"/>
              <w:jc w:val="center"/>
              <w:rPr>
                <w:rFonts w:ascii="Aptos Narrow" w:hAnsi="Aptos Narrow"/>
                <w:sz w:val="18"/>
                <w:szCs w:val="18"/>
              </w:rPr>
            </w:pPr>
            <w:r w:rsidRPr="006C3DF4">
              <w:rPr>
                <w:rFonts w:ascii="Aptos Narrow" w:hAnsi="Aptos Narrow"/>
                <w:sz w:val="18"/>
                <w:szCs w:val="18"/>
              </w:rPr>
              <w:t>WSTG-INPV-01</w:t>
            </w:r>
          </w:p>
        </w:tc>
        <w:tc>
          <w:tcPr>
            <w:tcW w:w="2790" w:type="dxa"/>
            <w:tcBorders>
              <w:top w:val="nil"/>
            </w:tcBorders>
            <w:vAlign w:val="center"/>
          </w:tcPr>
          <w:p w14:paraId="74BF6A36" w14:textId="77777777" w:rsidR="00EE2095" w:rsidRPr="006C3DF4" w:rsidRDefault="00EE2095" w:rsidP="00275C3A">
            <w:pPr>
              <w:jc w:val="center"/>
              <w:rPr>
                <w:rFonts w:ascii="Aptos Narrow" w:hAnsi="Aptos Narrow"/>
                <w:sz w:val="18"/>
                <w:szCs w:val="18"/>
              </w:rPr>
            </w:pPr>
            <w:r w:rsidRPr="006C3DF4">
              <w:rPr>
                <w:rFonts w:ascii="Aptos Narrow" w:hAnsi="Aptos Narrow"/>
                <w:sz w:val="18"/>
                <w:szCs w:val="18"/>
              </w:rPr>
              <w:t>Reflected Cross Site Scripting</w:t>
            </w:r>
          </w:p>
        </w:tc>
        <w:tc>
          <w:tcPr>
            <w:tcW w:w="3731" w:type="dxa"/>
            <w:tcBorders>
              <w:top w:val="nil"/>
            </w:tcBorders>
          </w:tcPr>
          <w:p w14:paraId="6E5A830A" w14:textId="77777777" w:rsidR="00EE2095" w:rsidRPr="006C3DF4" w:rsidRDefault="00EE2095" w:rsidP="00275C3A">
            <w:pPr>
              <w:jc w:val="center"/>
              <w:rPr>
                <w:rFonts w:ascii="Aptos Narrow" w:hAnsi="Aptos Narrow"/>
                <w:sz w:val="18"/>
                <w:szCs w:val="18"/>
              </w:rPr>
            </w:pPr>
            <w:r w:rsidRPr="006C3DF4">
              <w:rPr>
                <w:rFonts w:ascii="Aptos Narrow" w:hAnsi="Aptos Narrow"/>
                <w:sz w:val="18"/>
                <w:szCs w:val="18"/>
              </w:rPr>
              <w:t xml:space="preserve">CSP header not set, Cross-Domain JavaScript Source File </w:t>
            </w:r>
            <w:proofErr w:type="spellStart"/>
            <w:r w:rsidRPr="006C3DF4">
              <w:rPr>
                <w:rFonts w:ascii="Aptos Narrow" w:hAnsi="Aptos Narrow"/>
                <w:sz w:val="18"/>
                <w:szCs w:val="18"/>
              </w:rPr>
              <w:t>Inclution</w:t>
            </w:r>
            <w:proofErr w:type="spellEnd"/>
            <w:r w:rsidRPr="006C3DF4">
              <w:rPr>
                <w:rFonts w:ascii="Aptos Narrow" w:hAnsi="Aptos Narrow"/>
                <w:sz w:val="18"/>
                <w:szCs w:val="18"/>
              </w:rPr>
              <w:t>, dan X-Content-Type-Header Missing</w:t>
            </w:r>
            <w:r>
              <w:rPr>
                <w:rFonts w:ascii="Aptos Narrow" w:hAnsi="Aptos Narrow"/>
                <w:sz w:val="18"/>
                <w:szCs w:val="18"/>
              </w:rPr>
              <w:t>.</w:t>
            </w:r>
          </w:p>
        </w:tc>
      </w:tr>
      <w:tr w:rsidR="00EE2095" w:rsidRPr="006C3DF4" w14:paraId="7F6C486E" w14:textId="77777777" w:rsidTr="00CD7193">
        <w:trPr>
          <w:cantSplit/>
          <w:trHeight w:val="237"/>
          <w:jc w:val="center"/>
        </w:trPr>
        <w:tc>
          <w:tcPr>
            <w:tcW w:w="1701" w:type="dxa"/>
            <w:vAlign w:val="center"/>
          </w:tcPr>
          <w:p w14:paraId="489A7DF1" w14:textId="77777777" w:rsidR="00EE2095" w:rsidRPr="006C3DF4" w:rsidRDefault="00EE2095" w:rsidP="00275C3A">
            <w:pPr>
              <w:pStyle w:val="Paragraph"/>
              <w:jc w:val="center"/>
              <w:rPr>
                <w:rFonts w:ascii="Aptos Narrow" w:hAnsi="Aptos Narrow"/>
                <w:sz w:val="18"/>
                <w:szCs w:val="18"/>
              </w:rPr>
            </w:pPr>
            <w:r w:rsidRPr="006C3DF4">
              <w:rPr>
                <w:rFonts w:ascii="Aptos Narrow" w:hAnsi="Aptos Narrow"/>
                <w:sz w:val="18"/>
                <w:szCs w:val="18"/>
              </w:rPr>
              <w:t>WSTG-INPV-05</w:t>
            </w:r>
          </w:p>
        </w:tc>
        <w:tc>
          <w:tcPr>
            <w:tcW w:w="2790" w:type="dxa"/>
            <w:vAlign w:val="center"/>
          </w:tcPr>
          <w:p w14:paraId="69DE58D2" w14:textId="77777777" w:rsidR="00EE2095" w:rsidRPr="006C3DF4" w:rsidRDefault="00EE2095" w:rsidP="00275C3A">
            <w:pPr>
              <w:jc w:val="center"/>
              <w:rPr>
                <w:rFonts w:ascii="Aptos Narrow" w:hAnsi="Aptos Narrow"/>
                <w:sz w:val="18"/>
                <w:szCs w:val="18"/>
              </w:rPr>
            </w:pPr>
            <w:r w:rsidRPr="006C3DF4">
              <w:rPr>
                <w:rFonts w:ascii="Aptos Narrow" w:hAnsi="Aptos Narrow"/>
                <w:sz w:val="18"/>
                <w:szCs w:val="18"/>
              </w:rPr>
              <w:t>SQL Injection</w:t>
            </w:r>
          </w:p>
        </w:tc>
        <w:tc>
          <w:tcPr>
            <w:tcW w:w="3731" w:type="dxa"/>
          </w:tcPr>
          <w:p w14:paraId="12025B11" w14:textId="77777777" w:rsidR="00EE2095" w:rsidRPr="006C3DF4" w:rsidRDefault="00EE2095" w:rsidP="00275C3A">
            <w:pPr>
              <w:jc w:val="center"/>
              <w:rPr>
                <w:rFonts w:ascii="Aptos Narrow" w:hAnsi="Aptos Narrow"/>
                <w:sz w:val="18"/>
                <w:szCs w:val="18"/>
              </w:rPr>
            </w:pPr>
            <w:r w:rsidRPr="006C3DF4">
              <w:rPr>
                <w:rFonts w:ascii="Aptos Narrow" w:hAnsi="Aptos Narrow"/>
                <w:sz w:val="18"/>
                <w:szCs w:val="18"/>
              </w:rPr>
              <w:t>PII disclosure dan CSP header not set</w:t>
            </w:r>
            <w:r>
              <w:rPr>
                <w:rFonts w:ascii="Aptos Narrow" w:hAnsi="Aptos Narrow"/>
                <w:sz w:val="18"/>
                <w:szCs w:val="18"/>
              </w:rPr>
              <w:t>.</w:t>
            </w:r>
          </w:p>
        </w:tc>
      </w:tr>
      <w:tr w:rsidR="00EE2095" w:rsidRPr="006C3DF4" w14:paraId="53E92C2C" w14:textId="77777777" w:rsidTr="00CD7193">
        <w:trPr>
          <w:cantSplit/>
          <w:trHeight w:val="237"/>
          <w:jc w:val="center"/>
        </w:trPr>
        <w:tc>
          <w:tcPr>
            <w:tcW w:w="1701" w:type="dxa"/>
            <w:vAlign w:val="center"/>
          </w:tcPr>
          <w:p w14:paraId="78239912" w14:textId="77777777" w:rsidR="00EE2095" w:rsidRPr="006C3DF4" w:rsidRDefault="00EE2095" w:rsidP="00275C3A">
            <w:pPr>
              <w:pStyle w:val="Paragraph"/>
              <w:jc w:val="center"/>
              <w:rPr>
                <w:rFonts w:ascii="Aptos Narrow" w:hAnsi="Aptos Narrow"/>
                <w:sz w:val="18"/>
                <w:szCs w:val="18"/>
              </w:rPr>
            </w:pPr>
            <w:r w:rsidRPr="00196C39">
              <w:rPr>
                <w:rFonts w:ascii="Aptos Narrow" w:hAnsi="Aptos Narrow"/>
                <w:sz w:val="18"/>
                <w:szCs w:val="18"/>
              </w:rPr>
              <w:t>WSTG-ERRH-01</w:t>
            </w:r>
          </w:p>
        </w:tc>
        <w:tc>
          <w:tcPr>
            <w:tcW w:w="2790" w:type="dxa"/>
            <w:vAlign w:val="center"/>
          </w:tcPr>
          <w:p w14:paraId="08B44426" w14:textId="77777777" w:rsidR="00EE2095" w:rsidRDefault="00EE2095" w:rsidP="00275C3A">
            <w:pPr>
              <w:jc w:val="center"/>
              <w:rPr>
                <w:rFonts w:ascii="Aptos Narrow" w:hAnsi="Aptos Narrow"/>
                <w:sz w:val="18"/>
                <w:szCs w:val="18"/>
              </w:rPr>
            </w:pPr>
            <w:r w:rsidRPr="00E374E9">
              <w:rPr>
                <w:rFonts w:ascii="Aptos Narrow" w:hAnsi="Aptos Narrow"/>
                <w:sz w:val="18"/>
                <w:szCs w:val="18"/>
              </w:rPr>
              <w:t>Improper Error Handling</w:t>
            </w:r>
          </w:p>
        </w:tc>
        <w:tc>
          <w:tcPr>
            <w:tcW w:w="3731" w:type="dxa"/>
          </w:tcPr>
          <w:p w14:paraId="06A71BFB" w14:textId="77777777" w:rsidR="00EE2095" w:rsidRPr="006C3DF4" w:rsidRDefault="00EE2095" w:rsidP="00275C3A">
            <w:pPr>
              <w:jc w:val="center"/>
              <w:rPr>
                <w:rFonts w:ascii="Aptos Narrow" w:hAnsi="Aptos Narrow"/>
                <w:color w:val="000000"/>
                <w:sz w:val="18"/>
                <w:szCs w:val="18"/>
              </w:rPr>
            </w:pPr>
            <w:r w:rsidRPr="00E374E9">
              <w:rPr>
                <w:rFonts w:ascii="Aptos Narrow" w:hAnsi="Aptos Narrow"/>
                <w:color w:val="000000"/>
                <w:sz w:val="18"/>
                <w:szCs w:val="18"/>
              </w:rPr>
              <w:t>Information Disclosure - Debug Error Messages</w:t>
            </w:r>
          </w:p>
        </w:tc>
      </w:tr>
    </w:tbl>
    <w:p w14:paraId="33507278" w14:textId="77777777" w:rsidR="00EE2095" w:rsidRDefault="00EE2095" w:rsidP="00275C3A">
      <w:pPr>
        <w:pStyle w:val="Paragraph"/>
      </w:pPr>
    </w:p>
    <w:p w14:paraId="1BA5F8CE" w14:textId="77777777" w:rsidR="00EE2095" w:rsidRDefault="00EE2095" w:rsidP="00275C3A">
      <w:pPr>
        <w:pStyle w:val="Paragraph"/>
      </w:pPr>
    </w:p>
    <w:p w14:paraId="41693AD3" w14:textId="5B7E0077" w:rsidR="00E34135" w:rsidRDefault="00E34135" w:rsidP="00275C3A">
      <w:pPr>
        <w:pStyle w:val="Paragraph"/>
      </w:pPr>
      <w:r>
        <w:t>The Reflected XSS test aims to identify vulnerabilities where untrusted input is immediately reflected in the user’s browser without proper sanitization, enabling attackers to execute malicious scripts that can lead to session hijacking, defacement, or redirection. The SQL Injection (</w:t>
      </w:r>
      <w:proofErr w:type="spellStart"/>
      <w:r>
        <w:t>SQLi</w:t>
      </w:r>
      <w:proofErr w:type="spellEnd"/>
      <w:r>
        <w:t xml:space="preserve">) test detects flaws in handling user input within SQL queries, allowing attackers to manipulate databases or extract sensitive data. </w:t>
      </w:r>
      <w:proofErr w:type="spellStart"/>
      <w:r>
        <w:t>SQLi</w:t>
      </w:r>
      <w:proofErr w:type="spellEnd"/>
      <w:r>
        <w:t xml:space="preserve"> testing involved injecting payloads with special characters and SQL </w:t>
      </w:r>
      <w:proofErr w:type="spellStart"/>
      <w:r>
        <w:t>synta</w:t>
      </w:r>
      <w:proofErr w:type="spellEnd"/>
      <w:r>
        <w:t xml:space="preserve">, such as tautologies and union queries into form inputs and URL parameters, with systematic fuzzing performed using OWASP ZAP. Manual error handling tests evaluated the application’s response to unexpected inputs or system errors, focusing on exposure of sensitive information like stack traces or database errors, aligning with WSTG-ERRH-01. </w:t>
      </w:r>
    </w:p>
    <w:p w14:paraId="4ACB3367" w14:textId="634F4CAA" w:rsidR="001040C5" w:rsidRDefault="001040C5" w:rsidP="00275C3A">
      <w:pPr>
        <w:pStyle w:val="Paragraph"/>
      </w:pPr>
      <w:r w:rsidRPr="001040C5">
        <w:t xml:space="preserve">Analysis of the findings, as summarized in Table </w:t>
      </w:r>
      <w:r>
        <w:t>5</w:t>
      </w:r>
      <w:r w:rsidR="005B70D5">
        <w:t xml:space="preserve"> Based on (a) ZAP and (b) </w:t>
      </w:r>
      <w:proofErr w:type="spellStart"/>
      <w:r w:rsidR="005B70D5">
        <w:t>Arachni</w:t>
      </w:r>
      <w:proofErr w:type="spellEnd"/>
      <w:r w:rsidRPr="001040C5">
        <w:t xml:space="preserve">, indicates a high Likelihood Factor for vulnerability discovery. This is primarily due to the ease with which automated tools like OWASP ZAP </w:t>
      </w:r>
      <w:r w:rsidRPr="001040C5">
        <w:lastRenderedPageBreak/>
        <w:t xml:space="preserve">can identify sensitive user information—such as full names and email addresses—that ideally should remain protected. The accessibility of these vulnerabilities does not require advanced cybersecurity expertise, as the automated nature of the scanning tools simplifies detection. As a result, attackers with minimal skills could exploit these weaknesses, increasing the risk of successful attacks despite the presence of basic security controls. Conversely, the vulnerability assessment conducted with the </w:t>
      </w:r>
      <w:proofErr w:type="spellStart"/>
      <w:r w:rsidRPr="001040C5">
        <w:t>Arachni</w:t>
      </w:r>
      <w:proofErr w:type="spellEnd"/>
      <w:r w:rsidRPr="001040C5">
        <w:t xml:space="preserve"> tool, following the established methodology, yielded an overall average vulnerability rating classified as LOW. This suggests that while vulnerabilities are present, their potential impact or exploitability within the tested environment is relatively limited. A detailed summary of the scoring and specific results is provided in Table </w:t>
      </w:r>
      <w:r>
        <w:t>6</w:t>
      </w:r>
      <w:r w:rsidRPr="001040C5">
        <w:t>, offering further insights into the quantitative evaluation underpinning this conclusion.</w:t>
      </w:r>
    </w:p>
    <w:p w14:paraId="44F9365E" w14:textId="77777777" w:rsidR="00064CDF" w:rsidRDefault="00064CDF" w:rsidP="00275C3A">
      <w:pPr>
        <w:pStyle w:val="Paragraph"/>
      </w:pPr>
    </w:p>
    <w:p w14:paraId="4ECDCA0C" w14:textId="221887B1" w:rsidR="00064CDF" w:rsidRDefault="00064CDF" w:rsidP="00275C3A">
      <w:pPr>
        <w:pStyle w:val="Paragraph"/>
        <w:jc w:val="center"/>
      </w:pPr>
      <w:bookmarkStart w:id="1" w:name="_Hlk205392014"/>
      <w:r w:rsidRPr="00075EA6">
        <w:rPr>
          <w:b/>
        </w:rPr>
        <w:t xml:space="preserve">TABLE </w:t>
      </w:r>
      <w:r w:rsidR="00FE34AB">
        <w:rPr>
          <w:b/>
        </w:rPr>
        <w:t>5</w:t>
      </w:r>
      <w:r w:rsidRPr="00075EA6">
        <w:rPr>
          <w:b/>
        </w:rPr>
        <w:t>.</w:t>
      </w:r>
      <w:r>
        <w:t xml:space="preserve"> </w:t>
      </w:r>
      <w:proofErr w:type="spellStart"/>
      <w:r>
        <w:t>Likehood</w:t>
      </w:r>
      <w:proofErr w:type="spellEnd"/>
      <w:r>
        <w:t xml:space="preserve"> Factor and Impact Factor based </w:t>
      </w:r>
      <w:proofErr w:type="gramStart"/>
      <w:r>
        <w:t xml:space="preserve">on </w:t>
      </w:r>
      <w:r w:rsidR="001040C5">
        <w:t xml:space="preserve"> (</w:t>
      </w:r>
      <w:proofErr w:type="gramEnd"/>
      <w:r w:rsidR="001040C5">
        <w:t xml:space="preserve">a) </w:t>
      </w:r>
      <w:r>
        <w:t>ZAP</w:t>
      </w:r>
      <w:r w:rsidR="001040C5">
        <w:t xml:space="preserve"> and (b) </w:t>
      </w:r>
      <w:proofErr w:type="spellStart"/>
      <w:r w:rsidR="001040C5">
        <w:t>Arachni</w:t>
      </w:r>
      <w:proofErr w:type="spellEnd"/>
      <w:r w:rsidRPr="0094271D">
        <w:t>.</w:t>
      </w:r>
    </w:p>
    <w:p w14:paraId="1A96184F" w14:textId="6739333A" w:rsidR="001040C5" w:rsidRDefault="001040C5" w:rsidP="00275C3A">
      <w:pPr>
        <w:pStyle w:val="Paragraph"/>
        <w:numPr>
          <w:ilvl w:val="0"/>
          <w:numId w:val="47"/>
        </w:numPr>
      </w:pPr>
      <w:r>
        <w:t>ZAP result</w:t>
      </w:r>
      <w:r>
        <w:tab/>
      </w:r>
      <w:r>
        <w:tab/>
      </w:r>
      <w:r>
        <w:tab/>
      </w:r>
      <w:r>
        <w:tab/>
      </w:r>
      <w:r>
        <w:tab/>
        <w:t xml:space="preserve">(b) </w:t>
      </w:r>
      <w:proofErr w:type="spellStart"/>
      <w:r>
        <w:t>Arachni</w:t>
      </w:r>
      <w:proofErr w:type="spellEnd"/>
      <w:r>
        <w:t xml:space="preserve"> result</w:t>
      </w:r>
    </w:p>
    <w:bookmarkEnd w:id="1"/>
    <w:p w14:paraId="7D90B4E5" w14:textId="7A600C13" w:rsidR="00064CDF" w:rsidRDefault="00064CDF" w:rsidP="00275C3A">
      <w:pPr>
        <w:pStyle w:val="Paragraph"/>
        <w:ind w:firstLine="0"/>
      </w:pPr>
      <w:r w:rsidRPr="00EC40CF">
        <w:rPr>
          <w:noProof/>
        </w:rPr>
        <w:drawing>
          <wp:inline distT="0" distB="0" distL="0" distR="0" wp14:anchorId="3918B256" wp14:editId="67C419B7">
            <wp:extent cx="2920461" cy="1580904"/>
            <wp:effectExtent l="0" t="0" r="0" b="635"/>
            <wp:docPr id="4" name="Picture 4"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survey&#10;&#10;Description automatically generated"/>
                    <pic:cNvPicPr/>
                  </pic:nvPicPr>
                  <pic:blipFill>
                    <a:blip r:embed="rId9"/>
                    <a:stretch>
                      <a:fillRect/>
                    </a:stretch>
                  </pic:blipFill>
                  <pic:spPr>
                    <a:xfrm>
                      <a:off x="0" y="0"/>
                      <a:ext cx="2950358" cy="1597088"/>
                    </a:xfrm>
                    <a:prstGeom prst="rect">
                      <a:avLst/>
                    </a:prstGeom>
                  </pic:spPr>
                </pic:pic>
              </a:graphicData>
            </a:graphic>
          </wp:inline>
        </w:drawing>
      </w:r>
      <w:r w:rsidR="001040C5">
        <w:rPr>
          <w:noProof/>
        </w:rPr>
        <w:t xml:space="preserve"> </w:t>
      </w:r>
      <w:r w:rsidR="001040C5" w:rsidRPr="00EC40CF">
        <w:rPr>
          <w:noProof/>
        </w:rPr>
        <w:drawing>
          <wp:inline distT="0" distB="0" distL="0" distR="0" wp14:anchorId="51BC29DD" wp14:editId="4CA40771">
            <wp:extent cx="2999464" cy="1621781"/>
            <wp:effectExtent l="0" t="0" r="0" b="0"/>
            <wp:docPr id="119703854" name="Picture 119703854" descr="A screenshot of a surve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survey&#10;&#10;Description automatically generated"/>
                    <pic:cNvPicPr/>
                  </pic:nvPicPr>
                  <pic:blipFill>
                    <a:blip r:embed="rId10"/>
                    <a:stretch>
                      <a:fillRect/>
                    </a:stretch>
                  </pic:blipFill>
                  <pic:spPr>
                    <a:xfrm>
                      <a:off x="0" y="0"/>
                      <a:ext cx="3002643" cy="1623500"/>
                    </a:xfrm>
                    <a:prstGeom prst="rect">
                      <a:avLst/>
                    </a:prstGeom>
                  </pic:spPr>
                </pic:pic>
              </a:graphicData>
            </a:graphic>
          </wp:inline>
        </w:drawing>
      </w:r>
    </w:p>
    <w:p w14:paraId="7406DDFB" w14:textId="77777777" w:rsidR="00064CDF" w:rsidRDefault="00064CDF" w:rsidP="00275C3A">
      <w:pPr>
        <w:pStyle w:val="Paragraph"/>
      </w:pPr>
    </w:p>
    <w:p w14:paraId="738444D0" w14:textId="49EB9DA6" w:rsidR="00A03E5A" w:rsidRPr="00075EA6" w:rsidRDefault="00A03E5A" w:rsidP="00275C3A">
      <w:pPr>
        <w:pStyle w:val="Heading1"/>
        <w:rPr>
          <w:b w:val="0"/>
          <w:caps w:val="0"/>
          <w:sz w:val="20"/>
        </w:rPr>
      </w:pPr>
      <w:r>
        <w:t>conclusion</w:t>
      </w:r>
    </w:p>
    <w:p w14:paraId="05805D39" w14:textId="2EA330FE" w:rsidR="00CD2291" w:rsidRDefault="00CD2291" w:rsidP="00275C3A">
      <w:pPr>
        <w:pStyle w:val="Paragraph"/>
      </w:pPr>
      <w:r>
        <w:t xml:space="preserve">This research aims to assess the security of the University of Muhammadiyah Malang (UMM) public digital library platform, with a particular focus on its web login services. Vulnerability testing was conducted using Dynamic Application Security Testing (DAST) tools, specifically OWASP ZAP and </w:t>
      </w:r>
      <w:proofErr w:type="spellStart"/>
      <w:r>
        <w:t>Arachni</w:t>
      </w:r>
      <w:proofErr w:type="spellEnd"/>
      <w:r>
        <w:t xml:space="preserve">. A detailed analysis was performed based on the OWASP Top 10 2021 framework, recognized as a leading security best practice. To reduce complexity, the study concentrated on Data Validation and Error Handling failures, narrowing the scope from ten to four key observations. </w:t>
      </w:r>
    </w:p>
    <w:p w14:paraId="777A6C8C" w14:textId="77777777" w:rsidR="00CD2291" w:rsidRDefault="00CD2291" w:rsidP="00275C3A">
      <w:pPr>
        <w:pStyle w:val="Paragraph"/>
      </w:pPr>
      <w:r>
        <w:t xml:space="preserve">Initial scans identified 19 risks using ZAP and 5 risks using </w:t>
      </w:r>
      <w:proofErr w:type="spellStart"/>
      <w:r>
        <w:t>Arachni</w:t>
      </w:r>
      <w:proofErr w:type="spellEnd"/>
      <w:r>
        <w:t>. Further analysis leveraged the OWASP Web Security Testing Guide (WSTG), followed by in-depth testing targeting Cross-Site Scripting (XSS), SQL Injection (</w:t>
      </w:r>
      <w:proofErr w:type="spellStart"/>
      <w:r>
        <w:t>SQLi</w:t>
      </w:r>
      <w:proofErr w:type="spellEnd"/>
      <w:r>
        <w:t xml:space="preserve">), and manual error handling. Based on calculations of Likelihood and Impact Factors, the assessed website presents a moderate risk level according to ZAP, while </w:t>
      </w:r>
      <w:proofErr w:type="spellStart"/>
      <w:r>
        <w:t>Arachni’s</w:t>
      </w:r>
      <w:proofErr w:type="spellEnd"/>
      <w:r>
        <w:t xml:space="preserve"> evaluation indicates a low risk level.</w:t>
      </w:r>
    </w:p>
    <w:p w14:paraId="7DA0CF28" w14:textId="77777777" w:rsidR="00725861" w:rsidRPr="00A03E5A" w:rsidRDefault="00725861" w:rsidP="00275C3A">
      <w:pPr>
        <w:pStyle w:val="Paragraph"/>
      </w:pPr>
    </w:p>
    <w:p w14:paraId="1D1B9234" w14:textId="577BF826" w:rsidR="002B5648" w:rsidRPr="006E4474" w:rsidRDefault="0016385D" w:rsidP="00275C3A">
      <w:pPr>
        <w:pStyle w:val="Heading1"/>
      </w:pPr>
      <w:r w:rsidRPr="00075EA6">
        <w:rPr>
          <w:rFonts w:asciiTheme="majorBidi" w:hAnsiTheme="majorBidi" w:cstheme="majorBidi"/>
        </w:rPr>
        <w:t>References</w:t>
      </w:r>
    </w:p>
    <w:p w14:paraId="026D6C5D" w14:textId="3B0FF766" w:rsidR="00B50CEB" w:rsidRPr="00B50CEB" w:rsidRDefault="00EE7019" w:rsidP="00275C3A">
      <w:pPr>
        <w:widowControl w:val="0"/>
        <w:autoSpaceDE w:val="0"/>
        <w:autoSpaceDN w:val="0"/>
        <w:adjustRightInd w:val="0"/>
        <w:ind w:left="640" w:hanging="640"/>
        <w:rPr>
          <w:noProof/>
          <w:sz w:val="20"/>
        </w:rPr>
      </w:pPr>
      <w:r>
        <w:rPr>
          <w:iCs/>
        </w:rPr>
        <w:fldChar w:fldCharType="begin" w:fldLock="1"/>
      </w:r>
      <w:r>
        <w:rPr>
          <w:iCs/>
        </w:rPr>
        <w:instrText xml:space="preserve">ADDIN Mendeley Bibliography CSL_BIBLIOGRAPHY </w:instrText>
      </w:r>
      <w:r>
        <w:rPr>
          <w:iCs/>
        </w:rPr>
        <w:fldChar w:fldCharType="separate"/>
      </w:r>
      <w:r w:rsidR="00B50CEB" w:rsidRPr="00B50CEB">
        <w:rPr>
          <w:noProof/>
          <w:sz w:val="20"/>
        </w:rPr>
        <w:t>[1]</w:t>
      </w:r>
      <w:r w:rsidR="00B50CEB" w:rsidRPr="00B50CEB">
        <w:rPr>
          <w:noProof/>
          <w:sz w:val="20"/>
        </w:rPr>
        <w:tab/>
        <w:t>Michelle Moore, “No TiTop Cybersecurity Threats to Watch in 2025tle.” [Online]. Available: https://onlinedegrees.sandiego.edu/faculty/michelle-moore/</w:t>
      </w:r>
    </w:p>
    <w:p w14:paraId="3AE2E45B"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[2]</w:t>
      </w:r>
      <w:r w:rsidRPr="00B50CEB">
        <w:rPr>
          <w:noProof/>
          <w:sz w:val="20"/>
        </w:rPr>
        <w:tab/>
        <w:t>T. M. R. Centre, “The Trend 2025 Cyber Risk Index,” 2025, [Online]. Available: https://www.trendmicro.com/vinfo/us/security/news/threat-landscape/trend-2025-cyber-risk-report</w:t>
      </w:r>
    </w:p>
    <w:p w14:paraId="2D5F5639"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[3]</w:t>
      </w:r>
      <w:r w:rsidRPr="00B50CEB">
        <w:rPr>
          <w:noProof/>
          <w:sz w:val="20"/>
        </w:rPr>
        <w:tab/>
        <w:t>“20 Recent Cyber Attacks &amp; What They Tell Us About the Future of Cybersecurity.” Accessed: Aug. 08, 2025. [Online]. Available: https://secureframe.com/blog/recent-cyber-attacks</w:t>
      </w:r>
    </w:p>
    <w:p w14:paraId="3D7B870C"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[4]</w:t>
      </w:r>
      <w:r w:rsidRPr="00B50CEB">
        <w:rPr>
          <w:noProof/>
          <w:sz w:val="20"/>
        </w:rPr>
        <w:tab/>
        <w:t>“OWASP Top Ten | OWASP Foundation.” Accessed: Aug. 08, 2025. [Online]. Available: https://owasp.org/www-project-top-ten/</w:t>
      </w:r>
    </w:p>
    <w:p w14:paraId="46F8B5FE"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[5]</w:t>
      </w:r>
      <w:r w:rsidRPr="00B50CEB">
        <w:rPr>
          <w:noProof/>
          <w:sz w:val="20"/>
        </w:rPr>
        <w:tab/>
        <w:t xml:space="preserve">A. Dann, H. Plate, B. Hermann, S. E. Ponta, and E. Bodden, “Identifying Challenges for OSS Vulnerability Scanners-A Study &amp; Test Suite,” </w:t>
      </w:r>
      <w:r w:rsidRPr="00B50CEB">
        <w:rPr>
          <w:i/>
          <w:iCs/>
          <w:noProof/>
          <w:sz w:val="20"/>
        </w:rPr>
        <w:t>IEEE Trans. Softw. Eng.</w:t>
      </w:r>
      <w:r w:rsidRPr="00B50CEB">
        <w:rPr>
          <w:noProof/>
          <w:sz w:val="20"/>
        </w:rPr>
        <w:t>, vol. 48, no. 9, pp. 3613–3625, 2022, doi: 10.1109/TSE.2021.3101739.</w:t>
      </w:r>
    </w:p>
    <w:p w14:paraId="4E6ABAEC"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[6]</w:t>
      </w:r>
      <w:r w:rsidRPr="00B50CEB">
        <w:rPr>
          <w:noProof/>
          <w:sz w:val="20"/>
        </w:rPr>
        <w:tab/>
        <w:t xml:space="preserve">F. O. Sonmez and B. G. Kilic, “Holistic Web Application Security Visualization for Multi-Project and Multi-Phase Dynamic Application Security Test Results,” </w:t>
      </w:r>
      <w:r w:rsidRPr="00B50CEB">
        <w:rPr>
          <w:i/>
          <w:iCs/>
          <w:noProof/>
          <w:sz w:val="20"/>
        </w:rPr>
        <w:t>IEEE Access</w:t>
      </w:r>
      <w:r w:rsidRPr="00B50CEB">
        <w:rPr>
          <w:noProof/>
          <w:sz w:val="20"/>
        </w:rPr>
        <w:t>, vol. 9, pp. 25858–25884, 2021, doi: 10.1109/ACCESS.2021.3057044.</w:t>
      </w:r>
    </w:p>
    <w:p w14:paraId="6F91CDEB"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[7]</w:t>
      </w:r>
      <w:r w:rsidRPr="00B50CEB">
        <w:rPr>
          <w:noProof/>
          <w:sz w:val="20"/>
        </w:rPr>
        <w:tab/>
        <w:t xml:space="preserve">A. Jakobsson and I. Häggström, “Study of the techniques used by OWASP ZAP for analysis of </w:t>
      </w:r>
      <w:r w:rsidRPr="00B50CEB">
        <w:rPr>
          <w:noProof/>
          <w:sz w:val="20"/>
        </w:rPr>
        <w:lastRenderedPageBreak/>
        <w:t>vulnerabilities in web applications,” p. 69, 2022, [Online]. Available: https://www.diva-portal.org/smash/record.jsf?pid=diva2%3A1675227&amp;dswid=-4307</w:t>
      </w:r>
    </w:p>
    <w:p w14:paraId="47959693"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[8]</w:t>
      </w:r>
      <w:r w:rsidRPr="00B50CEB">
        <w:rPr>
          <w:noProof/>
          <w:sz w:val="20"/>
        </w:rPr>
        <w:tab/>
        <w:t xml:space="preserve">A. M. Irzan and E. Sulistiyani, “Owasp Zap vs Arachni: Which One is Better in Vulnerability Assesment?,” </w:t>
      </w:r>
      <w:r w:rsidRPr="00B50CEB">
        <w:rPr>
          <w:i/>
          <w:iCs/>
          <w:noProof/>
          <w:sz w:val="20"/>
        </w:rPr>
        <w:t>2024 9th Int. Conf. Informatics Comput. ICIC 2024</w:t>
      </w:r>
      <w:r w:rsidRPr="00B50CEB">
        <w:rPr>
          <w:noProof/>
          <w:sz w:val="20"/>
        </w:rPr>
        <w:t>, pp. 1–6, 2024, doi: 10.1109/ICIC64337.2024.10956935.</w:t>
      </w:r>
    </w:p>
    <w:p w14:paraId="50BE55F3"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[9]</w:t>
      </w:r>
      <w:r w:rsidRPr="00B50CEB">
        <w:rPr>
          <w:noProof/>
          <w:sz w:val="20"/>
        </w:rPr>
        <w:tab/>
        <w:t xml:space="preserve">A. Wijayanto, E. Utami, and A. B. Prasetio, “Analysis of Vulnerability Webserver Office Management of Information and Documentation Diskominfo using OWASP Scanner,” </w:t>
      </w:r>
      <w:r w:rsidRPr="00B50CEB">
        <w:rPr>
          <w:i/>
          <w:iCs/>
          <w:noProof/>
          <w:sz w:val="20"/>
        </w:rPr>
        <w:t>2020 2nd Int. Conf. Cybern. Intell. Syst. ICORIS 2020</w:t>
      </w:r>
      <w:r w:rsidRPr="00B50CEB">
        <w:rPr>
          <w:noProof/>
          <w:sz w:val="20"/>
        </w:rPr>
        <w:t>, pp. 8–12, 2020, doi: 10.1109/ICORIS50180.2020.9320833.</w:t>
      </w:r>
    </w:p>
    <w:p w14:paraId="30F42F3C"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[10]</w:t>
      </w:r>
      <w:r w:rsidRPr="00B50CEB">
        <w:rPr>
          <w:noProof/>
          <w:sz w:val="20"/>
        </w:rPr>
        <w:tab/>
        <w:t xml:space="preserve">N. Anantharaman and B. Wukkadada, “Identifying the Usage of Known Vulnerabilities Components Based on OWASP A9,” </w:t>
      </w:r>
      <w:r w:rsidRPr="00B50CEB">
        <w:rPr>
          <w:i/>
          <w:iCs/>
          <w:noProof/>
          <w:sz w:val="20"/>
        </w:rPr>
        <w:t>2020 Int. Conf. Emerg. Smart Comput. Informatics, ESCI 2020</w:t>
      </w:r>
      <w:r w:rsidRPr="00B50CEB">
        <w:rPr>
          <w:noProof/>
          <w:sz w:val="20"/>
        </w:rPr>
        <w:t>, pp. 88–91, 2020, doi: 10.1109/ESCI48226.2020.9167645.</w:t>
      </w:r>
    </w:p>
    <w:p w14:paraId="22C4D01D"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[11]</w:t>
      </w:r>
      <w:r w:rsidRPr="00B50CEB">
        <w:rPr>
          <w:noProof/>
          <w:sz w:val="20"/>
        </w:rPr>
        <w:tab/>
        <w:t xml:space="preserve">D. F. Priambodo, G. S. Ajie, H. A. Rahman, A. C. F. Nugraha, A. Rachmawati, and M. R. Avianti, “Mobile Health Application Security Assesment Based on OWASP Top 10 Mobile Vulnerabilities,” </w:t>
      </w:r>
      <w:r w:rsidRPr="00B50CEB">
        <w:rPr>
          <w:i/>
          <w:iCs/>
          <w:noProof/>
          <w:sz w:val="20"/>
        </w:rPr>
        <w:t>2022 Int. Conf. Inf. Technol. Syst. Innov. ICITSI 2022 - Proc.</w:t>
      </w:r>
      <w:r w:rsidRPr="00B50CEB">
        <w:rPr>
          <w:noProof/>
          <w:sz w:val="20"/>
        </w:rPr>
        <w:t>, pp. 25–29, 2022, doi: 10.1109/ICITSI56531.2022.9970949.</w:t>
      </w:r>
    </w:p>
    <w:p w14:paraId="7370AEAA"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[12]</w:t>
      </w:r>
      <w:r w:rsidRPr="00B50CEB">
        <w:rPr>
          <w:noProof/>
          <w:sz w:val="20"/>
        </w:rPr>
        <w:tab/>
        <w:t xml:space="preserve">V. N. Nanisura Damanik and S. U. Sunaringtyas, “Secure code recommendation based on code review result using owasp code review guide,” </w:t>
      </w:r>
      <w:r w:rsidRPr="00B50CEB">
        <w:rPr>
          <w:i/>
          <w:iCs/>
          <w:noProof/>
          <w:sz w:val="20"/>
        </w:rPr>
        <w:t>2020 Int. Work. Big Data Inf. Secur. IWBIS 2020</w:t>
      </w:r>
      <w:r w:rsidRPr="00B50CEB">
        <w:rPr>
          <w:noProof/>
          <w:sz w:val="20"/>
        </w:rPr>
        <w:t>, pp. 153–157, 2020, doi: 10.1109/IWBIS50925.2020.9255559.</w:t>
      </w:r>
    </w:p>
    <w:p w14:paraId="44E9B08F"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[13]</w:t>
      </w:r>
      <w:r w:rsidRPr="00B50CEB">
        <w:rPr>
          <w:noProof/>
          <w:sz w:val="20"/>
        </w:rPr>
        <w:tab/>
        <w:t xml:space="preserve">S. Alazmi and D. C. De Leon, “Customizing OWASP ZAP: A Proven Method for Detecting SQL Injection Vulnerabilities,” </w:t>
      </w:r>
      <w:r w:rsidRPr="00B50CEB">
        <w:rPr>
          <w:i/>
          <w:iCs/>
          <w:noProof/>
          <w:sz w:val="20"/>
        </w:rPr>
        <w:t>Proc. - 2023 IEEE 9th Int. Conf. Big Data Secur. Cloud, IEEE Int. Conf. High Perform. Smart Comput. IEEE Int. Conf. Intell. Data Secur. BigDataSecurity-HPSC-IDS 2023</w:t>
      </w:r>
      <w:r w:rsidRPr="00B50CEB">
        <w:rPr>
          <w:noProof/>
          <w:sz w:val="20"/>
        </w:rPr>
        <w:t>, pp. 102–106, 2023, doi: 10.1109/BigDataSecurity-HPSC-IDS58521.2023.00028.</w:t>
      </w:r>
    </w:p>
    <w:p w14:paraId="54274114"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[14]</w:t>
      </w:r>
      <w:r w:rsidRPr="00B50CEB">
        <w:rPr>
          <w:noProof/>
          <w:sz w:val="20"/>
        </w:rPr>
        <w:tab/>
        <w:t xml:space="preserve">A. Choiriyah and N. Qomariasih, “Security Analysis on Websites Belonging to the Health Service Districts in Indonesia Based on the Open Web Application Security Project (OWASP) Top 10 2021,” </w:t>
      </w:r>
      <w:r w:rsidRPr="00B50CEB">
        <w:rPr>
          <w:i/>
          <w:iCs/>
          <w:noProof/>
          <w:sz w:val="20"/>
        </w:rPr>
        <w:t>Proceeding - Int. Conf. Inf. Technol. Comput. 2023, ICITCOM 2023</w:t>
      </w:r>
      <w:r w:rsidRPr="00B50CEB">
        <w:rPr>
          <w:noProof/>
          <w:sz w:val="20"/>
        </w:rPr>
        <w:t>, pp. 267–272, 2023, doi: 10.1109/ICITCOM60176.2023.10442816.</w:t>
      </w:r>
    </w:p>
    <w:p w14:paraId="00F88206"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[15]</w:t>
      </w:r>
      <w:r w:rsidRPr="00B50CEB">
        <w:rPr>
          <w:noProof/>
          <w:sz w:val="20"/>
        </w:rPr>
        <w:tab/>
        <w:t xml:space="preserve">J. Li and H. Li, “Evolution of Application Security based on OWASP Top 10 and CWE/SANS Top 25 with Predictions for the 2025 OWASP Top 10,” </w:t>
      </w:r>
      <w:r w:rsidRPr="00B50CEB">
        <w:rPr>
          <w:i/>
          <w:iCs/>
          <w:noProof/>
          <w:sz w:val="20"/>
        </w:rPr>
        <w:t>Proc. 8th Int. Conf. Inven. Comput. Technol. ICICT 2025</w:t>
      </w:r>
      <w:r w:rsidRPr="00B50CEB">
        <w:rPr>
          <w:noProof/>
          <w:sz w:val="20"/>
        </w:rPr>
        <w:t>, pp. 1178–1183, 2025, doi: 10.1109/ICICT64420.2025.11004742.</w:t>
      </w:r>
    </w:p>
    <w:p w14:paraId="58A0C6EB"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[16]</w:t>
      </w:r>
      <w:r w:rsidRPr="00B50CEB">
        <w:rPr>
          <w:noProof/>
          <w:sz w:val="20"/>
        </w:rPr>
        <w:tab/>
        <w:t>S. and S. Pascoe, C. , Quinn, “The NIST Cybersecurity,” p. 32, 2024, [Online]. Available: https://nvlpubs.nist.gov/nistpubs/CSWP/NIST.CSWP.29.pdf</w:t>
      </w:r>
    </w:p>
    <w:p w14:paraId="2AFBFBB1" w14:textId="77777777" w:rsidR="00B50CEB" w:rsidRPr="00B50CEB" w:rsidRDefault="00B50CEB" w:rsidP="00275C3A">
      <w:pPr>
        <w:widowControl w:val="0"/>
        <w:autoSpaceDE w:val="0"/>
        <w:autoSpaceDN w:val="0"/>
        <w:adjustRightInd w:val="0"/>
        <w:ind w:left="640" w:hanging="640"/>
        <w:rPr>
          <w:noProof/>
          <w:sz w:val="20"/>
        </w:rPr>
      </w:pPr>
      <w:r w:rsidRPr="00B50CEB">
        <w:rPr>
          <w:noProof/>
          <w:sz w:val="20"/>
        </w:rPr>
        <w:t>[17]</w:t>
      </w:r>
      <w:r w:rsidRPr="00B50CEB">
        <w:rPr>
          <w:noProof/>
          <w:sz w:val="20"/>
        </w:rPr>
        <w:tab/>
        <w:t xml:space="preserve">B. Al-Sada, A. Sadighian, and G. Oligeri, “MITRE ATT&amp;CK: State of the Art and Way Forward,” </w:t>
      </w:r>
      <w:r w:rsidRPr="00B50CEB">
        <w:rPr>
          <w:i/>
          <w:iCs/>
          <w:noProof/>
          <w:sz w:val="20"/>
        </w:rPr>
        <w:t>ACM Comput. Surv.</w:t>
      </w:r>
      <w:r w:rsidRPr="00B50CEB">
        <w:rPr>
          <w:noProof/>
          <w:sz w:val="20"/>
        </w:rPr>
        <w:t>, vol. 57, no. 1, 2024, doi: 10.1145/3687300.</w:t>
      </w:r>
    </w:p>
    <w:p w14:paraId="647AEAE9" w14:textId="5403D993" w:rsidR="00326AE0" w:rsidRPr="003B0050" w:rsidRDefault="00EE7019" w:rsidP="00275C3A">
      <w:pPr>
        <w:pStyle w:val="Paragraph"/>
        <w:ind w:left="644" w:firstLine="0"/>
        <w:rPr>
          <w:iCs/>
        </w:rPr>
      </w:pPr>
      <w:r>
        <w:rPr>
          <w:iCs/>
        </w:rPr>
        <w:fldChar w:fldCharType="end"/>
      </w:r>
    </w:p>
    <w:p w14:paraId="5A92D458" w14:textId="77777777" w:rsidR="00326AE0" w:rsidRDefault="00326AE0" w:rsidP="00275C3A">
      <w:pPr>
        <w:pStyle w:val="Paragraph"/>
        <w:rPr>
          <w:i/>
          <w:iCs/>
        </w:rPr>
      </w:pPr>
    </w:p>
    <w:p w14:paraId="4DE91CCB" w14:textId="77777777" w:rsidR="00326AE0" w:rsidRPr="00114AB1" w:rsidRDefault="00326AE0" w:rsidP="00275C3A">
      <w:pPr>
        <w:pStyle w:val="Paragraphbulleted"/>
        <w:numPr>
          <w:ilvl w:val="0"/>
          <w:numId w:val="0"/>
        </w:numPr>
        <w:ind w:left="426" w:hanging="426"/>
      </w:pPr>
    </w:p>
    <w:sectPr w:rsidR="00326AE0" w:rsidRPr="00114AB1"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Narrow">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632F9"/>
    <w:multiLevelType w:val="hybridMultilevel"/>
    <w:tmpl w:val="55E6ED0A"/>
    <w:lvl w:ilvl="0" w:tplc="DB9C698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5"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9"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9928D9"/>
    <w:multiLevelType w:val="hybridMultilevel"/>
    <w:tmpl w:val="03F0775C"/>
    <w:lvl w:ilvl="0" w:tplc="E02CBBD8">
      <w:start w:val="1"/>
      <w:numFmt w:val="lowerLetter"/>
      <w:lvlText w:val="(%1)"/>
      <w:lvlJc w:val="left"/>
      <w:pPr>
        <w:ind w:left="2522" w:hanging="360"/>
      </w:pPr>
      <w:rPr>
        <w:rFonts w:hint="default"/>
      </w:r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1"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5"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7"/>
  </w:num>
  <w:num w:numId="2">
    <w:abstractNumId w:val="4"/>
  </w:num>
  <w:num w:numId="3">
    <w:abstractNumId w:val="14"/>
  </w:num>
  <w:num w:numId="4">
    <w:abstractNumId w:val="8"/>
  </w:num>
  <w:num w:numId="5">
    <w:abstractNumId w:val="13"/>
  </w:num>
  <w:num w:numId="6">
    <w:abstractNumId w:val="5"/>
  </w:num>
  <w:num w:numId="7">
    <w:abstractNumId w:val="7"/>
  </w:num>
  <w:num w:numId="8">
    <w:abstractNumId w:val="2"/>
  </w:num>
  <w:num w:numId="9">
    <w:abstractNumId w:val="16"/>
  </w:num>
  <w:num w:numId="10">
    <w:abstractNumId w:val="11"/>
  </w:num>
  <w:num w:numId="11">
    <w:abstractNumId w:val="15"/>
  </w:num>
  <w:num w:numId="12">
    <w:abstractNumId w:val="12"/>
  </w:num>
  <w:num w:numId="13">
    <w:abstractNumId w:val="6"/>
  </w:num>
  <w:num w:numId="14">
    <w:abstractNumId w:val="16"/>
  </w:num>
  <w:num w:numId="15">
    <w:abstractNumId w:val="9"/>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13"/>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lvlOverride w:ilvl="0">
      <w:startOverride w:val="1"/>
    </w:lvlOverride>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4"/>
    <w:lvlOverride w:ilvl="0">
      <w:startOverride w:val="1"/>
    </w:lvlOverride>
  </w:num>
  <w:num w:numId="42">
    <w:abstractNumId w:val="14"/>
  </w:num>
  <w:num w:numId="43">
    <w:abstractNumId w:val="14"/>
  </w:num>
  <w:num w:numId="44">
    <w:abstractNumId w:val="3"/>
  </w:num>
  <w:num w:numId="45">
    <w:abstractNumId w:val="0"/>
  </w:num>
  <w:num w:numId="46">
    <w:abstractNumId w:val="10"/>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126D"/>
    <w:rsid w:val="00027428"/>
    <w:rsid w:val="00031EC9"/>
    <w:rsid w:val="0003793F"/>
    <w:rsid w:val="00064CDF"/>
    <w:rsid w:val="00066FED"/>
    <w:rsid w:val="00070495"/>
    <w:rsid w:val="000715DD"/>
    <w:rsid w:val="00075EA6"/>
    <w:rsid w:val="0007709F"/>
    <w:rsid w:val="00086F62"/>
    <w:rsid w:val="00090674"/>
    <w:rsid w:val="0009320B"/>
    <w:rsid w:val="00096AE0"/>
    <w:rsid w:val="000B1B74"/>
    <w:rsid w:val="000B3A2D"/>
    <w:rsid w:val="000B49C0"/>
    <w:rsid w:val="000C4850"/>
    <w:rsid w:val="000D1027"/>
    <w:rsid w:val="000E382F"/>
    <w:rsid w:val="000E75CD"/>
    <w:rsid w:val="001036BA"/>
    <w:rsid w:val="001040C5"/>
    <w:rsid w:val="001146DC"/>
    <w:rsid w:val="00114AB1"/>
    <w:rsid w:val="001176F1"/>
    <w:rsid w:val="001230FF"/>
    <w:rsid w:val="00130BD7"/>
    <w:rsid w:val="00155B67"/>
    <w:rsid w:val="001562AF"/>
    <w:rsid w:val="00161A5B"/>
    <w:rsid w:val="0016385D"/>
    <w:rsid w:val="0016782F"/>
    <w:rsid w:val="00184EE5"/>
    <w:rsid w:val="00185EB5"/>
    <w:rsid w:val="001937E9"/>
    <w:rsid w:val="001964E5"/>
    <w:rsid w:val="00196C39"/>
    <w:rsid w:val="001B263B"/>
    <w:rsid w:val="001B476A"/>
    <w:rsid w:val="001C764F"/>
    <w:rsid w:val="001C7BB3"/>
    <w:rsid w:val="001D262D"/>
    <w:rsid w:val="001D469C"/>
    <w:rsid w:val="0021619E"/>
    <w:rsid w:val="0023171B"/>
    <w:rsid w:val="00236BFC"/>
    <w:rsid w:val="00237437"/>
    <w:rsid w:val="0024058C"/>
    <w:rsid w:val="002502FD"/>
    <w:rsid w:val="00274622"/>
    <w:rsid w:val="00275C3A"/>
    <w:rsid w:val="00285D24"/>
    <w:rsid w:val="00290390"/>
    <w:rsid w:val="00290DBA"/>
    <w:rsid w:val="002915D3"/>
    <w:rsid w:val="002924DB"/>
    <w:rsid w:val="002941DA"/>
    <w:rsid w:val="002B5648"/>
    <w:rsid w:val="002E211E"/>
    <w:rsid w:val="002E3C35"/>
    <w:rsid w:val="002F5298"/>
    <w:rsid w:val="00301C1B"/>
    <w:rsid w:val="00326AE0"/>
    <w:rsid w:val="00337E4F"/>
    <w:rsid w:val="00340C36"/>
    <w:rsid w:val="00346A9D"/>
    <w:rsid w:val="003656E7"/>
    <w:rsid w:val="00387BF7"/>
    <w:rsid w:val="0039376F"/>
    <w:rsid w:val="003A287B"/>
    <w:rsid w:val="003A5C85"/>
    <w:rsid w:val="003A61B1"/>
    <w:rsid w:val="003B0050"/>
    <w:rsid w:val="003D6312"/>
    <w:rsid w:val="003E474A"/>
    <w:rsid w:val="003E7C74"/>
    <w:rsid w:val="003F31C6"/>
    <w:rsid w:val="0040225B"/>
    <w:rsid w:val="00402DA2"/>
    <w:rsid w:val="00425AC2"/>
    <w:rsid w:val="0044771F"/>
    <w:rsid w:val="004B151D"/>
    <w:rsid w:val="004C7243"/>
    <w:rsid w:val="004E21DE"/>
    <w:rsid w:val="004E3C57"/>
    <w:rsid w:val="004E3CB2"/>
    <w:rsid w:val="0050689F"/>
    <w:rsid w:val="00525813"/>
    <w:rsid w:val="0053513F"/>
    <w:rsid w:val="00574405"/>
    <w:rsid w:val="005854B0"/>
    <w:rsid w:val="005A0E21"/>
    <w:rsid w:val="005B3A34"/>
    <w:rsid w:val="005B70D5"/>
    <w:rsid w:val="005D49AF"/>
    <w:rsid w:val="005E415C"/>
    <w:rsid w:val="005E71ED"/>
    <w:rsid w:val="005E7946"/>
    <w:rsid w:val="005F569B"/>
    <w:rsid w:val="005F7475"/>
    <w:rsid w:val="00611299"/>
    <w:rsid w:val="00613B4D"/>
    <w:rsid w:val="00616365"/>
    <w:rsid w:val="00616F3B"/>
    <w:rsid w:val="0062336C"/>
    <w:rsid w:val="006249A7"/>
    <w:rsid w:val="0064225B"/>
    <w:rsid w:val="006608B0"/>
    <w:rsid w:val="00664C80"/>
    <w:rsid w:val="006763F9"/>
    <w:rsid w:val="006949BC"/>
    <w:rsid w:val="006979B0"/>
    <w:rsid w:val="006C3DF4"/>
    <w:rsid w:val="006D1229"/>
    <w:rsid w:val="006D372F"/>
    <w:rsid w:val="006D7A18"/>
    <w:rsid w:val="006E4474"/>
    <w:rsid w:val="00701388"/>
    <w:rsid w:val="00715C82"/>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5312"/>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37C14"/>
    <w:rsid w:val="0094271D"/>
    <w:rsid w:val="00943315"/>
    <w:rsid w:val="00946C27"/>
    <w:rsid w:val="0099584A"/>
    <w:rsid w:val="009A4F3D"/>
    <w:rsid w:val="009B696B"/>
    <w:rsid w:val="009B7671"/>
    <w:rsid w:val="009E3BDE"/>
    <w:rsid w:val="009E5BA1"/>
    <w:rsid w:val="009F056E"/>
    <w:rsid w:val="00A03E5A"/>
    <w:rsid w:val="00A21F85"/>
    <w:rsid w:val="00A24F3D"/>
    <w:rsid w:val="00A26DCD"/>
    <w:rsid w:val="00A314BB"/>
    <w:rsid w:val="00A32B7D"/>
    <w:rsid w:val="00A5596B"/>
    <w:rsid w:val="00A646B3"/>
    <w:rsid w:val="00A6739B"/>
    <w:rsid w:val="00A90413"/>
    <w:rsid w:val="00AA728C"/>
    <w:rsid w:val="00AB0A9C"/>
    <w:rsid w:val="00AB7119"/>
    <w:rsid w:val="00AD5855"/>
    <w:rsid w:val="00AE7500"/>
    <w:rsid w:val="00AE7F87"/>
    <w:rsid w:val="00AF3542"/>
    <w:rsid w:val="00AF5ABE"/>
    <w:rsid w:val="00B00415"/>
    <w:rsid w:val="00B03C2A"/>
    <w:rsid w:val="00B052DE"/>
    <w:rsid w:val="00B1000D"/>
    <w:rsid w:val="00B10134"/>
    <w:rsid w:val="00B16BFE"/>
    <w:rsid w:val="00B2506E"/>
    <w:rsid w:val="00B500E5"/>
    <w:rsid w:val="00B50CEB"/>
    <w:rsid w:val="00B60240"/>
    <w:rsid w:val="00BA39BB"/>
    <w:rsid w:val="00BA3B3D"/>
    <w:rsid w:val="00BB7EEA"/>
    <w:rsid w:val="00BD1909"/>
    <w:rsid w:val="00BE5E16"/>
    <w:rsid w:val="00BE5FD1"/>
    <w:rsid w:val="00C06E05"/>
    <w:rsid w:val="00C14B14"/>
    <w:rsid w:val="00C17370"/>
    <w:rsid w:val="00C2054D"/>
    <w:rsid w:val="00C252EB"/>
    <w:rsid w:val="00C26EC0"/>
    <w:rsid w:val="00C31437"/>
    <w:rsid w:val="00C43484"/>
    <w:rsid w:val="00C56C77"/>
    <w:rsid w:val="00C84923"/>
    <w:rsid w:val="00CB7B3E"/>
    <w:rsid w:val="00CC739D"/>
    <w:rsid w:val="00CC7721"/>
    <w:rsid w:val="00CD2291"/>
    <w:rsid w:val="00CE314A"/>
    <w:rsid w:val="00D04468"/>
    <w:rsid w:val="00D30640"/>
    <w:rsid w:val="00D36257"/>
    <w:rsid w:val="00D408B8"/>
    <w:rsid w:val="00D4687E"/>
    <w:rsid w:val="00D53A12"/>
    <w:rsid w:val="00D87E2A"/>
    <w:rsid w:val="00DB0C43"/>
    <w:rsid w:val="00DC0043"/>
    <w:rsid w:val="00DE3354"/>
    <w:rsid w:val="00DF7DCD"/>
    <w:rsid w:val="00E20FE6"/>
    <w:rsid w:val="00E34135"/>
    <w:rsid w:val="00E35FE1"/>
    <w:rsid w:val="00E374E9"/>
    <w:rsid w:val="00E50B7D"/>
    <w:rsid w:val="00E904A1"/>
    <w:rsid w:val="00EB7D28"/>
    <w:rsid w:val="00EC0D0C"/>
    <w:rsid w:val="00ED4A2C"/>
    <w:rsid w:val="00EE2095"/>
    <w:rsid w:val="00EE7019"/>
    <w:rsid w:val="00EF6940"/>
    <w:rsid w:val="00F2044A"/>
    <w:rsid w:val="00F20BFC"/>
    <w:rsid w:val="00F24D5F"/>
    <w:rsid w:val="00F64975"/>
    <w:rsid w:val="00F726C3"/>
    <w:rsid w:val="00F820CA"/>
    <w:rsid w:val="00F8554C"/>
    <w:rsid w:val="00F95F82"/>
    <w:rsid w:val="00F97A90"/>
    <w:rsid w:val="00FC2F35"/>
    <w:rsid w:val="00FC3FD7"/>
    <w:rsid w:val="00FD1FC6"/>
    <w:rsid w:val="00FE34AB"/>
    <w:rsid w:val="00FE5869"/>
    <w:rsid w:val="00FE70BF"/>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31002483">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4322</TotalTime>
  <Pages>7</Pages>
  <Words>8778</Words>
  <Characters>50038</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58699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10</cp:revision>
  <cp:lastPrinted>2011-03-03T08:29:00Z</cp:lastPrinted>
  <dcterms:created xsi:type="dcterms:W3CDTF">2025-08-08T06:32:00Z</dcterms:created>
  <dcterms:modified xsi:type="dcterms:W3CDTF">2025-12-15T05:02:00Z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cae71f0b-d03f-3aaa-a331-3ca772fdb414</vt:lpwstr>
  </property>
  <property fmtid="{D5CDD505-2E9C-101B-9397-08002B2CF9AE}" pid="25" name="Mendeley Citation Style_1">
    <vt:lpwstr>http://www.zotero.org/styles/ieee</vt:lpwstr>
  </property>
</Properties>
</file>