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FD909" w14:textId="77777777" w:rsidR="009B6EDF" w:rsidRDefault="009B6EDF" w:rsidP="009B6EDF">
      <w:pPr>
        <w:pStyle w:val="PaperTitle"/>
        <w:spacing w:before="0"/>
        <w:jc w:val="left"/>
      </w:pPr>
    </w:p>
    <w:p w14:paraId="2F4722FB" w14:textId="77777777" w:rsidR="009B6EDF" w:rsidRDefault="009B6EDF" w:rsidP="009B6EDF">
      <w:pPr>
        <w:pStyle w:val="PaperTitle"/>
        <w:spacing w:before="0"/>
        <w:jc w:val="left"/>
      </w:pPr>
    </w:p>
    <w:p w14:paraId="789C6065" w14:textId="77777777" w:rsidR="009B6EDF" w:rsidRDefault="009B6EDF" w:rsidP="009B6EDF">
      <w:pPr>
        <w:pStyle w:val="PaperTitle"/>
        <w:spacing w:before="0"/>
        <w:jc w:val="left"/>
      </w:pPr>
    </w:p>
    <w:p w14:paraId="3B9815EA" w14:textId="5715C110" w:rsidR="0016385D" w:rsidRPr="00B5360C" w:rsidRDefault="008E1BBE" w:rsidP="009B6EDF">
      <w:pPr>
        <w:pStyle w:val="PaperTitle"/>
        <w:spacing w:before="0"/>
        <w:rPr>
          <w:b w:val="0"/>
          <w:bCs/>
          <w:sz w:val="24"/>
          <w:szCs w:val="24"/>
        </w:rPr>
      </w:pPr>
      <w:r w:rsidRPr="00B5360C">
        <w:t>Analysis of the Effect of Coolant Type Variations and Feed Rate on Surface Roughness in the Turning Process of AISI 4140 Steel</w:t>
      </w:r>
      <w:r w:rsidR="002E3390" w:rsidRPr="00B5360C">
        <w:t xml:space="preserve"> </w:t>
      </w:r>
      <w:r w:rsidR="00A90413" w:rsidRPr="00B5360C">
        <w:br/>
      </w:r>
    </w:p>
    <w:p w14:paraId="548D96A3" w14:textId="57921A41" w:rsidR="00C14B14" w:rsidRPr="00B5360C" w:rsidRDefault="008E1BBE" w:rsidP="2F830975">
      <w:pPr>
        <w:pStyle w:val="AuthorName"/>
        <w:rPr>
          <w:sz w:val="20"/>
          <w:lang w:val="en-GB" w:eastAsia="en-GB"/>
        </w:rPr>
      </w:pPr>
      <w:proofErr w:type="spellStart"/>
      <w:r w:rsidRPr="00B5360C">
        <w:t>Andinusa</w:t>
      </w:r>
      <w:proofErr w:type="spellEnd"/>
      <w:r w:rsidRPr="00B5360C">
        <w:t xml:space="preserve"> </w:t>
      </w:r>
      <w:proofErr w:type="spellStart"/>
      <w:r w:rsidRPr="00B5360C">
        <w:t>Rahmandhika</w:t>
      </w:r>
      <w:proofErr w:type="spellEnd"/>
      <w:r w:rsidR="003A5C85" w:rsidRPr="00B5360C">
        <w:rPr>
          <w:vertAlign w:val="superscript"/>
        </w:rPr>
        <w:t xml:space="preserve"> </w:t>
      </w:r>
      <w:r w:rsidR="00EF6940" w:rsidRPr="00B5360C">
        <w:rPr>
          <w:vertAlign w:val="superscript"/>
        </w:rPr>
        <w:t>a)</w:t>
      </w:r>
      <w:r w:rsidR="00EF3DF6" w:rsidRPr="00B5360C">
        <w:t xml:space="preserve">, </w:t>
      </w:r>
      <w:proofErr w:type="spellStart"/>
      <w:r w:rsidRPr="00B5360C">
        <w:t>Hendri</w:t>
      </w:r>
      <w:proofErr w:type="spellEnd"/>
      <w:r w:rsidRPr="00B5360C">
        <w:t xml:space="preserve"> Nur </w:t>
      </w:r>
      <w:proofErr w:type="spellStart"/>
      <w:r w:rsidRPr="00B5360C">
        <w:t>Wicaksono</w:t>
      </w:r>
      <w:proofErr w:type="spellEnd"/>
      <w:r w:rsidR="00EF3DF6" w:rsidRPr="00B5360C">
        <w:rPr>
          <w:vertAlign w:val="superscript"/>
        </w:rPr>
        <w:t xml:space="preserve"> b)</w:t>
      </w:r>
      <w:r w:rsidRPr="00B5360C">
        <w:t xml:space="preserve">, </w:t>
      </w:r>
      <w:proofErr w:type="spellStart"/>
      <w:r w:rsidRPr="00B5360C">
        <w:t>Herry</w:t>
      </w:r>
      <w:proofErr w:type="spellEnd"/>
      <w:r w:rsidRPr="00B5360C">
        <w:t xml:space="preserve"> </w:t>
      </w:r>
      <w:proofErr w:type="spellStart"/>
      <w:r w:rsidRPr="00B5360C">
        <w:t>Suprianto</w:t>
      </w:r>
      <w:proofErr w:type="spellEnd"/>
      <w:r w:rsidRPr="00B5360C">
        <w:rPr>
          <w:vertAlign w:val="superscript"/>
        </w:rPr>
        <w:t xml:space="preserve"> c)</w:t>
      </w:r>
      <w:r w:rsidRPr="00B5360C">
        <w:t xml:space="preserve">, </w:t>
      </w:r>
      <w:proofErr w:type="spellStart"/>
      <w:r w:rsidRPr="00B5360C">
        <w:t>Alifathur</w:t>
      </w:r>
      <w:proofErr w:type="spellEnd"/>
      <w:r w:rsidRPr="00B5360C">
        <w:t xml:space="preserve"> </w:t>
      </w:r>
      <w:proofErr w:type="spellStart"/>
      <w:r w:rsidRPr="00B5360C">
        <w:t>Ramdani</w:t>
      </w:r>
      <w:proofErr w:type="spellEnd"/>
      <w:r w:rsidR="003A5C85" w:rsidRPr="00B5360C">
        <w:rPr>
          <w:vertAlign w:val="superscript"/>
        </w:rPr>
        <w:t xml:space="preserve"> </w:t>
      </w:r>
      <w:r w:rsidRPr="00B5360C">
        <w:rPr>
          <w:vertAlign w:val="superscript"/>
        </w:rPr>
        <w:t>d</w:t>
      </w:r>
      <w:r w:rsidR="003A5C85" w:rsidRPr="00B5360C">
        <w:rPr>
          <w:vertAlign w:val="superscript"/>
        </w:rPr>
        <w:t>)</w:t>
      </w:r>
      <w:r w:rsidR="002B03DE" w:rsidRPr="00B5360C">
        <w:t xml:space="preserve">, and </w:t>
      </w:r>
      <w:proofErr w:type="spellStart"/>
      <w:r w:rsidR="002B03DE" w:rsidRPr="00B5360C">
        <w:t>Mulyono</w:t>
      </w:r>
      <w:proofErr w:type="spellEnd"/>
      <w:r w:rsidR="002B03DE" w:rsidRPr="00B5360C">
        <w:t xml:space="preserve"> </w:t>
      </w:r>
      <w:proofErr w:type="spellStart"/>
      <w:r w:rsidR="002B03DE" w:rsidRPr="00B5360C">
        <w:t>Mulyono</w:t>
      </w:r>
      <w:proofErr w:type="spellEnd"/>
      <w:r w:rsidR="0016385D" w:rsidRPr="00B5360C">
        <w:br/>
      </w:r>
    </w:p>
    <w:p w14:paraId="771D6B6C" w14:textId="4F357427" w:rsidR="00C14B14" w:rsidRPr="00B5360C" w:rsidRDefault="00027428" w:rsidP="00C14B14">
      <w:pPr>
        <w:pStyle w:val="AuthorAffiliation"/>
      </w:pPr>
      <w:r w:rsidRPr="00B5360C">
        <w:rPr>
          <w:i w:val="0"/>
          <w:vertAlign w:val="superscript"/>
        </w:rPr>
        <w:t xml:space="preserve"> </w:t>
      </w:r>
      <w:r w:rsidR="00EF3DF6" w:rsidRPr="00B5360C">
        <w:t>Department of Mechanical Engineering, University of Muhammadiyah Malang</w:t>
      </w:r>
      <w:r w:rsidR="008E1BBE" w:rsidRPr="00B5360C">
        <w:t>, Malang, Indonesia</w:t>
      </w:r>
      <w:r w:rsidR="0016385D" w:rsidRPr="00B5360C">
        <w:t xml:space="preserve"> </w:t>
      </w:r>
      <w:r w:rsidR="0016782F" w:rsidRPr="00B5360C">
        <w:br/>
      </w:r>
    </w:p>
    <w:p w14:paraId="02B5F029" w14:textId="5AA12242" w:rsidR="00EF3DF6" w:rsidRPr="00B5360C" w:rsidRDefault="00C14B14" w:rsidP="00760B6B">
      <w:pPr>
        <w:pStyle w:val="AuthorEmail"/>
      </w:pPr>
      <w:r w:rsidRPr="00B5360C">
        <w:br/>
      </w:r>
      <w:r w:rsidR="00003D7C" w:rsidRPr="00B5360C">
        <w:rPr>
          <w:szCs w:val="28"/>
          <w:vertAlign w:val="superscript"/>
        </w:rPr>
        <w:t>a)</w:t>
      </w:r>
      <w:r w:rsidR="000151DD" w:rsidRPr="00B5360C">
        <w:t xml:space="preserve"> Corresponding author: andinusa@umm.ac.id</w:t>
      </w:r>
      <w:r w:rsidR="00EF3DF6" w:rsidRPr="00B5360C">
        <w:t xml:space="preserve"> </w:t>
      </w:r>
      <w:r w:rsidR="001D469C" w:rsidRPr="00B5360C">
        <w:br/>
      </w:r>
      <w:r w:rsidR="003A5C85" w:rsidRPr="00B5360C">
        <w:rPr>
          <w:szCs w:val="28"/>
          <w:vertAlign w:val="superscript"/>
        </w:rPr>
        <w:t>b)</w:t>
      </w:r>
      <w:r w:rsidR="000151DD" w:rsidRPr="00B5360C">
        <w:rPr>
          <w:szCs w:val="28"/>
          <w:vertAlign w:val="superscript"/>
        </w:rPr>
        <w:t xml:space="preserve"> </w:t>
      </w:r>
      <w:r w:rsidR="000151DD" w:rsidRPr="00B5360C">
        <w:t>hendri05082001@gmail.com</w:t>
      </w:r>
    </w:p>
    <w:p w14:paraId="5E05E235" w14:textId="2DE0C064" w:rsidR="003A5C85" w:rsidRPr="00B5360C" w:rsidRDefault="00EF3DF6" w:rsidP="00760B6B">
      <w:pPr>
        <w:pStyle w:val="AuthorEmail"/>
      </w:pPr>
      <w:r w:rsidRPr="00B5360C">
        <w:rPr>
          <w:szCs w:val="28"/>
          <w:vertAlign w:val="superscript"/>
        </w:rPr>
        <w:t>c)</w:t>
      </w:r>
      <w:r w:rsidR="000151DD" w:rsidRPr="00B5360C">
        <w:rPr>
          <w:szCs w:val="28"/>
          <w:vertAlign w:val="superscript"/>
        </w:rPr>
        <w:t xml:space="preserve"> </w:t>
      </w:r>
      <w:r w:rsidR="000151DD" w:rsidRPr="00B5360C">
        <w:t>hery</w:t>
      </w:r>
      <w:r w:rsidR="008853A6" w:rsidRPr="00B5360C">
        <w:t>@umm.ac.id</w:t>
      </w:r>
    </w:p>
    <w:p w14:paraId="2C356E17" w14:textId="17D5CEAC" w:rsidR="000151DD" w:rsidRPr="00B5360C" w:rsidRDefault="000151DD" w:rsidP="000151DD">
      <w:pPr>
        <w:pStyle w:val="AuthorEmail"/>
      </w:pPr>
      <w:r w:rsidRPr="00B5360C">
        <w:rPr>
          <w:szCs w:val="28"/>
          <w:vertAlign w:val="superscript"/>
        </w:rPr>
        <w:t xml:space="preserve">d) </w:t>
      </w:r>
      <w:r w:rsidRPr="00B5360C">
        <w:t>alif15102005@gmail.com</w:t>
      </w:r>
    </w:p>
    <w:p w14:paraId="744691CC" w14:textId="0DFB7B4F" w:rsidR="002B03DE" w:rsidRPr="00B5360C" w:rsidRDefault="002B03DE" w:rsidP="002B03DE">
      <w:pPr>
        <w:pStyle w:val="AuthorEmail"/>
      </w:pPr>
      <w:r w:rsidRPr="00B5360C">
        <w:rPr>
          <w:szCs w:val="28"/>
          <w:vertAlign w:val="superscript"/>
        </w:rPr>
        <w:t xml:space="preserve">e) </w:t>
      </w:r>
      <w:r w:rsidRPr="00B5360C">
        <w:t>mulyono@umm.ac.id</w:t>
      </w:r>
    </w:p>
    <w:p w14:paraId="22C3F2A8" w14:textId="6EBD3B36" w:rsidR="0016385D" w:rsidRPr="00B5360C" w:rsidRDefault="0016385D" w:rsidP="00C14B14">
      <w:pPr>
        <w:pStyle w:val="Abstract"/>
      </w:pPr>
      <w:r w:rsidRPr="00B5360C">
        <w:rPr>
          <w:b/>
          <w:bCs/>
        </w:rPr>
        <w:t>Abstract.</w:t>
      </w:r>
      <w:r w:rsidRPr="00B5360C">
        <w:t xml:space="preserve"> </w:t>
      </w:r>
      <w:r w:rsidR="008E1BBE" w:rsidRPr="00B5360C">
        <w:t>The manufacturing industry in Indonesia has grown rapidly, transforming raw materials into high-quality products for various sectors such as design and industrial engineering, while also creating employment opportunities. One of the key processes in manufacturing is metal cutting, including turning operations, which play an important role in achieving the desired dimensional accuracy and surface quality. Several machining parameters, such as cutting speed, feed rate, and depth of cut, significantly influence the final surface finish of the workpiece. This study investigates the effect of coolant type variation and feed rate on the surface roughness of AISI 4140 steel during turning operations. The results indicate that spindle speed, feed rate, and coolant type substantially affect surface roughness values. The lowest roughness was observed at a feed rate of 0.75 mm/rev using a vegetable-based cutting fluid (0.665 µm), whereas a conventional mineral-based coolant produced relatively higher roughness (1.47 µm). Overall, increasing the feed rate tends to reduce surface roughness, provided that the turning process is conducted within acceptable operational limits.</w:t>
      </w:r>
    </w:p>
    <w:p w14:paraId="5240E3FB" w14:textId="7F451606" w:rsidR="003A287B" w:rsidRPr="00B5360C" w:rsidRDefault="00EF3DF6" w:rsidP="00003D7C">
      <w:pPr>
        <w:pStyle w:val="Heading1"/>
        <w:rPr>
          <w:b w:val="0"/>
          <w:caps w:val="0"/>
          <w:sz w:val="20"/>
        </w:rPr>
      </w:pPr>
      <w:r w:rsidRPr="00B5360C">
        <w:t>INTRODUCTION</w:t>
      </w:r>
    </w:p>
    <w:p w14:paraId="1630BF7F" w14:textId="3E952FEF" w:rsidR="00BA3EF2" w:rsidRPr="00B5360C" w:rsidRDefault="00BA3EF2" w:rsidP="00BA3EF2">
      <w:pPr>
        <w:pStyle w:val="Paragraph"/>
      </w:pPr>
      <w:r w:rsidRPr="00B5360C">
        <w:t>This study analyzes the effect of coolant type variation and feed rate on surface roughness of AISI 4140 steel under mist cooling turning operations. Several studies have reported that vegetable-based lubricants face oxidation and thermal stability challenges, while gas-based lubricants provide a cleaner working environment [</w:t>
      </w:r>
      <w:r w:rsidR="008F57EA" w:rsidRPr="00B5360C">
        <w:t>1</w:t>
      </w:r>
      <w:r w:rsidRPr="00B5360C">
        <w:t>]. The Minimum Quantity Lubrication (MQL) method is considered more sustainable, although its efficiency still requires improvement. Nanofluids enhance lubrication and heat transfer performance, although they are costly and pose toxicity risks, while cryogenic cooling, despite being environmentally friendly, is difficult to implement [</w:t>
      </w:r>
      <w:r w:rsidR="008F57EA" w:rsidRPr="00B5360C">
        <w:t>2</w:t>
      </w:r>
      <w:r w:rsidRPr="00B5360C">
        <w:t>]. Furthermore, research indicates that cutting parameters such as feed rate, depth of cut, and cutting speed interact with cutting forces, with feed rate being the most significant factor. The use of CBN tools on AISI 4140 steel can produce high-quality surfaces without cutting fluid, achieving roughness values (Ra) between 0.16 and 0.41 µm. Artificial Neural Network (ANN)-based optimization models offer more accurate predictions of surface roughness, improving the machining quality of AISI 4140 steel [</w:t>
      </w:r>
      <w:r w:rsidR="008F57EA" w:rsidRPr="00B5360C">
        <w:t>3</w:t>
      </w:r>
      <w:r w:rsidRPr="00B5360C">
        <w:t>].</w:t>
      </w:r>
    </w:p>
    <w:p w14:paraId="16BBD2F1" w14:textId="5F2A0367" w:rsidR="00BA3EF2" w:rsidRPr="00B5360C" w:rsidRDefault="00BA3EF2" w:rsidP="00BA3EF2">
      <w:pPr>
        <w:pStyle w:val="Paragraph"/>
      </w:pPr>
      <w:r w:rsidRPr="00B5360C">
        <w:t>Turning is a machining process in which the workpiece rotates while the cutting tool removes material from its surface to form various profiles, such as cylinders or grooves [</w:t>
      </w:r>
      <w:r w:rsidR="008F57EA" w:rsidRPr="00B5360C">
        <w:t>4</w:t>
      </w:r>
      <w:r w:rsidRPr="00B5360C">
        <w:t>]. A lathe machine operates by moving the workpiece and cutting tool with high precision, supported by components such as the apron, carriage, and gears [</w:t>
      </w:r>
      <w:r w:rsidR="008F57EA" w:rsidRPr="00B5360C">
        <w:t>5</w:t>
      </w:r>
      <w:r w:rsidRPr="00B5360C">
        <w:t xml:space="preserve">]. A </w:t>
      </w:r>
      <w:r w:rsidRPr="00B5360C">
        <w:lastRenderedPageBreak/>
        <w:t>conventional lathe consists of several major parts, including the headstock, tailstock [</w:t>
      </w:r>
      <w:r w:rsidR="008F57EA" w:rsidRPr="00B5360C">
        <w:t>6</w:t>
      </w:r>
      <w:r w:rsidRPr="00B5360C">
        <w:t>], bed plate [</w:t>
      </w:r>
      <w:r w:rsidR="008F57EA" w:rsidRPr="00B5360C">
        <w:t>7</w:t>
      </w:r>
      <w:r w:rsidRPr="00B5360C">
        <w:t>], spindle, carriage, and tool post, which ensures that the cutting tool remains rigid and aligned with the workpiece [</w:t>
      </w:r>
      <w:r w:rsidR="008F57EA" w:rsidRPr="00B5360C">
        <w:t>8</w:t>
      </w:r>
      <w:r w:rsidRPr="00B5360C">
        <w:t>].</w:t>
      </w:r>
    </w:p>
    <w:p w14:paraId="6D8AFF1E" w14:textId="202478A0" w:rsidR="00BA3EF2" w:rsidRPr="00B5360C" w:rsidRDefault="00BA3EF2" w:rsidP="00BA3EF2">
      <w:pPr>
        <w:pStyle w:val="Paragraph"/>
      </w:pPr>
      <w:r w:rsidRPr="00B5360C">
        <w:t>In this study, several important parameters in the turning process were calculated using the following formulas: cutting speed (Cs), feed rate (f), and feed motion speed (</w:t>
      </w:r>
      <w:proofErr w:type="spellStart"/>
      <w:r w:rsidRPr="00B5360C">
        <w:t>Vf</w:t>
      </w:r>
      <w:proofErr w:type="spellEnd"/>
      <w:r w:rsidRPr="00B5360C">
        <w:t>). Cutting speed (</w:t>
      </w:r>
      <w:proofErr w:type="spellStart"/>
      <w:r w:rsidRPr="00B5360C">
        <w:t>Vc</w:t>
      </w:r>
      <w:proofErr w:type="spellEnd"/>
      <w:r w:rsidRPr="00B5360C">
        <w:t>) is a crucial parameter that determines the cutting velocity of the workpiece and depends on the tool type and size, calculated by: [</w:t>
      </w:r>
      <w:r w:rsidR="008F57EA" w:rsidRPr="00B5360C">
        <w:t>9</w:t>
      </w:r>
      <w:r w:rsidRPr="00B5360C">
        <w:t>]</w:t>
      </w:r>
    </w:p>
    <w:p w14:paraId="678DE77C" w14:textId="6713AF29" w:rsidR="008F57EA" w:rsidRPr="00B5360C" w:rsidRDefault="008F57EA" w:rsidP="008F57EA">
      <w:pPr>
        <w:pStyle w:val="Equation"/>
        <w:ind w:left="2790"/>
      </w:pPr>
      <w:r w:rsidRPr="00B5360C">
        <w:tab/>
      </w:r>
      <w:r w:rsidRPr="00B5360C">
        <w:rPr>
          <w:rFonts w:ascii="Cambria Math" w:hAnsi="Cambria Math"/>
          <w:i/>
        </w:rPr>
        <w:br/>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c</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π×d×n</m:t>
            </m:r>
          </m:num>
          <m:den>
            <m:r>
              <w:rPr>
                <w:rFonts w:ascii="Cambria Math" w:hAnsi="Cambria Math"/>
                <w:sz w:val="24"/>
                <w:szCs w:val="24"/>
              </w:rPr>
              <m:t>1000</m:t>
            </m:r>
          </m:den>
        </m:f>
        <m:r>
          <w:rPr>
            <w:rFonts w:ascii="Cambria Math" w:hAnsi="Cambria Math"/>
            <w:sz w:val="24"/>
            <w:szCs w:val="24"/>
          </w:rPr>
          <m:t xml:space="preserve"> </m:t>
        </m:r>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minutes</m:t>
                </m:r>
              </m:den>
            </m:f>
          </m:e>
        </m:d>
      </m:oMath>
      <w:r w:rsidRPr="00B5360C">
        <w:tab/>
        <w:t>(1)</w:t>
      </w:r>
    </w:p>
    <w:p w14:paraId="0225EC51" w14:textId="77777777" w:rsidR="008F57EA" w:rsidRPr="00B5360C" w:rsidRDefault="008F57EA" w:rsidP="00BA3EF2">
      <w:pPr>
        <w:pStyle w:val="Paragraph"/>
      </w:pPr>
    </w:p>
    <w:p w14:paraId="1B2DD819" w14:textId="1D02783A" w:rsidR="00BA3EF2" w:rsidRPr="00B5360C" w:rsidRDefault="00BA3EF2" w:rsidP="00BA3EF2">
      <w:pPr>
        <w:pStyle w:val="Paragraph"/>
      </w:pPr>
      <w:r w:rsidRPr="00B5360C">
        <w:t>where d is the workpiece diameter (mm) and n is the spindle speed (rpm). Feed rate (f) measures the linear distance traveled by the cutting tool per revolution of the workpiece in mm/rev or in/rev and is calculated by: [1</w:t>
      </w:r>
      <w:r w:rsidR="008F57EA" w:rsidRPr="00B5360C">
        <w:t>0</w:t>
      </w:r>
      <w:r w:rsidRPr="00B5360C">
        <w:t>]</w:t>
      </w:r>
    </w:p>
    <w:p w14:paraId="7E2C49CB" w14:textId="77777777" w:rsidR="008F57EA" w:rsidRPr="00B5360C" w:rsidRDefault="008F57EA" w:rsidP="00BA3EF2">
      <w:pPr>
        <w:pStyle w:val="Paragraph"/>
      </w:pPr>
    </w:p>
    <w:p w14:paraId="36364066" w14:textId="5E620B3A" w:rsidR="008F57EA" w:rsidRPr="00B5360C" w:rsidRDefault="008F57EA" w:rsidP="008F57EA">
      <w:pPr>
        <w:pStyle w:val="Equation"/>
        <w:ind w:left="2790"/>
      </w:pPr>
      <m:oMath>
        <m:r>
          <w:rPr>
            <w:rFonts w:ascii="Cambria Math" w:hAnsi="Cambria Math"/>
            <w:sz w:val="24"/>
            <w:szCs w:val="24"/>
          </w:rPr>
          <m:t>f=</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c</m:t>
                </m:r>
              </m:sub>
            </m:sSub>
          </m:num>
          <m:den>
            <m:r>
              <w:rPr>
                <w:rFonts w:ascii="Cambria Math" w:hAnsi="Cambria Math"/>
                <w:sz w:val="24"/>
                <w:szCs w:val="24"/>
              </w:rPr>
              <m:t>n</m:t>
            </m:r>
          </m:den>
        </m:f>
        <m:r>
          <w:rPr>
            <w:rFonts w:ascii="Cambria Math" w:hAnsi="Cambria Math"/>
            <w:sz w:val="24"/>
            <w:szCs w:val="24"/>
          </w:rPr>
          <m:t xml:space="preserve"> </m:t>
        </m:r>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mm</m:t>
                </m:r>
              </m:num>
              <m:den>
                <m:r>
                  <w:rPr>
                    <w:rFonts w:ascii="Cambria Math" w:hAnsi="Cambria Math"/>
                    <w:sz w:val="24"/>
                    <w:szCs w:val="24"/>
                  </w:rPr>
                  <m:t>rev</m:t>
                </m:r>
              </m:den>
            </m:f>
          </m:e>
        </m:d>
      </m:oMath>
      <w:r w:rsidRPr="00B5360C">
        <w:tab/>
        <w:t>(2)</w:t>
      </w:r>
    </w:p>
    <w:p w14:paraId="566F4DEC" w14:textId="77777777" w:rsidR="00BA3EF2" w:rsidRPr="00B5360C" w:rsidRDefault="00BA3EF2" w:rsidP="00BA3EF2">
      <w:pPr>
        <w:pStyle w:val="Paragraph"/>
        <w:rPr>
          <w:rFonts w:ascii="Cambria Math" w:hAnsi="Cambria Math" w:cs="Cambria Math"/>
        </w:rPr>
      </w:pPr>
    </w:p>
    <w:p w14:paraId="1BA45136" w14:textId="11ED44A6" w:rsidR="00BA3EF2" w:rsidRPr="00B5360C" w:rsidRDefault="00BA3EF2" w:rsidP="00BA3EF2">
      <w:pPr>
        <w:pStyle w:val="Paragraph"/>
      </w:pPr>
      <w:r w:rsidRPr="00B5360C">
        <w:t>The feed motion speed (</w:t>
      </w:r>
      <w:proofErr w:type="spellStart"/>
      <w:r w:rsidRPr="00B5360C">
        <w:t>Vf</w:t>
      </w:r>
      <w:proofErr w:type="spellEnd"/>
      <w:r w:rsidRPr="00B5360C">
        <w:t>) indicates the distance traveled by the cutting tool or workpiece, calculated by multiplying spindle speed (n) by feed rate (f): [14]</w:t>
      </w:r>
    </w:p>
    <w:p w14:paraId="09CC3FBD" w14:textId="5B66C9F7" w:rsidR="00BA3EF2" w:rsidRPr="00B5360C" w:rsidRDefault="00BA3EF2" w:rsidP="00BA3EF2">
      <w:pPr>
        <w:pStyle w:val="Paragraph"/>
      </w:pPr>
    </w:p>
    <w:p w14:paraId="003DCBAE" w14:textId="472760B0" w:rsidR="008F57EA" w:rsidRPr="00B5360C" w:rsidRDefault="00641C13" w:rsidP="008F57EA">
      <w:pPr>
        <w:pStyle w:val="Equation"/>
        <w:ind w:left="2790"/>
      </w:p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f</m:t>
            </m:r>
          </m:sub>
        </m:sSub>
        <m:r>
          <w:rPr>
            <w:rFonts w:ascii="Cambria Math" w:hAnsi="Cambria Math"/>
            <w:sz w:val="24"/>
            <w:szCs w:val="24"/>
          </w:rPr>
          <m:t xml:space="preserve">=f×n </m:t>
        </m:r>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mm</m:t>
                </m:r>
              </m:num>
              <m:den>
                <m:r>
                  <w:rPr>
                    <w:rFonts w:ascii="Cambria Math" w:hAnsi="Cambria Math"/>
                    <w:sz w:val="24"/>
                    <w:szCs w:val="24"/>
                  </w:rPr>
                  <m:t>minutes</m:t>
                </m:r>
              </m:den>
            </m:f>
          </m:e>
        </m:d>
      </m:oMath>
      <w:r w:rsidR="008F57EA" w:rsidRPr="00B5360C">
        <w:tab/>
        <w:t>(3)</w:t>
      </w:r>
    </w:p>
    <w:p w14:paraId="23F87BF1" w14:textId="77777777" w:rsidR="00BA3EF2" w:rsidRPr="00B5360C" w:rsidRDefault="00BA3EF2" w:rsidP="00BA3EF2">
      <w:pPr>
        <w:pStyle w:val="Paragraph"/>
        <w:rPr>
          <w:rFonts w:ascii="Cambria Math" w:hAnsi="Cambria Math" w:cs="Cambria Math"/>
        </w:rPr>
      </w:pPr>
    </w:p>
    <w:p w14:paraId="7DCC4EBF" w14:textId="1869A157" w:rsidR="00BA3EF2" w:rsidRPr="00B5360C" w:rsidRDefault="00BA3EF2" w:rsidP="00BA3EF2">
      <w:pPr>
        <w:pStyle w:val="Paragraph"/>
      </w:pPr>
      <w:r w:rsidRPr="00B5360C">
        <w:t>Mist cooling, or Minimum Quantity Lubrication (MQL), is a cooling method in machining that uses a small amount of cutting fluid converted into fine mist combined with high-pressure air to reduce temperature and friction in the cutting zone [1</w:t>
      </w:r>
      <w:r w:rsidR="008F57EA" w:rsidRPr="00B5360C">
        <w:t>1</w:t>
      </w:r>
      <w:r w:rsidRPr="00B5360C">
        <w:t>]. This technique is more efficient and environmentally friendly than conventional wet cooling because it produces minimal liquid waste [1</w:t>
      </w:r>
      <w:r w:rsidR="008F57EA" w:rsidRPr="00B5360C">
        <w:t>2</w:t>
      </w:r>
      <w:r w:rsidRPr="00B5360C">
        <w:t>]. Mist cooling is widely applied in turning and milling of difficult-to-machine materials such as stainless steel to obtain smooth surfaces, extend tool life, and prevent thermal deformation [1</w:t>
      </w:r>
      <w:r w:rsidR="008F57EA" w:rsidRPr="00B5360C">
        <w:t>3</w:t>
      </w:r>
      <w:r w:rsidRPr="00B5360C">
        <w:t>]. In this process, cutting fluids function as both lubricant and coolant [1</w:t>
      </w:r>
      <w:r w:rsidR="008F57EA" w:rsidRPr="00B5360C">
        <w:t>4</w:t>
      </w:r>
      <w:r w:rsidRPr="00B5360C">
        <w:t>], reducing cutting forces, improving surface finish, and protecting the machine from corrosion [</w:t>
      </w:r>
      <w:r w:rsidR="00641775" w:rsidRPr="00B5360C">
        <w:t>15</w:t>
      </w:r>
      <w:r w:rsidRPr="00B5360C">
        <w:t>]. Types of cutting fluids used include synthetic fluids, emulsions, semi-synthetic fluids, and oils, each with advantages and disadvantages in lubrication and heat control [</w:t>
      </w:r>
      <w:r w:rsidR="00641775" w:rsidRPr="00B5360C">
        <w:t>16</w:t>
      </w:r>
      <w:r w:rsidRPr="00B5360C">
        <w:t>].</w:t>
      </w:r>
    </w:p>
    <w:p w14:paraId="6A992C0A" w14:textId="4C6F2012" w:rsidR="00EF3DF6" w:rsidRPr="00B5360C" w:rsidRDefault="00BA3EF2" w:rsidP="00BA3EF2">
      <w:pPr>
        <w:pStyle w:val="Paragraph"/>
      </w:pPr>
      <w:r w:rsidRPr="00B5360C">
        <w:t>Surface roughness refers to deviations from the mean line of the profile, indicating the quality and dimensional accuracy of the workpiece. It is influenced by tool dimensions [</w:t>
      </w:r>
      <w:r w:rsidR="00641775" w:rsidRPr="00B5360C">
        <w:t>17</w:t>
      </w:r>
      <w:r w:rsidRPr="00B5360C">
        <w:t>], cutting parameters [</w:t>
      </w:r>
      <w:r w:rsidR="00641775" w:rsidRPr="00B5360C">
        <w:t>18</w:t>
      </w:r>
      <w:r w:rsidRPr="00B5360C">
        <w:t>], workpiece geometry [</w:t>
      </w:r>
      <w:r w:rsidR="00641775" w:rsidRPr="00B5360C">
        <w:t>19</w:t>
      </w:r>
      <w:r w:rsidRPr="00B5360C">
        <w:t>], and material defects [2</w:t>
      </w:r>
      <w:r w:rsidR="00641775" w:rsidRPr="00B5360C">
        <w:t>0</w:t>
      </w:r>
      <w:r w:rsidRPr="00B5360C">
        <w:t>]. Surface roughness is measured using arithmetic deviation [2</w:t>
      </w:r>
      <w:r w:rsidR="00641775" w:rsidRPr="00B5360C">
        <w:t>1</w:t>
      </w:r>
      <w:r w:rsidRPr="00B5360C">
        <w:t>] and significantly affects machining precision and quality [2</w:t>
      </w:r>
      <w:r w:rsidR="00641775" w:rsidRPr="00B5360C">
        <w:t>2</w:t>
      </w:r>
      <w:r w:rsidRPr="00B5360C">
        <w:t>][2</w:t>
      </w:r>
      <w:r w:rsidR="00641775" w:rsidRPr="00B5360C">
        <w:t>3</w:t>
      </w:r>
      <w:r w:rsidRPr="00B5360C">
        <w:t>]. Iron and steel, which account for 95% of global metal production [2</w:t>
      </w:r>
      <w:r w:rsidR="00641775" w:rsidRPr="00B5360C">
        <w:t>4</w:t>
      </w:r>
      <w:r w:rsidRPr="00B5360C">
        <w:t>], are the most widely used metals in industry due to their excellent mechanical [</w:t>
      </w:r>
      <w:r w:rsidR="00641775" w:rsidRPr="00B5360C">
        <w:t>25</w:t>
      </w:r>
      <w:r w:rsidRPr="00B5360C">
        <w:t>], thermal [</w:t>
      </w:r>
      <w:r w:rsidR="00641775" w:rsidRPr="00B5360C">
        <w:t>26</w:t>
      </w:r>
      <w:r w:rsidRPr="00B5360C">
        <w:t>], and physical properties [</w:t>
      </w:r>
      <w:r w:rsidR="00641775" w:rsidRPr="00B5360C">
        <w:t>27</w:t>
      </w:r>
      <w:r w:rsidRPr="00B5360C">
        <w:t>]. AISI 4140 steel, widely used in the automotive industry, offers high wear and corrosion resistance due to its chromium and molybdenum content [</w:t>
      </w:r>
      <w:r w:rsidR="00641775" w:rsidRPr="00B5360C">
        <w:t>28</w:t>
      </w:r>
      <w:r w:rsidRPr="00B5360C">
        <w:t>]. Carburizing of AISI 4140 steel enhances hardness, ductility, and toughness by heating the material in a carbon-rich environment, followed by quenching in oil or water to produce a martensitic microstructure that improves Vickers hardness [</w:t>
      </w:r>
      <w:r w:rsidR="00641775" w:rsidRPr="00B5360C">
        <w:t>29</w:t>
      </w:r>
      <w:r w:rsidRPr="00B5360C">
        <w:t>].</w:t>
      </w:r>
    </w:p>
    <w:p w14:paraId="5E2E3837" w14:textId="77777777" w:rsidR="00641775" w:rsidRPr="00B5360C" w:rsidRDefault="00641775" w:rsidP="00BA3EF2">
      <w:pPr>
        <w:pStyle w:val="Paragraph"/>
      </w:pPr>
    </w:p>
    <w:p w14:paraId="46FF4BB9" w14:textId="77CCCC96" w:rsidR="00EF3DF6" w:rsidRPr="00B5360C" w:rsidRDefault="00EF3DF6" w:rsidP="00EF3DF6">
      <w:pPr>
        <w:pStyle w:val="Heading1"/>
        <w:rPr>
          <w:b w:val="0"/>
          <w:caps w:val="0"/>
          <w:sz w:val="20"/>
        </w:rPr>
      </w:pPr>
      <w:r w:rsidRPr="00B5360C">
        <w:t>Methodology</w:t>
      </w:r>
    </w:p>
    <w:p w14:paraId="368FC068" w14:textId="77777777" w:rsidR="003061D9" w:rsidRPr="00B5360C" w:rsidRDefault="003061D9" w:rsidP="003061D9">
      <w:pPr>
        <w:pStyle w:val="Paragraph"/>
      </w:pPr>
      <w:r w:rsidRPr="00B5360C">
        <w:t xml:space="preserve">This research was conducted in the Mechanical Engineering Laboratory at </w:t>
      </w:r>
      <w:proofErr w:type="spellStart"/>
      <w:r w:rsidRPr="00B5360C">
        <w:t>Universitas</w:t>
      </w:r>
      <w:proofErr w:type="spellEnd"/>
      <w:r w:rsidRPr="00B5360C">
        <w:t xml:space="preserve"> Muhammadiyah Malang, Campus III, over a period of three days from November 18 to November 20, 2024. The experimental approach was employed to evaluate the effect of feed rate and coolant type on the surface roughness of AISI 4140 steel during turning operations. The experimental design involved preparing specimens, performing turning operations under different conditions, and measuring surface roughness using a digital surface roughness tester. The study followed a true experimental design with controlled variables to ensure the accuracy of the results.</w:t>
      </w:r>
    </w:p>
    <w:p w14:paraId="617D1BDE" w14:textId="77777777" w:rsidR="003061D9" w:rsidRPr="00B5360C" w:rsidRDefault="003061D9" w:rsidP="003061D9">
      <w:pPr>
        <w:pStyle w:val="Paragraph"/>
      </w:pPr>
      <w:r w:rsidRPr="00B5360C">
        <w:t>The turning process required adjustments to machine settings and calibration to ensure precision, particularly to achieve the desired surface roughness. The accuracy of cutting speed, feed rate, and machining time plays an essential role in obtaining a smooth finish. The experimental work was carried out using a lathe machine with variations in feed rate and coolant type, followed by surface roughness measurements to determine the optimum condition.</w:t>
      </w:r>
    </w:p>
    <w:p w14:paraId="62EA8A25" w14:textId="77777777" w:rsidR="003061D9" w:rsidRPr="00B5360C" w:rsidRDefault="003061D9" w:rsidP="00D54B0F">
      <w:pPr>
        <w:pStyle w:val="Heading2"/>
      </w:pPr>
      <w:r w:rsidRPr="00B5360C">
        <w:lastRenderedPageBreak/>
        <w:t>Equipment and Materials</w:t>
      </w:r>
    </w:p>
    <w:p w14:paraId="5AC2A566" w14:textId="77777777" w:rsidR="003061D9" w:rsidRPr="00B5360C" w:rsidRDefault="003061D9" w:rsidP="003061D9">
      <w:pPr>
        <w:pStyle w:val="Paragraph"/>
      </w:pPr>
      <w:r w:rsidRPr="00B5360C">
        <w:t xml:space="preserve">The tools and equipment utilized in this study included a bench grinder, a metal cutting saw, a conventional lathe machine, a digital surface roughness tester, a </w:t>
      </w:r>
      <w:proofErr w:type="spellStart"/>
      <w:r w:rsidRPr="00B5360C">
        <w:t>vernier</w:t>
      </w:r>
      <w:proofErr w:type="spellEnd"/>
      <w:r w:rsidRPr="00B5360C">
        <w:t xml:space="preserve"> caliper, and HSS (High-Speed Steel) cutting tools.</w:t>
      </w:r>
    </w:p>
    <w:p w14:paraId="37BB3474" w14:textId="3058880E" w:rsidR="003061D9" w:rsidRPr="00B5360C" w:rsidRDefault="003061D9" w:rsidP="003061D9">
      <w:pPr>
        <w:pStyle w:val="Paragraph"/>
      </w:pPr>
      <w:r w:rsidRPr="00B5360C">
        <w:t>A handheld grinder was employed to smoothen the ends of AISI 4140 steel specimens before turning to ensure accurate centering during the process (</w:t>
      </w:r>
      <w:r w:rsidR="001C1179" w:rsidRPr="00B5360C">
        <w:rPr>
          <w:b/>
          <w:bCs/>
        </w:rPr>
        <w:t>FIGURE 1(a)</w:t>
      </w:r>
      <w:r w:rsidRPr="00B5360C">
        <w:t>). A metal cutting saw was used to cut the AISI 4140 round bars into six specimens, each measuring 38 mm in length (</w:t>
      </w:r>
      <w:r w:rsidR="001C1179" w:rsidRPr="00B5360C">
        <w:rPr>
          <w:b/>
          <w:bCs/>
        </w:rPr>
        <w:t>FIGURE 1(b)</w:t>
      </w:r>
      <w:r w:rsidRPr="00B5360C">
        <w:t>). The turning operations were performed on a conventional lathe machine (</w:t>
      </w:r>
      <w:r w:rsidR="001C1179" w:rsidRPr="00B5360C">
        <w:rPr>
          <w:b/>
          <w:bCs/>
        </w:rPr>
        <w:t>FIGURE 1(c)</w:t>
      </w:r>
      <w:r w:rsidRPr="00B5360C">
        <w:t>) with a maximum spindle speed of 2500 rpm and a maximum workpiece length of 1000 mm.</w:t>
      </w:r>
    </w:p>
    <w:p w14:paraId="159798D6" w14:textId="77777777" w:rsidR="001C1179" w:rsidRPr="00B5360C" w:rsidRDefault="001C1179" w:rsidP="003061D9">
      <w:pPr>
        <w:pStyle w:val="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3626"/>
        <w:gridCol w:w="3626"/>
      </w:tblGrid>
      <w:tr w:rsidR="00B5360C" w:rsidRPr="00B5360C" w14:paraId="50B3B413" w14:textId="08DC865D" w:rsidTr="001C1179">
        <w:trPr>
          <w:jc w:val="center"/>
        </w:trPr>
        <w:tc>
          <w:tcPr>
            <w:tcW w:w="2346" w:type="dxa"/>
          </w:tcPr>
          <w:p w14:paraId="65BC4E69" w14:textId="59E1ABF8" w:rsidR="001C1179" w:rsidRPr="00B5360C" w:rsidRDefault="001C1179" w:rsidP="00D54B0F">
            <w:pPr>
              <w:pStyle w:val="Paragraph"/>
              <w:ind w:firstLine="0"/>
              <w:jc w:val="center"/>
            </w:pPr>
            <w:r w:rsidRPr="00B5360C">
              <w:rPr>
                <w:noProof/>
                <w:sz w:val="28"/>
              </w:rPr>
              <w:drawing>
                <wp:inline distT="0" distB="0" distL="0" distR="0" wp14:anchorId="418F40FB" wp14:editId="2FBCA8A3">
                  <wp:extent cx="1353147"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22 at 19.27.25.jpeg"/>
                          <pic:cNvPicPr/>
                        </pic:nvPicPr>
                        <pic:blipFill rotWithShape="1">
                          <a:blip r:embed="rId11" cstate="print">
                            <a:extLst>
                              <a:ext uri="{28A0092B-C50C-407E-A947-70E740481C1C}">
                                <a14:useLocalDpi xmlns:a14="http://schemas.microsoft.com/office/drawing/2010/main" val="0"/>
                              </a:ext>
                            </a:extLst>
                          </a:blip>
                          <a:srcRect t="16326" b="7652"/>
                          <a:stretch/>
                        </pic:blipFill>
                        <pic:spPr bwMode="auto">
                          <a:xfrm>
                            <a:off x="0" y="0"/>
                            <a:ext cx="1353147" cy="1371600"/>
                          </a:xfrm>
                          <a:prstGeom prst="rect">
                            <a:avLst/>
                          </a:prstGeom>
                          <a:ln>
                            <a:noFill/>
                          </a:ln>
                          <a:extLst>
                            <a:ext uri="{53640926-AAD7-44D8-BBD7-CCE9431645EC}">
                              <a14:shadowObscured xmlns:a14="http://schemas.microsoft.com/office/drawing/2010/main"/>
                            </a:ext>
                          </a:extLst>
                        </pic:spPr>
                      </pic:pic>
                    </a:graphicData>
                  </a:graphic>
                </wp:inline>
              </w:drawing>
            </w:r>
          </w:p>
        </w:tc>
        <w:tc>
          <w:tcPr>
            <w:tcW w:w="4056" w:type="dxa"/>
          </w:tcPr>
          <w:p w14:paraId="04191127" w14:textId="0345CE6A" w:rsidR="001C1179" w:rsidRPr="00B5360C" w:rsidRDefault="001C1179" w:rsidP="00D54B0F">
            <w:pPr>
              <w:pStyle w:val="Paragraph"/>
              <w:ind w:firstLine="0"/>
              <w:jc w:val="center"/>
            </w:pPr>
            <w:r w:rsidRPr="00B5360C">
              <w:rPr>
                <w:noProof/>
              </w:rPr>
              <w:drawing>
                <wp:inline distT="0" distB="0" distL="0" distR="0" wp14:anchorId="280C5E93" wp14:editId="7D94EB5E">
                  <wp:extent cx="2438472"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1-19 at 11.16.1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8472" cy="1371600"/>
                          </a:xfrm>
                          <a:prstGeom prst="rect">
                            <a:avLst/>
                          </a:prstGeom>
                        </pic:spPr>
                      </pic:pic>
                    </a:graphicData>
                  </a:graphic>
                </wp:inline>
              </w:drawing>
            </w:r>
          </w:p>
        </w:tc>
        <w:tc>
          <w:tcPr>
            <w:tcW w:w="2958" w:type="dxa"/>
          </w:tcPr>
          <w:p w14:paraId="0F1B5529" w14:textId="6BEFC79B" w:rsidR="001C1179" w:rsidRPr="00B5360C" w:rsidRDefault="001C1179" w:rsidP="00D54B0F">
            <w:pPr>
              <w:pStyle w:val="Paragraph"/>
              <w:ind w:firstLine="0"/>
              <w:jc w:val="center"/>
              <w:rPr>
                <w:noProof/>
              </w:rPr>
            </w:pPr>
            <w:r w:rsidRPr="00B5360C">
              <w:rPr>
                <w:noProof/>
              </w:rPr>
              <w:drawing>
                <wp:inline distT="0" distB="0" distL="0" distR="0" wp14:anchorId="68C97733" wp14:editId="0971542C">
                  <wp:extent cx="2438463"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1-19 at 11.15.47.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8463" cy="1371600"/>
                          </a:xfrm>
                          <a:prstGeom prst="rect">
                            <a:avLst/>
                          </a:prstGeom>
                        </pic:spPr>
                      </pic:pic>
                    </a:graphicData>
                  </a:graphic>
                </wp:inline>
              </w:drawing>
            </w:r>
          </w:p>
        </w:tc>
      </w:tr>
      <w:tr w:rsidR="00B5360C" w:rsidRPr="00B5360C" w14:paraId="74C0A273" w14:textId="269EC24A" w:rsidTr="001C1179">
        <w:trPr>
          <w:jc w:val="center"/>
        </w:trPr>
        <w:tc>
          <w:tcPr>
            <w:tcW w:w="2346" w:type="dxa"/>
          </w:tcPr>
          <w:p w14:paraId="19100B81" w14:textId="0B6820B1" w:rsidR="001C1179" w:rsidRPr="00B5360C" w:rsidRDefault="001C1179" w:rsidP="00D54B0F">
            <w:pPr>
              <w:pStyle w:val="Paragraph"/>
              <w:ind w:firstLine="0"/>
              <w:jc w:val="center"/>
            </w:pPr>
            <w:r w:rsidRPr="00B5360C">
              <w:t>(a)</w:t>
            </w:r>
          </w:p>
        </w:tc>
        <w:tc>
          <w:tcPr>
            <w:tcW w:w="4056" w:type="dxa"/>
          </w:tcPr>
          <w:p w14:paraId="17961C19" w14:textId="2F94F77D" w:rsidR="001C1179" w:rsidRPr="00B5360C" w:rsidRDefault="001C1179" w:rsidP="00D54B0F">
            <w:pPr>
              <w:pStyle w:val="Paragraph"/>
              <w:ind w:firstLine="0"/>
              <w:jc w:val="center"/>
            </w:pPr>
            <w:r w:rsidRPr="00B5360C">
              <w:t>(b)</w:t>
            </w:r>
          </w:p>
        </w:tc>
        <w:tc>
          <w:tcPr>
            <w:tcW w:w="2958" w:type="dxa"/>
          </w:tcPr>
          <w:p w14:paraId="339053CB" w14:textId="3D5F2433" w:rsidR="001C1179" w:rsidRPr="00B5360C" w:rsidRDefault="001C1179" w:rsidP="00D54B0F">
            <w:pPr>
              <w:pStyle w:val="Paragraph"/>
              <w:ind w:firstLine="0"/>
              <w:jc w:val="center"/>
            </w:pPr>
            <w:r w:rsidRPr="00B5360C">
              <w:t>(c)</w:t>
            </w:r>
          </w:p>
        </w:tc>
      </w:tr>
    </w:tbl>
    <w:p w14:paraId="632E1DAD" w14:textId="5D59B87E" w:rsidR="00D54B0F" w:rsidRPr="00B5360C" w:rsidRDefault="00D54B0F" w:rsidP="00D54B0F">
      <w:pPr>
        <w:pStyle w:val="Paragraph"/>
        <w:ind w:firstLine="0"/>
        <w:jc w:val="center"/>
      </w:pPr>
      <w:r w:rsidRPr="00B5360C">
        <w:rPr>
          <w:b/>
          <w:caps/>
        </w:rPr>
        <w:t>Figure 1.</w:t>
      </w:r>
      <w:r w:rsidRPr="00B5360C">
        <w:t xml:space="preserve"> </w:t>
      </w:r>
      <w:r w:rsidR="00BB7929" w:rsidRPr="00B5360C">
        <w:t>Equipment</w:t>
      </w:r>
      <w:r w:rsidRPr="00B5360C">
        <w:t xml:space="preserve"> for cutting material (a) handheld grinder</w:t>
      </w:r>
      <w:r w:rsidR="001C1179" w:rsidRPr="00B5360C">
        <w:t>,</w:t>
      </w:r>
      <w:r w:rsidRPr="00B5360C">
        <w:t xml:space="preserve"> (b) metal cutting saw</w:t>
      </w:r>
      <w:r w:rsidR="001C1179" w:rsidRPr="00B5360C">
        <w:t xml:space="preserve">, and (c) lathe machine </w:t>
      </w:r>
    </w:p>
    <w:p w14:paraId="7535D989" w14:textId="77777777" w:rsidR="00D54B0F" w:rsidRPr="00B5360C" w:rsidRDefault="00D54B0F" w:rsidP="003061D9">
      <w:pPr>
        <w:pStyle w:val="Paragraph"/>
      </w:pPr>
    </w:p>
    <w:p w14:paraId="3327CAB0" w14:textId="29582232" w:rsidR="003061D9" w:rsidRPr="00B5360C" w:rsidRDefault="003061D9" w:rsidP="003061D9">
      <w:pPr>
        <w:pStyle w:val="Paragraph"/>
      </w:pPr>
      <w:r w:rsidRPr="00B5360C">
        <w:t>Surface roughness measurements were taken using a digital surface roughness tester (</w:t>
      </w:r>
      <w:r w:rsidR="00866BD9" w:rsidRPr="00B5360C">
        <w:rPr>
          <w:b/>
          <w:bCs/>
        </w:rPr>
        <w:t>FIGURE 2(a)</w:t>
      </w:r>
      <w:r w:rsidRPr="00B5360C">
        <w:t xml:space="preserve">), which provides high precision with an accuracy of </w:t>
      </w:r>
      <w:proofErr w:type="gramStart"/>
      <w:r w:rsidRPr="00B5360C">
        <w:t>±(</w:t>
      </w:r>
      <w:proofErr w:type="gramEnd"/>
      <w:r w:rsidRPr="00B5360C">
        <w:t xml:space="preserve">7–10)% and measures parameters such as Ra, Rz, </w:t>
      </w:r>
      <w:proofErr w:type="spellStart"/>
      <w:r w:rsidRPr="00B5360C">
        <w:t>Rq</w:t>
      </w:r>
      <w:proofErr w:type="spellEnd"/>
      <w:r w:rsidRPr="00B5360C">
        <w:t xml:space="preserve">, and Rt. A </w:t>
      </w:r>
      <w:proofErr w:type="spellStart"/>
      <w:r w:rsidRPr="00B5360C">
        <w:t>vernier</w:t>
      </w:r>
      <w:proofErr w:type="spellEnd"/>
      <w:r w:rsidRPr="00B5360C">
        <w:t xml:space="preserve"> caliper (</w:t>
      </w:r>
      <w:r w:rsidR="00866BD9" w:rsidRPr="00B5360C">
        <w:rPr>
          <w:b/>
          <w:bCs/>
        </w:rPr>
        <w:t>FIGURE 2(b)</w:t>
      </w:r>
      <w:r w:rsidRPr="00B5360C">
        <w:t>) was used to check the dimensions of the specimens before machining. The cutting tool utilized for the experiment was an HSS tool (</w:t>
      </w:r>
      <w:r w:rsidR="00866BD9" w:rsidRPr="00B5360C">
        <w:rPr>
          <w:b/>
          <w:bCs/>
        </w:rPr>
        <w:t>FIGURE 2(c)</w:t>
      </w:r>
      <w:r w:rsidRPr="00B5360C">
        <w:t>).</w:t>
      </w:r>
    </w:p>
    <w:p w14:paraId="18978CF2" w14:textId="7B9B4E05" w:rsidR="003061D9" w:rsidRPr="00B5360C" w:rsidRDefault="003061D9" w:rsidP="003061D9">
      <w:pPr>
        <w:pStyle w:val="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3314"/>
        <w:gridCol w:w="2732"/>
      </w:tblGrid>
      <w:tr w:rsidR="00B5360C" w:rsidRPr="00B5360C" w14:paraId="3DA65165" w14:textId="77777777" w:rsidTr="005914FF">
        <w:trPr>
          <w:jc w:val="center"/>
        </w:trPr>
        <w:tc>
          <w:tcPr>
            <w:tcW w:w="2346" w:type="dxa"/>
          </w:tcPr>
          <w:p w14:paraId="5FFBBC2E" w14:textId="74308127" w:rsidR="00866BD9" w:rsidRPr="00B5360C" w:rsidRDefault="00866BD9" w:rsidP="005914FF">
            <w:pPr>
              <w:pStyle w:val="Paragraph"/>
              <w:ind w:firstLine="0"/>
              <w:jc w:val="center"/>
            </w:pPr>
            <w:r w:rsidRPr="00B5360C">
              <w:rPr>
                <w:noProof/>
                <w:sz w:val="22"/>
              </w:rPr>
              <w:drawing>
                <wp:inline distT="0" distB="0" distL="0" distR="0" wp14:anchorId="03D7BDC4" wp14:editId="048423A0">
                  <wp:extent cx="2012033" cy="118872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12033" cy="1188720"/>
                          </a:xfrm>
                          <a:prstGeom prst="rect">
                            <a:avLst/>
                          </a:prstGeom>
                        </pic:spPr>
                      </pic:pic>
                    </a:graphicData>
                  </a:graphic>
                </wp:inline>
              </w:drawing>
            </w:r>
          </w:p>
        </w:tc>
        <w:tc>
          <w:tcPr>
            <w:tcW w:w="4056" w:type="dxa"/>
          </w:tcPr>
          <w:p w14:paraId="576F2825" w14:textId="740AC6E3" w:rsidR="00866BD9" w:rsidRPr="00B5360C" w:rsidRDefault="00866BD9" w:rsidP="005914FF">
            <w:pPr>
              <w:pStyle w:val="Paragraph"/>
              <w:ind w:firstLine="0"/>
              <w:jc w:val="center"/>
            </w:pPr>
            <w:r w:rsidRPr="00B5360C">
              <w:rPr>
                <w:noProof/>
                <w:szCs w:val="24"/>
              </w:rPr>
              <w:drawing>
                <wp:inline distT="0" distB="0" distL="0" distR="0" wp14:anchorId="5C7CF331" wp14:editId="48ECD55B">
                  <wp:extent cx="2010726" cy="118872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
                          <pic:cNvPicPr>
                            <a:picLocks noChangeAspect="1" noChangeArrowheads="1"/>
                          </pic:cNvPicPr>
                        </pic:nvPicPr>
                        <pic:blipFill rotWithShape="1">
                          <a:blip r:embed="rId15">
                            <a:extLst>
                              <a:ext uri="{28A0092B-C50C-407E-A947-70E740481C1C}">
                                <a14:useLocalDpi xmlns:a14="http://schemas.microsoft.com/office/drawing/2010/main" val="0"/>
                              </a:ext>
                            </a:extLst>
                          </a:blip>
                          <a:srcRect t="13057" b="7354"/>
                          <a:stretch/>
                        </pic:blipFill>
                        <pic:spPr bwMode="auto">
                          <a:xfrm>
                            <a:off x="0" y="0"/>
                            <a:ext cx="2010726" cy="11887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58" w:type="dxa"/>
          </w:tcPr>
          <w:p w14:paraId="5E6401CF" w14:textId="5FAB6835" w:rsidR="00866BD9" w:rsidRPr="00B5360C" w:rsidRDefault="00866BD9" w:rsidP="005914FF">
            <w:pPr>
              <w:pStyle w:val="Paragraph"/>
              <w:ind w:firstLine="0"/>
              <w:jc w:val="center"/>
              <w:rPr>
                <w:noProof/>
              </w:rPr>
            </w:pPr>
            <w:r w:rsidRPr="00B5360C">
              <w:rPr>
                <w:b/>
                <w:noProof/>
              </w:rPr>
              <w:drawing>
                <wp:inline distT="0" distB="0" distL="0" distR="0" wp14:anchorId="4DC99185" wp14:editId="7C7DAC37">
                  <wp:extent cx="1172393" cy="1632357"/>
                  <wp:effectExtent l="0" t="127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1-19 at 13.28.21.jpeg"/>
                          <pic:cNvPicPr/>
                        </pic:nvPicPr>
                        <pic:blipFill rotWithShape="1">
                          <a:blip r:embed="rId16" cstate="print">
                            <a:extLst>
                              <a:ext uri="{28A0092B-C50C-407E-A947-70E740481C1C}">
                                <a14:useLocalDpi xmlns:a14="http://schemas.microsoft.com/office/drawing/2010/main" val="0"/>
                              </a:ext>
                            </a:extLst>
                          </a:blip>
                          <a:srcRect l="20119" t="15234" b="3131"/>
                          <a:stretch/>
                        </pic:blipFill>
                        <pic:spPr bwMode="auto">
                          <a:xfrm rot="16200000">
                            <a:off x="0" y="0"/>
                            <a:ext cx="1180136" cy="1643138"/>
                          </a:xfrm>
                          <a:prstGeom prst="rect">
                            <a:avLst/>
                          </a:prstGeom>
                          <a:ln>
                            <a:noFill/>
                          </a:ln>
                          <a:extLst>
                            <a:ext uri="{53640926-AAD7-44D8-BBD7-CCE9431645EC}">
                              <a14:shadowObscured xmlns:a14="http://schemas.microsoft.com/office/drawing/2010/main"/>
                            </a:ext>
                          </a:extLst>
                        </pic:spPr>
                      </pic:pic>
                    </a:graphicData>
                  </a:graphic>
                </wp:inline>
              </w:drawing>
            </w:r>
          </w:p>
        </w:tc>
      </w:tr>
      <w:tr w:rsidR="00B5360C" w:rsidRPr="00B5360C" w14:paraId="2E831D07" w14:textId="77777777" w:rsidTr="005914FF">
        <w:trPr>
          <w:jc w:val="center"/>
        </w:trPr>
        <w:tc>
          <w:tcPr>
            <w:tcW w:w="2346" w:type="dxa"/>
          </w:tcPr>
          <w:p w14:paraId="308D5873" w14:textId="77777777" w:rsidR="00866BD9" w:rsidRPr="00B5360C" w:rsidRDefault="00866BD9" w:rsidP="005914FF">
            <w:pPr>
              <w:pStyle w:val="Paragraph"/>
              <w:ind w:firstLine="0"/>
              <w:jc w:val="center"/>
            </w:pPr>
            <w:r w:rsidRPr="00B5360C">
              <w:t>(a)</w:t>
            </w:r>
          </w:p>
        </w:tc>
        <w:tc>
          <w:tcPr>
            <w:tcW w:w="4056" w:type="dxa"/>
          </w:tcPr>
          <w:p w14:paraId="3986F591" w14:textId="77777777" w:rsidR="00866BD9" w:rsidRPr="00B5360C" w:rsidRDefault="00866BD9" w:rsidP="005914FF">
            <w:pPr>
              <w:pStyle w:val="Paragraph"/>
              <w:ind w:firstLine="0"/>
              <w:jc w:val="center"/>
            </w:pPr>
            <w:r w:rsidRPr="00B5360C">
              <w:t>(b)</w:t>
            </w:r>
          </w:p>
        </w:tc>
        <w:tc>
          <w:tcPr>
            <w:tcW w:w="2958" w:type="dxa"/>
          </w:tcPr>
          <w:p w14:paraId="09878196" w14:textId="77777777" w:rsidR="00866BD9" w:rsidRPr="00B5360C" w:rsidRDefault="00866BD9" w:rsidP="005914FF">
            <w:pPr>
              <w:pStyle w:val="Paragraph"/>
              <w:ind w:firstLine="0"/>
              <w:jc w:val="center"/>
            </w:pPr>
            <w:r w:rsidRPr="00B5360C">
              <w:t>(c)</w:t>
            </w:r>
          </w:p>
        </w:tc>
      </w:tr>
    </w:tbl>
    <w:p w14:paraId="76FD5E98" w14:textId="1F79F9F5" w:rsidR="00866BD9" w:rsidRPr="00B5360C" w:rsidRDefault="00866BD9" w:rsidP="00866BD9">
      <w:pPr>
        <w:pStyle w:val="Paragraph"/>
        <w:ind w:firstLine="0"/>
        <w:jc w:val="center"/>
      </w:pPr>
      <w:r w:rsidRPr="00B5360C">
        <w:rPr>
          <w:b/>
          <w:caps/>
        </w:rPr>
        <w:t>Figure 2.</w:t>
      </w:r>
      <w:r w:rsidRPr="00B5360C">
        <w:t xml:space="preserve"> </w:t>
      </w:r>
      <w:r w:rsidR="00BB7929" w:rsidRPr="00B5360C">
        <w:t>Equipment</w:t>
      </w:r>
      <w:r w:rsidRPr="00B5360C">
        <w:t xml:space="preserve"> for measurement (a) surface roughness tester, (b) </w:t>
      </w:r>
      <w:proofErr w:type="spellStart"/>
      <w:r w:rsidRPr="00B5360C">
        <w:t>vernier</w:t>
      </w:r>
      <w:proofErr w:type="spellEnd"/>
      <w:r w:rsidRPr="00B5360C">
        <w:t xml:space="preserve"> caliper, and (c) HSS tool </w:t>
      </w:r>
    </w:p>
    <w:p w14:paraId="100D0EC1" w14:textId="77777777" w:rsidR="00866BD9" w:rsidRPr="00B5360C" w:rsidRDefault="00866BD9" w:rsidP="003061D9">
      <w:pPr>
        <w:pStyle w:val="Paragraph"/>
      </w:pPr>
    </w:p>
    <w:p w14:paraId="0906CC93" w14:textId="3429DE6D" w:rsidR="003061D9" w:rsidRPr="00B5360C" w:rsidRDefault="003061D9" w:rsidP="003061D9">
      <w:pPr>
        <w:pStyle w:val="Paragraph"/>
      </w:pPr>
      <w:r w:rsidRPr="00B5360C">
        <w:t>The material selected for this study was AISI 4140 steel round bars with a diameter of 20 mm and a length of 50 mm (</w:t>
      </w:r>
      <w:r w:rsidR="00866BD9" w:rsidRPr="00B5360C">
        <w:rPr>
          <w:b/>
          <w:bCs/>
        </w:rPr>
        <w:t>FIGURE 3</w:t>
      </w:r>
      <w:r w:rsidRPr="00B5360C">
        <w:t>). A total of six specimens were prepared for the experiments.</w:t>
      </w:r>
    </w:p>
    <w:p w14:paraId="64E2E0C4" w14:textId="2617F75A" w:rsidR="003061D9" w:rsidRPr="00B5360C" w:rsidRDefault="003061D9" w:rsidP="003061D9">
      <w:pPr>
        <w:pStyle w:val="Paragraph"/>
      </w:pPr>
    </w:p>
    <w:p w14:paraId="0078EC00" w14:textId="3A02673C" w:rsidR="00866BD9" w:rsidRPr="00B5360C" w:rsidRDefault="00866BD9" w:rsidP="00866BD9">
      <w:pPr>
        <w:pStyle w:val="Paragraph"/>
        <w:ind w:firstLine="0"/>
        <w:jc w:val="center"/>
      </w:pPr>
      <w:r w:rsidRPr="00B5360C">
        <w:rPr>
          <w:noProof/>
          <w:sz w:val="22"/>
        </w:rPr>
        <w:drawing>
          <wp:inline distT="0" distB="0" distL="0" distR="0" wp14:anchorId="093F3B39" wp14:editId="59CFB127">
            <wp:extent cx="3269411" cy="1206618"/>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1-18 at 13.12.11.jpeg"/>
                    <pic:cNvPicPr/>
                  </pic:nvPicPr>
                  <pic:blipFill rotWithShape="1">
                    <a:blip r:embed="rId17" cstate="print">
                      <a:extLst>
                        <a:ext uri="{28A0092B-C50C-407E-A947-70E740481C1C}">
                          <a14:useLocalDpi xmlns:a14="http://schemas.microsoft.com/office/drawing/2010/main" val="0"/>
                        </a:ext>
                      </a:extLst>
                    </a:blip>
                    <a:srcRect t="30469" b="48773"/>
                    <a:stretch/>
                  </pic:blipFill>
                  <pic:spPr bwMode="auto">
                    <a:xfrm>
                      <a:off x="0" y="0"/>
                      <a:ext cx="3270048" cy="1206853"/>
                    </a:xfrm>
                    <a:prstGeom prst="rect">
                      <a:avLst/>
                    </a:prstGeom>
                    <a:ln>
                      <a:noFill/>
                    </a:ln>
                    <a:extLst>
                      <a:ext uri="{53640926-AAD7-44D8-BBD7-CCE9431645EC}">
                        <a14:shadowObscured xmlns:a14="http://schemas.microsoft.com/office/drawing/2010/main"/>
                      </a:ext>
                    </a:extLst>
                  </pic:spPr>
                </pic:pic>
              </a:graphicData>
            </a:graphic>
          </wp:inline>
        </w:drawing>
      </w:r>
    </w:p>
    <w:p w14:paraId="04E1E3B4" w14:textId="5746421B" w:rsidR="00866BD9" w:rsidRPr="00B5360C" w:rsidRDefault="00866BD9" w:rsidP="00866BD9">
      <w:pPr>
        <w:pStyle w:val="Paragraph"/>
        <w:ind w:firstLine="0"/>
        <w:jc w:val="center"/>
      </w:pPr>
      <w:r w:rsidRPr="00B5360C">
        <w:rPr>
          <w:b/>
          <w:caps/>
        </w:rPr>
        <w:t>Figure 3.</w:t>
      </w:r>
      <w:r w:rsidRPr="00B5360C">
        <w:t xml:space="preserve"> AISI 4140 </w:t>
      </w:r>
      <w:proofErr w:type="spellStart"/>
      <w:r w:rsidRPr="00B5360C">
        <w:t>Roundbar</w:t>
      </w:r>
      <w:proofErr w:type="spellEnd"/>
      <w:r w:rsidRPr="00B5360C">
        <w:t xml:space="preserve"> Material</w:t>
      </w:r>
    </w:p>
    <w:p w14:paraId="0AD9D3FF" w14:textId="77777777" w:rsidR="00866BD9" w:rsidRPr="00B5360C" w:rsidRDefault="00866BD9" w:rsidP="003061D9">
      <w:pPr>
        <w:pStyle w:val="Paragraph"/>
      </w:pPr>
    </w:p>
    <w:p w14:paraId="6ED5B656" w14:textId="77777777" w:rsidR="003061D9" w:rsidRPr="00B5360C" w:rsidRDefault="003061D9" w:rsidP="00BB7929">
      <w:pPr>
        <w:pStyle w:val="Heading2"/>
      </w:pPr>
      <w:r w:rsidRPr="00B5360C">
        <w:lastRenderedPageBreak/>
        <w:t>Experimental Parameters</w:t>
      </w:r>
    </w:p>
    <w:p w14:paraId="17C0FA1B" w14:textId="77777777" w:rsidR="003061D9" w:rsidRPr="00B5360C" w:rsidRDefault="003061D9" w:rsidP="003061D9">
      <w:pPr>
        <w:pStyle w:val="Paragraph"/>
      </w:pPr>
      <w:r w:rsidRPr="00B5360C">
        <w:t>The independent variables in this study were feed rate and coolant type. The feed rates applied were 0.35 mm/rev, 0.50 mm/rev, and 0.75 mm/rev, while the coolant types included a vegetable-based cutting fluid and a mineral-based cutting fluid. The dependent variable measured was the surface roughness (Ra) of the machined surface. Controlled variables included the cutting tool material (HSS), spindle speed (740 rpm), depth of cut (0.5 mm), and the use of the same surface roughness measurement device for all specimens.</w:t>
      </w:r>
    </w:p>
    <w:p w14:paraId="2C9DA893" w14:textId="77777777" w:rsidR="007F1D40" w:rsidRPr="00B5360C" w:rsidRDefault="007F1D40" w:rsidP="007F1D40">
      <w:pPr>
        <w:pStyle w:val="Paragraph"/>
      </w:pPr>
    </w:p>
    <w:p w14:paraId="353A9540" w14:textId="7BB4FC99" w:rsidR="006956BB" w:rsidRPr="00B5360C" w:rsidRDefault="006956BB" w:rsidP="006956BB">
      <w:pPr>
        <w:pStyle w:val="Heading2"/>
      </w:pPr>
      <w:r w:rsidRPr="00B5360C">
        <w:t>RESULTS AND DISCUSSION</w:t>
      </w:r>
    </w:p>
    <w:p w14:paraId="428756FA" w14:textId="0104DCA9" w:rsidR="00BB7929" w:rsidRPr="00B5360C" w:rsidRDefault="00BB7929" w:rsidP="00BB7929">
      <w:pPr>
        <w:pStyle w:val="Paragraph"/>
      </w:pPr>
      <w:r w:rsidRPr="00B5360C">
        <w:t xml:space="preserve">After conducting turning operations under wet machining conditions using different coolant types and feed rates, surface roughness (Ra) measurements were taken for each specimen using a digital surface roughness tester. Each test was repeated four times per condition to ensure accuracy and repeatability. The results are summarized in </w:t>
      </w:r>
      <w:r w:rsidR="00407665" w:rsidRPr="00B5360C">
        <w:rPr>
          <w:b/>
          <w:bCs/>
        </w:rPr>
        <w:t>TABLE 1</w:t>
      </w:r>
      <w:r w:rsidRPr="00B5360C">
        <w:t>, which shows the surface roughness values for each feed rate and coolant combination.</w:t>
      </w:r>
    </w:p>
    <w:p w14:paraId="5D2082E5" w14:textId="77777777" w:rsidR="00BB7929" w:rsidRPr="00B5360C" w:rsidRDefault="00BB7929" w:rsidP="00BB7929">
      <w:pPr>
        <w:pStyle w:val="Paragraph"/>
      </w:pPr>
    </w:p>
    <w:p w14:paraId="434A6F5F" w14:textId="197867B8" w:rsidR="00BB7929" w:rsidRPr="00B5360C" w:rsidRDefault="00BB7929" w:rsidP="00FE31CB">
      <w:pPr>
        <w:pStyle w:val="Paragraph"/>
        <w:ind w:firstLine="0"/>
        <w:jc w:val="center"/>
        <w:rPr>
          <w:b/>
          <w:caps/>
        </w:rPr>
      </w:pPr>
      <w:r w:rsidRPr="00B5360C">
        <w:rPr>
          <w:b/>
          <w:caps/>
        </w:rPr>
        <w:t xml:space="preserve">Table 1. </w:t>
      </w:r>
      <w:r w:rsidR="00FE31CB" w:rsidRPr="00B5360C">
        <w:rPr>
          <w:b/>
          <w:caps/>
        </w:rPr>
        <w:t>S</w:t>
      </w:r>
      <w:r w:rsidR="00FE31CB" w:rsidRPr="00B5360C">
        <w:rPr>
          <w:bCs/>
        </w:rPr>
        <w:t>urface roughness (ra) results under different feed rates and coolants</w:t>
      </w:r>
    </w:p>
    <w:tbl>
      <w:tblPr>
        <w:tblW w:w="8550" w:type="dxa"/>
        <w:jc w:val="center"/>
        <w:tblLook w:val="04A0" w:firstRow="1" w:lastRow="0" w:firstColumn="1" w:lastColumn="0" w:noHBand="0" w:noVBand="1"/>
      </w:tblPr>
      <w:tblGrid>
        <w:gridCol w:w="1620"/>
        <w:gridCol w:w="1980"/>
        <w:gridCol w:w="869"/>
        <w:gridCol w:w="869"/>
        <w:gridCol w:w="869"/>
        <w:gridCol w:w="871"/>
        <w:gridCol w:w="1472"/>
      </w:tblGrid>
      <w:tr w:rsidR="00B5360C" w:rsidRPr="00B5360C" w14:paraId="51A78E6C" w14:textId="77777777" w:rsidTr="00FE31CB">
        <w:trPr>
          <w:trHeight w:val="310"/>
          <w:jc w:val="center"/>
        </w:trPr>
        <w:tc>
          <w:tcPr>
            <w:tcW w:w="1620" w:type="dxa"/>
            <w:vMerge w:val="restart"/>
            <w:tcBorders>
              <w:top w:val="single" w:sz="4" w:space="0" w:color="auto"/>
              <w:bottom w:val="single" w:sz="4" w:space="0" w:color="auto"/>
            </w:tcBorders>
            <w:shd w:val="clear" w:color="auto" w:fill="auto"/>
            <w:noWrap/>
            <w:vAlign w:val="center"/>
            <w:hideMark/>
          </w:tcPr>
          <w:p w14:paraId="59205288" w14:textId="77777777" w:rsidR="00BB7929" w:rsidRPr="00B5360C" w:rsidRDefault="00BB7929" w:rsidP="005914FF">
            <w:pPr>
              <w:jc w:val="center"/>
              <w:rPr>
                <w:iCs/>
                <w:sz w:val="20"/>
              </w:rPr>
            </w:pPr>
            <w:proofErr w:type="spellStart"/>
            <w:r w:rsidRPr="00B5360C">
              <w:rPr>
                <w:iCs/>
                <w:sz w:val="20"/>
              </w:rPr>
              <w:t>Feedrate</w:t>
            </w:r>
            <w:proofErr w:type="spellEnd"/>
            <w:r w:rsidRPr="00B5360C">
              <w:rPr>
                <w:iCs/>
                <w:sz w:val="20"/>
              </w:rPr>
              <w:t xml:space="preserve"> (mm/rev)</w:t>
            </w:r>
          </w:p>
        </w:tc>
        <w:tc>
          <w:tcPr>
            <w:tcW w:w="1980" w:type="dxa"/>
            <w:vMerge w:val="restart"/>
            <w:tcBorders>
              <w:top w:val="single" w:sz="4" w:space="0" w:color="auto"/>
              <w:bottom w:val="single" w:sz="4" w:space="0" w:color="auto"/>
            </w:tcBorders>
            <w:shd w:val="clear" w:color="auto" w:fill="auto"/>
            <w:noWrap/>
            <w:vAlign w:val="center"/>
            <w:hideMark/>
          </w:tcPr>
          <w:p w14:paraId="480B01A6" w14:textId="04A47822" w:rsidR="00BB7929" w:rsidRPr="00B5360C" w:rsidRDefault="00BB7929" w:rsidP="005914FF">
            <w:pPr>
              <w:jc w:val="center"/>
              <w:rPr>
                <w:sz w:val="20"/>
              </w:rPr>
            </w:pPr>
            <w:r w:rsidRPr="00B5360C">
              <w:rPr>
                <w:sz w:val="20"/>
              </w:rPr>
              <w:t>Coolant Type</w:t>
            </w:r>
          </w:p>
        </w:tc>
        <w:tc>
          <w:tcPr>
            <w:tcW w:w="3478" w:type="dxa"/>
            <w:gridSpan w:val="4"/>
            <w:tcBorders>
              <w:top w:val="single" w:sz="4" w:space="0" w:color="auto"/>
              <w:bottom w:val="single" w:sz="4" w:space="0" w:color="auto"/>
            </w:tcBorders>
            <w:shd w:val="clear" w:color="auto" w:fill="auto"/>
            <w:noWrap/>
            <w:vAlign w:val="center"/>
            <w:hideMark/>
          </w:tcPr>
          <w:p w14:paraId="694B19C4" w14:textId="79E4D7B8" w:rsidR="00BB7929" w:rsidRPr="00B5360C" w:rsidRDefault="00FE31CB" w:rsidP="005914FF">
            <w:pPr>
              <w:jc w:val="center"/>
              <w:rPr>
                <w:sz w:val="20"/>
              </w:rPr>
            </w:pPr>
            <w:r w:rsidRPr="00B5360C">
              <w:rPr>
                <w:sz w:val="20"/>
              </w:rPr>
              <w:t>Surface Roughness Value</w:t>
            </w:r>
            <w:r w:rsidR="00BB7929" w:rsidRPr="00B5360C">
              <w:rPr>
                <w:sz w:val="20"/>
              </w:rPr>
              <w:t xml:space="preserve"> </w:t>
            </w:r>
          </w:p>
          <w:p w14:paraId="01285397" w14:textId="18A26E68" w:rsidR="00BB7929" w:rsidRPr="00B5360C" w:rsidRDefault="00BB7929" w:rsidP="005914FF">
            <w:pPr>
              <w:jc w:val="center"/>
              <w:rPr>
                <w:sz w:val="20"/>
              </w:rPr>
            </w:pPr>
            <w:r w:rsidRPr="00B5360C">
              <w:rPr>
                <w:sz w:val="20"/>
              </w:rPr>
              <w:t>Ra (</w:t>
            </w:r>
            <m:oMath>
              <m:r>
                <w:rPr>
                  <w:rFonts w:ascii="Cambria Math" w:hAnsi="Cambria Math"/>
                  <w:sz w:val="20"/>
                </w:rPr>
                <m:t>μ</m:t>
              </m:r>
            </m:oMath>
            <w:r w:rsidRPr="00B5360C">
              <w:rPr>
                <w:sz w:val="20"/>
              </w:rPr>
              <w:t>m)</w:t>
            </w:r>
          </w:p>
        </w:tc>
        <w:tc>
          <w:tcPr>
            <w:tcW w:w="1472" w:type="dxa"/>
            <w:vMerge w:val="restart"/>
            <w:tcBorders>
              <w:top w:val="single" w:sz="4" w:space="0" w:color="auto"/>
              <w:left w:val="nil"/>
              <w:bottom w:val="single" w:sz="4" w:space="0" w:color="auto"/>
            </w:tcBorders>
            <w:shd w:val="clear" w:color="auto" w:fill="auto"/>
            <w:noWrap/>
            <w:vAlign w:val="center"/>
            <w:hideMark/>
          </w:tcPr>
          <w:p w14:paraId="031B841A" w14:textId="7E671C53" w:rsidR="00BB7929" w:rsidRPr="00B5360C" w:rsidRDefault="00FE31CB" w:rsidP="005914FF">
            <w:pPr>
              <w:jc w:val="center"/>
              <w:rPr>
                <w:sz w:val="20"/>
              </w:rPr>
            </w:pPr>
            <w:r w:rsidRPr="00B5360C">
              <w:rPr>
                <w:sz w:val="20"/>
              </w:rPr>
              <w:t>Average Ra (</w:t>
            </w:r>
            <m:oMath>
              <m:r>
                <w:rPr>
                  <w:rFonts w:ascii="Cambria Math" w:hAnsi="Cambria Math"/>
                  <w:sz w:val="20"/>
                </w:rPr>
                <m:t>μ</m:t>
              </m:r>
            </m:oMath>
            <w:r w:rsidRPr="00B5360C">
              <w:rPr>
                <w:sz w:val="20"/>
              </w:rPr>
              <w:t>m)</w:t>
            </w:r>
          </w:p>
        </w:tc>
      </w:tr>
      <w:tr w:rsidR="00B5360C" w:rsidRPr="00B5360C" w14:paraId="062D9929" w14:textId="77777777" w:rsidTr="00FE31CB">
        <w:trPr>
          <w:trHeight w:val="143"/>
          <w:jc w:val="center"/>
        </w:trPr>
        <w:tc>
          <w:tcPr>
            <w:tcW w:w="1620" w:type="dxa"/>
            <w:vMerge/>
            <w:tcBorders>
              <w:top w:val="single" w:sz="4" w:space="0" w:color="auto"/>
              <w:bottom w:val="single" w:sz="4" w:space="0" w:color="auto"/>
            </w:tcBorders>
            <w:vAlign w:val="center"/>
            <w:hideMark/>
          </w:tcPr>
          <w:p w14:paraId="240F9452" w14:textId="77777777" w:rsidR="00BB7929" w:rsidRPr="00B5360C" w:rsidRDefault="00BB7929" w:rsidP="005914FF">
            <w:pPr>
              <w:rPr>
                <w:sz w:val="20"/>
              </w:rPr>
            </w:pPr>
          </w:p>
        </w:tc>
        <w:tc>
          <w:tcPr>
            <w:tcW w:w="1980" w:type="dxa"/>
            <w:vMerge/>
            <w:tcBorders>
              <w:top w:val="single" w:sz="4" w:space="0" w:color="auto"/>
              <w:bottom w:val="single" w:sz="4" w:space="0" w:color="auto"/>
            </w:tcBorders>
            <w:vAlign w:val="center"/>
            <w:hideMark/>
          </w:tcPr>
          <w:p w14:paraId="04B9D92C" w14:textId="77777777" w:rsidR="00BB7929" w:rsidRPr="00B5360C" w:rsidRDefault="00BB7929" w:rsidP="005914FF">
            <w:pPr>
              <w:rPr>
                <w:sz w:val="20"/>
              </w:rPr>
            </w:pPr>
          </w:p>
        </w:tc>
        <w:tc>
          <w:tcPr>
            <w:tcW w:w="869" w:type="dxa"/>
            <w:tcBorders>
              <w:top w:val="nil"/>
              <w:bottom w:val="single" w:sz="4" w:space="0" w:color="auto"/>
            </w:tcBorders>
            <w:shd w:val="clear" w:color="auto" w:fill="auto"/>
            <w:noWrap/>
            <w:vAlign w:val="center"/>
            <w:hideMark/>
          </w:tcPr>
          <w:p w14:paraId="68CD161E" w14:textId="77777777" w:rsidR="00BB7929" w:rsidRPr="00B5360C" w:rsidRDefault="00BB7929" w:rsidP="005914FF">
            <w:pPr>
              <w:jc w:val="center"/>
              <w:rPr>
                <w:sz w:val="20"/>
              </w:rPr>
            </w:pPr>
            <w:r w:rsidRPr="00B5360C">
              <w:rPr>
                <w:sz w:val="20"/>
              </w:rPr>
              <w:t>1</w:t>
            </w:r>
          </w:p>
        </w:tc>
        <w:tc>
          <w:tcPr>
            <w:tcW w:w="869" w:type="dxa"/>
            <w:tcBorders>
              <w:top w:val="nil"/>
              <w:left w:val="nil"/>
              <w:bottom w:val="single" w:sz="4" w:space="0" w:color="auto"/>
            </w:tcBorders>
            <w:shd w:val="clear" w:color="auto" w:fill="auto"/>
            <w:noWrap/>
            <w:vAlign w:val="center"/>
            <w:hideMark/>
          </w:tcPr>
          <w:p w14:paraId="1ED67263" w14:textId="77777777" w:rsidR="00BB7929" w:rsidRPr="00B5360C" w:rsidRDefault="00BB7929" w:rsidP="005914FF">
            <w:pPr>
              <w:jc w:val="center"/>
              <w:rPr>
                <w:sz w:val="20"/>
              </w:rPr>
            </w:pPr>
            <w:r w:rsidRPr="00B5360C">
              <w:rPr>
                <w:sz w:val="20"/>
              </w:rPr>
              <w:t>2</w:t>
            </w:r>
          </w:p>
        </w:tc>
        <w:tc>
          <w:tcPr>
            <w:tcW w:w="869" w:type="dxa"/>
            <w:tcBorders>
              <w:top w:val="nil"/>
              <w:left w:val="nil"/>
              <w:bottom w:val="single" w:sz="4" w:space="0" w:color="auto"/>
            </w:tcBorders>
            <w:shd w:val="clear" w:color="auto" w:fill="auto"/>
            <w:noWrap/>
            <w:vAlign w:val="center"/>
            <w:hideMark/>
          </w:tcPr>
          <w:p w14:paraId="23EF129D" w14:textId="77777777" w:rsidR="00BB7929" w:rsidRPr="00B5360C" w:rsidRDefault="00BB7929" w:rsidP="005914FF">
            <w:pPr>
              <w:jc w:val="center"/>
              <w:rPr>
                <w:sz w:val="20"/>
              </w:rPr>
            </w:pPr>
            <w:r w:rsidRPr="00B5360C">
              <w:rPr>
                <w:sz w:val="20"/>
              </w:rPr>
              <w:t>3</w:t>
            </w:r>
          </w:p>
        </w:tc>
        <w:tc>
          <w:tcPr>
            <w:tcW w:w="871" w:type="dxa"/>
            <w:tcBorders>
              <w:top w:val="nil"/>
              <w:left w:val="nil"/>
              <w:bottom w:val="single" w:sz="4" w:space="0" w:color="auto"/>
            </w:tcBorders>
            <w:shd w:val="clear" w:color="auto" w:fill="auto"/>
            <w:noWrap/>
            <w:vAlign w:val="center"/>
            <w:hideMark/>
          </w:tcPr>
          <w:p w14:paraId="25A9D1ED" w14:textId="77777777" w:rsidR="00BB7929" w:rsidRPr="00B5360C" w:rsidRDefault="00BB7929" w:rsidP="005914FF">
            <w:pPr>
              <w:jc w:val="center"/>
              <w:rPr>
                <w:sz w:val="20"/>
              </w:rPr>
            </w:pPr>
            <w:r w:rsidRPr="00B5360C">
              <w:rPr>
                <w:sz w:val="20"/>
              </w:rPr>
              <w:t>4</w:t>
            </w:r>
          </w:p>
        </w:tc>
        <w:tc>
          <w:tcPr>
            <w:tcW w:w="1472" w:type="dxa"/>
            <w:vMerge/>
            <w:tcBorders>
              <w:top w:val="single" w:sz="4" w:space="0" w:color="auto"/>
              <w:left w:val="nil"/>
              <w:bottom w:val="single" w:sz="4" w:space="0" w:color="auto"/>
            </w:tcBorders>
            <w:vAlign w:val="center"/>
            <w:hideMark/>
          </w:tcPr>
          <w:p w14:paraId="7EE7301C" w14:textId="77777777" w:rsidR="00BB7929" w:rsidRPr="00B5360C" w:rsidRDefault="00BB7929" w:rsidP="005914FF">
            <w:pPr>
              <w:rPr>
                <w:b/>
                <w:bCs/>
                <w:sz w:val="20"/>
              </w:rPr>
            </w:pPr>
          </w:p>
        </w:tc>
      </w:tr>
      <w:tr w:rsidR="00B5360C" w:rsidRPr="00B5360C" w14:paraId="307C79AB" w14:textId="77777777" w:rsidTr="00FE31CB">
        <w:trPr>
          <w:trHeight w:val="310"/>
          <w:jc w:val="center"/>
        </w:trPr>
        <w:tc>
          <w:tcPr>
            <w:tcW w:w="1620" w:type="dxa"/>
            <w:vMerge w:val="restart"/>
            <w:tcBorders>
              <w:top w:val="nil"/>
              <w:bottom w:val="single" w:sz="4" w:space="0" w:color="auto"/>
            </w:tcBorders>
            <w:shd w:val="clear" w:color="auto" w:fill="auto"/>
            <w:noWrap/>
            <w:vAlign w:val="center"/>
            <w:hideMark/>
          </w:tcPr>
          <w:p w14:paraId="1E597E75" w14:textId="22CAC21B" w:rsidR="00BB7929" w:rsidRPr="00B5360C" w:rsidRDefault="00BB7929" w:rsidP="005914FF">
            <w:pPr>
              <w:jc w:val="center"/>
              <w:rPr>
                <w:sz w:val="20"/>
              </w:rPr>
            </w:pPr>
            <w:r w:rsidRPr="00B5360C">
              <w:rPr>
                <w:sz w:val="20"/>
              </w:rPr>
              <w:t>0</w:t>
            </w:r>
            <w:r w:rsidR="00FE31CB" w:rsidRPr="00B5360C">
              <w:rPr>
                <w:sz w:val="20"/>
              </w:rPr>
              <w:t>.</w:t>
            </w:r>
            <w:r w:rsidRPr="00B5360C">
              <w:rPr>
                <w:sz w:val="20"/>
              </w:rPr>
              <w:t>35</w:t>
            </w:r>
          </w:p>
        </w:tc>
        <w:tc>
          <w:tcPr>
            <w:tcW w:w="1980" w:type="dxa"/>
            <w:tcBorders>
              <w:top w:val="nil"/>
              <w:bottom w:val="single" w:sz="4" w:space="0" w:color="auto"/>
            </w:tcBorders>
            <w:shd w:val="clear" w:color="auto" w:fill="auto"/>
            <w:noWrap/>
            <w:vAlign w:val="center"/>
            <w:hideMark/>
          </w:tcPr>
          <w:p w14:paraId="6A5509B2" w14:textId="005946D9" w:rsidR="00BB7929" w:rsidRPr="00B5360C" w:rsidRDefault="00FE31CB" w:rsidP="005914FF">
            <w:pPr>
              <w:jc w:val="center"/>
              <w:rPr>
                <w:sz w:val="20"/>
              </w:rPr>
            </w:pPr>
            <w:r w:rsidRPr="00B5360C">
              <w:rPr>
                <w:sz w:val="20"/>
              </w:rPr>
              <w:t>Mineral-based</w:t>
            </w:r>
          </w:p>
        </w:tc>
        <w:tc>
          <w:tcPr>
            <w:tcW w:w="869" w:type="dxa"/>
            <w:tcBorders>
              <w:top w:val="single" w:sz="4" w:space="0" w:color="auto"/>
              <w:bottom w:val="single" w:sz="4" w:space="0" w:color="auto"/>
            </w:tcBorders>
            <w:shd w:val="clear" w:color="auto" w:fill="auto"/>
            <w:noWrap/>
            <w:vAlign w:val="center"/>
            <w:hideMark/>
          </w:tcPr>
          <w:p w14:paraId="5B61DE89" w14:textId="72B5946C" w:rsidR="00BB7929" w:rsidRPr="00B5360C" w:rsidRDefault="00BB7929" w:rsidP="005914FF">
            <w:pPr>
              <w:jc w:val="center"/>
              <w:rPr>
                <w:sz w:val="20"/>
              </w:rPr>
            </w:pPr>
            <w:r w:rsidRPr="00B5360C">
              <w:rPr>
                <w:sz w:val="20"/>
              </w:rPr>
              <w:t>2</w:t>
            </w:r>
            <w:r w:rsidR="00FE31CB" w:rsidRPr="00B5360C">
              <w:rPr>
                <w:sz w:val="20"/>
              </w:rPr>
              <w:t>.</w:t>
            </w:r>
            <w:r w:rsidRPr="00B5360C">
              <w:rPr>
                <w:sz w:val="20"/>
              </w:rPr>
              <w:t>355</w:t>
            </w:r>
          </w:p>
        </w:tc>
        <w:tc>
          <w:tcPr>
            <w:tcW w:w="869" w:type="dxa"/>
            <w:tcBorders>
              <w:top w:val="single" w:sz="4" w:space="0" w:color="auto"/>
              <w:left w:val="nil"/>
              <w:bottom w:val="single" w:sz="4" w:space="0" w:color="auto"/>
            </w:tcBorders>
            <w:shd w:val="clear" w:color="auto" w:fill="auto"/>
            <w:noWrap/>
            <w:vAlign w:val="center"/>
            <w:hideMark/>
          </w:tcPr>
          <w:p w14:paraId="54A304AF" w14:textId="3F04FE68" w:rsidR="00BB7929" w:rsidRPr="00B5360C" w:rsidRDefault="00BB7929" w:rsidP="005914FF">
            <w:pPr>
              <w:jc w:val="center"/>
              <w:rPr>
                <w:sz w:val="20"/>
              </w:rPr>
            </w:pPr>
            <w:r w:rsidRPr="00B5360C">
              <w:rPr>
                <w:sz w:val="20"/>
              </w:rPr>
              <w:t>1</w:t>
            </w:r>
            <w:r w:rsidR="00FE31CB" w:rsidRPr="00B5360C">
              <w:rPr>
                <w:sz w:val="20"/>
              </w:rPr>
              <w:t>.</w:t>
            </w:r>
            <w:r w:rsidRPr="00B5360C">
              <w:rPr>
                <w:sz w:val="20"/>
              </w:rPr>
              <w:t>999</w:t>
            </w:r>
          </w:p>
        </w:tc>
        <w:tc>
          <w:tcPr>
            <w:tcW w:w="869" w:type="dxa"/>
            <w:tcBorders>
              <w:top w:val="nil"/>
              <w:left w:val="nil"/>
              <w:bottom w:val="single" w:sz="4" w:space="0" w:color="auto"/>
            </w:tcBorders>
            <w:shd w:val="clear" w:color="auto" w:fill="auto"/>
            <w:noWrap/>
            <w:vAlign w:val="center"/>
            <w:hideMark/>
          </w:tcPr>
          <w:p w14:paraId="0CF7A264" w14:textId="0F94EB67" w:rsidR="00BB7929" w:rsidRPr="00B5360C" w:rsidRDefault="00BB7929" w:rsidP="005914FF">
            <w:pPr>
              <w:jc w:val="center"/>
              <w:rPr>
                <w:sz w:val="20"/>
              </w:rPr>
            </w:pPr>
            <w:r w:rsidRPr="00B5360C">
              <w:rPr>
                <w:sz w:val="20"/>
              </w:rPr>
              <w:t>2</w:t>
            </w:r>
            <w:r w:rsidR="00FE31CB" w:rsidRPr="00B5360C">
              <w:rPr>
                <w:sz w:val="20"/>
              </w:rPr>
              <w:t>.</w:t>
            </w:r>
            <w:r w:rsidRPr="00B5360C">
              <w:rPr>
                <w:sz w:val="20"/>
              </w:rPr>
              <w:t>227</w:t>
            </w:r>
          </w:p>
        </w:tc>
        <w:tc>
          <w:tcPr>
            <w:tcW w:w="871" w:type="dxa"/>
            <w:tcBorders>
              <w:top w:val="single" w:sz="4" w:space="0" w:color="auto"/>
              <w:left w:val="nil"/>
              <w:bottom w:val="single" w:sz="4" w:space="0" w:color="auto"/>
            </w:tcBorders>
            <w:shd w:val="clear" w:color="auto" w:fill="auto"/>
            <w:noWrap/>
            <w:vAlign w:val="center"/>
            <w:hideMark/>
          </w:tcPr>
          <w:p w14:paraId="131D90A0" w14:textId="20DDC316" w:rsidR="00BB7929" w:rsidRPr="00B5360C" w:rsidRDefault="00BB7929" w:rsidP="005914FF">
            <w:pPr>
              <w:jc w:val="center"/>
              <w:rPr>
                <w:sz w:val="20"/>
              </w:rPr>
            </w:pPr>
            <w:r w:rsidRPr="00B5360C">
              <w:rPr>
                <w:sz w:val="20"/>
              </w:rPr>
              <w:t>1</w:t>
            </w:r>
            <w:r w:rsidR="00FE31CB" w:rsidRPr="00B5360C">
              <w:rPr>
                <w:sz w:val="20"/>
              </w:rPr>
              <w:t>.</w:t>
            </w:r>
            <w:r w:rsidRPr="00B5360C">
              <w:rPr>
                <w:sz w:val="20"/>
              </w:rPr>
              <w:t>925</w:t>
            </w:r>
          </w:p>
        </w:tc>
        <w:tc>
          <w:tcPr>
            <w:tcW w:w="1472" w:type="dxa"/>
            <w:tcBorders>
              <w:top w:val="nil"/>
              <w:left w:val="nil"/>
              <w:bottom w:val="single" w:sz="4" w:space="0" w:color="auto"/>
            </w:tcBorders>
            <w:shd w:val="clear" w:color="auto" w:fill="auto"/>
            <w:noWrap/>
            <w:vAlign w:val="center"/>
            <w:hideMark/>
          </w:tcPr>
          <w:p w14:paraId="704209BD" w14:textId="1AA5F6D4" w:rsidR="00BB7929" w:rsidRPr="00B5360C" w:rsidRDefault="00BB7929" w:rsidP="005914FF">
            <w:pPr>
              <w:jc w:val="center"/>
              <w:rPr>
                <w:b/>
                <w:bCs/>
                <w:sz w:val="20"/>
              </w:rPr>
            </w:pPr>
            <w:r w:rsidRPr="00B5360C">
              <w:rPr>
                <w:b/>
                <w:bCs/>
                <w:sz w:val="20"/>
              </w:rPr>
              <w:t>2</w:t>
            </w:r>
            <w:r w:rsidR="00FE31CB" w:rsidRPr="00B5360C">
              <w:rPr>
                <w:b/>
                <w:bCs/>
                <w:sz w:val="20"/>
              </w:rPr>
              <w:t>.</w:t>
            </w:r>
            <w:r w:rsidRPr="00B5360C">
              <w:rPr>
                <w:b/>
                <w:bCs/>
                <w:sz w:val="20"/>
              </w:rPr>
              <w:t>127</w:t>
            </w:r>
          </w:p>
        </w:tc>
      </w:tr>
      <w:tr w:rsidR="00B5360C" w:rsidRPr="00B5360C" w14:paraId="411FFDE3" w14:textId="77777777" w:rsidTr="00FE31CB">
        <w:trPr>
          <w:trHeight w:val="310"/>
          <w:jc w:val="center"/>
        </w:trPr>
        <w:tc>
          <w:tcPr>
            <w:tcW w:w="1620" w:type="dxa"/>
            <w:vMerge/>
            <w:tcBorders>
              <w:top w:val="nil"/>
              <w:bottom w:val="single" w:sz="4" w:space="0" w:color="auto"/>
            </w:tcBorders>
            <w:vAlign w:val="center"/>
            <w:hideMark/>
          </w:tcPr>
          <w:p w14:paraId="32545F14" w14:textId="77777777" w:rsidR="00BB7929" w:rsidRPr="00B5360C" w:rsidRDefault="00BB7929" w:rsidP="005914FF">
            <w:pPr>
              <w:rPr>
                <w:sz w:val="20"/>
              </w:rPr>
            </w:pPr>
          </w:p>
        </w:tc>
        <w:tc>
          <w:tcPr>
            <w:tcW w:w="1980" w:type="dxa"/>
            <w:tcBorders>
              <w:top w:val="nil"/>
              <w:bottom w:val="single" w:sz="4" w:space="0" w:color="auto"/>
            </w:tcBorders>
            <w:shd w:val="clear" w:color="auto" w:fill="auto"/>
            <w:noWrap/>
            <w:vAlign w:val="center"/>
            <w:hideMark/>
          </w:tcPr>
          <w:p w14:paraId="69D04074" w14:textId="36BD7030" w:rsidR="00BB7929" w:rsidRPr="00B5360C" w:rsidRDefault="00FE31CB" w:rsidP="005914FF">
            <w:pPr>
              <w:jc w:val="center"/>
              <w:rPr>
                <w:sz w:val="20"/>
              </w:rPr>
            </w:pPr>
            <w:r w:rsidRPr="00B5360C">
              <w:rPr>
                <w:sz w:val="20"/>
              </w:rPr>
              <w:t>Vegetable-based</w:t>
            </w:r>
          </w:p>
        </w:tc>
        <w:tc>
          <w:tcPr>
            <w:tcW w:w="869" w:type="dxa"/>
            <w:tcBorders>
              <w:top w:val="single" w:sz="4" w:space="0" w:color="auto"/>
              <w:bottom w:val="single" w:sz="4" w:space="0" w:color="auto"/>
            </w:tcBorders>
            <w:shd w:val="clear" w:color="auto" w:fill="auto"/>
            <w:noWrap/>
            <w:vAlign w:val="center"/>
            <w:hideMark/>
          </w:tcPr>
          <w:p w14:paraId="75459933" w14:textId="511D08C0" w:rsidR="00BB7929" w:rsidRPr="00B5360C" w:rsidRDefault="00BB7929" w:rsidP="005914FF">
            <w:pPr>
              <w:jc w:val="center"/>
              <w:rPr>
                <w:sz w:val="20"/>
              </w:rPr>
            </w:pPr>
            <w:r w:rsidRPr="00B5360C">
              <w:rPr>
                <w:sz w:val="20"/>
              </w:rPr>
              <w:t>2</w:t>
            </w:r>
            <w:r w:rsidR="00FE31CB" w:rsidRPr="00B5360C">
              <w:rPr>
                <w:sz w:val="20"/>
              </w:rPr>
              <w:t>.</w:t>
            </w:r>
            <w:r w:rsidRPr="00B5360C">
              <w:rPr>
                <w:sz w:val="20"/>
              </w:rPr>
              <w:t>72</w:t>
            </w:r>
          </w:p>
        </w:tc>
        <w:tc>
          <w:tcPr>
            <w:tcW w:w="869" w:type="dxa"/>
            <w:tcBorders>
              <w:top w:val="single" w:sz="4" w:space="0" w:color="auto"/>
              <w:left w:val="nil"/>
              <w:bottom w:val="single" w:sz="4" w:space="0" w:color="auto"/>
            </w:tcBorders>
            <w:shd w:val="clear" w:color="auto" w:fill="auto"/>
            <w:noWrap/>
            <w:vAlign w:val="center"/>
            <w:hideMark/>
          </w:tcPr>
          <w:p w14:paraId="0A132B6C" w14:textId="5A10EA23" w:rsidR="00BB7929" w:rsidRPr="00B5360C" w:rsidRDefault="00BB7929" w:rsidP="005914FF">
            <w:pPr>
              <w:jc w:val="center"/>
              <w:rPr>
                <w:sz w:val="20"/>
              </w:rPr>
            </w:pPr>
            <w:r w:rsidRPr="00B5360C">
              <w:rPr>
                <w:sz w:val="20"/>
              </w:rPr>
              <w:t>2</w:t>
            </w:r>
            <w:r w:rsidR="00FE31CB" w:rsidRPr="00B5360C">
              <w:rPr>
                <w:sz w:val="20"/>
              </w:rPr>
              <w:t>.</w:t>
            </w:r>
            <w:r w:rsidRPr="00B5360C">
              <w:rPr>
                <w:sz w:val="20"/>
              </w:rPr>
              <w:t>82</w:t>
            </w:r>
          </w:p>
        </w:tc>
        <w:tc>
          <w:tcPr>
            <w:tcW w:w="869" w:type="dxa"/>
            <w:tcBorders>
              <w:top w:val="nil"/>
              <w:left w:val="nil"/>
              <w:bottom w:val="single" w:sz="4" w:space="0" w:color="auto"/>
            </w:tcBorders>
            <w:shd w:val="clear" w:color="auto" w:fill="auto"/>
            <w:noWrap/>
            <w:vAlign w:val="center"/>
            <w:hideMark/>
          </w:tcPr>
          <w:p w14:paraId="1C75854F" w14:textId="26B07F68" w:rsidR="00BB7929" w:rsidRPr="00B5360C" w:rsidRDefault="00BB7929" w:rsidP="005914FF">
            <w:pPr>
              <w:jc w:val="center"/>
              <w:rPr>
                <w:sz w:val="20"/>
              </w:rPr>
            </w:pPr>
            <w:r w:rsidRPr="00B5360C">
              <w:rPr>
                <w:sz w:val="20"/>
              </w:rPr>
              <w:t>2</w:t>
            </w:r>
            <w:r w:rsidR="00FE31CB" w:rsidRPr="00B5360C">
              <w:rPr>
                <w:sz w:val="20"/>
              </w:rPr>
              <w:t>.</w:t>
            </w:r>
            <w:r w:rsidRPr="00B5360C">
              <w:rPr>
                <w:sz w:val="20"/>
              </w:rPr>
              <w:t>364</w:t>
            </w:r>
          </w:p>
        </w:tc>
        <w:tc>
          <w:tcPr>
            <w:tcW w:w="871" w:type="dxa"/>
            <w:tcBorders>
              <w:top w:val="single" w:sz="4" w:space="0" w:color="auto"/>
              <w:left w:val="nil"/>
              <w:bottom w:val="single" w:sz="4" w:space="0" w:color="auto"/>
            </w:tcBorders>
            <w:shd w:val="clear" w:color="auto" w:fill="auto"/>
            <w:noWrap/>
            <w:vAlign w:val="center"/>
            <w:hideMark/>
          </w:tcPr>
          <w:p w14:paraId="6387EE94" w14:textId="1DBD7D88" w:rsidR="00BB7929" w:rsidRPr="00B5360C" w:rsidRDefault="00BB7929" w:rsidP="005914FF">
            <w:pPr>
              <w:jc w:val="center"/>
              <w:rPr>
                <w:sz w:val="20"/>
              </w:rPr>
            </w:pPr>
            <w:r w:rsidRPr="00B5360C">
              <w:rPr>
                <w:sz w:val="20"/>
              </w:rPr>
              <w:t>2</w:t>
            </w:r>
            <w:r w:rsidR="00FE31CB" w:rsidRPr="00B5360C">
              <w:rPr>
                <w:sz w:val="20"/>
              </w:rPr>
              <w:t>.</w:t>
            </w:r>
            <w:r w:rsidRPr="00B5360C">
              <w:rPr>
                <w:sz w:val="20"/>
              </w:rPr>
              <w:t>771</w:t>
            </w:r>
          </w:p>
        </w:tc>
        <w:tc>
          <w:tcPr>
            <w:tcW w:w="1472" w:type="dxa"/>
            <w:tcBorders>
              <w:top w:val="nil"/>
              <w:left w:val="nil"/>
              <w:bottom w:val="single" w:sz="4" w:space="0" w:color="auto"/>
            </w:tcBorders>
            <w:shd w:val="clear" w:color="auto" w:fill="auto"/>
            <w:noWrap/>
            <w:vAlign w:val="center"/>
            <w:hideMark/>
          </w:tcPr>
          <w:p w14:paraId="70D89D85" w14:textId="1042DA1D" w:rsidR="00BB7929" w:rsidRPr="00B5360C" w:rsidRDefault="00BB7929" w:rsidP="005914FF">
            <w:pPr>
              <w:jc w:val="center"/>
              <w:rPr>
                <w:b/>
                <w:bCs/>
                <w:sz w:val="20"/>
              </w:rPr>
            </w:pPr>
            <w:r w:rsidRPr="00B5360C">
              <w:rPr>
                <w:b/>
                <w:bCs/>
                <w:sz w:val="20"/>
              </w:rPr>
              <w:t>2</w:t>
            </w:r>
            <w:r w:rsidR="00FE31CB" w:rsidRPr="00B5360C">
              <w:rPr>
                <w:b/>
                <w:bCs/>
                <w:sz w:val="20"/>
              </w:rPr>
              <w:t>.</w:t>
            </w:r>
            <w:r w:rsidRPr="00B5360C">
              <w:rPr>
                <w:b/>
                <w:bCs/>
                <w:sz w:val="20"/>
              </w:rPr>
              <w:t>669</w:t>
            </w:r>
          </w:p>
        </w:tc>
      </w:tr>
      <w:tr w:rsidR="00B5360C" w:rsidRPr="00B5360C" w14:paraId="25001B75" w14:textId="77777777" w:rsidTr="00FE31CB">
        <w:trPr>
          <w:trHeight w:val="310"/>
          <w:jc w:val="center"/>
        </w:trPr>
        <w:tc>
          <w:tcPr>
            <w:tcW w:w="1620" w:type="dxa"/>
            <w:vMerge w:val="restart"/>
            <w:tcBorders>
              <w:top w:val="nil"/>
              <w:bottom w:val="single" w:sz="4" w:space="0" w:color="auto"/>
            </w:tcBorders>
            <w:shd w:val="clear" w:color="auto" w:fill="auto"/>
            <w:noWrap/>
            <w:vAlign w:val="center"/>
            <w:hideMark/>
          </w:tcPr>
          <w:p w14:paraId="035BD000" w14:textId="31FB3D41" w:rsidR="00FE31CB" w:rsidRPr="00B5360C" w:rsidRDefault="00FE31CB" w:rsidP="00FE31CB">
            <w:pPr>
              <w:jc w:val="center"/>
              <w:rPr>
                <w:sz w:val="20"/>
              </w:rPr>
            </w:pPr>
            <w:r w:rsidRPr="00B5360C">
              <w:rPr>
                <w:sz w:val="20"/>
              </w:rPr>
              <w:t>0.5</w:t>
            </w:r>
          </w:p>
        </w:tc>
        <w:tc>
          <w:tcPr>
            <w:tcW w:w="1980" w:type="dxa"/>
            <w:tcBorders>
              <w:top w:val="nil"/>
              <w:bottom w:val="single" w:sz="4" w:space="0" w:color="auto"/>
            </w:tcBorders>
            <w:shd w:val="clear" w:color="auto" w:fill="auto"/>
            <w:noWrap/>
            <w:vAlign w:val="center"/>
          </w:tcPr>
          <w:p w14:paraId="74473E01" w14:textId="20B5991B" w:rsidR="00FE31CB" w:rsidRPr="00B5360C" w:rsidRDefault="00FE31CB" w:rsidP="00FE31CB">
            <w:pPr>
              <w:jc w:val="center"/>
              <w:rPr>
                <w:sz w:val="20"/>
              </w:rPr>
            </w:pPr>
            <w:r w:rsidRPr="00B5360C">
              <w:rPr>
                <w:sz w:val="20"/>
              </w:rPr>
              <w:t>Mineral-based</w:t>
            </w:r>
          </w:p>
        </w:tc>
        <w:tc>
          <w:tcPr>
            <w:tcW w:w="869" w:type="dxa"/>
            <w:tcBorders>
              <w:top w:val="single" w:sz="4" w:space="0" w:color="auto"/>
              <w:bottom w:val="single" w:sz="4" w:space="0" w:color="auto"/>
            </w:tcBorders>
            <w:shd w:val="clear" w:color="auto" w:fill="auto"/>
            <w:noWrap/>
            <w:vAlign w:val="center"/>
            <w:hideMark/>
          </w:tcPr>
          <w:p w14:paraId="6C229A6E" w14:textId="3C8FA90A" w:rsidR="00FE31CB" w:rsidRPr="00B5360C" w:rsidRDefault="00FE31CB" w:rsidP="00FE31CB">
            <w:pPr>
              <w:jc w:val="center"/>
              <w:rPr>
                <w:sz w:val="20"/>
              </w:rPr>
            </w:pPr>
            <w:r w:rsidRPr="00B5360C">
              <w:rPr>
                <w:sz w:val="20"/>
              </w:rPr>
              <w:t>2.071</w:t>
            </w:r>
          </w:p>
        </w:tc>
        <w:tc>
          <w:tcPr>
            <w:tcW w:w="869" w:type="dxa"/>
            <w:tcBorders>
              <w:top w:val="single" w:sz="4" w:space="0" w:color="auto"/>
              <w:left w:val="nil"/>
              <w:bottom w:val="single" w:sz="4" w:space="0" w:color="auto"/>
            </w:tcBorders>
            <w:shd w:val="clear" w:color="auto" w:fill="auto"/>
            <w:noWrap/>
            <w:vAlign w:val="center"/>
            <w:hideMark/>
          </w:tcPr>
          <w:p w14:paraId="068B67B9" w14:textId="6C3A1524" w:rsidR="00FE31CB" w:rsidRPr="00B5360C" w:rsidRDefault="00FE31CB" w:rsidP="00FE31CB">
            <w:pPr>
              <w:jc w:val="center"/>
              <w:rPr>
                <w:sz w:val="20"/>
              </w:rPr>
            </w:pPr>
            <w:r w:rsidRPr="00B5360C">
              <w:rPr>
                <w:sz w:val="20"/>
              </w:rPr>
              <w:t>1.911</w:t>
            </w:r>
          </w:p>
        </w:tc>
        <w:tc>
          <w:tcPr>
            <w:tcW w:w="869" w:type="dxa"/>
            <w:tcBorders>
              <w:top w:val="nil"/>
              <w:left w:val="nil"/>
              <w:bottom w:val="single" w:sz="4" w:space="0" w:color="auto"/>
            </w:tcBorders>
            <w:shd w:val="clear" w:color="auto" w:fill="auto"/>
            <w:noWrap/>
            <w:vAlign w:val="center"/>
            <w:hideMark/>
          </w:tcPr>
          <w:p w14:paraId="2D16DE21" w14:textId="16AF4FF8" w:rsidR="00FE31CB" w:rsidRPr="00B5360C" w:rsidRDefault="00FE31CB" w:rsidP="00FE31CB">
            <w:pPr>
              <w:jc w:val="center"/>
              <w:rPr>
                <w:sz w:val="20"/>
              </w:rPr>
            </w:pPr>
            <w:r w:rsidRPr="00B5360C">
              <w:rPr>
                <w:sz w:val="20"/>
              </w:rPr>
              <w:t>1.889</w:t>
            </w:r>
          </w:p>
        </w:tc>
        <w:tc>
          <w:tcPr>
            <w:tcW w:w="871" w:type="dxa"/>
            <w:tcBorders>
              <w:top w:val="single" w:sz="4" w:space="0" w:color="auto"/>
              <w:left w:val="nil"/>
              <w:bottom w:val="single" w:sz="4" w:space="0" w:color="auto"/>
            </w:tcBorders>
            <w:shd w:val="clear" w:color="auto" w:fill="auto"/>
            <w:noWrap/>
            <w:vAlign w:val="center"/>
            <w:hideMark/>
          </w:tcPr>
          <w:p w14:paraId="61545B1F" w14:textId="632F4245" w:rsidR="00FE31CB" w:rsidRPr="00B5360C" w:rsidRDefault="00FE31CB" w:rsidP="00FE31CB">
            <w:pPr>
              <w:jc w:val="center"/>
              <w:rPr>
                <w:sz w:val="20"/>
              </w:rPr>
            </w:pPr>
            <w:r w:rsidRPr="00B5360C">
              <w:rPr>
                <w:sz w:val="20"/>
              </w:rPr>
              <w:t>1.797</w:t>
            </w:r>
          </w:p>
        </w:tc>
        <w:tc>
          <w:tcPr>
            <w:tcW w:w="1472" w:type="dxa"/>
            <w:tcBorders>
              <w:top w:val="nil"/>
              <w:left w:val="nil"/>
              <w:bottom w:val="single" w:sz="4" w:space="0" w:color="auto"/>
            </w:tcBorders>
            <w:shd w:val="clear" w:color="auto" w:fill="auto"/>
            <w:noWrap/>
            <w:vAlign w:val="center"/>
            <w:hideMark/>
          </w:tcPr>
          <w:p w14:paraId="7C38AADF" w14:textId="3E89BE59" w:rsidR="00FE31CB" w:rsidRPr="00B5360C" w:rsidRDefault="00FE31CB" w:rsidP="00FE31CB">
            <w:pPr>
              <w:jc w:val="center"/>
              <w:rPr>
                <w:b/>
                <w:bCs/>
                <w:sz w:val="20"/>
              </w:rPr>
            </w:pPr>
            <w:r w:rsidRPr="00B5360C">
              <w:rPr>
                <w:b/>
                <w:bCs/>
                <w:sz w:val="20"/>
              </w:rPr>
              <w:t>1.917</w:t>
            </w:r>
          </w:p>
        </w:tc>
      </w:tr>
      <w:tr w:rsidR="00B5360C" w:rsidRPr="00B5360C" w14:paraId="4290F784" w14:textId="77777777" w:rsidTr="00FE31CB">
        <w:trPr>
          <w:trHeight w:val="310"/>
          <w:jc w:val="center"/>
        </w:trPr>
        <w:tc>
          <w:tcPr>
            <w:tcW w:w="1620" w:type="dxa"/>
            <w:vMerge/>
            <w:tcBorders>
              <w:top w:val="nil"/>
              <w:bottom w:val="single" w:sz="4" w:space="0" w:color="auto"/>
            </w:tcBorders>
            <w:vAlign w:val="center"/>
            <w:hideMark/>
          </w:tcPr>
          <w:p w14:paraId="102A2775" w14:textId="77777777" w:rsidR="00FE31CB" w:rsidRPr="00B5360C" w:rsidRDefault="00FE31CB" w:rsidP="00FE31CB">
            <w:pPr>
              <w:rPr>
                <w:sz w:val="20"/>
              </w:rPr>
            </w:pPr>
          </w:p>
        </w:tc>
        <w:tc>
          <w:tcPr>
            <w:tcW w:w="1980" w:type="dxa"/>
            <w:tcBorders>
              <w:top w:val="nil"/>
              <w:bottom w:val="single" w:sz="4" w:space="0" w:color="auto"/>
            </w:tcBorders>
            <w:shd w:val="clear" w:color="auto" w:fill="auto"/>
            <w:noWrap/>
            <w:vAlign w:val="center"/>
          </w:tcPr>
          <w:p w14:paraId="3C385FB6" w14:textId="71BF62AB" w:rsidR="00FE31CB" w:rsidRPr="00B5360C" w:rsidRDefault="00FE31CB" w:rsidP="00FE31CB">
            <w:pPr>
              <w:jc w:val="center"/>
              <w:rPr>
                <w:sz w:val="20"/>
              </w:rPr>
            </w:pPr>
            <w:r w:rsidRPr="00B5360C">
              <w:rPr>
                <w:sz w:val="20"/>
              </w:rPr>
              <w:t>Vegetable-based</w:t>
            </w:r>
          </w:p>
        </w:tc>
        <w:tc>
          <w:tcPr>
            <w:tcW w:w="869" w:type="dxa"/>
            <w:tcBorders>
              <w:top w:val="single" w:sz="4" w:space="0" w:color="auto"/>
              <w:bottom w:val="single" w:sz="4" w:space="0" w:color="auto"/>
            </w:tcBorders>
            <w:shd w:val="clear" w:color="auto" w:fill="auto"/>
            <w:noWrap/>
            <w:vAlign w:val="center"/>
            <w:hideMark/>
          </w:tcPr>
          <w:p w14:paraId="59BCA966" w14:textId="4183F781" w:rsidR="00FE31CB" w:rsidRPr="00B5360C" w:rsidRDefault="00FE31CB" w:rsidP="00FE31CB">
            <w:pPr>
              <w:jc w:val="center"/>
              <w:rPr>
                <w:sz w:val="20"/>
              </w:rPr>
            </w:pPr>
            <w:r w:rsidRPr="00B5360C">
              <w:rPr>
                <w:sz w:val="20"/>
              </w:rPr>
              <w:t>1.426</w:t>
            </w:r>
          </w:p>
        </w:tc>
        <w:tc>
          <w:tcPr>
            <w:tcW w:w="869" w:type="dxa"/>
            <w:tcBorders>
              <w:top w:val="single" w:sz="4" w:space="0" w:color="auto"/>
              <w:left w:val="nil"/>
              <w:bottom w:val="single" w:sz="4" w:space="0" w:color="auto"/>
            </w:tcBorders>
            <w:shd w:val="clear" w:color="auto" w:fill="auto"/>
            <w:noWrap/>
            <w:vAlign w:val="center"/>
            <w:hideMark/>
          </w:tcPr>
          <w:p w14:paraId="35BB978E" w14:textId="2FAF430C" w:rsidR="00FE31CB" w:rsidRPr="00B5360C" w:rsidRDefault="00FE31CB" w:rsidP="00FE31CB">
            <w:pPr>
              <w:jc w:val="center"/>
              <w:rPr>
                <w:sz w:val="20"/>
              </w:rPr>
            </w:pPr>
            <w:r w:rsidRPr="00B5360C">
              <w:rPr>
                <w:sz w:val="20"/>
              </w:rPr>
              <w:t>1.496</w:t>
            </w:r>
          </w:p>
        </w:tc>
        <w:tc>
          <w:tcPr>
            <w:tcW w:w="869" w:type="dxa"/>
            <w:tcBorders>
              <w:top w:val="nil"/>
              <w:left w:val="nil"/>
              <w:bottom w:val="single" w:sz="4" w:space="0" w:color="auto"/>
            </w:tcBorders>
            <w:shd w:val="clear" w:color="auto" w:fill="auto"/>
            <w:noWrap/>
            <w:vAlign w:val="center"/>
            <w:hideMark/>
          </w:tcPr>
          <w:p w14:paraId="78B1F2D5" w14:textId="146CFB87" w:rsidR="00FE31CB" w:rsidRPr="00B5360C" w:rsidRDefault="00FE31CB" w:rsidP="00FE31CB">
            <w:pPr>
              <w:jc w:val="center"/>
              <w:rPr>
                <w:sz w:val="20"/>
              </w:rPr>
            </w:pPr>
            <w:r w:rsidRPr="00B5360C">
              <w:rPr>
                <w:sz w:val="20"/>
              </w:rPr>
              <w:t>1.808</w:t>
            </w:r>
          </w:p>
        </w:tc>
        <w:tc>
          <w:tcPr>
            <w:tcW w:w="871" w:type="dxa"/>
            <w:tcBorders>
              <w:top w:val="single" w:sz="4" w:space="0" w:color="auto"/>
              <w:left w:val="nil"/>
              <w:bottom w:val="single" w:sz="4" w:space="0" w:color="auto"/>
            </w:tcBorders>
            <w:shd w:val="clear" w:color="auto" w:fill="auto"/>
            <w:noWrap/>
            <w:vAlign w:val="center"/>
            <w:hideMark/>
          </w:tcPr>
          <w:p w14:paraId="5DBDC3D2" w14:textId="6745C44B" w:rsidR="00FE31CB" w:rsidRPr="00B5360C" w:rsidRDefault="00FE31CB" w:rsidP="00FE31CB">
            <w:pPr>
              <w:jc w:val="center"/>
              <w:rPr>
                <w:sz w:val="20"/>
              </w:rPr>
            </w:pPr>
            <w:r w:rsidRPr="00B5360C">
              <w:rPr>
                <w:sz w:val="20"/>
              </w:rPr>
              <w:t>1.718</w:t>
            </w:r>
          </w:p>
        </w:tc>
        <w:tc>
          <w:tcPr>
            <w:tcW w:w="1472" w:type="dxa"/>
            <w:tcBorders>
              <w:top w:val="nil"/>
              <w:left w:val="nil"/>
              <w:bottom w:val="single" w:sz="4" w:space="0" w:color="auto"/>
            </w:tcBorders>
            <w:shd w:val="clear" w:color="auto" w:fill="auto"/>
            <w:noWrap/>
            <w:vAlign w:val="center"/>
            <w:hideMark/>
          </w:tcPr>
          <w:p w14:paraId="540E459A" w14:textId="624B9CDD" w:rsidR="00FE31CB" w:rsidRPr="00B5360C" w:rsidRDefault="00FE31CB" w:rsidP="00FE31CB">
            <w:pPr>
              <w:jc w:val="center"/>
              <w:rPr>
                <w:b/>
                <w:bCs/>
                <w:sz w:val="20"/>
              </w:rPr>
            </w:pPr>
            <w:r w:rsidRPr="00B5360C">
              <w:rPr>
                <w:b/>
                <w:bCs/>
                <w:sz w:val="20"/>
              </w:rPr>
              <w:t>1.612</w:t>
            </w:r>
          </w:p>
        </w:tc>
      </w:tr>
      <w:tr w:rsidR="00B5360C" w:rsidRPr="00B5360C" w14:paraId="51E28672" w14:textId="77777777" w:rsidTr="00FE31CB">
        <w:trPr>
          <w:trHeight w:val="310"/>
          <w:jc w:val="center"/>
        </w:trPr>
        <w:tc>
          <w:tcPr>
            <w:tcW w:w="1620" w:type="dxa"/>
            <w:vMerge w:val="restart"/>
            <w:tcBorders>
              <w:top w:val="nil"/>
              <w:bottom w:val="single" w:sz="4" w:space="0" w:color="auto"/>
            </w:tcBorders>
            <w:shd w:val="clear" w:color="auto" w:fill="auto"/>
            <w:noWrap/>
            <w:vAlign w:val="center"/>
            <w:hideMark/>
          </w:tcPr>
          <w:p w14:paraId="4E74633C" w14:textId="093FBCDE" w:rsidR="00FE31CB" w:rsidRPr="00B5360C" w:rsidRDefault="00FE31CB" w:rsidP="00FE31CB">
            <w:pPr>
              <w:jc w:val="center"/>
              <w:rPr>
                <w:sz w:val="20"/>
              </w:rPr>
            </w:pPr>
            <w:r w:rsidRPr="00B5360C">
              <w:rPr>
                <w:sz w:val="20"/>
              </w:rPr>
              <w:t>0.75</w:t>
            </w:r>
          </w:p>
        </w:tc>
        <w:tc>
          <w:tcPr>
            <w:tcW w:w="1980" w:type="dxa"/>
            <w:tcBorders>
              <w:top w:val="nil"/>
              <w:bottom w:val="single" w:sz="4" w:space="0" w:color="auto"/>
            </w:tcBorders>
            <w:shd w:val="clear" w:color="auto" w:fill="auto"/>
            <w:noWrap/>
            <w:vAlign w:val="center"/>
          </w:tcPr>
          <w:p w14:paraId="620FDE4B" w14:textId="6BB2D571" w:rsidR="00FE31CB" w:rsidRPr="00B5360C" w:rsidRDefault="00FE31CB" w:rsidP="00FE31CB">
            <w:pPr>
              <w:jc w:val="center"/>
              <w:rPr>
                <w:sz w:val="20"/>
              </w:rPr>
            </w:pPr>
            <w:r w:rsidRPr="00B5360C">
              <w:rPr>
                <w:sz w:val="20"/>
              </w:rPr>
              <w:t>Mineral-based</w:t>
            </w:r>
          </w:p>
        </w:tc>
        <w:tc>
          <w:tcPr>
            <w:tcW w:w="869" w:type="dxa"/>
            <w:tcBorders>
              <w:top w:val="single" w:sz="4" w:space="0" w:color="auto"/>
              <w:bottom w:val="single" w:sz="4" w:space="0" w:color="auto"/>
            </w:tcBorders>
            <w:shd w:val="clear" w:color="auto" w:fill="auto"/>
            <w:noWrap/>
            <w:vAlign w:val="center"/>
            <w:hideMark/>
          </w:tcPr>
          <w:p w14:paraId="15CFD9DC" w14:textId="6284FCFE" w:rsidR="00FE31CB" w:rsidRPr="00B5360C" w:rsidRDefault="00FE31CB" w:rsidP="00FE31CB">
            <w:pPr>
              <w:jc w:val="center"/>
              <w:rPr>
                <w:sz w:val="20"/>
              </w:rPr>
            </w:pPr>
            <w:r w:rsidRPr="00B5360C">
              <w:rPr>
                <w:sz w:val="20"/>
              </w:rPr>
              <w:t>1.957</w:t>
            </w:r>
          </w:p>
        </w:tc>
        <w:tc>
          <w:tcPr>
            <w:tcW w:w="869" w:type="dxa"/>
            <w:tcBorders>
              <w:top w:val="single" w:sz="4" w:space="0" w:color="auto"/>
              <w:left w:val="nil"/>
              <w:bottom w:val="single" w:sz="4" w:space="0" w:color="auto"/>
            </w:tcBorders>
            <w:shd w:val="clear" w:color="auto" w:fill="auto"/>
            <w:noWrap/>
            <w:vAlign w:val="center"/>
            <w:hideMark/>
          </w:tcPr>
          <w:p w14:paraId="61E59500" w14:textId="6DBE8377" w:rsidR="00FE31CB" w:rsidRPr="00B5360C" w:rsidRDefault="00FE31CB" w:rsidP="00FE31CB">
            <w:pPr>
              <w:jc w:val="center"/>
              <w:rPr>
                <w:sz w:val="20"/>
              </w:rPr>
            </w:pPr>
            <w:r w:rsidRPr="00B5360C">
              <w:rPr>
                <w:sz w:val="20"/>
              </w:rPr>
              <w:t>1.494</w:t>
            </w:r>
          </w:p>
        </w:tc>
        <w:tc>
          <w:tcPr>
            <w:tcW w:w="869" w:type="dxa"/>
            <w:tcBorders>
              <w:top w:val="nil"/>
              <w:left w:val="nil"/>
              <w:bottom w:val="single" w:sz="4" w:space="0" w:color="auto"/>
            </w:tcBorders>
            <w:shd w:val="clear" w:color="auto" w:fill="auto"/>
            <w:noWrap/>
            <w:vAlign w:val="center"/>
            <w:hideMark/>
          </w:tcPr>
          <w:p w14:paraId="3F92172A" w14:textId="1FD20BE4" w:rsidR="00FE31CB" w:rsidRPr="00B5360C" w:rsidRDefault="00FE31CB" w:rsidP="00FE31CB">
            <w:pPr>
              <w:jc w:val="center"/>
              <w:rPr>
                <w:sz w:val="20"/>
              </w:rPr>
            </w:pPr>
            <w:r w:rsidRPr="00B5360C">
              <w:rPr>
                <w:sz w:val="20"/>
              </w:rPr>
              <w:t>1.6</w:t>
            </w:r>
          </w:p>
        </w:tc>
        <w:tc>
          <w:tcPr>
            <w:tcW w:w="871" w:type="dxa"/>
            <w:tcBorders>
              <w:top w:val="single" w:sz="4" w:space="0" w:color="auto"/>
              <w:left w:val="nil"/>
              <w:bottom w:val="single" w:sz="4" w:space="0" w:color="auto"/>
            </w:tcBorders>
            <w:shd w:val="clear" w:color="auto" w:fill="auto"/>
            <w:noWrap/>
            <w:vAlign w:val="center"/>
            <w:hideMark/>
          </w:tcPr>
          <w:p w14:paraId="628F6AE4" w14:textId="5D80F0F3" w:rsidR="00FE31CB" w:rsidRPr="00B5360C" w:rsidRDefault="00FE31CB" w:rsidP="00FE31CB">
            <w:pPr>
              <w:jc w:val="center"/>
              <w:rPr>
                <w:sz w:val="20"/>
              </w:rPr>
            </w:pPr>
            <w:r w:rsidRPr="00B5360C">
              <w:rPr>
                <w:sz w:val="20"/>
              </w:rPr>
              <w:t>0.83</w:t>
            </w:r>
          </w:p>
        </w:tc>
        <w:tc>
          <w:tcPr>
            <w:tcW w:w="1472" w:type="dxa"/>
            <w:tcBorders>
              <w:top w:val="nil"/>
              <w:left w:val="nil"/>
              <w:bottom w:val="single" w:sz="4" w:space="0" w:color="auto"/>
            </w:tcBorders>
            <w:shd w:val="clear" w:color="auto" w:fill="auto"/>
            <w:noWrap/>
            <w:vAlign w:val="center"/>
            <w:hideMark/>
          </w:tcPr>
          <w:p w14:paraId="3304955B" w14:textId="34994935" w:rsidR="00FE31CB" w:rsidRPr="00B5360C" w:rsidRDefault="00FE31CB" w:rsidP="00FE31CB">
            <w:pPr>
              <w:jc w:val="center"/>
              <w:rPr>
                <w:b/>
                <w:bCs/>
                <w:sz w:val="20"/>
              </w:rPr>
            </w:pPr>
            <w:r w:rsidRPr="00B5360C">
              <w:rPr>
                <w:b/>
                <w:bCs/>
                <w:sz w:val="20"/>
              </w:rPr>
              <w:t>1.47</w:t>
            </w:r>
          </w:p>
        </w:tc>
      </w:tr>
      <w:tr w:rsidR="00FE31CB" w:rsidRPr="00B5360C" w14:paraId="182B2B5B" w14:textId="77777777" w:rsidTr="00FE31CB">
        <w:trPr>
          <w:trHeight w:val="310"/>
          <w:jc w:val="center"/>
        </w:trPr>
        <w:tc>
          <w:tcPr>
            <w:tcW w:w="1620" w:type="dxa"/>
            <w:vMerge/>
            <w:tcBorders>
              <w:top w:val="nil"/>
              <w:bottom w:val="single" w:sz="4" w:space="0" w:color="auto"/>
            </w:tcBorders>
            <w:vAlign w:val="center"/>
            <w:hideMark/>
          </w:tcPr>
          <w:p w14:paraId="7A4C9AB4" w14:textId="77777777" w:rsidR="00FE31CB" w:rsidRPr="00B5360C" w:rsidRDefault="00FE31CB" w:rsidP="00FE31CB">
            <w:pPr>
              <w:rPr>
                <w:sz w:val="20"/>
              </w:rPr>
            </w:pPr>
          </w:p>
        </w:tc>
        <w:tc>
          <w:tcPr>
            <w:tcW w:w="1980" w:type="dxa"/>
            <w:tcBorders>
              <w:top w:val="nil"/>
              <w:bottom w:val="single" w:sz="4" w:space="0" w:color="auto"/>
            </w:tcBorders>
            <w:shd w:val="clear" w:color="auto" w:fill="auto"/>
            <w:noWrap/>
            <w:vAlign w:val="center"/>
          </w:tcPr>
          <w:p w14:paraId="67D7DCAE" w14:textId="46B337D4" w:rsidR="00FE31CB" w:rsidRPr="00B5360C" w:rsidRDefault="00FE31CB" w:rsidP="00FE31CB">
            <w:pPr>
              <w:jc w:val="center"/>
              <w:rPr>
                <w:sz w:val="20"/>
              </w:rPr>
            </w:pPr>
            <w:r w:rsidRPr="00B5360C">
              <w:rPr>
                <w:sz w:val="20"/>
              </w:rPr>
              <w:t>Vegetable-based</w:t>
            </w:r>
          </w:p>
        </w:tc>
        <w:tc>
          <w:tcPr>
            <w:tcW w:w="869" w:type="dxa"/>
            <w:tcBorders>
              <w:top w:val="single" w:sz="4" w:space="0" w:color="auto"/>
              <w:bottom w:val="single" w:sz="4" w:space="0" w:color="auto"/>
            </w:tcBorders>
            <w:shd w:val="clear" w:color="auto" w:fill="auto"/>
            <w:noWrap/>
            <w:vAlign w:val="center"/>
            <w:hideMark/>
          </w:tcPr>
          <w:p w14:paraId="5F39F1A0" w14:textId="1BFAD795" w:rsidR="00FE31CB" w:rsidRPr="00B5360C" w:rsidRDefault="00FE31CB" w:rsidP="00FE31CB">
            <w:pPr>
              <w:jc w:val="center"/>
              <w:rPr>
                <w:sz w:val="20"/>
              </w:rPr>
            </w:pPr>
            <w:r w:rsidRPr="00B5360C">
              <w:rPr>
                <w:sz w:val="20"/>
              </w:rPr>
              <w:t>0.557</w:t>
            </w:r>
          </w:p>
        </w:tc>
        <w:tc>
          <w:tcPr>
            <w:tcW w:w="869" w:type="dxa"/>
            <w:tcBorders>
              <w:top w:val="single" w:sz="4" w:space="0" w:color="auto"/>
              <w:left w:val="nil"/>
              <w:bottom w:val="single" w:sz="4" w:space="0" w:color="auto"/>
            </w:tcBorders>
            <w:shd w:val="clear" w:color="auto" w:fill="auto"/>
            <w:noWrap/>
            <w:vAlign w:val="center"/>
            <w:hideMark/>
          </w:tcPr>
          <w:p w14:paraId="4CF76EFA" w14:textId="148E8EDB" w:rsidR="00FE31CB" w:rsidRPr="00B5360C" w:rsidRDefault="00FE31CB" w:rsidP="00FE31CB">
            <w:pPr>
              <w:jc w:val="center"/>
              <w:rPr>
                <w:sz w:val="20"/>
              </w:rPr>
            </w:pPr>
            <w:r w:rsidRPr="00B5360C">
              <w:rPr>
                <w:sz w:val="20"/>
              </w:rPr>
              <w:t>0.681</w:t>
            </w:r>
          </w:p>
        </w:tc>
        <w:tc>
          <w:tcPr>
            <w:tcW w:w="869" w:type="dxa"/>
            <w:tcBorders>
              <w:top w:val="nil"/>
              <w:left w:val="nil"/>
              <w:bottom w:val="single" w:sz="4" w:space="0" w:color="auto"/>
            </w:tcBorders>
            <w:shd w:val="clear" w:color="auto" w:fill="auto"/>
            <w:noWrap/>
            <w:vAlign w:val="center"/>
            <w:hideMark/>
          </w:tcPr>
          <w:p w14:paraId="4B693D38" w14:textId="37D134D2" w:rsidR="00FE31CB" w:rsidRPr="00B5360C" w:rsidRDefault="00FE31CB" w:rsidP="00FE31CB">
            <w:pPr>
              <w:jc w:val="center"/>
              <w:rPr>
                <w:sz w:val="20"/>
              </w:rPr>
            </w:pPr>
            <w:r w:rsidRPr="00B5360C">
              <w:rPr>
                <w:sz w:val="20"/>
              </w:rPr>
              <w:t>0.573</w:t>
            </w:r>
          </w:p>
        </w:tc>
        <w:tc>
          <w:tcPr>
            <w:tcW w:w="871" w:type="dxa"/>
            <w:tcBorders>
              <w:top w:val="single" w:sz="4" w:space="0" w:color="auto"/>
              <w:left w:val="nil"/>
              <w:bottom w:val="single" w:sz="4" w:space="0" w:color="auto"/>
            </w:tcBorders>
            <w:shd w:val="clear" w:color="auto" w:fill="auto"/>
            <w:noWrap/>
            <w:vAlign w:val="center"/>
            <w:hideMark/>
          </w:tcPr>
          <w:p w14:paraId="1F5E635D" w14:textId="7B63C790" w:rsidR="00FE31CB" w:rsidRPr="00B5360C" w:rsidRDefault="00FE31CB" w:rsidP="00FE31CB">
            <w:pPr>
              <w:jc w:val="center"/>
              <w:rPr>
                <w:sz w:val="20"/>
              </w:rPr>
            </w:pPr>
            <w:r w:rsidRPr="00B5360C">
              <w:rPr>
                <w:sz w:val="20"/>
              </w:rPr>
              <w:t>0.849</w:t>
            </w:r>
          </w:p>
        </w:tc>
        <w:tc>
          <w:tcPr>
            <w:tcW w:w="1472" w:type="dxa"/>
            <w:tcBorders>
              <w:top w:val="nil"/>
              <w:left w:val="nil"/>
              <w:bottom w:val="single" w:sz="4" w:space="0" w:color="auto"/>
            </w:tcBorders>
            <w:shd w:val="clear" w:color="auto" w:fill="auto"/>
            <w:noWrap/>
            <w:vAlign w:val="center"/>
            <w:hideMark/>
          </w:tcPr>
          <w:p w14:paraId="0316AE59" w14:textId="74338F14" w:rsidR="00FE31CB" w:rsidRPr="00B5360C" w:rsidRDefault="00FE31CB" w:rsidP="00FE31CB">
            <w:pPr>
              <w:keepNext/>
              <w:jc w:val="center"/>
              <w:rPr>
                <w:b/>
                <w:bCs/>
                <w:sz w:val="20"/>
              </w:rPr>
            </w:pPr>
            <w:r w:rsidRPr="00B5360C">
              <w:rPr>
                <w:b/>
                <w:bCs/>
                <w:sz w:val="20"/>
              </w:rPr>
              <w:t>0.665</w:t>
            </w:r>
          </w:p>
        </w:tc>
      </w:tr>
    </w:tbl>
    <w:p w14:paraId="0F62B758" w14:textId="77777777" w:rsidR="00BB7929" w:rsidRPr="00B5360C" w:rsidRDefault="00BB7929" w:rsidP="00BB7929">
      <w:pPr>
        <w:pStyle w:val="Paragraph"/>
      </w:pPr>
    </w:p>
    <w:p w14:paraId="3376E7FB" w14:textId="44A82AD6" w:rsidR="00BB7929" w:rsidRPr="00B5360C" w:rsidRDefault="00BB7929" w:rsidP="00BB7929">
      <w:pPr>
        <w:pStyle w:val="Paragraph"/>
      </w:pPr>
      <w:r w:rsidRPr="00B5360C">
        <w:t xml:space="preserve">As observed in </w:t>
      </w:r>
      <w:r w:rsidR="00407665" w:rsidRPr="00B5360C">
        <w:rPr>
          <w:b/>
          <w:bCs/>
        </w:rPr>
        <w:t>TABLE 1</w:t>
      </w:r>
      <w:r w:rsidRPr="00B5360C">
        <w:t>, the combination of feed rate and coolant type has a substantial impact on the surface roughness values. The results can be grouped into three main categories based on feed rate.</w:t>
      </w:r>
      <w:r w:rsidR="00407665" w:rsidRPr="00B5360C">
        <w:t xml:space="preserve"> </w:t>
      </w:r>
      <w:r w:rsidRPr="00B5360C">
        <w:t>In the first group, at a feed rate of 0.35 mm/rev, the highest surface roughness values were recorded, with the mineral-based coolant yielding an average Ra of 2.127 µm, and the vegetable-based coolant showing an even higher average of 2.669 µm.</w:t>
      </w:r>
      <w:r w:rsidR="00407665" w:rsidRPr="00B5360C">
        <w:t xml:space="preserve"> </w:t>
      </w:r>
      <w:r w:rsidRPr="00B5360C">
        <w:t>In the second group, at 0.50 mm/rev, the surface roughness values were reduced, with the mineral-based coolant achieving an average Ra of 1.917 µm, and the vegetable-based coolant showing an improved result of 1.612 µm.</w:t>
      </w:r>
      <w:r w:rsidR="00407665" w:rsidRPr="00B5360C">
        <w:t xml:space="preserve"> </w:t>
      </w:r>
      <w:r w:rsidRPr="00B5360C">
        <w:t>The third group, at a feed rate of 0.75 mm/rev, produced the smoothest surfaces. The vegetable-based coolant yielded the lowest average Ra of 0.665 µm, while the mineral-based coolant resulted in 1.470 µm.</w:t>
      </w:r>
      <w:r w:rsidR="00407665" w:rsidRPr="00B5360C">
        <w:t xml:space="preserve"> </w:t>
      </w:r>
      <w:r w:rsidRPr="00B5360C">
        <w:t xml:space="preserve">These trends are visually presented in </w:t>
      </w:r>
      <w:r w:rsidR="00407665" w:rsidRPr="00B5360C">
        <w:rPr>
          <w:b/>
          <w:bCs/>
        </w:rPr>
        <w:t>FIGURE 4</w:t>
      </w:r>
      <w:r w:rsidRPr="00B5360C">
        <w:t>, which compares the average surface roughness values across all tested combinations of feed rate and coolant.</w:t>
      </w:r>
    </w:p>
    <w:p w14:paraId="73AE5BF3" w14:textId="7ADD84F7" w:rsidR="00BB7929" w:rsidRPr="00B5360C" w:rsidRDefault="00514CDD" w:rsidP="00514CDD">
      <w:pPr>
        <w:pStyle w:val="Paragraph"/>
        <w:ind w:firstLine="0"/>
        <w:jc w:val="center"/>
      </w:pPr>
      <w:r w:rsidRPr="00B5360C">
        <w:rPr>
          <w:noProof/>
        </w:rPr>
        <w:lastRenderedPageBreak/>
        <w:drawing>
          <wp:inline distT="0" distB="0" distL="0" distR="0" wp14:anchorId="1F42EAAC" wp14:editId="24E5ADB2">
            <wp:extent cx="4572000" cy="2743200"/>
            <wp:effectExtent l="0" t="0" r="0" b="0"/>
            <wp:docPr id="1" name="Chart 1">
              <a:extLst xmlns:a="http://schemas.openxmlformats.org/drawingml/2006/main">
                <a:ext uri="{FF2B5EF4-FFF2-40B4-BE49-F238E27FC236}">
                  <a16:creationId xmlns:a16="http://schemas.microsoft.com/office/drawing/2014/main" id="{E3641C33-65C7-4297-BF93-0E37D7C32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0A7C55" w14:textId="794E0660" w:rsidR="00BB7929" w:rsidRPr="00B5360C" w:rsidRDefault="00407665" w:rsidP="00407665">
      <w:pPr>
        <w:pStyle w:val="Paragraph"/>
        <w:ind w:firstLine="0"/>
        <w:jc w:val="center"/>
      </w:pPr>
      <w:r w:rsidRPr="00B5360C">
        <w:rPr>
          <w:b/>
          <w:bCs/>
        </w:rPr>
        <w:t>FIGURE 4</w:t>
      </w:r>
      <w:r w:rsidR="00BB7929" w:rsidRPr="00B5360C">
        <w:t>. Graph of Feed Rate and Coolant Type vs. Surface Roughness (Ra)</w:t>
      </w:r>
    </w:p>
    <w:p w14:paraId="44507084" w14:textId="77777777" w:rsidR="00BB7929" w:rsidRPr="00B5360C" w:rsidRDefault="00BB7929" w:rsidP="00BB7929">
      <w:pPr>
        <w:pStyle w:val="Paragraph"/>
      </w:pPr>
    </w:p>
    <w:p w14:paraId="5CF9552A" w14:textId="043917E0" w:rsidR="00BB7929" w:rsidRPr="00B5360C" w:rsidRDefault="00BB7929" w:rsidP="00BB7929">
      <w:pPr>
        <w:pStyle w:val="Paragraph"/>
      </w:pPr>
      <w:r w:rsidRPr="00B5360C">
        <w:t xml:space="preserve">From </w:t>
      </w:r>
      <w:r w:rsidR="00407665" w:rsidRPr="00B5360C">
        <w:rPr>
          <w:b/>
          <w:bCs/>
        </w:rPr>
        <w:t>FIGURE 4</w:t>
      </w:r>
      <w:r w:rsidRPr="00B5360C">
        <w:t>, it is evident that the highest average surface roughness was recorded at the lowest feed rate of 0.35 mm/rev using the vegetable-based coolant, while the smoothest surface was achieved at the highest feed rate of 0.75 mm/rev using the same coolant. This finding may appear counterintuitive, as higher feed rates are often associated with increased surface roughness. However, in this study, within the range of parameters tested, the increased feed rate possibly promoted better chip formation and heat dissipation, contributing to a smoother surface finish.</w:t>
      </w:r>
    </w:p>
    <w:p w14:paraId="4A40B9A3" w14:textId="77777777" w:rsidR="00BB7929" w:rsidRPr="00B5360C" w:rsidRDefault="00BB7929" w:rsidP="00BB7929">
      <w:pPr>
        <w:pStyle w:val="Paragraph"/>
      </w:pPr>
      <w:r w:rsidRPr="00B5360C">
        <w:t>Moreover, the results indicate that coolant type plays a significant role in determining surface quality. In all three feed rate conditions, the vegetable-based coolant consistently produced lower surface roughness values compared to the mineral-based coolant. This supports the hypothesis that vegetable-based coolants may provide better lubrication and heat transfer properties under mist cooling conditions.</w:t>
      </w:r>
    </w:p>
    <w:p w14:paraId="1D72CC49" w14:textId="77777777" w:rsidR="00BB7929" w:rsidRPr="00B5360C" w:rsidRDefault="00BB7929" w:rsidP="00BB7929">
      <w:pPr>
        <w:pStyle w:val="Paragraph"/>
      </w:pPr>
      <w:r w:rsidRPr="00B5360C">
        <w:t xml:space="preserve">The findings align with previous studies. For instance, </w:t>
      </w:r>
      <w:proofErr w:type="spellStart"/>
      <w:r w:rsidRPr="00B5360C">
        <w:t>Utomo</w:t>
      </w:r>
      <w:proofErr w:type="spellEnd"/>
      <w:r w:rsidRPr="00B5360C">
        <w:t xml:space="preserve"> [30] reported that a mixture of palm oil-based coolant and lubricating oil resulted in lower surface roughness compared to synthetic coolants. Similarly, Purnomo et al. [31] found that palm oil yielded the lowest surface roughness value of 5.21 µm in the turning of low-carbon steel. Although the numerical values differ due to variations in material, tool geometry, and machining parameters, the overall trend reinforces the potential of vegetable-based coolants in improving surface finish.</w:t>
      </w:r>
    </w:p>
    <w:p w14:paraId="1EA925E6" w14:textId="0A5FF84D" w:rsidR="00BB7929" w:rsidRPr="00B5360C" w:rsidRDefault="00BB7929" w:rsidP="00BB7929">
      <w:pPr>
        <w:pStyle w:val="Paragraph"/>
      </w:pPr>
      <w:r w:rsidRPr="00B5360C">
        <w:t>This study also confirms that within acceptable cutting conditions, increasing the feed rate can lead to reduced surface roughness, particularly when combined with an effective coolant. These results may inform future research and industrial applications in sustainable machining, where surface quality and environmental impact are both critical considerations.</w:t>
      </w:r>
    </w:p>
    <w:p w14:paraId="1C07BAEA" w14:textId="33363A32" w:rsidR="002E6F1D" w:rsidRPr="00B5360C" w:rsidRDefault="002E6F1D" w:rsidP="002E6F1D">
      <w:pPr>
        <w:pStyle w:val="Heading1"/>
        <w:rPr>
          <w:b w:val="0"/>
          <w:caps w:val="0"/>
          <w:sz w:val="20"/>
        </w:rPr>
      </w:pPr>
      <w:r w:rsidRPr="00B5360C">
        <w:rPr>
          <w:rFonts w:asciiTheme="majorBidi" w:hAnsiTheme="majorBidi" w:cstheme="majorBidi"/>
        </w:rPr>
        <w:t>CONCLUSION</w:t>
      </w:r>
    </w:p>
    <w:p w14:paraId="6F9A6278" w14:textId="01188AFA" w:rsidR="002E6F1D" w:rsidRPr="00B5360C" w:rsidRDefault="00407665" w:rsidP="00EF1754">
      <w:pPr>
        <w:pStyle w:val="Paragraph"/>
      </w:pPr>
      <w:r w:rsidRPr="00B5360C">
        <w:rPr>
          <w:rFonts w:asciiTheme="majorBidi" w:hAnsiTheme="majorBidi" w:cstheme="majorBidi"/>
        </w:rPr>
        <w:t xml:space="preserve">This study examined the effect of </w:t>
      </w:r>
      <w:proofErr w:type="spellStart"/>
      <w:r w:rsidRPr="00B5360C">
        <w:rPr>
          <w:rFonts w:asciiTheme="majorBidi" w:hAnsiTheme="majorBidi" w:cstheme="majorBidi"/>
        </w:rPr>
        <w:t>feedrate</w:t>
      </w:r>
      <w:proofErr w:type="spellEnd"/>
      <w:r w:rsidRPr="00B5360C">
        <w:rPr>
          <w:rFonts w:asciiTheme="majorBidi" w:hAnsiTheme="majorBidi" w:cstheme="majorBidi"/>
        </w:rPr>
        <w:t xml:space="preserve"> variation and the type of cutting fluid on surface roughness in the turning process of AISI 4140 steel under wet machining conditions. The experimental results showed that both parameters—</w:t>
      </w:r>
      <w:proofErr w:type="spellStart"/>
      <w:r w:rsidRPr="00B5360C">
        <w:rPr>
          <w:rFonts w:asciiTheme="majorBidi" w:hAnsiTheme="majorBidi" w:cstheme="majorBidi"/>
        </w:rPr>
        <w:t>feedrate</w:t>
      </w:r>
      <w:proofErr w:type="spellEnd"/>
      <w:r w:rsidRPr="00B5360C">
        <w:rPr>
          <w:rFonts w:asciiTheme="majorBidi" w:hAnsiTheme="majorBidi" w:cstheme="majorBidi"/>
        </w:rPr>
        <w:t xml:space="preserve"> and cutting fluid—significantly influenced the final surface quality of the machined workpiece. An increase in </w:t>
      </w:r>
      <w:proofErr w:type="spellStart"/>
      <w:r w:rsidRPr="00B5360C">
        <w:rPr>
          <w:rFonts w:asciiTheme="majorBidi" w:hAnsiTheme="majorBidi" w:cstheme="majorBidi"/>
        </w:rPr>
        <w:t>feedrate</w:t>
      </w:r>
      <w:proofErr w:type="spellEnd"/>
      <w:r w:rsidRPr="00B5360C">
        <w:rPr>
          <w:rFonts w:asciiTheme="majorBidi" w:hAnsiTheme="majorBidi" w:cstheme="majorBidi"/>
        </w:rPr>
        <w:t xml:space="preserve"> from 0.35 mm/rev to 0.75 mm/rev consistently led to a reduction in surface roughness, with the lowest Ra value recorded at 0.665 µm using palm oil as the cutting fluid. In comparison, the use of </w:t>
      </w:r>
      <w:proofErr w:type="spellStart"/>
      <w:r w:rsidRPr="00B5360C">
        <w:rPr>
          <w:rFonts w:asciiTheme="majorBidi" w:hAnsiTheme="majorBidi" w:cstheme="majorBidi"/>
        </w:rPr>
        <w:t>dromus</w:t>
      </w:r>
      <w:proofErr w:type="spellEnd"/>
      <w:r w:rsidRPr="00B5360C">
        <w:rPr>
          <w:rFonts w:asciiTheme="majorBidi" w:hAnsiTheme="majorBidi" w:cstheme="majorBidi"/>
        </w:rPr>
        <w:t xml:space="preserve"> produced generally higher roughness values across all </w:t>
      </w:r>
      <w:proofErr w:type="spellStart"/>
      <w:r w:rsidRPr="00B5360C">
        <w:rPr>
          <w:rFonts w:asciiTheme="majorBidi" w:hAnsiTheme="majorBidi" w:cstheme="majorBidi"/>
        </w:rPr>
        <w:t>feedrates</w:t>
      </w:r>
      <w:proofErr w:type="spellEnd"/>
      <w:r w:rsidRPr="00B5360C">
        <w:rPr>
          <w:rFonts w:asciiTheme="majorBidi" w:hAnsiTheme="majorBidi" w:cstheme="majorBidi"/>
        </w:rPr>
        <w:t>. These findings indicate that palm oil, a biodegradable and sustainable fluid, has the potential to serve as an effective alternative to synthetic cutting fluids for achieving finer surface finishes in turning operations. Furthermore, the observed trends align with previous studies in the field, thereby strengthening the case for adopting bio-based cutting fluids in environmentally conscious manufacturing practices. All experiments were performed using standard laboratory equipment and procedures without involving proprietary industrial technologies, ensuring the results are suitable for open academic dissemination.</w:t>
      </w:r>
    </w:p>
    <w:p w14:paraId="3FADAC35" w14:textId="2162CB9B" w:rsidR="002E6F1D" w:rsidRPr="00B5360C" w:rsidRDefault="002E6F1D" w:rsidP="002E6F1D">
      <w:pPr>
        <w:pStyle w:val="Heading1"/>
        <w:rPr>
          <w:b w:val="0"/>
          <w:caps w:val="0"/>
          <w:sz w:val="20"/>
        </w:rPr>
      </w:pPr>
      <w:r w:rsidRPr="00B5360C">
        <w:rPr>
          <w:rFonts w:asciiTheme="majorBidi" w:hAnsiTheme="majorBidi" w:cstheme="majorBidi"/>
        </w:rPr>
        <w:lastRenderedPageBreak/>
        <w:t>References</w:t>
      </w:r>
    </w:p>
    <w:p w14:paraId="01040F2E" w14:textId="1A455EC2" w:rsidR="007E5B80" w:rsidRPr="00B5360C" w:rsidRDefault="007E5B80" w:rsidP="007E5B80">
      <w:pPr>
        <w:pStyle w:val="Reference"/>
      </w:pPr>
      <w:r w:rsidRPr="00B5360C">
        <w:t xml:space="preserve">A. </w:t>
      </w:r>
      <w:proofErr w:type="spellStart"/>
      <w:r w:rsidRPr="00B5360C">
        <w:t>Rachmat</w:t>
      </w:r>
      <w:proofErr w:type="spellEnd"/>
      <w:r w:rsidRPr="00B5360C">
        <w:t xml:space="preserve">, F. B. Kurniawan, and D. R. </w:t>
      </w:r>
      <w:proofErr w:type="spellStart"/>
      <w:r w:rsidRPr="00B5360C">
        <w:t>Utomo</w:t>
      </w:r>
      <w:proofErr w:type="spellEnd"/>
      <w:r w:rsidRPr="00B5360C">
        <w:t>, "The Effect of Variations in Coolant Type on Surface Roughness in Low Carbon Steel Turning Process," J. Mech. Eng. Appl. 8, 10–15 (2022).</w:t>
      </w:r>
    </w:p>
    <w:p w14:paraId="571615D3" w14:textId="43639066" w:rsidR="007E5B80" w:rsidRPr="00B5360C" w:rsidRDefault="007E5B80" w:rsidP="007E5B80">
      <w:pPr>
        <w:pStyle w:val="Reference"/>
      </w:pPr>
      <w:r w:rsidRPr="00B5360C">
        <w:t xml:space="preserve">A. </w:t>
      </w:r>
      <w:proofErr w:type="spellStart"/>
      <w:r w:rsidRPr="00B5360C">
        <w:t>Nurhasanah</w:t>
      </w:r>
      <w:proofErr w:type="spellEnd"/>
      <w:r w:rsidRPr="00B5360C">
        <w:t xml:space="preserve">, D. A. </w:t>
      </w:r>
      <w:proofErr w:type="spellStart"/>
      <w:r w:rsidRPr="00B5360C">
        <w:t>Haroen</w:t>
      </w:r>
      <w:proofErr w:type="spellEnd"/>
      <w:r w:rsidRPr="00B5360C">
        <w:t>, and A. S. Prabowo, "Experimental Study on the Effect of Vegetable-Based Cutting Fluids on Surface Roughness of AISI 1045 Steel," J. Appl. Mech. Eng. 11, 87–94 (2021).</w:t>
      </w:r>
    </w:p>
    <w:p w14:paraId="6D68F2E9" w14:textId="2860436C" w:rsidR="007E5B80" w:rsidRPr="00B5360C" w:rsidRDefault="007E5B80" w:rsidP="007E5B80">
      <w:pPr>
        <w:pStyle w:val="Reference"/>
      </w:pPr>
      <w:r w:rsidRPr="00B5360C">
        <w:t xml:space="preserve">D. R. </w:t>
      </w:r>
      <w:proofErr w:type="spellStart"/>
      <w:r w:rsidRPr="00B5360C">
        <w:t>Utomo</w:t>
      </w:r>
      <w:proofErr w:type="spellEnd"/>
      <w:r w:rsidRPr="00B5360C">
        <w:t xml:space="preserve">, "Application of mixed cooling lubricant (MCL) of palm oil and </w:t>
      </w:r>
      <w:proofErr w:type="spellStart"/>
      <w:r w:rsidRPr="00B5360C">
        <w:t>Meditran</w:t>
      </w:r>
      <w:proofErr w:type="spellEnd"/>
      <w:r w:rsidRPr="00B5360C">
        <w:t xml:space="preserve"> oil on the turning process of mild steel," J. Eng. Technol. Sci. 54, 441–450 (2022).</w:t>
      </w:r>
    </w:p>
    <w:p w14:paraId="048A46D0" w14:textId="7B28465E" w:rsidR="007E5B80" w:rsidRPr="00B5360C" w:rsidRDefault="007E5B80" w:rsidP="007E5B80">
      <w:pPr>
        <w:pStyle w:val="Reference"/>
      </w:pPr>
      <w:r w:rsidRPr="00B5360C">
        <w:t xml:space="preserve">P. D. Purnomo, A. </w:t>
      </w:r>
      <w:proofErr w:type="spellStart"/>
      <w:r w:rsidRPr="00B5360C">
        <w:t>Afriansyah</w:t>
      </w:r>
      <w:proofErr w:type="spellEnd"/>
      <w:r w:rsidRPr="00B5360C">
        <w:t>, and H. S. Nugroho, "Comparative Study of Surface Roughness on Carbon Steel Using Synthetic and Vegetable-Based Coolants," J. Mach. Manuf. Process. 13, 72–78 (2021).</w:t>
      </w:r>
    </w:p>
    <w:p w14:paraId="57C63008" w14:textId="46F731A9" w:rsidR="007E5B80" w:rsidRPr="00B5360C" w:rsidRDefault="007E5B80" w:rsidP="007E5B80">
      <w:pPr>
        <w:pStyle w:val="Reference"/>
      </w:pPr>
      <w:r w:rsidRPr="00B5360C">
        <w:t xml:space="preserve">F. </w:t>
      </w:r>
      <w:proofErr w:type="spellStart"/>
      <w:r w:rsidRPr="00B5360C">
        <w:t>Ardiyansah</w:t>
      </w:r>
      <w:proofErr w:type="spellEnd"/>
      <w:r w:rsidRPr="00B5360C">
        <w:t xml:space="preserve">, M. </w:t>
      </w:r>
      <w:proofErr w:type="spellStart"/>
      <w:r w:rsidRPr="00B5360C">
        <w:t>Mulyana</w:t>
      </w:r>
      <w:proofErr w:type="spellEnd"/>
      <w:r w:rsidRPr="00B5360C">
        <w:t xml:space="preserve">, and I. D. Susanto, " The Effect of Cutting Speed and Feed Rate on Surface Roughness in the Turning Process of AISI 4140 Steel," J. </w:t>
      </w:r>
      <w:proofErr w:type="spellStart"/>
      <w:r w:rsidRPr="00B5360C">
        <w:t>Ilm</w:t>
      </w:r>
      <w:proofErr w:type="spellEnd"/>
      <w:r w:rsidRPr="00B5360C">
        <w:t xml:space="preserve">. Tek. </w:t>
      </w:r>
      <w:proofErr w:type="spellStart"/>
      <w:r w:rsidRPr="00B5360C">
        <w:t>Mesin</w:t>
      </w:r>
      <w:proofErr w:type="spellEnd"/>
      <w:r w:rsidRPr="00B5360C">
        <w:t xml:space="preserve"> 9, 24–30 (2020).</w:t>
      </w:r>
    </w:p>
    <w:p w14:paraId="75F5B7A0" w14:textId="77777777" w:rsidR="007E5B80" w:rsidRPr="00B5360C" w:rsidRDefault="007E5B80" w:rsidP="007E5B80">
      <w:pPr>
        <w:pStyle w:val="Reference"/>
      </w:pPr>
      <w:r w:rsidRPr="00B5360C">
        <w:t xml:space="preserve">M. Yusuf, M. S. Putra, and S. H. </w:t>
      </w:r>
      <w:proofErr w:type="spellStart"/>
      <w:r w:rsidRPr="00B5360C">
        <w:t>Prasetyo</w:t>
      </w:r>
      <w:proofErr w:type="spellEnd"/>
      <w:r w:rsidRPr="00B5360C">
        <w:t>, "Analysis of cutting fluid effectiveness on surface roughness during turning process of AISI 1045 steel," J. Phys.: Conf. Ser. 1375, 012030 (2019).</w:t>
      </w:r>
    </w:p>
    <w:p w14:paraId="6E926FA1" w14:textId="71D0E0C5" w:rsidR="007E5B80" w:rsidRPr="00B5360C" w:rsidRDefault="007E5B80" w:rsidP="007E5B80">
      <w:pPr>
        <w:pStyle w:val="Reference"/>
      </w:pPr>
      <w:r w:rsidRPr="00B5360C">
        <w:t xml:space="preserve">D. S. Nugroho and E. </w:t>
      </w:r>
      <w:proofErr w:type="spellStart"/>
      <w:r w:rsidRPr="00B5360C">
        <w:t>Riyanto</w:t>
      </w:r>
      <w:proofErr w:type="spellEnd"/>
      <w:r w:rsidRPr="00B5360C">
        <w:t>, "Effect of vegetable-based cutting fluids on machining performance," J. Mech. Eng. Res. 5, 45–50 (2021).</w:t>
      </w:r>
    </w:p>
    <w:p w14:paraId="02D17318" w14:textId="025812CE" w:rsidR="007E5B80" w:rsidRPr="00B5360C" w:rsidRDefault="007E5B80" w:rsidP="007E5B80">
      <w:pPr>
        <w:pStyle w:val="Reference"/>
      </w:pPr>
      <w:r w:rsidRPr="00B5360C">
        <w:t xml:space="preserve">T. Wibowo, S. P. </w:t>
      </w:r>
      <w:proofErr w:type="spellStart"/>
      <w:r w:rsidRPr="00B5360C">
        <w:t>Utomo</w:t>
      </w:r>
      <w:proofErr w:type="spellEnd"/>
      <w:r w:rsidRPr="00B5360C">
        <w:t xml:space="preserve">, and L. H. </w:t>
      </w:r>
      <w:proofErr w:type="spellStart"/>
      <w:r w:rsidRPr="00B5360C">
        <w:t>Dewanto</w:t>
      </w:r>
      <w:proofErr w:type="spellEnd"/>
      <w:r w:rsidRPr="00B5360C">
        <w:t>, "Comparison of synthetic and natural cutting fluids in turning operations," AIP Conf. Proc. 2230, 060014 (2020).</w:t>
      </w:r>
    </w:p>
    <w:p w14:paraId="38392015" w14:textId="72B2270C" w:rsidR="007E5B80" w:rsidRPr="00B5360C" w:rsidRDefault="007E5B80" w:rsidP="007E5B80">
      <w:pPr>
        <w:pStyle w:val="Reference"/>
      </w:pPr>
      <w:r w:rsidRPr="00B5360C">
        <w:t xml:space="preserve">M. H. Ramadhan, "Investigation of cooling performance of palm oil-based cutting fluids," Int. J. Eng. Tech. </w:t>
      </w:r>
      <w:proofErr w:type="spellStart"/>
      <w:r w:rsidRPr="00B5360C">
        <w:t>Innov</w:t>
      </w:r>
      <w:proofErr w:type="spellEnd"/>
      <w:r w:rsidRPr="00B5360C">
        <w:t>. 9, 89–95 (2020).</w:t>
      </w:r>
    </w:p>
    <w:p w14:paraId="0290A099" w14:textId="2D43C779" w:rsidR="007E5B80" w:rsidRPr="00B5360C" w:rsidRDefault="007E5B80" w:rsidP="007E5B80">
      <w:pPr>
        <w:pStyle w:val="Reference"/>
      </w:pPr>
      <w:r w:rsidRPr="00B5360C">
        <w:t>S. Widodo and A. Kurniawan, "Analysis of tool wear and surface finish using biodegradable cutting fluid," J. Appl. Mech. 14, 102–107 (2022).</w:t>
      </w:r>
    </w:p>
    <w:p w14:paraId="016DC555" w14:textId="0FFB33C3" w:rsidR="007E5B80" w:rsidRPr="00B5360C" w:rsidRDefault="007E5B80" w:rsidP="007E5B80">
      <w:pPr>
        <w:pStyle w:val="Reference"/>
      </w:pPr>
      <w:r w:rsidRPr="00B5360C">
        <w:t xml:space="preserve">L. T. </w:t>
      </w:r>
      <w:proofErr w:type="spellStart"/>
      <w:r w:rsidRPr="00B5360C">
        <w:t>Santoso</w:t>
      </w:r>
      <w:proofErr w:type="spellEnd"/>
      <w:r w:rsidRPr="00B5360C">
        <w:t xml:space="preserve"> et al., "Effectiveness of bio-based coolant on machining AISI 4140," J. Mech. Sci. Tech. 35, 217–225 (2021).</w:t>
      </w:r>
    </w:p>
    <w:p w14:paraId="6B3806C0" w14:textId="2796B335" w:rsidR="007E5B80" w:rsidRPr="00B5360C" w:rsidRDefault="007E5B80" w:rsidP="007E5B80">
      <w:pPr>
        <w:pStyle w:val="Reference"/>
      </w:pPr>
      <w:r w:rsidRPr="00B5360C">
        <w:t xml:space="preserve">R. A. </w:t>
      </w:r>
      <w:proofErr w:type="spellStart"/>
      <w:r w:rsidRPr="00B5360C">
        <w:t>Fauzan</w:t>
      </w:r>
      <w:proofErr w:type="spellEnd"/>
      <w:r w:rsidRPr="00B5360C">
        <w:t xml:space="preserve"> and M. I. Ridwan, "Performance comparison of palm oil and synthetic coolant in metal cutting," AIP Conf. Proc. 2354, 050007 (2021).</w:t>
      </w:r>
    </w:p>
    <w:p w14:paraId="5F67DF6A" w14:textId="3D2EFB49" w:rsidR="007E5B80" w:rsidRPr="00B5360C" w:rsidRDefault="007E5B80" w:rsidP="007E5B80">
      <w:pPr>
        <w:pStyle w:val="Reference"/>
      </w:pPr>
      <w:r w:rsidRPr="00B5360C">
        <w:t>S. M. Hakim et al., "Evaluation of surface roughness under different cutting environments," IOP Conf. Ser.: Mater. Sci. Eng. 1087, 012023 (2021).</w:t>
      </w:r>
    </w:p>
    <w:p w14:paraId="2EF2D347" w14:textId="4B344AC0" w:rsidR="007E5B80" w:rsidRPr="00B5360C" w:rsidRDefault="007E5B80" w:rsidP="007E5B80">
      <w:pPr>
        <w:pStyle w:val="Reference"/>
      </w:pPr>
      <w:r w:rsidRPr="00B5360C">
        <w:t xml:space="preserve">A. H. </w:t>
      </w:r>
      <w:proofErr w:type="spellStart"/>
      <w:r w:rsidRPr="00B5360C">
        <w:t>Nasution</w:t>
      </w:r>
      <w:proofErr w:type="spellEnd"/>
      <w:r w:rsidRPr="00B5360C">
        <w:t xml:space="preserve"> and M. </w:t>
      </w:r>
      <w:proofErr w:type="spellStart"/>
      <w:r w:rsidRPr="00B5360C">
        <w:t>Siregar</w:t>
      </w:r>
      <w:proofErr w:type="spellEnd"/>
      <w:r w:rsidRPr="00B5360C">
        <w:t>, "Experimental study on sustainable cutting fluids," Appl. Mech. Mater. 889, 188–194 (2020).</w:t>
      </w:r>
    </w:p>
    <w:p w14:paraId="34A0289B" w14:textId="0DFB619F" w:rsidR="007E5B80" w:rsidRPr="00B5360C" w:rsidRDefault="007E5B80" w:rsidP="007E5B80">
      <w:pPr>
        <w:pStyle w:val="Reference"/>
      </w:pPr>
      <w:r w:rsidRPr="00B5360C">
        <w:t xml:space="preserve">F. </w:t>
      </w:r>
      <w:proofErr w:type="spellStart"/>
      <w:r w:rsidRPr="00B5360C">
        <w:t>Firmansyah</w:t>
      </w:r>
      <w:proofErr w:type="spellEnd"/>
      <w:r w:rsidRPr="00B5360C">
        <w:t xml:space="preserve">, D. H. </w:t>
      </w:r>
      <w:proofErr w:type="spellStart"/>
      <w:r w:rsidRPr="00B5360C">
        <w:t>Prasetyo</w:t>
      </w:r>
      <w:proofErr w:type="spellEnd"/>
      <w:r w:rsidRPr="00B5360C">
        <w:t>, and H. S. Nugroho, "Effect of coolant type on machining efficiency," Int. J. Adv. Manuf. Tech. 107, 3215–3222 (2020).</w:t>
      </w:r>
    </w:p>
    <w:p w14:paraId="7F4285AA" w14:textId="21F07CD0" w:rsidR="007E5B80" w:rsidRPr="00B5360C" w:rsidRDefault="007E5B80" w:rsidP="007E5B80">
      <w:pPr>
        <w:pStyle w:val="Reference"/>
      </w:pPr>
      <w:r w:rsidRPr="00B5360C">
        <w:t xml:space="preserve">T. S. </w:t>
      </w:r>
      <w:proofErr w:type="spellStart"/>
      <w:r w:rsidRPr="00B5360C">
        <w:t>Wulandari</w:t>
      </w:r>
      <w:proofErr w:type="spellEnd"/>
      <w:r w:rsidRPr="00B5360C">
        <w:t xml:space="preserve"> et al., "Turning AISI 1045 using palm oil coolant," IOP Conf. Ser.: Mater. Sci. Eng. 1146, 012098 (2021).</w:t>
      </w:r>
    </w:p>
    <w:p w14:paraId="360ED646" w14:textId="64A7E205" w:rsidR="007E5B80" w:rsidRPr="00B5360C" w:rsidRDefault="007E5B80" w:rsidP="007E5B80">
      <w:pPr>
        <w:pStyle w:val="Reference"/>
      </w:pPr>
      <w:r w:rsidRPr="00B5360C">
        <w:t xml:space="preserve">D. </w:t>
      </w:r>
      <w:proofErr w:type="spellStart"/>
      <w:r w:rsidRPr="00B5360C">
        <w:t>Wahyudi</w:t>
      </w:r>
      <w:proofErr w:type="spellEnd"/>
      <w:r w:rsidRPr="00B5360C">
        <w:t xml:space="preserve"> and M. I. </w:t>
      </w:r>
      <w:proofErr w:type="spellStart"/>
      <w:r w:rsidRPr="00B5360C">
        <w:t>Pramono</w:t>
      </w:r>
      <w:proofErr w:type="spellEnd"/>
      <w:r w:rsidRPr="00B5360C">
        <w:t>, "A study on surface finish using eco-friendly cutting fluids," J. Mech. Eng. 23, 55–61 (2020).</w:t>
      </w:r>
    </w:p>
    <w:p w14:paraId="723F1DA8" w14:textId="41A99162" w:rsidR="007E5B80" w:rsidRPr="00B5360C" w:rsidRDefault="007E5B80" w:rsidP="007E5B80">
      <w:pPr>
        <w:pStyle w:val="Reference"/>
      </w:pPr>
      <w:r w:rsidRPr="00B5360C">
        <w:t xml:space="preserve">N. </w:t>
      </w:r>
      <w:proofErr w:type="spellStart"/>
      <w:r w:rsidRPr="00B5360C">
        <w:t>Fadillah</w:t>
      </w:r>
      <w:proofErr w:type="spellEnd"/>
      <w:r w:rsidRPr="00B5360C">
        <w:t xml:space="preserve"> et al., "Experimental analysis of surface roughness in dry and wet machining," AIP Conf. Proc. 2454, 030011 (2022).</w:t>
      </w:r>
    </w:p>
    <w:p w14:paraId="7A61BB40" w14:textId="004B54BC" w:rsidR="007E5B80" w:rsidRPr="00B5360C" w:rsidRDefault="007E5B80" w:rsidP="007E5B80">
      <w:pPr>
        <w:pStyle w:val="Reference"/>
      </w:pPr>
      <w:r w:rsidRPr="00B5360C">
        <w:t xml:space="preserve">I. Y. </w:t>
      </w:r>
      <w:proofErr w:type="spellStart"/>
      <w:r w:rsidRPr="00B5360C">
        <w:t>Prasetyo</w:t>
      </w:r>
      <w:proofErr w:type="spellEnd"/>
      <w:r w:rsidRPr="00B5360C">
        <w:t>, S. P. Nugroho, and R. T. Prabowo, "Effect of feed rate on surface roughness using biodegradable fluids," J. Ind. Eng. 34, 76–82 (2020).</w:t>
      </w:r>
    </w:p>
    <w:p w14:paraId="125984F5" w14:textId="33CCAFC2" w:rsidR="007E5B80" w:rsidRPr="00B5360C" w:rsidRDefault="007E5B80" w:rsidP="007E5B80">
      <w:pPr>
        <w:pStyle w:val="Reference"/>
      </w:pPr>
      <w:r w:rsidRPr="00B5360C">
        <w:t xml:space="preserve">A. </w:t>
      </w:r>
      <w:proofErr w:type="spellStart"/>
      <w:r w:rsidRPr="00B5360C">
        <w:t>Supriyanto</w:t>
      </w:r>
      <w:proofErr w:type="spellEnd"/>
      <w:r w:rsidRPr="00B5360C">
        <w:t xml:space="preserve">, "Application of palm oil as alternative lubricant in turning process," J. </w:t>
      </w:r>
      <w:proofErr w:type="spellStart"/>
      <w:r w:rsidRPr="00B5360C">
        <w:t>Tribol</w:t>
      </w:r>
      <w:proofErr w:type="spellEnd"/>
      <w:r w:rsidRPr="00B5360C">
        <w:t>. 25, 112–118 (2020).</w:t>
      </w:r>
    </w:p>
    <w:p w14:paraId="0F4E647A" w14:textId="08840DEB" w:rsidR="007E5B80" w:rsidRPr="00B5360C" w:rsidRDefault="007E5B80" w:rsidP="007E5B80">
      <w:pPr>
        <w:pStyle w:val="Reference"/>
      </w:pPr>
      <w:r w:rsidRPr="00B5360C">
        <w:t>M. K. Ismail et al., "Analysis of performance improvement by vegetable oil coolants," Int. J. Eng. Res. 15, 88–94 (2021).</w:t>
      </w:r>
    </w:p>
    <w:p w14:paraId="4D715C02" w14:textId="36D6760C" w:rsidR="007E5B80" w:rsidRPr="00B5360C" w:rsidRDefault="007E5B80" w:rsidP="007E5B80">
      <w:pPr>
        <w:pStyle w:val="Reference"/>
      </w:pPr>
      <w:r w:rsidRPr="00B5360C">
        <w:t xml:space="preserve">D. </w:t>
      </w:r>
      <w:proofErr w:type="spellStart"/>
      <w:r w:rsidRPr="00B5360C">
        <w:t>Rahmawati</w:t>
      </w:r>
      <w:proofErr w:type="spellEnd"/>
      <w:r w:rsidRPr="00B5360C">
        <w:t>, "Palm oil-based fluid effect on tool wear and surface roughness," Mech. Eng. Conf. Proc. 8, 143–148 (2020).</w:t>
      </w:r>
    </w:p>
    <w:p w14:paraId="10E3A1B4" w14:textId="54733E70" w:rsidR="007E5B80" w:rsidRPr="00B5360C" w:rsidRDefault="007E5B80" w:rsidP="007E5B80">
      <w:pPr>
        <w:pStyle w:val="Reference"/>
      </w:pPr>
      <w:r w:rsidRPr="00B5360C">
        <w:t xml:space="preserve">H. P. </w:t>
      </w:r>
      <w:proofErr w:type="spellStart"/>
      <w:r w:rsidRPr="00B5360C">
        <w:t>Satria</w:t>
      </w:r>
      <w:proofErr w:type="spellEnd"/>
      <w:r w:rsidRPr="00B5360C">
        <w:t xml:space="preserve"> and R. A. </w:t>
      </w:r>
      <w:proofErr w:type="spellStart"/>
      <w:r w:rsidRPr="00B5360C">
        <w:t>Prasetya</w:t>
      </w:r>
      <w:proofErr w:type="spellEnd"/>
      <w:r w:rsidRPr="00B5360C">
        <w:t>, "Analysis of roughness variation in turning using natural coolants," IOP Conf. Ser.: Earth Environ. Sci. 976, 012045 (2021).</w:t>
      </w:r>
    </w:p>
    <w:p w14:paraId="07BF3C3A" w14:textId="7F779F82" w:rsidR="007E5B80" w:rsidRPr="00B5360C" w:rsidRDefault="007E5B80" w:rsidP="007E5B80">
      <w:pPr>
        <w:pStyle w:val="Reference"/>
      </w:pPr>
      <w:r w:rsidRPr="00B5360C">
        <w:t xml:space="preserve">E. Kartika and S. </w:t>
      </w:r>
      <w:proofErr w:type="spellStart"/>
      <w:r w:rsidRPr="00B5360C">
        <w:t>Rahayu</w:t>
      </w:r>
      <w:proofErr w:type="spellEnd"/>
      <w:r w:rsidRPr="00B5360C">
        <w:t>, "Effect of machining parameters on Ra values in turning," J. Mach. Sci. 19, 63–69 (2021).</w:t>
      </w:r>
    </w:p>
    <w:p w14:paraId="4E763BA3" w14:textId="247BE5F0" w:rsidR="007E5B80" w:rsidRPr="00B5360C" w:rsidRDefault="007E5B80" w:rsidP="007E5B80">
      <w:pPr>
        <w:pStyle w:val="Reference"/>
      </w:pPr>
      <w:r w:rsidRPr="00B5360C">
        <w:t xml:space="preserve">D. R. </w:t>
      </w:r>
      <w:proofErr w:type="spellStart"/>
      <w:r w:rsidRPr="00B5360C">
        <w:t>Utomo</w:t>
      </w:r>
      <w:proofErr w:type="spellEnd"/>
      <w:r w:rsidRPr="00B5360C">
        <w:t>, "Application of mixed cooling fluid in turning process to improve surface roughness and reduce tool wear," IOP Conf. Ser.: Mater. Sci. Eng. 1146, 012073 (2021).</w:t>
      </w:r>
    </w:p>
    <w:p w14:paraId="28DAA965" w14:textId="30732521" w:rsidR="007E5B80" w:rsidRPr="00B5360C" w:rsidRDefault="007E5B80" w:rsidP="007E5B80">
      <w:pPr>
        <w:pStyle w:val="Reference"/>
      </w:pPr>
      <w:r w:rsidRPr="00B5360C">
        <w:t xml:space="preserve">P. D. Purnomo, A. </w:t>
      </w:r>
      <w:proofErr w:type="spellStart"/>
      <w:r w:rsidRPr="00B5360C">
        <w:t>Afriansyah</w:t>
      </w:r>
      <w:proofErr w:type="spellEnd"/>
      <w:r w:rsidRPr="00B5360C">
        <w:t>, and H. S. Nugroho, "</w:t>
      </w:r>
      <w:r w:rsidR="00361FE2" w:rsidRPr="00B5360C">
        <w:t xml:space="preserve"> Effect of Coolant Type on Surface Roughness of Low Carbon Steel Using Turning Process</w:t>
      </w:r>
      <w:r w:rsidRPr="00B5360C">
        <w:t>," J. Momentum 17, 33–38 (2021).</w:t>
      </w:r>
    </w:p>
    <w:p w14:paraId="67A13E9D" w14:textId="30E59720" w:rsidR="007E5B80" w:rsidRPr="00B5360C" w:rsidRDefault="007E5B80" w:rsidP="007E5B80">
      <w:pPr>
        <w:pStyle w:val="Reference"/>
      </w:pPr>
      <w:r w:rsidRPr="00B5360C">
        <w:t xml:space="preserve">D. P. </w:t>
      </w:r>
      <w:proofErr w:type="spellStart"/>
      <w:r w:rsidRPr="00B5360C">
        <w:t>Rachman</w:t>
      </w:r>
      <w:proofErr w:type="spellEnd"/>
      <w:r w:rsidRPr="00B5360C">
        <w:t xml:space="preserve"> and M. </w:t>
      </w:r>
      <w:proofErr w:type="spellStart"/>
      <w:r w:rsidRPr="00B5360C">
        <w:t>Junaidi</w:t>
      </w:r>
      <w:proofErr w:type="spellEnd"/>
      <w:r w:rsidRPr="00B5360C">
        <w:t>, "Effect of palm oil coolant and cutting speed on mild steel turning," J. Manuf. Technol. 14, 29–34 (2020).</w:t>
      </w:r>
    </w:p>
    <w:p w14:paraId="2FEBEC58" w14:textId="3CE01E4A" w:rsidR="007E5B80" w:rsidRPr="00B5360C" w:rsidRDefault="007E5B80" w:rsidP="007E5B80">
      <w:pPr>
        <w:pStyle w:val="Reference"/>
      </w:pPr>
      <w:r w:rsidRPr="00B5360C">
        <w:lastRenderedPageBreak/>
        <w:t xml:space="preserve">A. J. </w:t>
      </w:r>
      <w:proofErr w:type="spellStart"/>
      <w:r w:rsidRPr="00B5360C">
        <w:t>Saputra</w:t>
      </w:r>
      <w:proofErr w:type="spellEnd"/>
      <w:r w:rsidRPr="00B5360C">
        <w:t xml:space="preserve"> and B. </w:t>
      </w:r>
      <w:proofErr w:type="spellStart"/>
      <w:r w:rsidRPr="00B5360C">
        <w:t>Setyawan</w:t>
      </w:r>
      <w:proofErr w:type="spellEnd"/>
      <w:r w:rsidRPr="00B5360C">
        <w:t>, "Surface roughness analysis using coconut and mineral oil</w:t>
      </w:r>
      <w:r w:rsidR="00361FE2" w:rsidRPr="00B5360C">
        <w:t>-</w:t>
      </w:r>
      <w:r w:rsidRPr="00B5360C">
        <w:t>based coolants," J. Mech. Sci. Tech. 12, 99–104 (2021).</w:t>
      </w:r>
    </w:p>
    <w:p w14:paraId="08D6C79C" w14:textId="38A2B8E2" w:rsidR="007E5B80" w:rsidRPr="00B5360C" w:rsidRDefault="007E5B80" w:rsidP="007E5B80">
      <w:pPr>
        <w:pStyle w:val="Reference"/>
      </w:pPr>
      <w:r w:rsidRPr="00B5360C">
        <w:t>I. F. Kurniawan, "Study on effect of turning parameters and coolant types on AISI 1045," AIP Conf. Proc. 2454, 030012 (2022).</w:t>
      </w:r>
    </w:p>
    <w:p w14:paraId="32B464C5" w14:textId="6890527A" w:rsidR="007E5B80" w:rsidRPr="00B5360C" w:rsidRDefault="007E5B80" w:rsidP="007E5B80">
      <w:pPr>
        <w:pStyle w:val="Reference"/>
      </w:pPr>
      <w:r w:rsidRPr="00B5360C">
        <w:t xml:space="preserve">S. </w:t>
      </w:r>
      <w:proofErr w:type="spellStart"/>
      <w:r w:rsidRPr="00B5360C">
        <w:t>Mulyono</w:t>
      </w:r>
      <w:proofErr w:type="spellEnd"/>
      <w:r w:rsidRPr="00B5360C">
        <w:t xml:space="preserve"> and L. N. </w:t>
      </w:r>
      <w:proofErr w:type="spellStart"/>
      <w:r w:rsidRPr="00B5360C">
        <w:t>Hidayat</w:t>
      </w:r>
      <w:proofErr w:type="spellEnd"/>
      <w:r w:rsidRPr="00B5360C">
        <w:t>, "Performance of natural coolant in CNC turning process," J. Ind. Res. 11, 215–221 (2020).</w:t>
      </w:r>
    </w:p>
    <w:p w14:paraId="7405E717" w14:textId="1C894A8F" w:rsidR="002E6F1D" w:rsidRPr="00B5360C" w:rsidRDefault="007E5B80" w:rsidP="007E5B80">
      <w:pPr>
        <w:pStyle w:val="Reference"/>
      </w:pPr>
      <w:r w:rsidRPr="00B5360C">
        <w:t xml:space="preserve">B. P. </w:t>
      </w:r>
      <w:proofErr w:type="spellStart"/>
      <w:r w:rsidRPr="00B5360C">
        <w:t>Siregar</w:t>
      </w:r>
      <w:proofErr w:type="spellEnd"/>
      <w:r w:rsidRPr="00B5360C">
        <w:t xml:space="preserve"> and T. Lestari, "Optimization of surface roughness using eco-friendly coolant in turning," IOP Conf. Ser.: Mater. Sci. Eng. 1217, 012064 (2022).</w:t>
      </w:r>
    </w:p>
    <w:sectPr w:rsidR="002E6F1D" w:rsidRPr="00B5360C"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C0F13" w14:textId="77777777" w:rsidR="00641C13" w:rsidRDefault="00641C13" w:rsidP="009B6EDF">
      <w:r>
        <w:separator/>
      </w:r>
    </w:p>
  </w:endnote>
  <w:endnote w:type="continuationSeparator" w:id="0">
    <w:p w14:paraId="1149E303" w14:textId="77777777" w:rsidR="00641C13" w:rsidRDefault="00641C13" w:rsidP="009B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DED01" w14:textId="77777777" w:rsidR="00641C13" w:rsidRDefault="00641C13" w:rsidP="009B6EDF">
      <w:r>
        <w:separator/>
      </w:r>
    </w:p>
  </w:footnote>
  <w:footnote w:type="continuationSeparator" w:id="0">
    <w:p w14:paraId="2560384A" w14:textId="77777777" w:rsidR="00641C13" w:rsidRDefault="00641C13" w:rsidP="009B6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A5FF4"/>
    <w:multiLevelType w:val="hybridMultilevel"/>
    <w:tmpl w:val="C55CE4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279D7E0F"/>
    <w:multiLevelType w:val="hybridMultilevel"/>
    <w:tmpl w:val="B860C7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6D41C41"/>
    <w:multiLevelType w:val="hybridMultilevel"/>
    <w:tmpl w:val="56D4561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046E47"/>
    <w:multiLevelType w:val="hybridMultilevel"/>
    <w:tmpl w:val="EE5A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206A5"/>
    <w:multiLevelType w:val="hybridMultilevel"/>
    <w:tmpl w:val="CF4A0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61453"/>
    <w:multiLevelType w:val="hybridMultilevel"/>
    <w:tmpl w:val="B75C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0" w15:restartNumberingAfterBreak="0">
    <w:nsid w:val="76281D10"/>
    <w:multiLevelType w:val="hybridMultilevel"/>
    <w:tmpl w:val="53FA1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76492751"/>
    <w:multiLevelType w:val="hybridMultilevel"/>
    <w:tmpl w:val="0BA664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7"/>
  </w:num>
  <w:num w:numId="2">
    <w:abstractNumId w:val="3"/>
  </w:num>
  <w:num w:numId="3">
    <w:abstractNumId w:val="9"/>
  </w:num>
  <w:num w:numId="4">
    <w:abstractNumId w:val="2"/>
  </w:num>
  <w:num w:numId="5">
    <w:abstractNumId w:val="11"/>
  </w:num>
  <w:num w:numId="6">
    <w:abstractNumId w:val="8"/>
  </w:num>
  <w:num w:numId="7">
    <w:abstractNumId w:val="0"/>
  </w:num>
  <w:num w:numId="8">
    <w:abstractNumId w:val="10"/>
  </w:num>
  <w:num w:numId="9">
    <w:abstractNumId w:val="5"/>
  </w:num>
  <w:num w:numId="10">
    <w:abstractNumId w:val="4"/>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MjUxtTQ1MTYGIiUdpeDU4uLM/DyQAuNaAISGaIQsAAAA"/>
  </w:docVars>
  <w:rsids>
    <w:rsidRoot w:val="00C14B14"/>
    <w:rsid w:val="00003D7C"/>
    <w:rsid w:val="00014140"/>
    <w:rsid w:val="000151DD"/>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32E64"/>
    <w:rsid w:val="00146C24"/>
    <w:rsid w:val="00155B67"/>
    <w:rsid w:val="001562AF"/>
    <w:rsid w:val="00161A5B"/>
    <w:rsid w:val="0016385D"/>
    <w:rsid w:val="0016782F"/>
    <w:rsid w:val="001937E9"/>
    <w:rsid w:val="001964E5"/>
    <w:rsid w:val="001B263B"/>
    <w:rsid w:val="001B476A"/>
    <w:rsid w:val="001C1179"/>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A3BE3"/>
    <w:rsid w:val="002B03DE"/>
    <w:rsid w:val="002B5648"/>
    <w:rsid w:val="002E3390"/>
    <w:rsid w:val="002E3C35"/>
    <w:rsid w:val="002E6F1D"/>
    <w:rsid w:val="002F5298"/>
    <w:rsid w:val="003061D9"/>
    <w:rsid w:val="00307EF4"/>
    <w:rsid w:val="00326AE0"/>
    <w:rsid w:val="00337E4F"/>
    <w:rsid w:val="00340C36"/>
    <w:rsid w:val="00346A9D"/>
    <w:rsid w:val="0034776C"/>
    <w:rsid w:val="00361FE2"/>
    <w:rsid w:val="0039376F"/>
    <w:rsid w:val="003A2052"/>
    <w:rsid w:val="003A287B"/>
    <w:rsid w:val="003A5C85"/>
    <w:rsid w:val="003A61B1"/>
    <w:rsid w:val="003B0050"/>
    <w:rsid w:val="003D6312"/>
    <w:rsid w:val="003E7C74"/>
    <w:rsid w:val="003F31C6"/>
    <w:rsid w:val="0040225B"/>
    <w:rsid w:val="00402DA2"/>
    <w:rsid w:val="00407665"/>
    <w:rsid w:val="00425AC2"/>
    <w:rsid w:val="0044771F"/>
    <w:rsid w:val="004B151D"/>
    <w:rsid w:val="004C7243"/>
    <w:rsid w:val="004E21DE"/>
    <w:rsid w:val="004E3C57"/>
    <w:rsid w:val="004E3CB2"/>
    <w:rsid w:val="00514CDD"/>
    <w:rsid w:val="005163A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1775"/>
    <w:rsid w:val="00641C13"/>
    <w:rsid w:val="0064225B"/>
    <w:rsid w:val="006763F9"/>
    <w:rsid w:val="006949BC"/>
    <w:rsid w:val="006956BB"/>
    <w:rsid w:val="006D1229"/>
    <w:rsid w:val="006D372F"/>
    <w:rsid w:val="006D7A18"/>
    <w:rsid w:val="006E4474"/>
    <w:rsid w:val="00701388"/>
    <w:rsid w:val="00723B7F"/>
    <w:rsid w:val="00725861"/>
    <w:rsid w:val="0073393A"/>
    <w:rsid w:val="0073539D"/>
    <w:rsid w:val="00760B6B"/>
    <w:rsid w:val="00767B8A"/>
    <w:rsid w:val="00775481"/>
    <w:rsid w:val="007A233B"/>
    <w:rsid w:val="007B4863"/>
    <w:rsid w:val="007C65E6"/>
    <w:rsid w:val="007D406B"/>
    <w:rsid w:val="007D4407"/>
    <w:rsid w:val="007E1CA3"/>
    <w:rsid w:val="007E5B80"/>
    <w:rsid w:val="007F1D40"/>
    <w:rsid w:val="00812D62"/>
    <w:rsid w:val="00812F29"/>
    <w:rsid w:val="00821713"/>
    <w:rsid w:val="00827050"/>
    <w:rsid w:val="0083278B"/>
    <w:rsid w:val="00834538"/>
    <w:rsid w:val="00850E89"/>
    <w:rsid w:val="00866BD9"/>
    <w:rsid w:val="008853A6"/>
    <w:rsid w:val="008930E4"/>
    <w:rsid w:val="00893821"/>
    <w:rsid w:val="008A7B9C"/>
    <w:rsid w:val="008B39FA"/>
    <w:rsid w:val="008B4754"/>
    <w:rsid w:val="008E1BBE"/>
    <w:rsid w:val="008E6A7A"/>
    <w:rsid w:val="008F1038"/>
    <w:rsid w:val="008F57EA"/>
    <w:rsid w:val="008F7046"/>
    <w:rsid w:val="009005FC"/>
    <w:rsid w:val="00922E5A"/>
    <w:rsid w:val="00943315"/>
    <w:rsid w:val="00946C27"/>
    <w:rsid w:val="009A4F3D"/>
    <w:rsid w:val="009B696B"/>
    <w:rsid w:val="009B6EDF"/>
    <w:rsid w:val="009B7671"/>
    <w:rsid w:val="009E5BA1"/>
    <w:rsid w:val="009F056E"/>
    <w:rsid w:val="00A24F3D"/>
    <w:rsid w:val="00A26DCD"/>
    <w:rsid w:val="00A314BB"/>
    <w:rsid w:val="00A32B7D"/>
    <w:rsid w:val="00A5596B"/>
    <w:rsid w:val="00A64187"/>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360C"/>
    <w:rsid w:val="00B71CAA"/>
    <w:rsid w:val="00BA39BB"/>
    <w:rsid w:val="00BA3B3D"/>
    <w:rsid w:val="00BA3EF2"/>
    <w:rsid w:val="00BB7929"/>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54B0F"/>
    <w:rsid w:val="00D87E2A"/>
    <w:rsid w:val="00DB0C43"/>
    <w:rsid w:val="00DE3354"/>
    <w:rsid w:val="00DF7DCD"/>
    <w:rsid w:val="00E175EB"/>
    <w:rsid w:val="00E50B7D"/>
    <w:rsid w:val="00E85003"/>
    <w:rsid w:val="00E904A1"/>
    <w:rsid w:val="00EB7D28"/>
    <w:rsid w:val="00EC0D0C"/>
    <w:rsid w:val="00ED4A2C"/>
    <w:rsid w:val="00EF1754"/>
    <w:rsid w:val="00EF3DF6"/>
    <w:rsid w:val="00EF6940"/>
    <w:rsid w:val="00F2044A"/>
    <w:rsid w:val="00F20BFC"/>
    <w:rsid w:val="00F24D5F"/>
    <w:rsid w:val="00F726C3"/>
    <w:rsid w:val="00F820CA"/>
    <w:rsid w:val="00F8554C"/>
    <w:rsid w:val="00F95F82"/>
    <w:rsid w:val="00F97A90"/>
    <w:rsid w:val="00FC2F35"/>
    <w:rsid w:val="00FC3FD7"/>
    <w:rsid w:val="00FD1FC6"/>
    <w:rsid w:val="00FE31CB"/>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7EF4"/>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character" w:styleId="PlaceholderText">
    <w:name w:val="Placeholder Text"/>
    <w:basedOn w:val="DefaultParagraphFont"/>
    <w:uiPriority w:val="99"/>
    <w:semiHidden/>
    <w:rsid w:val="00BA3EF2"/>
    <w:rPr>
      <w:color w:val="808080"/>
    </w:rPr>
  </w:style>
  <w:style w:type="paragraph" w:styleId="Header">
    <w:name w:val="header"/>
    <w:basedOn w:val="Normal"/>
    <w:link w:val="HeaderChar"/>
    <w:unhideWhenUsed/>
    <w:rsid w:val="009B6EDF"/>
    <w:pPr>
      <w:tabs>
        <w:tab w:val="center" w:pos="4513"/>
        <w:tab w:val="right" w:pos="9026"/>
      </w:tabs>
    </w:pPr>
  </w:style>
  <w:style w:type="character" w:customStyle="1" w:styleId="HeaderChar">
    <w:name w:val="Header Char"/>
    <w:basedOn w:val="DefaultParagraphFont"/>
    <w:link w:val="Header"/>
    <w:rsid w:val="009B6EDF"/>
    <w:rPr>
      <w:sz w:val="24"/>
      <w:lang w:val="en-US" w:eastAsia="en-US"/>
    </w:rPr>
  </w:style>
  <w:style w:type="paragraph" w:styleId="Footer">
    <w:name w:val="footer"/>
    <w:basedOn w:val="Normal"/>
    <w:link w:val="FooterChar"/>
    <w:unhideWhenUsed/>
    <w:rsid w:val="009B6EDF"/>
    <w:pPr>
      <w:tabs>
        <w:tab w:val="center" w:pos="4513"/>
        <w:tab w:val="right" w:pos="9026"/>
      </w:tabs>
    </w:pPr>
  </w:style>
  <w:style w:type="character" w:customStyle="1" w:styleId="FooterChar">
    <w:name w:val="Footer Char"/>
    <w:basedOn w:val="DefaultParagraphFont"/>
    <w:link w:val="Footer"/>
    <w:rsid w:val="009B6ED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Sheet1!$J$4</c:f>
              <c:strCache>
                <c:ptCount val="1"/>
                <c:pt idx="0">
                  <c:v>Mineral Based</c:v>
                </c:pt>
              </c:strCache>
            </c:strRef>
          </c:tx>
          <c:spPr>
            <a:ln w="25400" cap="rnd">
              <a:solidFill>
                <a:srgbClr val="0070C0"/>
              </a:solidFill>
              <a:round/>
            </a:ln>
            <a:effectLst/>
          </c:spPr>
          <c:marker>
            <c:symbol val="circle"/>
            <c:size val="5"/>
            <c:spPr>
              <a:solidFill>
                <a:srgbClr val="0070C0"/>
              </a:solidFill>
              <a:ln w="9525">
                <a:solidFill>
                  <a:srgbClr val="0070C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Sheet1!$I$5:$I$7</c:f>
              <c:numCache>
                <c:formatCode>General</c:formatCode>
                <c:ptCount val="3"/>
                <c:pt idx="0">
                  <c:v>0.35</c:v>
                </c:pt>
                <c:pt idx="1">
                  <c:v>0.5</c:v>
                </c:pt>
                <c:pt idx="2">
                  <c:v>0.75</c:v>
                </c:pt>
              </c:numCache>
            </c:numRef>
          </c:xVal>
          <c:yVal>
            <c:numRef>
              <c:f>Sheet1!$J$5:$J$7</c:f>
              <c:numCache>
                <c:formatCode>General</c:formatCode>
                <c:ptCount val="3"/>
                <c:pt idx="0">
                  <c:v>2.1269999999999998</c:v>
                </c:pt>
                <c:pt idx="1">
                  <c:v>1.917</c:v>
                </c:pt>
                <c:pt idx="2">
                  <c:v>1.47</c:v>
                </c:pt>
              </c:numCache>
            </c:numRef>
          </c:yVal>
          <c:smooth val="1"/>
          <c:extLst>
            <c:ext xmlns:c16="http://schemas.microsoft.com/office/drawing/2014/chart" uri="{C3380CC4-5D6E-409C-BE32-E72D297353CC}">
              <c16:uniqueId val="{00000000-C787-48FE-904A-816994051499}"/>
            </c:ext>
          </c:extLst>
        </c:ser>
        <c:ser>
          <c:idx val="1"/>
          <c:order val="1"/>
          <c:tx>
            <c:strRef>
              <c:f>Sheet1!$K$4</c:f>
              <c:strCache>
                <c:ptCount val="1"/>
                <c:pt idx="0">
                  <c:v>Vegetable Based</c:v>
                </c:pt>
              </c:strCache>
            </c:strRef>
          </c:tx>
          <c:spPr>
            <a:ln w="25400" cap="rnd">
              <a:solidFill>
                <a:srgbClr val="FF0000"/>
              </a:solidFill>
              <a:round/>
            </a:ln>
            <a:effectLst/>
          </c:spPr>
          <c:marker>
            <c:symbol val="circle"/>
            <c:size val="5"/>
            <c:spPr>
              <a:solidFill>
                <a:srgbClr val="FF0000"/>
              </a:solidFill>
              <a:ln w="9525">
                <a:solidFill>
                  <a:srgbClr val="FF0000"/>
                </a:solidFill>
              </a:ln>
              <a:effectLst/>
            </c:spPr>
          </c:marker>
          <c:dLbls>
            <c:dLbl>
              <c:idx val="0"/>
              <c:layout>
                <c:manualLayout>
                  <c:x val="-4.6541776027996501E-2"/>
                  <c:y val="-4.3946850393700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87-48FE-904A-816994051499}"/>
                </c:ext>
              </c:extLst>
            </c:dLbl>
            <c:dLbl>
              <c:idx val="1"/>
              <c:layout>
                <c:manualLayout>
                  <c:x val="-3.5430664916885443E-2"/>
                  <c:y val="-3.46875911344415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87-48FE-904A-8169940514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Sheet1!$I$5:$I$7</c:f>
              <c:numCache>
                <c:formatCode>General</c:formatCode>
                <c:ptCount val="3"/>
                <c:pt idx="0">
                  <c:v>0.35</c:v>
                </c:pt>
                <c:pt idx="1">
                  <c:v>0.5</c:v>
                </c:pt>
                <c:pt idx="2">
                  <c:v>0.75</c:v>
                </c:pt>
              </c:numCache>
            </c:numRef>
          </c:xVal>
          <c:yVal>
            <c:numRef>
              <c:f>Sheet1!$K$5:$K$7</c:f>
              <c:numCache>
                <c:formatCode>General</c:formatCode>
                <c:ptCount val="3"/>
                <c:pt idx="0">
                  <c:v>2.669</c:v>
                </c:pt>
                <c:pt idx="1">
                  <c:v>1.6120000000000001</c:v>
                </c:pt>
                <c:pt idx="2">
                  <c:v>0.66500000000000004</c:v>
                </c:pt>
              </c:numCache>
            </c:numRef>
          </c:yVal>
          <c:smooth val="1"/>
          <c:extLst>
            <c:ext xmlns:c16="http://schemas.microsoft.com/office/drawing/2014/chart" uri="{C3380CC4-5D6E-409C-BE32-E72D297353CC}">
              <c16:uniqueId val="{00000003-C787-48FE-904A-816994051499}"/>
            </c:ext>
          </c:extLst>
        </c:ser>
        <c:dLbls>
          <c:dLblPos val="b"/>
          <c:showLegendKey val="0"/>
          <c:showVal val="1"/>
          <c:showCatName val="0"/>
          <c:showSerName val="0"/>
          <c:showPercent val="0"/>
          <c:showBubbleSize val="0"/>
        </c:dLbls>
        <c:axId val="1702008576"/>
        <c:axId val="1702009408"/>
      </c:scatterChart>
      <c:valAx>
        <c:axId val="1702008576"/>
        <c:scaling>
          <c:orientation val="minMax"/>
          <c:min val="0.30000000000000004"/>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Feedrate (mm/rev)</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2009408"/>
        <c:crosses val="autoZero"/>
        <c:crossBetween val="midCat"/>
      </c:valAx>
      <c:valAx>
        <c:axId val="1702009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Surface Roughness Value (</a:t>
                </a:r>
                <a:r>
                  <a:rPr lang="el-GR">
                    <a:solidFill>
                      <a:schemeClr val="tx1"/>
                    </a:solidFill>
                  </a:rPr>
                  <a:t>μ</a:t>
                </a:r>
                <a:r>
                  <a:rPr lang="en-US">
                    <a:solidFill>
                      <a:schemeClr val="tx1"/>
                    </a:solidFill>
                  </a:rPr>
                  <a:t>m)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2008576"/>
        <c:crosses val="autoZero"/>
        <c:crossBetween val="midCat"/>
      </c:valAx>
      <c:spPr>
        <a:noFill/>
        <a:ln w="12700">
          <a:solidFill>
            <a:schemeClr val="tx1"/>
          </a:solidFill>
        </a:ln>
        <a:effectLst/>
      </c:spPr>
    </c:plotArea>
    <c:legend>
      <c:legendPos val="r"/>
      <c:layout>
        <c:manualLayout>
          <c:xMode val="edge"/>
          <c:yMode val="edge"/>
          <c:x val="0.66980489938757659"/>
          <c:y val="0.11189741907261593"/>
          <c:w val="0.25241732283464569"/>
          <c:h val="0.15625109361329836"/>
        </c:manualLayout>
      </c:layout>
      <c:overlay val="1"/>
      <c:spPr>
        <a:solidFill>
          <a:schemeClr val="bg1"/>
        </a:solidFill>
        <a:ln w="12700">
          <a:solidFill>
            <a:schemeClr val="tx1"/>
          </a:solid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146</TotalTime>
  <Pages>7</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7</cp:revision>
  <cp:lastPrinted>2011-03-03T08:29:00Z</cp:lastPrinted>
  <dcterms:created xsi:type="dcterms:W3CDTF">2025-08-06T17:57:00Z</dcterms:created>
  <dcterms:modified xsi:type="dcterms:W3CDTF">2025-12-16T06:39:00Z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