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10133" w14:textId="40658E86" w:rsidR="00EA50A7" w:rsidRPr="005C4D11" w:rsidRDefault="002C19CE" w:rsidP="00784F94">
      <w:pPr>
        <w:pStyle w:val="PaperTitle"/>
        <w:rPr>
          <w:sz w:val="24"/>
          <w:szCs w:val="24"/>
        </w:rPr>
      </w:pPr>
      <w:r w:rsidRPr="002C19CE">
        <w:t xml:space="preserve">Reduction of </w:t>
      </w:r>
      <w:r>
        <w:t>C</w:t>
      </w:r>
      <w:r w:rsidRPr="002C19CE">
        <w:t xml:space="preserve">ement </w:t>
      </w:r>
      <w:r>
        <w:t>C</w:t>
      </w:r>
      <w:r w:rsidRPr="002C19CE">
        <w:t xml:space="preserve">ontent in </w:t>
      </w:r>
      <w:r>
        <w:t>Concrete</w:t>
      </w:r>
      <w:r w:rsidRPr="002C19CE">
        <w:t xml:space="preserve"> using </w:t>
      </w:r>
      <w:r>
        <w:t>P</w:t>
      </w:r>
      <w:r w:rsidRPr="002C19CE">
        <w:t>olycarboxylate</w:t>
      </w:r>
      <w:r>
        <w:t xml:space="preserve"> S</w:t>
      </w:r>
      <w:r w:rsidRPr="002C19CE">
        <w:t>uperplasticizer</w:t>
      </w:r>
    </w:p>
    <w:p w14:paraId="50BF688B" w14:textId="400660AC" w:rsidR="00EA50A7" w:rsidRPr="00F350C5" w:rsidRDefault="00D17E48" w:rsidP="00784F94">
      <w:pPr>
        <w:pStyle w:val="AuthorName"/>
        <w:rPr>
          <w:b/>
          <w:szCs w:val="28"/>
        </w:rPr>
      </w:pPr>
      <w:proofErr w:type="spellStart"/>
      <w:r>
        <w:t>Rizki</w:t>
      </w:r>
      <w:proofErr w:type="spellEnd"/>
      <w:r>
        <w:t xml:space="preserve"> Amalia Tri </w:t>
      </w:r>
      <w:proofErr w:type="spellStart"/>
      <w:r>
        <w:t>Cahyani</w:t>
      </w:r>
      <w:r w:rsidR="005C2B16">
        <w:rPr>
          <w:vertAlign w:val="superscript"/>
        </w:rPr>
        <w:t>a</w:t>
      </w:r>
      <w:proofErr w:type="spellEnd"/>
      <w:r w:rsidR="00EA50A7">
        <w:rPr>
          <w:vertAlign w:val="superscript"/>
        </w:rPr>
        <w:t>)</w:t>
      </w:r>
      <w:r w:rsidR="00EA50A7" w:rsidRPr="00F350C5">
        <w:t xml:space="preserve">, </w:t>
      </w:r>
      <w:r>
        <w:t xml:space="preserve">Yunan </w:t>
      </w:r>
      <w:proofErr w:type="spellStart"/>
      <w:r>
        <w:t>Rusdianto</w:t>
      </w:r>
      <w:r w:rsidR="005C2B16">
        <w:rPr>
          <w:vertAlign w:val="superscript"/>
        </w:rPr>
        <w:t>b</w:t>
      </w:r>
      <w:proofErr w:type="spellEnd"/>
      <w:r w:rsidR="00DA6D7D" w:rsidRPr="00DA6D7D">
        <w:rPr>
          <w:vertAlign w:val="superscript"/>
        </w:rPr>
        <w:t>)</w:t>
      </w:r>
      <w:r w:rsidR="00EA50A7" w:rsidRPr="00F350C5">
        <w:t xml:space="preserve">, </w:t>
      </w:r>
      <w:r w:rsidR="008A6A54">
        <w:t xml:space="preserve">and </w:t>
      </w:r>
      <w:proofErr w:type="spellStart"/>
      <w:r w:rsidRPr="00D17E48">
        <w:t>Fadillah</w:t>
      </w:r>
      <w:proofErr w:type="spellEnd"/>
      <w:r w:rsidRPr="00D17E48">
        <w:t xml:space="preserve"> </w:t>
      </w:r>
      <w:proofErr w:type="spellStart"/>
      <w:r w:rsidRPr="00D17E48">
        <w:t>Ramadhani</w:t>
      </w:r>
      <w:r w:rsidR="00300407">
        <w:rPr>
          <w:vertAlign w:val="superscript"/>
        </w:rPr>
        <w:t>c</w:t>
      </w:r>
      <w:proofErr w:type="spellEnd"/>
      <w:r w:rsidR="00DA6D7D" w:rsidRPr="00DA6D7D">
        <w:rPr>
          <w:vertAlign w:val="superscript"/>
        </w:rPr>
        <w:t>)</w:t>
      </w:r>
    </w:p>
    <w:p w14:paraId="5A1A6E2B" w14:textId="15B90704" w:rsidR="00EA50A7" w:rsidRDefault="00B6146E" w:rsidP="005649A6">
      <w:pPr>
        <w:pStyle w:val="AuthorAffiliation"/>
      </w:pPr>
      <w:r>
        <w:t xml:space="preserve">Department of </w:t>
      </w:r>
      <w:r w:rsidR="00D17E48">
        <w:t xml:space="preserve">Civil </w:t>
      </w:r>
      <w:r>
        <w:t xml:space="preserve">Engineering, Universitas </w:t>
      </w:r>
      <w:r w:rsidR="00D17E48">
        <w:t>Muhammadiyah Malang</w:t>
      </w:r>
      <w:r>
        <w:t xml:space="preserve">, </w:t>
      </w:r>
      <w:r w:rsidR="00D17E48">
        <w:t>Malang</w:t>
      </w:r>
      <w:r>
        <w:t xml:space="preserve">, </w:t>
      </w:r>
      <w:r w:rsidR="00D17E48">
        <w:t>Indonesia</w:t>
      </w:r>
      <w:r>
        <w:t xml:space="preserve"> </w:t>
      </w:r>
    </w:p>
    <w:p w14:paraId="2F3BAB1C" w14:textId="77777777" w:rsidR="005649A6" w:rsidRPr="002E09EC" w:rsidRDefault="005649A6" w:rsidP="005649A6">
      <w:pPr>
        <w:pStyle w:val="AuthorAffiliation"/>
      </w:pPr>
    </w:p>
    <w:p w14:paraId="43014103" w14:textId="764EEA82" w:rsidR="00EA50A7" w:rsidRPr="002E09EC" w:rsidRDefault="005C2B16" w:rsidP="005649A6">
      <w:pPr>
        <w:pStyle w:val="AuthorEmail"/>
        <w:rPr>
          <w:shd w:val="clear" w:color="auto" w:fill="FFFFFF"/>
        </w:rPr>
      </w:pPr>
      <w:r>
        <w:rPr>
          <w:shd w:val="clear" w:color="auto" w:fill="FFFFFF"/>
          <w:vertAlign w:val="superscript"/>
        </w:rPr>
        <w:t>a)</w:t>
      </w:r>
      <w:r w:rsidR="008A6A54">
        <w:rPr>
          <w:shd w:val="clear" w:color="auto" w:fill="FFFFFF"/>
          <w:vertAlign w:val="superscript"/>
        </w:rPr>
        <w:t xml:space="preserve"> </w:t>
      </w:r>
      <w:r w:rsidR="00EA50A7" w:rsidRPr="002E09EC">
        <w:rPr>
          <w:shd w:val="clear" w:color="auto" w:fill="FFFFFF"/>
          <w:lang w:val="id-ID"/>
        </w:rPr>
        <w:t xml:space="preserve">Corresponding author: </w:t>
      </w:r>
      <w:hyperlink r:id="rId6" w:history="1">
        <w:r w:rsidR="00D17E48">
          <w:rPr>
            <w:shd w:val="clear" w:color="auto" w:fill="FFFFFF"/>
          </w:rPr>
          <w:t>rizkiatcahyani@umm.ac.id</w:t>
        </w:r>
      </w:hyperlink>
    </w:p>
    <w:p w14:paraId="2BCC3E37" w14:textId="03EF61C8" w:rsidR="00300407" w:rsidRPr="006B5C8F" w:rsidRDefault="005C2B16" w:rsidP="006B5C8F">
      <w:pPr>
        <w:pStyle w:val="AuthorEmail"/>
      </w:pPr>
      <w:r>
        <w:rPr>
          <w:vertAlign w:val="superscript"/>
        </w:rPr>
        <w:t>b)</w:t>
      </w:r>
      <w:r w:rsidR="008A6A54">
        <w:rPr>
          <w:vertAlign w:val="superscript"/>
        </w:rPr>
        <w:t xml:space="preserve"> </w:t>
      </w:r>
      <w:r w:rsidR="006658F9">
        <w:t>yunanrusdianto@umm.ac.id</w:t>
      </w:r>
      <w:r w:rsidR="00DE3D12">
        <w:br/>
      </w:r>
      <w:r w:rsidR="00DE3D12" w:rsidRPr="00DE3D12">
        <w:rPr>
          <w:vertAlign w:val="superscript"/>
        </w:rPr>
        <w:t>c)</w:t>
      </w:r>
      <w:r w:rsidR="008A6A54">
        <w:rPr>
          <w:vertAlign w:val="superscript"/>
        </w:rPr>
        <w:t xml:space="preserve"> </w:t>
      </w:r>
      <w:r w:rsidR="00DE3D12" w:rsidRPr="00DE3D12">
        <w:t>fadillahramadhani76@gmail.com</w:t>
      </w:r>
    </w:p>
    <w:p w14:paraId="3CAA9E52" w14:textId="52A88946" w:rsidR="004B0599" w:rsidRDefault="00EA50A7" w:rsidP="00784F94">
      <w:pPr>
        <w:pStyle w:val="Abstract"/>
        <w:rPr>
          <w:rStyle w:val="Emphasis"/>
          <w:i/>
          <w:iCs/>
          <w:szCs w:val="18"/>
        </w:rPr>
      </w:pPr>
      <w:r w:rsidRPr="002E09EC">
        <w:rPr>
          <w:b/>
        </w:rPr>
        <w:t>Abstract</w:t>
      </w:r>
      <w:r w:rsidR="00784F94">
        <w:rPr>
          <w:b/>
        </w:rPr>
        <w:t xml:space="preserve">. </w:t>
      </w:r>
      <w:r w:rsidRPr="002E09EC">
        <w:t xml:space="preserve"> </w:t>
      </w:r>
      <w:r w:rsidR="004B0599" w:rsidRPr="004B0599">
        <w:rPr>
          <w:rStyle w:val="Emphasis"/>
          <w:szCs w:val="18"/>
        </w:rPr>
        <w:t xml:space="preserve">This study investigates the potential for cement reduction in concrete using a polycarboxylate-based superplasticizer. A consistency test was conducted on cement paste to evaluate the water reduction capabilities of polycarboxylate-based superplasticizer. Subsequently, cement and water contents were reduced in the concrete mixture to maintain the same water-cement ratio as a controlled mixture without admixtures. The primary objective was to assess the feasibility of reducing cement consumption while maintaining the concrete’s workability and compressive strength. The results indicate that incorporating 1.0% </w:t>
      </w:r>
      <w:r w:rsidR="00BA36E9" w:rsidRPr="00BA36E9">
        <w:rPr>
          <w:rStyle w:val="Emphasis"/>
          <w:szCs w:val="18"/>
        </w:rPr>
        <w:t>polycarboxylate-based superplasticizer</w:t>
      </w:r>
      <w:r w:rsidR="004B0599" w:rsidRPr="004B0599">
        <w:rPr>
          <w:rStyle w:val="Emphasis"/>
          <w:szCs w:val="18"/>
        </w:rPr>
        <w:t xml:space="preserve"> into the mixture enables a 10% reduction in cement consumption, along with a simultaneous decrease in water, </w:t>
      </w:r>
      <w:r w:rsidR="008E5DF4">
        <w:rPr>
          <w:rStyle w:val="Emphasis"/>
          <w:szCs w:val="18"/>
        </w:rPr>
        <w:t>with an enhancement in</w:t>
      </w:r>
      <w:r w:rsidR="004B0599" w:rsidRPr="004B0599">
        <w:rPr>
          <w:rStyle w:val="Emphasis"/>
          <w:szCs w:val="18"/>
        </w:rPr>
        <w:t xml:space="preserve"> the workability and compressive strength of the concrete.</w:t>
      </w:r>
    </w:p>
    <w:p w14:paraId="282ACB97" w14:textId="5BBB54A1" w:rsidR="00EA50A7" w:rsidRDefault="00EA50A7" w:rsidP="00784F94">
      <w:pPr>
        <w:pStyle w:val="Abstract"/>
      </w:pPr>
      <w:r w:rsidRPr="002E09EC">
        <w:rPr>
          <w:b/>
        </w:rPr>
        <w:t xml:space="preserve">Keywords: </w:t>
      </w:r>
      <w:r w:rsidR="00FB1387">
        <w:t>Concrete</w:t>
      </w:r>
      <w:r w:rsidR="00CA3BBC">
        <w:t xml:space="preserve">, </w:t>
      </w:r>
      <w:r w:rsidR="00FB1387">
        <w:t>p</w:t>
      </w:r>
      <w:r w:rsidR="00FB1387" w:rsidRPr="00FB1387">
        <w:t xml:space="preserve">olycarboxylate-based </w:t>
      </w:r>
      <w:r w:rsidR="00FB1387">
        <w:t>s</w:t>
      </w:r>
      <w:r w:rsidR="00FB1387" w:rsidRPr="00FB1387">
        <w:t>uperplasticizer</w:t>
      </w:r>
      <w:r w:rsidR="00CA3BBC">
        <w:t xml:space="preserve">, </w:t>
      </w:r>
      <w:r w:rsidR="00FB1387">
        <w:t>cement reduction, workability, compressive strength</w:t>
      </w:r>
      <w:r w:rsidR="00CA3BBC">
        <w:t xml:space="preserve">. </w:t>
      </w:r>
    </w:p>
    <w:p w14:paraId="0CD11642" w14:textId="11C772BC" w:rsidR="00EA50A7" w:rsidRPr="00817D04" w:rsidRDefault="00EA50A7" w:rsidP="00784F94">
      <w:pPr>
        <w:pStyle w:val="Heading1"/>
        <w:rPr>
          <w:sz w:val="20"/>
          <w:szCs w:val="16"/>
        </w:rPr>
      </w:pPr>
      <w:r w:rsidRPr="00817D04">
        <w:rPr>
          <w:sz w:val="20"/>
          <w:szCs w:val="16"/>
        </w:rPr>
        <w:t>INTRODUCTION</w:t>
      </w:r>
    </w:p>
    <w:p w14:paraId="3EAAD020" w14:textId="76B4D028" w:rsidR="00817D04" w:rsidRPr="008A6A54" w:rsidRDefault="00817D04" w:rsidP="008A6A54">
      <w:pPr>
        <w:pStyle w:val="Paragraphnumbered"/>
        <w:ind w:firstLine="284"/>
        <w:rPr>
          <w:rStyle w:val="Emphasis"/>
        </w:rPr>
      </w:pPr>
      <w:r w:rsidRPr="008A6A54">
        <w:rPr>
          <w:rStyle w:val="Emphasis"/>
        </w:rPr>
        <w:t xml:space="preserve">Environmental issues due to global warming and greenhouse gas emissions have become one of the greatest concerns today. The rapid increase in atmospheric carbon dioxide, one of the greenhouse gases, has been a major factor in the rise in global temperatures </w:t>
      </w:r>
      <w:r w:rsidRPr="008A6A54">
        <w:rPr>
          <w:rStyle w:val="Emphasis"/>
        </w:rPr>
        <w:fldChar w:fldCharType="begin" w:fldLock="1"/>
      </w:r>
      <w:r w:rsidRPr="008A6A54">
        <w:rPr>
          <w:rStyle w:val="Emphasis"/>
        </w:rPr>
        <w:instrText>ADDIN CSL_CITATION {"citationItems":[{"id":"ITEM-1","itemData":{"ISSN":"19918178","abstract":"What is called today as Global warming, in fact is increase average of earth temperature around surface, the scientists research present during 100 years ago, the average of temperature near earth surface had increase between 0/18 to 0/74. International group has announced in report about climate changes (IPCC) that is valid reference in field of climate changes and global warming effects \"further of temperature increase that observed in the middle of 20 century, is due to greenhouse gases that human has produced\". Models of climate changes that designed by IPCC, present between 1990 to 2100 A.D. The average of earth surface temperature has increase between 1.1 to 6.4 °C. Scientist believes even if the amount of greenhouse gases of the Earth's atmosphere remain stable, effects of it will be endure until end of third millennium. This study analysis destructive effect of greenhouse gases on environment.","author":[{"dropping-particle":"","family":"Samimi","given":"Amir","non-dropping-particle":"","parse-names":false,"suffix":""},{"dropping-particle":"","family":"Zarinabadi","given":"Soroush","non-dropping-particle":"","parse-names":false,"suffix":""}],"container-title":"Australian Journal of Basic and Applied Sciences","id":"ITEM-1","issue":"12","issued":{"date-parts":[["2011"]]},"page":"752-756","title":"Reduction of greenhouse gases emission and effect on environment","type":"article-journal","volume":"5"},"uris":["http://www.mendeley.com/documents/?uuid=bbba20db-5dc5-4b04-9a89-e7d6a6868da0"]},{"id":"ITEM-2","itemData":{"DOI":"10.1590/s1983-41952019000600003","ISBN":"1900060000","abstract":"Abstract The optimum content of ether polycarboxylate-based superplasticizer, determined by rotational rheometry, and its effects on the environmental impacts of concretes were studied for cement and limestone filler. To assess the consistency and water reduction, flow-table tests were performed. Then, cement content reduction and binder and carbon intensity indexes were determined through estimation based on theoretical concretes. The evaluated pure and blended cements present significant variability of the optimum consumption of the admixture. The fillers consumed less superplasticizer per area than the other materials and compositions with fillers allowed for greater reduction of water content. The mixtures with superplasticizer presented lower cement rate and binder and carbon intensity indexes. The usage of this type of admixture in optimal content can reduce environment impacts, according to the parameters analyzed.Resumo Foram estudados, em cimentos e fillers calcários, os teores ótimos de superplastificante (base policarboxilato éter), determinados através de reometria rotacional, e estimados seus efeitos nos impactos ambientais de concretos. Ensaios de espalhamento de argamassas em mesa de consistência foram feitos para determinação da redução de água e estimação de redução do cimento e intensidades de ligantes (IL) e CO2 (IC) em concretos teóricos. Os cimentos estudados apresentaram significante variação de consumo de superplastificante. Os fillers consumiram menos aditivo por unidade de área do que os demais materiais e suas composições apresentaram maior redução de água. O uso de superplastificantes levou à redução do consumo de cimento e das intensidades de ligante e carbono. A otimização do teor de superplastificante se mostrou eficiente para a redução de impactos ambientais.","author":[{"dropping-particle":"","family":"CECEL","given":"R. T.","non-dropping-particle":"","parse-names":false,"suffix":""},{"dropping-particle":"","family":"ABRÃO","given":"P. C. R. A.","non-dropping-particle":"","parse-names":false,"suffix":""},{"dropping-particle":"","family":"CARDOSO","given":"F. A.","non-dropping-particle":"","parse-names":false,"suffix":""},{"dropping-particle":"","family":"JOHN","given":"V. M.","non-dropping-particle":"","parse-names":false,"suffix":""}],"container-title":"Revista IBRACON de Estruturas e Materiais","id":"ITEM-2","issue":"6","issued":{"date-parts":[["2019"]]},"page":"1260-1287","title":"Consumption of superplasticizer admixture for different cements and their binder efficiency","type":"article-journal","volume":"12"},"uris":["http://www.mendeley.com/documents/?uuid=bcac1182-bc8b-4d2e-a618-c0210c34ea7a"]}],"mendeley":{"formattedCitation":"[1], [2]","plainTextFormattedCitation":"[1], [2]","previouslyFormattedCitation":"[1], [2]"},"properties":{"noteIndex":0},"schema":"https://github.com/citation-style-language/schema/raw/master/csl-citation.json"}</w:instrText>
      </w:r>
      <w:r w:rsidRPr="008A6A54">
        <w:rPr>
          <w:rStyle w:val="Emphasis"/>
        </w:rPr>
        <w:fldChar w:fldCharType="separate"/>
      </w:r>
      <w:r w:rsidRPr="008A6A54">
        <w:rPr>
          <w:rStyle w:val="Emphasis"/>
        </w:rPr>
        <w:t>[1], [2]</w:t>
      </w:r>
      <w:r w:rsidRPr="008A6A54">
        <w:rPr>
          <w:rStyle w:val="Emphasis"/>
        </w:rPr>
        <w:fldChar w:fldCharType="end"/>
      </w:r>
      <w:r w:rsidRPr="008A6A54">
        <w:rPr>
          <w:rStyle w:val="Emphasis"/>
        </w:rPr>
        <w:t xml:space="preserve">. Cement, the binding component of mortar and concrete, has been observed to produces a significant amount of carbon dioxide emissions, particularly during the manufacture of Portland cement clinker </w:t>
      </w:r>
      <w:r w:rsidRPr="008A6A54">
        <w:rPr>
          <w:rStyle w:val="Emphasis"/>
        </w:rPr>
        <w:fldChar w:fldCharType="begin" w:fldLock="1"/>
      </w:r>
      <w:r w:rsidRPr="008A6A54">
        <w:rPr>
          <w:rStyle w:val="Emphasis"/>
        </w:rPr>
        <w:instrText>ADDIN CSL_CITATION {"citationItems":[{"id":"ITEM-1","itemData":{"DOI":"10.1088/1755-1315/331/1/012035","ISBN":"2348036886","ISSN":"17551315","abstract":"The global challenges of pollution emission in cement industry in relation to energy consumption factor are overwhelming. No doubt it has been established that economic development has an impact on the environmental pollution and ecological system. With major constituent of environmental affluence been CO2, the consideration has to be on the type of manufacturing process, the consumption mix and the additive ratio. This paper focuses on the cement industry and aims to provide a systematic review of the specific operations, its trend and its impact on environmental pollution in terms of energy consumption and emissions evolved.","author":[{"dropping-particle":"","family":"Fayomi","given":"G. U.","non-dropping-particle":"","parse-names":false,"suffix":""},{"dropping-particle":"","family":"Mini","given":"S. E.","non-dropping-particle":"","parse-names":false,"suffix":""},{"dropping-particle":"","family":"Fayomi","given":"O. S.I.","non-dropping-particle":"","parse-names":false,"suffix":""},{"dropping-particle":"","family":"Ayoola","given":"A. A.","non-dropping-particle":"","parse-names":false,"suffix":""}],"container-title":"IOP Conference Series: Earth and Environmental Science","id":"ITEM-1","issue":"1","issued":{"date-parts":[["2019"]]},"title":"Perspectives on environmental CO2 emission and energy factor in Cement Industry","type":"article-journal","volume":"331"},"uris":["http://www.mendeley.com/documents/?uuid=c0cb0532-7e43-464e-a398-94b17d335016"]},{"id":"ITEM-2","itemData":{"abstract":"The global production of cement has grown very rapidly in recent years, and after fossil fuels and land-use change, it is the third-largest source of anthropogenic emissions of carbon dioxide. The required data for estimating emissions from global cement production are poor, and it has been recognised that some global estimates are significantly inflated. Here we assemble a large variety of available datasets and prioritise official data and emission factors, including estimates submitted to the UNFCCC plus new estimates for China and India, to present a new analysis of global process emissions from cement production. We show that global process emissions in 2016 were 1.45 ± 0.20 Gt CO 2 , equivalent to about 4 % of emissions from fossil fuels. Cumulative emissions from 1928 to 2016 were 39.3 ± 2.4 Gt CO 2 , 66 % of which have occurred since 1990. Emissions in 2015 were 30 % lower than those recently reported by the Global Carbon Project. The data associated with this article can be found at https://doi.org/10.5281/zenodo.831455.","author":[{"dropping-particle":"","family":"Andrew","given":"Robbie M","non-dropping-particle":"","parse-names":false,"suffix":""}],"container-title":"Earth System Science Data","id":"ITEM-2","issue":"4","issued":{"date-parts":[["2021"]]},"page":"1-20","title":"Global CO 2 emissions from cement production , 1928 – 2017 1 Introduction to Previous estimates of global cement emissions","type":"article-journal","volume":"10"},"uris":["http://www.mendeley.com/documents/?uuid=2ca75d8e-3646-40c4-af0d-19116ab41f80"]}],"mendeley":{"formattedCitation":"[3], [4]","plainTextFormattedCitation":"[3], [4]","previouslyFormattedCitation":"[3], [4]"},"properties":{"noteIndex":0},"schema":"https://github.com/citation-style-language/schema/raw/master/csl-citation.json"}</w:instrText>
      </w:r>
      <w:r w:rsidRPr="008A6A54">
        <w:rPr>
          <w:rStyle w:val="Emphasis"/>
        </w:rPr>
        <w:fldChar w:fldCharType="separate"/>
      </w:r>
      <w:r w:rsidRPr="008A6A54">
        <w:rPr>
          <w:rStyle w:val="Emphasis"/>
        </w:rPr>
        <w:t>[3], [4]</w:t>
      </w:r>
      <w:r w:rsidRPr="008A6A54">
        <w:rPr>
          <w:rStyle w:val="Emphasis"/>
        </w:rPr>
        <w:fldChar w:fldCharType="end"/>
      </w:r>
      <w:r w:rsidRPr="008A6A54">
        <w:rPr>
          <w:rStyle w:val="Emphasis"/>
        </w:rPr>
        <w:t xml:space="preserve">. Strategies to reduce carbon dioxide emission need to be implemented, such as incorporating supplementary cementitious materials (SCMs) as partial substitution for Portland cement. It is widely acknowledged that maximizing the use of these cementitious and pozzolanic by-products can lead to the sustainable development of the cement and building industries </w:t>
      </w:r>
      <w:r w:rsidRPr="008A6A54">
        <w:rPr>
          <w:rStyle w:val="Emphasis"/>
        </w:rPr>
        <w:fldChar w:fldCharType="begin" w:fldLock="1"/>
      </w:r>
      <w:r w:rsidRPr="008A6A54">
        <w:rPr>
          <w:rStyle w:val="Emphasis"/>
        </w:rPr>
        <w:instrText>ADDIN CSL_CITATION {"citationItems":[{"id":"ITEM-1","itemData":{"abstract":"Many solid industrial by-products such as siliceous and aluminous materials (fly ash, silica fume, slags, etc.) as well as some natural pozzolanic materials (volcanic tuffs, diatomaceous earth, etc.) may be characterized as supplementary cementing materials (SCM) as they exhibit cementitious and/or pozzolanic properties. Due to plenty of these materials and their large variations on physical and chemical composition, the development of a general design for their use in concrete is required. In this work, the concept of an efficiency factor is applied as a measure of the relative performance of SCM compared with Portland cement. Artificial materials of various compositions and some natural pozzolans were studied. Compressive strength and accelerated chloride penetration tests were performed. With regard to these characteristics, efficiency factors for these materials were calculated. A mix design strategy to fulfil any requirements for concrete strength and service lifetime was developed and it enables concrete performance to be accurately predicted.","author":[{"dropping-particle":"","family":"G., Papadakis; S.","given":"Tsimas","non-dropping-particle":"V.","parse-names":false,"suffix":""}],"container-title":"Cement and Concrete Research","id":"ITEM-1","issued":{"date-parts":[["2002"]]},"page":"1525 -1532","title":"Supplementary cementing materials in concrete Part I: efficiency and design","type":"article-journal","volume":"32"},"uris":["http://www.mendeley.com/documents/?uuid=e4b062e9-bf40-4946-bf4d-0af81807e2ea"]}],"mendeley":{"formattedCitation":"[5]","plainTextFormattedCitation":"[5]","previouslyFormattedCitation":"[5]"},"properties":{"noteIndex":0},"schema":"https://github.com/citation-style-language/schema/raw/master/csl-citation.json"}</w:instrText>
      </w:r>
      <w:r w:rsidRPr="008A6A54">
        <w:rPr>
          <w:rStyle w:val="Emphasis"/>
        </w:rPr>
        <w:fldChar w:fldCharType="separate"/>
      </w:r>
      <w:r w:rsidRPr="008A6A54">
        <w:rPr>
          <w:rStyle w:val="Emphasis"/>
        </w:rPr>
        <w:t>[5]</w:t>
      </w:r>
      <w:r w:rsidRPr="008A6A54">
        <w:rPr>
          <w:rStyle w:val="Emphasis"/>
        </w:rPr>
        <w:fldChar w:fldCharType="end"/>
      </w:r>
      <w:r w:rsidRPr="008A6A54">
        <w:rPr>
          <w:rStyle w:val="Emphasis"/>
        </w:rPr>
        <w:t xml:space="preserve">. Other alternatives to reduce greenhouse gas emissions can be achieved by minimizing the volume of cement in mortar or concrete mixtures using water reducing admixtures that can reduce the water content while preserving or even enhancing the mechanical properties of mortar and concrete </w:t>
      </w:r>
      <w:r w:rsidRPr="008A6A54">
        <w:rPr>
          <w:rStyle w:val="Emphasis"/>
        </w:rPr>
        <w:fldChar w:fldCharType="begin" w:fldLock="1"/>
      </w:r>
      <w:r w:rsidRPr="008A6A54">
        <w:rPr>
          <w:rStyle w:val="Emphasis"/>
        </w:rPr>
        <w:instrText>ADDIN CSL_CITATION {"citationItems":[{"id":"ITEM-1","itemData":{"DOI":"10.3390/app10103496","ISBN":"8613700098","ISSN":"20763417","abstract":"The current work investigates the fluidity and the loss of the flow rate of cement paste and mortar over time, as well as the pore structure and compressive strength of concrete and mortar in the presence of functional polycarboxylic acid high-performance water-reducing agents. The hydration rate, hydration products, and pore structure of the concrete containing different functional polycarboxylic acid superplasticizers were analyzed by means of mercury intrusion test, scanning electron microscopy (SEM), and X-ray diffraction (XRD). The results show that water-reducing agent Z significantly improves the pore structure of concrete and further compacts the structure of concrete and mortar, thereby improving the compressive strength of concrete. Moreover, the shorter side chains and ester functional groups in the structure of water-reducing agent H can slow down cement hydration rate, which lowers the early strength of mortar; nevertheless, at later stages, the pore structure of the concrete and mortar including superplasticizer H is less different from that of the concrete and mortar containing polycarboxylic acid water-reducing agents. Water-reducing agent J performs best but has a weaker effect on the pore structure of concrete and mortar compared to superplasticizer Z; it is also better than naphthalene-based water-reducing agents.","author":[{"dropping-particle":"","family":"Xun","given":"Wuju","non-dropping-particle":"","parse-names":false,"suffix":""},{"dropping-particle":"","family":"Wu","given":"Changlong","non-dropping-particle":"","parse-names":false,"suffix":""},{"dropping-particle":"","family":"Leng","given":"Xuefei","non-dropping-particle":"","parse-names":false,"suffix":""},{"dropping-particle":"","family":"Li","given":"Jiye","non-dropping-particle":"","parse-names":false,"suffix":""},{"dropping-particle":"","family":"Xin","given":"Desheng","non-dropping-particle":"","parse-names":false,"suffix":""},{"dropping-particle":"","family":"Li","given":"Yang","non-dropping-particle":"","parse-names":false,"suffix":""}],"container-title":"Applied Sciences (Switzerland)","id":"ITEM-1","issue":"10","issued":{"date-parts":[["2020"]]},"title":"Effect of functional superplasticizers on concrete strength and pore structure","type":"article-journal","volume":"10"},"uris":["http://www.mendeley.com/documents/?uuid=06928c73-b7b2-4cff-836c-6672e3f02f4d"]},{"id":"ITEM-2","itemData":{"DOI":"10.1080/13923730.2006.9636383","ISSN":"18223605","abstract":"The problem of the possibility of cement saving in concretes with admixture of sodium salt of formaldehydic polycondensates of sulphonic-napthalene acids (SNF) is presented. Executed investigations show a strong plastifying performance of this admixture as well as an elongation of setting time of Portland cements. On adding 1,5 % of admixture it is possible to obtain a substantial saving of cement with simultaneous reduction of water amount (constant W/C ratio), without a change of consistency of concrete mixture apparent density, compressive strength, absorption and water penetration of concrete. For the estimation of economic effectiveness of superplasticiser SNF it is proposed to introduce an index of cement saving Sc and an index of cement utilisation in concretes Iec. © 2006, Taylor &amp; Francis Group, LLC.","author":[{"dropping-particle":"","family":"Kapelko","given":"Aleksander","non-dropping-particle":"","parse-names":false,"suffix":""}],"container-title":"Journal of Civil Engineering and Management","id":"ITEM-2","issue":"2","issued":{"date-parts":[["2006"]]},"page":"117-126","title":"Possibilities of cement content reduction in concretes with admixture of superplasticiser SNF","type":"article-journal","volume":"12"},"uris":["http://www.mendeley.com/documents/?uuid=535c20bd-1c36-4f28-8567-b2537dc72e79"]}],"mendeley":{"formattedCitation":"[6], [7]","plainTextFormattedCitation":"[6], [7]","previouslyFormattedCitation":"[6], [7]"},"properties":{"noteIndex":0},"schema":"https://github.com/citation-style-language/schema/raw/master/csl-citation.json"}</w:instrText>
      </w:r>
      <w:r w:rsidRPr="008A6A54">
        <w:rPr>
          <w:rStyle w:val="Emphasis"/>
        </w:rPr>
        <w:fldChar w:fldCharType="separate"/>
      </w:r>
      <w:r w:rsidRPr="008A6A54">
        <w:rPr>
          <w:rStyle w:val="Emphasis"/>
        </w:rPr>
        <w:t>[6], [7]</w:t>
      </w:r>
      <w:r w:rsidRPr="008A6A54">
        <w:rPr>
          <w:rStyle w:val="Emphasis"/>
        </w:rPr>
        <w:fldChar w:fldCharType="end"/>
      </w:r>
      <w:r w:rsidRPr="008A6A54">
        <w:rPr>
          <w:rStyle w:val="Emphasis"/>
        </w:rPr>
        <w:t xml:space="preserve">. </w:t>
      </w:r>
    </w:p>
    <w:p w14:paraId="39FF2B20" w14:textId="7E4192CE" w:rsidR="00817D04" w:rsidRPr="008A6A54" w:rsidRDefault="00817D04" w:rsidP="008A6A54">
      <w:pPr>
        <w:pStyle w:val="Paragraphnumbered"/>
        <w:ind w:firstLine="284"/>
        <w:rPr>
          <w:rStyle w:val="Emphasis"/>
        </w:rPr>
      </w:pPr>
      <w:r w:rsidRPr="008A6A54">
        <w:rPr>
          <w:rStyle w:val="Emphasis"/>
        </w:rPr>
        <w:t xml:space="preserve">Superplasticizers, as high-performance water reducing admixtures, are effective in reducing water requirements without excessive loss of workability </w:t>
      </w:r>
      <w:r w:rsidRPr="008A6A54">
        <w:rPr>
          <w:rStyle w:val="Emphasis"/>
        </w:rPr>
        <w:fldChar w:fldCharType="begin" w:fldLock="1"/>
      </w:r>
      <w:r w:rsidR="001C0D69" w:rsidRPr="008A6A54">
        <w:rPr>
          <w:rStyle w:val="Emphasis"/>
        </w:rPr>
        <w:instrText>ADDIN CSL_CITATION {"citationItems":[{"id":"ITEM-1","itemData":{"DOI":"10.1007/s40996-021-00777-7","abstract":"Polycarboxylic acid-based superplasticizers are used in various types of concrete work. Wide variations in environmental temperatures are known to affect how well chemical admixtures perform as superplasticizers, influencing the properties of the concrete. However, little has been reported on changes in performance caused by thermal variations. Previous studies have reported that heating superplasticizers change the polymer structure, improving and sustaining cement particles' dispersibility. Moreover, the improved fluidity from thermal stimulation is not temporary. The effect has been observed to remain for about seven days, with the residual characteristics differing depending on the superplasticizers used. Therefore this study evaluates mortar stiffness when using thermally stimulated superplasticizers and evaluates how the stimulation affects construction performance using measures such as the flow and rheological properties (plastic viscosity) of fresh mortar, vane shear tests, blade viscometer tests, and mortar vibration box tests. Mortar's fluidity was found to improve by about 25% when using thermally stimulated additives, with plastic viscosity dropping by up to 45% and the stress likely to be needed for pumping also being reduced by about 16%. Filling speed was also found to increase by about 26%. Thus, thermal stimulation improves mortar and concrete construction performance, and it may be possible in the future to carry out the construction with fewer workers utilizing this technology’s benefits. The study indicates a need for further investigation of how thermal stimulation affects polymer molecules’ adsorption efficiency with cement to elucidate the mechanism at full scale and propose ways to adopt thermal stimulation at actual construction sites.","author":[{"dropping-particle":"","family":"Takigawa","given":"Mizuki","non-dropping-particle":"","parse-names":false,"suffix":""},{"dropping-particle":"","family":"Nemoto","given":"Hiroshi","non-dropping-particle":"","parse-names":false,"suffix":""},{"dropping-particle":"","family":"Hashimoto","given":"Shin ichiro","non-dropping-particle":"","parse-names":false,"suffix":""},{"dropping-particle":"","family":"Date","given":"Shigeyuki","non-dropping-particle":"","parse-names":false,"suffix":""}],"container-title":"Iranian Journal of Science and Technology - Transactions of Civil Engineering","id":"ITEM-1","issue":"4","issued":{"date-parts":[["2022"]]},"title":"Effectiveness of Thermal Stimulation of Superplasticizers on Fresh Properties of Cement Mortar","type":"article-journal","volume":"46"},"uris":["http://www.mendeley.com/documents/?uuid=12befcdb-28cb-4a74-94b4-ba7f9d31ee5c"]},{"id":"ITEM-2","itemData":{"DOI":"10.3390/ma13245624","ISSN":"19961944","abstract":"This study presents a flow pump technique usually used for evaluating the permeability of soils, which was, for first time, applied to measure the water permeability of concrete. Additionally, a new easy-to-apply method to determine permeability is proposed, based on a modification of Valenta’s formula. In the calculations, the apparent air content of concrete mixes was taken into account. An additional purpose of the conducted research was to determine the influence of a new generation of polycarboxylate superplasticizer and chemically active admixtures on the permeability, compressive strength, and other properties of concrete. The following four types of concrete were tested: concrete without admixtures, concrete with an admixture to increase the compressive strength, concrete with a superplasticizer, and concrete containing two admixtures simultaneously. The results showed that the proposed method allows to obtain reliable measurements within a very short period of time. The obtained results confirmed that new method may be very useful in engineering practice, particularly in terms of the watertightness of hydrotechnical concretes and the properties of the concretes used in bridge construction, underground parts of office buildings, or sealed tanks.","author":[{"dropping-particle":"","family":"Skutnik","given":"Zdzisław","non-dropping-particle":"","parse-names":false,"suffix":""},{"dropping-particle":"","family":"Sobolewski","given":"Mariusz","non-dropping-particle":"","parse-names":false,"suffix":""},{"dropping-particle":"","family":"Koda","given":"Eugeniusz","non-dropping-particle":"","parse-names":false,"suffix":""}],"container-title":"Materials","id":"ITEM-2","issue":"24","issued":{"date-parts":[["2020"]]},"page":"1-16","title":"An experimental assessment of the water permeability of concrete with a superplasticizer and admixtures","type":"article-journal","volume":"13"},"uris":["http://www.mendeley.com/documents/?uuid=348d3292-c9b5-4f1f-844c-e6714db3e607"]},{"id":"ITEM-3","itemData":{"DOI":"10.3390/app10093096","ISSN":"20763417","abstract":"Self-compacting concrete modifies its workability with small variations in the amount of superplasticizer additive. For this reason, large number of tests are required to monitor its workability. In order to determine the appropriate amount of additive for a single mix, the evolution of the power consumption of the concrete mixer during the addition of small amounts of additive to the concrete was analyzed. These results were compared both with typical workability characterization for self-compacting concrete and with the saturation point results, determined by the Marsh cone method. After this comparison, a good correlation was obtained between the results from the traditional tests and the proposed \"concrete mixer method\".","author":[{"dropping-particle":"","family":"Sainz-Aja","given":"Jose A.","non-dropping-particle":"","parse-names":false,"suffix":""},{"dropping-particle":"","family":"Carrascal","given":"Isidro A.","non-dropping-particle":"","parse-names":false,"suffix":""},{"dropping-particle":"","family":"Polanco","given":"Juan A.","non-dropping-particle":"","parse-names":false,"suffix":""},{"dropping-particle":"","family":"Sosa","given":"Israel","non-dropping-particle":"","parse-names":false,"suffix":""},{"dropping-particle":"","family":"Thomas","given":"Carlos","non-dropping-particle":"","parse-names":false,"suffix":""},{"dropping-particle":"","family":"Casado","given":"Jose","non-dropping-particle":"","parse-names":false,"suffix":""},{"dropping-particle":"","family":"Diego","given":"Soraya","non-dropping-particle":"","parse-names":false,"suffix":""}],"container-title":"Applied Sciences (Switzerland)","id":"ITEM-3","issue":"9","issued":{"date-parts":[["2020"]]},"title":"Determination of the optimum amount of superplasticizer additive for self-compacting concrete","type":"article-journal","volume":"10"},"uris":["http://www.mendeley.com/documents/?uuid=279b81dc-9b65-4d68-a37f-cdd091fb4215"]}],"mendeley":{"formattedCitation":"[8]–[10]","plainTextFormattedCitation":"[8]–[10]","previouslyFormattedCitation":"[8]–[10]"},"properties":{"noteIndex":0},"schema":"https://github.com/citation-style-language/schema/raw/master/csl-citation.json"}</w:instrText>
      </w:r>
      <w:r w:rsidRPr="008A6A54">
        <w:rPr>
          <w:rStyle w:val="Emphasis"/>
        </w:rPr>
        <w:fldChar w:fldCharType="separate"/>
      </w:r>
      <w:r w:rsidRPr="008A6A54">
        <w:rPr>
          <w:rStyle w:val="Emphasis"/>
        </w:rPr>
        <w:t>[8]–[10]</w:t>
      </w:r>
      <w:r w:rsidRPr="008A6A54">
        <w:rPr>
          <w:rStyle w:val="Emphasis"/>
        </w:rPr>
        <w:fldChar w:fldCharType="end"/>
      </w:r>
      <w:r w:rsidRPr="008A6A54">
        <w:rPr>
          <w:rStyle w:val="Emphasis"/>
        </w:rPr>
        <w:t xml:space="preserve">. A lower water-cement (w/c) ratio leads to the improvement of concrete mechanical properties </w:t>
      </w:r>
      <w:r w:rsidRPr="008A6A54">
        <w:rPr>
          <w:rStyle w:val="Emphasis"/>
        </w:rPr>
        <w:fldChar w:fldCharType="begin" w:fldLock="1"/>
      </w:r>
      <w:r w:rsidR="00140AB4" w:rsidRPr="008A6A54">
        <w:rPr>
          <w:rStyle w:val="Emphasis"/>
        </w:rPr>
        <w:instrText>ADDIN CSL_CITATION {"citationItems":[{"id":"ITEM-1","itemData":{"DOI":"10.3390/ma9020098","ISSN":"19961944","abstract":"This paper evaluates the influence of two superplasticizers (SP) on the durability properties of concrete made with fine recycled concrete aggregate (FRCA). For this purpose, three families of concrete were tested: concrete without SP, concrete made with a regular superplasticizer and concrete made with a high-performance superplasticizer. Five volumetric replacement ratios of natural sand by FRCA were tested: 0%, 10%, 30%, 50% and 100%. Two natural gravels were used as coarse aggregates. All mixes had the same particle size distribution, cement content and amount of superplasticizer. The w/c ratio was calibrated to obtain similar slump. The results showed that the incorporation of FRCA increased the water absorption by immersion, the water absorption by capillary action, the carbonation depth and the chloride migration coefficient, while the use of superplasticizers highly improved these properties. The incorporation of FRCA jeopardized the SP's effectiveness. This research demonstrated that, from a durability point of view, the simultaneous incorporation of FRCA and high-performance SP is a viable sustainable solution for structural concrete production.","author":[{"dropping-particle":"","family":"Cartuxo","given":"Francisco","non-dropping-particle":"","parse-names":false,"suffix":""},{"dropping-particle":"","family":"Brito","given":"Jorge","non-dropping-particle":"De","parse-names":false,"suffix":""},{"dropping-particle":"","family":"Evangelista","given":"Luis","non-dropping-particle":"","parse-names":false,"suffix":""},{"dropping-particle":"","family":"Jiménez","given":"José Ramón","non-dropping-particle":"","parse-names":false,"suffix":""},{"dropping-particle":"","family":"Ledesma","given":"Enrique F.","non-dropping-particle":"","parse-names":false,"suffix":""}],"container-title":"Materials","id":"ITEM-1","issue":"2","issued":{"date-parts":[["2016"]]},"title":"Increased durability of concrete made with fine recycled concrete aggregates using superplasticizers","type":"article-journal","volume":"9"},"uris":["http://www.mendeley.com/documents/?uuid=8f379d09-d4a4-4851-b976-59529ad57255"]},{"id":"ITEM-2","itemData":{"DOI":"10.1016/j.jobe.2023.107250","abstract":"Degradation of cement-based materials with ultra-low water-to-cement ratio may occur under water and drying conditions. However, the mechanisms remain unclear. In this study, we compared the mechanical properties, deformation, and mass change of cement pastes with a water-to-cement ratio of 0.17, which had been cured in saturated calcium hydroxide solution, sealed, and drying conditions for one year. The results show that the compressive strength of the cement pastes enhances and afterwards degrades under the three curing conditions. In both self-desiccating and drying conditions, the non-uniform shrinkage induced by water consumption dominates the evolution of the mechanical properties. Hydration affected by water adsorption/desorption has a stronger influence on compressive strength development compared to the weakening effect induced by water adsorption/desorption itself. When there is enough additional space in cement paste, extra hydration products formed with the external water supply can repair defects and fill pores, increasing compressive strength. In contrast, in dense structures, further hydration can cause swelling, cracking, and reduction in compressive strength. This study also confirms the contribution of the swelling of the calcium-silicate-hydrates gel on the expansion of cement paste in saturated conditions.","author":[{"dropping-particle":"","family":"Huang","given":"Fangmei","non-dropping-particle":"","parse-names":false,"suffix":""},{"dropping-particle":"","family":"Hu","given":"Zhangli","non-dropping-particle":"","parse-names":false,"suffix":""},{"dropping-particle":"","family":"Li","given":"Shusen","non-dropping-particle":"","parse-names":false,"suffix":""},{"dropping-particle":"","family":"Liu","given":"Jianzhong","non-dropping-particle":"","parse-names":false,"suffix":""},{"dropping-particle":"","family":"Han","given":"Fangyu","non-dropping-particle":"","parse-names":false,"suffix":""},{"dropping-particle":"","family":"Liu","given":"Jiaping","non-dropping-particle":"","parse-names":false,"suffix":""}],"container-title":"Journal of Building Engineering","id":"ITEM-2","issued":{"date-parts":[["2023"]]},"title":"Long-term deformation and mechanical properties evolution of cement paste with ultra-low water-to-cement ratio driven by water migration","type":"article-journal","volume":"76"},"uris":["http://www.mendeley.com/documents/?uuid=d0c802cd-3252-4d57-b34b-20227888cd3e"]}],"mendeley":{"formattedCitation":"[11], [12]","plainTextFormattedCitation":"[11], [12]","previouslyFormattedCitation":"[11], [12]"},"properties":{"noteIndex":0},"schema":"https://github.com/citation-style-language/schema/raw/master/csl-citation.json"}</w:instrText>
      </w:r>
      <w:r w:rsidRPr="008A6A54">
        <w:rPr>
          <w:rStyle w:val="Emphasis"/>
        </w:rPr>
        <w:fldChar w:fldCharType="separate"/>
      </w:r>
      <w:r w:rsidR="001C0D69" w:rsidRPr="008A6A54">
        <w:rPr>
          <w:rStyle w:val="Emphasis"/>
        </w:rPr>
        <w:t>[11], [12]</w:t>
      </w:r>
      <w:r w:rsidRPr="008A6A54">
        <w:rPr>
          <w:rStyle w:val="Emphasis"/>
        </w:rPr>
        <w:fldChar w:fldCharType="end"/>
      </w:r>
      <w:r w:rsidRPr="008A6A54">
        <w:rPr>
          <w:rStyle w:val="Emphasis"/>
        </w:rPr>
        <w:t xml:space="preserve">. Superplasticizer admixture can be used in cement materials to achieve the desired results: workability improvement for a given w/c ratio or reduction of water content for a target workability. In addition, while maintaining the constant w/c ratio, it is possible to reduce water and cement content simultaneously without worsening the fluidity and the compressive strength of the composite mixture </w:t>
      </w:r>
      <w:r w:rsidRPr="008A6A54">
        <w:rPr>
          <w:rStyle w:val="Emphasis"/>
        </w:rPr>
        <w:fldChar w:fldCharType="begin" w:fldLock="1"/>
      </w:r>
      <w:r w:rsidRPr="008A6A54">
        <w:rPr>
          <w:rStyle w:val="Emphasis"/>
        </w:rPr>
        <w:instrText>ADDIN CSL_CITATION {"citationItems":[{"id":"ITEM-1","itemData":{"DOI":"10.1080/13923730.2006.9636383","ISSN":"18223605","abstract":"The problem of the possibility of cement saving in concretes with admixture of sodium salt of formaldehydic polycondensates of sulphonic-napthalene acids (SNF) is presented. Executed investigations show a strong plastifying performance of this admixture as well as an elongation of setting time of Portland cements. On adding 1,5 % of admixture it is possible to obtain a substantial saving of cement with simultaneous reduction of water amount (constant W/C ratio), without a change of consistency of concrete mixture apparent density, compressive strength, absorption and water penetration of concrete. For the estimation of economic effectiveness of superplasticiser SNF it is proposed to introduce an index of cement saving Sc and an index of cement utilisation in concretes Iec. © 2006, Taylor &amp; Francis Group, LLC.","author":[{"dropping-particle":"","family":"Kapelko","given":"Aleksander","non-dropping-particle":"","parse-names":false,"suffix":""}],"container-title":"Journal of Civil Engineering and Management","id":"ITEM-1","issue":"2","issued":{"date-parts":[["2006"]]},"page":"117-126","title":"Possibilities of cement content reduction in concretes with admixture of superplasticiser SNF","type":"article-journal","volume":"12"},"uris":["http://www.mendeley.com/documents/?uuid=535c20bd-1c36-4f28-8567-b2537dc72e79"]}],"mendeley":{"formattedCitation":"[7]","plainTextFormattedCitation":"[7]","previouslyFormattedCitation":"[7]"},"properties":{"noteIndex":0},"schema":"https://github.com/citation-style-language/schema/raw/master/csl-citation.json"}</w:instrText>
      </w:r>
      <w:r w:rsidRPr="008A6A54">
        <w:rPr>
          <w:rStyle w:val="Emphasis"/>
        </w:rPr>
        <w:fldChar w:fldCharType="separate"/>
      </w:r>
      <w:r w:rsidRPr="008A6A54">
        <w:rPr>
          <w:rStyle w:val="Emphasis"/>
        </w:rPr>
        <w:t>[7]</w:t>
      </w:r>
      <w:r w:rsidRPr="008A6A54">
        <w:rPr>
          <w:rStyle w:val="Emphasis"/>
        </w:rPr>
        <w:fldChar w:fldCharType="end"/>
      </w:r>
      <w:r w:rsidRPr="008A6A54">
        <w:rPr>
          <w:rStyle w:val="Emphasis"/>
        </w:rPr>
        <w:t xml:space="preserve">. The reduction of cement allows lower cement consumption and potentially minimize the environmental impact related to cement production </w:t>
      </w:r>
      <w:r w:rsidRPr="008A6A54">
        <w:rPr>
          <w:rStyle w:val="Emphasis"/>
        </w:rPr>
        <w:fldChar w:fldCharType="begin" w:fldLock="1"/>
      </w:r>
      <w:r w:rsidRPr="008A6A54">
        <w:rPr>
          <w:rStyle w:val="Emphasis"/>
        </w:rPr>
        <w:instrText>ADDIN CSL_CITATION {"citationItems":[{"id":"ITEM-1","itemData":{"DOI":"10.1590/s1983-41952019000600003","ISBN":"1900060000","abstract":"Abstract The optimum content of ether polycarboxylate-based superplasticizer, determined by rotational rheometry, and its effects on the environmental impacts of concretes were studied for cement and limestone filler. To assess the consistency and water reduction, flow-table tests were performed. Then, cement content reduction and binder and carbon intensity indexes were determined through estimation based on theoretical concretes. The evaluated pure and blended cements present significant variability of the optimum consumption of the admixture. The fillers consumed less superplasticizer per area than the other materials and compositions with fillers allowed for greater reduction of water content. The mixtures with superplasticizer presented lower cement rate and binder and carbon intensity indexes. The usage of this type of admixture in optimal content can reduce environment impacts, according to the parameters analyzed.Resumo Foram estudados, em cimentos e fillers calcários, os teores ótimos de superplastificante (base policarboxilato éter), determinados através de reometria rotacional, e estimados seus efeitos nos impactos ambientais de concretos. Ensaios de espalhamento de argamassas em mesa de consistência foram feitos para determinação da redução de água e estimação de redução do cimento e intensidades de ligantes (IL) e CO2 (IC) em concretos teóricos. Os cimentos estudados apresentaram significante variação de consumo de superplastificante. Os fillers consumiram menos aditivo por unidade de área do que os demais materiais e suas composições apresentaram maior redução de água. O uso de superplastificantes levou à redução do consumo de cimento e das intensidades de ligante e carbono. A otimização do teor de superplastificante se mostrou eficiente para a redução de impactos ambientais.","author":[{"dropping-particle":"","family":"CECEL","given":"R. T.","non-dropping-particle":"","parse-names":false,"suffix":""},{"dropping-particle":"","family":"ABRÃO","given":"P. C. R. A.","non-dropping-particle":"","parse-names":false,"suffix":""},{"dropping-particle":"","family":"CARDOSO","given":"F. A.","non-dropping-particle":"","parse-names":false,"suffix":""},{"dropping-particle":"","family":"JOHN","given":"V. M.","non-dropping-particle":"","parse-names":false,"suffix":""}],"container-title":"Revista IBRACON de Estruturas e Materiais","id":"ITEM-1","issue":"6","issued":{"date-parts":[["2019"]]},"page":"1260-1287","title":"Consumption of superplasticizer admixture for different cements and their binder efficiency","type":"article-journal","volume":"12"},"uris":["http://www.mendeley.com/documents/?uuid=bcac1182-bc8b-4d2e-a618-c0210c34ea7a"]}],"mendeley":{"formattedCitation":"[2]","plainTextFormattedCitation":"[2]","previouslyFormattedCitation":"[2]"},"properties":{"noteIndex":0},"schema":"https://github.com/citation-style-language/schema/raw/master/csl-citation.json"}</w:instrText>
      </w:r>
      <w:r w:rsidRPr="008A6A54">
        <w:rPr>
          <w:rStyle w:val="Emphasis"/>
        </w:rPr>
        <w:fldChar w:fldCharType="separate"/>
      </w:r>
      <w:r w:rsidRPr="008A6A54">
        <w:rPr>
          <w:rStyle w:val="Emphasis"/>
        </w:rPr>
        <w:t>[2]</w:t>
      </w:r>
      <w:r w:rsidRPr="008A6A54">
        <w:rPr>
          <w:rStyle w:val="Emphasis"/>
        </w:rPr>
        <w:fldChar w:fldCharType="end"/>
      </w:r>
      <w:r w:rsidRPr="008A6A54">
        <w:rPr>
          <w:rStyle w:val="Emphasis"/>
        </w:rPr>
        <w:t xml:space="preserve">. </w:t>
      </w:r>
      <w:r w:rsidR="00140AB4" w:rsidRPr="008A6A54">
        <w:rPr>
          <w:rStyle w:val="Emphasis"/>
        </w:rPr>
        <w:t>The water reduction capacity</w:t>
      </w:r>
      <w:r w:rsidR="00DC61B1" w:rsidRPr="008A6A54">
        <w:rPr>
          <w:rStyle w:val="Emphasis"/>
        </w:rPr>
        <w:t xml:space="preserve"> of superplasticizer</w:t>
      </w:r>
      <w:r w:rsidR="00140AB4" w:rsidRPr="008A6A54">
        <w:rPr>
          <w:rStyle w:val="Emphasis"/>
        </w:rPr>
        <w:t xml:space="preserve"> admixture</w:t>
      </w:r>
      <w:r w:rsidR="00DC61B1" w:rsidRPr="008A6A54">
        <w:rPr>
          <w:rStyle w:val="Emphasis"/>
        </w:rPr>
        <w:t xml:space="preserve"> </w:t>
      </w:r>
      <w:r w:rsidR="00140AB4" w:rsidRPr="008A6A54">
        <w:rPr>
          <w:rStyle w:val="Emphasis"/>
        </w:rPr>
        <w:t>will vary based on their chemical composition. Polycarboxylate</w:t>
      </w:r>
      <w:r w:rsidR="00FA40D2" w:rsidRPr="008A6A54">
        <w:rPr>
          <w:rStyle w:val="Emphasis"/>
        </w:rPr>
        <w:t xml:space="preserve"> (PCE)</w:t>
      </w:r>
      <w:r w:rsidR="00140AB4" w:rsidRPr="008A6A54">
        <w:rPr>
          <w:rStyle w:val="Emphasis"/>
        </w:rPr>
        <w:t xml:space="preserve"> superplasticizers are known for achieving low water-to-cement ratios, enhancing strength and reducing cement content </w:t>
      </w:r>
      <w:r w:rsidR="00140AB4" w:rsidRPr="008A6A54">
        <w:rPr>
          <w:rStyle w:val="Emphasis"/>
        </w:rPr>
        <w:fldChar w:fldCharType="begin" w:fldLock="1"/>
      </w:r>
      <w:r w:rsidR="00140AB4" w:rsidRPr="008A6A54">
        <w:rPr>
          <w:rStyle w:val="Emphasis"/>
        </w:rPr>
        <w:instrText>ADDIN CSL_CITATION {"citationItems":[{"id":"ITEM-1","itemData":{"DOI":"10.1002/cepa.2771","abstract":"The use of superplasticizers in concrete, especially polycarboxylate ethers (PCE), has delivered the ability to easily achieve low water to cement ratios and thereby either higher strength or lower cement contents. In the last years, significant progress has been made with regard to understanding the structure‐activity relationship of the interaction of PCE and cement. For example, scaling laws have been derived for the size of adsorbed PCE, the magnitude of the steric interaction force, for the retardation of cement hydration by PCEs and more recently for competitive adsorption. While this is extremely useful, the picture is not fully complete yet.In this contribution, we wish to highlight some recent work in the field of data analysis of PCE. Inspired by a very early machine‐learning study of concrete formulations, we extracted structural PCE data together with rheology data from the literature. We compare PCE performance across studies and attempt to uncover underlying structure‐activity‐relationships (using machine learning models). It turns out that the data set quality and quantity is not yet sufficient to establish reliable models.","author":[{"dropping-particle":"","family":"Gädt","given":"Torben","non-dropping-particle":"","parse-names":false,"suffix":""},{"dropping-particle":"","family":"Wagner","given":"Thomas","non-dropping-particle":"","parse-names":false,"suffix":""}],"container-title":"ce/papers","id":"ITEM-1","issue":"6","issued":{"date-parts":[["2023"]]},"title":"Aspects of Admixture Research: On the Use of Machine Learning in Superplasticizer Chemistry","type":"article-journal","volume":"6"},"uris":["http://www.mendeley.com/documents/?uuid=a5ea9352-b104-446c-b500-eaf0cac89ee8"]}],"mendeley":{"formattedCitation":"[13]","plainTextFormattedCitation":"[13]","previouslyFormattedCitation":"[13]"},"properties":{"noteIndex":0},"schema":"https://github.com/citation-style-language/schema/raw/master/csl-citation.json"}</w:instrText>
      </w:r>
      <w:r w:rsidR="00140AB4" w:rsidRPr="008A6A54">
        <w:rPr>
          <w:rStyle w:val="Emphasis"/>
        </w:rPr>
        <w:fldChar w:fldCharType="separate"/>
      </w:r>
      <w:r w:rsidR="00140AB4" w:rsidRPr="008A6A54">
        <w:rPr>
          <w:rStyle w:val="Emphasis"/>
        </w:rPr>
        <w:t>[13]</w:t>
      </w:r>
      <w:r w:rsidR="00140AB4" w:rsidRPr="008A6A54">
        <w:rPr>
          <w:rStyle w:val="Emphasis"/>
        </w:rPr>
        <w:fldChar w:fldCharType="end"/>
      </w:r>
      <w:r w:rsidR="00140AB4" w:rsidRPr="008A6A54">
        <w:rPr>
          <w:rStyle w:val="Emphasis"/>
        </w:rPr>
        <w:t xml:space="preserve">. This superplasticizers demonstrates high water-reducing capabilities which reach up to 40% </w:t>
      </w:r>
      <w:r w:rsidR="00140AB4" w:rsidRPr="008A6A54">
        <w:rPr>
          <w:rStyle w:val="Emphasis"/>
        </w:rPr>
        <w:fldChar w:fldCharType="begin" w:fldLock="1"/>
      </w:r>
      <w:r w:rsidR="00140AB4" w:rsidRPr="008A6A54">
        <w:rPr>
          <w:rStyle w:val="Emphasis"/>
        </w:rPr>
        <w:instrText>ADDIN CSL_CITATION {"citationItems":[{"id":"ITEM-1","itemData":{"DOI":"10.11896/cldb.201903024","abstract":"Polycarboxylate superplasticizers (PCE) has become an indispensable component of high-performance or ultra-high performance concrete, owing to its low dosage, high water reducing rate (&gt;40%), significant positive effects on the workability, mechanical and durability properties of concrete. PCE. is usually composed of a backbone containing anionic groups (like carboxyl group, sulfonic acid group and phosphate group) and grafted side chains with neutral charge. The anionic groups are adsorbed on the surface of cement particles, providing the electrosta-tic repulsion forces, while the PEO-grafted side chains extend from the cement particle surface into the pore solution to create steric hindrance forces. The synergistic effects of the two forces break down the flocculated clusters and improve the dispersion of cement paste. Diverse modified PCE with different side chains, grafting density, anchoring functional group and length of backbone show various effects and can be employed by concrete with different demand in performance. However, with the continuous raise in requirements of concrete performance and the decrease in quality of raw materials, the performance of PCE may be more sensitive to the mixture proportion parameters (cement type, w/c, etc.) and production conditions such as operating temperature and mixing time. The incompatibility between PCE with carboxyl and polyethylene oxide (PEO) side chains and cementitious materials is increasingly serious. Besides, with the increasing requirements of ultra-high performance concrete, a series of PCE with performances of shrinkage reduction, low viscosity and high slump retention have emerged as the times require. PCE can be primarily classified into two categories. One is polyester-type PCE, which made from α-methoxy poly (ethylene glycol) methacrylate ester (MPEG-MA) by aqueous free radical copolymerization or esterification/transesterification reaction. The other is polyether-type PCE, which is synthesize by free radical copolymerization in bulk or in aqueous solution with α-allyl-α-methoxy or α-hydroxy poly (ethylene glycol) (APEG) ether and maleic anhydride as key monomers, or copolymerization via isoprenyl oxy poly (ethylene glycol, acrylic acid, and α-methallyl-α-methoxy or α-hydroxy poly (ethylene glycol) ether. Polycarboxylate superplasticizer (PCE) features low dosage and high water reducing rate. Different functional groups of PCE exhibit different effects, for example, carboxylic groups show r…","author":[{"dropping-particle":"","family":"Sha","given":"Shengnan","non-dropping-particle":"","parse-names":false,"suffix":""},{"dropping-particle":"","family":"Shi","given":"Caijun","non-dropping-particle":"","parse-names":false,"suffix":""},{"dropping-particle":"","family":"Xiang","given":"Shuncheng","non-dropping-particle":"","parse-names":false,"suffix":""},{"dropping-particle":"","family":"Jiao","given":"Dengwu","non-dropping-particle":"","parse-names":false,"suffix":""}],"container-title":"Cailiao Daobao/Materials Review","id":"ITEM-1","issue":"2","issued":{"date-parts":[["2019"]]},"title":"The State-of-the-art Synthesis Techniques of Polycarboxylate Superplasticizer","type":"article","volume":"33"},"uris":["http://www.mendeley.com/documents/?uuid=f6fe11ba-f47c-4e7e-a638-774a400360aa"]}],"mendeley":{"formattedCitation":"[14]","plainTextFormattedCitation":"[14]","previouslyFormattedCitation":"[14]"},"properties":{"noteIndex":0},"schema":"https://github.com/citation-style-language/schema/raw/master/csl-citation.json"}</w:instrText>
      </w:r>
      <w:r w:rsidR="00140AB4" w:rsidRPr="008A6A54">
        <w:rPr>
          <w:rStyle w:val="Emphasis"/>
        </w:rPr>
        <w:fldChar w:fldCharType="separate"/>
      </w:r>
      <w:r w:rsidR="00140AB4" w:rsidRPr="008A6A54">
        <w:rPr>
          <w:rStyle w:val="Emphasis"/>
        </w:rPr>
        <w:t>[14]</w:t>
      </w:r>
      <w:r w:rsidR="00140AB4" w:rsidRPr="008A6A54">
        <w:rPr>
          <w:rStyle w:val="Emphasis"/>
        </w:rPr>
        <w:fldChar w:fldCharType="end"/>
      </w:r>
      <w:r w:rsidR="00140AB4" w:rsidRPr="008A6A54">
        <w:rPr>
          <w:rStyle w:val="Emphasis"/>
        </w:rPr>
        <w:t xml:space="preserve">. This reduction in water content allows for a decrease in cement usage </w:t>
      </w:r>
      <w:r w:rsidR="00140AB4" w:rsidRPr="008A6A54">
        <w:rPr>
          <w:rStyle w:val="Emphasis"/>
        </w:rPr>
        <w:lastRenderedPageBreak/>
        <w:t xml:space="preserve">without sacrificing performance, making </w:t>
      </w:r>
      <w:r w:rsidR="00FA40D2" w:rsidRPr="008A6A54">
        <w:rPr>
          <w:rStyle w:val="Emphasis"/>
        </w:rPr>
        <w:t>PCE</w:t>
      </w:r>
      <w:r w:rsidR="001E21A7" w:rsidRPr="008A6A54">
        <w:rPr>
          <w:rStyle w:val="Emphasis"/>
        </w:rPr>
        <w:t xml:space="preserve"> superplasticizer </w:t>
      </w:r>
      <w:r w:rsidR="00140AB4" w:rsidRPr="008A6A54">
        <w:rPr>
          <w:rStyle w:val="Emphasis"/>
        </w:rPr>
        <w:t>a key component in achieving more sustainable and eco-friendly concrete mixtures.</w:t>
      </w:r>
    </w:p>
    <w:p w14:paraId="3C5A1BB2" w14:textId="77777777" w:rsidR="0071612F" w:rsidRPr="008A6A54" w:rsidRDefault="00817D04" w:rsidP="008A6A54">
      <w:pPr>
        <w:pStyle w:val="Paragraphnumbered"/>
        <w:ind w:firstLine="284"/>
        <w:rPr>
          <w:rStyle w:val="Emphasis"/>
        </w:rPr>
      </w:pPr>
      <w:r w:rsidRPr="008A6A54">
        <w:rPr>
          <w:rStyle w:val="Emphasis"/>
        </w:rPr>
        <w:t xml:space="preserve">This study aims to </w:t>
      </w:r>
      <w:r w:rsidR="0071612F" w:rsidRPr="008A6A54">
        <w:rPr>
          <w:rStyle w:val="Emphasis"/>
        </w:rPr>
        <w:t xml:space="preserve">explore </w:t>
      </w:r>
      <w:r w:rsidRPr="008A6A54">
        <w:rPr>
          <w:rStyle w:val="Emphasis"/>
        </w:rPr>
        <w:t xml:space="preserve">the possibility </w:t>
      </w:r>
      <w:r w:rsidR="0071612F" w:rsidRPr="008A6A54">
        <w:rPr>
          <w:rStyle w:val="Emphasis"/>
        </w:rPr>
        <w:t xml:space="preserve">for reducing cement usage </w:t>
      </w:r>
      <w:r w:rsidR="00740431" w:rsidRPr="008A6A54">
        <w:rPr>
          <w:rStyle w:val="Emphasis"/>
        </w:rPr>
        <w:t>in concrete production</w:t>
      </w:r>
      <w:r w:rsidRPr="008A6A54">
        <w:rPr>
          <w:rStyle w:val="Emphasis"/>
        </w:rPr>
        <w:t xml:space="preserve"> </w:t>
      </w:r>
      <w:r w:rsidR="0071612F" w:rsidRPr="008A6A54">
        <w:rPr>
          <w:rStyle w:val="Emphasis"/>
        </w:rPr>
        <w:t>through the application of a polycarboxylate-based superplasticizer</w:t>
      </w:r>
      <w:r w:rsidRPr="008A6A54">
        <w:rPr>
          <w:rStyle w:val="Emphasis"/>
        </w:rPr>
        <w:t xml:space="preserve">. </w:t>
      </w:r>
      <w:r w:rsidR="0071612F" w:rsidRPr="008A6A54">
        <w:rPr>
          <w:rStyle w:val="Emphasis"/>
        </w:rPr>
        <w:t>The research focuses on estimating the reduction of both cement and water content in concrete mixtures while maintaining a fixed water-cement ratio, ensuring that the compressive strength and workability remain comparable to those of the control mixture.</w:t>
      </w:r>
    </w:p>
    <w:p w14:paraId="590C3C2B" w14:textId="078523CF" w:rsidR="00EA50A7" w:rsidRPr="00F350C5" w:rsidRDefault="00EA50A7" w:rsidP="00784F94">
      <w:pPr>
        <w:pStyle w:val="Heading1"/>
        <w:rPr>
          <w:color w:val="FF0000"/>
        </w:rPr>
      </w:pPr>
      <w:r w:rsidRPr="000F3AAB">
        <w:t>METHODS</w:t>
      </w:r>
    </w:p>
    <w:p w14:paraId="456D197C" w14:textId="2BEA15F3" w:rsidR="00EA50A7" w:rsidRPr="008A6A54" w:rsidRDefault="0095376C" w:rsidP="00784F94">
      <w:pPr>
        <w:pStyle w:val="Paragraph"/>
        <w:rPr>
          <w:rStyle w:val="Emphasis"/>
        </w:rPr>
      </w:pPr>
      <w:r w:rsidRPr="008A6A54">
        <w:rPr>
          <w:rStyle w:val="Emphasis"/>
        </w:rPr>
        <w:t xml:space="preserve">The investigation was performed to determine the amount of cement reduction utilizing PCE superplasticizer as high-range water reduction admixture in concrete mixture. </w:t>
      </w:r>
      <w:r w:rsidR="00740431" w:rsidRPr="008A6A54">
        <w:rPr>
          <w:rStyle w:val="Emphasis"/>
        </w:rPr>
        <w:t>This research consisted of three steps: (</w:t>
      </w:r>
      <w:proofErr w:type="spellStart"/>
      <w:r w:rsidR="00740431" w:rsidRPr="008A6A54">
        <w:rPr>
          <w:rStyle w:val="Emphasis"/>
        </w:rPr>
        <w:t>i</w:t>
      </w:r>
      <w:proofErr w:type="spellEnd"/>
      <w:r w:rsidR="00740431" w:rsidRPr="008A6A54">
        <w:rPr>
          <w:rStyle w:val="Emphasis"/>
        </w:rPr>
        <w:t xml:space="preserve">) assessment of </w:t>
      </w:r>
      <w:r w:rsidR="00FA40D2" w:rsidRPr="008A6A54">
        <w:rPr>
          <w:rStyle w:val="Emphasis"/>
        </w:rPr>
        <w:t xml:space="preserve">PCE superplasticizer </w:t>
      </w:r>
      <w:r w:rsidR="00740431" w:rsidRPr="008A6A54">
        <w:rPr>
          <w:rStyle w:val="Emphasis"/>
        </w:rPr>
        <w:t xml:space="preserve">influence on water reduction in cement paste; (ii) determination of </w:t>
      </w:r>
      <w:r w:rsidR="001670D3" w:rsidRPr="008A6A54">
        <w:rPr>
          <w:rStyle w:val="Emphasis"/>
        </w:rPr>
        <w:t>concrete</w:t>
      </w:r>
      <w:r w:rsidR="00740431" w:rsidRPr="008A6A54">
        <w:rPr>
          <w:rStyle w:val="Emphasis"/>
        </w:rPr>
        <w:t xml:space="preserve"> composition using reduced cement content while maintaining consistency at the same level as the control mixture; and (iii) evaluation of the potential of cement saving while preserving the </w:t>
      </w:r>
      <w:r w:rsidR="001670D3" w:rsidRPr="008A6A54">
        <w:rPr>
          <w:rStyle w:val="Emphasis"/>
        </w:rPr>
        <w:t>concrete</w:t>
      </w:r>
      <w:r w:rsidR="00740431" w:rsidRPr="008A6A54">
        <w:rPr>
          <w:rStyle w:val="Emphasis"/>
        </w:rPr>
        <w:t xml:space="preserve"> compressive strength.</w:t>
      </w:r>
    </w:p>
    <w:p w14:paraId="52DF2242" w14:textId="67C962AB" w:rsidR="001670D3" w:rsidRPr="00784F94" w:rsidRDefault="001670D3" w:rsidP="001670D3">
      <w:pPr>
        <w:pStyle w:val="Heading2"/>
      </w:pPr>
      <w:r>
        <w:t>MATERIALS</w:t>
      </w:r>
    </w:p>
    <w:p w14:paraId="05060449" w14:textId="68ED8F8A" w:rsidR="001670D3" w:rsidRPr="008A6A54" w:rsidRDefault="007267CD" w:rsidP="00784F94">
      <w:pPr>
        <w:pStyle w:val="Paragraph"/>
        <w:rPr>
          <w:rStyle w:val="Emphasis"/>
        </w:rPr>
      </w:pPr>
      <w:r w:rsidRPr="008A6A54">
        <w:rPr>
          <w:rStyle w:val="Emphasis"/>
        </w:rPr>
        <w:t xml:space="preserve">The concrete mixtures in this experiment were composed </w:t>
      </w:r>
      <w:r w:rsidR="001670D3" w:rsidRPr="008A6A54">
        <w:rPr>
          <w:rStyle w:val="Emphasis"/>
        </w:rPr>
        <w:t xml:space="preserve">of Portland Cement </w:t>
      </w:r>
      <w:r w:rsidRPr="008A6A54">
        <w:rPr>
          <w:rStyle w:val="Emphasis"/>
        </w:rPr>
        <w:t>conforming to</w:t>
      </w:r>
      <w:r w:rsidR="001670D3" w:rsidRPr="008A6A54">
        <w:rPr>
          <w:rStyle w:val="Emphasis"/>
        </w:rPr>
        <w:t xml:space="preserve"> Indonesian Standard SNI 7064:2014, </w:t>
      </w:r>
      <w:r w:rsidRPr="008A6A54">
        <w:rPr>
          <w:rStyle w:val="Emphasis"/>
        </w:rPr>
        <w:t>with gravel (5–40 mm) serving as the coarse aggregate, and river sand (0–2 mm) as the fine aggregate. A polycarboxylate</w:t>
      </w:r>
      <w:r w:rsidR="00FA40D2" w:rsidRPr="008A6A54">
        <w:rPr>
          <w:rStyle w:val="Emphasis"/>
        </w:rPr>
        <w:t xml:space="preserve"> (PCE)</w:t>
      </w:r>
      <w:r w:rsidRPr="008A6A54">
        <w:rPr>
          <w:rStyle w:val="Emphasis"/>
        </w:rPr>
        <w:t xml:space="preserve"> superplasticizer admixture was incorporated as water-reducing admixture.</w:t>
      </w:r>
      <w:r w:rsidR="001670D3" w:rsidRPr="008A6A54">
        <w:rPr>
          <w:rStyle w:val="Emphasis"/>
        </w:rPr>
        <w:t xml:space="preserve"> The commercially available </w:t>
      </w:r>
      <w:r w:rsidR="00FA40D2" w:rsidRPr="008A6A54">
        <w:rPr>
          <w:rStyle w:val="Emphasis"/>
        </w:rPr>
        <w:t>PCE superplasticizer</w:t>
      </w:r>
      <w:r w:rsidRPr="008A6A54">
        <w:rPr>
          <w:rStyle w:val="Emphasis"/>
        </w:rPr>
        <w:t xml:space="preserve"> </w:t>
      </w:r>
      <w:r w:rsidR="001670D3" w:rsidRPr="008A6A54">
        <w:rPr>
          <w:rStyle w:val="Emphasis"/>
        </w:rPr>
        <w:t>widely used in Indonesia, Sika ViscoCrete-3115N, was selected for the study. This product is in a liquid form with the composition of aqueous solution of modified polycarboxylate copolymers</w:t>
      </w:r>
      <w:r w:rsidRPr="008A6A54">
        <w:rPr>
          <w:rStyle w:val="Emphasis"/>
        </w:rPr>
        <w:t>, which is</w:t>
      </w:r>
      <w:r w:rsidR="001670D3" w:rsidRPr="008A6A54">
        <w:rPr>
          <w:rStyle w:val="Emphasis"/>
        </w:rPr>
        <w:t xml:space="preserve"> proclaimed by the manufacturer to have the ability to reduce water </w:t>
      </w:r>
      <w:r w:rsidRPr="008A6A54">
        <w:rPr>
          <w:rStyle w:val="Emphasis"/>
        </w:rPr>
        <w:t>content by</w:t>
      </w:r>
      <w:r w:rsidR="001670D3" w:rsidRPr="008A6A54">
        <w:rPr>
          <w:rStyle w:val="Emphasis"/>
        </w:rPr>
        <w:t xml:space="preserve"> up to </w:t>
      </w:r>
      <w:r w:rsidRPr="008A6A54">
        <w:rPr>
          <w:rStyle w:val="Emphasis"/>
        </w:rPr>
        <w:t>3</w:t>
      </w:r>
      <w:r w:rsidR="001670D3" w:rsidRPr="008A6A54">
        <w:rPr>
          <w:rStyle w:val="Emphasis"/>
        </w:rPr>
        <w:t>0%</w:t>
      </w:r>
      <w:r w:rsidRPr="008A6A54">
        <w:rPr>
          <w:rStyle w:val="Emphasis"/>
        </w:rPr>
        <w:t xml:space="preserve">. </w:t>
      </w:r>
    </w:p>
    <w:p w14:paraId="6E15F202" w14:textId="7F763E84" w:rsidR="004F57D8" w:rsidRPr="00784F94" w:rsidRDefault="004F57D8" w:rsidP="004F57D8">
      <w:pPr>
        <w:pStyle w:val="Heading2"/>
      </w:pPr>
      <w:r>
        <w:t>COMPOSITION OF CONCRETE MIXTURES</w:t>
      </w:r>
    </w:p>
    <w:p w14:paraId="16FF588E" w14:textId="56654554" w:rsidR="005A6495" w:rsidRPr="008A6A54" w:rsidRDefault="001E21A7" w:rsidP="00914843">
      <w:pPr>
        <w:pStyle w:val="Paragraph"/>
        <w:rPr>
          <w:rStyle w:val="Emphasis"/>
        </w:rPr>
      </w:pPr>
      <w:r w:rsidRPr="008A6A54">
        <w:rPr>
          <w:rStyle w:val="Emphasis"/>
        </w:rPr>
        <w:t xml:space="preserve">The testing of cement paste consistency was carried out to estimate the water reducing capacity of </w:t>
      </w:r>
      <w:r w:rsidR="00C56BE7" w:rsidRPr="008A6A54">
        <w:rPr>
          <w:rStyle w:val="Emphasis"/>
        </w:rPr>
        <w:t>PCE superplasticizer</w:t>
      </w:r>
      <w:r w:rsidRPr="008A6A54">
        <w:rPr>
          <w:rStyle w:val="Emphasis"/>
        </w:rPr>
        <w:t xml:space="preserve"> with varying dosage. </w:t>
      </w:r>
      <w:r w:rsidR="008A6A54" w:rsidRPr="008A6A54">
        <w:rPr>
          <w:rStyle w:val="Emphasis"/>
          <w:b/>
          <w:bCs/>
        </w:rPr>
        <w:t>FIGURE 1</w:t>
      </w:r>
      <w:r w:rsidR="001F23A3" w:rsidRPr="008A6A54">
        <w:rPr>
          <w:rStyle w:val="Emphasis"/>
        </w:rPr>
        <w:t xml:space="preserve"> reflects the influence of PCE superplasticizer on water reduction in standard cement paste. This result was obtained by adding PCE superplasticizer with mixing water from 0.5 to 2.5% according to the mass of cement. The amount of water in the paste was able to be reduced by 9.7 to 28.1% while keeping the required consistency to meet ASTM C187-16.</w:t>
      </w:r>
      <w:r w:rsidR="00914843" w:rsidRPr="008A6A54">
        <w:rPr>
          <w:rStyle w:val="Emphasis"/>
        </w:rPr>
        <w:t xml:space="preserve"> </w:t>
      </w:r>
    </w:p>
    <w:p w14:paraId="3F4DD9C2" w14:textId="77777777" w:rsidR="005A6495" w:rsidRDefault="005A6495" w:rsidP="005A6495">
      <w:pPr>
        <w:pStyle w:val="Paragraph"/>
        <w:ind w:firstLine="0"/>
      </w:pPr>
    </w:p>
    <w:p w14:paraId="56891B8E" w14:textId="77777777" w:rsidR="005A6495" w:rsidRPr="00895847" w:rsidRDefault="005A6495" w:rsidP="005A6495">
      <w:pPr>
        <w:autoSpaceDE w:val="0"/>
        <w:autoSpaceDN w:val="0"/>
        <w:adjustRightInd w:val="0"/>
        <w:jc w:val="center"/>
        <w:rPr>
          <w:rFonts w:eastAsia="SymbolMT"/>
          <w:lang w:val="id-ID"/>
        </w:rPr>
      </w:pPr>
      <w:r w:rsidRPr="00895847">
        <w:rPr>
          <w:noProof/>
          <w:lang w:val="id-ID"/>
        </w:rPr>
        <w:drawing>
          <wp:inline distT="0" distB="0" distL="0" distR="0" wp14:anchorId="5790F0AC" wp14:editId="5BF1E379">
            <wp:extent cx="2880000" cy="1800000"/>
            <wp:effectExtent l="0" t="0" r="0" b="0"/>
            <wp:docPr id="2030873126" name="Chart 2030873126">
              <a:extLst xmlns:a="http://schemas.openxmlformats.org/drawingml/2006/main">
                <a:ext uri="{FF2B5EF4-FFF2-40B4-BE49-F238E27FC236}">
                  <a16:creationId xmlns:a16="http://schemas.microsoft.com/office/drawing/2014/main" id="{8AE48391-9C22-4F2F-B8FA-A664E1009C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5038128" w14:textId="1E5FF5E6" w:rsidR="005A6495" w:rsidRPr="00494005" w:rsidRDefault="005A6495" w:rsidP="005A6495">
      <w:pPr>
        <w:pStyle w:val="FigureCaption"/>
      </w:pPr>
      <w:r w:rsidRPr="00784F94">
        <w:rPr>
          <w:b/>
        </w:rPr>
        <w:t>FIGURE 1</w:t>
      </w:r>
      <w:r w:rsidRPr="00494005">
        <w:t xml:space="preserve">. </w:t>
      </w:r>
      <w:r w:rsidR="00914843">
        <w:t xml:space="preserve">The PCE </w:t>
      </w:r>
      <w:r w:rsidR="00914843" w:rsidRPr="00914843">
        <w:t>superplasticizer</w:t>
      </w:r>
      <w:r w:rsidR="00866FB5">
        <w:t xml:space="preserve"> influence</w:t>
      </w:r>
      <w:r w:rsidR="00914843">
        <w:t xml:space="preserve"> </w:t>
      </w:r>
      <w:r w:rsidR="00914843" w:rsidRPr="00914843">
        <w:t>on water reduction in standard cement paste</w:t>
      </w:r>
    </w:p>
    <w:p w14:paraId="475B9515" w14:textId="77777777" w:rsidR="007D4105" w:rsidRDefault="007D4105" w:rsidP="005A6495">
      <w:pPr>
        <w:pStyle w:val="Paragraph"/>
        <w:ind w:firstLine="0"/>
      </w:pPr>
    </w:p>
    <w:p w14:paraId="24836F77" w14:textId="30885554" w:rsidR="00AA5F62" w:rsidRPr="008A6A54" w:rsidRDefault="0000160D" w:rsidP="007D4105">
      <w:pPr>
        <w:pStyle w:val="Paragraph"/>
        <w:rPr>
          <w:rStyle w:val="Emphasis"/>
        </w:rPr>
      </w:pPr>
      <w:r w:rsidRPr="008A6A54">
        <w:rPr>
          <w:rStyle w:val="Emphasis"/>
        </w:rPr>
        <w:t>Five</w:t>
      </w:r>
      <w:r w:rsidR="00BF782E" w:rsidRPr="008A6A54">
        <w:rPr>
          <w:rStyle w:val="Emphasis"/>
        </w:rPr>
        <w:t xml:space="preserve"> concrete mixtures were made based on the water reduction capacity obtained in </w:t>
      </w:r>
      <w:r w:rsidR="008A6A54" w:rsidRPr="008A6A54">
        <w:rPr>
          <w:rStyle w:val="Emphasis"/>
          <w:b/>
          <w:bCs/>
        </w:rPr>
        <w:t>FIGURE 1</w:t>
      </w:r>
      <w:r w:rsidR="00BF782E" w:rsidRPr="008A6A54">
        <w:rPr>
          <w:rStyle w:val="Emphasis"/>
        </w:rPr>
        <w:t>: one mixture control, and f</w:t>
      </w:r>
      <w:r w:rsidRPr="008A6A54">
        <w:rPr>
          <w:rStyle w:val="Emphasis"/>
        </w:rPr>
        <w:t>our</w:t>
      </w:r>
      <w:r w:rsidR="00BF782E" w:rsidRPr="008A6A54">
        <w:rPr>
          <w:rStyle w:val="Emphasis"/>
        </w:rPr>
        <w:t xml:space="preserve"> with PCE superplasticizer with dosage of 0.4%, 0.6%, 0.8%, </w:t>
      </w:r>
      <w:r w:rsidRPr="008A6A54">
        <w:rPr>
          <w:rStyle w:val="Emphasis"/>
        </w:rPr>
        <w:t xml:space="preserve">and </w:t>
      </w:r>
      <w:r w:rsidR="00BF782E" w:rsidRPr="008A6A54">
        <w:rPr>
          <w:rStyle w:val="Emphasis"/>
        </w:rPr>
        <w:t xml:space="preserve">1.0% according to cement mass. The </w:t>
      </w:r>
      <w:r w:rsidRPr="008A6A54">
        <w:rPr>
          <w:rStyle w:val="Emphasis"/>
        </w:rPr>
        <w:t>water content was reduced by 9</w:t>
      </w:r>
      <w:r w:rsidR="00D975C4" w:rsidRPr="008A6A54">
        <w:rPr>
          <w:rStyle w:val="Emphasis"/>
        </w:rPr>
        <w:t>.0</w:t>
      </w:r>
      <w:r w:rsidRPr="008A6A54">
        <w:rPr>
          <w:rStyle w:val="Emphasis"/>
        </w:rPr>
        <w:t>%, 1</w:t>
      </w:r>
      <w:r w:rsidR="00D975C4" w:rsidRPr="008A6A54">
        <w:rPr>
          <w:rStyle w:val="Emphasis"/>
        </w:rPr>
        <w:t>3</w:t>
      </w:r>
      <w:r w:rsidRPr="008A6A54">
        <w:rPr>
          <w:rStyle w:val="Emphasis"/>
        </w:rPr>
        <w:t>.</w:t>
      </w:r>
      <w:r w:rsidR="00D975C4" w:rsidRPr="008A6A54">
        <w:rPr>
          <w:rStyle w:val="Emphasis"/>
        </w:rPr>
        <w:t>0</w:t>
      </w:r>
      <w:r w:rsidRPr="008A6A54">
        <w:rPr>
          <w:rStyle w:val="Emphasis"/>
        </w:rPr>
        <w:t>%, 1</w:t>
      </w:r>
      <w:r w:rsidR="00D975C4" w:rsidRPr="008A6A54">
        <w:rPr>
          <w:rStyle w:val="Emphasis"/>
        </w:rPr>
        <w:t>7</w:t>
      </w:r>
      <w:r w:rsidRPr="008A6A54">
        <w:rPr>
          <w:rStyle w:val="Emphasis"/>
        </w:rPr>
        <w:t>.</w:t>
      </w:r>
      <w:r w:rsidR="00D975C4" w:rsidRPr="008A6A54">
        <w:rPr>
          <w:rStyle w:val="Emphasis"/>
        </w:rPr>
        <w:t>0</w:t>
      </w:r>
      <w:r w:rsidRPr="008A6A54">
        <w:rPr>
          <w:rStyle w:val="Emphasis"/>
        </w:rPr>
        <w:t xml:space="preserve">%, and </w:t>
      </w:r>
      <w:r w:rsidR="00D975C4" w:rsidRPr="008A6A54">
        <w:rPr>
          <w:rStyle w:val="Emphasis"/>
        </w:rPr>
        <w:t>19</w:t>
      </w:r>
      <w:r w:rsidRPr="008A6A54">
        <w:rPr>
          <w:rStyle w:val="Emphasis"/>
        </w:rPr>
        <w:t>.</w:t>
      </w:r>
      <w:r w:rsidR="00D975C4" w:rsidRPr="008A6A54">
        <w:rPr>
          <w:rStyle w:val="Emphasis"/>
        </w:rPr>
        <w:t>0</w:t>
      </w:r>
      <w:r w:rsidRPr="008A6A54">
        <w:rPr>
          <w:rStyle w:val="Emphasis"/>
        </w:rPr>
        <w:t xml:space="preserve"> %, respectively. This preliminary test was conducted to investigate the increase of concrete compressive strength with the addition of PCE superplasticizer and reduced water content. </w:t>
      </w:r>
      <w:r w:rsidR="003B3AD4" w:rsidRPr="008A6A54">
        <w:rPr>
          <w:rStyle w:val="Emphasis"/>
        </w:rPr>
        <w:t>The compressive strength test was performed according to ASTM C109M-20. Three specimens of each type o</w:t>
      </w:r>
      <w:r w:rsidR="00382438" w:rsidRPr="008A6A54">
        <w:rPr>
          <w:rStyle w:val="Emphasis"/>
        </w:rPr>
        <w:t>f</w:t>
      </w:r>
      <w:r w:rsidR="003B3AD4" w:rsidRPr="008A6A54">
        <w:rPr>
          <w:rStyle w:val="Emphasis"/>
        </w:rPr>
        <w:t xml:space="preserve"> concrete were cured for 28 days and tested immediately afterwards. The results are presented in </w:t>
      </w:r>
      <w:r w:rsidR="008A6A54" w:rsidRPr="008A6A54">
        <w:rPr>
          <w:rStyle w:val="Emphasis"/>
          <w:b/>
          <w:bCs/>
        </w:rPr>
        <w:t>FIGURE 2</w:t>
      </w:r>
      <w:r w:rsidR="003B3AD4" w:rsidRPr="008A6A54">
        <w:rPr>
          <w:rStyle w:val="Emphasis"/>
        </w:rPr>
        <w:t>.</w:t>
      </w:r>
      <w:r w:rsidR="00F2362E" w:rsidRPr="008A6A54">
        <w:rPr>
          <w:rStyle w:val="Emphasis"/>
        </w:rPr>
        <w:t xml:space="preserve"> </w:t>
      </w:r>
      <w:r w:rsidR="00C37859" w:rsidRPr="008A6A54">
        <w:rPr>
          <w:rStyle w:val="Emphasis"/>
        </w:rPr>
        <w:t xml:space="preserve">It is evident that the use of PCE superplasticizer can increase concrete compressive strength by up to 33.5%, supporting the potential to reduce cement consumption while maintaining the required </w:t>
      </w:r>
      <w:r w:rsidR="00C37859" w:rsidRPr="008A6A54">
        <w:rPr>
          <w:rStyle w:val="Emphasis"/>
        </w:rPr>
        <w:lastRenderedPageBreak/>
        <w:t>strength.</w:t>
      </w:r>
      <w:r w:rsidR="00382438" w:rsidRPr="008A6A54">
        <w:rPr>
          <w:rStyle w:val="Emphasis"/>
        </w:rPr>
        <w:t xml:space="preserve"> </w:t>
      </w:r>
      <w:r w:rsidR="00C37859" w:rsidRPr="008A6A54">
        <w:rPr>
          <w:rStyle w:val="Emphasis"/>
        </w:rPr>
        <w:t>However, the concrete mix with 0.4% PCE superplasticizer did not achieve the target strength</w:t>
      </w:r>
      <w:r w:rsidR="000A3A49" w:rsidRPr="008A6A54">
        <w:rPr>
          <w:rStyle w:val="Emphasis"/>
        </w:rPr>
        <w:t xml:space="preserve"> and will not </w:t>
      </w:r>
      <w:r w:rsidR="00536E32" w:rsidRPr="008A6A54">
        <w:rPr>
          <w:rStyle w:val="Emphasis"/>
        </w:rPr>
        <w:t xml:space="preserve">be </w:t>
      </w:r>
      <w:r w:rsidR="000A3A49" w:rsidRPr="008A6A54">
        <w:rPr>
          <w:rStyle w:val="Emphasis"/>
        </w:rPr>
        <w:t xml:space="preserve">considered </w:t>
      </w:r>
      <w:r w:rsidR="00300420" w:rsidRPr="008A6A54">
        <w:rPr>
          <w:rStyle w:val="Emphasis"/>
        </w:rPr>
        <w:t>for</w:t>
      </w:r>
      <w:r w:rsidR="000A3A49" w:rsidRPr="008A6A54">
        <w:rPr>
          <w:rStyle w:val="Emphasis"/>
        </w:rPr>
        <w:t xml:space="preserve"> the next </w:t>
      </w:r>
      <w:r w:rsidR="00300420" w:rsidRPr="008A6A54">
        <w:rPr>
          <w:rStyle w:val="Emphasis"/>
        </w:rPr>
        <w:t>experimental phase.</w:t>
      </w:r>
    </w:p>
    <w:tbl>
      <w:tblPr>
        <w:tblStyle w:val="TableGrid"/>
        <w:tblW w:w="93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710"/>
      </w:tblGrid>
      <w:tr w:rsidR="003400CD" w14:paraId="74E61F00" w14:textId="77777777" w:rsidTr="009F5066">
        <w:tc>
          <w:tcPr>
            <w:tcW w:w="4678" w:type="dxa"/>
          </w:tcPr>
          <w:p w14:paraId="49A4FB20" w14:textId="0B1FB6B8" w:rsidR="003400CD" w:rsidRDefault="00BF481D" w:rsidP="00123818">
            <w:pPr>
              <w:pStyle w:val="Paragraph"/>
              <w:ind w:firstLine="0"/>
              <w:jc w:val="center"/>
            </w:pPr>
            <w:r>
              <w:rPr>
                <w:noProof/>
              </w:rPr>
              <mc:AlternateContent>
                <mc:Choice Requires="wps">
                  <w:drawing>
                    <wp:anchor distT="0" distB="0" distL="114300" distR="114300" simplePos="0" relativeHeight="251657216" behindDoc="0" locked="0" layoutInCell="1" allowOverlap="1" wp14:anchorId="15341F7F" wp14:editId="10EEA316">
                      <wp:simplePos x="0" y="0"/>
                      <wp:positionH relativeFrom="column">
                        <wp:posOffset>1608455</wp:posOffset>
                      </wp:positionH>
                      <wp:positionV relativeFrom="paragraph">
                        <wp:posOffset>243287</wp:posOffset>
                      </wp:positionV>
                      <wp:extent cx="0" cy="1188000"/>
                      <wp:effectExtent l="0" t="0" r="38100" b="12700"/>
                      <wp:wrapNone/>
                      <wp:docPr id="1714097498" name="Straight Connector 1"/>
                      <wp:cNvGraphicFramePr/>
                      <a:graphic xmlns:a="http://schemas.openxmlformats.org/drawingml/2006/main">
                        <a:graphicData uri="http://schemas.microsoft.com/office/word/2010/wordprocessingShape">
                          <wps:wsp>
                            <wps:cNvCnPr/>
                            <wps:spPr>
                              <a:xfrm>
                                <a:off x="0" y="0"/>
                                <a:ext cx="0" cy="118800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8BE7331" id="Straight Connector 1"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65pt,19.15pt" to="126.65pt,1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" strokecolor="black [3213]">
                      <v:stroke dashstyle="dash" joinstyle="miter"/>
                    </v:line>
                  </w:pict>
                </mc:Fallback>
              </mc:AlternateContent>
            </w:r>
            <w:r w:rsidR="003400CD">
              <w:rPr>
                <w:noProof/>
              </w:rPr>
              <w:drawing>
                <wp:inline distT="0" distB="0" distL="0" distR="0" wp14:anchorId="61046D7B" wp14:editId="20AF1E75">
                  <wp:extent cx="2700000" cy="1800000"/>
                  <wp:effectExtent l="0" t="0" r="5715" b="0"/>
                  <wp:docPr id="473547300" name="Chart 1">
                    <a:extLst xmlns:a="http://schemas.openxmlformats.org/drawingml/2006/main">
                      <a:ext uri="{FF2B5EF4-FFF2-40B4-BE49-F238E27FC236}">
                        <a16:creationId xmlns:a16="http://schemas.microsoft.com/office/drawing/2014/main" id="{6409EDDA-954F-DBCA-118C-B4998B60EE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710" w:type="dxa"/>
          </w:tcPr>
          <w:p w14:paraId="5942DB5B" w14:textId="3750B61A" w:rsidR="003400CD" w:rsidRDefault="00BF481D" w:rsidP="00123818">
            <w:pPr>
              <w:pStyle w:val="Paragraph"/>
              <w:ind w:firstLine="0"/>
              <w:jc w:val="center"/>
            </w:pPr>
            <w:r>
              <w:rPr>
                <w:noProof/>
              </w:rPr>
              <mc:AlternateContent>
                <mc:Choice Requires="wps">
                  <w:drawing>
                    <wp:anchor distT="0" distB="0" distL="114300" distR="114300" simplePos="0" relativeHeight="251659264" behindDoc="0" locked="0" layoutInCell="1" allowOverlap="1" wp14:anchorId="50562D0E" wp14:editId="6908BDC7">
                      <wp:simplePos x="0" y="0"/>
                      <wp:positionH relativeFrom="column">
                        <wp:posOffset>2037715</wp:posOffset>
                      </wp:positionH>
                      <wp:positionV relativeFrom="paragraph">
                        <wp:posOffset>208833</wp:posOffset>
                      </wp:positionV>
                      <wp:extent cx="0" cy="1224000"/>
                      <wp:effectExtent l="0" t="0" r="38100" b="33655"/>
                      <wp:wrapNone/>
                      <wp:docPr id="1471299424" name="Straight Connector 1"/>
                      <wp:cNvGraphicFramePr/>
                      <a:graphic xmlns:a="http://schemas.openxmlformats.org/drawingml/2006/main">
                        <a:graphicData uri="http://schemas.microsoft.com/office/word/2010/wordprocessingShape">
                          <wps:wsp>
                            <wps:cNvCnPr/>
                            <wps:spPr>
                              <a:xfrm>
                                <a:off x="0" y="0"/>
                                <a:ext cx="0" cy="122400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03AB7D8"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45pt,16.45pt" to="160.45pt,1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" strokecolor="black [3213]">
                      <v:stroke dashstyle="dash" joinstyle="miter"/>
                    </v:line>
                  </w:pict>
                </mc:Fallback>
              </mc:AlternateContent>
            </w:r>
            <w:r w:rsidR="003400CD">
              <w:rPr>
                <w:noProof/>
              </w:rPr>
              <w:drawing>
                <wp:inline distT="0" distB="0" distL="0" distR="0" wp14:anchorId="5052FB49" wp14:editId="06FA64C1">
                  <wp:extent cx="2700000" cy="1800000"/>
                  <wp:effectExtent l="0" t="0" r="5715" b="0"/>
                  <wp:docPr id="748770095" name="Chart 1">
                    <a:extLst xmlns:a="http://schemas.openxmlformats.org/drawingml/2006/main">
                      <a:ext uri="{FF2B5EF4-FFF2-40B4-BE49-F238E27FC236}">
                        <a16:creationId xmlns:a16="http://schemas.microsoft.com/office/drawing/2014/main" id="{31BE7D90-849E-931B-2CAF-6133E88F6A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D14FEA" w14:paraId="6AE6875F" w14:textId="77777777" w:rsidTr="009F5066">
        <w:tc>
          <w:tcPr>
            <w:tcW w:w="4678" w:type="dxa"/>
          </w:tcPr>
          <w:p w14:paraId="1CC33274" w14:textId="21407556" w:rsidR="00D14FEA" w:rsidRDefault="00D14FEA" w:rsidP="00D14FEA">
            <w:pPr>
              <w:pStyle w:val="FigureCaption"/>
              <w:spacing w:before="60"/>
            </w:pPr>
            <w:r w:rsidRPr="00784F94">
              <w:rPr>
                <w:b/>
              </w:rPr>
              <w:t xml:space="preserve">FIGURE </w:t>
            </w:r>
            <w:r>
              <w:rPr>
                <w:b/>
              </w:rPr>
              <w:t>2</w:t>
            </w:r>
            <w:r w:rsidRPr="00494005">
              <w:t xml:space="preserve">. </w:t>
            </w:r>
            <w:r>
              <w:t>Concrete compressive strength with PCE superplasticizer and reduced water content</w:t>
            </w:r>
          </w:p>
        </w:tc>
        <w:tc>
          <w:tcPr>
            <w:tcW w:w="4710" w:type="dxa"/>
          </w:tcPr>
          <w:p w14:paraId="07733C8C" w14:textId="2AB9D8C4" w:rsidR="00D14FEA" w:rsidRDefault="00D14FEA" w:rsidP="00D14FEA">
            <w:pPr>
              <w:pStyle w:val="FigureCaption"/>
              <w:spacing w:before="60"/>
            </w:pPr>
            <w:r w:rsidRPr="00784F94">
              <w:rPr>
                <w:b/>
              </w:rPr>
              <w:t xml:space="preserve">FIGURE </w:t>
            </w:r>
            <w:r>
              <w:rPr>
                <w:b/>
              </w:rPr>
              <w:t>3</w:t>
            </w:r>
            <w:r w:rsidRPr="00494005">
              <w:t xml:space="preserve">. </w:t>
            </w:r>
            <w:r>
              <w:t>Slump value of concrete mixture with PCE superplasticizer and reduced water content</w:t>
            </w:r>
          </w:p>
        </w:tc>
      </w:tr>
    </w:tbl>
    <w:p w14:paraId="438359AC" w14:textId="0CEB3B5A" w:rsidR="003400CD" w:rsidRDefault="003400CD" w:rsidP="007D4105">
      <w:pPr>
        <w:pStyle w:val="Paragraph"/>
      </w:pPr>
    </w:p>
    <w:p w14:paraId="415A26BE" w14:textId="77777777" w:rsidR="00CF38E7" w:rsidRPr="008A6A54" w:rsidRDefault="00B13C8B" w:rsidP="00B13C8B">
      <w:pPr>
        <w:pStyle w:val="Paragraph"/>
        <w:rPr>
          <w:rStyle w:val="Emphasis"/>
        </w:rPr>
      </w:pPr>
      <w:r w:rsidRPr="008A6A54">
        <w:rPr>
          <w:rStyle w:val="Emphasis"/>
        </w:rPr>
        <w:t>In this study, PCE superplasticizer was used to reduce both cement and water content</w:t>
      </w:r>
      <w:r w:rsidR="00CF38E7" w:rsidRPr="008A6A54">
        <w:rPr>
          <w:rStyle w:val="Emphasis"/>
        </w:rPr>
        <w:t xml:space="preserve"> in the concrete mixtures</w:t>
      </w:r>
      <w:r w:rsidRPr="008A6A54">
        <w:rPr>
          <w:rStyle w:val="Emphasis"/>
        </w:rPr>
        <w:t>, with dosages of 0.6%, 0.8%, and 1.0%, based on the mass of the cement. The mixture was designed to maintain constant w/c ratio and consistency</w:t>
      </w:r>
      <w:r w:rsidR="00CF38E7" w:rsidRPr="008A6A54">
        <w:rPr>
          <w:rStyle w:val="Emphasis"/>
        </w:rPr>
        <w:t>,</w:t>
      </w:r>
      <w:r w:rsidRPr="008A6A54">
        <w:rPr>
          <w:rStyle w:val="Emphasis"/>
        </w:rPr>
        <w:t xml:space="preserve"> </w:t>
      </w:r>
      <w:r w:rsidR="00CF38E7" w:rsidRPr="008A6A54">
        <w:rPr>
          <w:rStyle w:val="Emphasis"/>
        </w:rPr>
        <w:t>despite the reduction in water and cement</w:t>
      </w:r>
      <w:r w:rsidRPr="008A6A54">
        <w:rPr>
          <w:rStyle w:val="Emphasis"/>
        </w:rPr>
        <w:t>. The removed cement paste was replaced with an</w:t>
      </w:r>
      <w:r w:rsidR="00CF38E7" w:rsidRPr="008A6A54">
        <w:rPr>
          <w:rStyle w:val="Emphasis"/>
        </w:rPr>
        <w:t xml:space="preserve"> equivalent volume </w:t>
      </w:r>
      <w:r w:rsidRPr="008A6A54">
        <w:rPr>
          <w:rStyle w:val="Emphasis"/>
        </w:rPr>
        <w:t xml:space="preserve">of aggregates (gravel and sand) </w:t>
      </w:r>
      <w:r w:rsidR="00CF38E7" w:rsidRPr="008A6A54">
        <w:rPr>
          <w:rStyle w:val="Emphasis"/>
        </w:rPr>
        <w:t>to preserve the overall volume of the concrete</w:t>
      </w:r>
      <w:r w:rsidRPr="008A6A54">
        <w:rPr>
          <w:rStyle w:val="Emphasis"/>
        </w:rPr>
        <w:t>. Four concrete mixes were prepared with</w:t>
      </w:r>
      <w:r w:rsidR="00CF38E7" w:rsidRPr="008A6A54">
        <w:rPr>
          <w:rStyle w:val="Emphasis"/>
        </w:rPr>
        <w:t xml:space="preserve"> a</w:t>
      </w:r>
      <w:r w:rsidRPr="008A6A54">
        <w:rPr>
          <w:rStyle w:val="Emphasis"/>
        </w:rPr>
        <w:t xml:space="preserve"> constant w/c ratio of 0.5 and </w:t>
      </w:r>
      <w:r w:rsidR="00CF38E7" w:rsidRPr="008A6A54">
        <w:rPr>
          <w:rStyle w:val="Emphasis"/>
        </w:rPr>
        <w:t>varying PCE superplasticizer dosages of 0%, 0.6%, 0.8%, and 1.0% by cement mass.</w:t>
      </w:r>
      <w:r w:rsidR="00BA7A9C" w:rsidRPr="008A6A54">
        <w:rPr>
          <w:rStyle w:val="Emphasis"/>
        </w:rPr>
        <w:t xml:space="preserve"> </w:t>
      </w:r>
    </w:p>
    <w:p w14:paraId="6AFA406A" w14:textId="7AC83F21" w:rsidR="00B13C8B" w:rsidRPr="008A6A54" w:rsidRDefault="00EE31A8" w:rsidP="00255A19">
      <w:pPr>
        <w:pStyle w:val="Paragraph"/>
        <w:rPr>
          <w:rStyle w:val="Emphasis"/>
        </w:rPr>
      </w:pPr>
      <w:r w:rsidRPr="008A6A54">
        <w:rPr>
          <w:rStyle w:val="Emphasis"/>
        </w:rPr>
        <w:t xml:space="preserve">Based on the slump test </w:t>
      </w:r>
      <w:r w:rsidR="002F628E" w:rsidRPr="008A6A54">
        <w:rPr>
          <w:rStyle w:val="Emphasis"/>
        </w:rPr>
        <w:t>in</w:t>
      </w:r>
      <w:r w:rsidRPr="008A6A54">
        <w:rPr>
          <w:rStyle w:val="Emphasis"/>
        </w:rPr>
        <w:t xml:space="preserve"> </w:t>
      </w:r>
      <w:r w:rsidR="008A6A54" w:rsidRPr="008A6A54">
        <w:rPr>
          <w:rStyle w:val="Emphasis"/>
          <w:b/>
          <w:bCs/>
        </w:rPr>
        <w:t>FIGURE 3</w:t>
      </w:r>
      <w:r w:rsidRPr="008A6A54">
        <w:rPr>
          <w:rStyle w:val="Emphasis"/>
        </w:rPr>
        <w:t xml:space="preserve">, </w:t>
      </w:r>
      <w:r w:rsidR="00CF38E7" w:rsidRPr="008A6A54">
        <w:rPr>
          <w:rStyle w:val="Emphasis"/>
        </w:rPr>
        <w:t>the reduced water content had to be adjusted to achieve the target slump of 90–110 mm</w:t>
      </w:r>
      <w:r w:rsidR="002F628E" w:rsidRPr="008A6A54">
        <w:rPr>
          <w:rStyle w:val="Emphasis"/>
        </w:rPr>
        <w:t>.</w:t>
      </w:r>
      <w:r w:rsidR="00B13C8B" w:rsidRPr="008A6A54">
        <w:rPr>
          <w:rStyle w:val="Emphasis"/>
        </w:rPr>
        <w:t xml:space="preserve"> </w:t>
      </w:r>
      <w:r w:rsidR="00CF38E7" w:rsidRPr="008A6A54">
        <w:rPr>
          <w:rStyle w:val="Emphasis"/>
        </w:rPr>
        <w:t>Therefore, for each mix, the rates of water and cement reduction were adjusted to match the consistency of the control mix, while maintaining the 0.5 w/c ratio</w:t>
      </w:r>
      <w:r w:rsidR="00D74CC1" w:rsidRPr="008A6A54">
        <w:rPr>
          <w:rStyle w:val="Emphasis"/>
        </w:rPr>
        <w:t xml:space="preserve">. The adjustment was made in the mixing process using slump value as the controlling measurement. </w:t>
      </w:r>
      <w:r w:rsidR="00CF38E7" w:rsidRPr="008A6A54">
        <w:rPr>
          <w:rStyle w:val="Emphasis"/>
        </w:rPr>
        <w:t xml:space="preserve">After several trials, the final concrete mix compositions were determined and are presented in </w:t>
      </w:r>
      <w:r w:rsidR="008A6A54" w:rsidRPr="008A6A54">
        <w:rPr>
          <w:rStyle w:val="Emphasis"/>
          <w:b/>
          <w:bCs/>
        </w:rPr>
        <w:t>TABLE 1</w:t>
      </w:r>
      <w:r w:rsidR="007555B9" w:rsidRPr="008A6A54">
        <w:rPr>
          <w:rStyle w:val="Emphasis"/>
        </w:rPr>
        <w:t xml:space="preserve">. </w:t>
      </w:r>
      <w:r w:rsidR="00255A19" w:rsidRPr="008A6A54">
        <w:rPr>
          <w:rStyle w:val="Emphasis"/>
        </w:rPr>
        <w:t>In the next phase, compressive strength tests in accordance with ASTM C109M-20 were conducted and analyzed for all specimens</w:t>
      </w:r>
      <w:r w:rsidR="00FA68BC" w:rsidRPr="008A6A54">
        <w:rPr>
          <w:rStyle w:val="Emphasis"/>
        </w:rPr>
        <w:t xml:space="preserve">. </w:t>
      </w:r>
    </w:p>
    <w:p w14:paraId="5E2338A8" w14:textId="77777777" w:rsidR="002240A1" w:rsidRDefault="002240A1" w:rsidP="00255A19">
      <w:pPr>
        <w:pStyle w:val="Paragraph"/>
      </w:pPr>
    </w:p>
    <w:p w14:paraId="495879A0" w14:textId="68B6F2FF" w:rsidR="00332198" w:rsidRPr="00A17B56" w:rsidRDefault="00332198" w:rsidP="00332198">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sidRPr="009A7BC2">
        <w:rPr>
          <w:rFonts w:eastAsia="Calibri"/>
          <w:b/>
        </w:rPr>
        <w:t>1</w:t>
      </w:r>
      <w:r w:rsidRPr="00A17B56">
        <w:rPr>
          <w:rFonts w:eastAsia="Calibri"/>
        </w:rPr>
        <w:t xml:space="preserve">. </w:t>
      </w:r>
      <w:r>
        <w:rPr>
          <w:rFonts w:eastAsia="Calibri"/>
        </w:rPr>
        <w:t>Co</w:t>
      </w:r>
      <w:r w:rsidR="00306D39">
        <w:rPr>
          <w:rFonts w:eastAsia="Calibri"/>
        </w:rPr>
        <w:t>mposition of concrete mixture</w:t>
      </w:r>
    </w:p>
    <w:tbl>
      <w:tblPr>
        <w:tblStyle w:val="TableGrid"/>
        <w:tblW w:w="9638" w:type="dxa"/>
        <w:jc w:val="center"/>
        <w:tblLook w:val="04A0" w:firstRow="1" w:lastRow="0" w:firstColumn="1" w:lastColumn="0" w:noHBand="0" w:noVBand="1"/>
      </w:tblPr>
      <w:tblGrid>
        <w:gridCol w:w="1081"/>
        <w:gridCol w:w="1437"/>
        <w:gridCol w:w="1067"/>
        <w:gridCol w:w="1063"/>
        <w:gridCol w:w="1063"/>
        <w:gridCol w:w="1063"/>
        <w:gridCol w:w="952"/>
        <w:gridCol w:w="956"/>
        <w:gridCol w:w="956"/>
      </w:tblGrid>
      <w:tr w:rsidR="00041E19" w:rsidRPr="00F23FFF" w14:paraId="569885B6" w14:textId="1DE96536" w:rsidTr="00041E19">
        <w:trPr>
          <w:jc w:val="center"/>
        </w:trPr>
        <w:tc>
          <w:tcPr>
            <w:tcW w:w="1081" w:type="dxa"/>
          </w:tcPr>
          <w:p w14:paraId="3C29B588" w14:textId="163B4A23" w:rsidR="009022D5" w:rsidRPr="00F23FFF" w:rsidRDefault="009022D5" w:rsidP="00104C07">
            <w:pPr>
              <w:pStyle w:val="Paragraph"/>
              <w:ind w:firstLine="0"/>
              <w:jc w:val="center"/>
              <w:rPr>
                <w:sz w:val="18"/>
                <w:szCs w:val="18"/>
              </w:rPr>
            </w:pPr>
            <w:r w:rsidRPr="00F23FFF">
              <w:rPr>
                <w:sz w:val="18"/>
                <w:szCs w:val="18"/>
              </w:rPr>
              <w:t xml:space="preserve">Concrete </w:t>
            </w:r>
            <w:r w:rsidR="00041E19">
              <w:rPr>
                <w:sz w:val="18"/>
                <w:szCs w:val="18"/>
              </w:rPr>
              <w:t>m</w:t>
            </w:r>
            <w:r w:rsidRPr="00F23FFF">
              <w:rPr>
                <w:sz w:val="18"/>
                <w:szCs w:val="18"/>
              </w:rPr>
              <w:t xml:space="preserve">ixture </w:t>
            </w:r>
            <w:r w:rsidR="00041E19">
              <w:rPr>
                <w:sz w:val="18"/>
                <w:szCs w:val="18"/>
              </w:rPr>
              <w:t>c</w:t>
            </w:r>
            <w:r w:rsidRPr="00F23FFF">
              <w:rPr>
                <w:sz w:val="18"/>
                <w:szCs w:val="18"/>
              </w:rPr>
              <w:t>ode</w:t>
            </w:r>
          </w:p>
        </w:tc>
        <w:tc>
          <w:tcPr>
            <w:tcW w:w="1437" w:type="dxa"/>
          </w:tcPr>
          <w:p w14:paraId="2725FF65" w14:textId="14869F27" w:rsidR="009022D5" w:rsidRPr="00F23FFF" w:rsidRDefault="009022D5" w:rsidP="00104C07">
            <w:pPr>
              <w:pStyle w:val="Paragraph"/>
              <w:ind w:firstLine="0"/>
              <w:jc w:val="center"/>
              <w:rPr>
                <w:sz w:val="18"/>
                <w:szCs w:val="18"/>
              </w:rPr>
            </w:pPr>
            <w:r w:rsidRPr="00F23FFF">
              <w:rPr>
                <w:sz w:val="18"/>
                <w:szCs w:val="18"/>
              </w:rPr>
              <w:t xml:space="preserve">Amount of PCE </w:t>
            </w:r>
            <w:r w:rsidR="00041E19">
              <w:rPr>
                <w:sz w:val="18"/>
                <w:szCs w:val="18"/>
              </w:rPr>
              <w:t>s</w:t>
            </w:r>
            <w:r w:rsidRPr="00F23FFF">
              <w:rPr>
                <w:sz w:val="18"/>
                <w:szCs w:val="18"/>
              </w:rPr>
              <w:t>uperplasticizer as percentage of the cement mass (per 1 m</w:t>
            </w:r>
            <w:r w:rsidRPr="00F23FFF">
              <w:rPr>
                <w:sz w:val="18"/>
                <w:szCs w:val="18"/>
                <w:vertAlign w:val="superscript"/>
              </w:rPr>
              <w:t>3</w:t>
            </w:r>
            <w:r w:rsidRPr="00F23FFF">
              <w:rPr>
                <w:sz w:val="18"/>
                <w:szCs w:val="18"/>
              </w:rPr>
              <w:t>)</w:t>
            </w:r>
          </w:p>
        </w:tc>
        <w:tc>
          <w:tcPr>
            <w:tcW w:w="1067" w:type="dxa"/>
          </w:tcPr>
          <w:p w14:paraId="77C38920" w14:textId="7F6F8472" w:rsidR="009022D5" w:rsidRPr="00F23FFF" w:rsidRDefault="009022D5" w:rsidP="00104C07">
            <w:pPr>
              <w:pStyle w:val="Paragraph"/>
              <w:ind w:firstLine="0"/>
              <w:jc w:val="center"/>
              <w:rPr>
                <w:sz w:val="18"/>
                <w:szCs w:val="18"/>
                <w:vertAlign w:val="superscript"/>
              </w:rPr>
            </w:pPr>
            <w:r w:rsidRPr="00F23FFF">
              <w:rPr>
                <w:sz w:val="18"/>
                <w:szCs w:val="18"/>
              </w:rPr>
              <w:t xml:space="preserve">Amount of </w:t>
            </w:r>
            <w:r w:rsidR="00041E19">
              <w:rPr>
                <w:sz w:val="18"/>
                <w:szCs w:val="18"/>
              </w:rPr>
              <w:t>c</w:t>
            </w:r>
            <w:r w:rsidRPr="00F23FFF">
              <w:rPr>
                <w:sz w:val="18"/>
                <w:szCs w:val="18"/>
              </w:rPr>
              <w:t>ement, kg/m</w:t>
            </w:r>
            <w:r w:rsidRPr="00F23FFF">
              <w:rPr>
                <w:sz w:val="18"/>
                <w:szCs w:val="18"/>
                <w:vertAlign w:val="superscript"/>
              </w:rPr>
              <w:t>3</w:t>
            </w:r>
          </w:p>
        </w:tc>
        <w:tc>
          <w:tcPr>
            <w:tcW w:w="1063" w:type="dxa"/>
          </w:tcPr>
          <w:p w14:paraId="23707CC0" w14:textId="48A7B17A" w:rsidR="009022D5" w:rsidRPr="00F23FFF" w:rsidRDefault="009022D5" w:rsidP="00104C07">
            <w:pPr>
              <w:pStyle w:val="Paragraph"/>
              <w:ind w:firstLine="0"/>
              <w:jc w:val="center"/>
              <w:rPr>
                <w:sz w:val="18"/>
                <w:szCs w:val="18"/>
              </w:rPr>
            </w:pPr>
            <w:r w:rsidRPr="00F23FFF">
              <w:rPr>
                <w:sz w:val="18"/>
                <w:szCs w:val="18"/>
              </w:rPr>
              <w:t xml:space="preserve">Amount of </w:t>
            </w:r>
            <w:r w:rsidR="00041E19">
              <w:rPr>
                <w:sz w:val="18"/>
                <w:szCs w:val="18"/>
              </w:rPr>
              <w:t>w</w:t>
            </w:r>
            <w:r w:rsidRPr="00F23FFF">
              <w:rPr>
                <w:sz w:val="18"/>
                <w:szCs w:val="18"/>
              </w:rPr>
              <w:t>ater, kg/m</w:t>
            </w:r>
            <w:r w:rsidRPr="00F23FFF">
              <w:rPr>
                <w:sz w:val="18"/>
                <w:szCs w:val="18"/>
                <w:vertAlign w:val="superscript"/>
              </w:rPr>
              <w:t>3</w:t>
            </w:r>
          </w:p>
        </w:tc>
        <w:tc>
          <w:tcPr>
            <w:tcW w:w="1063" w:type="dxa"/>
          </w:tcPr>
          <w:p w14:paraId="2D6E896C" w14:textId="7A6F6477" w:rsidR="009022D5" w:rsidRPr="00F23FFF" w:rsidRDefault="009022D5" w:rsidP="00104C07">
            <w:pPr>
              <w:pStyle w:val="Paragraph"/>
              <w:ind w:firstLine="0"/>
              <w:jc w:val="center"/>
              <w:rPr>
                <w:sz w:val="18"/>
                <w:szCs w:val="18"/>
              </w:rPr>
            </w:pPr>
            <w:r w:rsidRPr="00F23FFF">
              <w:rPr>
                <w:sz w:val="18"/>
                <w:szCs w:val="18"/>
              </w:rPr>
              <w:t xml:space="preserve">Amount of </w:t>
            </w:r>
            <w:r w:rsidR="00041E19">
              <w:rPr>
                <w:sz w:val="18"/>
                <w:szCs w:val="18"/>
              </w:rPr>
              <w:t>s</w:t>
            </w:r>
            <w:r w:rsidRPr="00F23FFF">
              <w:rPr>
                <w:sz w:val="18"/>
                <w:szCs w:val="18"/>
              </w:rPr>
              <w:t>and, kg/m</w:t>
            </w:r>
            <w:r w:rsidRPr="00F23FFF">
              <w:rPr>
                <w:sz w:val="18"/>
                <w:szCs w:val="18"/>
                <w:vertAlign w:val="superscript"/>
              </w:rPr>
              <w:t>3</w:t>
            </w:r>
          </w:p>
        </w:tc>
        <w:tc>
          <w:tcPr>
            <w:tcW w:w="1063" w:type="dxa"/>
          </w:tcPr>
          <w:p w14:paraId="049ACC81" w14:textId="7F61454C" w:rsidR="009022D5" w:rsidRPr="00F23FFF" w:rsidRDefault="009022D5" w:rsidP="00104C07">
            <w:pPr>
              <w:pStyle w:val="Paragraph"/>
              <w:ind w:firstLine="0"/>
              <w:jc w:val="center"/>
              <w:rPr>
                <w:sz w:val="18"/>
                <w:szCs w:val="18"/>
              </w:rPr>
            </w:pPr>
            <w:r w:rsidRPr="00F23FFF">
              <w:rPr>
                <w:sz w:val="18"/>
                <w:szCs w:val="18"/>
              </w:rPr>
              <w:t xml:space="preserve">Amount of </w:t>
            </w:r>
            <w:r w:rsidR="00041E19">
              <w:rPr>
                <w:sz w:val="18"/>
                <w:szCs w:val="18"/>
              </w:rPr>
              <w:t>g</w:t>
            </w:r>
            <w:r w:rsidRPr="00F23FFF">
              <w:rPr>
                <w:sz w:val="18"/>
                <w:szCs w:val="18"/>
              </w:rPr>
              <w:t>ravel, kg/m</w:t>
            </w:r>
            <w:r w:rsidRPr="00F23FFF">
              <w:rPr>
                <w:sz w:val="18"/>
                <w:szCs w:val="18"/>
                <w:vertAlign w:val="superscript"/>
              </w:rPr>
              <w:t>3</w:t>
            </w:r>
          </w:p>
        </w:tc>
        <w:tc>
          <w:tcPr>
            <w:tcW w:w="952" w:type="dxa"/>
          </w:tcPr>
          <w:p w14:paraId="41A4234A" w14:textId="5E2F6FF8" w:rsidR="009022D5" w:rsidRPr="00F23FFF" w:rsidRDefault="009022D5" w:rsidP="00104C07">
            <w:pPr>
              <w:pStyle w:val="Paragraph"/>
              <w:ind w:firstLine="0"/>
              <w:jc w:val="center"/>
              <w:rPr>
                <w:sz w:val="18"/>
                <w:szCs w:val="18"/>
              </w:rPr>
            </w:pPr>
            <w:r w:rsidRPr="00F23FFF">
              <w:rPr>
                <w:sz w:val="18"/>
                <w:szCs w:val="18"/>
              </w:rPr>
              <w:t>w/c</w:t>
            </w:r>
          </w:p>
        </w:tc>
        <w:tc>
          <w:tcPr>
            <w:tcW w:w="956" w:type="dxa"/>
          </w:tcPr>
          <w:p w14:paraId="50EAB116" w14:textId="3717C5BD" w:rsidR="009022D5" w:rsidRPr="00F23FFF" w:rsidRDefault="00AA0FB0" w:rsidP="00104C07">
            <w:pPr>
              <w:pStyle w:val="Paragraph"/>
              <w:ind w:firstLine="0"/>
              <w:jc w:val="center"/>
              <w:rPr>
                <w:sz w:val="18"/>
                <w:szCs w:val="18"/>
              </w:rPr>
            </w:pPr>
            <w:r w:rsidRPr="00F23FFF">
              <w:rPr>
                <w:sz w:val="18"/>
                <w:szCs w:val="18"/>
              </w:rPr>
              <w:t>Reduction of cement amount, kg</w:t>
            </w:r>
          </w:p>
        </w:tc>
        <w:tc>
          <w:tcPr>
            <w:tcW w:w="956" w:type="dxa"/>
          </w:tcPr>
          <w:p w14:paraId="1DDC9366" w14:textId="0DCF5FA2" w:rsidR="009022D5" w:rsidRPr="00F23FFF" w:rsidRDefault="00AA0FB0" w:rsidP="00104C07">
            <w:pPr>
              <w:pStyle w:val="Paragraph"/>
              <w:ind w:firstLine="0"/>
              <w:jc w:val="center"/>
              <w:rPr>
                <w:sz w:val="18"/>
                <w:szCs w:val="18"/>
              </w:rPr>
            </w:pPr>
            <w:r w:rsidRPr="00F23FFF">
              <w:rPr>
                <w:sz w:val="18"/>
                <w:szCs w:val="18"/>
              </w:rPr>
              <w:t>Reduction of water amount, kg</w:t>
            </w:r>
          </w:p>
        </w:tc>
      </w:tr>
      <w:tr w:rsidR="00104C07" w:rsidRPr="00F23FFF" w14:paraId="302CF250" w14:textId="77777777" w:rsidTr="00041E19">
        <w:trPr>
          <w:jc w:val="center"/>
        </w:trPr>
        <w:tc>
          <w:tcPr>
            <w:tcW w:w="1081" w:type="dxa"/>
          </w:tcPr>
          <w:p w14:paraId="6E5BCE89" w14:textId="1B73838E" w:rsidR="00104C07" w:rsidRPr="00F23FFF" w:rsidRDefault="0056589A" w:rsidP="00104C07">
            <w:pPr>
              <w:pStyle w:val="Paragraph"/>
              <w:ind w:firstLine="0"/>
              <w:jc w:val="center"/>
              <w:rPr>
                <w:sz w:val="18"/>
                <w:szCs w:val="18"/>
              </w:rPr>
            </w:pPr>
            <w:r w:rsidRPr="00F23FFF">
              <w:rPr>
                <w:sz w:val="18"/>
                <w:szCs w:val="18"/>
              </w:rPr>
              <w:t>CN</w:t>
            </w:r>
          </w:p>
        </w:tc>
        <w:tc>
          <w:tcPr>
            <w:tcW w:w="1437" w:type="dxa"/>
          </w:tcPr>
          <w:p w14:paraId="530F5488" w14:textId="0D9622EF" w:rsidR="00104C07" w:rsidRPr="00F23FFF" w:rsidRDefault="004E5AAB" w:rsidP="00104C07">
            <w:pPr>
              <w:pStyle w:val="Paragraph"/>
              <w:ind w:firstLine="0"/>
              <w:jc w:val="center"/>
              <w:rPr>
                <w:sz w:val="18"/>
                <w:szCs w:val="18"/>
              </w:rPr>
            </w:pPr>
            <w:r w:rsidRPr="00F23FFF">
              <w:rPr>
                <w:sz w:val="18"/>
                <w:szCs w:val="18"/>
              </w:rPr>
              <w:t>-</w:t>
            </w:r>
          </w:p>
        </w:tc>
        <w:tc>
          <w:tcPr>
            <w:tcW w:w="1067" w:type="dxa"/>
          </w:tcPr>
          <w:p w14:paraId="0E2ABB81" w14:textId="11B5982A" w:rsidR="00104C07" w:rsidRPr="00F23FFF" w:rsidRDefault="00E477AD" w:rsidP="00104C07">
            <w:pPr>
              <w:pStyle w:val="Paragraph"/>
              <w:ind w:firstLine="0"/>
              <w:jc w:val="center"/>
              <w:rPr>
                <w:sz w:val="18"/>
                <w:szCs w:val="18"/>
              </w:rPr>
            </w:pPr>
            <w:r w:rsidRPr="00F23FFF">
              <w:rPr>
                <w:sz w:val="18"/>
                <w:szCs w:val="18"/>
              </w:rPr>
              <w:t>370</w:t>
            </w:r>
            <w:r w:rsidR="00910D8C" w:rsidRPr="00F23FFF">
              <w:rPr>
                <w:sz w:val="18"/>
                <w:szCs w:val="18"/>
              </w:rPr>
              <w:t>.0</w:t>
            </w:r>
          </w:p>
        </w:tc>
        <w:tc>
          <w:tcPr>
            <w:tcW w:w="1063" w:type="dxa"/>
          </w:tcPr>
          <w:p w14:paraId="1867EC07" w14:textId="257E05BA" w:rsidR="00104C07" w:rsidRPr="00F23FFF" w:rsidRDefault="0059620C" w:rsidP="00104C07">
            <w:pPr>
              <w:pStyle w:val="Paragraph"/>
              <w:ind w:firstLine="0"/>
              <w:jc w:val="center"/>
              <w:rPr>
                <w:sz w:val="18"/>
                <w:szCs w:val="18"/>
              </w:rPr>
            </w:pPr>
            <w:r w:rsidRPr="00F23FFF">
              <w:rPr>
                <w:sz w:val="18"/>
                <w:szCs w:val="18"/>
              </w:rPr>
              <w:t>191</w:t>
            </w:r>
            <w:r w:rsidR="00910D8C" w:rsidRPr="00F23FFF">
              <w:rPr>
                <w:sz w:val="18"/>
                <w:szCs w:val="18"/>
              </w:rPr>
              <w:t>.0</w:t>
            </w:r>
          </w:p>
        </w:tc>
        <w:tc>
          <w:tcPr>
            <w:tcW w:w="1063" w:type="dxa"/>
          </w:tcPr>
          <w:p w14:paraId="65D689CE" w14:textId="3637CFE4" w:rsidR="00104C07" w:rsidRPr="00F23FFF" w:rsidRDefault="00C06026" w:rsidP="00104C07">
            <w:pPr>
              <w:pStyle w:val="Paragraph"/>
              <w:ind w:firstLine="0"/>
              <w:jc w:val="center"/>
              <w:rPr>
                <w:sz w:val="18"/>
                <w:szCs w:val="18"/>
              </w:rPr>
            </w:pPr>
            <w:r w:rsidRPr="00F23FFF">
              <w:rPr>
                <w:sz w:val="18"/>
                <w:szCs w:val="18"/>
              </w:rPr>
              <w:t>930</w:t>
            </w:r>
            <w:r w:rsidR="00910D8C" w:rsidRPr="00F23FFF">
              <w:rPr>
                <w:sz w:val="18"/>
                <w:szCs w:val="18"/>
              </w:rPr>
              <w:t>.0</w:t>
            </w:r>
          </w:p>
        </w:tc>
        <w:tc>
          <w:tcPr>
            <w:tcW w:w="1063" w:type="dxa"/>
          </w:tcPr>
          <w:p w14:paraId="727185B1" w14:textId="2A5B051C" w:rsidR="00104C07" w:rsidRPr="00F23FFF" w:rsidRDefault="00B93624" w:rsidP="00104C07">
            <w:pPr>
              <w:pStyle w:val="Paragraph"/>
              <w:ind w:firstLine="0"/>
              <w:jc w:val="center"/>
              <w:rPr>
                <w:sz w:val="18"/>
                <w:szCs w:val="18"/>
              </w:rPr>
            </w:pPr>
            <w:r w:rsidRPr="00F23FFF">
              <w:rPr>
                <w:sz w:val="18"/>
                <w:szCs w:val="18"/>
              </w:rPr>
              <w:t>922</w:t>
            </w:r>
            <w:r w:rsidR="00910D8C" w:rsidRPr="00F23FFF">
              <w:rPr>
                <w:sz w:val="18"/>
                <w:szCs w:val="18"/>
              </w:rPr>
              <w:t>.0</w:t>
            </w:r>
          </w:p>
        </w:tc>
        <w:tc>
          <w:tcPr>
            <w:tcW w:w="952" w:type="dxa"/>
          </w:tcPr>
          <w:p w14:paraId="0822B9AF" w14:textId="636F66E7" w:rsidR="00104C07" w:rsidRPr="00F23FFF" w:rsidRDefault="00C83A87" w:rsidP="00104C07">
            <w:pPr>
              <w:pStyle w:val="Paragraph"/>
              <w:ind w:firstLine="0"/>
              <w:jc w:val="center"/>
              <w:rPr>
                <w:sz w:val="18"/>
                <w:szCs w:val="18"/>
              </w:rPr>
            </w:pPr>
            <w:r w:rsidRPr="00F23FFF">
              <w:rPr>
                <w:sz w:val="18"/>
                <w:szCs w:val="18"/>
              </w:rPr>
              <w:t>0</w:t>
            </w:r>
            <w:r w:rsidR="00772CF4" w:rsidRPr="00F23FFF">
              <w:rPr>
                <w:sz w:val="18"/>
                <w:szCs w:val="18"/>
              </w:rPr>
              <w:t>.</w:t>
            </w:r>
            <w:r w:rsidRPr="00F23FFF">
              <w:rPr>
                <w:sz w:val="18"/>
                <w:szCs w:val="18"/>
              </w:rPr>
              <w:t>52</w:t>
            </w:r>
          </w:p>
        </w:tc>
        <w:tc>
          <w:tcPr>
            <w:tcW w:w="956" w:type="dxa"/>
          </w:tcPr>
          <w:p w14:paraId="373A3515" w14:textId="115BE9DA" w:rsidR="00104C07" w:rsidRPr="00F23FFF" w:rsidRDefault="004E5AAB" w:rsidP="00104C07">
            <w:pPr>
              <w:pStyle w:val="Paragraph"/>
              <w:ind w:firstLine="0"/>
              <w:jc w:val="center"/>
              <w:rPr>
                <w:sz w:val="18"/>
                <w:szCs w:val="18"/>
              </w:rPr>
            </w:pPr>
            <w:r w:rsidRPr="00F23FFF">
              <w:rPr>
                <w:sz w:val="18"/>
                <w:szCs w:val="18"/>
              </w:rPr>
              <w:t>-</w:t>
            </w:r>
          </w:p>
        </w:tc>
        <w:tc>
          <w:tcPr>
            <w:tcW w:w="956" w:type="dxa"/>
          </w:tcPr>
          <w:p w14:paraId="4F133D8C" w14:textId="0B0C606B" w:rsidR="00104C07" w:rsidRPr="00F23FFF" w:rsidRDefault="004E5AAB" w:rsidP="00104C07">
            <w:pPr>
              <w:pStyle w:val="Paragraph"/>
              <w:ind w:firstLine="0"/>
              <w:jc w:val="center"/>
              <w:rPr>
                <w:sz w:val="18"/>
                <w:szCs w:val="18"/>
              </w:rPr>
            </w:pPr>
            <w:r w:rsidRPr="00F23FFF">
              <w:rPr>
                <w:sz w:val="18"/>
                <w:szCs w:val="18"/>
              </w:rPr>
              <w:t>-</w:t>
            </w:r>
          </w:p>
        </w:tc>
      </w:tr>
      <w:tr w:rsidR="0056589A" w:rsidRPr="00F23FFF" w14:paraId="05CC494F" w14:textId="77777777" w:rsidTr="00041E19">
        <w:trPr>
          <w:jc w:val="center"/>
        </w:trPr>
        <w:tc>
          <w:tcPr>
            <w:tcW w:w="1081" w:type="dxa"/>
          </w:tcPr>
          <w:p w14:paraId="23052CFB" w14:textId="1E26614D" w:rsidR="0056589A" w:rsidRPr="00F23FFF" w:rsidRDefault="0056589A" w:rsidP="00104C07">
            <w:pPr>
              <w:pStyle w:val="Paragraph"/>
              <w:ind w:firstLine="0"/>
              <w:jc w:val="center"/>
              <w:rPr>
                <w:sz w:val="18"/>
                <w:szCs w:val="18"/>
              </w:rPr>
            </w:pPr>
            <w:r w:rsidRPr="00F23FFF">
              <w:rPr>
                <w:sz w:val="18"/>
                <w:szCs w:val="18"/>
              </w:rPr>
              <w:t>CS1</w:t>
            </w:r>
          </w:p>
        </w:tc>
        <w:tc>
          <w:tcPr>
            <w:tcW w:w="1437" w:type="dxa"/>
          </w:tcPr>
          <w:p w14:paraId="189B6F47" w14:textId="4B2EC680" w:rsidR="0056589A" w:rsidRPr="00F23FFF" w:rsidRDefault="00E31068" w:rsidP="00104C07">
            <w:pPr>
              <w:pStyle w:val="Paragraph"/>
              <w:ind w:firstLine="0"/>
              <w:jc w:val="center"/>
              <w:rPr>
                <w:sz w:val="18"/>
                <w:szCs w:val="18"/>
              </w:rPr>
            </w:pPr>
            <w:r w:rsidRPr="00F23FFF">
              <w:rPr>
                <w:sz w:val="18"/>
                <w:szCs w:val="18"/>
              </w:rPr>
              <w:t>0.6%</w:t>
            </w:r>
          </w:p>
        </w:tc>
        <w:tc>
          <w:tcPr>
            <w:tcW w:w="1067" w:type="dxa"/>
          </w:tcPr>
          <w:p w14:paraId="1E08C552" w14:textId="0640D229" w:rsidR="0056589A" w:rsidRPr="00F23FFF" w:rsidRDefault="0001545B" w:rsidP="00104C07">
            <w:pPr>
              <w:pStyle w:val="Paragraph"/>
              <w:ind w:firstLine="0"/>
              <w:jc w:val="center"/>
              <w:rPr>
                <w:sz w:val="18"/>
                <w:szCs w:val="18"/>
              </w:rPr>
            </w:pPr>
            <w:r w:rsidRPr="00F23FFF">
              <w:rPr>
                <w:sz w:val="18"/>
                <w:szCs w:val="18"/>
              </w:rPr>
              <w:t>351.5</w:t>
            </w:r>
          </w:p>
        </w:tc>
        <w:tc>
          <w:tcPr>
            <w:tcW w:w="1063" w:type="dxa"/>
          </w:tcPr>
          <w:p w14:paraId="51869C0D" w14:textId="5D435B20" w:rsidR="0056589A" w:rsidRPr="00F23FFF" w:rsidRDefault="0001545B" w:rsidP="00104C07">
            <w:pPr>
              <w:pStyle w:val="Paragraph"/>
              <w:ind w:firstLine="0"/>
              <w:jc w:val="center"/>
              <w:rPr>
                <w:sz w:val="18"/>
                <w:szCs w:val="18"/>
              </w:rPr>
            </w:pPr>
            <w:r w:rsidRPr="00F23FFF">
              <w:rPr>
                <w:sz w:val="18"/>
                <w:szCs w:val="18"/>
              </w:rPr>
              <w:t>175.8</w:t>
            </w:r>
          </w:p>
        </w:tc>
        <w:tc>
          <w:tcPr>
            <w:tcW w:w="1063" w:type="dxa"/>
          </w:tcPr>
          <w:p w14:paraId="341D8094" w14:textId="31527E96" w:rsidR="0056589A" w:rsidRPr="00F23FFF" w:rsidRDefault="0001545B" w:rsidP="00104C07">
            <w:pPr>
              <w:pStyle w:val="Paragraph"/>
              <w:ind w:firstLine="0"/>
              <w:jc w:val="center"/>
              <w:rPr>
                <w:sz w:val="18"/>
                <w:szCs w:val="18"/>
              </w:rPr>
            </w:pPr>
            <w:r w:rsidRPr="00F23FFF">
              <w:rPr>
                <w:sz w:val="18"/>
                <w:szCs w:val="18"/>
              </w:rPr>
              <w:t>938.8</w:t>
            </w:r>
          </w:p>
        </w:tc>
        <w:tc>
          <w:tcPr>
            <w:tcW w:w="1063" w:type="dxa"/>
          </w:tcPr>
          <w:p w14:paraId="6ADA9025" w14:textId="2F9CF166" w:rsidR="0056589A" w:rsidRPr="00F23FFF" w:rsidRDefault="0001545B" w:rsidP="00104C07">
            <w:pPr>
              <w:pStyle w:val="Paragraph"/>
              <w:ind w:firstLine="0"/>
              <w:jc w:val="center"/>
              <w:rPr>
                <w:sz w:val="18"/>
                <w:szCs w:val="18"/>
              </w:rPr>
            </w:pPr>
            <w:r w:rsidRPr="00F23FFF">
              <w:rPr>
                <w:sz w:val="18"/>
                <w:szCs w:val="18"/>
              </w:rPr>
              <w:t>930.8</w:t>
            </w:r>
          </w:p>
        </w:tc>
        <w:tc>
          <w:tcPr>
            <w:tcW w:w="952" w:type="dxa"/>
          </w:tcPr>
          <w:p w14:paraId="5DD8C83C" w14:textId="5480AB5E" w:rsidR="0056589A" w:rsidRPr="00F23FFF" w:rsidRDefault="00772CF4" w:rsidP="00104C07">
            <w:pPr>
              <w:pStyle w:val="Paragraph"/>
              <w:ind w:firstLine="0"/>
              <w:jc w:val="center"/>
              <w:rPr>
                <w:sz w:val="18"/>
                <w:szCs w:val="18"/>
              </w:rPr>
            </w:pPr>
            <w:r w:rsidRPr="00F23FFF">
              <w:rPr>
                <w:sz w:val="18"/>
                <w:szCs w:val="18"/>
              </w:rPr>
              <w:t>0.50</w:t>
            </w:r>
          </w:p>
        </w:tc>
        <w:tc>
          <w:tcPr>
            <w:tcW w:w="956" w:type="dxa"/>
          </w:tcPr>
          <w:p w14:paraId="60869C1B" w14:textId="44DFDF71" w:rsidR="0056589A" w:rsidRPr="00F23FFF" w:rsidRDefault="00A93A2F" w:rsidP="00104C07">
            <w:pPr>
              <w:pStyle w:val="Paragraph"/>
              <w:ind w:firstLine="0"/>
              <w:jc w:val="center"/>
              <w:rPr>
                <w:sz w:val="18"/>
                <w:szCs w:val="18"/>
              </w:rPr>
            </w:pPr>
            <w:r w:rsidRPr="00F23FFF">
              <w:rPr>
                <w:sz w:val="18"/>
                <w:szCs w:val="18"/>
              </w:rPr>
              <w:t>18.5</w:t>
            </w:r>
          </w:p>
        </w:tc>
        <w:tc>
          <w:tcPr>
            <w:tcW w:w="956" w:type="dxa"/>
          </w:tcPr>
          <w:p w14:paraId="271FB0BF" w14:textId="253C1FFA" w:rsidR="0056589A" w:rsidRPr="00F23FFF" w:rsidRDefault="00A93A2F" w:rsidP="00104C07">
            <w:pPr>
              <w:pStyle w:val="Paragraph"/>
              <w:ind w:firstLine="0"/>
              <w:jc w:val="center"/>
              <w:rPr>
                <w:sz w:val="18"/>
                <w:szCs w:val="18"/>
              </w:rPr>
            </w:pPr>
            <w:r w:rsidRPr="00F23FFF">
              <w:rPr>
                <w:sz w:val="18"/>
                <w:szCs w:val="18"/>
              </w:rPr>
              <w:t>15.2</w:t>
            </w:r>
          </w:p>
        </w:tc>
      </w:tr>
      <w:tr w:rsidR="0056589A" w:rsidRPr="00F23FFF" w14:paraId="3AB1AA07" w14:textId="77777777" w:rsidTr="00041E19">
        <w:trPr>
          <w:jc w:val="center"/>
        </w:trPr>
        <w:tc>
          <w:tcPr>
            <w:tcW w:w="1081" w:type="dxa"/>
          </w:tcPr>
          <w:p w14:paraId="7EF091F6" w14:textId="6638F930" w:rsidR="0056589A" w:rsidRPr="00F23FFF" w:rsidRDefault="0056589A" w:rsidP="00104C07">
            <w:pPr>
              <w:pStyle w:val="Paragraph"/>
              <w:ind w:firstLine="0"/>
              <w:jc w:val="center"/>
              <w:rPr>
                <w:sz w:val="18"/>
                <w:szCs w:val="18"/>
              </w:rPr>
            </w:pPr>
            <w:r w:rsidRPr="00F23FFF">
              <w:rPr>
                <w:sz w:val="18"/>
                <w:szCs w:val="18"/>
              </w:rPr>
              <w:t>CS2</w:t>
            </w:r>
          </w:p>
        </w:tc>
        <w:tc>
          <w:tcPr>
            <w:tcW w:w="1437" w:type="dxa"/>
          </w:tcPr>
          <w:p w14:paraId="6E1C7387" w14:textId="5D04FBB9" w:rsidR="0056589A" w:rsidRPr="00F23FFF" w:rsidRDefault="00A93A2F" w:rsidP="00104C07">
            <w:pPr>
              <w:pStyle w:val="Paragraph"/>
              <w:ind w:firstLine="0"/>
              <w:jc w:val="center"/>
              <w:rPr>
                <w:sz w:val="18"/>
                <w:szCs w:val="18"/>
              </w:rPr>
            </w:pPr>
            <w:r w:rsidRPr="00F23FFF">
              <w:rPr>
                <w:sz w:val="18"/>
                <w:szCs w:val="18"/>
              </w:rPr>
              <w:t>0.8%</w:t>
            </w:r>
          </w:p>
        </w:tc>
        <w:tc>
          <w:tcPr>
            <w:tcW w:w="1067" w:type="dxa"/>
          </w:tcPr>
          <w:p w14:paraId="5488EC84" w14:textId="120FB561" w:rsidR="0056589A" w:rsidRPr="00F23FFF" w:rsidRDefault="000C54D3" w:rsidP="00104C07">
            <w:pPr>
              <w:pStyle w:val="Paragraph"/>
              <w:ind w:firstLine="0"/>
              <w:jc w:val="center"/>
              <w:rPr>
                <w:sz w:val="18"/>
                <w:szCs w:val="18"/>
              </w:rPr>
            </w:pPr>
            <w:r w:rsidRPr="00F23FFF">
              <w:rPr>
                <w:sz w:val="18"/>
                <w:szCs w:val="18"/>
              </w:rPr>
              <w:t>336.7</w:t>
            </w:r>
          </w:p>
        </w:tc>
        <w:tc>
          <w:tcPr>
            <w:tcW w:w="1063" w:type="dxa"/>
          </w:tcPr>
          <w:p w14:paraId="23E66224" w14:textId="1FFFA0E2" w:rsidR="0056589A" w:rsidRPr="00F23FFF" w:rsidRDefault="000C54D3" w:rsidP="00104C07">
            <w:pPr>
              <w:pStyle w:val="Paragraph"/>
              <w:ind w:firstLine="0"/>
              <w:jc w:val="center"/>
              <w:rPr>
                <w:sz w:val="18"/>
                <w:szCs w:val="18"/>
              </w:rPr>
            </w:pPr>
            <w:r w:rsidRPr="00F23FFF">
              <w:rPr>
                <w:sz w:val="18"/>
                <w:szCs w:val="18"/>
              </w:rPr>
              <w:t>168.4</w:t>
            </w:r>
          </w:p>
        </w:tc>
        <w:tc>
          <w:tcPr>
            <w:tcW w:w="1063" w:type="dxa"/>
          </w:tcPr>
          <w:p w14:paraId="584FBEEA" w14:textId="6E1115D4" w:rsidR="0056589A" w:rsidRPr="00F23FFF" w:rsidRDefault="000C54D3" w:rsidP="00104C07">
            <w:pPr>
              <w:pStyle w:val="Paragraph"/>
              <w:ind w:firstLine="0"/>
              <w:jc w:val="center"/>
              <w:rPr>
                <w:sz w:val="18"/>
                <w:szCs w:val="18"/>
              </w:rPr>
            </w:pPr>
            <w:r w:rsidRPr="00F23FFF">
              <w:rPr>
                <w:sz w:val="18"/>
                <w:szCs w:val="18"/>
              </w:rPr>
              <w:t>945.2</w:t>
            </w:r>
          </w:p>
        </w:tc>
        <w:tc>
          <w:tcPr>
            <w:tcW w:w="1063" w:type="dxa"/>
          </w:tcPr>
          <w:p w14:paraId="065C0DEC" w14:textId="20E90520" w:rsidR="0056589A" w:rsidRPr="00F23FFF" w:rsidRDefault="000C54D3" w:rsidP="00104C07">
            <w:pPr>
              <w:pStyle w:val="Paragraph"/>
              <w:ind w:firstLine="0"/>
              <w:jc w:val="center"/>
              <w:rPr>
                <w:sz w:val="18"/>
                <w:szCs w:val="18"/>
              </w:rPr>
            </w:pPr>
            <w:r w:rsidRPr="00F23FFF">
              <w:rPr>
                <w:sz w:val="18"/>
                <w:szCs w:val="18"/>
              </w:rPr>
              <w:t>937.2</w:t>
            </w:r>
          </w:p>
        </w:tc>
        <w:tc>
          <w:tcPr>
            <w:tcW w:w="952" w:type="dxa"/>
          </w:tcPr>
          <w:p w14:paraId="148ED454" w14:textId="71EBEEC2" w:rsidR="0056589A" w:rsidRPr="00F23FFF" w:rsidRDefault="000C54D3" w:rsidP="00104C07">
            <w:pPr>
              <w:pStyle w:val="Paragraph"/>
              <w:ind w:firstLine="0"/>
              <w:jc w:val="center"/>
              <w:rPr>
                <w:sz w:val="18"/>
                <w:szCs w:val="18"/>
              </w:rPr>
            </w:pPr>
            <w:r w:rsidRPr="00F23FFF">
              <w:rPr>
                <w:sz w:val="18"/>
                <w:szCs w:val="18"/>
              </w:rPr>
              <w:t>0.50</w:t>
            </w:r>
          </w:p>
        </w:tc>
        <w:tc>
          <w:tcPr>
            <w:tcW w:w="956" w:type="dxa"/>
          </w:tcPr>
          <w:p w14:paraId="467459D4" w14:textId="09E651A5" w:rsidR="0056589A" w:rsidRPr="00F23FFF" w:rsidRDefault="00FC332D" w:rsidP="00104C07">
            <w:pPr>
              <w:pStyle w:val="Paragraph"/>
              <w:ind w:firstLine="0"/>
              <w:jc w:val="center"/>
              <w:rPr>
                <w:sz w:val="18"/>
                <w:szCs w:val="18"/>
              </w:rPr>
            </w:pPr>
            <w:r w:rsidRPr="00F23FFF">
              <w:rPr>
                <w:sz w:val="18"/>
                <w:szCs w:val="18"/>
              </w:rPr>
              <w:t>33.3</w:t>
            </w:r>
          </w:p>
        </w:tc>
        <w:tc>
          <w:tcPr>
            <w:tcW w:w="956" w:type="dxa"/>
          </w:tcPr>
          <w:p w14:paraId="78A70682" w14:textId="76C2FC26" w:rsidR="0056589A" w:rsidRPr="00F23FFF" w:rsidRDefault="00FC332D" w:rsidP="00104C07">
            <w:pPr>
              <w:pStyle w:val="Paragraph"/>
              <w:ind w:firstLine="0"/>
              <w:jc w:val="center"/>
              <w:rPr>
                <w:sz w:val="18"/>
                <w:szCs w:val="18"/>
              </w:rPr>
            </w:pPr>
            <w:r w:rsidRPr="00F23FFF">
              <w:rPr>
                <w:sz w:val="18"/>
                <w:szCs w:val="18"/>
              </w:rPr>
              <w:t>22.6</w:t>
            </w:r>
          </w:p>
        </w:tc>
      </w:tr>
      <w:tr w:rsidR="0056589A" w:rsidRPr="00F23FFF" w14:paraId="39DD4E44" w14:textId="77777777" w:rsidTr="00041E19">
        <w:trPr>
          <w:jc w:val="center"/>
        </w:trPr>
        <w:tc>
          <w:tcPr>
            <w:tcW w:w="1081" w:type="dxa"/>
          </w:tcPr>
          <w:p w14:paraId="0DEE0151" w14:textId="5E0BE45E" w:rsidR="0056589A" w:rsidRPr="00F23FFF" w:rsidRDefault="0056589A" w:rsidP="00104C07">
            <w:pPr>
              <w:pStyle w:val="Paragraph"/>
              <w:ind w:firstLine="0"/>
              <w:jc w:val="center"/>
              <w:rPr>
                <w:sz w:val="18"/>
                <w:szCs w:val="18"/>
              </w:rPr>
            </w:pPr>
            <w:r w:rsidRPr="00F23FFF">
              <w:rPr>
                <w:sz w:val="18"/>
                <w:szCs w:val="18"/>
              </w:rPr>
              <w:t>CS3</w:t>
            </w:r>
          </w:p>
        </w:tc>
        <w:tc>
          <w:tcPr>
            <w:tcW w:w="1437" w:type="dxa"/>
          </w:tcPr>
          <w:p w14:paraId="7EB52776" w14:textId="12166363" w:rsidR="0056589A" w:rsidRPr="00F23FFF" w:rsidRDefault="00FC332D" w:rsidP="00104C07">
            <w:pPr>
              <w:pStyle w:val="Paragraph"/>
              <w:ind w:firstLine="0"/>
              <w:jc w:val="center"/>
              <w:rPr>
                <w:sz w:val="18"/>
                <w:szCs w:val="18"/>
              </w:rPr>
            </w:pPr>
            <w:r w:rsidRPr="00F23FFF">
              <w:rPr>
                <w:sz w:val="18"/>
                <w:szCs w:val="18"/>
              </w:rPr>
              <w:t>1.0%</w:t>
            </w:r>
          </w:p>
        </w:tc>
        <w:tc>
          <w:tcPr>
            <w:tcW w:w="1067" w:type="dxa"/>
          </w:tcPr>
          <w:p w14:paraId="06B7CC10" w14:textId="4F595388" w:rsidR="0056589A" w:rsidRPr="00F23FFF" w:rsidRDefault="00910D8C" w:rsidP="00104C07">
            <w:pPr>
              <w:pStyle w:val="Paragraph"/>
              <w:ind w:firstLine="0"/>
              <w:jc w:val="center"/>
              <w:rPr>
                <w:sz w:val="18"/>
                <w:szCs w:val="18"/>
              </w:rPr>
            </w:pPr>
            <w:r w:rsidRPr="00F23FFF">
              <w:rPr>
                <w:sz w:val="18"/>
                <w:szCs w:val="18"/>
              </w:rPr>
              <w:t>333.0</w:t>
            </w:r>
          </w:p>
        </w:tc>
        <w:tc>
          <w:tcPr>
            <w:tcW w:w="1063" w:type="dxa"/>
          </w:tcPr>
          <w:p w14:paraId="541C2E65" w14:textId="01FD870F" w:rsidR="0056589A" w:rsidRPr="00F23FFF" w:rsidRDefault="00910D8C" w:rsidP="00104C07">
            <w:pPr>
              <w:pStyle w:val="Paragraph"/>
              <w:ind w:firstLine="0"/>
              <w:jc w:val="center"/>
              <w:rPr>
                <w:sz w:val="18"/>
                <w:szCs w:val="18"/>
              </w:rPr>
            </w:pPr>
            <w:r w:rsidRPr="00F23FFF">
              <w:rPr>
                <w:sz w:val="18"/>
                <w:szCs w:val="18"/>
              </w:rPr>
              <w:t>166.5</w:t>
            </w:r>
          </w:p>
        </w:tc>
        <w:tc>
          <w:tcPr>
            <w:tcW w:w="1063" w:type="dxa"/>
          </w:tcPr>
          <w:p w14:paraId="582CB574" w14:textId="6761F19D" w:rsidR="0056589A" w:rsidRPr="00F23FFF" w:rsidRDefault="00910D8C" w:rsidP="00104C07">
            <w:pPr>
              <w:pStyle w:val="Paragraph"/>
              <w:ind w:firstLine="0"/>
              <w:jc w:val="center"/>
              <w:rPr>
                <w:sz w:val="18"/>
                <w:szCs w:val="18"/>
              </w:rPr>
            </w:pPr>
            <w:r w:rsidRPr="00F23FFF">
              <w:rPr>
                <w:sz w:val="18"/>
                <w:szCs w:val="18"/>
              </w:rPr>
              <w:t>946.7</w:t>
            </w:r>
          </w:p>
        </w:tc>
        <w:tc>
          <w:tcPr>
            <w:tcW w:w="1063" w:type="dxa"/>
          </w:tcPr>
          <w:p w14:paraId="4639F809" w14:textId="2FA6D4AA" w:rsidR="0056589A" w:rsidRPr="00F23FFF" w:rsidRDefault="00910D8C" w:rsidP="00104C07">
            <w:pPr>
              <w:pStyle w:val="Paragraph"/>
              <w:ind w:firstLine="0"/>
              <w:jc w:val="center"/>
              <w:rPr>
                <w:sz w:val="18"/>
                <w:szCs w:val="18"/>
              </w:rPr>
            </w:pPr>
            <w:r w:rsidRPr="00F23FFF">
              <w:rPr>
                <w:sz w:val="18"/>
                <w:szCs w:val="18"/>
              </w:rPr>
              <w:t>938.7</w:t>
            </w:r>
          </w:p>
        </w:tc>
        <w:tc>
          <w:tcPr>
            <w:tcW w:w="952" w:type="dxa"/>
          </w:tcPr>
          <w:p w14:paraId="38ED4364" w14:textId="06104C2C" w:rsidR="0056589A" w:rsidRPr="00F23FFF" w:rsidRDefault="00910D8C" w:rsidP="00104C07">
            <w:pPr>
              <w:pStyle w:val="Paragraph"/>
              <w:ind w:firstLine="0"/>
              <w:jc w:val="center"/>
              <w:rPr>
                <w:sz w:val="18"/>
                <w:szCs w:val="18"/>
              </w:rPr>
            </w:pPr>
            <w:r w:rsidRPr="00F23FFF">
              <w:rPr>
                <w:sz w:val="18"/>
                <w:szCs w:val="18"/>
              </w:rPr>
              <w:t>0.50</w:t>
            </w:r>
          </w:p>
        </w:tc>
        <w:tc>
          <w:tcPr>
            <w:tcW w:w="956" w:type="dxa"/>
          </w:tcPr>
          <w:p w14:paraId="013F302B" w14:textId="34DF18D3" w:rsidR="0056589A" w:rsidRPr="00F23FFF" w:rsidRDefault="009C21A6" w:rsidP="00104C07">
            <w:pPr>
              <w:pStyle w:val="Paragraph"/>
              <w:ind w:firstLine="0"/>
              <w:jc w:val="center"/>
              <w:rPr>
                <w:sz w:val="18"/>
                <w:szCs w:val="18"/>
              </w:rPr>
            </w:pPr>
            <w:r w:rsidRPr="00F23FFF">
              <w:rPr>
                <w:sz w:val="18"/>
                <w:szCs w:val="18"/>
              </w:rPr>
              <w:t>37.0</w:t>
            </w:r>
          </w:p>
        </w:tc>
        <w:tc>
          <w:tcPr>
            <w:tcW w:w="956" w:type="dxa"/>
          </w:tcPr>
          <w:p w14:paraId="7027971E" w14:textId="279B7595" w:rsidR="0056589A" w:rsidRPr="00F23FFF" w:rsidRDefault="009C21A6" w:rsidP="00104C07">
            <w:pPr>
              <w:pStyle w:val="Paragraph"/>
              <w:ind w:firstLine="0"/>
              <w:jc w:val="center"/>
              <w:rPr>
                <w:sz w:val="18"/>
                <w:szCs w:val="18"/>
              </w:rPr>
            </w:pPr>
            <w:r w:rsidRPr="00F23FFF">
              <w:rPr>
                <w:sz w:val="18"/>
                <w:szCs w:val="18"/>
              </w:rPr>
              <w:t>24.5</w:t>
            </w:r>
          </w:p>
        </w:tc>
      </w:tr>
    </w:tbl>
    <w:p w14:paraId="27BCF112" w14:textId="1D860EA2" w:rsidR="00B13C8B" w:rsidRDefault="00B13C8B" w:rsidP="00332198">
      <w:pPr>
        <w:pStyle w:val="Paragraph"/>
        <w:ind w:firstLine="0"/>
      </w:pPr>
    </w:p>
    <w:p w14:paraId="4DF64082" w14:textId="36039AEA" w:rsidR="00EA50A7" w:rsidRPr="00784F94" w:rsidRDefault="00EA50A7" w:rsidP="002F3AFB">
      <w:pPr>
        <w:pStyle w:val="Heading1"/>
      </w:pPr>
      <w:r w:rsidRPr="00784F94">
        <w:t>RESULTS AND DISCUSSION</w:t>
      </w:r>
    </w:p>
    <w:p w14:paraId="3759D287" w14:textId="46EE2797" w:rsidR="000A1B7E" w:rsidRPr="008A6A54" w:rsidRDefault="00300075" w:rsidP="007A602C">
      <w:pPr>
        <w:pStyle w:val="Paragraph"/>
        <w:rPr>
          <w:rStyle w:val="Emphasis"/>
        </w:rPr>
      </w:pPr>
      <w:r w:rsidRPr="008A6A54">
        <w:rPr>
          <w:rStyle w:val="Emphasis"/>
        </w:rPr>
        <w:t>This study explores the potential for cement savings using PCE superplasticizer, while preserving concrete compressive strength.</w:t>
      </w:r>
      <w:r w:rsidR="009F4CE0" w:rsidRPr="008A6A54">
        <w:rPr>
          <w:rStyle w:val="Emphasis"/>
        </w:rPr>
        <w:t xml:space="preserve"> </w:t>
      </w:r>
      <w:r w:rsidR="00C23396" w:rsidRPr="008A6A54">
        <w:rPr>
          <w:rStyle w:val="Emphasis"/>
        </w:rPr>
        <w:t xml:space="preserve">This approach is based on the fact that PCE superplasticizer significantly reduces water demand, while </w:t>
      </w:r>
      <w:r w:rsidR="00C50A27" w:rsidRPr="008A6A54">
        <w:rPr>
          <w:rStyle w:val="Emphasis"/>
        </w:rPr>
        <w:t>maintaining or improving</w:t>
      </w:r>
      <w:r w:rsidR="00C23396" w:rsidRPr="008A6A54">
        <w:rPr>
          <w:rStyle w:val="Emphasis"/>
        </w:rPr>
        <w:t xml:space="preserve"> the mixture’s workability and the quality of the concrete</w:t>
      </w:r>
      <w:r w:rsidR="00975FDE" w:rsidRPr="008A6A54">
        <w:rPr>
          <w:rStyle w:val="Emphasis"/>
        </w:rPr>
        <w:t xml:space="preserve">. </w:t>
      </w:r>
      <w:r w:rsidR="0031167C" w:rsidRPr="008A6A54">
        <w:rPr>
          <w:rStyle w:val="Emphasis"/>
        </w:rPr>
        <w:t>In mixtures with PCE superplasticizer, both water and cement content were reduced simultaneously to maintain a constant w/c ratio</w:t>
      </w:r>
      <w:r w:rsidR="00081299" w:rsidRPr="008A6A54">
        <w:rPr>
          <w:rStyle w:val="Emphasis"/>
        </w:rPr>
        <w:t xml:space="preserve">. </w:t>
      </w:r>
      <w:r w:rsidR="005F44CA" w:rsidRPr="008A6A54">
        <w:rPr>
          <w:rStyle w:val="Emphasis"/>
        </w:rPr>
        <w:t>Since the use of PCE allows for a lower w/c ratio, the compressive strength of the concrete generally increases (</w:t>
      </w:r>
      <w:r w:rsidR="008A6A54" w:rsidRPr="008A6A54">
        <w:rPr>
          <w:rStyle w:val="Emphasis"/>
          <w:b/>
          <w:bCs/>
        </w:rPr>
        <w:t>FIGURE 2</w:t>
      </w:r>
      <w:r w:rsidR="005F44CA" w:rsidRPr="008A6A54">
        <w:rPr>
          <w:rStyle w:val="Emphasis"/>
        </w:rPr>
        <w:t>). Therefore, it is assumed that when applying PCE</w:t>
      </w:r>
      <w:r w:rsidR="009C4455" w:rsidRPr="008A6A54">
        <w:rPr>
          <w:rStyle w:val="Emphasis"/>
        </w:rPr>
        <w:t xml:space="preserve"> superplasticizer</w:t>
      </w:r>
      <w:r w:rsidR="005F44CA" w:rsidRPr="008A6A54">
        <w:rPr>
          <w:rStyle w:val="Emphasis"/>
        </w:rPr>
        <w:t xml:space="preserve"> to reduce cement and water consumption, the mean compressive strength of the concrete after 28 days of standard curing will remain comparable to that of the control concrete.</w:t>
      </w:r>
    </w:p>
    <w:p w14:paraId="448158E7" w14:textId="75D1C989" w:rsidR="00BB4402" w:rsidRPr="008A6A54" w:rsidRDefault="00C11F6F" w:rsidP="00257CE2">
      <w:pPr>
        <w:pStyle w:val="Paragraph"/>
        <w:rPr>
          <w:rStyle w:val="Emphasis"/>
        </w:rPr>
      </w:pPr>
      <w:r w:rsidRPr="008A6A54">
        <w:rPr>
          <w:rStyle w:val="Emphasis"/>
        </w:rPr>
        <w:t xml:space="preserve">From the result in Figure 2, </w:t>
      </w:r>
      <w:r w:rsidR="000A255A" w:rsidRPr="008A6A54">
        <w:rPr>
          <w:rStyle w:val="Emphasis"/>
        </w:rPr>
        <w:t>adding 0.6</w:t>
      </w:r>
      <w:r w:rsidR="00AE2126" w:rsidRPr="008A6A54">
        <w:rPr>
          <w:rStyle w:val="Emphasis"/>
        </w:rPr>
        <w:t>% to</w:t>
      </w:r>
      <w:r w:rsidR="00E56346" w:rsidRPr="008A6A54">
        <w:rPr>
          <w:rStyle w:val="Emphasis"/>
        </w:rPr>
        <w:t xml:space="preserve"> 1.0% </w:t>
      </w:r>
      <w:r w:rsidR="00605B52" w:rsidRPr="008A6A54">
        <w:rPr>
          <w:rStyle w:val="Emphasis"/>
        </w:rPr>
        <w:t>PCE superplasticizer</w:t>
      </w:r>
      <w:r w:rsidR="00ED1E0D" w:rsidRPr="008A6A54">
        <w:rPr>
          <w:rStyle w:val="Emphasis"/>
        </w:rPr>
        <w:t xml:space="preserve"> to the </w:t>
      </w:r>
      <w:r w:rsidR="0060503B" w:rsidRPr="008A6A54">
        <w:rPr>
          <w:rStyle w:val="Emphasis"/>
        </w:rPr>
        <w:t xml:space="preserve">standard concrete </w:t>
      </w:r>
      <w:r w:rsidR="00316B49" w:rsidRPr="008A6A54">
        <w:rPr>
          <w:rStyle w:val="Emphasis"/>
        </w:rPr>
        <w:t>mixture</w:t>
      </w:r>
      <w:r w:rsidR="0060503B" w:rsidRPr="008A6A54">
        <w:rPr>
          <w:rStyle w:val="Emphasis"/>
        </w:rPr>
        <w:t xml:space="preserve"> </w:t>
      </w:r>
      <w:r w:rsidR="00605B52" w:rsidRPr="008A6A54">
        <w:rPr>
          <w:rStyle w:val="Emphasis"/>
        </w:rPr>
        <w:t>allow</w:t>
      </w:r>
      <w:r w:rsidR="00ED1E0D" w:rsidRPr="008A6A54">
        <w:rPr>
          <w:rStyle w:val="Emphasis"/>
        </w:rPr>
        <w:t>ed</w:t>
      </w:r>
      <w:r w:rsidR="00605B52" w:rsidRPr="008A6A54">
        <w:rPr>
          <w:rStyle w:val="Emphasis"/>
        </w:rPr>
        <w:t xml:space="preserve"> the water reduction </w:t>
      </w:r>
      <w:r w:rsidR="00ED1E0D" w:rsidRPr="008A6A54">
        <w:rPr>
          <w:rStyle w:val="Emphasis"/>
        </w:rPr>
        <w:t>of</w:t>
      </w:r>
      <w:r w:rsidR="00E56346" w:rsidRPr="008A6A54">
        <w:rPr>
          <w:rStyle w:val="Emphasis"/>
        </w:rPr>
        <w:t xml:space="preserve"> </w:t>
      </w:r>
      <w:r w:rsidR="0052313F" w:rsidRPr="008A6A54">
        <w:rPr>
          <w:rStyle w:val="Emphasis"/>
        </w:rPr>
        <w:t xml:space="preserve">13% </w:t>
      </w:r>
      <w:r w:rsidR="00ED1E0D" w:rsidRPr="008A6A54">
        <w:rPr>
          <w:rStyle w:val="Emphasis"/>
        </w:rPr>
        <w:t>to</w:t>
      </w:r>
      <w:r w:rsidR="0052313F" w:rsidRPr="008A6A54">
        <w:rPr>
          <w:rStyle w:val="Emphasis"/>
        </w:rPr>
        <w:t xml:space="preserve"> 19%</w:t>
      </w:r>
      <w:r w:rsidR="000D4092" w:rsidRPr="008A6A54">
        <w:rPr>
          <w:rStyle w:val="Emphasis"/>
        </w:rPr>
        <w:t>,</w:t>
      </w:r>
      <w:r w:rsidR="0052313F" w:rsidRPr="008A6A54">
        <w:rPr>
          <w:rStyle w:val="Emphasis"/>
        </w:rPr>
        <w:t xml:space="preserve"> </w:t>
      </w:r>
      <w:r w:rsidR="000D4092" w:rsidRPr="008A6A54">
        <w:rPr>
          <w:rStyle w:val="Emphasis"/>
        </w:rPr>
        <w:t>while maintaining adequate workability and compressive strength</w:t>
      </w:r>
      <w:r w:rsidR="00804D56" w:rsidRPr="008A6A54">
        <w:rPr>
          <w:rStyle w:val="Emphasis"/>
        </w:rPr>
        <w:t xml:space="preserve">.  </w:t>
      </w:r>
      <w:r w:rsidR="00316B49" w:rsidRPr="008A6A54">
        <w:rPr>
          <w:rStyle w:val="Emphasis"/>
        </w:rPr>
        <w:t xml:space="preserve">However, based on the slump test </w:t>
      </w:r>
      <w:r w:rsidR="00730DEF" w:rsidRPr="008A6A54">
        <w:rPr>
          <w:rStyle w:val="Emphasis"/>
        </w:rPr>
        <w:t xml:space="preserve">result in </w:t>
      </w:r>
      <w:r w:rsidR="008A6A54" w:rsidRPr="008A6A54">
        <w:rPr>
          <w:rStyle w:val="Emphasis"/>
          <w:b/>
          <w:bCs/>
        </w:rPr>
        <w:t>FIGURE 3</w:t>
      </w:r>
      <w:r w:rsidR="00730DEF" w:rsidRPr="008A6A54">
        <w:rPr>
          <w:rStyle w:val="Emphasis"/>
        </w:rPr>
        <w:t xml:space="preserve">, </w:t>
      </w:r>
      <w:r w:rsidR="004A0155" w:rsidRPr="008A6A54">
        <w:rPr>
          <w:rStyle w:val="Emphasis"/>
        </w:rPr>
        <w:t>the water content was adjusted to better achieve the target slump</w:t>
      </w:r>
      <w:r w:rsidR="00093538" w:rsidRPr="008A6A54">
        <w:rPr>
          <w:rStyle w:val="Emphasis"/>
        </w:rPr>
        <w:t xml:space="preserve">. </w:t>
      </w:r>
      <w:r w:rsidR="00BA7167" w:rsidRPr="008A6A54">
        <w:rPr>
          <w:rStyle w:val="Emphasis"/>
        </w:rPr>
        <w:lastRenderedPageBreak/>
        <w:t xml:space="preserve">Additionally, since the cement content was reduced to maintain a constant w/c ratio, the reduction needed to account for the minimum volume of cement paste required to fill the intergranular voids </w:t>
      </w:r>
      <w:r w:rsidR="007B7DE8" w:rsidRPr="008A6A54">
        <w:rPr>
          <w:rStyle w:val="Emphasis"/>
        </w:rPr>
        <w:fldChar w:fldCharType="begin" w:fldLock="1"/>
      </w:r>
      <w:r w:rsidR="007B7DE8" w:rsidRPr="008A6A54">
        <w:rPr>
          <w:rStyle w:val="Emphasis"/>
        </w:rPr>
        <w:instrText>ADDIN CSL_CITATION {"citationItems":[{"id":"ITEM-1","itemData":{"DOI":"10.1590/s1983-41952019000600003","ISBN":"1900060000","abstract":"Abstract The optimum content of ether polycarboxylate-based superplasticizer, determined by rotational rheometry, and its effects on the environmental impacts of concretes were studied for cement and limestone filler. To assess the consistency and water reduction, flow-table tests were performed. Then, cement content reduction and binder and carbon intensity indexes were determined through estimation based on theoretical concretes. The evaluated pure and blended cements present significant variability of the optimum consumption of the admixture. The fillers consumed less superplasticizer per area than the other materials and compositions with fillers allowed for greater reduction of water content. The mixtures with superplasticizer presented lower cement rate and binder and carbon intensity indexes. The usage of this type of admixture in optimal content can reduce environment impacts, according to the parameters analyzed.Resumo Foram estudados, em cimentos e fillers calcários, os teores ótimos de superplastificante (base policarboxilato éter), determinados através de reometria rotacional, e estimados seus efeitos nos impactos ambientais de concretos. Ensaios de espalhamento de argamassas em mesa de consistência foram feitos para determinação da redução de água e estimação de redução do cimento e intensidades de ligantes (IL) e CO2 (IC) em concretos teóricos. Os cimentos estudados apresentaram significante variação de consumo de superplastificante. Os fillers consumiram menos aditivo por unidade de área do que os demais materiais e suas composições apresentaram maior redução de água. O uso de superplastificantes levou à redução do consumo de cimento e das intensidades de ligante e carbono. A otimização do teor de superplastificante se mostrou eficiente para a redução de impactos ambientais.","author":[{"dropping-particle":"","family":"CECEL","given":"R. T.","non-dropping-particle":"","parse-names":false,"suffix":""},{"dropping-particle":"","family":"ABRÃO","given":"P. C. R. A.","non-dropping-particle":"","parse-names":false,"suffix":""},{"dropping-particle":"","family":"CARDOSO","given":"F. A.","non-dropping-particle":"","parse-names":false,"suffix":""},{"dropping-particle":"","family":"JOHN","given":"V. M.","non-dropping-particle":"","parse-names":false,"suffix":""}],"container-title":"Revista IBRACON de Estruturas e Materiais","id":"ITEM-1","issue":"6","issued":{"date-parts":[["2019"]]},"page":"1260-1287","title":"Consumption of superplasticizer admixture for different cements and their binder efficiency","type":"article-journal","volume":"12"},"uris":["http://www.mendeley.com/documents/?uuid=bcac1182-bc8b-4d2e-a618-c0210c34ea7a"]}],"mendeley":{"formattedCitation":"[2]","plainTextFormattedCitation":"[2]"},"properties":{"noteIndex":0},"schema":"https://github.com/citation-style-language/schema/raw/master/csl-citation.json"}</w:instrText>
      </w:r>
      <w:r w:rsidR="007B7DE8" w:rsidRPr="008A6A54">
        <w:rPr>
          <w:rStyle w:val="Emphasis"/>
        </w:rPr>
        <w:fldChar w:fldCharType="separate"/>
      </w:r>
      <w:r w:rsidR="007B7DE8" w:rsidRPr="008A6A54">
        <w:rPr>
          <w:rStyle w:val="Emphasis"/>
        </w:rPr>
        <w:t>[2]</w:t>
      </w:r>
      <w:r w:rsidR="007B7DE8" w:rsidRPr="008A6A54">
        <w:rPr>
          <w:rStyle w:val="Emphasis"/>
        </w:rPr>
        <w:fldChar w:fldCharType="end"/>
      </w:r>
      <w:r w:rsidR="007B7DE8" w:rsidRPr="008A6A54">
        <w:rPr>
          <w:rStyle w:val="Emphasis"/>
        </w:rPr>
        <w:t xml:space="preserve">. </w:t>
      </w:r>
      <w:r w:rsidR="00BA7167" w:rsidRPr="008A6A54">
        <w:rPr>
          <w:rStyle w:val="Emphasis"/>
        </w:rPr>
        <w:t xml:space="preserve">The adjusted water and cement consumption values are presented in </w:t>
      </w:r>
      <w:r w:rsidR="008A6A54" w:rsidRPr="008A6A54">
        <w:rPr>
          <w:rStyle w:val="Emphasis"/>
          <w:b/>
          <w:bCs/>
        </w:rPr>
        <w:t>FIGURES 4</w:t>
      </w:r>
      <w:r w:rsidR="00BA7167" w:rsidRPr="008A6A54">
        <w:rPr>
          <w:rStyle w:val="Emphasis"/>
        </w:rPr>
        <w:t xml:space="preserve"> and </w:t>
      </w:r>
      <w:r w:rsidR="008A6A54" w:rsidRPr="008A6A54">
        <w:rPr>
          <w:rStyle w:val="Emphasis"/>
          <w:b/>
          <w:bCs/>
        </w:rPr>
        <w:t>5</w:t>
      </w:r>
      <w:r w:rsidR="00BA7167" w:rsidRPr="008A6A54">
        <w:rPr>
          <w:rStyle w:val="Emphasis"/>
        </w:rPr>
        <w:t>, respectively</w:t>
      </w:r>
      <w:r w:rsidR="00F60F0A" w:rsidRPr="008A6A54">
        <w:rPr>
          <w:rStyle w:val="Emphasis"/>
        </w:rPr>
        <w:t xml:space="preserve">. </w:t>
      </w:r>
      <w:r w:rsidR="00B46C93" w:rsidRPr="008A6A54">
        <w:rPr>
          <w:rStyle w:val="Emphasis"/>
        </w:rPr>
        <w:t>It is evident that the use of PCE superplasticizer as a high-range water-reducing admixture effectively reduced both water and cement consumption, with higher PCE dosages enabling greater reductions</w:t>
      </w:r>
      <w:r w:rsidR="00BA386C" w:rsidRPr="008A6A54">
        <w:rPr>
          <w:rStyle w:val="Emphasis"/>
        </w:rPr>
        <w:t xml:space="preserve">. </w:t>
      </w:r>
      <w:r w:rsidR="007003C0" w:rsidRPr="008A6A54">
        <w:rPr>
          <w:rStyle w:val="Emphasis"/>
        </w:rPr>
        <w:t xml:space="preserve">The application of PCE superplasticizer led to a reduction in cement consumption between 5% and 10% </w:t>
      </w:r>
      <w:r w:rsidR="00055136" w:rsidRPr="008A6A54">
        <w:rPr>
          <w:rStyle w:val="Emphasis"/>
        </w:rPr>
        <w:t>(</w:t>
      </w:r>
      <w:r w:rsidR="008A6A54" w:rsidRPr="008A6A54">
        <w:rPr>
          <w:rStyle w:val="Emphasis"/>
          <w:b/>
          <w:bCs/>
        </w:rPr>
        <w:t>FIGURE 6</w:t>
      </w:r>
      <w:r w:rsidR="0041675F" w:rsidRPr="008A6A54">
        <w:rPr>
          <w:rStyle w:val="Emphasis"/>
        </w:rPr>
        <w:t xml:space="preserve">). </w:t>
      </w:r>
    </w:p>
    <w:p w14:paraId="390C2E6F" w14:textId="77777777" w:rsidR="008C3B35" w:rsidRDefault="008C3B35"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tbl>
      <w:tblPr>
        <w:tblStyle w:val="TableGrid"/>
        <w:tblW w:w="915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22"/>
      </w:tblGrid>
      <w:tr w:rsidR="00D366DE" w14:paraId="53ABBEAC" w14:textId="77777777" w:rsidTr="009F5066">
        <w:tc>
          <w:tcPr>
            <w:tcW w:w="4536" w:type="dxa"/>
          </w:tcPr>
          <w:p w14:paraId="45F1B5CC" w14:textId="672B3B73" w:rsidR="00D366DE" w:rsidRDefault="00D366DE" w:rsidP="00250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noProof/>
              </w:rPr>
              <w:drawing>
                <wp:inline distT="0" distB="0" distL="0" distR="0" wp14:anchorId="00948D3D" wp14:editId="14B195CD">
                  <wp:extent cx="2700000" cy="1800000"/>
                  <wp:effectExtent l="0" t="0" r="5715" b="0"/>
                  <wp:docPr id="46360886" name="Chart 1">
                    <a:extLst xmlns:a="http://schemas.openxmlformats.org/drawingml/2006/main">
                      <a:ext uri="{FF2B5EF4-FFF2-40B4-BE49-F238E27FC236}">
                        <a16:creationId xmlns:a16="http://schemas.microsoft.com/office/drawing/2014/main" id="{0380AB35-89E6-4575-3902-BC09015270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622" w:type="dxa"/>
          </w:tcPr>
          <w:p w14:paraId="64D8290D" w14:textId="04EB45AB" w:rsidR="00D366DE" w:rsidRDefault="00E12DB0" w:rsidP="00250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noProof/>
              </w:rPr>
              <w:drawing>
                <wp:inline distT="0" distB="0" distL="0" distR="0" wp14:anchorId="50DC736F" wp14:editId="63D3CE6B">
                  <wp:extent cx="2700000" cy="1800000"/>
                  <wp:effectExtent l="0" t="0" r="5715" b="0"/>
                  <wp:docPr id="1262769028" name="Chart 1">
                    <a:extLst xmlns:a="http://schemas.openxmlformats.org/drawingml/2006/main">
                      <a:ext uri="{FF2B5EF4-FFF2-40B4-BE49-F238E27FC236}">
                        <a16:creationId xmlns:a16="http://schemas.microsoft.com/office/drawing/2014/main" id="{A29945CD-EA8E-B885-9A3F-94BE81B82D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881FCD" w14:paraId="2E237CAC" w14:textId="77777777" w:rsidTr="009F5066">
        <w:tc>
          <w:tcPr>
            <w:tcW w:w="4536" w:type="dxa"/>
          </w:tcPr>
          <w:p w14:paraId="6934850A" w14:textId="050C88FF" w:rsidR="00881FCD" w:rsidRDefault="00D252C4" w:rsidP="00132D6C">
            <w:pPr>
              <w:pStyle w:val="FigureCaption"/>
              <w:spacing w:before="60"/>
            </w:pPr>
            <w:r w:rsidRPr="00784F94">
              <w:rPr>
                <w:b/>
              </w:rPr>
              <w:t xml:space="preserve">FIGURE </w:t>
            </w:r>
            <w:r>
              <w:rPr>
                <w:b/>
              </w:rPr>
              <w:t>4</w:t>
            </w:r>
            <w:r w:rsidRPr="00494005">
              <w:t xml:space="preserve">. </w:t>
            </w:r>
            <w:r w:rsidR="00D720F0">
              <w:t>Water consumption for the concrete with and without PCE superplasticizer</w:t>
            </w:r>
          </w:p>
        </w:tc>
        <w:tc>
          <w:tcPr>
            <w:tcW w:w="4622" w:type="dxa"/>
          </w:tcPr>
          <w:p w14:paraId="1EE0B8EF" w14:textId="6DC99A7B" w:rsidR="00881FCD" w:rsidRDefault="0089332D" w:rsidP="00132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center"/>
              <w:rPr>
                <w:sz w:val="20"/>
              </w:rPr>
            </w:pPr>
            <w:r w:rsidRPr="0089332D">
              <w:rPr>
                <w:b/>
                <w:sz w:val="18"/>
              </w:rPr>
              <w:t xml:space="preserve">FIGURE </w:t>
            </w:r>
            <w:r>
              <w:rPr>
                <w:b/>
                <w:sz w:val="18"/>
              </w:rPr>
              <w:t>5</w:t>
            </w:r>
            <w:r w:rsidRPr="0089332D">
              <w:rPr>
                <w:b/>
                <w:sz w:val="18"/>
              </w:rPr>
              <w:t>.</w:t>
            </w:r>
            <w:r w:rsidRPr="00494005">
              <w:t xml:space="preserve"> </w:t>
            </w:r>
            <w:r w:rsidR="00D720F0">
              <w:rPr>
                <w:sz w:val="18"/>
              </w:rPr>
              <w:t>Cement c</w:t>
            </w:r>
            <w:r w:rsidR="00D720F0" w:rsidRPr="00D720F0">
              <w:rPr>
                <w:sz w:val="18"/>
              </w:rPr>
              <w:t>onsumption for the concrete with and without PCE superplasticizer</w:t>
            </w:r>
          </w:p>
        </w:tc>
      </w:tr>
    </w:tbl>
    <w:p w14:paraId="0F979CF6" w14:textId="77777777" w:rsidR="00EA50A7" w:rsidRPr="00CE459F" w:rsidRDefault="00EA50A7" w:rsidP="00EA50A7">
      <w:pPr>
        <w:rPr>
          <w:sz w:val="20"/>
          <w:szCs w:val="16"/>
        </w:rPr>
      </w:pPr>
    </w:p>
    <w:p w14:paraId="466D45D6" w14:textId="1DC28AC0" w:rsidR="00EA50A7" w:rsidRPr="008A6A54" w:rsidRDefault="0005417F" w:rsidP="009A7BC2">
      <w:pPr>
        <w:pStyle w:val="Paragraph"/>
        <w:rPr>
          <w:rStyle w:val="Emphasis"/>
        </w:rPr>
      </w:pPr>
      <w:r w:rsidRPr="008A6A54">
        <w:rPr>
          <w:rStyle w:val="Emphasis"/>
        </w:rPr>
        <w:t xml:space="preserve">The reduction in water and cement content </w:t>
      </w:r>
      <w:r w:rsidR="00114656" w:rsidRPr="008A6A54">
        <w:rPr>
          <w:rStyle w:val="Emphasis"/>
        </w:rPr>
        <w:t xml:space="preserve">in </w:t>
      </w:r>
      <w:r w:rsidR="00513F02" w:rsidRPr="008A6A54">
        <w:rPr>
          <w:rStyle w:val="Emphasis"/>
        </w:rPr>
        <w:t xml:space="preserve">the </w:t>
      </w:r>
      <w:r w:rsidR="00114656" w:rsidRPr="008A6A54">
        <w:rPr>
          <w:rStyle w:val="Emphasis"/>
        </w:rPr>
        <w:t xml:space="preserve">concrete mixture was </w:t>
      </w:r>
      <w:r w:rsidR="005A3DB4" w:rsidRPr="008A6A54">
        <w:rPr>
          <w:rStyle w:val="Emphasis"/>
        </w:rPr>
        <w:t xml:space="preserve">designed to </w:t>
      </w:r>
      <w:r w:rsidR="00FA3945" w:rsidRPr="008A6A54">
        <w:rPr>
          <w:rStyle w:val="Emphasis"/>
        </w:rPr>
        <w:t xml:space="preserve">preserve </w:t>
      </w:r>
      <w:r w:rsidR="00903A71" w:rsidRPr="008A6A54">
        <w:rPr>
          <w:rStyle w:val="Emphasis"/>
        </w:rPr>
        <w:t>consistent workability</w:t>
      </w:r>
      <w:r w:rsidR="00FA3945" w:rsidRPr="008A6A54">
        <w:rPr>
          <w:rStyle w:val="Emphasis"/>
        </w:rPr>
        <w:t xml:space="preserve">, </w:t>
      </w:r>
      <w:r w:rsidR="00E804F6" w:rsidRPr="008A6A54">
        <w:rPr>
          <w:rStyle w:val="Emphasis"/>
        </w:rPr>
        <w:t>with slump value used as the measurement tool</w:t>
      </w:r>
      <w:r w:rsidR="00D276E5" w:rsidRPr="008A6A54">
        <w:rPr>
          <w:rStyle w:val="Emphasis"/>
        </w:rPr>
        <w:t xml:space="preserve">. </w:t>
      </w:r>
      <w:r w:rsidR="00E3014C" w:rsidRPr="008A6A54">
        <w:rPr>
          <w:rStyle w:val="Emphasis"/>
        </w:rPr>
        <w:t xml:space="preserve">Analyzing the slump test result in </w:t>
      </w:r>
      <w:r w:rsidR="008A6A54" w:rsidRPr="008A6A54">
        <w:rPr>
          <w:rStyle w:val="Emphasis"/>
          <w:b/>
          <w:bCs/>
        </w:rPr>
        <w:t>FIGURE 6</w:t>
      </w:r>
      <w:r w:rsidR="00E3014C" w:rsidRPr="008A6A54">
        <w:rPr>
          <w:rStyle w:val="Emphasis"/>
        </w:rPr>
        <w:t xml:space="preserve">, </w:t>
      </w:r>
      <w:r w:rsidR="00660CC8" w:rsidRPr="008A6A54">
        <w:rPr>
          <w:rStyle w:val="Emphasis"/>
        </w:rPr>
        <w:t xml:space="preserve">it can be </w:t>
      </w:r>
      <w:r w:rsidR="00C33051" w:rsidRPr="008A6A54">
        <w:rPr>
          <w:rStyle w:val="Emphasis"/>
        </w:rPr>
        <w:t>concluded</w:t>
      </w:r>
      <w:r w:rsidR="00660CC8" w:rsidRPr="008A6A54">
        <w:rPr>
          <w:rStyle w:val="Emphasis"/>
        </w:rPr>
        <w:t xml:space="preserve"> that </w:t>
      </w:r>
      <w:r w:rsidR="00E804F6" w:rsidRPr="008A6A54">
        <w:rPr>
          <w:rStyle w:val="Emphasis"/>
        </w:rPr>
        <w:t xml:space="preserve">a </w:t>
      </w:r>
      <w:r w:rsidR="00660CC8" w:rsidRPr="008A6A54">
        <w:rPr>
          <w:rStyle w:val="Emphasis"/>
        </w:rPr>
        <w:t xml:space="preserve">higher dosage of PCE superplasticizer will result in </w:t>
      </w:r>
      <w:r w:rsidR="003A649B" w:rsidRPr="008A6A54">
        <w:rPr>
          <w:rStyle w:val="Emphasis"/>
        </w:rPr>
        <w:t>greater</w:t>
      </w:r>
      <w:r w:rsidR="00660CC8" w:rsidRPr="008A6A54">
        <w:rPr>
          <w:rStyle w:val="Emphasis"/>
        </w:rPr>
        <w:t xml:space="preserve"> </w:t>
      </w:r>
      <w:r w:rsidR="00C33051" w:rsidRPr="008A6A54">
        <w:rPr>
          <w:rStyle w:val="Emphasis"/>
        </w:rPr>
        <w:t xml:space="preserve">water and cement reduction, </w:t>
      </w:r>
      <w:r w:rsidR="003A649B" w:rsidRPr="008A6A54">
        <w:rPr>
          <w:rStyle w:val="Emphasis"/>
        </w:rPr>
        <w:t>while still achieving the target workability</w:t>
      </w:r>
      <w:r w:rsidR="00C33051" w:rsidRPr="008A6A54">
        <w:rPr>
          <w:rStyle w:val="Emphasis"/>
        </w:rPr>
        <w:t xml:space="preserve">. </w:t>
      </w:r>
      <w:r w:rsidR="00605E73" w:rsidRPr="008A6A54">
        <w:rPr>
          <w:rStyle w:val="Emphasis"/>
        </w:rPr>
        <w:t>In specimen CS3</w:t>
      </w:r>
      <w:r w:rsidR="003A649B" w:rsidRPr="008A6A54">
        <w:rPr>
          <w:rStyle w:val="Emphasis"/>
        </w:rPr>
        <w:t>,</w:t>
      </w:r>
      <w:r w:rsidR="00605E73" w:rsidRPr="008A6A54">
        <w:rPr>
          <w:rStyle w:val="Emphasis"/>
        </w:rPr>
        <w:t xml:space="preserve"> with </w:t>
      </w:r>
      <w:r w:rsidR="00642362" w:rsidRPr="008A6A54">
        <w:rPr>
          <w:rStyle w:val="Emphasis"/>
        </w:rPr>
        <w:t xml:space="preserve">a </w:t>
      </w:r>
      <w:r w:rsidR="00605E73" w:rsidRPr="008A6A54">
        <w:rPr>
          <w:rStyle w:val="Emphasis"/>
        </w:rPr>
        <w:t xml:space="preserve">1.0% PCE dosage, </w:t>
      </w:r>
      <w:r w:rsidR="00642362" w:rsidRPr="008A6A54">
        <w:rPr>
          <w:rStyle w:val="Emphasis"/>
        </w:rPr>
        <w:t>the slump value exceeded the target, though it remained within the acceptable workability range</w:t>
      </w:r>
      <w:r w:rsidR="00453716" w:rsidRPr="008A6A54">
        <w:rPr>
          <w:rStyle w:val="Emphasis"/>
        </w:rPr>
        <w:t>.</w:t>
      </w:r>
      <w:r w:rsidR="00C13A74" w:rsidRPr="008A6A54">
        <w:rPr>
          <w:rStyle w:val="Emphasis"/>
        </w:rPr>
        <w:t xml:space="preserve"> </w:t>
      </w:r>
      <w:r w:rsidR="00642362" w:rsidRPr="008A6A54">
        <w:rPr>
          <w:rStyle w:val="Emphasis"/>
        </w:rPr>
        <w:t>However, greater reductions in water and cement may potentially reduce the mixture's compressive strength, as shown in Table 1.</w:t>
      </w:r>
    </w:p>
    <w:p w14:paraId="2339887D" w14:textId="77777777" w:rsidR="00B0245B" w:rsidRDefault="00B0245B" w:rsidP="009A7BC2">
      <w:pPr>
        <w:pStyle w:val="Paragraph"/>
      </w:pPr>
    </w:p>
    <w:p w14:paraId="398D139F" w14:textId="49EBF771" w:rsidR="00B0245B" w:rsidRDefault="00B0245B" w:rsidP="00EF6B82">
      <w:pPr>
        <w:pStyle w:val="Paragraph"/>
        <w:jc w:val="center"/>
      </w:pPr>
      <w:r>
        <w:rPr>
          <w:noProof/>
        </w:rPr>
        <w:drawing>
          <wp:inline distT="0" distB="0" distL="0" distR="0" wp14:anchorId="7C808C6E" wp14:editId="542AAA02">
            <wp:extent cx="3240000" cy="2160000"/>
            <wp:effectExtent l="0" t="0" r="0" b="0"/>
            <wp:docPr id="529147913" name="Chart 1">
              <a:extLst xmlns:a="http://schemas.openxmlformats.org/drawingml/2006/main">
                <a:ext uri="{FF2B5EF4-FFF2-40B4-BE49-F238E27FC236}">
                  <a16:creationId xmlns:a16="http://schemas.microsoft.com/office/drawing/2014/main" id="{B132D773-DDD3-F42A-D199-90F69E50C7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6BC695" w14:textId="0DED037D" w:rsidR="00B0245B" w:rsidRDefault="00055136" w:rsidP="00055136">
      <w:pPr>
        <w:pStyle w:val="Paragraph"/>
        <w:jc w:val="center"/>
      </w:pPr>
      <w:r w:rsidRPr="0089332D">
        <w:rPr>
          <w:b/>
          <w:sz w:val="18"/>
        </w:rPr>
        <w:t xml:space="preserve">FIGURE </w:t>
      </w:r>
      <w:r>
        <w:rPr>
          <w:b/>
          <w:sz w:val="18"/>
        </w:rPr>
        <w:t>6</w:t>
      </w:r>
      <w:r w:rsidRPr="0089332D">
        <w:rPr>
          <w:b/>
          <w:sz w:val="18"/>
        </w:rPr>
        <w:t>.</w:t>
      </w:r>
      <w:r w:rsidRPr="00494005">
        <w:t xml:space="preserve"> </w:t>
      </w:r>
      <w:r>
        <w:rPr>
          <w:sz w:val="18"/>
        </w:rPr>
        <w:t>Slump value of concrete mixture</w:t>
      </w:r>
      <w:r w:rsidR="00BB4AD4">
        <w:rPr>
          <w:sz w:val="18"/>
        </w:rPr>
        <w:t>s</w:t>
      </w:r>
      <w:r>
        <w:rPr>
          <w:sz w:val="18"/>
        </w:rPr>
        <w:t xml:space="preserve"> with </w:t>
      </w:r>
      <w:r w:rsidR="004E0A47">
        <w:rPr>
          <w:sz w:val="18"/>
        </w:rPr>
        <w:t>the designed water and cement reduction</w:t>
      </w:r>
      <w:r w:rsidR="008642D4">
        <w:rPr>
          <w:sz w:val="18"/>
        </w:rPr>
        <w:t>s</w:t>
      </w:r>
      <w:r>
        <w:rPr>
          <w:sz w:val="18"/>
        </w:rPr>
        <w:t xml:space="preserve"> </w:t>
      </w:r>
    </w:p>
    <w:p w14:paraId="5521FC79" w14:textId="77777777" w:rsidR="00CE459F" w:rsidRDefault="00CE459F" w:rsidP="00CE459F">
      <w:pPr>
        <w:pStyle w:val="TableCaption"/>
        <w:spacing w:before="0"/>
        <w:jc w:val="left"/>
      </w:pPr>
    </w:p>
    <w:p w14:paraId="6D9ABB81" w14:textId="281988D5" w:rsidR="00611FCE" w:rsidRPr="00A17B56" w:rsidRDefault="00611FCE" w:rsidP="00611FCE">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sidR="008A6A54">
        <w:rPr>
          <w:rFonts w:eastAsia="Calibri"/>
          <w:b/>
        </w:rPr>
        <w:t>2</w:t>
      </w:r>
      <w:r w:rsidRPr="00A17B56">
        <w:rPr>
          <w:rFonts w:eastAsia="Calibri"/>
        </w:rPr>
        <w:t xml:space="preserve">. </w:t>
      </w:r>
      <w:r>
        <w:rPr>
          <w:rFonts w:eastAsia="Calibri"/>
        </w:rPr>
        <w:t>Compressive strength of concrete</w:t>
      </w:r>
    </w:p>
    <w:tbl>
      <w:tblPr>
        <w:tblStyle w:val="TableGrid"/>
        <w:tblW w:w="6946" w:type="dxa"/>
        <w:tblInd w:w="1384" w:type="dxa"/>
        <w:tblLook w:val="04A0" w:firstRow="1" w:lastRow="0" w:firstColumn="1" w:lastColumn="0" w:noHBand="0" w:noVBand="1"/>
      </w:tblPr>
      <w:tblGrid>
        <w:gridCol w:w="1587"/>
        <w:gridCol w:w="1823"/>
        <w:gridCol w:w="1803"/>
        <w:gridCol w:w="1733"/>
      </w:tblGrid>
      <w:tr w:rsidR="00611FCE" w14:paraId="18350299" w14:textId="77777777" w:rsidTr="001833D4">
        <w:tc>
          <w:tcPr>
            <w:tcW w:w="1587" w:type="dxa"/>
            <w:vMerge w:val="restart"/>
            <w:vAlign w:val="center"/>
          </w:tcPr>
          <w:p w14:paraId="64183886" w14:textId="77777777" w:rsidR="00611FCE" w:rsidRDefault="00611FCE" w:rsidP="001833D4">
            <w:pPr>
              <w:jc w:val="center"/>
              <w:rPr>
                <w:rFonts w:eastAsia="Calibri"/>
                <w:color w:val="FF0000"/>
              </w:rPr>
            </w:pPr>
            <w:r w:rsidRPr="00494005">
              <w:rPr>
                <w:rFonts w:eastAsia="Calibri"/>
                <w:color w:val="FF0000"/>
              </w:rPr>
              <w:tab/>
            </w:r>
            <w:r w:rsidRPr="00F23FFF">
              <w:rPr>
                <w:sz w:val="18"/>
                <w:szCs w:val="18"/>
              </w:rPr>
              <w:t xml:space="preserve">Concrete </w:t>
            </w:r>
            <w:r>
              <w:rPr>
                <w:sz w:val="18"/>
                <w:szCs w:val="18"/>
              </w:rPr>
              <w:t>m</w:t>
            </w:r>
            <w:r w:rsidRPr="00F23FFF">
              <w:rPr>
                <w:sz w:val="18"/>
                <w:szCs w:val="18"/>
              </w:rPr>
              <w:t xml:space="preserve">ixture </w:t>
            </w:r>
            <w:r>
              <w:rPr>
                <w:sz w:val="18"/>
                <w:szCs w:val="18"/>
              </w:rPr>
              <w:t>c</w:t>
            </w:r>
            <w:r w:rsidRPr="00F23FFF">
              <w:rPr>
                <w:sz w:val="18"/>
                <w:szCs w:val="18"/>
              </w:rPr>
              <w:t>ode</w:t>
            </w:r>
          </w:p>
        </w:tc>
        <w:tc>
          <w:tcPr>
            <w:tcW w:w="1823" w:type="dxa"/>
            <w:vMerge w:val="restart"/>
            <w:vAlign w:val="center"/>
          </w:tcPr>
          <w:p w14:paraId="103D65D8" w14:textId="77777777" w:rsidR="00611FCE" w:rsidRPr="00F85464" w:rsidRDefault="00611FCE" w:rsidP="001833D4">
            <w:pPr>
              <w:jc w:val="center"/>
              <w:rPr>
                <w:rFonts w:eastAsia="Calibri"/>
                <w:color w:val="FF0000"/>
                <w:vertAlign w:val="superscript"/>
              </w:rPr>
            </w:pPr>
            <w:r>
              <w:rPr>
                <w:sz w:val="18"/>
                <w:szCs w:val="18"/>
              </w:rPr>
              <w:t>Density, kg/m</w:t>
            </w:r>
            <w:r>
              <w:rPr>
                <w:sz w:val="18"/>
                <w:szCs w:val="18"/>
                <w:vertAlign w:val="superscript"/>
              </w:rPr>
              <w:t>3</w:t>
            </w:r>
          </w:p>
        </w:tc>
        <w:tc>
          <w:tcPr>
            <w:tcW w:w="3536" w:type="dxa"/>
            <w:gridSpan w:val="2"/>
            <w:vAlign w:val="center"/>
          </w:tcPr>
          <w:p w14:paraId="1E78B7EF" w14:textId="77777777" w:rsidR="00611FCE" w:rsidRDefault="00611FCE" w:rsidP="001833D4">
            <w:pPr>
              <w:jc w:val="center"/>
              <w:rPr>
                <w:rFonts w:eastAsia="Calibri"/>
                <w:color w:val="FF0000"/>
              </w:rPr>
            </w:pPr>
            <w:r>
              <w:rPr>
                <w:sz w:val="18"/>
                <w:szCs w:val="18"/>
              </w:rPr>
              <w:t>Compressive strength, MPa</w:t>
            </w:r>
          </w:p>
        </w:tc>
      </w:tr>
      <w:tr w:rsidR="00611FCE" w14:paraId="36D25B2D" w14:textId="77777777" w:rsidTr="001833D4">
        <w:tc>
          <w:tcPr>
            <w:tcW w:w="1587" w:type="dxa"/>
            <w:vMerge/>
            <w:vAlign w:val="center"/>
          </w:tcPr>
          <w:p w14:paraId="44B178F4" w14:textId="77777777" w:rsidR="00611FCE" w:rsidRPr="00F23FFF" w:rsidRDefault="00611FCE" w:rsidP="001833D4">
            <w:pPr>
              <w:jc w:val="center"/>
              <w:rPr>
                <w:sz w:val="18"/>
                <w:szCs w:val="18"/>
              </w:rPr>
            </w:pPr>
          </w:p>
        </w:tc>
        <w:tc>
          <w:tcPr>
            <w:tcW w:w="1823" w:type="dxa"/>
            <w:vMerge/>
            <w:vAlign w:val="center"/>
          </w:tcPr>
          <w:p w14:paraId="677A0C85" w14:textId="77777777" w:rsidR="00611FCE" w:rsidRDefault="00611FCE" w:rsidP="001833D4">
            <w:pPr>
              <w:jc w:val="center"/>
              <w:rPr>
                <w:sz w:val="18"/>
                <w:szCs w:val="18"/>
              </w:rPr>
            </w:pPr>
          </w:p>
        </w:tc>
        <w:tc>
          <w:tcPr>
            <w:tcW w:w="1803" w:type="dxa"/>
            <w:vAlign w:val="center"/>
          </w:tcPr>
          <w:p w14:paraId="503F2906" w14:textId="77777777" w:rsidR="00611FCE" w:rsidRDefault="00611FCE" w:rsidP="001833D4">
            <w:pPr>
              <w:jc w:val="center"/>
              <w:rPr>
                <w:sz w:val="18"/>
                <w:szCs w:val="18"/>
              </w:rPr>
            </w:pPr>
            <w:r>
              <w:rPr>
                <w:sz w:val="18"/>
                <w:szCs w:val="18"/>
              </w:rPr>
              <w:t>7 days of age</w:t>
            </w:r>
          </w:p>
        </w:tc>
        <w:tc>
          <w:tcPr>
            <w:tcW w:w="1733" w:type="dxa"/>
            <w:vAlign w:val="center"/>
          </w:tcPr>
          <w:p w14:paraId="2215BBCD" w14:textId="77777777" w:rsidR="00611FCE" w:rsidRDefault="00611FCE" w:rsidP="001833D4">
            <w:pPr>
              <w:jc w:val="center"/>
              <w:rPr>
                <w:rFonts w:eastAsia="Calibri"/>
                <w:color w:val="FF0000"/>
              </w:rPr>
            </w:pPr>
            <w:r>
              <w:rPr>
                <w:sz w:val="18"/>
                <w:szCs w:val="18"/>
              </w:rPr>
              <w:t>28 days of age</w:t>
            </w:r>
          </w:p>
        </w:tc>
      </w:tr>
      <w:tr w:rsidR="00611FCE" w14:paraId="764164B0" w14:textId="77777777" w:rsidTr="001833D4">
        <w:tc>
          <w:tcPr>
            <w:tcW w:w="1587" w:type="dxa"/>
            <w:vAlign w:val="center"/>
          </w:tcPr>
          <w:p w14:paraId="3F008D90" w14:textId="77777777" w:rsidR="00611FCE" w:rsidRDefault="00611FCE" w:rsidP="001833D4">
            <w:pPr>
              <w:jc w:val="center"/>
              <w:rPr>
                <w:rFonts w:eastAsia="Calibri"/>
                <w:color w:val="FF0000"/>
              </w:rPr>
            </w:pPr>
            <w:r w:rsidRPr="00F23FFF">
              <w:rPr>
                <w:sz w:val="18"/>
                <w:szCs w:val="18"/>
              </w:rPr>
              <w:t>CN</w:t>
            </w:r>
          </w:p>
        </w:tc>
        <w:tc>
          <w:tcPr>
            <w:tcW w:w="1823" w:type="dxa"/>
            <w:vAlign w:val="center"/>
          </w:tcPr>
          <w:p w14:paraId="13439A58" w14:textId="77777777" w:rsidR="00611FCE" w:rsidRDefault="00611FCE" w:rsidP="001833D4">
            <w:pPr>
              <w:jc w:val="center"/>
              <w:rPr>
                <w:rFonts w:eastAsia="Calibri"/>
                <w:color w:val="FF0000"/>
              </w:rPr>
            </w:pPr>
            <w:r>
              <w:rPr>
                <w:sz w:val="18"/>
                <w:szCs w:val="18"/>
              </w:rPr>
              <w:t>2389</w:t>
            </w:r>
          </w:p>
        </w:tc>
        <w:tc>
          <w:tcPr>
            <w:tcW w:w="1803" w:type="dxa"/>
            <w:vAlign w:val="center"/>
          </w:tcPr>
          <w:p w14:paraId="2384CAF5" w14:textId="77777777" w:rsidR="00611FCE" w:rsidRDefault="00611FCE" w:rsidP="001833D4">
            <w:pPr>
              <w:jc w:val="center"/>
              <w:rPr>
                <w:rFonts w:eastAsia="Calibri"/>
                <w:color w:val="FF0000"/>
              </w:rPr>
            </w:pPr>
            <w:r>
              <w:rPr>
                <w:sz w:val="18"/>
                <w:szCs w:val="18"/>
              </w:rPr>
              <w:t>13.8</w:t>
            </w:r>
          </w:p>
        </w:tc>
        <w:tc>
          <w:tcPr>
            <w:tcW w:w="1733" w:type="dxa"/>
            <w:vAlign w:val="center"/>
          </w:tcPr>
          <w:p w14:paraId="386ADA31" w14:textId="77777777" w:rsidR="00611FCE" w:rsidRDefault="00611FCE" w:rsidP="001833D4">
            <w:pPr>
              <w:jc w:val="center"/>
              <w:rPr>
                <w:rFonts w:eastAsia="Calibri"/>
                <w:color w:val="FF0000"/>
              </w:rPr>
            </w:pPr>
            <w:r>
              <w:rPr>
                <w:sz w:val="18"/>
                <w:szCs w:val="18"/>
              </w:rPr>
              <w:t>23.5</w:t>
            </w:r>
          </w:p>
        </w:tc>
      </w:tr>
      <w:tr w:rsidR="00611FCE" w14:paraId="30214C86" w14:textId="77777777" w:rsidTr="001833D4">
        <w:tc>
          <w:tcPr>
            <w:tcW w:w="1587" w:type="dxa"/>
            <w:vAlign w:val="center"/>
          </w:tcPr>
          <w:p w14:paraId="45C09A70" w14:textId="77777777" w:rsidR="00611FCE" w:rsidRDefault="00611FCE" w:rsidP="001833D4">
            <w:pPr>
              <w:jc w:val="center"/>
              <w:rPr>
                <w:rFonts w:eastAsia="Calibri"/>
                <w:color w:val="FF0000"/>
              </w:rPr>
            </w:pPr>
            <w:r w:rsidRPr="00F23FFF">
              <w:rPr>
                <w:sz w:val="18"/>
                <w:szCs w:val="18"/>
              </w:rPr>
              <w:t>CS1</w:t>
            </w:r>
          </w:p>
        </w:tc>
        <w:tc>
          <w:tcPr>
            <w:tcW w:w="1823" w:type="dxa"/>
            <w:vAlign w:val="center"/>
          </w:tcPr>
          <w:p w14:paraId="08F1A71D" w14:textId="77777777" w:rsidR="00611FCE" w:rsidRDefault="00611FCE" w:rsidP="001833D4">
            <w:pPr>
              <w:jc w:val="center"/>
              <w:rPr>
                <w:rFonts w:eastAsia="Calibri"/>
                <w:color w:val="FF0000"/>
              </w:rPr>
            </w:pPr>
            <w:r>
              <w:rPr>
                <w:sz w:val="18"/>
                <w:szCs w:val="18"/>
              </w:rPr>
              <w:t>2355</w:t>
            </w:r>
          </w:p>
        </w:tc>
        <w:tc>
          <w:tcPr>
            <w:tcW w:w="1803" w:type="dxa"/>
            <w:vAlign w:val="center"/>
          </w:tcPr>
          <w:p w14:paraId="39A4B0A5" w14:textId="77777777" w:rsidR="00611FCE" w:rsidRDefault="00611FCE" w:rsidP="001833D4">
            <w:pPr>
              <w:jc w:val="center"/>
              <w:rPr>
                <w:rFonts w:eastAsia="Calibri"/>
                <w:color w:val="FF0000"/>
              </w:rPr>
            </w:pPr>
            <w:r>
              <w:rPr>
                <w:sz w:val="18"/>
                <w:szCs w:val="18"/>
              </w:rPr>
              <w:t>18.7</w:t>
            </w:r>
          </w:p>
        </w:tc>
        <w:tc>
          <w:tcPr>
            <w:tcW w:w="1733" w:type="dxa"/>
            <w:vAlign w:val="center"/>
          </w:tcPr>
          <w:p w14:paraId="7E196AC0" w14:textId="77777777" w:rsidR="00611FCE" w:rsidRDefault="00611FCE" w:rsidP="001833D4">
            <w:pPr>
              <w:jc w:val="center"/>
              <w:rPr>
                <w:rFonts w:eastAsia="Calibri"/>
                <w:color w:val="FF0000"/>
              </w:rPr>
            </w:pPr>
            <w:r>
              <w:rPr>
                <w:sz w:val="18"/>
                <w:szCs w:val="18"/>
              </w:rPr>
              <w:t>28.6</w:t>
            </w:r>
          </w:p>
        </w:tc>
      </w:tr>
      <w:tr w:rsidR="00611FCE" w14:paraId="793B930E" w14:textId="77777777" w:rsidTr="001833D4">
        <w:tc>
          <w:tcPr>
            <w:tcW w:w="1587" w:type="dxa"/>
            <w:vAlign w:val="center"/>
          </w:tcPr>
          <w:p w14:paraId="0881856D" w14:textId="77777777" w:rsidR="00611FCE" w:rsidRDefault="00611FCE" w:rsidP="001833D4">
            <w:pPr>
              <w:jc w:val="center"/>
              <w:rPr>
                <w:rFonts w:eastAsia="Calibri"/>
                <w:color w:val="FF0000"/>
              </w:rPr>
            </w:pPr>
            <w:r w:rsidRPr="00F23FFF">
              <w:rPr>
                <w:sz w:val="18"/>
                <w:szCs w:val="18"/>
              </w:rPr>
              <w:t>CS2</w:t>
            </w:r>
          </w:p>
        </w:tc>
        <w:tc>
          <w:tcPr>
            <w:tcW w:w="1823" w:type="dxa"/>
            <w:vAlign w:val="center"/>
          </w:tcPr>
          <w:p w14:paraId="6BE86AC8" w14:textId="77777777" w:rsidR="00611FCE" w:rsidRDefault="00611FCE" w:rsidP="001833D4">
            <w:pPr>
              <w:jc w:val="center"/>
              <w:rPr>
                <w:rFonts w:eastAsia="Calibri"/>
                <w:color w:val="FF0000"/>
              </w:rPr>
            </w:pPr>
            <w:r>
              <w:rPr>
                <w:sz w:val="18"/>
                <w:szCs w:val="18"/>
              </w:rPr>
              <w:t>2339</w:t>
            </w:r>
          </w:p>
        </w:tc>
        <w:tc>
          <w:tcPr>
            <w:tcW w:w="1803" w:type="dxa"/>
            <w:vAlign w:val="center"/>
          </w:tcPr>
          <w:p w14:paraId="4E555FBC" w14:textId="77777777" w:rsidR="00611FCE" w:rsidRDefault="00611FCE" w:rsidP="001833D4">
            <w:pPr>
              <w:jc w:val="center"/>
              <w:rPr>
                <w:rFonts w:eastAsia="Calibri"/>
                <w:color w:val="FF0000"/>
              </w:rPr>
            </w:pPr>
            <w:r>
              <w:rPr>
                <w:sz w:val="18"/>
                <w:szCs w:val="18"/>
              </w:rPr>
              <w:t>19.4</w:t>
            </w:r>
          </w:p>
        </w:tc>
        <w:tc>
          <w:tcPr>
            <w:tcW w:w="1733" w:type="dxa"/>
            <w:vAlign w:val="center"/>
          </w:tcPr>
          <w:p w14:paraId="3C468A7C" w14:textId="77777777" w:rsidR="00611FCE" w:rsidRDefault="00611FCE" w:rsidP="001833D4">
            <w:pPr>
              <w:jc w:val="center"/>
              <w:rPr>
                <w:rFonts w:eastAsia="Calibri"/>
                <w:color w:val="FF0000"/>
              </w:rPr>
            </w:pPr>
            <w:r>
              <w:rPr>
                <w:sz w:val="18"/>
                <w:szCs w:val="18"/>
              </w:rPr>
              <w:t>30.6</w:t>
            </w:r>
          </w:p>
        </w:tc>
      </w:tr>
      <w:tr w:rsidR="00611FCE" w14:paraId="1A5A198A" w14:textId="77777777" w:rsidTr="001833D4">
        <w:tc>
          <w:tcPr>
            <w:tcW w:w="1587" w:type="dxa"/>
            <w:vAlign w:val="center"/>
          </w:tcPr>
          <w:p w14:paraId="7D858262" w14:textId="77777777" w:rsidR="00611FCE" w:rsidRDefault="00611FCE" w:rsidP="001833D4">
            <w:pPr>
              <w:jc w:val="center"/>
              <w:rPr>
                <w:rFonts w:eastAsia="Calibri"/>
                <w:color w:val="FF0000"/>
              </w:rPr>
            </w:pPr>
            <w:r w:rsidRPr="00F23FFF">
              <w:rPr>
                <w:sz w:val="18"/>
                <w:szCs w:val="18"/>
              </w:rPr>
              <w:t>CS3</w:t>
            </w:r>
          </w:p>
        </w:tc>
        <w:tc>
          <w:tcPr>
            <w:tcW w:w="1823" w:type="dxa"/>
            <w:vAlign w:val="center"/>
          </w:tcPr>
          <w:p w14:paraId="05E7E503" w14:textId="77777777" w:rsidR="00611FCE" w:rsidRDefault="00611FCE" w:rsidP="001833D4">
            <w:pPr>
              <w:jc w:val="center"/>
              <w:rPr>
                <w:rFonts w:eastAsia="Calibri"/>
                <w:color w:val="FF0000"/>
              </w:rPr>
            </w:pPr>
            <w:r>
              <w:rPr>
                <w:sz w:val="18"/>
                <w:szCs w:val="18"/>
              </w:rPr>
              <w:t>2358</w:t>
            </w:r>
          </w:p>
        </w:tc>
        <w:tc>
          <w:tcPr>
            <w:tcW w:w="1803" w:type="dxa"/>
            <w:vAlign w:val="center"/>
          </w:tcPr>
          <w:p w14:paraId="2C495DDC" w14:textId="77777777" w:rsidR="00611FCE" w:rsidRDefault="00611FCE" w:rsidP="001833D4">
            <w:pPr>
              <w:jc w:val="center"/>
              <w:rPr>
                <w:rFonts w:eastAsia="Calibri"/>
                <w:color w:val="FF0000"/>
              </w:rPr>
            </w:pPr>
            <w:r>
              <w:rPr>
                <w:sz w:val="18"/>
                <w:szCs w:val="18"/>
              </w:rPr>
              <w:t>17.9</w:t>
            </w:r>
          </w:p>
        </w:tc>
        <w:tc>
          <w:tcPr>
            <w:tcW w:w="1733" w:type="dxa"/>
            <w:vAlign w:val="center"/>
          </w:tcPr>
          <w:p w14:paraId="15A29C7D" w14:textId="77777777" w:rsidR="00611FCE" w:rsidRDefault="00611FCE" w:rsidP="001833D4">
            <w:pPr>
              <w:jc w:val="center"/>
              <w:rPr>
                <w:rFonts w:eastAsia="Calibri"/>
                <w:color w:val="FF0000"/>
              </w:rPr>
            </w:pPr>
            <w:r>
              <w:rPr>
                <w:sz w:val="18"/>
                <w:szCs w:val="18"/>
              </w:rPr>
              <w:t>23.6</w:t>
            </w:r>
          </w:p>
        </w:tc>
      </w:tr>
    </w:tbl>
    <w:p w14:paraId="72A9CB91" w14:textId="77777777" w:rsidR="00611FCE" w:rsidRDefault="00611FCE" w:rsidP="00733F45">
      <w:pPr>
        <w:pStyle w:val="TableCaption"/>
        <w:spacing w:before="0"/>
        <w:ind w:firstLine="284"/>
        <w:jc w:val="both"/>
        <w:rPr>
          <w:sz w:val="20"/>
          <w:szCs w:val="20"/>
        </w:rPr>
      </w:pPr>
    </w:p>
    <w:p w14:paraId="7D0336C6" w14:textId="5550AD78" w:rsidR="00642362" w:rsidRPr="008A6A54" w:rsidRDefault="00733F45" w:rsidP="00733F45">
      <w:pPr>
        <w:pStyle w:val="TableCaption"/>
        <w:spacing w:before="0"/>
        <w:ind w:firstLine="284"/>
        <w:jc w:val="both"/>
        <w:rPr>
          <w:rStyle w:val="Emphasis"/>
          <w:rFonts w:eastAsia="Calibri"/>
        </w:rPr>
      </w:pPr>
      <w:r w:rsidRPr="008A6A54">
        <w:rPr>
          <w:rStyle w:val="Emphasis"/>
        </w:rPr>
        <w:t>The results of the density and compressive strength tests on concrete, with and without the addition of PCE superplasticizer (</w:t>
      </w:r>
      <w:r w:rsidR="008A6A54" w:rsidRPr="008A6A54">
        <w:rPr>
          <w:rStyle w:val="Emphasis"/>
          <w:b/>
          <w:bCs/>
        </w:rPr>
        <w:t xml:space="preserve">TABLE </w:t>
      </w:r>
      <w:r w:rsidR="008A6A54">
        <w:rPr>
          <w:rStyle w:val="Emphasis"/>
          <w:b/>
          <w:bCs/>
        </w:rPr>
        <w:t>2</w:t>
      </w:r>
      <w:r w:rsidRPr="008A6A54">
        <w:rPr>
          <w:rStyle w:val="Emphasis"/>
        </w:rPr>
        <w:t xml:space="preserve">), highlight the significant influence of this admixture on compressive strength after 7 and 28 days of curing. The </w:t>
      </w:r>
      <w:r w:rsidRPr="008A6A54">
        <w:rPr>
          <w:rStyle w:val="Emphasis"/>
        </w:rPr>
        <w:lastRenderedPageBreak/>
        <w:t>removal of cement and water in mixtures CS1 and CS2, while maintaining a constant w/c ratio, resulted in increased compressive strength with higher PCE dosages up to 0.8%. In mixture CS3, with a 1.0% PCE dosage, the compressive strength remained comparable to the control mixture without PCE. These findings suggest that cement consumption can be reduced by up to 10% using PCE superplasticizer as a water-reducing admixture, but further reductions may lead to lower compressive strength.</w:t>
      </w:r>
      <w:r w:rsidR="00CE459F" w:rsidRPr="008A6A54">
        <w:rPr>
          <w:rStyle w:val="Emphasis"/>
          <w:rFonts w:eastAsia="Calibri"/>
        </w:rPr>
        <w:tab/>
      </w:r>
    </w:p>
    <w:p w14:paraId="488462FA" w14:textId="0E1A7B8B" w:rsidR="00EA50A7" w:rsidRPr="00494005" w:rsidRDefault="00EA50A7" w:rsidP="009A7BC2">
      <w:pPr>
        <w:pStyle w:val="Heading1"/>
        <w:rPr>
          <w:color w:val="FF0000"/>
          <w:sz w:val="20"/>
        </w:rPr>
      </w:pPr>
      <w:r w:rsidRPr="009A7BC2">
        <w:t>CONCLUSIONS</w:t>
      </w:r>
    </w:p>
    <w:p w14:paraId="099CCF35" w14:textId="17B27FCB" w:rsidR="00940747" w:rsidRPr="008A6A54" w:rsidRDefault="004243FE" w:rsidP="00940747">
      <w:pPr>
        <w:pStyle w:val="Paragraphnumbered"/>
        <w:ind w:firstLine="284"/>
        <w:rPr>
          <w:rStyle w:val="Emphasis"/>
        </w:rPr>
      </w:pPr>
      <w:r w:rsidRPr="008A6A54">
        <w:rPr>
          <w:rStyle w:val="Emphasis"/>
        </w:rPr>
        <w:t>This study investigated the possibility of reducing cement consumption in concrete production using a polycarboxylate-based superplasticizer. The findings demonstrate that incorporating 1.0% polycarboxylate-based superplasticizer can achieve a 10% reduction in cement consumption, with a simultaneous decrease in water content. Additionally, this reduction was achieved with an improvement in the workability and compressive strength of the concrete, indicating that polycarboxylate-based superplasticizer is an effective admixture for optimizing concrete mix designs without compromising performance.</w:t>
      </w:r>
    </w:p>
    <w:p w14:paraId="48D51471" w14:textId="6AE8AAD2" w:rsidR="00CB1FE9" w:rsidRPr="00312B60" w:rsidRDefault="00CB1FE9" w:rsidP="00CB1FE9">
      <w:pPr>
        <w:pStyle w:val="Heading1"/>
        <w:rPr>
          <w:color w:val="FF0000"/>
        </w:rPr>
      </w:pPr>
      <w:r w:rsidRPr="00CC2C58">
        <w:t>Acknowledgments</w:t>
      </w:r>
    </w:p>
    <w:p w14:paraId="542949F5" w14:textId="246FC444" w:rsidR="009A7BC2" w:rsidRPr="008A6A54" w:rsidRDefault="001601FC" w:rsidP="009A7BC2">
      <w:pPr>
        <w:pStyle w:val="Paragraph"/>
        <w:rPr>
          <w:rStyle w:val="Emphasis"/>
        </w:rPr>
      </w:pPr>
      <w:r w:rsidRPr="008A6A54">
        <w:rPr>
          <w:rStyle w:val="Emphasis"/>
        </w:rPr>
        <w:t>The authors would like to express their gratitude to Universitas Muhammadiyah Malang for providing financial support for this research. This work would not have been possible without their generous funding and continuous encouragement.</w:t>
      </w:r>
    </w:p>
    <w:p w14:paraId="29F71B7A" w14:textId="68095033" w:rsidR="00EA50A7" w:rsidRPr="00494005" w:rsidRDefault="00EA50A7" w:rsidP="009A7BC2">
      <w:pPr>
        <w:pStyle w:val="Heading1"/>
      </w:pPr>
      <w:r w:rsidRPr="009A7BC2">
        <w:t>References</w:t>
      </w:r>
    </w:p>
    <w:p w14:paraId="2B63FF6E" w14:textId="34EEE1F9" w:rsidR="007B7DE8" w:rsidRPr="00D442F6" w:rsidRDefault="007E2AFE" w:rsidP="00D442F6">
      <w:pPr>
        <w:pStyle w:val="ListParagraph"/>
        <w:widowControl w:val="0"/>
        <w:numPr>
          <w:ilvl w:val="0"/>
          <w:numId w:val="7"/>
        </w:numPr>
        <w:autoSpaceDE w:val="0"/>
        <w:autoSpaceDN w:val="0"/>
        <w:adjustRightInd w:val="0"/>
        <w:ind w:left="714" w:hanging="357"/>
        <w:jc w:val="both"/>
        <w:rPr>
          <w:noProof/>
          <w:sz w:val="20"/>
        </w:rPr>
      </w:pPr>
      <w:r w:rsidRPr="00D442F6">
        <w:rPr>
          <w:rFonts w:eastAsia="Calibri"/>
          <w:sz w:val="20"/>
        </w:rPr>
        <w:fldChar w:fldCharType="begin" w:fldLock="1"/>
      </w:r>
      <w:r w:rsidRPr="00D442F6">
        <w:rPr>
          <w:rFonts w:eastAsia="Calibri"/>
          <w:sz w:val="20"/>
        </w:rPr>
        <w:instrText xml:space="preserve">ADDIN Mendeley Bibliography CSL_BIBLIOGRAPHY </w:instrText>
      </w:r>
      <w:r w:rsidRPr="00D442F6">
        <w:rPr>
          <w:rFonts w:eastAsia="Calibri"/>
          <w:sz w:val="20"/>
        </w:rPr>
        <w:fldChar w:fldCharType="separate"/>
      </w:r>
      <w:r w:rsidR="007B7DE8" w:rsidRPr="00D442F6">
        <w:rPr>
          <w:noProof/>
          <w:sz w:val="20"/>
        </w:rPr>
        <w:t xml:space="preserve">A. Samimi and S. Zarinabadi, “Reduction of greenhouse gases emission and effect on environment,” </w:t>
      </w:r>
      <w:r w:rsidR="007B7DE8" w:rsidRPr="00D442F6">
        <w:rPr>
          <w:i/>
          <w:iCs/>
          <w:noProof/>
          <w:sz w:val="20"/>
        </w:rPr>
        <w:t>Aust. J. Basic Appl. Sci.</w:t>
      </w:r>
      <w:r w:rsidR="007B7DE8" w:rsidRPr="00D442F6">
        <w:rPr>
          <w:noProof/>
          <w:sz w:val="20"/>
        </w:rPr>
        <w:t>, vol. 5, no. 12, pp. 752–756, 2011.</w:t>
      </w:r>
    </w:p>
    <w:p w14:paraId="364AD702" w14:textId="24C95B3D" w:rsidR="007B7DE8" w:rsidRPr="00D442F6" w:rsidRDefault="007B7DE8" w:rsidP="00D442F6">
      <w:pPr>
        <w:pStyle w:val="ListParagraph"/>
        <w:widowControl w:val="0"/>
        <w:numPr>
          <w:ilvl w:val="0"/>
          <w:numId w:val="7"/>
        </w:numPr>
        <w:autoSpaceDE w:val="0"/>
        <w:autoSpaceDN w:val="0"/>
        <w:adjustRightInd w:val="0"/>
        <w:ind w:left="714" w:hanging="357"/>
        <w:jc w:val="both"/>
        <w:rPr>
          <w:noProof/>
          <w:sz w:val="20"/>
        </w:rPr>
      </w:pPr>
      <w:r w:rsidRPr="00D442F6">
        <w:rPr>
          <w:noProof/>
          <w:sz w:val="20"/>
        </w:rPr>
        <w:t xml:space="preserve">R. T. CECEL, P. C. R. A. ABRÃO, F. A. CARDOSO, and V. M. JOHN, “Consumption of superplasticizer admixture for different cements and their binder efficiency,” </w:t>
      </w:r>
      <w:r w:rsidRPr="00D442F6">
        <w:rPr>
          <w:i/>
          <w:iCs/>
          <w:noProof/>
          <w:sz w:val="20"/>
        </w:rPr>
        <w:t>Rev. IBRACON Estruturas e Mater.</w:t>
      </w:r>
      <w:r w:rsidRPr="00D442F6">
        <w:rPr>
          <w:noProof/>
          <w:sz w:val="20"/>
        </w:rPr>
        <w:t>, vol. 12, no. 6, pp. 1260–1287, 2019, doi: 10.1590/s1983-41952019000600003.</w:t>
      </w:r>
    </w:p>
    <w:p w14:paraId="70273C78" w14:textId="138CC16A" w:rsidR="007B7DE8" w:rsidRPr="00D442F6" w:rsidRDefault="007B7DE8" w:rsidP="00D442F6">
      <w:pPr>
        <w:pStyle w:val="ListParagraph"/>
        <w:widowControl w:val="0"/>
        <w:numPr>
          <w:ilvl w:val="0"/>
          <w:numId w:val="7"/>
        </w:numPr>
        <w:autoSpaceDE w:val="0"/>
        <w:autoSpaceDN w:val="0"/>
        <w:adjustRightInd w:val="0"/>
        <w:ind w:left="714" w:hanging="357"/>
        <w:jc w:val="both"/>
        <w:rPr>
          <w:noProof/>
          <w:sz w:val="20"/>
        </w:rPr>
      </w:pPr>
      <w:r w:rsidRPr="00D442F6">
        <w:rPr>
          <w:noProof/>
          <w:sz w:val="20"/>
        </w:rPr>
        <w:t xml:space="preserve">G. U. Fayomi, S. E. Mini, O. S. I. Fayomi, and A. A. Ayoola, “Perspectives on environmental CO2 emission and energy factor in Cement Industry,” </w:t>
      </w:r>
      <w:r w:rsidRPr="00D442F6">
        <w:rPr>
          <w:i/>
          <w:iCs/>
          <w:noProof/>
          <w:sz w:val="20"/>
        </w:rPr>
        <w:t>IOP Conf. Ser. Earth Environ. Sci.</w:t>
      </w:r>
      <w:r w:rsidRPr="00D442F6">
        <w:rPr>
          <w:noProof/>
          <w:sz w:val="20"/>
        </w:rPr>
        <w:t>, vol. 331, no. 1, 2019, doi: 10.1088/1755-1315/331/1/012035.</w:t>
      </w:r>
    </w:p>
    <w:p w14:paraId="2C47B225" w14:textId="127F5DCA" w:rsidR="007B7DE8" w:rsidRPr="00D442F6" w:rsidRDefault="007B7DE8" w:rsidP="00D442F6">
      <w:pPr>
        <w:pStyle w:val="ListParagraph"/>
        <w:widowControl w:val="0"/>
        <w:numPr>
          <w:ilvl w:val="0"/>
          <w:numId w:val="7"/>
        </w:numPr>
        <w:autoSpaceDE w:val="0"/>
        <w:autoSpaceDN w:val="0"/>
        <w:adjustRightInd w:val="0"/>
        <w:ind w:left="714" w:hanging="357"/>
        <w:jc w:val="both"/>
        <w:rPr>
          <w:noProof/>
          <w:sz w:val="20"/>
        </w:rPr>
      </w:pPr>
      <w:r w:rsidRPr="00D442F6">
        <w:rPr>
          <w:noProof/>
          <w:sz w:val="20"/>
        </w:rPr>
        <w:t xml:space="preserve">R. M. Andrew, “Global CO 2 emissions from cement production , 1928 – 2017 1 Introduction to Previous estimates of global cement emissions,” </w:t>
      </w:r>
      <w:r w:rsidRPr="00D442F6">
        <w:rPr>
          <w:i/>
          <w:iCs/>
          <w:noProof/>
          <w:sz w:val="20"/>
        </w:rPr>
        <w:t>Earth Syst. Sci. Data</w:t>
      </w:r>
      <w:r w:rsidRPr="00D442F6">
        <w:rPr>
          <w:noProof/>
          <w:sz w:val="20"/>
        </w:rPr>
        <w:t>, vol. 10, no. 4, pp. 1–20, 2021.</w:t>
      </w:r>
    </w:p>
    <w:p w14:paraId="5589F44E" w14:textId="41BFCBC6" w:rsidR="007B7DE8" w:rsidRPr="00D442F6" w:rsidRDefault="007B7DE8" w:rsidP="00D442F6">
      <w:pPr>
        <w:pStyle w:val="ListParagraph"/>
        <w:widowControl w:val="0"/>
        <w:numPr>
          <w:ilvl w:val="0"/>
          <w:numId w:val="7"/>
        </w:numPr>
        <w:autoSpaceDE w:val="0"/>
        <w:autoSpaceDN w:val="0"/>
        <w:adjustRightInd w:val="0"/>
        <w:ind w:left="714" w:hanging="357"/>
        <w:jc w:val="both"/>
        <w:rPr>
          <w:noProof/>
          <w:sz w:val="20"/>
        </w:rPr>
      </w:pPr>
      <w:r w:rsidRPr="00D442F6">
        <w:rPr>
          <w:noProof/>
          <w:sz w:val="20"/>
        </w:rPr>
        <w:t xml:space="preserve">T. V. G., Papadakis; S., “Supplementary cementing materials in concrete Part I: efficiency and design,” </w:t>
      </w:r>
      <w:r w:rsidRPr="00D442F6">
        <w:rPr>
          <w:i/>
          <w:iCs/>
          <w:noProof/>
          <w:sz w:val="20"/>
        </w:rPr>
        <w:t>Cem. Concr. Res.</w:t>
      </w:r>
      <w:r w:rsidRPr="00D442F6">
        <w:rPr>
          <w:noProof/>
          <w:sz w:val="20"/>
        </w:rPr>
        <w:t>, vol. 32, pp. 1525–1532, 2002.</w:t>
      </w:r>
    </w:p>
    <w:p w14:paraId="286E3D63" w14:textId="4064A2EF" w:rsidR="007B7DE8" w:rsidRPr="00D442F6" w:rsidRDefault="007B7DE8" w:rsidP="00D442F6">
      <w:pPr>
        <w:pStyle w:val="ListParagraph"/>
        <w:widowControl w:val="0"/>
        <w:numPr>
          <w:ilvl w:val="0"/>
          <w:numId w:val="7"/>
        </w:numPr>
        <w:autoSpaceDE w:val="0"/>
        <w:autoSpaceDN w:val="0"/>
        <w:adjustRightInd w:val="0"/>
        <w:ind w:left="714" w:hanging="357"/>
        <w:jc w:val="both"/>
        <w:rPr>
          <w:noProof/>
          <w:sz w:val="20"/>
        </w:rPr>
      </w:pPr>
      <w:r w:rsidRPr="00D442F6">
        <w:rPr>
          <w:noProof/>
          <w:sz w:val="20"/>
        </w:rPr>
        <w:t xml:space="preserve">W. Xun, C. Wu, X. Leng, J. Li, D. Xin, and Y. Li, “Effect of functional superplasticizers on concrete strength and pore structure,” </w:t>
      </w:r>
      <w:r w:rsidRPr="00D442F6">
        <w:rPr>
          <w:i/>
          <w:iCs/>
          <w:noProof/>
          <w:sz w:val="20"/>
        </w:rPr>
        <w:t>Appl. Sci.</w:t>
      </w:r>
      <w:r w:rsidRPr="00D442F6">
        <w:rPr>
          <w:noProof/>
          <w:sz w:val="20"/>
        </w:rPr>
        <w:t>, vol. 10, no. 10, 2020, doi: 10.3390/app10103496.</w:t>
      </w:r>
    </w:p>
    <w:p w14:paraId="2835CBC5" w14:textId="4E81FAFE" w:rsidR="007B7DE8" w:rsidRPr="00D442F6" w:rsidRDefault="007B7DE8" w:rsidP="00D442F6">
      <w:pPr>
        <w:pStyle w:val="ListParagraph"/>
        <w:widowControl w:val="0"/>
        <w:numPr>
          <w:ilvl w:val="0"/>
          <w:numId w:val="7"/>
        </w:numPr>
        <w:autoSpaceDE w:val="0"/>
        <w:autoSpaceDN w:val="0"/>
        <w:adjustRightInd w:val="0"/>
        <w:ind w:left="714" w:hanging="357"/>
        <w:jc w:val="both"/>
        <w:rPr>
          <w:noProof/>
          <w:sz w:val="20"/>
        </w:rPr>
      </w:pPr>
      <w:r w:rsidRPr="00D442F6">
        <w:rPr>
          <w:noProof/>
          <w:sz w:val="20"/>
        </w:rPr>
        <w:t xml:space="preserve">A. Kapelko, “Possibilities of cement content reduction in concretes with admixture of superplasticiser SNF,” </w:t>
      </w:r>
      <w:r w:rsidRPr="00D442F6">
        <w:rPr>
          <w:i/>
          <w:iCs/>
          <w:noProof/>
          <w:sz w:val="20"/>
        </w:rPr>
        <w:t>J. Civ. Eng. Manag.</w:t>
      </w:r>
      <w:r w:rsidRPr="00D442F6">
        <w:rPr>
          <w:noProof/>
          <w:sz w:val="20"/>
        </w:rPr>
        <w:t>, vol. 12, no. 2, pp. 117–126, 2006, doi: 10.1080/13923730.2006.9636383.</w:t>
      </w:r>
    </w:p>
    <w:p w14:paraId="32D6FF03" w14:textId="02025D7B" w:rsidR="007B7DE8" w:rsidRPr="00D442F6" w:rsidRDefault="007B7DE8" w:rsidP="00D442F6">
      <w:pPr>
        <w:pStyle w:val="ListParagraph"/>
        <w:widowControl w:val="0"/>
        <w:numPr>
          <w:ilvl w:val="0"/>
          <w:numId w:val="7"/>
        </w:numPr>
        <w:autoSpaceDE w:val="0"/>
        <w:autoSpaceDN w:val="0"/>
        <w:adjustRightInd w:val="0"/>
        <w:ind w:left="714" w:hanging="357"/>
        <w:jc w:val="both"/>
        <w:rPr>
          <w:noProof/>
          <w:sz w:val="20"/>
        </w:rPr>
      </w:pPr>
      <w:r w:rsidRPr="00D442F6">
        <w:rPr>
          <w:noProof/>
          <w:sz w:val="20"/>
        </w:rPr>
        <w:t xml:space="preserve">M. Takigawa, H. Nemoto, S. ichiro Hashimoto, and S. Date, “Effectiveness of Thermal Stimulation of Superplasticizers on Fresh Properties of Cement Mortar,” </w:t>
      </w:r>
      <w:r w:rsidRPr="00D442F6">
        <w:rPr>
          <w:i/>
          <w:iCs/>
          <w:noProof/>
          <w:sz w:val="20"/>
        </w:rPr>
        <w:t>Iran. J. Sci. Technol. - Trans. Civ. Eng.</w:t>
      </w:r>
      <w:r w:rsidRPr="00D442F6">
        <w:rPr>
          <w:noProof/>
          <w:sz w:val="20"/>
        </w:rPr>
        <w:t>, vol. 46, no. 4, 2022, doi: 10.1007/s40996-021-00777-7.</w:t>
      </w:r>
    </w:p>
    <w:p w14:paraId="7D01E3A3" w14:textId="16F0F5B1" w:rsidR="007B7DE8" w:rsidRPr="00D442F6" w:rsidRDefault="007B7DE8" w:rsidP="00D442F6">
      <w:pPr>
        <w:pStyle w:val="ListParagraph"/>
        <w:widowControl w:val="0"/>
        <w:numPr>
          <w:ilvl w:val="0"/>
          <w:numId w:val="7"/>
        </w:numPr>
        <w:autoSpaceDE w:val="0"/>
        <w:autoSpaceDN w:val="0"/>
        <w:adjustRightInd w:val="0"/>
        <w:ind w:left="714" w:hanging="357"/>
        <w:jc w:val="both"/>
        <w:rPr>
          <w:noProof/>
          <w:sz w:val="20"/>
        </w:rPr>
      </w:pPr>
      <w:r w:rsidRPr="00D442F6">
        <w:rPr>
          <w:noProof/>
          <w:sz w:val="20"/>
        </w:rPr>
        <w:t xml:space="preserve">Z. Skutnik, M. Sobolewski, and E. Koda, “An experimental assessment of the water permeability of concrete with a superplasticizer and admixtures,” </w:t>
      </w:r>
      <w:r w:rsidRPr="00D442F6">
        <w:rPr>
          <w:i/>
          <w:iCs/>
          <w:noProof/>
          <w:sz w:val="20"/>
        </w:rPr>
        <w:t>Materials (Basel).</w:t>
      </w:r>
      <w:r w:rsidRPr="00D442F6">
        <w:rPr>
          <w:noProof/>
          <w:sz w:val="20"/>
        </w:rPr>
        <w:t>, vol. 13, no. 24, pp. 1–16, 2020, doi: 10.3390/ma13245624.</w:t>
      </w:r>
    </w:p>
    <w:p w14:paraId="4C86E457" w14:textId="3E3FD68D" w:rsidR="007B7DE8" w:rsidRPr="00D442F6" w:rsidRDefault="007B7DE8" w:rsidP="00D442F6">
      <w:pPr>
        <w:pStyle w:val="ListParagraph"/>
        <w:widowControl w:val="0"/>
        <w:numPr>
          <w:ilvl w:val="0"/>
          <w:numId w:val="7"/>
        </w:numPr>
        <w:autoSpaceDE w:val="0"/>
        <w:autoSpaceDN w:val="0"/>
        <w:adjustRightInd w:val="0"/>
        <w:ind w:left="714" w:hanging="357"/>
        <w:jc w:val="both"/>
        <w:rPr>
          <w:noProof/>
          <w:sz w:val="20"/>
        </w:rPr>
      </w:pPr>
      <w:r w:rsidRPr="00D442F6">
        <w:rPr>
          <w:noProof/>
          <w:sz w:val="20"/>
        </w:rPr>
        <w:t xml:space="preserve">J. A. Sainz-Aja </w:t>
      </w:r>
      <w:r w:rsidRPr="00D442F6">
        <w:rPr>
          <w:i/>
          <w:iCs/>
          <w:noProof/>
          <w:sz w:val="20"/>
        </w:rPr>
        <w:t>et al.</w:t>
      </w:r>
      <w:r w:rsidRPr="00D442F6">
        <w:rPr>
          <w:noProof/>
          <w:sz w:val="20"/>
        </w:rPr>
        <w:t xml:space="preserve">, “Determination of the optimum amount of superplasticizer additive for self-compacting concrete,” </w:t>
      </w:r>
      <w:r w:rsidRPr="00D442F6">
        <w:rPr>
          <w:i/>
          <w:iCs/>
          <w:noProof/>
          <w:sz w:val="20"/>
        </w:rPr>
        <w:t>Appl. Sci.</w:t>
      </w:r>
      <w:r w:rsidRPr="00D442F6">
        <w:rPr>
          <w:noProof/>
          <w:sz w:val="20"/>
        </w:rPr>
        <w:t>, vol. 10, no. 9, 2020, doi: 10.3390/app10093096.</w:t>
      </w:r>
    </w:p>
    <w:p w14:paraId="6DF2CED2" w14:textId="2E5F6E78" w:rsidR="007B7DE8" w:rsidRPr="00D442F6" w:rsidRDefault="007B7DE8" w:rsidP="00D442F6">
      <w:pPr>
        <w:pStyle w:val="ListParagraph"/>
        <w:widowControl w:val="0"/>
        <w:numPr>
          <w:ilvl w:val="0"/>
          <w:numId w:val="7"/>
        </w:numPr>
        <w:autoSpaceDE w:val="0"/>
        <w:autoSpaceDN w:val="0"/>
        <w:adjustRightInd w:val="0"/>
        <w:ind w:left="714" w:hanging="357"/>
        <w:jc w:val="both"/>
        <w:rPr>
          <w:noProof/>
          <w:sz w:val="20"/>
        </w:rPr>
      </w:pPr>
      <w:r w:rsidRPr="00D442F6">
        <w:rPr>
          <w:noProof/>
          <w:sz w:val="20"/>
        </w:rPr>
        <w:t xml:space="preserve">F. Cartuxo, J. De Brito, L. Evangelista, J. R. Jiménez, and E. F. Ledesma, “Increased durability of concrete made with fine recycled concrete aggregates using superplasticizers,” </w:t>
      </w:r>
      <w:r w:rsidRPr="00D442F6">
        <w:rPr>
          <w:i/>
          <w:iCs/>
          <w:noProof/>
          <w:sz w:val="20"/>
        </w:rPr>
        <w:t>Materials (Basel).</w:t>
      </w:r>
      <w:r w:rsidRPr="00D442F6">
        <w:rPr>
          <w:noProof/>
          <w:sz w:val="20"/>
        </w:rPr>
        <w:t>, vol. 9, no. 2, 2016, doi: 10.3390/ma9020098.</w:t>
      </w:r>
    </w:p>
    <w:p w14:paraId="16F539BD" w14:textId="786897A9" w:rsidR="007B7DE8" w:rsidRPr="00D442F6" w:rsidRDefault="007B7DE8" w:rsidP="00D442F6">
      <w:pPr>
        <w:pStyle w:val="ListParagraph"/>
        <w:widowControl w:val="0"/>
        <w:numPr>
          <w:ilvl w:val="0"/>
          <w:numId w:val="7"/>
        </w:numPr>
        <w:autoSpaceDE w:val="0"/>
        <w:autoSpaceDN w:val="0"/>
        <w:adjustRightInd w:val="0"/>
        <w:ind w:left="714" w:hanging="357"/>
        <w:jc w:val="both"/>
        <w:rPr>
          <w:noProof/>
          <w:sz w:val="20"/>
        </w:rPr>
      </w:pPr>
      <w:r w:rsidRPr="00D442F6">
        <w:rPr>
          <w:noProof/>
          <w:sz w:val="20"/>
        </w:rPr>
        <w:t xml:space="preserve">F. Huang, Z. Hu, S. Li, J. Liu, F. Han, and J. Liu, “Long-term deformation and mechanical properties evolution of cement paste with ultra-low water-to-cement ratio driven by water migration,” </w:t>
      </w:r>
      <w:r w:rsidRPr="00D442F6">
        <w:rPr>
          <w:i/>
          <w:iCs/>
          <w:noProof/>
          <w:sz w:val="20"/>
        </w:rPr>
        <w:t>J. Build. Eng.</w:t>
      </w:r>
      <w:r w:rsidRPr="00D442F6">
        <w:rPr>
          <w:noProof/>
          <w:sz w:val="20"/>
        </w:rPr>
        <w:t>, vol. 76, 2023, doi: 10.1016/j.jobe.2023.107250.</w:t>
      </w:r>
    </w:p>
    <w:p w14:paraId="58B4CD6B" w14:textId="34206C6C" w:rsidR="007B7DE8" w:rsidRPr="00D442F6" w:rsidRDefault="007B7DE8" w:rsidP="00D442F6">
      <w:pPr>
        <w:pStyle w:val="ListParagraph"/>
        <w:widowControl w:val="0"/>
        <w:numPr>
          <w:ilvl w:val="0"/>
          <w:numId w:val="7"/>
        </w:numPr>
        <w:autoSpaceDE w:val="0"/>
        <w:autoSpaceDN w:val="0"/>
        <w:adjustRightInd w:val="0"/>
        <w:ind w:left="714" w:hanging="357"/>
        <w:jc w:val="both"/>
        <w:rPr>
          <w:noProof/>
          <w:sz w:val="20"/>
        </w:rPr>
      </w:pPr>
      <w:r w:rsidRPr="00D442F6">
        <w:rPr>
          <w:noProof/>
          <w:sz w:val="20"/>
        </w:rPr>
        <w:t xml:space="preserve">T. Gädt and T. Wagner, “Aspects of Admixture Research: On the Use of Machine Learning in Superplasticizer Chemistry,” </w:t>
      </w:r>
      <w:r w:rsidRPr="00D442F6">
        <w:rPr>
          <w:i/>
          <w:iCs/>
          <w:noProof/>
          <w:sz w:val="20"/>
        </w:rPr>
        <w:t>ce/papers</w:t>
      </w:r>
      <w:r w:rsidRPr="00D442F6">
        <w:rPr>
          <w:noProof/>
          <w:sz w:val="20"/>
        </w:rPr>
        <w:t>, vol. 6, no. 6, 2023, doi: 10.1002/cepa.2771.</w:t>
      </w:r>
    </w:p>
    <w:p w14:paraId="2B395FD5" w14:textId="0B3937CF" w:rsidR="007B7DE8" w:rsidRPr="00D442F6" w:rsidRDefault="007B7DE8" w:rsidP="00D442F6">
      <w:pPr>
        <w:pStyle w:val="ListParagraph"/>
        <w:widowControl w:val="0"/>
        <w:numPr>
          <w:ilvl w:val="0"/>
          <w:numId w:val="7"/>
        </w:numPr>
        <w:autoSpaceDE w:val="0"/>
        <w:autoSpaceDN w:val="0"/>
        <w:adjustRightInd w:val="0"/>
        <w:ind w:left="714" w:hanging="357"/>
        <w:jc w:val="both"/>
        <w:rPr>
          <w:noProof/>
          <w:sz w:val="20"/>
        </w:rPr>
      </w:pPr>
      <w:r w:rsidRPr="00D442F6">
        <w:rPr>
          <w:noProof/>
          <w:sz w:val="20"/>
        </w:rPr>
        <w:t xml:space="preserve">S. Sha, C. Shi, S. Xiang, and D. Jiao, “The State-of-the-art Synthesis Techniques of Polycarboxylate </w:t>
      </w:r>
      <w:r w:rsidRPr="00D442F6">
        <w:rPr>
          <w:noProof/>
          <w:sz w:val="20"/>
        </w:rPr>
        <w:lastRenderedPageBreak/>
        <w:t xml:space="preserve">Superplasticizer,” </w:t>
      </w:r>
      <w:r w:rsidRPr="00D442F6">
        <w:rPr>
          <w:i/>
          <w:iCs/>
          <w:noProof/>
          <w:sz w:val="20"/>
        </w:rPr>
        <w:t>Cailiao Daobao/Materials Review</w:t>
      </w:r>
      <w:r w:rsidRPr="00D442F6">
        <w:rPr>
          <w:noProof/>
          <w:sz w:val="20"/>
        </w:rPr>
        <w:t>, vol. 33, no. 2. 2019. doi: 10.11896/cldb.201903024.</w:t>
      </w:r>
    </w:p>
    <w:p w14:paraId="7E85C954" w14:textId="56A23866" w:rsidR="00BF6F61" w:rsidRPr="007E2AFE" w:rsidRDefault="007E2AFE" w:rsidP="00D442F6">
      <w:pPr>
        <w:pStyle w:val="Reference"/>
        <w:numPr>
          <w:ilvl w:val="0"/>
          <w:numId w:val="0"/>
        </w:numPr>
        <w:ind w:left="714" w:hanging="357"/>
        <w:rPr>
          <w:rFonts w:eastAsia="Calibri"/>
        </w:rPr>
      </w:pPr>
      <w:r w:rsidRPr="00D442F6">
        <w:rPr>
          <w:rFonts w:eastAsia="Calibri"/>
        </w:rPr>
        <w:fldChar w:fldCharType="end"/>
      </w:r>
    </w:p>
    <w:sectPr w:rsidR="00BF6F61" w:rsidRPr="007E2AFE"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BB059E"/>
    <w:multiLevelType w:val="hybridMultilevel"/>
    <w:tmpl w:val="561E5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4721692"/>
    <w:multiLevelType w:val="singleLevel"/>
    <w:tmpl w:val="8BC68E6C"/>
    <w:lvl w:ilvl="0">
      <w:start w:val="1"/>
      <w:numFmt w:val="decimal"/>
      <w:lvlText w:val="%1."/>
      <w:lvlJc w:val="left"/>
      <w:pPr>
        <w:ind w:left="644" w:hanging="360"/>
      </w:pPr>
      <w:rPr>
        <w:rFonts w:hint="default"/>
      </w:rPr>
    </w:lvl>
  </w:abstractNum>
  <w:num w:numId="1" w16cid:durableId="1146047612">
    <w:abstractNumId w:val="1"/>
  </w:num>
  <w:num w:numId="2" w16cid:durableId="938833485">
    <w:abstractNumId w:val="0"/>
  </w:num>
  <w:num w:numId="3" w16cid:durableId="1396780865">
    <w:abstractNumId w:val="3"/>
  </w:num>
  <w:num w:numId="4" w16cid:durableId="1260212965">
    <w:abstractNumId w:val="6"/>
  </w:num>
  <w:num w:numId="5" w16cid:durableId="1255748353">
    <w:abstractNumId w:val="4"/>
  </w:num>
  <w:num w:numId="6" w16cid:durableId="1244922501">
    <w:abstractNumId w:val="5"/>
  </w:num>
  <w:num w:numId="7" w16cid:durableId="1348604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A50A7"/>
    <w:rsid w:val="0000160D"/>
    <w:rsid w:val="00005F94"/>
    <w:rsid w:val="0001007B"/>
    <w:rsid w:val="0001545B"/>
    <w:rsid w:val="000251B9"/>
    <w:rsid w:val="00041E19"/>
    <w:rsid w:val="000442BF"/>
    <w:rsid w:val="00052AE0"/>
    <w:rsid w:val="00053169"/>
    <w:rsid w:val="00053198"/>
    <w:rsid w:val="0005417F"/>
    <w:rsid w:val="00055136"/>
    <w:rsid w:val="0005736E"/>
    <w:rsid w:val="00073937"/>
    <w:rsid w:val="00075A9B"/>
    <w:rsid w:val="00081299"/>
    <w:rsid w:val="00081C47"/>
    <w:rsid w:val="00093538"/>
    <w:rsid w:val="000A088F"/>
    <w:rsid w:val="000A1B7E"/>
    <w:rsid w:val="000A255A"/>
    <w:rsid w:val="000A3A49"/>
    <w:rsid w:val="000C1B1A"/>
    <w:rsid w:val="000C4C41"/>
    <w:rsid w:val="000C549D"/>
    <w:rsid w:val="000C54D3"/>
    <w:rsid w:val="000D09EC"/>
    <w:rsid w:val="000D4092"/>
    <w:rsid w:val="000F1554"/>
    <w:rsid w:val="000F1D3A"/>
    <w:rsid w:val="000F6769"/>
    <w:rsid w:val="00104C07"/>
    <w:rsid w:val="001068FD"/>
    <w:rsid w:val="001135AC"/>
    <w:rsid w:val="00114656"/>
    <w:rsid w:val="00123818"/>
    <w:rsid w:val="00126C58"/>
    <w:rsid w:val="00130CCE"/>
    <w:rsid w:val="00132D6C"/>
    <w:rsid w:val="001403BE"/>
    <w:rsid w:val="00140AB4"/>
    <w:rsid w:val="00147637"/>
    <w:rsid w:val="001601FC"/>
    <w:rsid w:val="00161102"/>
    <w:rsid w:val="001656F5"/>
    <w:rsid w:val="001670D3"/>
    <w:rsid w:val="0017487D"/>
    <w:rsid w:val="001A59B0"/>
    <w:rsid w:val="001B1CF1"/>
    <w:rsid w:val="001B4656"/>
    <w:rsid w:val="001B50EC"/>
    <w:rsid w:val="001C0D69"/>
    <w:rsid w:val="001D6EFA"/>
    <w:rsid w:val="001E1D8E"/>
    <w:rsid w:val="001E21A7"/>
    <w:rsid w:val="001F23A3"/>
    <w:rsid w:val="00200FEA"/>
    <w:rsid w:val="00202EBC"/>
    <w:rsid w:val="00211292"/>
    <w:rsid w:val="00222277"/>
    <w:rsid w:val="002240A1"/>
    <w:rsid w:val="002358B9"/>
    <w:rsid w:val="002424DD"/>
    <w:rsid w:val="00245734"/>
    <w:rsid w:val="00250F28"/>
    <w:rsid w:val="00255A19"/>
    <w:rsid w:val="00257CE2"/>
    <w:rsid w:val="002716FA"/>
    <w:rsid w:val="00294220"/>
    <w:rsid w:val="002B7DA8"/>
    <w:rsid w:val="002C19CE"/>
    <w:rsid w:val="002F3AFB"/>
    <w:rsid w:val="002F628E"/>
    <w:rsid w:val="00300075"/>
    <w:rsid w:val="00300407"/>
    <w:rsid w:val="00300420"/>
    <w:rsid w:val="00302719"/>
    <w:rsid w:val="00306D39"/>
    <w:rsid w:val="0031167C"/>
    <w:rsid w:val="00312D48"/>
    <w:rsid w:val="00316B49"/>
    <w:rsid w:val="00323753"/>
    <w:rsid w:val="00327182"/>
    <w:rsid w:val="00332198"/>
    <w:rsid w:val="003400CD"/>
    <w:rsid w:val="00345A86"/>
    <w:rsid w:val="00346886"/>
    <w:rsid w:val="00347FBC"/>
    <w:rsid w:val="00352007"/>
    <w:rsid w:val="00366DB0"/>
    <w:rsid w:val="00370136"/>
    <w:rsid w:val="00382438"/>
    <w:rsid w:val="0038532B"/>
    <w:rsid w:val="003A649B"/>
    <w:rsid w:val="003B31C0"/>
    <w:rsid w:val="003B3AD4"/>
    <w:rsid w:val="003C47F8"/>
    <w:rsid w:val="003E0ED5"/>
    <w:rsid w:val="003E7B9E"/>
    <w:rsid w:val="004033C9"/>
    <w:rsid w:val="00411A24"/>
    <w:rsid w:val="0041675F"/>
    <w:rsid w:val="004176A5"/>
    <w:rsid w:val="00421DC2"/>
    <w:rsid w:val="00422D4F"/>
    <w:rsid w:val="004243FE"/>
    <w:rsid w:val="00427C79"/>
    <w:rsid w:val="00446670"/>
    <w:rsid w:val="00453716"/>
    <w:rsid w:val="004540A2"/>
    <w:rsid w:val="004543C3"/>
    <w:rsid w:val="004748FA"/>
    <w:rsid w:val="004760E5"/>
    <w:rsid w:val="004817E5"/>
    <w:rsid w:val="00483823"/>
    <w:rsid w:val="004871F9"/>
    <w:rsid w:val="00492165"/>
    <w:rsid w:val="004A0155"/>
    <w:rsid w:val="004B0599"/>
    <w:rsid w:val="004B6660"/>
    <w:rsid w:val="004B6CC6"/>
    <w:rsid w:val="004D1B67"/>
    <w:rsid w:val="004D5505"/>
    <w:rsid w:val="004D6DDF"/>
    <w:rsid w:val="004E0A47"/>
    <w:rsid w:val="004E5AAB"/>
    <w:rsid w:val="004F0FE1"/>
    <w:rsid w:val="004F57D8"/>
    <w:rsid w:val="004F659E"/>
    <w:rsid w:val="005014AE"/>
    <w:rsid w:val="0050633A"/>
    <w:rsid w:val="00506DFE"/>
    <w:rsid w:val="005079FC"/>
    <w:rsid w:val="00511881"/>
    <w:rsid w:val="00513F02"/>
    <w:rsid w:val="00517755"/>
    <w:rsid w:val="0052313F"/>
    <w:rsid w:val="00523BA3"/>
    <w:rsid w:val="00525C15"/>
    <w:rsid w:val="005301F1"/>
    <w:rsid w:val="00536E32"/>
    <w:rsid w:val="00554290"/>
    <w:rsid w:val="0056315E"/>
    <w:rsid w:val="00564367"/>
    <w:rsid w:val="005649A6"/>
    <w:rsid w:val="0056589A"/>
    <w:rsid w:val="00566DBD"/>
    <w:rsid w:val="0059620C"/>
    <w:rsid w:val="005964A1"/>
    <w:rsid w:val="005A240E"/>
    <w:rsid w:val="005A3DB4"/>
    <w:rsid w:val="005A6495"/>
    <w:rsid w:val="005B481A"/>
    <w:rsid w:val="005B576E"/>
    <w:rsid w:val="005C2B16"/>
    <w:rsid w:val="005D2B6B"/>
    <w:rsid w:val="005D44F2"/>
    <w:rsid w:val="005D571B"/>
    <w:rsid w:val="005E0C4C"/>
    <w:rsid w:val="005E2DA7"/>
    <w:rsid w:val="005E5151"/>
    <w:rsid w:val="005F44CA"/>
    <w:rsid w:val="005F4ECC"/>
    <w:rsid w:val="00601AB7"/>
    <w:rsid w:val="0060503B"/>
    <w:rsid w:val="00605B52"/>
    <w:rsid w:val="00605E73"/>
    <w:rsid w:val="00611FCE"/>
    <w:rsid w:val="00641386"/>
    <w:rsid w:val="00642362"/>
    <w:rsid w:val="00650197"/>
    <w:rsid w:val="00660CC8"/>
    <w:rsid w:val="006658F9"/>
    <w:rsid w:val="006A7F29"/>
    <w:rsid w:val="006B5C8F"/>
    <w:rsid w:val="006C4020"/>
    <w:rsid w:val="006D5DCA"/>
    <w:rsid w:val="006F6357"/>
    <w:rsid w:val="007003C0"/>
    <w:rsid w:val="00705E3C"/>
    <w:rsid w:val="0071612F"/>
    <w:rsid w:val="00726697"/>
    <w:rsid w:val="007267CD"/>
    <w:rsid w:val="007279A9"/>
    <w:rsid w:val="00730DEF"/>
    <w:rsid w:val="00733F45"/>
    <w:rsid w:val="00735AC4"/>
    <w:rsid w:val="00740431"/>
    <w:rsid w:val="00751AE1"/>
    <w:rsid w:val="007555B9"/>
    <w:rsid w:val="00772CF4"/>
    <w:rsid w:val="007755A3"/>
    <w:rsid w:val="00784F94"/>
    <w:rsid w:val="007A602C"/>
    <w:rsid w:val="007B0D2E"/>
    <w:rsid w:val="007B5A88"/>
    <w:rsid w:val="007B730D"/>
    <w:rsid w:val="007B7914"/>
    <w:rsid w:val="007B7DE8"/>
    <w:rsid w:val="007D36B5"/>
    <w:rsid w:val="007D4105"/>
    <w:rsid w:val="007D7DFC"/>
    <w:rsid w:val="007E2AFE"/>
    <w:rsid w:val="007F024A"/>
    <w:rsid w:val="007F0E87"/>
    <w:rsid w:val="007F1762"/>
    <w:rsid w:val="00800056"/>
    <w:rsid w:val="00801E5A"/>
    <w:rsid w:val="00804D56"/>
    <w:rsid w:val="0081103E"/>
    <w:rsid w:val="00817D04"/>
    <w:rsid w:val="00845779"/>
    <w:rsid w:val="00852515"/>
    <w:rsid w:val="008642D4"/>
    <w:rsid w:val="00866FB5"/>
    <w:rsid w:val="00873226"/>
    <w:rsid w:val="008804B1"/>
    <w:rsid w:val="00881FCD"/>
    <w:rsid w:val="00886E63"/>
    <w:rsid w:val="00887504"/>
    <w:rsid w:val="0089332D"/>
    <w:rsid w:val="008933FE"/>
    <w:rsid w:val="00894756"/>
    <w:rsid w:val="008A6A54"/>
    <w:rsid w:val="008A7718"/>
    <w:rsid w:val="008B029F"/>
    <w:rsid w:val="008B1275"/>
    <w:rsid w:val="008B56D1"/>
    <w:rsid w:val="008C3B35"/>
    <w:rsid w:val="008C53E3"/>
    <w:rsid w:val="008D6ED3"/>
    <w:rsid w:val="008E3B14"/>
    <w:rsid w:val="008E5DF4"/>
    <w:rsid w:val="009008AB"/>
    <w:rsid w:val="009022D5"/>
    <w:rsid w:val="00903A71"/>
    <w:rsid w:val="009044AD"/>
    <w:rsid w:val="0090794D"/>
    <w:rsid w:val="009106C5"/>
    <w:rsid w:val="00910D8C"/>
    <w:rsid w:val="00914843"/>
    <w:rsid w:val="00916304"/>
    <w:rsid w:val="00940747"/>
    <w:rsid w:val="00940DA1"/>
    <w:rsid w:val="0095376C"/>
    <w:rsid w:val="00964BFE"/>
    <w:rsid w:val="00971E8B"/>
    <w:rsid w:val="00975FDE"/>
    <w:rsid w:val="00984044"/>
    <w:rsid w:val="00985043"/>
    <w:rsid w:val="00991411"/>
    <w:rsid w:val="009A096B"/>
    <w:rsid w:val="009A7BC2"/>
    <w:rsid w:val="009B5DAE"/>
    <w:rsid w:val="009C21A6"/>
    <w:rsid w:val="009C4455"/>
    <w:rsid w:val="009E02C4"/>
    <w:rsid w:val="009F0478"/>
    <w:rsid w:val="009F0866"/>
    <w:rsid w:val="009F3000"/>
    <w:rsid w:val="009F3E92"/>
    <w:rsid w:val="009F4CE0"/>
    <w:rsid w:val="009F5066"/>
    <w:rsid w:val="00A10F65"/>
    <w:rsid w:val="00A11C1B"/>
    <w:rsid w:val="00A43FA4"/>
    <w:rsid w:val="00A53122"/>
    <w:rsid w:val="00A5576E"/>
    <w:rsid w:val="00A93A2F"/>
    <w:rsid w:val="00AA0FB0"/>
    <w:rsid w:val="00AA3156"/>
    <w:rsid w:val="00AA5F62"/>
    <w:rsid w:val="00AA7DCB"/>
    <w:rsid w:val="00AC5318"/>
    <w:rsid w:val="00AC5C22"/>
    <w:rsid w:val="00AC75A9"/>
    <w:rsid w:val="00AD0697"/>
    <w:rsid w:val="00AE2126"/>
    <w:rsid w:val="00AE6D99"/>
    <w:rsid w:val="00AF58E8"/>
    <w:rsid w:val="00B0245B"/>
    <w:rsid w:val="00B07F61"/>
    <w:rsid w:val="00B10665"/>
    <w:rsid w:val="00B10734"/>
    <w:rsid w:val="00B11341"/>
    <w:rsid w:val="00B13C8B"/>
    <w:rsid w:val="00B24469"/>
    <w:rsid w:val="00B45A8C"/>
    <w:rsid w:val="00B46C93"/>
    <w:rsid w:val="00B523F6"/>
    <w:rsid w:val="00B533AA"/>
    <w:rsid w:val="00B56FCD"/>
    <w:rsid w:val="00B6146E"/>
    <w:rsid w:val="00B72F7F"/>
    <w:rsid w:val="00B93624"/>
    <w:rsid w:val="00BA0353"/>
    <w:rsid w:val="00BA36E9"/>
    <w:rsid w:val="00BA386C"/>
    <w:rsid w:val="00BA7167"/>
    <w:rsid w:val="00BA7A9C"/>
    <w:rsid w:val="00BB4402"/>
    <w:rsid w:val="00BB4AD4"/>
    <w:rsid w:val="00BC376F"/>
    <w:rsid w:val="00BC52AA"/>
    <w:rsid w:val="00BC60F5"/>
    <w:rsid w:val="00BC70C4"/>
    <w:rsid w:val="00BD61F8"/>
    <w:rsid w:val="00BE0C9C"/>
    <w:rsid w:val="00BF481D"/>
    <w:rsid w:val="00BF6F61"/>
    <w:rsid w:val="00BF782E"/>
    <w:rsid w:val="00C06026"/>
    <w:rsid w:val="00C11F6F"/>
    <w:rsid w:val="00C13A74"/>
    <w:rsid w:val="00C15386"/>
    <w:rsid w:val="00C2229F"/>
    <w:rsid w:val="00C23396"/>
    <w:rsid w:val="00C33051"/>
    <w:rsid w:val="00C37859"/>
    <w:rsid w:val="00C50A27"/>
    <w:rsid w:val="00C564E3"/>
    <w:rsid w:val="00C56BE7"/>
    <w:rsid w:val="00C812B8"/>
    <w:rsid w:val="00C829C9"/>
    <w:rsid w:val="00C83A87"/>
    <w:rsid w:val="00C90568"/>
    <w:rsid w:val="00CA0328"/>
    <w:rsid w:val="00CA3BBC"/>
    <w:rsid w:val="00CA6B13"/>
    <w:rsid w:val="00CB1FE9"/>
    <w:rsid w:val="00CE459F"/>
    <w:rsid w:val="00CE4809"/>
    <w:rsid w:val="00CF38E7"/>
    <w:rsid w:val="00D14FEA"/>
    <w:rsid w:val="00D17E48"/>
    <w:rsid w:val="00D252C4"/>
    <w:rsid w:val="00D2657D"/>
    <w:rsid w:val="00D276E5"/>
    <w:rsid w:val="00D366DE"/>
    <w:rsid w:val="00D41DFF"/>
    <w:rsid w:val="00D442F6"/>
    <w:rsid w:val="00D67413"/>
    <w:rsid w:val="00D67C1C"/>
    <w:rsid w:val="00D720F0"/>
    <w:rsid w:val="00D7387F"/>
    <w:rsid w:val="00D74CC1"/>
    <w:rsid w:val="00D84617"/>
    <w:rsid w:val="00D84D85"/>
    <w:rsid w:val="00D975C4"/>
    <w:rsid w:val="00DA3E15"/>
    <w:rsid w:val="00DA4774"/>
    <w:rsid w:val="00DA6D7D"/>
    <w:rsid w:val="00DB1ABE"/>
    <w:rsid w:val="00DC61B1"/>
    <w:rsid w:val="00DD7CDE"/>
    <w:rsid w:val="00DE11B3"/>
    <w:rsid w:val="00DE1399"/>
    <w:rsid w:val="00DE3D12"/>
    <w:rsid w:val="00DF3E66"/>
    <w:rsid w:val="00DF7FEA"/>
    <w:rsid w:val="00E044F0"/>
    <w:rsid w:val="00E12DB0"/>
    <w:rsid w:val="00E12EDD"/>
    <w:rsid w:val="00E24E0B"/>
    <w:rsid w:val="00E25465"/>
    <w:rsid w:val="00E3014C"/>
    <w:rsid w:val="00E31068"/>
    <w:rsid w:val="00E32AF2"/>
    <w:rsid w:val="00E42C64"/>
    <w:rsid w:val="00E43FEF"/>
    <w:rsid w:val="00E477AD"/>
    <w:rsid w:val="00E56346"/>
    <w:rsid w:val="00E7530E"/>
    <w:rsid w:val="00E804F6"/>
    <w:rsid w:val="00E97AE7"/>
    <w:rsid w:val="00EA26B5"/>
    <w:rsid w:val="00EA50A7"/>
    <w:rsid w:val="00EA6B6E"/>
    <w:rsid w:val="00EA76DA"/>
    <w:rsid w:val="00EB2026"/>
    <w:rsid w:val="00EB40C5"/>
    <w:rsid w:val="00EC02EB"/>
    <w:rsid w:val="00EC173C"/>
    <w:rsid w:val="00EC2B36"/>
    <w:rsid w:val="00ED1E0D"/>
    <w:rsid w:val="00EE31A8"/>
    <w:rsid w:val="00EF6B82"/>
    <w:rsid w:val="00F0274D"/>
    <w:rsid w:val="00F05A2C"/>
    <w:rsid w:val="00F162DE"/>
    <w:rsid w:val="00F2362E"/>
    <w:rsid w:val="00F23FFF"/>
    <w:rsid w:val="00F32DCA"/>
    <w:rsid w:val="00F5122E"/>
    <w:rsid w:val="00F60F0A"/>
    <w:rsid w:val="00F83E80"/>
    <w:rsid w:val="00F8468D"/>
    <w:rsid w:val="00F85464"/>
    <w:rsid w:val="00F85F2D"/>
    <w:rsid w:val="00FA3945"/>
    <w:rsid w:val="00FA3B37"/>
    <w:rsid w:val="00FA40D2"/>
    <w:rsid w:val="00FA68BC"/>
    <w:rsid w:val="00FB1387"/>
    <w:rsid w:val="00FC332D"/>
    <w:rsid w:val="00FC3E7E"/>
    <w:rsid w:val="00FC4EB9"/>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8A6A54"/>
    <w:rPr>
      <w:color w:val="333333"/>
    </w:rPr>
  </w:style>
  <w:style w:type="paragraph" w:customStyle="1" w:styleId="Paragraph">
    <w:name w:val="Paragraph"/>
    <w:basedOn w:val="Normal"/>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ListParagraph">
    <w:name w:val="List Paragraph"/>
    <w:basedOn w:val="Normal"/>
    <w:uiPriority w:val="34"/>
    <w:qFormat/>
    <w:rsid w:val="00D44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778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os.sumantri@upnyk.ac.id" TargetMode="External"/><Relationship Id="rId11" Type="http://schemas.openxmlformats.org/officeDocument/2006/relationships/chart" Target="charts/chart5.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5d57919cae39c44/Dokumen/SKRIPSI/SPC%2020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6195a2fb6c385817/My%20Job/2%20Penelitian%20dan%20Pengabdian/Penelitian%20Internal/Penelitian%20puskareka%202022/00%20DATA%20PALING%20AKHIR/penelitian%20putra/Excel%20Penelitia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6195a2fb6c385817/My%20Job/2%20Penelitian%20dan%20Pengabdian/Penelitian%20Internal/Penelitian%20puskareka%202022/00%20DATA%20PALING%20AKHIR/penelitian%20putra/Excel%20Penelitia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6195a2fb6c385817/My%20Job/2%20Penelitian%20dan%20Pengabdian/Penelitian%20Internal/Penelitian%20puskareka%202022/00%20DATA%20PALING%20AKHIR/penelitian%20putra/Excel%20Penelitia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d.docs.live.net/6195a2fb6c385817/My%20Job/2%20Penelitian%20dan%20Pengabdian/Penelitian%20Internal/Penelitian%20puskareka%202022/00%20DATA%20PALING%20AKHIR/penelitian%20putra/Excel%20Penelitia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d.docs.live.net/6195a2fb6c385817/My%20Job/2%20Penelitian%20dan%20Pengabdian/Penelitian%20Internal/Penelitian%20puskareka%202022/00%20DATA%20PALING%20AKHIR/penelitian%20putra/Excel%20Peneliti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93900808867293"/>
          <c:y val="6.0676661992593389E-2"/>
          <c:w val="0.80940042346007868"/>
          <c:h val="0.72418106346445577"/>
        </c:manualLayout>
      </c:layout>
      <c:scatterChart>
        <c:scatterStyle val="lineMarker"/>
        <c:varyColors val="0"/>
        <c:ser>
          <c:idx val="0"/>
          <c:order val="0"/>
          <c:tx>
            <c:v>Sika Viscocrete</c:v>
          </c:tx>
          <c:spPr>
            <a:ln w="25400">
              <a:noFill/>
            </a:ln>
            <a:effectLst/>
          </c:spPr>
          <c:marker>
            <c:symbol val="circle"/>
            <c:size val="2"/>
            <c:spPr>
              <a:solidFill>
                <a:schemeClr val="bg1"/>
              </a:solidFill>
              <a:ln w="9525" cap="flat" cmpd="sng" algn="ctr">
                <a:solidFill>
                  <a:schemeClr val="tx1"/>
                </a:solidFill>
                <a:round/>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2-ACC9-468B-BB32-9AF67D3E2168}"/>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dk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trendline>
            <c:spPr>
              <a:ln w="25400" cap="rnd" cmpd="sng" algn="ctr">
                <a:solidFill>
                  <a:schemeClr val="tx1">
                    <a:alpha val="50000"/>
                  </a:schemeClr>
                </a:solidFill>
                <a:round/>
              </a:ln>
              <a:effectLst/>
            </c:spPr>
            <c:trendlineType val="poly"/>
            <c:order val="2"/>
            <c:intercept val="0"/>
            <c:dispRSqr val="0"/>
            <c:dispEq val="0"/>
          </c:trendline>
          <c:xVal>
            <c:numRef>
              <c:f>'[SPC 200.xlsx]Kuat Tekan'!$BG$46:$BG$51</c:f>
              <c:numCache>
                <c:formatCode>0.0</c:formatCode>
                <c:ptCount val="6"/>
                <c:pt idx="0" formatCode="General">
                  <c:v>0</c:v>
                </c:pt>
                <c:pt idx="1">
                  <c:v>0.5</c:v>
                </c:pt>
                <c:pt idx="2">
                  <c:v>1</c:v>
                </c:pt>
                <c:pt idx="3">
                  <c:v>1.5</c:v>
                </c:pt>
                <c:pt idx="4">
                  <c:v>2</c:v>
                </c:pt>
                <c:pt idx="5">
                  <c:v>2.5</c:v>
                </c:pt>
              </c:numCache>
            </c:numRef>
          </c:xVal>
          <c:yVal>
            <c:numRef>
              <c:f>'[SPC 200.xlsx]Kuat Tekan'!$BH$46:$BH$51</c:f>
              <c:numCache>
                <c:formatCode>0.00</c:formatCode>
                <c:ptCount val="6"/>
                <c:pt idx="0" formatCode="General">
                  <c:v>0</c:v>
                </c:pt>
                <c:pt idx="1">
                  <c:v>9.7000000000000064</c:v>
                </c:pt>
                <c:pt idx="2">
                  <c:v>20</c:v>
                </c:pt>
                <c:pt idx="3">
                  <c:v>25.975000000000005</c:v>
                </c:pt>
                <c:pt idx="4">
                  <c:v>27.625</c:v>
                </c:pt>
                <c:pt idx="5">
                  <c:v>28.070000000000007</c:v>
                </c:pt>
              </c:numCache>
            </c:numRef>
          </c:yVal>
          <c:smooth val="0"/>
          <c:extLst>
            <c:ext xmlns:c16="http://schemas.microsoft.com/office/drawing/2014/chart" uri="{C3380CC4-5D6E-409C-BE32-E72D297353CC}">
              <c16:uniqueId val="{00000001-ACC9-468B-BB32-9AF67D3E2168}"/>
            </c:ext>
          </c:extLst>
        </c:ser>
        <c:dLbls>
          <c:dLblPos val="t"/>
          <c:showLegendKey val="0"/>
          <c:showVal val="1"/>
          <c:showCatName val="0"/>
          <c:showSerName val="0"/>
          <c:showPercent val="0"/>
          <c:showBubbleSize val="0"/>
        </c:dLbls>
        <c:axId val="-1668400832"/>
        <c:axId val="-1668406272"/>
      </c:scatterChart>
      <c:valAx>
        <c:axId val="-1668400832"/>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50000"/>
                        <a:lumOff val="50000"/>
                      </a:schemeClr>
                    </a:solidFill>
                    <a:latin typeface="+mn-lt"/>
                    <a:ea typeface="+mn-ea"/>
                    <a:cs typeface="+mn-cs"/>
                  </a:defRPr>
                </a:pPr>
                <a:r>
                  <a:rPr lang="en-ID" sz="800">
                    <a:solidFill>
                      <a:schemeClr val="tx1">
                        <a:lumMod val="50000"/>
                        <a:lumOff val="50000"/>
                      </a:schemeClr>
                    </a:solidFill>
                  </a:rPr>
                  <a:t>Amount</a:t>
                </a:r>
                <a:r>
                  <a:rPr lang="en-ID" sz="800" baseline="0">
                    <a:solidFill>
                      <a:schemeClr val="tx1">
                        <a:lumMod val="50000"/>
                        <a:lumOff val="50000"/>
                      </a:schemeClr>
                    </a:solidFill>
                  </a:rPr>
                  <a:t> of PCE Superplasticizer </a:t>
                </a:r>
                <a:r>
                  <a:rPr lang="en-ID" sz="800">
                    <a:solidFill>
                      <a:schemeClr val="tx1">
                        <a:lumMod val="50000"/>
                        <a:lumOff val="50000"/>
                      </a:schemeClr>
                    </a:solidFill>
                  </a:rPr>
                  <a:t>(%)</a:t>
                </a:r>
              </a:p>
            </c:rich>
          </c:tx>
          <c:layout>
            <c:manualLayout>
              <c:xMode val="edge"/>
              <c:yMode val="edge"/>
              <c:x val="0.26708244710866486"/>
              <c:y val="0.87938752715896396"/>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in"/>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700" b="0" i="0" u="none" strike="noStrike" kern="1200" baseline="0">
                <a:solidFill>
                  <a:schemeClr val="dk1">
                    <a:lumMod val="50000"/>
                    <a:lumOff val="50000"/>
                  </a:schemeClr>
                </a:solidFill>
                <a:latin typeface="+mn-lt"/>
                <a:ea typeface="+mn-ea"/>
                <a:cs typeface="+mn-cs"/>
              </a:defRPr>
            </a:pPr>
            <a:endParaRPr lang="en-US"/>
          </a:p>
        </c:txPr>
        <c:crossAx val="-1668406272"/>
        <c:crosses val="autoZero"/>
        <c:crossBetween val="midCat"/>
        <c:majorUnit val="0.4"/>
      </c:valAx>
      <c:valAx>
        <c:axId val="-1668406272"/>
        <c:scaling>
          <c:orientation val="minMax"/>
          <c:max val="40"/>
          <c:min val="0"/>
        </c:scaling>
        <c:delete val="0"/>
        <c:axPos val="l"/>
        <c:title>
          <c:tx>
            <c:rich>
              <a:bodyPr rot="-5400000" spcFirstLastPara="1" vertOverflow="ellipsis" vert="horz" wrap="square" anchor="ctr" anchorCtr="1"/>
              <a:lstStyle/>
              <a:p>
                <a:pPr>
                  <a:defRPr sz="800" b="1" i="0" u="none" strike="noStrike" kern="1200" baseline="0">
                    <a:solidFill>
                      <a:schemeClr val="tx1">
                        <a:lumMod val="50000"/>
                        <a:lumOff val="50000"/>
                      </a:schemeClr>
                    </a:solidFill>
                    <a:latin typeface="+mn-lt"/>
                    <a:ea typeface="+mn-ea"/>
                    <a:cs typeface="+mn-cs"/>
                  </a:defRPr>
                </a:pPr>
                <a:r>
                  <a:rPr lang="en-ID" sz="800">
                    <a:solidFill>
                      <a:schemeClr val="tx1">
                        <a:lumMod val="50000"/>
                        <a:lumOff val="50000"/>
                      </a:schemeClr>
                    </a:solidFill>
                  </a:rPr>
                  <a:t>Water Reduction (%)</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50000"/>
                      <a:lumOff val="50000"/>
                    </a:schemeClr>
                  </a:solidFill>
                  <a:latin typeface="+mn-lt"/>
                  <a:ea typeface="+mn-ea"/>
                  <a:cs typeface="+mn-cs"/>
                </a:defRPr>
              </a:pPr>
              <a:endParaRPr lang="en-US"/>
            </a:p>
          </c:txPr>
        </c:title>
        <c:numFmt formatCode="0" sourceLinked="0"/>
        <c:majorTickMark val="in"/>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700" b="0" i="0" u="none" strike="noStrike" kern="1200" baseline="0">
                <a:solidFill>
                  <a:schemeClr val="dk1">
                    <a:lumMod val="50000"/>
                    <a:lumOff val="50000"/>
                  </a:schemeClr>
                </a:solidFill>
                <a:latin typeface="+mn-lt"/>
                <a:ea typeface="+mn-ea"/>
                <a:cs typeface="+mn-cs"/>
              </a:defRPr>
            </a:pPr>
            <a:endParaRPr lang="en-US"/>
          </a:p>
        </c:txPr>
        <c:crossAx val="-1668400832"/>
        <c:crosses val="autoZero"/>
        <c:crossBetween val="midCat"/>
        <c:majorUnit val="5"/>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62639082605854"/>
          <c:y val="0.1058574453069866"/>
          <c:w val="0.8039872044928752"/>
          <c:h val="0.68769664201290293"/>
        </c:manualLayout>
      </c:layout>
      <c:barChart>
        <c:barDir val="bar"/>
        <c:grouping val="clustered"/>
        <c:varyColors val="0"/>
        <c:ser>
          <c:idx val="0"/>
          <c:order val="0"/>
          <c:spPr>
            <a:solidFill>
              <a:schemeClr val="tx1">
                <a:lumMod val="65000"/>
                <a:lumOff val="35000"/>
              </a:schemeClr>
            </a:solidFill>
            <a:ln>
              <a:noFill/>
            </a:ln>
            <a:effectLst/>
          </c:spPr>
          <c:invertIfNegative val="0"/>
          <c:dLbls>
            <c:numFmt formatCode="#,##0.00" sourceLinked="0"/>
            <c:spPr>
              <a:noFill/>
              <a:ln>
                <a:noFill/>
              </a:ln>
              <a:effectLst/>
            </c:spPr>
            <c:txPr>
              <a:bodyPr rot="0" spcFirstLastPara="1" vertOverflow="ellipsis" vert="horz" wrap="square" lIns="0" tIns="0" rIns="0" bIns="0" anchor="ctr" anchorCtr="1">
                <a:spAutoFit/>
              </a:bodyPr>
              <a:lstStyle/>
              <a:p>
                <a:pPr>
                  <a:defRPr sz="700" b="0" i="0" u="none" strike="noStrike" kern="1200" baseline="0">
                    <a:ln>
                      <a:noFill/>
                    </a:ln>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Sheet2!$A$3:$E$3</c:f>
              <c:numCache>
                <c:formatCode>General</c:formatCode>
                <c:ptCount val="5"/>
                <c:pt idx="0">
                  <c:v>0</c:v>
                </c:pt>
                <c:pt idx="1">
                  <c:v>0.4</c:v>
                </c:pt>
                <c:pt idx="2">
                  <c:v>0.6</c:v>
                </c:pt>
                <c:pt idx="3">
                  <c:v>0.8</c:v>
                </c:pt>
                <c:pt idx="4">
                  <c:v>1</c:v>
                </c:pt>
              </c:numCache>
            </c:numRef>
          </c:cat>
          <c:val>
            <c:numRef>
              <c:f>Sheet2!$A$4:$E$4</c:f>
              <c:numCache>
                <c:formatCode>0.00</c:formatCode>
                <c:ptCount val="5"/>
                <c:pt idx="0">
                  <c:v>23.55</c:v>
                </c:pt>
                <c:pt idx="1">
                  <c:v>20.46</c:v>
                </c:pt>
                <c:pt idx="2">
                  <c:v>28.59</c:v>
                </c:pt>
                <c:pt idx="3">
                  <c:v>31.46</c:v>
                </c:pt>
                <c:pt idx="4">
                  <c:v>23.63</c:v>
                </c:pt>
              </c:numCache>
            </c:numRef>
          </c:val>
          <c:extLst>
            <c:ext xmlns:c16="http://schemas.microsoft.com/office/drawing/2014/chart" uri="{C3380CC4-5D6E-409C-BE32-E72D297353CC}">
              <c16:uniqueId val="{00000000-4799-46BA-ACB5-05C5DD064447}"/>
            </c:ext>
          </c:extLst>
        </c:ser>
        <c:dLbls>
          <c:showLegendKey val="0"/>
          <c:showVal val="0"/>
          <c:showCatName val="0"/>
          <c:showSerName val="0"/>
          <c:showPercent val="0"/>
          <c:showBubbleSize val="0"/>
        </c:dLbls>
        <c:gapWidth val="70"/>
        <c:axId val="1225255311"/>
        <c:axId val="1225255791"/>
      </c:barChart>
      <c:catAx>
        <c:axId val="1225255311"/>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lumMod val="50000"/>
                        <a:lumOff val="50000"/>
                      </a:schemeClr>
                    </a:solidFill>
                    <a:latin typeface="+mn-lt"/>
                    <a:ea typeface="+mn-ea"/>
                    <a:cs typeface="+mn-cs"/>
                  </a:defRPr>
                </a:pPr>
                <a:r>
                  <a:rPr lang="en-ID" sz="800" b="1" i="0" u="none" strike="noStrike" kern="1200" baseline="0">
                    <a:solidFill>
                      <a:schemeClr val="tx1">
                        <a:lumMod val="50000"/>
                        <a:lumOff val="50000"/>
                      </a:schemeClr>
                    </a:solidFill>
                  </a:rPr>
                  <a:t>PCE Superplasticizer (%)</a:t>
                </a:r>
              </a:p>
            </c:rich>
          </c:tx>
          <c:overlay val="0"/>
          <c:spPr>
            <a:noFill/>
            <a:ln>
              <a:noFill/>
            </a:ln>
            <a:effectLst/>
          </c:spPr>
        </c:title>
        <c:numFmt formatCode="#,##0.0" sourceLinked="0"/>
        <c:majorTickMark val="in"/>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225255791"/>
        <c:crosses val="autoZero"/>
        <c:auto val="1"/>
        <c:lblAlgn val="ctr"/>
        <c:lblOffset val="100"/>
        <c:noMultiLvlLbl val="1"/>
      </c:catAx>
      <c:valAx>
        <c:axId val="1225255791"/>
        <c:scaling>
          <c:orientation val="minMax"/>
          <c:min val="10"/>
        </c:scaling>
        <c:delete val="0"/>
        <c:axPos val="b"/>
        <c:title>
          <c:tx>
            <c:rich>
              <a:bodyPr rot="0" spcFirstLastPara="1" vertOverflow="ellipsis" vert="horz" wrap="square" anchor="ctr" anchorCtr="1"/>
              <a:lstStyle/>
              <a:p>
                <a:pPr>
                  <a:defRPr sz="800" b="1" i="0" u="none" strike="noStrike" kern="1200" baseline="0">
                    <a:solidFill>
                      <a:schemeClr val="tx1">
                        <a:lumMod val="50000"/>
                        <a:lumOff val="50000"/>
                      </a:schemeClr>
                    </a:solidFill>
                    <a:latin typeface="+mn-lt"/>
                    <a:ea typeface="+mn-ea"/>
                    <a:cs typeface="+mn-cs"/>
                  </a:defRPr>
                </a:pPr>
                <a:r>
                  <a:rPr lang="en-ID" sz="800" b="1">
                    <a:solidFill>
                      <a:schemeClr val="tx1">
                        <a:lumMod val="50000"/>
                        <a:lumOff val="50000"/>
                      </a:schemeClr>
                    </a:solidFill>
                  </a:rPr>
                  <a:t>Compressive</a:t>
                </a:r>
                <a:r>
                  <a:rPr lang="en-ID" sz="800" b="1" baseline="0">
                    <a:solidFill>
                      <a:schemeClr val="tx1">
                        <a:lumMod val="50000"/>
                        <a:lumOff val="50000"/>
                      </a:schemeClr>
                    </a:solidFill>
                  </a:rPr>
                  <a:t> Strength (MPa)</a:t>
                </a:r>
                <a:endParaRPr lang="en-ID" sz="800" b="1">
                  <a:solidFill>
                    <a:schemeClr val="tx1">
                      <a:lumMod val="50000"/>
                      <a:lumOff val="50000"/>
                    </a:schemeClr>
                  </a:solidFill>
                </a:endParaRPr>
              </a:p>
            </c:rich>
          </c:tx>
          <c:layout>
            <c:manualLayout>
              <c:xMode val="edge"/>
              <c:yMode val="edge"/>
              <c:x val="0.34056584263697731"/>
              <c:y val="0.90991503620269043"/>
            </c:manualLayout>
          </c:layout>
          <c:overlay val="0"/>
          <c:spPr>
            <a:noFill/>
            <a:ln>
              <a:noFill/>
            </a:ln>
            <a:effectLst/>
          </c:spPr>
        </c:title>
        <c:numFmt formatCode="0.0" sourceLinked="0"/>
        <c:majorTickMark val="in"/>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2252553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93591873704567"/>
          <c:y val="7.7628793225123505E-2"/>
          <c:w val="0.79878268568581368"/>
          <c:h val="0.72298245711523179"/>
        </c:manualLayout>
      </c:layout>
      <c:barChart>
        <c:barDir val="bar"/>
        <c:grouping val="clustered"/>
        <c:varyColors val="0"/>
        <c:ser>
          <c:idx val="0"/>
          <c:order val="0"/>
          <c:spPr>
            <a:solidFill>
              <a:schemeClr val="tx1">
                <a:lumMod val="65000"/>
                <a:lumOff val="3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7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Sheet2!$D$11:$H$11</c:f>
              <c:numCache>
                <c:formatCode>General</c:formatCode>
                <c:ptCount val="5"/>
                <c:pt idx="0">
                  <c:v>0</c:v>
                </c:pt>
                <c:pt idx="1">
                  <c:v>0.4</c:v>
                </c:pt>
                <c:pt idx="2">
                  <c:v>0.6</c:v>
                </c:pt>
                <c:pt idx="3">
                  <c:v>0.8</c:v>
                </c:pt>
                <c:pt idx="4">
                  <c:v>1</c:v>
                </c:pt>
              </c:numCache>
            </c:numRef>
          </c:cat>
          <c:val>
            <c:numRef>
              <c:f>Sheet2!$D$12:$H$12</c:f>
              <c:numCache>
                <c:formatCode>0</c:formatCode>
                <c:ptCount val="5"/>
                <c:pt idx="0">
                  <c:v>100</c:v>
                </c:pt>
                <c:pt idx="1">
                  <c:v>48</c:v>
                </c:pt>
                <c:pt idx="2">
                  <c:v>77</c:v>
                </c:pt>
                <c:pt idx="3">
                  <c:v>122</c:v>
                </c:pt>
                <c:pt idx="4">
                  <c:v>110</c:v>
                </c:pt>
              </c:numCache>
            </c:numRef>
          </c:val>
          <c:extLst>
            <c:ext xmlns:c16="http://schemas.microsoft.com/office/drawing/2014/chart" uri="{C3380CC4-5D6E-409C-BE32-E72D297353CC}">
              <c16:uniqueId val="{00000000-6969-4C01-9A2E-E9676F171621}"/>
            </c:ext>
          </c:extLst>
        </c:ser>
        <c:dLbls>
          <c:showLegendKey val="0"/>
          <c:showVal val="0"/>
          <c:showCatName val="0"/>
          <c:showSerName val="0"/>
          <c:showPercent val="0"/>
          <c:showBubbleSize val="0"/>
        </c:dLbls>
        <c:gapWidth val="70"/>
        <c:axId val="1223297247"/>
        <c:axId val="1837402287"/>
      </c:barChart>
      <c:catAx>
        <c:axId val="1223297247"/>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lumMod val="50000"/>
                        <a:lumOff val="50000"/>
                      </a:schemeClr>
                    </a:solidFill>
                    <a:latin typeface="+mn-lt"/>
                    <a:ea typeface="+mn-ea"/>
                    <a:cs typeface="+mn-cs"/>
                  </a:defRPr>
                </a:pPr>
                <a:r>
                  <a:rPr lang="en-ID" sz="800" b="1" i="0" u="none" strike="noStrike" kern="1200" baseline="0">
                    <a:solidFill>
                      <a:schemeClr val="tx1">
                        <a:lumMod val="50000"/>
                        <a:lumOff val="50000"/>
                      </a:schemeClr>
                    </a:solidFill>
                  </a:rPr>
                  <a:t>PCE Superplasticizer (%)</a:t>
                </a:r>
              </a:p>
            </c:rich>
          </c:tx>
          <c:layout>
            <c:manualLayout>
              <c:xMode val="edge"/>
              <c:yMode val="edge"/>
              <c:x val="3.9200313602508821E-3"/>
              <c:y val="0.10895037202918442"/>
            </c:manualLayout>
          </c:layout>
          <c:overlay val="0"/>
          <c:spPr>
            <a:noFill/>
            <a:ln>
              <a:noFill/>
            </a:ln>
            <a:effectLst/>
          </c:spPr>
        </c:title>
        <c:numFmt formatCode="#,##0.0" sourceLinked="0"/>
        <c:majorTickMark val="in"/>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837402287"/>
        <c:crosses val="autoZero"/>
        <c:auto val="1"/>
        <c:lblAlgn val="ctr"/>
        <c:lblOffset val="100"/>
        <c:tickMarkSkip val="1"/>
        <c:noMultiLvlLbl val="0"/>
      </c:catAx>
      <c:valAx>
        <c:axId val="1837402287"/>
        <c:scaling>
          <c:orientation val="minMax"/>
          <c:max val="130"/>
          <c:min val="20"/>
        </c:scaling>
        <c:delete val="0"/>
        <c:axPos val="b"/>
        <c:title>
          <c:tx>
            <c:rich>
              <a:bodyPr rot="0" spcFirstLastPara="1" vertOverflow="ellipsis" vert="horz" wrap="square" anchor="ctr" anchorCtr="1"/>
              <a:lstStyle/>
              <a:p>
                <a:pPr>
                  <a:defRPr sz="800" b="1" i="0" u="none" strike="noStrike" kern="1200" baseline="0">
                    <a:solidFill>
                      <a:schemeClr val="tx1">
                        <a:lumMod val="50000"/>
                        <a:lumOff val="50000"/>
                      </a:schemeClr>
                    </a:solidFill>
                    <a:latin typeface="+mn-lt"/>
                    <a:ea typeface="+mn-ea"/>
                    <a:cs typeface="+mn-cs"/>
                  </a:defRPr>
                </a:pPr>
                <a:r>
                  <a:rPr lang="en-ID" sz="800" b="1">
                    <a:solidFill>
                      <a:schemeClr val="tx1">
                        <a:lumMod val="50000"/>
                        <a:lumOff val="50000"/>
                      </a:schemeClr>
                    </a:solidFill>
                  </a:rPr>
                  <a:t>Slump</a:t>
                </a:r>
                <a:r>
                  <a:rPr lang="en-ID" sz="800" b="1" baseline="0">
                    <a:solidFill>
                      <a:schemeClr val="tx1">
                        <a:lumMod val="50000"/>
                        <a:lumOff val="50000"/>
                      </a:schemeClr>
                    </a:solidFill>
                  </a:rPr>
                  <a:t> Value (mm)</a:t>
                </a:r>
                <a:endParaRPr lang="en-ID" sz="800" b="1">
                  <a:solidFill>
                    <a:schemeClr val="tx1">
                      <a:lumMod val="50000"/>
                      <a:lumOff val="50000"/>
                    </a:schemeClr>
                  </a:solidFill>
                </a:endParaRPr>
              </a:p>
            </c:rich>
          </c:tx>
          <c:layout>
            <c:manualLayout>
              <c:xMode val="edge"/>
              <c:yMode val="edge"/>
              <c:x val="0.39386376193371747"/>
              <c:y val="0.90991503620269043"/>
            </c:manualLayout>
          </c:layout>
          <c:overlay val="0"/>
          <c:spPr>
            <a:noFill/>
            <a:ln>
              <a:noFill/>
            </a:ln>
            <a:effectLst/>
          </c:spPr>
        </c:title>
        <c:numFmt formatCode="0" sourceLinked="1"/>
        <c:majorTickMark val="in"/>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223297247"/>
        <c:crosses val="autoZero"/>
        <c:crossBetween val="between"/>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333832339950064E-2"/>
          <c:y val="7.0918375852277449E-2"/>
          <c:w val="0.85211048932485944"/>
          <c:h val="0.73276968642857543"/>
        </c:manualLayout>
      </c:layout>
      <c:barChart>
        <c:barDir val="bar"/>
        <c:grouping val="clustered"/>
        <c:varyColors val="0"/>
        <c:ser>
          <c:idx val="0"/>
          <c:order val="0"/>
          <c:tx>
            <c:v>With PCE</c:v>
          </c:tx>
          <c:spPr>
            <a:solidFill>
              <a:schemeClr val="tx1">
                <a:lumMod val="75000"/>
                <a:lumOff val="25000"/>
              </a:schemeClr>
            </a:solidFill>
            <a:ln>
              <a:noFill/>
            </a:ln>
            <a:effectLst/>
          </c:spPr>
          <c:invertIfNegative val="0"/>
          <c:cat>
            <c:strRef>
              <c:f>Sheet3!$D$17:$F$17</c:f>
              <c:strCache>
                <c:ptCount val="3"/>
                <c:pt idx="0">
                  <c:v>CS1</c:v>
                </c:pt>
                <c:pt idx="1">
                  <c:v>CS2</c:v>
                </c:pt>
                <c:pt idx="2">
                  <c:v>CS3</c:v>
                </c:pt>
              </c:strCache>
            </c:strRef>
          </c:cat>
          <c:val>
            <c:numRef>
              <c:f>Sheet3!$D$18:$F$18</c:f>
              <c:numCache>
                <c:formatCode>General</c:formatCode>
                <c:ptCount val="3"/>
                <c:pt idx="0">
                  <c:v>175.8</c:v>
                </c:pt>
                <c:pt idx="1">
                  <c:v>168.4</c:v>
                </c:pt>
                <c:pt idx="2">
                  <c:v>166.5</c:v>
                </c:pt>
              </c:numCache>
            </c:numRef>
          </c:val>
          <c:extLst>
            <c:ext xmlns:c16="http://schemas.microsoft.com/office/drawing/2014/chart" uri="{C3380CC4-5D6E-409C-BE32-E72D297353CC}">
              <c16:uniqueId val="{00000000-CD4A-4CA9-8CEF-8FB4CF94D11A}"/>
            </c:ext>
          </c:extLst>
        </c:ser>
        <c:dLbls>
          <c:showLegendKey val="0"/>
          <c:showVal val="0"/>
          <c:showCatName val="0"/>
          <c:showSerName val="0"/>
          <c:showPercent val="0"/>
          <c:showBubbleSize val="0"/>
        </c:dLbls>
        <c:gapWidth val="250"/>
        <c:overlap val="100"/>
        <c:axId val="80476047"/>
        <c:axId val="80476527"/>
      </c:barChart>
      <c:barChart>
        <c:barDir val="bar"/>
        <c:grouping val="clustered"/>
        <c:varyColors val="0"/>
        <c:ser>
          <c:idx val="1"/>
          <c:order val="1"/>
          <c:tx>
            <c:v>Without PCE</c:v>
          </c:tx>
          <c:spPr>
            <a:solidFill>
              <a:schemeClr val="accent1">
                <a:lumMod val="40000"/>
                <a:lumOff val="60000"/>
                <a:alpha val="0"/>
              </a:schemeClr>
            </a:solidFill>
            <a:ln w="12700">
              <a:solidFill>
                <a:schemeClr val="tx1">
                  <a:lumMod val="75000"/>
                  <a:lumOff val="25000"/>
                </a:schemeClr>
              </a:solidFill>
            </a:ln>
          </c:spPr>
          <c:invertIfNegative val="0"/>
          <c:cat>
            <c:strRef>
              <c:f>Sheet3!$C$19:$E$19</c:f>
              <c:strCache>
                <c:ptCount val="3"/>
                <c:pt idx="0">
                  <c:v>CN</c:v>
                </c:pt>
                <c:pt idx="1">
                  <c:v>CN</c:v>
                </c:pt>
                <c:pt idx="2">
                  <c:v>CN</c:v>
                </c:pt>
              </c:strCache>
            </c:strRef>
          </c:cat>
          <c:val>
            <c:numRef>
              <c:f>Sheet3!$C$20:$E$20</c:f>
              <c:numCache>
                <c:formatCode>General</c:formatCode>
                <c:ptCount val="3"/>
                <c:pt idx="0">
                  <c:v>191</c:v>
                </c:pt>
                <c:pt idx="1">
                  <c:v>191</c:v>
                </c:pt>
                <c:pt idx="2">
                  <c:v>191</c:v>
                </c:pt>
              </c:numCache>
            </c:numRef>
          </c:val>
          <c:extLst>
            <c:ext xmlns:c16="http://schemas.microsoft.com/office/drawing/2014/chart" uri="{C3380CC4-5D6E-409C-BE32-E72D297353CC}">
              <c16:uniqueId val="{00000001-CD4A-4CA9-8CEF-8FB4CF94D11A}"/>
            </c:ext>
          </c:extLst>
        </c:ser>
        <c:dLbls>
          <c:showLegendKey val="0"/>
          <c:showVal val="0"/>
          <c:showCatName val="0"/>
          <c:showSerName val="0"/>
          <c:showPercent val="0"/>
          <c:showBubbleSize val="0"/>
        </c:dLbls>
        <c:gapWidth val="250"/>
        <c:overlap val="100"/>
        <c:axId val="174665359"/>
        <c:axId val="174649519"/>
      </c:barChart>
      <c:catAx>
        <c:axId val="80476047"/>
        <c:scaling>
          <c:orientation val="minMax"/>
        </c:scaling>
        <c:delete val="0"/>
        <c:axPos val="l"/>
        <c:numFmt formatCode="General" sourceLinked="1"/>
        <c:majorTickMark val="none"/>
        <c:minorTickMark val="none"/>
        <c:tickLblPos val="nextTo"/>
        <c:spPr>
          <a:noFill/>
          <a:ln w="6350" cap="flat" cmpd="sng" algn="ctr">
            <a:solidFill>
              <a:schemeClr val="tx1">
                <a:lumMod val="75000"/>
                <a:lumOff val="2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0476527"/>
        <c:crosses val="autoZero"/>
        <c:auto val="1"/>
        <c:lblAlgn val="ctr"/>
        <c:lblOffset val="100"/>
        <c:noMultiLvlLbl val="0"/>
      </c:catAx>
      <c:valAx>
        <c:axId val="80476527"/>
        <c:scaling>
          <c:orientation val="minMax"/>
          <c:max val="195"/>
          <c:min val="150"/>
        </c:scaling>
        <c:delete val="0"/>
        <c:axPos val="b"/>
        <c:title>
          <c:tx>
            <c:rich>
              <a:bodyPr/>
              <a:lstStyle/>
              <a:p>
                <a:pPr>
                  <a:defRPr sz="800">
                    <a:solidFill>
                      <a:schemeClr val="tx1">
                        <a:lumMod val="65000"/>
                        <a:lumOff val="35000"/>
                      </a:schemeClr>
                    </a:solidFill>
                  </a:defRPr>
                </a:pPr>
                <a:r>
                  <a:rPr lang="en-ID" sz="800">
                    <a:solidFill>
                      <a:schemeClr val="tx1">
                        <a:lumMod val="65000"/>
                        <a:lumOff val="35000"/>
                      </a:schemeClr>
                    </a:solidFill>
                  </a:rPr>
                  <a:t>Water</a:t>
                </a:r>
                <a:r>
                  <a:rPr lang="en-ID" sz="800" baseline="0">
                    <a:solidFill>
                      <a:schemeClr val="tx1">
                        <a:lumMod val="65000"/>
                        <a:lumOff val="35000"/>
                      </a:schemeClr>
                    </a:solidFill>
                  </a:rPr>
                  <a:t> Consumption (kg/m</a:t>
                </a:r>
                <a:r>
                  <a:rPr lang="en-ID" sz="800" baseline="30000">
                    <a:solidFill>
                      <a:schemeClr val="tx1">
                        <a:lumMod val="65000"/>
                        <a:lumOff val="35000"/>
                      </a:schemeClr>
                    </a:solidFill>
                  </a:rPr>
                  <a:t>3</a:t>
                </a:r>
                <a:r>
                  <a:rPr lang="en-ID" sz="800" baseline="0">
                    <a:solidFill>
                      <a:schemeClr val="tx1">
                        <a:lumMod val="65000"/>
                        <a:lumOff val="35000"/>
                      </a:schemeClr>
                    </a:solidFill>
                  </a:rPr>
                  <a:t>)</a:t>
                </a:r>
                <a:endParaRPr lang="en-ID" sz="800">
                  <a:solidFill>
                    <a:schemeClr val="tx1">
                      <a:lumMod val="65000"/>
                      <a:lumOff val="35000"/>
                    </a:schemeClr>
                  </a:solidFill>
                </a:endParaRPr>
              </a:p>
            </c:rich>
          </c:tx>
          <c:layout>
            <c:manualLayout>
              <c:xMode val="edge"/>
              <c:yMode val="edge"/>
              <c:x val="0.28707706465027039"/>
              <c:y val="0.90668374463072143"/>
            </c:manualLayout>
          </c:layout>
          <c:overlay val="0"/>
        </c:title>
        <c:numFmt formatCode="General" sourceLinked="1"/>
        <c:majorTickMark val="in"/>
        <c:minorTickMark val="none"/>
        <c:tickLblPos val="nextTo"/>
        <c:spPr>
          <a:noFill/>
          <a:ln>
            <a:solidFill>
              <a:schemeClr val="tx1">
                <a:lumMod val="75000"/>
                <a:lumOff val="2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80476047"/>
        <c:crosses val="autoZero"/>
        <c:crossBetween val="between"/>
        <c:majorUnit val="5"/>
      </c:valAx>
      <c:valAx>
        <c:axId val="174649519"/>
        <c:scaling>
          <c:orientation val="minMax"/>
          <c:min val="150"/>
        </c:scaling>
        <c:delete val="1"/>
        <c:axPos val="t"/>
        <c:numFmt formatCode="General" sourceLinked="1"/>
        <c:majorTickMark val="out"/>
        <c:minorTickMark val="none"/>
        <c:tickLblPos val="nextTo"/>
        <c:crossAx val="174665359"/>
        <c:crosses val="max"/>
        <c:crossBetween val="between"/>
      </c:valAx>
      <c:catAx>
        <c:axId val="174665359"/>
        <c:scaling>
          <c:orientation val="minMax"/>
        </c:scaling>
        <c:delete val="1"/>
        <c:axPos val="l"/>
        <c:numFmt formatCode="General" sourceLinked="1"/>
        <c:majorTickMark val="out"/>
        <c:minorTickMark val="none"/>
        <c:tickLblPos val="nextTo"/>
        <c:crossAx val="174649519"/>
        <c:crosses val="autoZero"/>
        <c:auto val="1"/>
        <c:lblAlgn val="ctr"/>
        <c:lblOffset val="100"/>
        <c:noMultiLvlLbl val="0"/>
      </c:catAx>
    </c:plotArea>
    <c:legend>
      <c:legendPos val="t"/>
      <c:layout>
        <c:manualLayout>
          <c:xMode val="edge"/>
          <c:yMode val="edge"/>
          <c:x val="0.26119299585897959"/>
          <c:y val="0"/>
          <c:w val="0.46879372162272437"/>
          <c:h val="0.1105668513383604"/>
        </c:manualLayout>
      </c:layout>
      <c:overlay val="0"/>
      <c:txPr>
        <a:bodyPr/>
        <a:lstStyle/>
        <a:p>
          <a:pPr>
            <a:defRPr sz="800"/>
          </a:pPr>
          <a:endParaRPr lang="en-US"/>
        </a:p>
      </c:txPr>
    </c:legend>
    <c:plotVisOnly val="1"/>
    <c:dispBlanksAs val="gap"/>
    <c:showDLblsOverMax val="0"/>
    <c:extLst/>
  </c:chart>
  <c:spPr>
    <a:ln>
      <a:noFill/>
    </a:ln>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29320508034621"/>
          <c:y val="6.8223873215565764E-2"/>
          <c:w val="0.81371137869067356"/>
          <c:h val="0.74650170316572106"/>
        </c:manualLayout>
      </c:layout>
      <c:barChart>
        <c:barDir val="bar"/>
        <c:grouping val="clustered"/>
        <c:varyColors val="0"/>
        <c:ser>
          <c:idx val="0"/>
          <c:order val="1"/>
          <c:tx>
            <c:v>With PCE</c:v>
          </c:tx>
          <c:spPr>
            <a:solidFill>
              <a:schemeClr val="tx1">
                <a:lumMod val="75000"/>
                <a:lumOff val="25000"/>
              </a:schemeClr>
            </a:solidFill>
            <a:ln>
              <a:noFill/>
            </a:ln>
            <a:effectLst/>
          </c:spPr>
          <c:invertIfNegative val="0"/>
          <c:cat>
            <c:strRef>
              <c:f>Sheet3!$D$22:$F$22</c:f>
              <c:strCache>
                <c:ptCount val="3"/>
                <c:pt idx="0">
                  <c:v>CS1</c:v>
                </c:pt>
                <c:pt idx="1">
                  <c:v>CS2</c:v>
                </c:pt>
                <c:pt idx="2">
                  <c:v>CS3</c:v>
                </c:pt>
              </c:strCache>
            </c:strRef>
          </c:cat>
          <c:val>
            <c:numRef>
              <c:f>Sheet3!$D$23:$F$23</c:f>
              <c:numCache>
                <c:formatCode>General</c:formatCode>
                <c:ptCount val="3"/>
                <c:pt idx="0">
                  <c:v>351.5</c:v>
                </c:pt>
                <c:pt idx="1">
                  <c:v>336.7</c:v>
                </c:pt>
                <c:pt idx="2">
                  <c:v>333</c:v>
                </c:pt>
              </c:numCache>
            </c:numRef>
          </c:val>
          <c:extLst>
            <c:ext xmlns:c16="http://schemas.microsoft.com/office/drawing/2014/chart" uri="{C3380CC4-5D6E-409C-BE32-E72D297353CC}">
              <c16:uniqueId val="{00000000-AB11-4FED-989B-5794F2A93FF4}"/>
            </c:ext>
          </c:extLst>
        </c:ser>
        <c:dLbls>
          <c:showLegendKey val="0"/>
          <c:showVal val="0"/>
          <c:showCatName val="0"/>
          <c:showSerName val="0"/>
          <c:showPercent val="0"/>
          <c:showBubbleSize val="0"/>
        </c:dLbls>
        <c:gapWidth val="250"/>
        <c:axId val="1850887151"/>
        <c:axId val="1850884271"/>
      </c:barChart>
      <c:barChart>
        <c:barDir val="bar"/>
        <c:grouping val="clustered"/>
        <c:varyColors val="0"/>
        <c:ser>
          <c:idx val="1"/>
          <c:order val="0"/>
          <c:tx>
            <c:v>Without PCE</c:v>
          </c:tx>
          <c:spPr>
            <a:noFill/>
            <a:ln w="12700">
              <a:solidFill>
                <a:schemeClr val="tx1">
                  <a:lumMod val="75000"/>
                  <a:lumOff val="25000"/>
                </a:schemeClr>
              </a:solidFill>
            </a:ln>
          </c:spPr>
          <c:invertIfNegative val="0"/>
          <c:cat>
            <c:strRef>
              <c:f>Sheet3!$C$24:$E$24</c:f>
              <c:strCache>
                <c:ptCount val="3"/>
                <c:pt idx="0">
                  <c:v>CN</c:v>
                </c:pt>
                <c:pt idx="1">
                  <c:v>CN</c:v>
                </c:pt>
                <c:pt idx="2">
                  <c:v>CN</c:v>
                </c:pt>
              </c:strCache>
            </c:strRef>
          </c:cat>
          <c:val>
            <c:numRef>
              <c:f>Sheet3!$C$25:$E$25</c:f>
              <c:numCache>
                <c:formatCode>General</c:formatCode>
                <c:ptCount val="3"/>
                <c:pt idx="0">
                  <c:v>370</c:v>
                </c:pt>
                <c:pt idx="1">
                  <c:v>370</c:v>
                </c:pt>
                <c:pt idx="2">
                  <c:v>370</c:v>
                </c:pt>
              </c:numCache>
            </c:numRef>
          </c:val>
          <c:extLst>
            <c:ext xmlns:c16="http://schemas.microsoft.com/office/drawing/2014/chart" uri="{C3380CC4-5D6E-409C-BE32-E72D297353CC}">
              <c16:uniqueId val="{00000001-AB11-4FED-989B-5794F2A93FF4}"/>
            </c:ext>
          </c:extLst>
        </c:ser>
        <c:dLbls>
          <c:showLegendKey val="0"/>
          <c:showVal val="0"/>
          <c:showCatName val="0"/>
          <c:showSerName val="0"/>
          <c:showPercent val="0"/>
          <c:showBubbleSize val="0"/>
        </c:dLbls>
        <c:gapWidth val="250"/>
        <c:overlap val="100"/>
        <c:axId val="174643279"/>
        <c:axId val="174636559"/>
      </c:barChart>
      <c:catAx>
        <c:axId val="1850887151"/>
        <c:scaling>
          <c:orientation val="minMax"/>
        </c:scaling>
        <c:delete val="0"/>
        <c:axPos val="l"/>
        <c:numFmt formatCode="General" sourceLinked="1"/>
        <c:majorTickMark val="none"/>
        <c:minorTickMark val="none"/>
        <c:tickLblPos val="nextTo"/>
        <c:spPr>
          <a:noFill/>
          <a:ln w="6350" cap="flat" cmpd="sng" algn="ctr">
            <a:solidFill>
              <a:schemeClr val="tx1">
                <a:lumMod val="75000"/>
                <a:lumOff val="2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850884271"/>
        <c:crosses val="autoZero"/>
        <c:auto val="1"/>
        <c:lblAlgn val="ctr"/>
        <c:lblOffset val="100"/>
        <c:noMultiLvlLbl val="0"/>
      </c:catAx>
      <c:valAx>
        <c:axId val="1850884271"/>
        <c:scaling>
          <c:orientation val="minMax"/>
          <c:max val="370"/>
        </c:scaling>
        <c:delete val="0"/>
        <c:axPos val="b"/>
        <c:title>
          <c:tx>
            <c:rich>
              <a:bodyPr/>
              <a:lstStyle/>
              <a:p>
                <a:pPr>
                  <a:defRPr/>
                </a:pPr>
                <a:r>
                  <a:rPr lang="en-ID" sz="800" b="1" i="0" u="none" strike="noStrike" kern="1200" baseline="0">
                    <a:solidFill>
                      <a:schemeClr val="tx1">
                        <a:lumMod val="65000"/>
                        <a:lumOff val="35000"/>
                      </a:schemeClr>
                    </a:solidFill>
                  </a:rPr>
                  <a:t>Cement Consumption (kg/m</a:t>
                </a:r>
                <a:r>
                  <a:rPr lang="en-ID" sz="800" b="1" i="0" u="none" strike="noStrike" kern="1200" baseline="30000">
                    <a:solidFill>
                      <a:schemeClr val="tx1">
                        <a:lumMod val="65000"/>
                        <a:lumOff val="35000"/>
                      </a:schemeClr>
                    </a:solidFill>
                  </a:rPr>
                  <a:t>3</a:t>
                </a:r>
                <a:r>
                  <a:rPr lang="en-ID" sz="800" b="1" i="0" u="none" strike="noStrike" kern="1200" baseline="0">
                    <a:solidFill>
                      <a:schemeClr val="tx1">
                        <a:lumMod val="65000"/>
                        <a:lumOff val="35000"/>
                      </a:schemeClr>
                    </a:solidFill>
                  </a:rPr>
                  <a:t>)</a:t>
                </a:r>
                <a:endParaRPr lang="en-ID"/>
              </a:p>
            </c:rich>
          </c:tx>
          <c:layout>
            <c:manualLayout>
              <c:xMode val="edge"/>
              <c:yMode val="edge"/>
              <c:x val="0.28915330456901273"/>
              <c:y val="0.90991503620269043"/>
            </c:manualLayout>
          </c:layout>
          <c:overlay val="0"/>
        </c:title>
        <c:numFmt formatCode="General" sourceLinked="1"/>
        <c:majorTickMark val="in"/>
        <c:minorTickMark val="none"/>
        <c:tickLblPos val="nextTo"/>
        <c:spPr>
          <a:noFill/>
          <a:ln>
            <a:solidFill>
              <a:schemeClr val="tx1">
                <a:lumMod val="75000"/>
                <a:lumOff val="2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850887151"/>
        <c:crosses val="autoZero"/>
        <c:crossBetween val="between"/>
        <c:majorUnit val="10"/>
      </c:valAx>
      <c:valAx>
        <c:axId val="174636559"/>
        <c:scaling>
          <c:orientation val="minMax"/>
          <c:max val="355"/>
          <c:min val="320"/>
        </c:scaling>
        <c:delete val="1"/>
        <c:axPos val="t"/>
        <c:numFmt formatCode="General" sourceLinked="1"/>
        <c:majorTickMark val="out"/>
        <c:minorTickMark val="none"/>
        <c:tickLblPos val="nextTo"/>
        <c:crossAx val="174643279"/>
        <c:crosses val="max"/>
        <c:crossBetween val="between"/>
      </c:valAx>
      <c:catAx>
        <c:axId val="174643279"/>
        <c:scaling>
          <c:orientation val="minMax"/>
        </c:scaling>
        <c:delete val="1"/>
        <c:axPos val="l"/>
        <c:numFmt formatCode="General" sourceLinked="1"/>
        <c:majorTickMark val="out"/>
        <c:minorTickMark val="none"/>
        <c:tickLblPos val="nextTo"/>
        <c:crossAx val="174636559"/>
        <c:crosses val="autoZero"/>
        <c:auto val="1"/>
        <c:lblAlgn val="ctr"/>
        <c:lblOffset val="100"/>
        <c:noMultiLvlLbl val="0"/>
      </c:catAx>
    </c:plotArea>
    <c:legend>
      <c:legendPos val="t"/>
      <c:layout>
        <c:manualLayout>
          <c:xMode val="edge"/>
          <c:yMode val="edge"/>
          <c:x val="0.26560313918863782"/>
          <c:y val="0"/>
          <c:w val="0.46879372162272437"/>
          <c:h val="0.1105668513383604"/>
        </c:manualLayout>
      </c:layout>
      <c:overlay val="0"/>
      <c:txPr>
        <a:bodyPr/>
        <a:lstStyle/>
        <a:p>
          <a:pPr>
            <a:defRPr sz="800"/>
          </a:pPr>
          <a:endParaRPr lang="en-US"/>
        </a:p>
      </c:txPr>
    </c:legend>
    <c:plotVisOnly val="1"/>
    <c:dispBlanksAs val="gap"/>
    <c:showDLblsOverMax val="0"/>
    <c:extLst/>
  </c:chart>
  <c:spPr>
    <a:ln>
      <a:noFill/>
    </a:ln>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v>Slump</c:v>
          </c:tx>
          <c:spPr>
            <a:solidFill>
              <a:schemeClr val="bg2">
                <a:lumMod val="75000"/>
              </a:schemeClr>
            </a:solidFill>
          </c:spPr>
          <c:invertIfNegative val="0"/>
          <c:dLbls>
            <c:dLbl>
              <c:idx val="0"/>
              <c:layout>
                <c:manualLayout>
                  <c:x val="-3.5933205698841222E-17"/>
                  <c:y val="1.76418700382240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6C2-4319-9FB8-BF7055D551CA}"/>
                </c:ext>
              </c:extLst>
            </c:dLbl>
            <c:dLbl>
              <c:idx val="1"/>
              <c:layout>
                <c:manualLayout>
                  <c:x val="0"/>
                  <c:y val="1.76418700382240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6C2-4319-9FB8-BF7055D551CA}"/>
                </c:ext>
              </c:extLst>
            </c:dLbl>
            <c:dLbl>
              <c:idx val="2"/>
              <c:layout>
                <c:manualLayout>
                  <c:x val="-7.1866411397682443E-17"/>
                  <c:y val="1.76418700382240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6C2-4319-9FB8-BF7055D551CA}"/>
                </c:ext>
              </c:extLst>
            </c:dLbl>
            <c:dLbl>
              <c:idx val="3"/>
              <c:layout>
                <c:manualLayout>
                  <c:x val="0"/>
                  <c:y val="1.764187003822402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6C2-4319-9FB8-BF7055D551CA}"/>
                </c:ext>
              </c:extLst>
            </c:dLbl>
            <c:spPr>
              <a:noFill/>
              <a:ln>
                <a:noFill/>
              </a:ln>
              <a:effectLst/>
            </c:spPr>
            <c:txPr>
              <a:bodyPr wrap="square" lIns="0" tIns="0" rIns="0" bIns="0" anchor="ctr">
                <a:spAutoFit/>
              </a:bodyPr>
              <a:lstStyle/>
              <a:p>
                <a:pPr>
                  <a:defRPr sz="700"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Sheet4!$C$11:$F$11</c:f>
              <c:strCache>
                <c:ptCount val="4"/>
                <c:pt idx="0">
                  <c:v>CN</c:v>
                </c:pt>
                <c:pt idx="1">
                  <c:v>CS1</c:v>
                </c:pt>
                <c:pt idx="2">
                  <c:v>CS2</c:v>
                </c:pt>
                <c:pt idx="3">
                  <c:v>CS3</c:v>
                </c:pt>
              </c:strCache>
            </c:strRef>
          </c:cat>
          <c:val>
            <c:numRef>
              <c:f>Sheet4!$C$12:$F$12</c:f>
              <c:numCache>
                <c:formatCode>General</c:formatCode>
                <c:ptCount val="4"/>
                <c:pt idx="0">
                  <c:v>100</c:v>
                </c:pt>
                <c:pt idx="1">
                  <c:v>93</c:v>
                </c:pt>
                <c:pt idx="2">
                  <c:v>103</c:v>
                </c:pt>
                <c:pt idx="3">
                  <c:v>125</c:v>
                </c:pt>
              </c:numCache>
            </c:numRef>
          </c:val>
          <c:extLst>
            <c:ext xmlns:c16="http://schemas.microsoft.com/office/drawing/2014/chart" uri="{C3380CC4-5D6E-409C-BE32-E72D297353CC}">
              <c16:uniqueId val="{00000000-F6C2-4319-9FB8-BF7055D551CA}"/>
            </c:ext>
          </c:extLst>
        </c:ser>
        <c:dLbls>
          <c:dLblPos val="outEnd"/>
          <c:showLegendKey val="0"/>
          <c:showVal val="1"/>
          <c:showCatName val="0"/>
          <c:showSerName val="0"/>
          <c:showPercent val="0"/>
          <c:showBubbleSize val="0"/>
        </c:dLbls>
        <c:gapWidth val="219"/>
        <c:axId val="80468367"/>
        <c:axId val="80467407"/>
      </c:barChart>
      <c:lineChart>
        <c:grouping val="standard"/>
        <c:varyColors val="0"/>
        <c:ser>
          <c:idx val="0"/>
          <c:order val="1"/>
          <c:tx>
            <c:v>Water Reduction</c:v>
          </c:tx>
          <c:spPr>
            <a:ln w="9525">
              <a:solidFill>
                <a:schemeClr val="tx1">
                  <a:alpha val="96000"/>
                </a:schemeClr>
              </a:solidFill>
            </a:ln>
            <a:effectLst/>
          </c:spPr>
          <c:marker>
            <c:symbol val="circle"/>
            <c:size val="4"/>
            <c:spPr>
              <a:solidFill>
                <a:schemeClr val="tx1">
                  <a:alpha val="97000"/>
                </a:schemeClr>
              </a:solidFill>
              <a:ln>
                <a:noFill/>
              </a:ln>
            </c:spPr>
          </c:marker>
          <c:dLbls>
            <c:dLbl>
              <c:idx val="0"/>
              <c:delete val="1"/>
              <c:extLst>
                <c:ext xmlns:c15="http://schemas.microsoft.com/office/drawing/2012/chart" uri="{CE6537A1-D6FC-4f65-9D91-7224C49458BB}"/>
                <c:ext xmlns:c16="http://schemas.microsoft.com/office/drawing/2014/chart" uri="{C3380CC4-5D6E-409C-BE32-E72D297353CC}">
                  <c16:uniqueId val="{00000001-F6C2-4319-9FB8-BF7055D551CA}"/>
                </c:ext>
              </c:extLst>
            </c:dLbl>
            <c:dLbl>
              <c:idx val="1"/>
              <c:layout>
                <c:manualLayout>
                  <c:x val="-4.440438673115691E-2"/>
                  <c:y val="4.57072607176675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6C2-4319-9FB8-BF7055D551CA}"/>
                </c:ext>
              </c:extLst>
            </c:dLbl>
            <c:dLbl>
              <c:idx val="2"/>
              <c:layout>
                <c:manualLayout>
                  <c:x val="-5.5282319423909793E-2"/>
                  <c:y val="4.57072607176675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6C2-4319-9FB8-BF7055D551CA}"/>
                </c:ext>
              </c:extLst>
            </c:dLbl>
            <c:dLbl>
              <c:idx val="3"/>
              <c:layout>
                <c:manualLayout>
                  <c:x val="-5.5282319423909723E-2"/>
                  <c:y val="4.57072607176676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6C2-4319-9FB8-BF7055D551CA}"/>
                </c:ext>
              </c:extLst>
            </c:dLbl>
            <c:numFmt formatCode="0%" sourceLinked="0"/>
            <c:spPr>
              <a:noFill/>
              <a:ln>
                <a:noFill/>
              </a:ln>
              <a:effectLst/>
            </c:spPr>
            <c:txPr>
              <a:bodyPr wrap="square" lIns="38100" tIns="19050" rIns="38100" bIns="19050" anchor="ctr">
                <a:spAutoFit/>
              </a:bodyPr>
              <a:lstStyle/>
              <a:p>
                <a:pPr>
                  <a:defRPr sz="700" b="1">
                    <a:solidFill>
                      <a:sysClr val="windowText" lastClr="000000">
                        <a:alpha val="97000"/>
                      </a:sysClr>
                    </a:solidFill>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Sheet4!$C$14:$F$14</c:f>
              <c:strCache>
                <c:ptCount val="4"/>
                <c:pt idx="0">
                  <c:v>CN</c:v>
                </c:pt>
                <c:pt idx="1">
                  <c:v>CS1</c:v>
                </c:pt>
                <c:pt idx="2">
                  <c:v>CS2</c:v>
                </c:pt>
                <c:pt idx="3">
                  <c:v>CS3</c:v>
                </c:pt>
              </c:strCache>
            </c:strRef>
          </c:cat>
          <c:val>
            <c:numRef>
              <c:f>Sheet4!$C$15:$F$15</c:f>
              <c:numCache>
                <c:formatCode>0.0%</c:formatCode>
                <c:ptCount val="4"/>
                <c:pt idx="0" formatCode="General">
                  <c:v>0</c:v>
                </c:pt>
                <c:pt idx="1">
                  <c:v>7.9581151832460673E-2</c:v>
                </c:pt>
                <c:pt idx="2">
                  <c:v>0.1183246073298429</c:v>
                </c:pt>
                <c:pt idx="3">
                  <c:v>0.12827225130890052</c:v>
                </c:pt>
              </c:numCache>
            </c:numRef>
          </c:val>
          <c:smooth val="0"/>
          <c:extLst>
            <c:ext xmlns:c16="http://schemas.microsoft.com/office/drawing/2014/chart" uri="{C3380CC4-5D6E-409C-BE32-E72D297353CC}">
              <c16:uniqueId val="{00000002-F6C2-4319-9FB8-BF7055D551CA}"/>
            </c:ext>
          </c:extLst>
        </c:ser>
        <c:ser>
          <c:idx val="2"/>
          <c:order val="2"/>
          <c:tx>
            <c:v>Cement Reduction</c:v>
          </c:tx>
          <c:spPr>
            <a:ln w="9525">
              <a:solidFill>
                <a:schemeClr val="tx1"/>
              </a:solidFill>
              <a:prstDash val="sysDash"/>
            </a:ln>
          </c:spPr>
          <c:marker>
            <c:symbol val="circle"/>
            <c:size val="4"/>
            <c:spPr>
              <a:noFill/>
              <a:ln w="9525">
                <a:solidFill>
                  <a:schemeClr val="tx1"/>
                </a:solidFill>
              </a:ln>
            </c:spPr>
          </c:marker>
          <c:dLbls>
            <c:dLbl>
              <c:idx val="0"/>
              <c:layout>
                <c:manualLayout>
                  <c:x val="-4.375574863296245E-2"/>
                  <c:y val="-5.06998252222820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C2-4319-9FB8-BF7055D551CA}"/>
                </c:ext>
              </c:extLst>
            </c:dLbl>
            <c:dLbl>
              <c:idx val="1"/>
              <c:layout>
                <c:manualLayout>
                  <c:x val="-4.440438673115691E-2"/>
                  <c:y val="4.5707260717667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6C2-4319-9FB8-BF7055D551CA}"/>
                </c:ext>
              </c:extLst>
            </c:dLbl>
            <c:dLbl>
              <c:idx val="2"/>
              <c:layout>
                <c:manualLayout>
                  <c:x val="-4.8324418091407792E-2"/>
                  <c:y val="4.5707260717667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6C2-4319-9FB8-BF7055D551CA}"/>
                </c:ext>
              </c:extLst>
            </c:dLbl>
            <c:dLbl>
              <c:idx val="3"/>
              <c:layout>
                <c:manualLayout>
                  <c:x val="-5.5282319423909723E-2"/>
                  <c:y val="4.57072607176675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6C2-4319-9FB8-BF7055D551CA}"/>
                </c:ext>
              </c:extLst>
            </c:dLbl>
            <c:numFmt formatCode="0%" sourceLinked="0"/>
            <c:spPr>
              <a:noFill/>
              <a:ln>
                <a:noFill/>
              </a:ln>
              <a:effectLst/>
            </c:spPr>
            <c:txPr>
              <a:bodyPr wrap="square" lIns="38100" tIns="19050" rIns="38100" bIns="19050" anchor="ctr">
                <a:spAutoFit/>
              </a:bodyPr>
              <a:lstStyle/>
              <a:p>
                <a:pPr>
                  <a:defRPr sz="700" b="1"/>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Sheet4!$C$16:$F$16</c:f>
              <c:numCache>
                <c:formatCode>0.0%</c:formatCode>
                <c:ptCount val="4"/>
                <c:pt idx="0" formatCode="General">
                  <c:v>0</c:v>
                </c:pt>
                <c:pt idx="1">
                  <c:v>0.05</c:v>
                </c:pt>
                <c:pt idx="2">
                  <c:v>9.0000000000000024E-2</c:v>
                </c:pt>
                <c:pt idx="3">
                  <c:v>0.1</c:v>
                </c:pt>
              </c:numCache>
            </c:numRef>
          </c:val>
          <c:smooth val="0"/>
          <c:extLst>
            <c:ext xmlns:c16="http://schemas.microsoft.com/office/drawing/2014/chart" uri="{C3380CC4-5D6E-409C-BE32-E72D297353CC}">
              <c16:uniqueId val="{00000004-F6C2-4319-9FB8-BF7055D551CA}"/>
            </c:ext>
          </c:extLst>
        </c:ser>
        <c:dLbls>
          <c:showLegendKey val="0"/>
          <c:showVal val="1"/>
          <c:showCatName val="0"/>
          <c:showSerName val="0"/>
          <c:showPercent val="0"/>
          <c:showBubbleSize val="0"/>
        </c:dLbls>
        <c:marker val="1"/>
        <c:smooth val="0"/>
        <c:axId val="174671599"/>
        <c:axId val="174673039"/>
      </c:lineChart>
      <c:catAx>
        <c:axId val="80468367"/>
        <c:scaling>
          <c:orientation val="minMax"/>
        </c:scaling>
        <c:delete val="0"/>
        <c:axPos val="b"/>
        <c:numFmt formatCode="General" sourceLinked="1"/>
        <c:majorTickMark val="none"/>
        <c:minorTickMark val="none"/>
        <c:tickLblPos val="nextTo"/>
        <c:spPr>
          <a:noFill/>
          <a:ln w="6350" cap="flat" cmpd="sng" algn="ctr">
            <a:solidFill>
              <a:schemeClr val="tx1">
                <a:lumMod val="75000"/>
                <a:lumOff val="2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0467407"/>
        <c:crosses val="autoZero"/>
        <c:auto val="1"/>
        <c:lblAlgn val="ctr"/>
        <c:lblOffset val="100"/>
        <c:noMultiLvlLbl val="0"/>
      </c:catAx>
      <c:valAx>
        <c:axId val="80467407"/>
        <c:scaling>
          <c:orientation val="minMax"/>
          <c:max val="130"/>
          <c:min val="50"/>
        </c:scaling>
        <c:delete val="0"/>
        <c:axPos val="l"/>
        <c:title>
          <c:tx>
            <c:rich>
              <a:bodyPr/>
              <a:lstStyle/>
              <a:p>
                <a:pPr>
                  <a:defRPr sz="800"/>
                </a:pPr>
                <a:r>
                  <a:rPr lang="en-ID" sz="800"/>
                  <a:t>Slump Value (mm)</a:t>
                </a:r>
              </a:p>
            </c:rich>
          </c:tx>
          <c:overlay val="0"/>
        </c:title>
        <c:numFmt formatCode="General" sourceLinked="1"/>
        <c:majorTickMark val="in"/>
        <c:minorTickMark val="none"/>
        <c:tickLblPos val="nextTo"/>
        <c:spPr>
          <a:noFill/>
          <a:ln>
            <a:solidFill>
              <a:schemeClr val="tx1">
                <a:lumMod val="75000"/>
                <a:lumOff val="2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80468367"/>
        <c:crosses val="autoZero"/>
        <c:crossBetween val="between"/>
        <c:majorUnit val="10"/>
      </c:valAx>
      <c:valAx>
        <c:axId val="174673039"/>
        <c:scaling>
          <c:orientation val="minMax"/>
          <c:max val="0.2"/>
          <c:min val="0"/>
        </c:scaling>
        <c:delete val="0"/>
        <c:axPos val="r"/>
        <c:title>
          <c:tx>
            <c:rich>
              <a:bodyPr rot="5400000" vert="horz"/>
              <a:lstStyle/>
              <a:p>
                <a:pPr>
                  <a:defRPr sz="800"/>
                </a:pPr>
                <a:r>
                  <a:rPr lang="en-ID" sz="800"/>
                  <a:t>Amount of Reduction (%)</a:t>
                </a:r>
              </a:p>
            </c:rich>
          </c:tx>
          <c:overlay val="0"/>
        </c:title>
        <c:numFmt formatCode="0%" sourceLinked="0"/>
        <c:majorTickMark val="in"/>
        <c:minorTickMark val="none"/>
        <c:tickLblPos val="nextTo"/>
        <c:spPr>
          <a:ln>
            <a:solidFill>
              <a:schemeClr val="tx1">
                <a:lumMod val="75000"/>
                <a:lumOff val="25000"/>
              </a:schemeClr>
            </a:solidFill>
          </a:ln>
        </c:spPr>
        <c:txPr>
          <a:bodyPr/>
          <a:lstStyle/>
          <a:p>
            <a:pPr>
              <a:defRPr sz="700"/>
            </a:pPr>
            <a:endParaRPr lang="en-US"/>
          </a:p>
        </c:txPr>
        <c:crossAx val="174671599"/>
        <c:crosses val="max"/>
        <c:crossBetween val="between"/>
        <c:majorUnit val="4.0000000000000008E-2"/>
      </c:valAx>
      <c:catAx>
        <c:axId val="174671599"/>
        <c:scaling>
          <c:orientation val="minMax"/>
        </c:scaling>
        <c:delete val="1"/>
        <c:axPos val="b"/>
        <c:numFmt formatCode="General" sourceLinked="1"/>
        <c:majorTickMark val="out"/>
        <c:minorTickMark val="none"/>
        <c:tickLblPos val="nextTo"/>
        <c:crossAx val="174673039"/>
        <c:crosses val="autoZero"/>
        <c:auto val="1"/>
        <c:lblAlgn val="ctr"/>
        <c:lblOffset val="100"/>
        <c:noMultiLvlLbl val="0"/>
      </c:catAx>
    </c:plotArea>
    <c:legend>
      <c:legendPos val="t"/>
      <c:overlay val="0"/>
      <c:txPr>
        <a:bodyPr/>
        <a:lstStyle/>
        <a:p>
          <a:pPr>
            <a:defRPr sz="700"/>
          </a:pPr>
          <a:endParaRPr lang="en-US"/>
        </a:p>
      </c:txPr>
    </c:legend>
    <c:plotVisOnly val="1"/>
    <c:dispBlanksAs val="gap"/>
    <c:showDLblsOverMax val="0"/>
    <c:extLst/>
  </c:chart>
  <c:spPr>
    <a:ln>
      <a:noFill/>
    </a:ln>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4">
  <cs:axisTitle>
    <cs:lnRef idx="0"/>
    <cs:fillRef idx="0"/>
    <cs:effectRef idx="0"/>
    <cs:fontRef idx="minor">
      <a:schemeClr val="dk1">
        <a:lumMod val="50000"/>
        <a:lumOff val="50000"/>
      </a:schemeClr>
    </cs:fontRef>
    <cs:defRPr sz="900" b="1" kern="1200"/>
  </cs:axisTitle>
  <cs:categoryAxis>
    <cs:lnRef idx="0"/>
    <cs:fillRef idx="0"/>
    <cs:effectRef idx="0"/>
    <cs:fontRef idx="minor">
      <a:schemeClr val="dk1">
        <a:lumMod val="50000"/>
        <a:lumOff val="50000"/>
      </a:schemeClr>
    </cs:fontRef>
    <cs:spPr>
      <a:ln w="9525" cap="flat" cmpd="sng" algn="ctr">
        <a:solidFill>
          <a:schemeClr val="dk1">
            <a:lumMod val="15000"/>
            <a:lumOff val="85000"/>
          </a:schemeClr>
        </a:solidFill>
        <a:round/>
      </a:ln>
    </cs:spPr>
    <cs:defRPr sz="900" kern="1200"/>
  </cs:categoryAxis>
  <cs:chartArea>
    <cs:lnRef idx="0"/>
    <cs:fillRef idx="0"/>
    <cs:effectRef idx="0"/>
    <cs:fontRef idx="minor">
      <a:schemeClr val="dk1"/>
    </cs:fontRef>
    <cs:spPr>
      <a:gradFill flip="none" rotWithShape="1">
        <a:gsLst>
          <a:gs pos="100000">
            <a:schemeClr val="lt1">
              <a:lumMod val="95000"/>
            </a:schemeClr>
          </a:gs>
          <a:gs pos="43000">
            <a:schemeClr val="lt1"/>
          </a:gs>
        </a:gsLst>
        <a:path path="circle">
          <a:fillToRect l="50000" t="50000" r="50000" b="50000"/>
        </a:path>
        <a:tileRect/>
      </a:gra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a:solidFill>
          <a:schemeClr val="phClr">
            <a:alpha val="20000"/>
          </a:schemeClr>
        </a:solidFill>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50000"/>
        <a:lumOff val="50000"/>
      </a:schemeClr>
    </cs:fontRef>
    <cs:spPr>
      <a:ln w="9525" cap="rnd">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a:solidFill>
          <a:schemeClr val="dk1">
            <a:lumMod val="50000"/>
            <a:lumOff val="50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15000"/>
            <a:lumOff val="85000"/>
          </a:schemeClr>
        </a:solidFill>
        <a:round/>
      </a:ln>
    </cs:spPr>
  </cs:gridlineMajor>
  <cs:gridlineMinor>
    <cs:lnRef idx="0"/>
    <cs:fillRef idx="0"/>
    <cs:effectRef idx="0"/>
    <cs:fontRef idx="minor">
      <a:schemeClr val="tx1"/>
    </cs:fontRef>
    <cs:spPr>
      <a:ln w="9525" cap="flat" cmpd="sng" algn="ctr">
        <a:solidFill>
          <a:schemeClr val="dk1">
            <a:lumMod val="5000"/>
            <a:lumOff val="95000"/>
          </a:schemeClr>
        </a:solidFill>
        <a:round/>
      </a:ln>
    </cs:spPr>
  </cs:gridlineMinor>
  <cs:hiLoLine>
    <cs:lnRef idx="0"/>
    <cs:fillRef idx="0"/>
    <cs:effectRef idx="0"/>
    <cs:fontRef idx="minor">
      <a:schemeClr val="tx1"/>
    </cs:fontRef>
    <cs:spPr>
      <a:ln w="9525">
        <a:solidFill>
          <a:schemeClr val="dk1">
            <a:lumMod val="35000"/>
            <a:lumOff val="6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50000"/>
        <a:lumOff val="50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50000"/>
        <a:lumOff val="50000"/>
      </a:schemeClr>
    </cs:fontRef>
    <cs:spPr>
      <a:ln w="9525">
        <a:solidFill>
          <a:schemeClr val="dk1">
            <a:lumMod val="15000"/>
            <a:lumOff val="85000"/>
          </a:schemeClr>
        </a:solidFill>
      </a:ln>
    </cs:spPr>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50000"/>
        <a:lumOff val="50000"/>
      </a:schemeClr>
    </cs:fontRef>
    <cs:defRPr sz="1600" b="0" kern="1200" spc="70" baseline="0"/>
  </cs:title>
  <cs:trendline>
    <cs:lnRef idx="0">
      <cs:styleClr val="0"/>
    </cs:lnRef>
    <cs:fillRef idx="0"/>
    <cs:effectRef idx="0"/>
    <cs:fontRef idx="minor">
      <a:schemeClr val="tx1"/>
    </cs:fontRef>
    <cs:spPr>
      <a:ln w="63500" cap="rnd" cmpd="sng" algn="ctr">
        <a:solidFill>
          <a:schemeClr val="phClr">
            <a:alpha val="25000"/>
          </a:schemeClr>
        </a:solidFill>
        <a:round/>
      </a:ln>
    </cs:spPr>
  </cs:trendline>
  <cs:trendlineLabel>
    <cs:lnRef idx="0"/>
    <cs:fillRef idx="0"/>
    <cs:effectRef idx="0"/>
    <cs:fontRef idx="minor">
      <a:schemeClr val="dk1">
        <a:lumMod val="50000"/>
        <a:lumOff val="50000"/>
      </a:schemeClr>
    </cs:fontRef>
    <cs:defRPr sz="900" kern="1200"/>
  </cs:trendlineLabel>
  <cs:upBar>
    <cs:lnRef idx="0"/>
    <cs:fillRef idx="0"/>
    <cs:effectRef idx="0"/>
    <cs:fontRef idx="minor">
      <a:schemeClr val="tx1"/>
    </cs:fontRef>
    <cs:spPr>
      <a:solidFill>
        <a:schemeClr val="lt1"/>
      </a:solidFill>
      <a:ln w="9525">
        <a:solidFill>
          <a:schemeClr val="dk1">
            <a:lumMod val="50000"/>
            <a:lumOff val="50000"/>
          </a:schemeClr>
        </a:solidFill>
      </a:ln>
    </cs:spPr>
  </cs:upBar>
  <cs:valueAxis>
    <cs:lnRef idx="0"/>
    <cs:fillRef idx="0"/>
    <cs:effectRef idx="0"/>
    <cs:fontRef idx="minor">
      <a:schemeClr val="dk1">
        <a:lumMod val="50000"/>
        <a:lumOff val="50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6</Pages>
  <Words>8416</Words>
  <Characters>47974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346</cp:revision>
  <cp:lastPrinted>2019-11-26T03:45:00Z</cp:lastPrinted>
  <dcterms:created xsi:type="dcterms:W3CDTF">2019-09-25T01:30:00Z</dcterms:created>
  <dcterms:modified xsi:type="dcterms:W3CDTF">2024-11-05T00:41:00Z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http://www.zotero.org/styles/norsk-apa-manual</vt:lpwstr>
  </property>
  <property fmtid="{D5CDD505-2E9C-101B-9397-08002B2CF9AE}" pid="21" name="Mendeley Recent Style Name 9_1">
    <vt:lpwstr>Norsk APA-manual - APA 7th edition (author-date)</vt:lpwstr>
  </property>
  <property fmtid="{D5CDD505-2E9C-101B-9397-08002B2CF9AE}" pid="22" name="Mendeley Document_1">
    <vt:lpwstr>True</vt:lpwstr>
  </property>
  <property fmtid="{D5CDD505-2E9C-101B-9397-08002B2CF9AE}" pid="23" name="Mendeley Unique User Id_1">
    <vt:lpwstr>3375f6b3-0e24-376b-8574-2a3ba0b8222b</vt:lpwstr>
  </property>
  <property fmtid="{D5CDD505-2E9C-101B-9397-08002B2CF9AE}" pid="24" name="Mendeley Citation Style_1">
    <vt:lpwstr>http://www.zotero.org/styles/ieee</vt:lpwstr>
  </property>
</Properties>
</file>