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37CE" w:rsidRDefault="00C037CE" w:rsidP="00D30640">
      <w:pPr>
        <w:pStyle w:val="PaperTitle"/>
        <w:spacing w:before="0"/>
      </w:pPr>
    </w:p>
    <w:p w:rsidR="00C037CE" w:rsidRDefault="00C037CE" w:rsidP="00D30640">
      <w:pPr>
        <w:pStyle w:val="PaperTitle"/>
        <w:spacing w:before="0"/>
      </w:pPr>
    </w:p>
    <w:p w:rsidR="00C037CE" w:rsidRDefault="00C037CE" w:rsidP="00D30640">
      <w:pPr>
        <w:pStyle w:val="PaperTitle"/>
        <w:spacing w:before="0"/>
      </w:pPr>
    </w:p>
    <w:p w:rsidR="0016385D" w:rsidRPr="00075EA6" w:rsidRDefault="00963872" w:rsidP="00D30640">
      <w:pPr>
        <w:pStyle w:val="PaperTitle"/>
        <w:spacing w:before="0"/>
        <w:rPr>
          <w:b w:val="0"/>
          <w:bCs/>
          <w:sz w:val="24"/>
          <w:szCs w:val="24"/>
        </w:rPr>
      </w:pPr>
      <w:r w:rsidRPr="00963872">
        <w:t>The Use of Hydrated Lime and Calcium Carbonate as Filler in Green Concrete Development</w:t>
      </w:r>
    </w:p>
    <w:p w:rsidR="00C14B14" w:rsidRDefault="006914B1" w:rsidP="2F830975">
      <w:pPr>
        <w:pStyle w:val="AuthorName"/>
        <w:rPr>
          <w:sz w:val="20"/>
          <w:lang w:val="en-GB" w:eastAsia="en-GB"/>
        </w:rPr>
      </w:pPr>
      <w:r w:rsidRPr="006914B1">
        <w:t>Rizki Amalia Tri Cahyani</w:t>
      </w:r>
      <w:r w:rsidRPr="006914B1">
        <w:rPr>
          <w:vertAlign w:val="superscript"/>
        </w:rPr>
        <w:t>1,a)</w:t>
      </w:r>
      <w:r w:rsidRPr="006914B1">
        <w:t>, Yunan Rusdianto</w:t>
      </w:r>
      <w:r w:rsidRPr="006914B1">
        <w:rPr>
          <w:vertAlign w:val="superscript"/>
        </w:rPr>
        <w:t>1,b)</w:t>
      </w:r>
      <w:r w:rsidRPr="006914B1">
        <w:t>, Zamzami Septiropa</w:t>
      </w:r>
      <w:r w:rsidRPr="006914B1">
        <w:rPr>
          <w:vertAlign w:val="superscript"/>
        </w:rPr>
        <w:t>1,c)</w:t>
      </w:r>
    </w:p>
    <w:p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rsidR="00407E01" w:rsidRDefault="00027428" w:rsidP="00407E01">
      <w:pPr>
        <w:pStyle w:val="AuthorAffiliation"/>
      </w:pPr>
      <w:r w:rsidRPr="2F830975">
        <w:rPr>
          <w:i w:val="0"/>
          <w:vertAlign w:val="superscript"/>
        </w:rPr>
        <w:t xml:space="preserve"> </w:t>
      </w:r>
      <w:r w:rsidR="00407E01" w:rsidRPr="00B6146E">
        <w:rPr>
          <w:vertAlign w:val="superscript"/>
        </w:rPr>
        <w:t>1</w:t>
      </w:r>
      <w:r w:rsidR="00407E01">
        <w:t xml:space="preserve">Department of Civil Engineering, Universitas Muhammadiyah Malang, Malang, Indonesia </w:t>
      </w:r>
    </w:p>
    <w:p w:rsidR="00C14B14" w:rsidRDefault="00C14B14" w:rsidP="00407E01">
      <w:pPr>
        <w:pStyle w:val="AuthorAffiliation"/>
      </w:pPr>
      <w:r w:rsidRPr="00075EA6">
        <w:br/>
      </w:r>
      <w:r>
        <w:t>Author Emails</w:t>
      </w:r>
    </w:p>
    <w:p w:rsidR="006F17FB" w:rsidRPr="002E09EC" w:rsidRDefault="006F17FB" w:rsidP="006F17FB">
      <w:pPr>
        <w:pStyle w:val="AuthorEmail"/>
        <w:rPr>
          <w:shd w:val="clear" w:color="auto" w:fill="FFFFFF"/>
        </w:rPr>
      </w:pPr>
      <w:r>
        <w:rPr>
          <w:shd w:val="clear" w:color="auto" w:fill="FFFFFF"/>
          <w:vertAlign w:val="superscript"/>
        </w:rPr>
        <w:t>a)</w:t>
      </w:r>
      <w:r w:rsidRPr="002E09EC">
        <w:rPr>
          <w:shd w:val="clear" w:color="auto" w:fill="FFFFFF"/>
          <w:lang w:val="id-ID"/>
        </w:rPr>
        <w:t xml:space="preserve">Corresponding author: </w:t>
      </w:r>
      <w:hyperlink r:id="rId9" w:history="1">
        <w:r>
          <w:rPr>
            <w:shd w:val="clear" w:color="auto" w:fill="FFFFFF"/>
          </w:rPr>
          <w:t>rizkiatcahyani@umm.ac.id</w:t>
        </w:r>
      </w:hyperlink>
    </w:p>
    <w:p w:rsidR="006F17FB" w:rsidRDefault="006F17FB" w:rsidP="006F17FB">
      <w:pPr>
        <w:pStyle w:val="AuthorEmail"/>
      </w:pPr>
      <w:r>
        <w:rPr>
          <w:vertAlign w:val="superscript"/>
        </w:rPr>
        <w:t>b)</w:t>
      </w:r>
      <w:r>
        <w:t>yunanrusdianto@umm.ac.id</w:t>
      </w:r>
    </w:p>
    <w:p w:rsidR="006F17FB" w:rsidRDefault="006F17FB" w:rsidP="006F17FB">
      <w:pPr>
        <w:pStyle w:val="AuthorEmail"/>
      </w:pPr>
      <w:r>
        <w:rPr>
          <w:vertAlign w:val="superscript"/>
        </w:rPr>
        <w:t>c)</w:t>
      </w:r>
      <w:r w:rsidRPr="000A71CD">
        <w:t>zamseptiropa@umm.ac.id</w:t>
      </w:r>
    </w:p>
    <w:p w:rsidR="0016385D" w:rsidRDefault="0016385D" w:rsidP="00461599">
      <w:pPr>
        <w:pStyle w:val="Abstract"/>
        <w:spacing w:after="120"/>
      </w:pPr>
      <w:r w:rsidRPr="00075EA6">
        <w:rPr>
          <w:b/>
          <w:bCs/>
        </w:rPr>
        <w:t>Abstract.</w:t>
      </w:r>
      <w:r w:rsidRPr="00075EA6">
        <w:t xml:space="preserve"> </w:t>
      </w:r>
      <w:r w:rsidR="00A244A7" w:rsidRPr="00A244A7">
        <w:t>This study aims to develop structural concrete with a lower environmental impact by implementing two strategies: reducing water and cement content through the use of a superplasticizer, and adding hydrated lime or calcium carbonate as fillers to compensate for reduced paste volume and enhance matrix density. Concrete mixtures were prepared with a 10% reduction in binder and water, incorporating either hydrated lime or calcium carbonate at replacement levels of 5% and 10% by weight of cement. Workability and compressive strength were evaluated to assess the performance of the concrete mixes. Results show that the use of a superplasticizer significantly improved both workability and compressive strength, despite the 10% reduction in water and cement content. The addition of hydrated lime or calcium carbonate as fillers reduced slump, with the effect more pronounced at higher filler contents. Hydrated lime replacement slightly decreased compressive strength due to its lower specific gravity and limited hydraulic reactivity, whereas calcium carbonate maintained comparable early-age strength through its filler effect but exhibited a decline in strength at 28 days.</w:t>
      </w:r>
    </w:p>
    <w:p w:rsidR="00461599" w:rsidRDefault="00461599" w:rsidP="00461599">
      <w:pPr>
        <w:pStyle w:val="Abstract"/>
        <w:spacing w:before="120"/>
      </w:pPr>
      <w:r w:rsidRPr="00186794">
        <w:rPr>
          <w:b/>
        </w:rPr>
        <w:t xml:space="preserve">Keywords: </w:t>
      </w:r>
      <w:r w:rsidRPr="00186794">
        <w:t>Concrete, superplasticizer, mineral filler, cement reduction, workability, compressive strength.</w:t>
      </w:r>
      <w:r>
        <w:t xml:space="preserve"> </w:t>
      </w:r>
    </w:p>
    <w:p w:rsidR="003A287B" w:rsidRPr="00075EA6" w:rsidRDefault="00001C41" w:rsidP="00003D7C">
      <w:pPr>
        <w:pStyle w:val="Heading1"/>
        <w:rPr>
          <w:b w:val="0"/>
          <w:caps w:val="0"/>
          <w:sz w:val="20"/>
        </w:rPr>
      </w:pPr>
      <w:r w:rsidRPr="00001C41">
        <w:t>INTRODUCTION</w:t>
      </w:r>
    </w:p>
    <w:p w:rsidR="008C46D4" w:rsidRPr="002E6A11" w:rsidRDefault="008C46D4" w:rsidP="008C46D4">
      <w:pPr>
        <w:ind w:firstLine="284"/>
        <w:jc w:val="both"/>
        <w:rPr>
          <w:sz w:val="20"/>
          <w:szCs w:val="16"/>
        </w:rPr>
      </w:pPr>
      <w:r w:rsidRPr="002E6A11">
        <w:rPr>
          <w:sz w:val="20"/>
          <w:szCs w:val="16"/>
        </w:rPr>
        <w:t xml:space="preserve">Cement manufacturing is a major contributor to greenhouse gas emissions, accounting for approximately 7-8% of global emissions of carbon dioxide </w:t>
      </w:r>
      <w:r w:rsidRPr="002E6A11">
        <w:rPr>
          <w:sz w:val="20"/>
          <w:szCs w:val="16"/>
        </w:rPr>
        <w:fldChar w:fldCharType="begin" w:fldLock="1"/>
      </w:r>
      <w:r w:rsidR="00156B89">
        <w:rPr>
          <w:sz w:val="20"/>
          <w:szCs w:val="16"/>
        </w:rPr>
        <w:instrText>ADDIN CSL_CITATION {"citationItems":[{"id":"ITEM-1","itemData":{"DOI":"10.1051/matecconf/202540912003","ISSN":"2261-236X","abstract":"Ultra-high-performance concrete (UHPC) is recognized as one of the most advanced concrete materials used in the construction and execution of concrete structures and precast components in civil engineering. These types of concrete, characterized by very high compressive strength and exceptional durability properties, are primarily utilized to fabricate precast parts in bridges and buildings. One of the main challenges associated with these concretes is the high consumption of cement, which this research addresses. In this study, nine mix designs were defined, incorporating 0%, 5%, and 10% calcium carbonate (CaCO3) as a partial substitute for cement, alongside 15%, 20%, and 25% silica fume also as a replacement for cement, to investigate the effects of these two additives on the properties of UHPC. Compression and electrical resistance tests were conducted at ages 7, 28, and 90 days, revealing the optimal percentages of 20% silica fume and 5% CaCO3. Additionally, tests for final water absorption and accelerated chloride ion penetration demonstrated a reduction in the permeability of these concretes with an increase in the silica fume content by up to 25%.","author":[{"dropping-particle":"","family":"Tavakoli","given":"Davoud","non-dropping-particle":"","parse-names":false,"suffix":""},{"dropping-particle":"","family":"Saradar","given":"Ashkan","non-dropping-particle":"","parse-names":false,"suffix":""},{"dropping-particle":"","family":"Langaroudi","given":"Mir Alimohammad Mirgozar","non-dropping-particle":"","parse-names":false,"suffix":""},{"dropping-particle":"","family":"Moein","given":"Mohammad Mohtasham","non-dropping-particle":"","parse-names":false,"suffix":""},{"dropping-particle":"","family":"Karakouzian","given":"Moses","non-dropping-particle":"","parse-names":false,"suffix":""}],"container-title":"MATEC Web of Conferences","editor":[{"dropping-particle":"","family":"Grantham","given":"M.","non-dropping-particle":"","parse-names":false,"suffix":""},{"dropping-particle":"","family":"Custodio","given":"J.","non-dropping-particle":"","parse-names":false,"suffix":""},{"dropping-particle":"","family":"Real","given":"S.","non-dropping-particle":"","parse-names":false,"suffix":""}],"id":"ITEM-1","issued":{"date-parts":[["2025","6","13"]]},"page":"12003","title":"The influence of calcium carbonate on the mechanical properties and durability of ultra-high-performance concrete with varying silica fume content","type":"article-journal","volume":"409"},"uris":["http://www.mendeley.com/documents/?uuid=f8170404-9bd2-4d00-ad31-43cd03892226"]},{"id":"ITEM-2","itemData":{"DOI":"10.1016/j.dibe.2023.100177","ISSN":"26661659","author":[{"dropping-particle":"","family":"Nilimaa","given":"Jonny","non-dropping-particle":"","parse-names":false,"suffix":""}],"container-title":"Developments in the Built Environment","id":"ITEM-2","issued":{"date-parts":[["2023","10"]]},"page":"100177","title":"Smart materials and technologies for sustainable concrete construction","type":"article-journal","volume":"15"},"uris":["http://www.mendeley.com/documents/?uuid=db4ac44e-876b-43ef-b6bf-4bd90244f44d"]}],"mendeley":{"formattedCitation":"(1,2)","plainTextFormattedCitation":"(1,2)","previouslyFormattedCitation":"[1], [2]"},"properties":{"noteIndex":0},"schema":"https://github.com/citation-style-language/schema/raw/master/csl-citation.json"}</w:instrText>
      </w:r>
      <w:r w:rsidRPr="002E6A11">
        <w:rPr>
          <w:sz w:val="20"/>
          <w:szCs w:val="16"/>
        </w:rPr>
        <w:fldChar w:fldCharType="separate"/>
      </w:r>
      <w:r w:rsidR="00156B89" w:rsidRPr="00156B89">
        <w:rPr>
          <w:noProof/>
          <w:sz w:val="20"/>
          <w:szCs w:val="16"/>
        </w:rPr>
        <w:t>(1,2)</w:t>
      </w:r>
      <w:r w:rsidRPr="002E6A11">
        <w:rPr>
          <w:sz w:val="20"/>
          <w:szCs w:val="16"/>
        </w:rPr>
        <w:fldChar w:fldCharType="end"/>
      </w:r>
      <w:r w:rsidRPr="002E6A11">
        <w:rPr>
          <w:sz w:val="20"/>
          <w:szCs w:val="16"/>
        </w:rPr>
        <w:t xml:space="preserve">. A significant portion of these emissions arises during clinker production, where calcium carbonate is calcinated and converted to lime, the primary component of cement, and releasing carbon dioxide as a by-product </w:t>
      </w:r>
      <w:r w:rsidRPr="002E6A11">
        <w:rPr>
          <w:sz w:val="20"/>
          <w:szCs w:val="16"/>
        </w:rPr>
        <w:fldChar w:fldCharType="begin" w:fldLock="1"/>
      </w:r>
      <w:r w:rsidR="00156B89">
        <w:rPr>
          <w:sz w:val="20"/>
          <w:szCs w:val="16"/>
        </w:rPr>
        <w:instrText>ADDIN CSL_CITATION {"citationItems":[{"id":"ITEM-1","itemData":{"DOI":"10.1016/j.prostr.2020.06.019","ISSN":"24523216","author":[{"dropping-particle":"","family":"Cosentino","given":"Isabella","non-dropping-particle":"","parse-names":false,"suffix":""},{"dropping-particle":"","family":"Liendo","given":"Freddy","non-dropping-particle":"","parse-names":false,"suffix":""},{"dropping-particle":"","family":"Arduino","given":"Mara","non-dropping-particle":"","parse-names":false,"suffix":""},{"dropping-particle":"","family":"Restuccia","given":"Luciana","non-dropping-particle":"","parse-names":false,"suffix":""},{"dropping-particle":"","family":"Bensaid","given":"Samir","non-dropping-particle":"","parse-names":false,"suffix":""},{"dropping-particle":"","family":"Deorsola","given":"Fabio","non-dropping-particle":"","parse-names":false,"suffix":""},{"dropping-particle":"","family":"Ferro","given":"Giuseppe Andrea","non-dropping-particle":"","parse-names":false,"suffix":""}],"container-title":"Procedia Structural Integrity","id":"ITEM-1","issued":{"date-parts":[["2020"]]},"page":"155-165","title":"Nano CaCO3 particles in cement mortars towards developing a circular economy in the cement industry","type":"article-journal","volume":"26"},"uris":["http://www.mendeley.com/documents/?uuid=313e3f1b-6a44-479d-8580-e9f88fb49b77"]}],"mendeley":{"formattedCitation":"(3)","plainTextFormattedCitation":"(3)","previouslyFormattedCitation":"[3]"},"properties":{"noteIndex":0},"schema":"https://github.com/citation-style-language/schema/raw/master/csl-citation.json"}</w:instrText>
      </w:r>
      <w:r w:rsidRPr="002E6A11">
        <w:rPr>
          <w:sz w:val="20"/>
          <w:szCs w:val="16"/>
        </w:rPr>
        <w:fldChar w:fldCharType="separate"/>
      </w:r>
      <w:r w:rsidR="00156B89" w:rsidRPr="00156B89">
        <w:rPr>
          <w:noProof/>
          <w:sz w:val="20"/>
          <w:szCs w:val="16"/>
        </w:rPr>
        <w:t>(3)</w:t>
      </w:r>
      <w:r w:rsidRPr="002E6A11">
        <w:rPr>
          <w:sz w:val="20"/>
          <w:szCs w:val="16"/>
        </w:rPr>
        <w:fldChar w:fldCharType="end"/>
      </w:r>
      <w:r w:rsidRPr="002E6A11">
        <w:rPr>
          <w:sz w:val="20"/>
          <w:szCs w:val="16"/>
        </w:rPr>
        <w:t xml:space="preserve">. Nevertheless, the cement industry continues to grow, driven by increasing demand for new infrastructure and housing due to rapid urbanization and population growth in developed countries </w:t>
      </w:r>
      <w:r w:rsidRPr="002E6A11">
        <w:rPr>
          <w:sz w:val="20"/>
          <w:szCs w:val="16"/>
        </w:rPr>
        <w:fldChar w:fldCharType="begin" w:fldLock="1"/>
      </w:r>
      <w:r w:rsidR="00156B89">
        <w:rPr>
          <w:sz w:val="20"/>
          <w:szCs w:val="16"/>
        </w:rPr>
        <w:instrText>ADDIN CSL_CITATION {"citationItems":[{"id":"ITEM-1","itemData":{"DOI":"10.1016/j.dibe.2023.100177","ISSN":"26661659","author":[{"dropping-particle":"","family":"Nilimaa","given":"Jonny","non-dropping-particle":"","parse-names":false,"suffix":""}],"container-title":"Developments in the Built Environment","id":"ITEM-1","issued":{"date-parts":[["2023","10"]]},"page":"100177","title":"Smart materials and technologies for sustainable concrete construction","type":"article-journal","volume":"15"},"uris":["http://www.mendeley.com/documents/?uuid=db4ac44e-876b-43ef-b6bf-4bd90244f44d"]}],"mendeley":{"formattedCitation":"(2)","plainTextFormattedCitation":"(2)","previouslyFormattedCitation":"[2]"},"properties":{"noteIndex":0},"schema":"https://github.com/citation-style-language/schema/raw/master/csl-citation.json"}</w:instrText>
      </w:r>
      <w:r w:rsidRPr="002E6A11">
        <w:rPr>
          <w:sz w:val="20"/>
          <w:szCs w:val="16"/>
        </w:rPr>
        <w:fldChar w:fldCharType="separate"/>
      </w:r>
      <w:r w:rsidR="00156B89" w:rsidRPr="00156B89">
        <w:rPr>
          <w:noProof/>
          <w:sz w:val="20"/>
          <w:szCs w:val="16"/>
        </w:rPr>
        <w:t>(2)</w:t>
      </w:r>
      <w:r w:rsidRPr="002E6A11">
        <w:rPr>
          <w:sz w:val="20"/>
          <w:szCs w:val="16"/>
        </w:rPr>
        <w:fldChar w:fldCharType="end"/>
      </w:r>
      <w:r w:rsidRPr="002E6A11">
        <w:rPr>
          <w:sz w:val="20"/>
          <w:szCs w:val="16"/>
        </w:rPr>
        <w:t xml:space="preserve">. World Cement Association indicate that global cement production could reach 8.2 billion tonnes by 2030 </w:t>
      </w:r>
      <w:r w:rsidRPr="002E6A11">
        <w:rPr>
          <w:sz w:val="20"/>
          <w:szCs w:val="16"/>
        </w:rPr>
        <w:fldChar w:fldCharType="begin" w:fldLock="1"/>
      </w:r>
      <w:r w:rsidR="00156B89">
        <w:rPr>
          <w:sz w:val="20"/>
          <w:szCs w:val="16"/>
        </w:rPr>
        <w:instrText>ADDIN CSL_CITATION {"citationItems":[{"id":"ITEM-1","itemData":{"DOI":"10.1038/s41597-023-02599-w","ISSN":"2052-4463","abstract":"Cement producers and their investors are navigating evolving risks and opportunities as the sector’s climate and sustainability implications become more prominent. While many companies now disclose greenhouse gas emissions, the majority from carbon-intensive industries appear to delegate emissions to less efficient suppliers. Recognizing this, we underscore the necessity for a globally consolidated asset-level dataset, which acknowledges production inputs provenance. Our approach not only consolidates data from established sources like development banks and governments but innovatively integrates the age of plants and the sourcing patterns of raw materials as two foundational variables of the asset-level data. These variables are instrumental in modeling cement production utilization rates, which in turn, critically influence a company’s greenhouse emissions. Our method successfully combines geospatial computer vision and Large Language Modelling techniques to ensure a comprehensive and holistic understanding of global cement production dynamics.","author":[{"dropping-particle":"","family":"Tkachenko","given":"Nataliya","non-dropping-particle":"","parse-names":false,"suffix":""},{"dropping-particle":"","family":"Tang","given":"Kevin","non-dropping-particle":"","parse-names":false,"suffix":""},{"dropping-particle":"","family":"McCarten","given":"Matthew","non-dropping-particle":"","parse-names":false,"suffix":""},{"dropping-particle":"","family":"Reece","given":"Steven","non-dropping-particle":"","parse-names":false,"suffix":""},{"dropping-particle":"","family":"Kampmann","given":"David","non-dropping-particle":"","parse-names":false,"suffix":""},{"dropping-particle":"","family":"Hickey","given":"Conor","non-dropping-particle":"","parse-names":false,"suffix":""},{"dropping-particle":"","family":"Bayaraa","given":"Maral","non-dropping-particle":"","parse-names":false,"suffix":""},{"dropping-particle":"","family":"Foster","given":"Peter","non-dropping-particle":"","parse-names":false,"suffix":""},{"dropping-particle":"","family":"Layman","given":"Courtney","non-dropping-particle":"","parse-names":false,"suffix":""},{"dropping-particle":"","family":"Rossi","given":"Cristian","non-dropping-particle":"","parse-names":false,"suffix":""},{"dropping-particle":"","family":"Scott","given":"Kimberly","non-dropping-particle":"","parse-names":false,"suffix":""},{"dropping-particle":"","family":"Yoken","given":"Dave","non-dropping-particle":"","parse-names":false,"suffix":""},{"dropping-particle":"","family":"Christiaen","given":"Christophe","non-dropping-particle":"","parse-names":false,"suffix":""},{"dropping-particle":"","family":"Caldecott","given":"Ben","non-dropping-particle":"","parse-names":false,"suffix":""}],"container-title":"Scientific Data","id":"ITEM-1","issue":"1","issued":{"date-parts":[["2023","10","13"]]},"page":"696","title":"Global database of cement production assets and upstream suppliers","type":"article-journal","volume":"10"},"uris":["http://www.mendeley.com/documents/?uuid=5a56611e-800f-4613-9984-2f7aa4aa21be"]}],"mendeley":{"formattedCitation":"(4)","plainTextFormattedCitation":"(4)","previouslyFormattedCitation":"[4]"},"properties":{"noteIndex":0},"schema":"https://github.com/citation-style-language/schema/raw/master/csl-citation.json"}</w:instrText>
      </w:r>
      <w:r w:rsidRPr="002E6A11">
        <w:rPr>
          <w:sz w:val="20"/>
          <w:szCs w:val="16"/>
        </w:rPr>
        <w:fldChar w:fldCharType="separate"/>
      </w:r>
      <w:r w:rsidR="00156B89" w:rsidRPr="00156B89">
        <w:rPr>
          <w:noProof/>
          <w:sz w:val="20"/>
          <w:szCs w:val="16"/>
        </w:rPr>
        <w:t>(4)</w:t>
      </w:r>
      <w:r w:rsidRPr="002E6A11">
        <w:rPr>
          <w:sz w:val="20"/>
          <w:szCs w:val="16"/>
        </w:rPr>
        <w:fldChar w:fldCharType="end"/>
      </w:r>
      <w:r w:rsidRPr="002E6A11">
        <w:rPr>
          <w:sz w:val="20"/>
          <w:szCs w:val="16"/>
        </w:rPr>
        <w:t>. Growing environmental concerns highlight the urgent need for the cement industry to adopt strategies that significantly reduce its harmful emissions.</w:t>
      </w:r>
    </w:p>
    <w:p w:rsidR="008C46D4" w:rsidRPr="002E6A11" w:rsidRDefault="008C46D4" w:rsidP="008C46D4">
      <w:pPr>
        <w:ind w:firstLine="284"/>
        <w:jc w:val="both"/>
        <w:rPr>
          <w:sz w:val="20"/>
          <w:szCs w:val="16"/>
        </w:rPr>
      </w:pPr>
      <w:r w:rsidRPr="002E6A11">
        <w:rPr>
          <w:sz w:val="20"/>
          <w:szCs w:val="16"/>
        </w:rPr>
        <w:t xml:space="preserve">To address these issues, a new concept of concrete has emerged, called green concrete, which </w:t>
      </w:r>
      <w:r w:rsidRPr="000230FB">
        <w:rPr>
          <w:sz w:val="20"/>
          <w:szCs w:val="16"/>
        </w:rPr>
        <w:t>designed to reduce environmental impacts by incorporating recycled and industrial by-products</w:t>
      </w:r>
      <w:r w:rsidRPr="002E6A11">
        <w:rPr>
          <w:sz w:val="20"/>
          <w:szCs w:val="16"/>
        </w:rPr>
        <w:t xml:space="preserve"> as partial replacements for cement or aggregates </w:t>
      </w:r>
      <w:r w:rsidRPr="002E6A11">
        <w:rPr>
          <w:sz w:val="20"/>
          <w:szCs w:val="16"/>
        </w:rPr>
        <w:fldChar w:fldCharType="begin" w:fldLock="1"/>
      </w:r>
      <w:r w:rsidR="00156B89">
        <w:rPr>
          <w:sz w:val="20"/>
          <w:szCs w:val="16"/>
        </w:rPr>
        <w:instrText>ADDIN CSL_CITATION {"citationItems":[{"id":"ITEM-1","itemData":{"DOI":"10.3390/su16125093","ISSN":"2071-1050","abstract":"Green concrete is a concept of concrete that uses waste materials to reduce its environmental impact and has various benefits for the environment, economy, and society, such as lower construction cost, less landfill waste, new waste markets, and better quality of life. This study aims to investigate and analyze the barriers and enablers for green concrete development and implementation, based on a mixed-method approach that combines a scientometric analysis and a literature review. The Scopus database was explored first and then these data were used to investigate and capture six categories of barriers and enablers: awareness, technical, economic and market, implementation, support/promotion, and social. Results reveal that the technical and operational aspects are the main challenges for green concrete, while the awareness and social acceptance are not major issues. The current study surpasses the mere popularization of green concrete. Instead, it delves into its multifaceted dimensions, that is, technical, economic, social, and institutional. By meticulously analyzing a diverse group of research articles, key challenges and opportunities associated with green concrete are pinpointed. The findings not only deepen our understanding of the barriers impeding the widespread adoption of green concrete, but also shed light on potential solutions. In summary, this work bridges theory and practice, providing invaluable insights for future researchers, practitioners, and policymakers in the sustainable construction domain.","author":[{"dropping-particle":"","family":"Al-Otaibi","given":"Ali","non-dropping-particle":"","parse-names":false,"suffix":""}],"container-title":"Sustainability","id":"ITEM-1","issue":"12","issued":{"date-parts":[["2024","6","14"]]},"page":"5093","title":"Barriers and Enablers for Green Concrete Adoption: A Scientometric Aided Literature Review Approach","type":"article-journal","volume":"16"},"uris":["http://www.mendeley.com/documents/?uuid=3ab6f612-4420-4975-80fb-a66c999ecc74"]}],"mendeley":{"formattedCitation":"(5)","plainTextFormattedCitation":"(5)","previouslyFormattedCitation":"[5]"},"properties":{"noteIndex":0},"schema":"https://github.com/citation-style-language/schema/raw/master/csl-citation.json"}</w:instrText>
      </w:r>
      <w:r w:rsidRPr="002E6A11">
        <w:rPr>
          <w:sz w:val="20"/>
          <w:szCs w:val="16"/>
        </w:rPr>
        <w:fldChar w:fldCharType="separate"/>
      </w:r>
      <w:r w:rsidR="00156B89" w:rsidRPr="00156B89">
        <w:rPr>
          <w:noProof/>
          <w:sz w:val="20"/>
          <w:szCs w:val="16"/>
        </w:rPr>
        <w:t>(5)</w:t>
      </w:r>
      <w:r w:rsidRPr="002E6A11">
        <w:rPr>
          <w:sz w:val="20"/>
          <w:szCs w:val="16"/>
        </w:rPr>
        <w:fldChar w:fldCharType="end"/>
      </w:r>
      <w:r w:rsidRPr="002E6A11">
        <w:rPr>
          <w:sz w:val="20"/>
          <w:szCs w:val="16"/>
        </w:rPr>
        <w:t xml:space="preserve">. It should also have enhanced durability, performance, and life cycle sustainability </w:t>
      </w:r>
      <w:r w:rsidRPr="002E6A11">
        <w:rPr>
          <w:sz w:val="20"/>
          <w:szCs w:val="16"/>
        </w:rPr>
        <w:fldChar w:fldCharType="begin" w:fldLock="1"/>
      </w:r>
      <w:r w:rsidR="00156B89">
        <w:rPr>
          <w:sz w:val="20"/>
          <w:szCs w:val="16"/>
        </w:rPr>
        <w:instrText>ADDIN CSL_CITATION {"citationItems":[{"id":"ITEM-1","itemData":{"DOI":"10.1016/j.proeng.2014.12.190","ISSN":"18777058","author":[{"dropping-particle":"","family":"Suhendro","given":"Bambang","non-dropping-particle":"","parse-names":false,"suffix":""}],"container-title":"Procedia Engineering","id":"ITEM-1","issued":{"date-parts":[["2014"]]},"page":"305-320","title":"Toward Green Concrete for Better Sustainable Environment","type":"article-journal","volume":"95"},"uris":["http://www.mendeley.com/documents/?uuid=2afadf89-6dfc-497a-be05-8ae0a505d0c3"]}],"mendeley":{"formattedCitation":"(6)","plainTextFormattedCitation":"(6)","previouslyFormattedCitation":"[6]"},"properties":{"noteIndex":0},"schema":"https://github.com/citation-style-language/schema/raw/master/csl-citation.json"}</w:instrText>
      </w:r>
      <w:r w:rsidRPr="002E6A11">
        <w:rPr>
          <w:sz w:val="20"/>
          <w:szCs w:val="16"/>
        </w:rPr>
        <w:fldChar w:fldCharType="separate"/>
      </w:r>
      <w:r w:rsidR="00156B89" w:rsidRPr="00156B89">
        <w:rPr>
          <w:noProof/>
          <w:sz w:val="20"/>
          <w:szCs w:val="16"/>
        </w:rPr>
        <w:t>(6)</w:t>
      </w:r>
      <w:r w:rsidRPr="002E6A11">
        <w:rPr>
          <w:sz w:val="20"/>
          <w:szCs w:val="16"/>
        </w:rPr>
        <w:fldChar w:fldCharType="end"/>
      </w:r>
      <w:r w:rsidRPr="002E6A11">
        <w:rPr>
          <w:sz w:val="20"/>
          <w:szCs w:val="16"/>
        </w:rPr>
        <w:t xml:space="preserve">. Such mix designs are intended to conserve natural resources, decrease the carbon footprint linked to cement manufacturing, and minimize the environmental impact of concrete production </w:t>
      </w:r>
      <w:r w:rsidRPr="002E6A11">
        <w:rPr>
          <w:sz w:val="20"/>
          <w:szCs w:val="16"/>
        </w:rPr>
        <w:fldChar w:fldCharType="begin" w:fldLock="1"/>
      </w:r>
      <w:r w:rsidR="00156B89">
        <w:rPr>
          <w:sz w:val="20"/>
          <w:szCs w:val="16"/>
        </w:rPr>
        <w:instrText>ADDIN CSL_CITATION {"citationItems":[{"id":"ITEM-1","itemData":{"DOI":"10.1016/j.dibe.2023.100177","ISSN":"26661659","author":[{"dropping-particle":"","family":"Nilimaa","given":"Jonny","non-dropping-particle":"","parse-names":false,"suffix":""}],"container-title":"Developments in the Built Environment","id":"ITEM-1","issued":{"date-parts":[["2023","10"]]},"page":"100177","title":"Smart materials and technologies for sustainable concrete construction","type":"article-journal","volume":"15"},"uris":["http://www.mendeley.com/documents/?uuid=db4ac44e-876b-43ef-b6bf-4bd90244f44d"]}],"mendeley":{"formattedCitation":"(2)","plainTextFormattedCitation":"(2)","previouslyFormattedCitation":"[2]"},"properties":{"noteIndex":0},"schema":"https://github.com/citation-style-language/schema/raw/master/csl-citation.json"}</w:instrText>
      </w:r>
      <w:r w:rsidRPr="002E6A11">
        <w:rPr>
          <w:sz w:val="20"/>
          <w:szCs w:val="16"/>
        </w:rPr>
        <w:fldChar w:fldCharType="separate"/>
      </w:r>
      <w:r w:rsidR="00156B89" w:rsidRPr="00156B89">
        <w:rPr>
          <w:noProof/>
          <w:sz w:val="20"/>
          <w:szCs w:val="16"/>
        </w:rPr>
        <w:t>(2)</w:t>
      </w:r>
      <w:r w:rsidRPr="002E6A11">
        <w:rPr>
          <w:sz w:val="20"/>
          <w:szCs w:val="16"/>
        </w:rPr>
        <w:fldChar w:fldCharType="end"/>
      </w:r>
      <w:r w:rsidRPr="002E6A11">
        <w:rPr>
          <w:sz w:val="20"/>
          <w:szCs w:val="16"/>
        </w:rPr>
        <w:t xml:space="preserve">. Another strategy </w:t>
      </w:r>
      <w:r w:rsidRPr="000230FB">
        <w:rPr>
          <w:sz w:val="20"/>
          <w:szCs w:val="16"/>
        </w:rPr>
        <w:t>to reduce cement content is the use of water-reducing admixtures,</w:t>
      </w:r>
      <w:r w:rsidRPr="002E6A11">
        <w:rPr>
          <w:sz w:val="20"/>
          <w:szCs w:val="16"/>
        </w:rPr>
        <w:t xml:space="preserve"> such as superplasticizer,</w:t>
      </w:r>
      <w:r w:rsidRPr="000230FB">
        <w:rPr>
          <w:sz w:val="20"/>
          <w:szCs w:val="16"/>
        </w:rPr>
        <w:t xml:space="preserve"> which lower water demand while maintaining or improving concrete’s mechanical properties</w:t>
      </w:r>
      <w:r w:rsidRPr="002E6A11">
        <w:rPr>
          <w:sz w:val="20"/>
          <w:szCs w:val="16"/>
        </w:rPr>
        <w:t xml:space="preserve"> </w:t>
      </w:r>
      <w:r w:rsidRPr="002E6A11">
        <w:rPr>
          <w:sz w:val="20"/>
          <w:szCs w:val="16"/>
        </w:rPr>
        <w:fldChar w:fldCharType="begin" w:fldLock="1"/>
      </w:r>
      <w:r w:rsidR="00156B89">
        <w:rPr>
          <w:sz w:val="20"/>
          <w:szCs w:val="16"/>
        </w:rPr>
        <w:instrText>ADDIN CSL_CITATION {"citationItems":[{"id":"ITEM-1","itemData":{"DOI":"10.37394/232022.2022.2.13","abstract":"This study aimed to study the effects of asuperplasticizing admixture, namely, Sikament-NN superplasticizer, on concrete properties, such as workability and compressive strength. Experiments were performed on different concrete mixes with water–cement ratios of 0.50, 0.55, and 0.60. The superplasticizer dosages by weight of cement were 0%, 0.8%, 1%, and 1.2%. The experiments were classified into two phases: the first phase focused on the effects of superplasticizer admixture on workability and compressive strength, and the second phase determined the influence of superplasticizer admixture on concrete quality by reducing the amount of mixing water. Results showed that the addition of superplasticizer admixture improved workability and compressive strength. The experiment program included tests on workability, slump test, and flow table. For hardened concrete’s compressive strength test, we compared the properties of superplasticizer-based concrete with those of concrete without superplasticizer. The superplasticizer led to a significant water reduction but maintained workability.","author":[{"dropping-particle":"","family":"Alsadey","given":"Salahaldein","non-dropping-particle":"","parse-names":false,"suffix":""},{"dropping-particle":"","family":"Omran","given":"Abdelnaser","non-dropping-particle":"","parse-names":false,"suffix":""}],"container-title":"DESIGN, CONSTRUCTION, MAINTENANCE","id":"ITEM-1","issued":{"date-parts":[["2022"]]},"title":"Effect of Superplasticizers to Enhance the Properties of Concrete","type":"article-journal","volume":"2"},"uris":["http://www.mendeley.com/documents/?uuid=97694718-fbe7-4f16-9098-6be8f5e390db"]}],"mendeley":{"formattedCitation":"(7)","plainTextFormattedCitation":"(7)","previouslyFormattedCitation":"[7]"},"properties":{"noteIndex":0},"schema":"https://github.com/citation-style-language/schema/raw/master/csl-citation.json"}</w:instrText>
      </w:r>
      <w:r w:rsidRPr="002E6A11">
        <w:rPr>
          <w:sz w:val="20"/>
          <w:szCs w:val="16"/>
        </w:rPr>
        <w:fldChar w:fldCharType="separate"/>
      </w:r>
      <w:r w:rsidR="00156B89" w:rsidRPr="00156B89">
        <w:rPr>
          <w:noProof/>
          <w:sz w:val="20"/>
          <w:szCs w:val="16"/>
        </w:rPr>
        <w:t>(7)</w:t>
      </w:r>
      <w:r w:rsidRPr="002E6A11">
        <w:rPr>
          <w:sz w:val="20"/>
          <w:szCs w:val="16"/>
        </w:rPr>
        <w:fldChar w:fldCharType="end"/>
      </w:r>
      <w:r w:rsidRPr="000230FB">
        <w:rPr>
          <w:sz w:val="20"/>
          <w:szCs w:val="16"/>
        </w:rPr>
        <w:t>.</w:t>
      </w:r>
      <w:r w:rsidRPr="002E6A11">
        <w:rPr>
          <w:sz w:val="20"/>
          <w:szCs w:val="16"/>
        </w:rPr>
        <w:t xml:space="preserve"> </w:t>
      </w:r>
    </w:p>
    <w:p w:rsidR="008C46D4" w:rsidRPr="002E6A11" w:rsidRDefault="008C46D4" w:rsidP="008C46D4">
      <w:pPr>
        <w:ind w:firstLine="284"/>
        <w:jc w:val="both"/>
        <w:rPr>
          <w:sz w:val="20"/>
          <w:szCs w:val="16"/>
        </w:rPr>
      </w:pPr>
      <w:r w:rsidRPr="002E6A11">
        <w:rPr>
          <w:sz w:val="20"/>
          <w:szCs w:val="16"/>
        </w:rPr>
        <w:t xml:space="preserve">Superplasticizer admixtures in cement-based materials can be applied either to improve workability at a given water-to-cement (w/c) ratio or to reduce water demand while maintaining a target workability </w:t>
      </w:r>
      <w:r w:rsidRPr="002E6A11">
        <w:rPr>
          <w:sz w:val="20"/>
          <w:szCs w:val="16"/>
        </w:rPr>
        <w:fldChar w:fldCharType="begin" w:fldLock="1"/>
      </w:r>
      <w:r w:rsidR="00156B89">
        <w:rPr>
          <w:sz w:val="20"/>
          <w:szCs w:val="16"/>
        </w:rPr>
        <w:instrText>ADDIN CSL_CITATION {"citationItems":[{"id":"ITEM-1","itemData":{"DOI":"10.22219/jmts.v22i1.32730","ISSN":"2597-7660","abstract":"Penggunaan superplastisizer dalam campuran beton secara signifikan mereduksi kebutuhan air dalam campuran dengan tetap mempertahankan kelecakannya, sehingga terjadi peningkatan kekuatan dan durabilitas beton. Namun, penggunaan superplastisizer yang berlebihan dapat mengakibatkan masalah bleeding dan segregasi pada campuran beton yang akan berdampak pada perlemahan beton. Penelitian ini bertujuan untuk menentukan kadar optimum superplastisizer dan tingkat reduksi air dalam campuran beton yang dapat mencapai atau meningkatkan kelecakan dan kuat tekan yang direncanakan. Studi dilakukan terhadap tiga jenis superplastiziser, yaitu SPC-200, Sikament LN, dan Sika Viscocrete 3115N. Untuk pembuatan beton normal, hasil penelitian menyarankan penggunaan superplastisizer SPC-200 pada kadar 0,4% - 0,6% dengan tingkat reduksi air 5,5% - 9%, Sikament LN pada kadar 0,4 - 1% dengan tingkat reduksi air 5% - 12,5%, dan Sika Viscocrete 3115N pada kadar 0,6% - 1% dan tingkat reduksi air 13% - 19%. Selain itu, berdasarkan tingkat kelecakan dan kuat tekan beton, kadar optimum superplasticizer adalah SPC-200 pada 0,65% dengan reduksi air 9,8%, Sikament LN pada 0,68% dengan reduksi air 8,5%, dan Sika Viscocrete 3115N pada 0,82% dengan reduksi air 17,5%.","author":[{"dropping-particle":"","family":"Ardiansyah","given":"Putra Pratama","non-dropping-particle":"","parse-names":false,"suffix":""},{"dropping-particle":"","family":"Cahyani","given":"Rizki Amalia Tri","non-dropping-particle":"","parse-names":false,"suffix":""},{"dropping-particle":"","family":"Rusdianto","given":"Yunan","non-dropping-particle":"","parse-names":false,"suffix":""}],"container-title":"Jurnal Media Teknik Sipil","id":"ITEM-1","issue":"1","issued":{"date-parts":[["2024","2","28"]]},"page":"31-38","title":"Optimalisasi Penggunaan Superplastisizer dan Reduksi Air untuk Peningkatan Kinerja Beton","type":"article-journal","volume":"22"},"uris":["http://www.mendeley.com/documents/?uuid=d9ab2c7f-c71a-470c-a4b5-4dbd681329a4"]}],"mendeley":{"formattedCitation":"(8)","plainTextFormattedCitation":"(8)","previouslyFormattedCitation":"[8]"},"properties":{"noteIndex":0},"schema":"https://github.com/citation-style-language/schema/raw/master/csl-citation.json"}</w:instrText>
      </w:r>
      <w:r w:rsidRPr="002E6A11">
        <w:rPr>
          <w:sz w:val="20"/>
          <w:szCs w:val="16"/>
        </w:rPr>
        <w:fldChar w:fldCharType="separate"/>
      </w:r>
      <w:r w:rsidR="00156B89" w:rsidRPr="00156B89">
        <w:rPr>
          <w:noProof/>
          <w:sz w:val="20"/>
          <w:szCs w:val="16"/>
        </w:rPr>
        <w:t>(8)</w:t>
      </w:r>
      <w:r w:rsidRPr="002E6A11">
        <w:rPr>
          <w:sz w:val="20"/>
          <w:szCs w:val="16"/>
        </w:rPr>
        <w:fldChar w:fldCharType="end"/>
      </w:r>
      <w:r w:rsidRPr="002E6A11">
        <w:rPr>
          <w:sz w:val="20"/>
          <w:szCs w:val="16"/>
        </w:rPr>
        <w:t xml:space="preserve">. By lowering the w/c ratio while keeping the same level of workability, concrete can achieve significantly higher strength compared to mixes without superplasticizers </w:t>
      </w:r>
      <w:r w:rsidRPr="002E6A11">
        <w:rPr>
          <w:sz w:val="20"/>
          <w:szCs w:val="16"/>
        </w:rPr>
        <w:fldChar w:fldCharType="begin" w:fldLock="1"/>
      </w:r>
      <w:r w:rsidR="00156B89">
        <w:rPr>
          <w:sz w:val="20"/>
          <w:szCs w:val="16"/>
        </w:rPr>
        <w:instrText>ADDIN CSL_CITATION {"citationItems":[{"id":"ITEM-1","itemData":{"DOI":"10.3390/ma16052075","ISSN":"1996-1944","abstract":"The paper deals with the effectiveness of various types of polymers (naphthalene formaldehyde, polycarboxylate, and lignosulfonate) as superplasticizers of concrete mixtures based on low-clinker slag Portland cement. Using the mathematical planning experimental method and statistical models of water demand of concrete mixtures with polymer superplasticizers, as well as concrete strength at different ages and under different curing conditions (normal curing and after steaming) were obtained. According to the models, the superplasticizer’s water-reducing effect and relative change in concrete strength were obtained. The proposed criterion for evaluating the effectiveness and compatibility of superplasticizers with cement takes into account the water-reducing effect of the superplasticizer and the corresponding relative change in concrete strength. The results demonstrate that the use of the investigated superplasticizer types and low-clinker slag Portland cement allows for achieving a significant increase in concrete strength. The effective contents of various polymer types, which allow the achieving of concrete strengths from 50 MPa to 80 Mpa, has been found.","author":[{"dropping-particle":"","family":"Dvorkin","given":"Leonid","non-dropping-particle":"","parse-names":false,"suffix":""},{"dropping-particle":"","family":"Zhitkovsky","given":"Vadim","non-dropping-particle":"","parse-names":false,"suffix":""},{"dropping-particle":"","family":"Makarenko","given":"Ruslan","non-dropping-particle":"","parse-names":false,"suffix":""},{"dropping-particle":"","family":"Ribakov","given":"Yuri","non-dropping-particle":"","parse-names":false,"suffix":""}],"container-title":"Materials","id":"ITEM-1","issue":"5","issued":{"date-parts":[["2023","3","3"]]},"page":"2075","title":"The Influence of Polymer Superplasticizers on Properties of High-Strength Concrete Based on Low-Clinker Slag Portland Cement","type":"article-journal","volume":"16"},"uris":["http://www.mendeley.com/documents/?uuid=87880d81-35df-42b8-a76d-e262f5206f63"]}],"mendeley":{"formattedCitation":"(9)","plainTextFormattedCitation":"(9)","previouslyFormattedCitation":"[9]"},"properties":{"noteIndex":0},"schema":"https://github.com/citation-style-language/schema/raw/master/csl-citation.json"}</w:instrText>
      </w:r>
      <w:r w:rsidRPr="002E6A11">
        <w:rPr>
          <w:sz w:val="20"/>
          <w:szCs w:val="16"/>
        </w:rPr>
        <w:fldChar w:fldCharType="separate"/>
      </w:r>
      <w:r w:rsidR="00156B89" w:rsidRPr="00156B89">
        <w:rPr>
          <w:noProof/>
          <w:sz w:val="20"/>
          <w:szCs w:val="16"/>
        </w:rPr>
        <w:t>(9)</w:t>
      </w:r>
      <w:r w:rsidRPr="002E6A11">
        <w:rPr>
          <w:sz w:val="20"/>
          <w:szCs w:val="16"/>
        </w:rPr>
        <w:fldChar w:fldCharType="end"/>
      </w:r>
      <w:r w:rsidRPr="002E6A11">
        <w:rPr>
          <w:sz w:val="20"/>
          <w:szCs w:val="16"/>
        </w:rPr>
        <w:t xml:space="preserve">.  Furthermore, at a constant w/c ratio, both water and cement contents can be reduced simultaneously without compromising fluidity or compressive strength. The reduced water and cement </w:t>
      </w:r>
      <w:r w:rsidRPr="002E6A11">
        <w:rPr>
          <w:sz w:val="20"/>
          <w:szCs w:val="16"/>
        </w:rPr>
        <w:lastRenderedPageBreak/>
        <w:t xml:space="preserve">volumes can then be replaced with finely ground mineral fillers, thereby optimizing concrete density without compromising performance </w:t>
      </w:r>
      <w:r w:rsidRPr="002E6A11">
        <w:rPr>
          <w:sz w:val="20"/>
          <w:szCs w:val="16"/>
        </w:rPr>
        <w:fldChar w:fldCharType="begin" w:fldLock="1"/>
      </w:r>
      <w:r w:rsidR="00156B89">
        <w:rPr>
          <w:sz w:val="20"/>
          <w:szCs w:val="16"/>
        </w:rPr>
        <w:instrText>ADDIN CSL_CITATION {"citationItems":[{"id":"ITEM-1","itemData":{"DOI":"10.1016/B978-0-12-804524-4.00004-X","author":[{"dropping-particle":"","family":"Proske","given":"T.","non-dropping-particle":"","parse-names":false,"suffix":""},{"dropping-particle":"","family":"Hainer","given":"S.","non-dropping-particle":"","parse-names":false,"suffix":""},{"dropping-particle":"","family":"Rezvani","given":"M.","non-dropping-particle":"","parse-names":false,"suffix":""},{"dropping-particle":"","family":"Graubner","given":"C.-A.","non-dropping-particle":"","parse-names":false,"suffix":""}],"container-title":"Handbook of Low Carbon Concrete","id":"ITEM-1","issued":{"date-parts":[["2017"]]},"page":"63-87","publisher":"Elsevier","title":"Eco-Friendly Concretes With Reduced Water and Cement Content","type":"chapter"},"uris":["http://www.mendeley.com/documents/?uuid=6e7a1623-14e2-4f9c-8ee9-0db153d15254"]}],"mendeley":{"formattedCitation":"(10)","plainTextFormattedCitation":"(10)","previouslyFormattedCitation":"[10]"},"properties":{"noteIndex":0},"schema":"https://github.com/citation-style-language/schema/raw/master/csl-citation.json"}</w:instrText>
      </w:r>
      <w:r w:rsidRPr="002E6A11">
        <w:rPr>
          <w:sz w:val="20"/>
          <w:szCs w:val="16"/>
        </w:rPr>
        <w:fldChar w:fldCharType="separate"/>
      </w:r>
      <w:r w:rsidR="00156B89" w:rsidRPr="00156B89">
        <w:rPr>
          <w:noProof/>
          <w:sz w:val="20"/>
          <w:szCs w:val="16"/>
        </w:rPr>
        <w:t>(10)</w:t>
      </w:r>
      <w:r w:rsidRPr="002E6A11">
        <w:rPr>
          <w:sz w:val="20"/>
          <w:szCs w:val="16"/>
        </w:rPr>
        <w:fldChar w:fldCharType="end"/>
      </w:r>
      <w:r w:rsidRPr="002E6A11">
        <w:rPr>
          <w:sz w:val="20"/>
          <w:szCs w:val="16"/>
        </w:rPr>
        <w:t>.</w:t>
      </w:r>
    </w:p>
    <w:p w:rsidR="008C46D4" w:rsidRPr="002E6A11" w:rsidRDefault="008C46D4" w:rsidP="008C46D4">
      <w:pPr>
        <w:ind w:firstLine="284"/>
        <w:jc w:val="both"/>
        <w:rPr>
          <w:sz w:val="20"/>
          <w:szCs w:val="16"/>
        </w:rPr>
      </w:pPr>
      <w:r w:rsidRPr="002E6A11">
        <w:rPr>
          <w:sz w:val="20"/>
          <w:szCs w:val="16"/>
        </w:rPr>
        <w:t xml:space="preserve">A filler is a finely ground material, typically with a particle size comparable to that of Portland cement, which can positively influence various properties of concrete, including workability, density, permeability, capillarity, bleeding, and resistance to cracking. While fillers are generally chemically inert, their performance is not diminished if they possess some hydraulic activity or participate in harmless reactions with the hydration products in the cement paste. Among the various types of fillers, calcium carbonate (CaCO₃) is widely recognized for its dual benefits: it improves matrix density through a physical filling effect and accelerates cement hydration via a nucleation mechanism </w:t>
      </w:r>
      <w:r w:rsidRPr="002E6A11">
        <w:rPr>
          <w:sz w:val="20"/>
          <w:szCs w:val="16"/>
        </w:rPr>
        <w:fldChar w:fldCharType="begin" w:fldLock="1"/>
      </w:r>
      <w:r w:rsidR="00156B89">
        <w:rPr>
          <w:sz w:val="20"/>
          <w:szCs w:val="16"/>
        </w:rPr>
        <w:instrText>ADDIN CSL_CITATION {"citationItems":[{"id":"ITEM-1","itemData":{"DOI":"10.1051/matecconf/202540912003","ISSN":"2261-236X","abstract":"Ultra-high-performance concrete (UHPC) is recognized as one of the most advanced concrete materials used in the construction and execution of concrete structures and precast components in civil engineering. These types of concrete, characterized by very high compressive strength and exceptional durability properties, are primarily utilized to fabricate precast parts in bridges and buildings. One of the main challenges associated with these concretes is the high consumption of cement, which this research addresses. In this study, nine mix designs were defined, incorporating 0%, 5%, and 10% calcium carbonate (CaCO3) as a partial substitute for cement, alongside 15%, 20%, and 25% silica fume also as a replacement for cement, to investigate the effects of these two additives on the properties of UHPC. Compression and electrical resistance tests were conducted at ages 7, 28, and 90 days, revealing the optimal percentages of 20% silica fume and 5% CaCO3. Additionally, tests for final water absorption and accelerated chloride ion penetration demonstrated a reduction in the permeability of these concretes with an increase in the silica fume content by up to 25%.","author":[{"dropping-particle":"","family":"Tavakoli","given":"Davoud","non-dropping-particle":"","parse-names":false,"suffix":""},{"dropping-particle":"","family":"Saradar","given":"Ashkan","non-dropping-particle":"","parse-names":false,"suffix":""},{"dropping-particle":"","family":"Langaroudi","given":"Mir Alimohammad Mirgozar","non-dropping-particle":"","parse-names":false,"suffix":""},{"dropping-particle":"","family":"Moein","given":"Mohammad Mohtasham","non-dropping-particle":"","parse-names":false,"suffix":""},{"dropping-particle":"","family":"Karakouzian","given":"Moses","non-dropping-particle":"","parse-names":false,"suffix":""}],"container-title":"MATEC Web of Conferences","editor":[{"dropping-particle":"","family":"Grantham","given":"M.","non-dropping-particle":"","parse-names":false,"suffix":""},{"dropping-particle":"","family":"Custodio","given":"J.","non-dropping-particle":"","parse-names":false,"suffix":""},{"dropping-particle":"","family":"Real","given":"S.","non-dropping-particle":"","parse-names":false,"suffix":""}],"id":"ITEM-1","issued":{"date-parts":[["2025","6","13"]]},"page":"12003","title":"The influence of calcium carbonate on the mechanical properties and durability of ultra-high-performance concrete with varying silica fume content","type":"article-journal","volume":"409"},"uris":["http://www.mendeley.com/documents/?uuid=f8170404-9bd2-4d00-ad31-43cd03892226"]}],"mendeley":{"formattedCitation":"(1)","plainTextFormattedCitation":"(1)","previouslyFormattedCitation":"[1]"},"properties":{"noteIndex":0},"schema":"https://github.com/citation-style-language/schema/raw/master/csl-citation.json"}</w:instrText>
      </w:r>
      <w:r w:rsidRPr="002E6A11">
        <w:rPr>
          <w:sz w:val="20"/>
          <w:szCs w:val="16"/>
        </w:rPr>
        <w:fldChar w:fldCharType="separate"/>
      </w:r>
      <w:r w:rsidR="00156B89" w:rsidRPr="00156B89">
        <w:rPr>
          <w:noProof/>
          <w:sz w:val="20"/>
          <w:szCs w:val="16"/>
        </w:rPr>
        <w:t>(1)</w:t>
      </w:r>
      <w:r w:rsidRPr="002E6A11">
        <w:rPr>
          <w:sz w:val="20"/>
          <w:szCs w:val="16"/>
        </w:rPr>
        <w:fldChar w:fldCharType="end"/>
      </w:r>
      <w:r w:rsidRPr="002E6A11">
        <w:rPr>
          <w:sz w:val="20"/>
          <w:szCs w:val="16"/>
        </w:rPr>
        <w:t xml:space="preserve">. This process results in a denser microstructure, with CaCO₃ particles partially integrating into the calcium-silicate-hydrate (C-S-H) phase, thereby enhancing overall performance </w:t>
      </w:r>
      <w:r w:rsidRPr="002E6A11">
        <w:rPr>
          <w:sz w:val="20"/>
          <w:szCs w:val="16"/>
        </w:rPr>
        <w:fldChar w:fldCharType="begin" w:fldLock="1"/>
      </w:r>
      <w:r w:rsidR="00156B89">
        <w:rPr>
          <w:sz w:val="20"/>
          <w:szCs w:val="16"/>
        </w:rPr>
        <w:instrText>ADDIN CSL_CITATION {"citationItems":[{"id":"ITEM-1","itemData":{"DOI":"10.3141/2141-11","ISSN":"0361-1981","abstract":"A previous study indicated that the early hydration and strength development of ordinary portland cement (OPC) delayed by the presence of high volumes of supplementary cementitious materials were compensated for by the accelerating effect of nano-CaCO 3 . The mechanism responsible for the accelerating effect on the early hydration and strength development was, however, not fully understood. A study aimed at understanding the accelerating mechanism of the addition of nano-CaCO 3 on the hydration of tricalcium silicate (C 3 S) is presented in this paper. A comparison with the addition of micro-CaCO 3 was made. The hydration mechanism of C 3 S with the addition of micro- or nano-CaCO 3 was studied by conduction calorimetry, thermogravimetric analysis, and scanning electron microscopy. The conduction calorimetry results indicated that the addition of nano-CaCO 3 had an accelerating effect on the hydration of C 3 S as well as on the hydration of OPC. Furthermore, the induction period of C 3 S hydration was significantly shortened by the addition of nano-CaCO 3 . The results of the thermogravimetric analysis indicated that the amount of nano-CaCO 3 decreased as the hydration of C 3 S took place; the decrease was greater with the hydration of OPC. The scanning electron microscopy revealed that the accelerating mechanism in the presence of micro-CaCO 3 was considerably different from that of nano-CaCO 3 . Calcium silicate hydrate growth was observed around the nano-CaCO 3 particles. The observation suggested that the seeding effect due to the addition of nano-CaCO 3 was responsible for the accelerating effect on the hydration of C 3 S.","author":[{"dropping-particle":"","family":"Sato","given":"Taijiro","non-dropping-particle":"","parse-names":false,"suffix":""},{"dropping-particle":"","family":"Diallo","given":"Fatoumata","non-dropping-particle":"","parse-names":false,"suffix":""}],"container-title":"Transportation Research Record: Journal of the Transportation Research Board","id":"ITEM-1","issue":"1","issued":{"date-parts":[["2010","1","1"]]},"page":"61-67","title":"Seeding Effect of Nano-CaCO 3 on the Hydration of Tricalcium Silicate","type":"article-journal","volume":"2141"},"uris":["http://www.mendeley.com/documents/?uuid=4d0f8011-eef8-4d11-b3f5-c18a49437a26"]}],"mendeley":{"formattedCitation":"(11)","plainTextFormattedCitation":"(11)","previouslyFormattedCitation":"[11]"},"properties":{"noteIndex":0},"schema":"https://github.com/citation-style-language/schema/raw/master/csl-citation.json"}</w:instrText>
      </w:r>
      <w:r w:rsidRPr="002E6A11">
        <w:rPr>
          <w:sz w:val="20"/>
          <w:szCs w:val="16"/>
        </w:rPr>
        <w:fldChar w:fldCharType="separate"/>
      </w:r>
      <w:r w:rsidR="00156B89" w:rsidRPr="00156B89">
        <w:rPr>
          <w:noProof/>
          <w:sz w:val="20"/>
          <w:szCs w:val="16"/>
        </w:rPr>
        <w:t>(11)</w:t>
      </w:r>
      <w:r w:rsidRPr="002E6A11">
        <w:rPr>
          <w:sz w:val="20"/>
          <w:szCs w:val="16"/>
        </w:rPr>
        <w:fldChar w:fldCharType="end"/>
      </w:r>
      <w:r w:rsidRPr="000230FB">
        <w:rPr>
          <w:sz w:val="20"/>
          <w:szCs w:val="16"/>
        </w:rPr>
        <w:t>.</w:t>
      </w:r>
    </w:p>
    <w:p w:rsidR="008C46D4" w:rsidRPr="002E6A11" w:rsidRDefault="008C46D4" w:rsidP="008C46D4">
      <w:pPr>
        <w:ind w:firstLine="284"/>
        <w:jc w:val="both"/>
        <w:rPr>
          <w:sz w:val="20"/>
          <w:szCs w:val="16"/>
        </w:rPr>
      </w:pPr>
      <w:r w:rsidRPr="002E6A11">
        <w:rPr>
          <w:sz w:val="20"/>
          <w:szCs w:val="16"/>
        </w:rPr>
        <w:t>Another mineral filler worth noting is h</w:t>
      </w:r>
      <w:r w:rsidRPr="000230FB">
        <w:rPr>
          <w:sz w:val="20"/>
          <w:szCs w:val="16"/>
        </w:rPr>
        <w:t xml:space="preserve">ydrated lime </w:t>
      </w:r>
      <w:r>
        <w:rPr>
          <w:sz w:val="20"/>
          <w:szCs w:val="16"/>
        </w:rPr>
        <w:t xml:space="preserve">or </w:t>
      </w:r>
      <w:r w:rsidRPr="000230FB">
        <w:rPr>
          <w:sz w:val="20"/>
          <w:szCs w:val="16"/>
        </w:rPr>
        <w:t>Ca(OH)₂</w:t>
      </w:r>
      <w:r w:rsidRPr="002E6A11">
        <w:rPr>
          <w:sz w:val="20"/>
          <w:szCs w:val="16"/>
        </w:rPr>
        <w:t>,</w:t>
      </w:r>
      <w:r>
        <w:rPr>
          <w:sz w:val="20"/>
          <w:szCs w:val="16"/>
        </w:rPr>
        <w:t xml:space="preserve"> </w:t>
      </w:r>
      <w:r w:rsidRPr="002E6A11">
        <w:rPr>
          <w:sz w:val="20"/>
          <w:szCs w:val="16"/>
        </w:rPr>
        <w:t xml:space="preserve">which </w:t>
      </w:r>
      <w:r w:rsidRPr="000230FB">
        <w:rPr>
          <w:sz w:val="20"/>
          <w:szCs w:val="16"/>
        </w:rPr>
        <w:t>produced by hydrating quicklime derived from limestone</w:t>
      </w:r>
      <w:r w:rsidRPr="002E6A11">
        <w:rPr>
          <w:sz w:val="20"/>
          <w:szCs w:val="16"/>
        </w:rPr>
        <w:t xml:space="preserve">. It is commonly used to accelerate the hydration of supplementary cementitious materials such as fly ash by supplying additional portlandite to the cementitious system </w:t>
      </w:r>
      <w:r w:rsidRPr="002E6A11">
        <w:rPr>
          <w:sz w:val="20"/>
          <w:szCs w:val="16"/>
        </w:rPr>
        <w:fldChar w:fldCharType="begin" w:fldLock="1"/>
      </w:r>
      <w:r w:rsidR="00156B89">
        <w:rPr>
          <w:sz w:val="20"/>
          <w:szCs w:val="16"/>
        </w:rPr>
        <w:instrText>ADDIN CSL_CITATION {"citationItems":[{"id":"ITEM-1","itemData":{"DOI":"10.1016/j.jobe.2019.100985","ISSN":"23527102","abstract":"Properties of self-compacting concrete with high contents of mineral additions have been studied worldwide, but the analysis of their hydration and compressive strength evolution with inclusion of hydrated lime is still incipient. This study evaluated the compressive strength and hydration development of self-compacting concrete with reduced cement content (SCC-LC). To do this, Portland cement (PC), metakaolin (MK), fly ash (FA) and hydrated lime (HL) were used in binary, ternary and quaternary cementitious mixtures. Nine SCC mixtures were produced: one mixture with just cement with 500 kg/m³ (reference), four with binder content of 500 kg/m³ (200 and 150 kg/m3 of cement), and four with binder content of 400 kg/m³ (160 and 120 kg/m3 of cement). Cement replacement with FA and MK, with or without addition of HL was tested in both SCC-LC: binder 500 kg/m³ (B500) and binder 400 kg/m (B400). Normal Vibrated Concrete (NVC) with cement content of 300 kg/m³ was produced just to compare its compressive strength with SCC low cement content (B500 and B400). The replacement promoted a cement reduction equivalent to 60%–70% compared to the reference composition (C500). SCC were evaluated using the slump flow test, T500, V-test, L-box and J-ring tests. The evaluation of the growth of the compressive strength was carried out at 3, 7, 14, 21, 28 and 90 days. Hydration evaluation was performed by X-ray diffraction at 28 days. The obtained results proved the possibility of producing SCC-LC with cement content between 120 and 200 kg/m3 due to the excellent ability of FA and MK to maintain cohesion. Compressive strength measured at 28 days of SCC-LC ranged between 25 and 40 MPa, with a cement use efficiency of 3.2–5.0 kg.m-3 MPa-1. SEM and X-ray diffraction showed that the main hydrated products formed were the gismondine and C–S–H, and that the Portlandite was totally consumed in hydration at 28 days, except for a mixture of SCC with FA and HL.","author":[{"dropping-particle":"","family":"Anjos","given":"Marcos A.S.","non-dropping-particle":"","parse-names":false,"suffix":""},{"dropping-particle":"","family":"Camões","given":"Aires","non-dropping-particle":"","parse-names":false,"suffix":""},{"dropping-particle":"","family":"Campos","given":"Pedro","non-dropping-particle":"","parse-names":false,"suffix":""},{"dropping-particle":"","family":"Azeredo","given":"Givanildo A.","non-dropping-particle":"","parse-names":false,"suffix":""},{"dropping-particle":"","family":"Ferreira","given":"Ruan L.S.","non-dropping-particle":"","parse-names":false,"suffix":""}],"container-title":"Journal of Building Engineering","id":"ITEM-1","issue":"October 2019","issued":{"date-parts":[["2020"]]},"title":"Effect of high volume fly ash and metakaolin with and without hydrated lime on the properties of self-compacting concrete","type":"article-journal","volume":"27"},"uris":["http://www.mendeley.com/documents/?uuid=2762f0b8-92db-4650-bbe7-040b008a85cf"]},{"id":"ITEM-2","itemData":{"DOI":"10.3390/ma13225135","ISSN":"19961944","abstract":"The main objective of this study was to analyze the influence that the addition of finely ground hydrated lime has on chloride-induced reinforcement corrosion in eco-efficient concrete made with 50% cement replacement by fly ash. Six tests were carried out: mercury intrusion porosimetry, chloride migration, accelerated chloride penetration, electrical resistivity, and corrosion rate. The results show that the addition of 10–20% of lime to fly ash concrete did not affect its resistance to chloride penetration. However, the cementitious matrix density is increased by the pozzolanic reaction between the fly ash and added lime. As a result, the porosity and the electrical resistivity improved (of the order of 10% and 40%, respectively), giving rise to a lower corrosion rate (iCORR ) of the rebars and, therefore, an increase in durability. In fact, after subjecting specimens to wetting–drying cycles in a 0.5 M sodium chloride solution for 630 days, corrosion is considered negligible in fly ash concrete with 10% or 20% lime (iCORR less than 0.2 µA/cm2 ), while in fly ash concrete without lime, corrosion was low (iCORR of the order of 0.3 µA/cm2 ) and in the reference concrete made with Portland cement, only the corrosion was high (iCORR between 2 and 3 µA/cm2 ).","author":[{"dropping-particle":"","family":"Valcuende","given":"Manuel","non-dropping-particle":"","parse-names":false,"suffix":""},{"dropping-particle":"","family":"Calabuig","given":"Rafael","non-dropping-particle":"","parse-names":false,"suffix":""},{"dropping-particle":"","family":"Martínez-Ibernón","given":"Ana","non-dropping-particle":"","parse-names":false,"suffix":""},{"dropping-particle":"","family":"Soto","given":"Juan","non-dropping-particle":"","parse-names":false,"suffix":""}],"container-title":"Materials","id":"ITEM-2","issue":"22","issued":{"date-parts":[["2020"]]},"page":"1-16","title":"Influence of hydrated lime on the chloride-induced reinforcement corrosion in eco-efficient concretes made with high-volume fly ash","type":"article-journal","volume":"13"},"uris":["http://www.mendeley.com/documents/?uuid=8fa761d0-1e06-49a9-ae92-de199d7dda2a"]}],"mendeley":{"formattedCitation":"(12,13)","plainTextFormattedCitation":"(12,13)","previouslyFormattedCitation":"[12], [13]"},"properties":{"noteIndex":0},"schema":"https://github.com/citation-style-language/schema/raw/master/csl-citation.json"}</w:instrText>
      </w:r>
      <w:r w:rsidRPr="002E6A11">
        <w:rPr>
          <w:sz w:val="20"/>
          <w:szCs w:val="16"/>
        </w:rPr>
        <w:fldChar w:fldCharType="separate"/>
      </w:r>
      <w:r w:rsidR="00156B89" w:rsidRPr="00156B89">
        <w:rPr>
          <w:noProof/>
          <w:sz w:val="20"/>
          <w:szCs w:val="16"/>
        </w:rPr>
        <w:t>(12,13)</w:t>
      </w:r>
      <w:r w:rsidRPr="002E6A11">
        <w:rPr>
          <w:sz w:val="20"/>
          <w:szCs w:val="16"/>
        </w:rPr>
        <w:fldChar w:fldCharType="end"/>
      </w:r>
      <w:r w:rsidRPr="002E6A11">
        <w:rPr>
          <w:sz w:val="20"/>
          <w:szCs w:val="16"/>
        </w:rPr>
        <w:t xml:space="preserve">. Studies have shown that hydrated lime can enhance both the compressive strength and durability of concrete when incorporated as a partial cement replacement or filler </w:t>
      </w:r>
      <w:r>
        <w:rPr>
          <w:sz w:val="20"/>
          <w:szCs w:val="16"/>
        </w:rPr>
        <w:fldChar w:fldCharType="begin" w:fldLock="1"/>
      </w:r>
      <w:r w:rsidR="00156B89">
        <w:rPr>
          <w:sz w:val="20"/>
          <w:szCs w:val="16"/>
        </w:rPr>
        <w:instrText>ADDIN CSL_CITATION {"citationItems":[{"id":"ITEM-1","itemData":{"DOI":"10.28991/cej-03091216","ISSN":"2476-3055","abstract":"In this research work, the levernberg Marquardt back propagation neural network was adequately trained to understand the relationship between the 28th day compressive strength values of hydrated lime cement concrete and their corresponding mix ratios with respect to curing age. Data used for the study were generated experimentally. A total of a hundred and fourteen (114) training data set were presented to the network. Eighty (80) of these were used for training the network, seventeen (17) were used for validation, and another seventeen (17) were used for testing the network's performance. Six (6) data set were left out and later used to test the adequacy of the network predictions. The outcome of results of the created network was close to that of the experimental efforts. The lowest and highest correlation coefficient recorded for all data samples used for developing the network were 0.901 and 0.984 for the test and training samples respectively. These values were close to 1. T-value obtained from the adequacy test carried out between experimental and model generated data was 1.437. This is less than 2.064, which is the T values from statistical table at 95% confidence limit. These results proved that the network made reliable predictions. Maximum compressive strength achieved from experimental works was 30.83N/mm2 at a water-cement ratio of 0.562 and a percentage replacement of ordinary portland cement with hydrated lime of 18.75%. Generally, for hydrated lime to be used in making structural concrete, ordinary portland cement percentage replacement with hydrated lime must not be up to 30%. With the use of the developed artificial neural network model, mix design procedure for hydrated lime cement concrete can be carried out with lesser time and energy requirements, when compared to the traditional method. This is because, the need to prepare trial mixes that will be cured, and tested in the laboratory, will no longer be required.","author":[{"dropping-particle":"","family":"Awodiji","given":"Chioma Temitope Gloria","non-dropping-particle":"","parse-names":false,"suffix":""},{"dropping-particle":"","family":"Onwuka","given":"Davis Ogbonnaya","non-dropping-particle":"","parse-names":false,"suffix":""},{"dropping-particle":"","family":"Okere","given":"Chinenye","non-dropping-particle":"","parse-names":false,"suffix":""},{"dropping-particle":"","family":"Ibearugbulem","given":"Owus","non-dropping-particle":"","parse-names":false,"suffix":""}],"container-title":"Civil Engineering Journal","id":"ITEM-1","issue":"12","issued":{"date-parts":[["2018","12","24"]]},"page":"3005","title":"Anticipating the Compressive Strength of Hydrated Lime Cement Concrete Using Artificial Neural Network Model","type":"article-journal","volume":"4"},"uris":["http://www.mendeley.com/documents/?uuid=25c1b6c4-ea0f-4578-b116-533362603bea"]},{"id":"ITEM-2","itemData":{"DOI":"10.4028/www.scientific.net/AMR.1115.137","ISSN":"1662-8985","abstract":"The continued growth of the world construction sectors has resulted in high demand for concrete materials. The innovation of using filler as a replacement for cement is becoming a trend in order to reduce the cement consumption and provide benefit in various ways. Hence forth, 10% of cement was replaced by the calcium carbonate (CaCO 3 ) in this study. CaCO 3 is a natural material, which has a finer particles size as compared to the cement particles. This improves particle packing of concrete and give spacer effect. The concrete with CaCO 3 replacement possess a higher slump, which increased the workability. The specimens were prepared in 150mm x 150mm x 150mm mould. At 28 days, the water absorbed by hardened concrete was lower for CaCO 3 as microscopy analysis indicates very low porosity in CaCO 3 concrete. Mechanical properties tests were conducted in 3, 7 and 28 days. The CaCO 3 helps to increase the early strength, due to the accelerator effect and high rate of hydration which hardens the concrete quicker. At matured age, the concrete with the CaCO 3 addition exhibits lower strength as compared with concrete without CaCO 3 , but still within the target strength.","author":[{"dropping-particle":"","family":"Ali","given":"Maisarah","non-dropping-particle":"","parse-names":false,"suffix":""},{"dropping-particle":"","family":"Abdullah","given":"Muhd Sufian","non-dropping-particle":"","parse-names":false,"suffix":""},{"dropping-particle":"","family":"Saad","given":"Siti Asmahani","non-dropping-particle":"","parse-names":false,"suffix":""}],"container-title":"Advanced Materials Research","id":"ITEM-2","issued":{"date-parts":[["2015","7"]]},"page":"137-141","title":"Effect of Calcium Carbonate Replacement on Workability and Mechanical Strength of Portland Cement Concrete","type":"article-journal","volume":"1115"},"uris":["http://www.mendeley.com/documents/?uuid=629c7463-5cdd-4d30-8c2d-079433136e15"]}],"mendeley":{"formattedCitation":"(14,15)","plainTextFormattedCitation":"(14,15)","previouslyFormattedCitation":"[14], [15]"},"properties":{"noteIndex":0},"schema":"https://github.com/citation-style-language/schema/raw/master/csl-citation.json"}</w:instrText>
      </w:r>
      <w:r>
        <w:rPr>
          <w:sz w:val="20"/>
          <w:szCs w:val="16"/>
        </w:rPr>
        <w:fldChar w:fldCharType="separate"/>
      </w:r>
      <w:r w:rsidR="00156B89" w:rsidRPr="00156B89">
        <w:rPr>
          <w:noProof/>
          <w:sz w:val="20"/>
          <w:szCs w:val="16"/>
        </w:rPr>
        <w:t>(14,15)</w:t>
      </w:r>
      <w:r>
        <w:rPr>
          <w:sz w:val="20"/>
          <w:szCs w:val="16"/>
        </w:rPr>
        <w:fldChar w:fldCharType="end"/>
      </w:r>
      <w:r>
        <w:rPr>
          <w:sz w:val="20"/>
          <w:szCs w:val="16"/>
        </w:rPr>
        <w:t>.</w:t>
      </w:r>
    </w:p>
    <w:p w:rsidR="008C46D4" w:rsidRPr="002E6A11" w:rsidRDefault="008C46D4" w:rsidP="008C46D4">
      <w:pPr>
        <w:ind w:firstLine="284"/>
        <w:jc w:val="both"/>
        <w:rPr>
          <w:sz w:val="20"/>
          <w:szCs w:val="16"/>
        </w:rPr>
      </w:pPr>
      <w:r w:rsidRPr="002E6A11">
        <w:rPr>
          <w:sz w:val="20"/>
          <w:szCs w:val="16"/>
        </w:rPr>
        <w:t>This study aims to evaluate the performance of environmentally friendly concrete through the reduction of water and cement content, along with the use of hydrated lime and calcium carbonate as fillers. Hydrated lime and calcium carbonate are employed to compensate for the reduced cement volume and to enhance concrete density. The evaluation is conducted through compressive strength and sulfate attack resistance testing. The results of this research are expected to contribute to the development of green concrete.</w:t>
      </w:r>
    </w:p>
    <w:p w:rsidR="00BA3B3D" w:rsidRPr="00075EA6" w:rsidRDefault="00913DB5" w:rsidP="00A646B3">
      <w:pPr>
        <w:pStyle w:val="Heading1"/>
        <w:rPr>
          <w:b w:val="0"/>
          <w:caps w:val="0"/>
          <w:sz w:val="20"/>
        </w:rPr>
      </w:pPr>
      <w:r w:rsidRPr="00913DB5">
        <w:t>METHODS</w:t>
      </w:r>
    </w:p>
    <w:p w:rsidR="00423516" w:rsidRPr="00423516" w:rsidRDefault="00423516" w:rsidP="00423516">
      <w:pPr>
        <w:pStyle w:val="Paragraph"/>
        <w:rPr>
          <w:rStyle w:val="Emphasis"/>
        </w:rPr>
      </w:pPr>
      <w:r w:rsidRPr="00423516">
        <w:t>This study aims to develop structural concrete with a lower environmental impact through two main strategies: (1) reducing the water and cement content in the concrete mix with the aid of a superplasticizer; and (2) incorporating hydrated lime and calcium carbonate as a filler to compensate for the reduced paste volume and enhance the density of the concrete matrix.</w:t>
      </w:r>
    </w:p>
    <w:p w:rsidR="00BA3B3D" w:rsidRPr="00075EA6" w:rsidRDefault="00AD1866" w:rsidP="00A646B3">
      <w:pPr>
        <w:pStyle w:val="Heading2"/>
      </w:pPr>
      <w:r w:rsidRPr="00AD1866">
        <w:t xml:space="preserve">Composition </w:t>
      </w:r>
      <w:r>
        <w:t>o</w:t>
      </w:r>
      <w:r w:rsidRPr="00AD1866">
        <w:t>f Concrete Mixtures</w:t>
      </w:r>
    </w:p>
    <w:p w:rsidR="00AD1B03" w:rsidRDefault="00AD1B03" w:rsidP="00AD1B03">
      <w:pPr>
        <w:pStyle w:val="Paragraph"/>
        <w:rPr>
          <w:szCs w:val="16"/>
        </w:rPr>
      </w:pPr>
      <w:r w:rsidRPr="00575B78">
        <w:rPr>
          <w:szCs w:val="16"/>
        </w:rPr>
        <w:t xml:space="preserve">Based on the study by Ardiansyah et al. (2024), Sikament LN at a dosage of 1.0% by weight of cement can reduce water demand by up to 11.3%, while increasing compressive strength by 10.6% compared to reference concrete (Figure </w:t>
      </w:r>
      <w:r>
        <w:rPr>
          <w:szCs w:val="16"/>
        </w:rPr>
        <w:t>1</w:t>
      </w:r>
      <w:r w:rsidRPr="00575B78">
        <w:rPr>
          <w:szCs w:val="16"/>
        </w:rPr>
        <w:t>). Consequently, the cement content in the concrete mix can be reduced while still achieving the same compressive strength as the reference concrete.</w:t>
      </w:r>
      <w:r>
        <w:rPr>
          <w:szCs w:val="16"/>
        </w:rPr>
        <w:t xml:space="preserve"> </w:t>
      </w:r>
      <w:r w:rsidRPr="00C91A72">
        <w:rPr>
          <w:szCs w:val="16"/>
        </w:rPr>
        <w:t xml:space="preserve">The concrete mixture in this study was designed based on these findings. Previous studies have shown that using 1% Sikament LN can reduce cement demand by up to 10% while maintaining the target compressive strength. The superplasticizer is used to lower water demand, which in turn reduces the water-to-cement (w/c) ratio. Subsequently, the cement content is decreased until the original w/c ratio is restored. The reduced cement paste volume is compensated by adjusting the proportions of aggregates (sand and crushed stone) to maintain the total volume of the mix. The concrete mix consistency is kept equivalent to that of conventional concrete. The compressive strength results of the concrete mix with reduced water and cement, and a w/c ratio of 0.52, are shown in Figure </w:t>
      </w:r>
      <w:r>
        <w:rPr>
          <w:szCs w:val="16"/>
        </w:rPr>
        <w:t>1</w:t>
      </w:r>
      <w:r w:rsidRPr="00C91A72">
        <w:rPr>
          <w:szCs w:val="16"/>
        </w:rPr>
        <w:t>.</w:t>
      </w:r>
    </w:p>
    <w:p w:rsidR="009369FD" w:rsidRDefault="00B3728A" w:rsidP="00F03391">
      <w:pPr>
        <w:pStyle w:val="Paragraph"/>
        <w:ind w:firstLine="0"/>
        <w:jc w:val="center"/>
        <w:rPr>
          <w:szCs w:val="16"/>
        </w:rPr>
      </w:pPr>
      <w:r w:rsidRPr="00512FCF">
        <w:rPr>
          <w:noProof/>
        </w:rPr>
        <w:drawing>
          <wp:inline distT="0" distB="0" distL="0" distR="0">
            <wp:extent cx="3209925" cy="197993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44BF8" w:rsidRPr="00494005" w:rsidRDefault="00D44BF8" w:rsidP="00D44BF8">
      <w:pPr>
        <w:pStyle w:val="FigureCaption"/>
      </w:pPr>
      <w:r w:rsidRPr="00784F94">
        <w:rPr>
          <w:b/>
        </w:rPr>
        <w:t>FIGURE 1</w:t>
      </w:r>
      <w:r w:rsidRPr="00494005">
        <w:t xml:space="preserve">. </w:t>
      </w:r>
      <w:r>
        <w:t>Compressive strength of concrete mixes with reduced water and cement volume</w:t>
      </w:r>
    </w:p>
    <w:p w:rsidR="00F03391" w:rsidRPr="00914843" w:rsidRDefault="00F03391" w:rsidP="00F03391">
      <w:pPr>
        <w:pStyle w:val="Paragraph"/>
        <w:ind w:firstLine="0"/>
        <w:jc w:val="center"/>
        <w:rPr>
          <w:szCs w:val="16"/>
        </w:rPr>
      </w:pPr>
    </w:p>
    <w:p w:rsidR="00AD1B03" w:rsidRPr="00494005" w:rsidRDefault="00AD1B03" w:rsidP="00D44BF8">
      <w:pPr>
        <w:pStyle w:val="Paragraph"/>
      </w:pPr>
      <w:r w:rsidRPr="00D46EDC">
        <w:lastRenderedPageBreak/>
        <w:t xml:space="preserve">In this study, superplasticizer was used to reduce the water and cement content in the concrete mixture. All concrete mixes were designed with a constant water-to-cement (w/c) ratio of 0.5. The consistency of the mixture was maintained equivalent to that of conventional concrete. A superplasticizer at a dosage of 1% by weight of cement was applied to achieve a 10% reduction in both water and cement demand. The loss of paste volume due to cement reduction was compensated by the addition of </w:t>
      </w:r>
      <w:r>
        <w:t xml:space="preserve">mineral filler, </w:t>
      </w:r>
      <w:r w:rsidRPr="000334D8">
        <w:t>specifically</w:t>
      </w:r>
      <w:r>
        <w:t xml:space="preserve"> hydrated lime and calcium carbonate</w:t>
      </w:r>
      <w:r w:rsidRPr="00D46EDC">
        <w:t>.</w:t>
      </w:r>
      <w:r>
        <w:t xml:space="preserve"> The effect of each of the fillers was investigated by addition of 5% and 10% of the cement weight. </w:t>
      </w:r>
      <w:r w:rsidRPr="000334D8">
        <w:t>The effect of each filler was investigated at replacement levels of 5% and 10% of the cement weight, considering that higher filler contents may reduce concrete strength, with 5% generally regarded as the recommended limit. The mix proportions used in this study are presented in Table 1.</w:t>
      </w:r>
    </w:p>
    <w:p w:rsidR="00AD1B03" w:rsidRPr="00A17B56" w:rsidRDefault="00AD1B03" w:rsidP="00AD1B03">
      <w:pPr>
        <w:pStyle w:val="TableCaption"/>
        <w:rPr>
          <w:rFonts w:eastAsia="Calibri"/>
        </w:rPr>
      </w:pPr>
      <w:r w:rsidRPr="009A7BC2">
        <w:rPr>
          <w:rFonts w:eastAsia="Calibri"/>
          <w:b/>
        </w:rPr>
        <w:t>TAB</w:t>
      </w:r>
      <w:r w:rsidRPr="009A7BC2">
        <w:rPr>
          <w:rFonts w:eastAsia="Calibri"/>
          <w:b/>
          <w:spacing w:val="-1"/>
        </w:rPr>
        <w:t>LE</w:t>
      </w:r>
      <w:r w:rsidRPr="009A7BC2">
        <w:rPr>
          <w:rFonts w:eastAsia="Calibri"/>
          <w:b/>
          <w:spacing w:val="1"/>
        </w:rPr>
        <w:t xml:space="preserve"> </w:t>
      </w:r>
      <w:r w:rsidRPr="009A7BC2">
        <w:rPr>
          <w:rFonts w:eastAsia="Calibri"/>
          <w:b/>
        </w:rPr>
        <w:t>1</w:t>
      </w:r>
      <w:r w:rsidRPr="00A17B56">
        <w:rPr>
          <w:rFonts w:eastAsia="Calibri"/>
        </w:rPr>
        <w:t xml:space="preserve">. </w:t>
      </w:r>
      <w:r>
        <w:rPr>
          <w:rFonts w:eastAsia="Calibri"/>
        </w:rPr>
        <w:t>Composition of concrete mixture</w:t>
      </w: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141"/>
        <w:gridCol w:w="1014"/>
        <w:gridCol w:w="1016"/>
        <w:gridCol w:w="1022"/>
        <w:gridCol w:w="1022"/>
        <w:gridCol w:w="923"/>
        <w:gridCol w:w="927"/>
      </w:tblGrid>
      <w:tr w:rsidR="004850D9" w:rsidRPr="00F23FFF" w:rsidTr="004850D9">
        <w:trPr>
          <w:jc w:val="center"/>
        </w:trPr>
        <w:tc>
          <w:tcPr>
            <w:tcW w:w="1788" w:type="dxa"/>
          </w:tcPr>
          <w:p w:rsidR="00AD1B03" w:rsidRPr="004850D9" w:rsidRDefault="00AD1B03" w:rsidP="004850D9">
            <w:pPr>
              <w:pStyle w:val="Paragraph"/>
              <w:ind w:firstLine="0"/>
              <w:jc w:val="left"/>
              <w:rPr>
                <w:sz w:val="18"/>
                <w:szCs w:val="18"/>
              </w:rPr>
            </w:pPr>
            <w:r w:rsidRPr="004850D9">
              <w:rPr>
                <w:sz w:val="18"/>
                <w:szCs w:val="18"/>
              </w:rPr>
              <w:t>Mix Design</w:t>
            </w:r>
          </w:p>
        </w:tc>
        <w:tc>
          <w:tcPr>
            <w:tcW w:w="1141" w:type="dxa"/>
          </w:tcPr>
          <w:p w:rsidR="00AD1B03" w:rsidRPr="004850D9" w:rsidRDefault="00AD1B03" w:rsidP="004850D9">
            <w:pPr>
              <w:pStyle w:val="Paragraph"/>
              <w:ind w:firstLine="0"/>
              <w:jc w:val="left"/>
              <w:rPr>
                <w:sz w:val="18"/>
                <w:szCs w:val="18"/>
              </w:rPr>
            </w:pPr>
            <w:r w:rsidRPr="004850D9">
              <w:rPr>
                <w:sz w:val="18"/>
                <w:szCs w:val="18"/>
              </w:rPr>
              <w:t>Weight per m</w:t>
            </w:r>
            <w:r w:rsidRPr="004850D9">
              <w:rPr>
                <w:sz w:val="18"/>
                <w:szCs w:val="18"/>
                <w:vertAlign w:val="superscript"/>
              </w:rPr>
              <w:t>3</w:t>
            </w:r>
            <w:r w:rsidRPr="004850D9">
              <w:rPr>
                <w:sz w:val="18"/>
                <w:szCs w:val="18"/>
              </w:rPr>
              <w:t xml:space="preserve"> concrete</w:t>
            </w:r>
          </w:p>
        </w:tc>
        <w:tc>
          <w:tcPr>
            <w:tcW w:w="1014" w:type="dxa"/>
          </w:tcPr>
          <w:p w:rsidR="00AD1B03" w:rsidRPr="004850D9" w:rsidRDefault="00AD1B03" w:rsidP="004850D9">
            <w:pPr>
              <w:pStyle w:val="Paragraph"/>
              <w:ind w:firstLine="0"/>
              <w:jc w:val="left"/>
              <w:rPr>
                <w:sz w:val="18"/>
                <w:szCs w:val="18"/>
              </w:rPr>
            </w:pPr>
            <w:r w:rsidRPr="004850D9">
              <w:rPr>
                <w:sz w:val="18"/>
                <w:szCs w:val="18"/>
              </w:rPr>
              <w:t>CN</w:t>
            </w:r>
          </w:p>
        </w:tc>
        <w:tc>
          <w:tcPr>
            <w:tcW w:w="1016" w:type="dxa"/>
          </w:tcPr>
          <w:p w:rsidR="00AD1B03" w:rsidRPr="004850D9" w:rsidRDefault="00AD1B03" w:rsidP="004850D9">
            <w:pPr>
              <w:pStyle w:val="Paragraph"/>
              <w:ind w:firstLine="0"/>
              <w:jc w:val="left"/>
              <w:rPr>
                <w:sz w:val="18"/>
                <w:szCs w:val="18"/>
              </w:rPr>
            </w:pPr>
            <w:r w:rsidRPr="004850D9">
              <w:rPr>
                <w:sz w:val="18"/>
                <w:szCs w:val="18"/>
              </w:rPr>
              <w:t>CSP</w:t>
            </w:r>
          </w:p>
        </w:tc>
        <w:tc>
          <w:tcPr>
            <w:tcW w:w="1022" w:type="dxa"/>
          </w:tcPr>
          <w:p w:rsidR="00AD1B03" w:rsidRPr="004850D9" w:rsidRDefault="00AD1B03" w:rsidP="004850D9">
            <w:pPr>
              <w:pStyle w:val="Paragraph"/>
              <w:ind w:firstLine="0"/>
              <w:jc w:val="left"/>
              <w:rPr>
                <w:sz w:val="18"/>
                <w:szCs w:val="18"/>
              </w:rPr>
            </w:pPr>
            <w:r w:rsidRPr="004850D9">
              <w:rPr>
                <w:sz w:val="18"/>
                <w:szCs w:val="18"/>
              </w:rPr>
              <w:t>CSP-HL 5%</w:t>
            </w:r>
          </w:p>
        </w:tc>
        <w:tc>
          <w:tcPr>
            <w:tcW w:w="1022" w:type="dxa"/>
          </w:tcPr>
          <w:p w:rsidR="00AD1B03" w:rsidRPr="004850D9" w:rsidRDefault="00AD1B03" w:rsidP="004850D9">
            <w:pPr>
              <w:pStyle w:val="Paragraph"/>
              <w:ind w:firstLine="0"/>
              <w:jc w:val="left"/>
              <w:rPr>
                <w:sz w:val="18"/>
                <w:szCs w:val="18"/>
              </w:rPr>
            </w:pPr>
            <w:r w:rsidRPr="004850D9">
              <w:rPr>
                <w:sz w:val="18"/>
                <w:szCs w:val="18"/>
              </w:rPr>
              <w:t>CSP-HL 10%</w:t>
            </w:r>
          </w:p>
        </w:tc>
        <w:tc>
          <w:tcPr>
            <w:tcW w:w="923" w:type="dxa"/>
          </w:tcPr>
          <w:p w:rsidR="00AD1B03" w:rsidRPr="004850D9" w:rsidRDefault="00AD1B03" w:rsidP="004850D9">
            <w:pPr>
              <w:pStyle w:val="Paragraph"/>
              <w:ind w:firstLine="0"/>
              <w:jc w:val="left"/>
              <w:rPr>
                <w:sz w:val="18"/>
                <w:szCs w:val="18"/>
              </w:rPr>
            </w:pPr>
            <w:r w:rsidRPr="004850D9">
              <w:rPr>
                <w:sz w:val="18"/>
                <w:szCs w:val="18"/>
              </w:rPr>
              <w:t>CSP-CC 5%</w:t>
            </w:r>
          </w:p>
        </w:tc>
        <w:tc>
          <w:tcPr>
            <w:tcW w:w="927" w:type="dxa"/>
          </w:tcPr>
          <w:p w:rsidR="00AD1B03" w:rsidRPr="004850D9" w:rsidRDefault="00AD1B03" w:rsidP="004850D9">
            <w:pPr>
              <w:pStyle w:val="Paragraph"/>
              <w:ind w:firstLine="0"/>
              <w:jc w:val="left"/>
              <w:rPr>
                <w:sz w:val="18"/>
                <w:szCs w:val="18"/>
              </w:rPr>
            </w:pPr>
            <w:r w:rsidRPr="004850D9">
              <w:rPr>
                <w:sz w:val="18"/>
                <w:szCs w:val="18"/>
              </w:rPr>
              <w:t>CSP-CC 10%</w:t>
            </w:r>
          </w:p>
        </w:tc>
      </w:tr>
      <w:tr w:rsidR="004850D9" w:rsidRPr="00F23FFF" w:rsidTr="004850D9">
        <w:trPr>
          <w:jc w:val="center"/>
        </w:trPr>
        <w:tc>
          <w:tcPr>
            <w:tcW w:w="1788" w:type="dxa"/>
          </w:tcPr>
          <w:p w:rsidR="00AD1B03" w:rsidRPr="004850D9" w:rsidRDefault="00AD1B03" w:rsidP="004850D9">
            <w:pPr>
              <w:pStyle w:val="Paragraph"/>
              <w:ind w:firstLine="0"/>
              <w:jc w:val="left"/>
              <w:rPr>
                <w:sz w:val="18"/>
                <w:szCs w:val="18"/>
              </w:rPr>
            </w:pPr>
            <w:r w:rsidRPr="004850D9">
              <w:rPr>
                <w:sz w:val="18"/>
                <w:szCs w:val="18"/>
              </w:rPr>
              <w:t>Cement</w:t>
            </w:r>
          </w:p>
        </w:tc>
        <w:tc>
          <w:tcPr>
            <w:tcW w:w="1141" w:type="dxa"/>
          </w:tcPr>
          <w:p w:rsidR="00AD1B03" w:rsidRPr="004850D9" w:rsidRDefault="00AD1B03" w:rsidP="004850D9">
            <w:pPr>
              <w:pStyle w:val="Paragraph"/>
              <w:ind w:firstLine="0"/>
              <w:jc w:val="left"/>
              <w:rPr>
                <w:sz w:val="18"/>
                <w:szCs w:val="18"/>
              </w:rPr>
            </w:pPr>
            <w:r w:rsidRPr="004850D9">
              <w:rPr>
                <w:sz w:val="18"/>
                <w:szCs w:val="18"/>
              </w:rPr>
              <w:t>kg</w:t>
            </w:r>
          </w:p>
        </w:tc>
        <w:tc>
          <w:tcPr>
            <w:tcW w:w="1014"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432.0</w:t>
            </w:r>
          </w:p>
        </w:tc>
        <w:tc>
          <w:tcPr>
            <w:tcW w:w="1016"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388.8</w:t>
            </w:r>
          </w:p>
        </w:tc>
        <w:tc>
          <w:tcPr>
            <w:tcW w:w="1022"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388.8</w:t>
            </w:r>
          </w:p>
        </w:tc>
        <w:tc>
          <w:tcPr>
            <w:tcW w:w="1022"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388.8</w:t>
            </w:r>
          </w:p>
        </w:tc>
        <w:tc>
          <w:tcPr>
            <w:tcW w:w="923"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388.8</w:t>
            </w:r>
          </w:p>
        </w:tc>
        <w:tc>
          <w:tcPr>
            <w:tcW w:w="927"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388.8</w:t>
            </w:r>
          </w:p>
        </w:tc>
      </w:tr>
      <w:tr w:rsidR="004850D9" w:rsidRPr="00F23FFF" w:rsidTr="004850D9">
        <w:trPr>
          <w:jc w:val="center"/>
        </w:trPr>
        <w:tc>
          <w:tcPr>
            <w:tcW w:w="1788" w:type="dxa"/>
          </w:tcPr>
          <w:p w:rsidR="00AD1B03" w:rsidRPr="004850D9" w:rsidRDefault="00AD1B03" w:rsidP="004850D9">
            <w:pPr>
              <w:pStyle w:val="Paragraph"/>
              <w:ind w:firstLine="0"/>
              <w:jc w:val="left"/>
              <w:rPr>
                <w:sz w:val="18"/>
                <w:szCs w:val="18"/>
              </w:rPr>
            </w:pPr>
            <w:r w:rsidRPr="004850D9">
              <w:rPr>
                <w:sz w:val="18"/>
                <w:szCs w:val="18"/>
              </w:rPr>
              <w:t>Hydrated Lime</w:t>
            </w:r>
          </w:p>
        </w:tc>
        <w:tc>
          <w:tcPr>
            <w:tcW w:w="1141" w:type="dxa"/>
          </w:tcPr>
          <w:p w:rsidR="00AD1B03" w:rsidRPr="004850D9" w:rsidRDefault="00AD1B03" w:rsidP="004850D9">
            <w:pPr>
              <w:pStyle w:val="Paragraph"/>
              <w:ind w:firstLine="0"/>
              <w:jc w:val="left"/>
              <w:rPr>
                <w:sz w:val="18"/>
                <w:szCs w:val="18"/>
              </w:rPr>
            </w:pPr>
            <w:r w:rsidRPr="004850D9">
              <w:rPr>
                <w:sz w:val="18"/>
                <w:szCs w:val="18"/>
              </w:rPr>
              <w:t>kg</w:t>
            </w:r>
          </w:p>
        </w:tc>
        <w:tc>
          <w:tcPr>
            <w:tcW w:w="1014"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0</w:t>
            </w:r>
          </w:p>
        </w:tc>
        <w:tc>
          <w:tcPr>
            <w:tcW w:w="1016"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0</w:t>
            </w:r>
          </w:p>
        </w:tc>
        <w:tc>
          <w:tcPr>
            <w:tcW w:w="1022" w:type="dxa"/>
            <w:vAlign w:val="bottom"/>
          </w:tcPr>
          <w:p w:rsidR="00AD1B03" w:rsidRPr="004850D9" w:rsidRDefault="00AD1B03" w:rsidP="004850D9">
            <w:pPr>
              <w:pStyle w:val="Paragraph"/>
              <w:ind w:firstLine="0"/>
              <w:jc w:val="left"/>
              <w:rPr>
                <w:sz w:val="18"/>
                <w:szCs w:val="18"/>
              </w:rPr>
            </w:pPr>
            <w:r w:rsidRPr="004850D9">
              <w:rPr>
                <w:sz w:val="18"/>
                <w:szCs w:val="18"/>
              </w:rPr>
              <w:t>21.6</w:t>
            </w:r>
          </w:p>
        </w:tc>
        <w:tc>
          <w:tcPr>
            <w:tcW w:w="1022"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43.2</w:t>
            </w:r>
          </w:p>
        </w:tc>
        <w:tc>
          <w:tcPr>
            <w:tcW w:w="923" w:type="dxa"/>
            <w:vAlign w:val="bottom"/>
          </w:tcPr>
          <w:p w:rsidR="00AD1B03" w:rsidRPr="004850D9" w:rsidRDefault="00AD1B03" w:rsidP="004850D9">
            <w:pPr>
              <w:pStyle w:val="Paragraph"/>
              <w:ind w:firstLine="0"/>
              <w:jc w:val="left"/>
              <w:rPr>
                <w:sz w:val="18"/>
                <w:szCs w:val="18"/>
              </w:rPr>
            </w:pPr>
            <w:r w:rsidRPr="004850D9">
              <w:rPr>
                <w:sz w:val="18"/>
                <w:szCs w:val="18"/>
              </w:rPr>
              <w:t>0</w:t>
            </w:r>
          </w:p>
        </w:tc>
        <w:tc>
          <w:tcPr>
            <w:tcW w:w="927" w:type="dxa"/>
            <w:vAlign w:val="bottom"/>
          </w:tcPr>
          <w:p w:rsidR="00AD1B03" w:rsidRPr="004850D9" w:rsidRDefault="00AD1B03" w:rsidP="004850D9">
            <w:pPr>
              <w:pStyle w:val="Paragraph"/>
              <w:ind w:firstLine="0"/>
              <w:jc w:val="left"/>
              <w:rPr>
                <w:sz w:val="18"/>
                <w:szCs w:val="18"/>
              </w:rPr>
            </w:pPr>
            <w:r w:rsidRPr="004850D9">
              <w:rPr>
                <w:sz w:val="18"/>
                <w:szCs w:val="18"/>
              </w:rPr>
              <w:t>0</w:t>
            </w:r>
          </w:p>
        </w:tc>
      </w:tr>
      <w:tr w:rsidR="004850D9" w:rsidRPr="00F23FFF" w:rsidTr="004850D9">
        <w:trPr>
          <w:jc w:val="center"/>
        </w:trPr>
        <w:tc>
          <w:tcPr>
            <w:tcW w:w="1788" w:type="dxa"/>
          </w:tcPr>
          <w:p w:rsidR="00AD1B03" w:rsidRPr="004850D9" w:rsidRDefault="00AD1B03" w:rsidP="004850D9">
            <w:pPr>
              <w:pStyle w:val="Paragraph"/>
              <w:ind w:firstLine="0"/>
              <w:jc w:val="left"/>
              <w:rPr>
                <w:sz w:val="18"/>
                <w:szCs w:val="18"/>
              </w:rPr>
            </w:pPr>
            <w:r w:rsidRPr="004850D9">
              <w:rPr>
                <w:sz w:val="18"/>
                <w:szCs w:val="18"/>
              </w:rPr>
              <w:t>Calcium Carbonate</w:t>
            </w:r>
          </w:p>
        </w:tc>
        <w:tc>
          <w:tcPr>
            <w:tcW w:w="1141" w:type="dxa"/>
          </w:tcPr>
          <w:p w:rsidR="00AD1B03" w:rsidRPr="004850D9" w:rsidRDefault="00AD1B03" w:rsidP="004850D9">
            <w:pPr>
              <w:pStyle w:val="Paragraph"/>
              <w:ind w:firstLine="0"/>
              <w:jc w:val="left"/>
              <w:rPr>
                <w:sz w:val="18"/>
                <w:szCs w:val="18"/>
              </w:rPr>
            </w:pPr>
            <w:r w:rsidRPr="004850D9">
              <w:rPr>
                <w:sz w:val="18"/>
                <w:szCs w:val="18"/>
              </w:rPr>
              <w:t>kg</w:t>
            </w:r>
          </w:p>
        </w:tc>
        <w:tc>
          <w:tcPr>
            <w:tcW w:w="1014" w:type="dxa"/>
            <w:vAlign w:val="bottom"/>
          </w:tcPr>
          <w:p w:rsidR="00AD1B03" w:rsidRPr="004850D9" w:rsidRDefault="00AD1B03" w:rsidP="004850D9">
            <w:pPr>
              <w:pStyle w:val="Paragraph"/>
              <w:ind w:firstLine="0"/>
              <w:jc w:val="left"/>
              <w:rPr>
                <w:sz w:val="18"/>
                <w:szCs w:val="18"/>
              </w:rPr>
            </w:pPr>
            <w:r w:rsidRPr="004850D9">
              <w:rPr>
                <w:sz w:val="18"/>
                <w:szCs w:val="18"/>
              </w:rPr>
              <w:t>0</w:t>
            </w:r>
          </w:p>
        </w:tc>
        <w:tc>
          <w:tcPr>
            <w:tcW w:w="1016" w:type="dxa"/>
            <w:vAlign w:val="bottom"/>
          </w:tcPr>
          <w:p w:rsidR="00AD1B03" w:rsidRPr="004850D9" w:rsidRDefault="00AD1B03" w:rsidP="004850D9">
            <w:pPr>
              <w:pStyle w:val="Paragraph"/>
              <w:ind w:firstLine="0"/>
              <w:jc w:val="left"/>
              <w:rPr>
                <w:sz w:val="18"/>
                <w:szCs w:val="18"/>
              </w:rPr>
            </w:pPr>
            <w:r w:rsidRPr="004850D9">
              <w:rPr>
                <w:sz w:val="18"/>
                <w:szCs w:val="18"/>
              </w:rPr>
              <w:t>0</w:t>
            </w:r>
          </w:p>
        </w:tc>
        <w:tc>
          <w:tcPr>
            <w:tcW w:w="1022" w:type="dxa"/>
            <w:vAlign w:val="bottom"/>
          </w:tcPr>
          <w:p w:rsidR="00AD1B03" w:rsidRPr="004850D9" w:rsidRDefault="00AD1B03" w:rsidP="004850D9">
            <w:pPr>
              <w:pStyle w:val="Paragraph"/>
              <w:ind w:firstLine="0"/>
              <w:jc w:val="left"/>
              <w:rPr>
                <w:sz w:val="18"/>
                <w:szCs w:val="18"/>
              </w:rPr>
            </w:pPr>
            <w:r w:rsidRPr="004850D9">
              <w:rPr>
                <w:sz w:val="18"/>
                <w:szCs w:val="18"/>
              </w:rPr>
              <w:t>0</w:t>
            </w:r>
          </w:p>
        </w:tc>
        <w:tc>
          <w:tcPr>
            <w:tcW w:w="1022" w:type="dxa"/>
            <w:vAlign w:val="bottom"/>
          </w:tcPr>
          <w:p w:rsidR="00AD1B03" w:rsidRPr="004850D9" w:rsidRDefault="00AD1B03" w:rsidP="004850D9">
            <w:pPr>
              <w:pStyle w:val="Paragraph"/>
              <w:ind w:firstLine="0"/>
              <w:jc w:val="left"/>
              <w:rPr>
                <w:sz w:val="18"/>
                <w:szCs w:val="18"/>
              </w:rPr>
            </w:pPr>
            <w:r w:rsidRPr="004850D9">
              <w:rPr>
                <w:sz w:val="18"/>
                <w:szCs w:val="18"/>
              </w:rPr>
              <w:t>0</w:t>
            </w:r>
          </w:p>
        </w:tc>
        <w:tc>
          <w:tcPr>
            <w:tcW w:w="923" w:type="dxa"/>
            <w:vAlign w:val="bottom"/>
          </w:tcPr>
          <w:p w:rsidR="00AD1B03" w:rsidRPr="004850D9" w:rsidRDefault="00AD1B03" w:rsidP="004850D9">
            <w:pPr>
              <w:pStyle w:val="Paragraph"/>
              <w:ind w:firstLine="0"/>
              <w:jc w:val="left"/>
              <w:rPr>
                <w:sz w:val="18"/>
                <w:szCs w:val="18"/>
              </w:rPr>
            </w:pPr>
            <w:r w:rsidRPr="004850D9">
              <w:rPr>
                <w:sz w:val="18"/>
                <w:szCs w:val="18"/>
              </w:rPr>
              <w:t>21.6</w:t>
            </w:r>
          </w:p>
        </w:tc>
        <w:tc>
          <w:tcPr>
            <w:tcW w:w="927"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43.2</w:t>
            </w:r>
          </w:p>
        </w:tc>
      </w:tr>
      <w:tr w:rsidR="004850D9" w:rsidRPr="00F23FFF" w:rsidTr="004850D9">
        <w:trPr>
          <w:jc w:val="center"/>
        </w:trPr>
        <w:tc>
          <w:tcPr>
            <w:tcW w:w="1788" w:type="dxa"/>
          </w:tcPr>
          <w:p w:rsidR="00AD1B03" w:rsidRPr="004850D9" w:rsidRDefault="00AD1B03" w:rsidP="004850D9">
            <w:pPr>
              <w:pStyle w:val="Paragraph"/>
              <w:ind w:firstLine="0"/>
              <w:jc w:val="left"/>
              <w:rPr>
                <w:sz w:val="18"/>
                <w:szCs w:val="18"/>
              </w:rPr>
            </w:pPr>
            <w:r w:rsidRPr="004850D9">
              <w:rPr>
                <w:sz w:val="18"/>
                <w:szCs w:val="18"/>
              </w:rPr>
              <w:t>Water</w:t>
            </w:r>
          </w:p>
        </w:tc>
        <w:tc>
          <w:tcPr>
            <w:tcW w:w="1141" w:type="dxa"/>
          </w:tcPr>
          <w:p w:rsidR="00AD1B03" w:rsidRPr="004850D9" w:rsidRDefault="00AD1B03" w:rsidP="004850D9">
            <w:pPr>
              <w:pStyle w:val="Paragraph"/>
              <w:ind w:firstLine="0"/>
              <w:jc w:val="left"/>
              <w:rPr>
                <w:sz w:val="18"/>
                <w:szCs w:val="18"/>
              </w:rPr>
            </w:pPr>
            <w:r w:rsidRPr="004850D9">
              <w:rPr>
                <w:sz w:val="18"/>
                <w:szCs w:val="18"/>
              </w:rPr>
              <w:t>kg</w:t>
            </w:r>
          </w:p>
        </w:tc>
        <w:tc>
          <w:tcPr>
            <w:tcW w:w="1014"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216.0</w:t>
            </w:r>
          </w:p>
        </w:tc>
        <w:tc>
          <w:tcPr>
            <w:tcW w:w="1016"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194.4</w:t>
            </w:r>
          </w:p>
        </w:tc>
        <w:tc>
          <w:tcPr>
            <w:tcW w:w="1022"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194.4</w:t>
            </w:r>
          </w:p>
        </w:tc>
        <w:tc>
          <w:tcPr>
            <w:tcW w:w="1022"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194.4</w:t>
            </w:r>
          </w:p>
        </w:tc>
        <w:tc>
          <w:tcPr>
            <w:tcW w:w="923"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194.4</w:t>
            </w:r>
          </w:p>
        </w:tc>
        <w:tc>
          <w:tcPr>
            <w:tcW w:w="927"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194.4</w:t>
            </w:r>
          </w:p>
        </w:tc>
      </w:tr>
      <w:tr w:rsidR="004850D9" w:rsidRPr="00F23FFF" w:rsidTr="004850D9">
        <w:trPr>
          <w:jc w:val="center"/>
        </w:trPr>
        <w:tc>
          <w:tcPr>
            <w:tcW w:w="1788" w:type="dxa"/>
          </w:tcPr>
          <w:p w:rsidR="00AD1B03" w:rsidRPr="004850D9" w:rsidRDefault="00AD1B03" w:rsidP="004850D9">
            <w:pPr>
              <w:pStyle w:val="Paragraph"/>
              <w:ind w:firstLine="0"/>
              <w:jc w:val="left"/>
              <w:rPr>
                <w:sz w:val="18"/>
                <w:szCs w:val="18"/>
              </w:rPr>
            </w:pPr>
            <w:r w:rsidRPr="004850D9">
              <w:rPr>
                <w:sz w:val="18"/>
                <w:szCs w:val="18"/>
              </w:rPr>
              <w:t>Superplasticizer</w:t>
            </w:r>
          </w:p>
        </w:tc>
        <w:tc>
          <w:tcPr>
            <w:tcW w:w="1141" w:type="dxa"/>
          </w:tcPr>
          <w:p w:rsidR="00AD1B03" w:rsidRPr="004850D9" w:rsidRDefault="00AD1B03" w:rsidP="004850D9">
            <w:pPr>
              <w:pStyle w:val="Paragraph"/>
              <w:ind w:firstLine="0"/>
              <w:jc w:val="left"/>
              <w:rPr>
                <w:sz w:val="18"/>
                <w:szCs w:val="18"/>
              </w:rPr>
            </w:pPr>
            <w:r w:rsidRPr="004850D9">
              <w:rPr>
                <w:sz w:val="18"/>
                <w:szCs w:val="18"/>
              </w:rPr>
              <w:t>kg</w:t>
            </w:r>
          </w:p>
        </w:tc>
        <w:tc>
          <w:tcPr>
            <w:tcW w:w="1014"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0</w:t>
            </w:r>
          </w:p>
        </w:tc>
        <w:tc>
          <w:tcPr>
            <w:tcW w:w="1016"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4.3</w:t>
            </w:r>
          </w:p>
        </w:tc>
        <w:tc>
          <w:tcPr>
            <w:tcW w:w="1022"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4.3</w:t>
            </w:r>
          </w:p>
        </w:tc>
        <w:tc>
          <w:tcPr>
            <w:tcW w:w="1022"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4.3</w:t>
            </w:r>
          </w:p>
        </w:tc>
        <w:tc>
          <w:tcPr>
            <w:tcW w:w="923"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4.3</w:t>
            </w:r>
          </w:p>
        </w:tc>
        <w:tc>
          <w:tcPr>
            <w:tcW w:w="927"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4.3</w:t>
            </w:r>
          </w:p>
        </w:tc>
      </w:tr>
      <w:tr w:rsidR="004850D9" w:rsidRPr="00F23FFF" w:rsidTr="004850D9">
        <w:trPr>
          <w:jc w:val="center"/>
        </w:trPr>
        <w:tc>
          <w:tcPr>
            <w:tcW w:w="1788" w:type="dxa"/>
          </w:tcPr>
          <w:p w:rsidR="00AD1B03" w:rsidRPr="004850D9" w:rsidRDefault="00AD1B03" w:rsidP="004850D9">
            <w:pPr>
              <w:pStyle w:val="Paragraph"/>
              <w:ind w:firstLine="0"/>
              <w:jc w:val="left"/>
              <w:rPr>
                <w:sz w:val="18"/>
                <w:szCs w:val="18"/>
              </w:rPr>
            </w:pPr>
            <w:r w:rsidRPr="004850D9">
              <w:rPr>
                <w:sz w:val="18"/>
                <w:szCs w:val="18"/>
              </w:rPr>
              <w:t>Sand</w:t>
            </w:r>
          </w:p>
        </w:tc>
        <w:tc>
          <w:tcPr>
            <w:tcW w:w="1141" w:type="dxa"/>
          </w:tcPr>
          <w:p w:rsidR="00AD1B03" w:rsidRPr="004850D9" w:rsidRDefault="00AD1B03" w:rsidP="004850D9">
            <w:pPr>
              <w:pStyle w:val="Paragraph"/>
              <w:ind w:firstLine="0"/>
              <w:jc w:val="left"/>
              <w:rPr>
                <w:sz w:val="18"/>
                <w:szCs w:val="18"/>
              </w:rPr>
            </w:pPr>
            <w:r w:rsidRPr="004850D9">
              <w:rPr>
                <w:sz w:val="18"/>
                <w:szCs w:val="18"/>
              </w:rPr>
              <w:t>kg</w:t>
            </w:r>
          </w:p>
        </w:tc>
        <w:tc>
          <w:tcPr>
            <w:tcW w:w="1014"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857.0</w:t>
            </w:r>
          </w:p>
        </w:tc>
        <w:tc>
          <w:tcPr>
            <w:tcW w:w="1016"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889.4</w:t>
            </w:r>
          </w:p>
        </w:tc>
        <w:tc>
          <w:tcPr>
            <w:tcW w:w="1022" w:type="dxa"/>
            <w:vAlign w:val="bottom"/>
          </w:tcPr>
          <w:p w:rsidR="00AD1B03" w:rsidRPr="004850D9" w:rsidRDefault="00AD1B03" w:rsidP="004850D9">
            <w:pPr>
              <w:pStyle w:val="Paragraph"/>
              <w:ind w:firstLine="0"/>
              <w:jc w:val="left"/>
              <w:rPr>
                <w:sz w:val="18"/>
                <w:szCs w:val="18"/>
              </w:rPr>
            </w:pPr>
            <w:r w:rsidRPr="004850D9">
              <w:rPr>
                <w:sz w:val="18"/>
                <w:szCs w:val="18"/>
              </w:rPr>
              <w:t>900.2</w:t>
            </w:r>
          </w:p>
        </w:tc>
        <w:tc>
          <w:tcPr>
            <w:tcW w:w="1022"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878.6</w:t>
            </w:r>
          </w:p>
        </w:tc>
        <w:tc>
          <w:tcPr>
            <w:tcW w:w="923" w:type="dxa"/>
            <w:vAlign w:val="bottom"/>
          </w:tcPr>
          <w:p w:rsidR="00AD1B03" w:rsidRPr="004850D9" w:rsidRDefault="00AD1B03" w:rsidP="004850D9">
            <w:pPr>
              <w:pStyle w:val="Paragraph"/>
              <w:ind w:firstLine="0"/>
              <w:jc w:val="left"/>
              <w:rPr>
                <w:sz w:val="18"/>
                <w:szCs w:val="18"/>
              </w:rPr>
            </w:pPr>
            <w:r w:rsidRPr="004850D9">
              <w:rPr>
                <w:sz w:val="18"/>
                <w:szCs w:val="18"/>
              </w:rPr>
              <w:t>900.2</w:t>
            </w:r>
          </w:p>
        </w:tc>
        <w:tc>
          <w:tcPr>
            <w:tcW w:w="927"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878.6</w:t>
            </w:r>
          </w:p>
        </w:tc>
      </w:tr>
      <w:tr w:rsidR="004850D9" w:rsidRPr="00F23FFF" w:rsidTr="004850D9">
        <w:trPr>
          <w:jc w:val="center"/>
        </w:trPr>
        <w:tc>
          <w:tcPr>
            <w:tcW w:w="1788" w:type="dxa"/>
          </w:tcPr>
          <w:p w:rsidR="00AD1B03" w:rsidRPr="004850D9" w:rsidRDefault="00AD1B03" w:rsidP="004850D9">
            <w:pPr>
              <w:pStyle w:val="Paragraph"/>
              <w:ind w:firstLine="0"/>
              <w:jc w:val="left"/>
              <w:rPr>
                <w:sz w:val="18"/>
                <w:szCs w:val="18"/>
              </w:rPr>
            </w:pPr>
            <w:r w:rsidRPr="004850D9">
              <w:rPr>
                <w:sz w:val="18"/>
                <w:szCs w:val="18"/>
              </w:rPr>
              <w:t>Gravel</w:t>
            </w:r>
          </w:p>
        </w:tc>
        <w:tc>
          <w:tcPr>
            <w:tcW w:w="1141" w:type="dxa"/>
          </w:tcPr>
          <w:p w:rsidR="00AD1B03" w:rsidRPr="004850D9" w:rsidRDefault="00AD1B03" w:rsidP="004850D9">
            <w:pPr>
              <w:pStyle w:val="Paragraph"/>
              <w:ind w:firstLine="0"/>
              <w:jc w:val="left"/>
              <w:rPr>
                <w:sz w:val="18"/>
                <w:szCs w:val="18"/>
              </w:rPr>
            </w:pPr>
            <w:r w:rsidRPr="004850D9">
              <w:rPr>
                <w:sz w:val="18"/>
                <w:szCs w:val="18"/>
              </w:rPr>
              <w:t>kg</w:t>
            </w:r>
          </w:p>
        </w:tc>
        <w:tc>
          <w:tcPr>
            <w:tcW w:w="1014"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805.0</w:t>
            </w:r>
          </w:p>
        </w:tc>
        <w:tc>
          <w:tcPr>
            <w:tcW w:w="1016"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837.4</w:t>
            </w:r>
          </w:p>
        </w:tc>
        <w:tc>
          <w:tcPr>
            <w:tcW w:w="1022"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805.0</w:t>
            </w:r>
          </w:p>
        </w:tc>
        <w:tc>
          <w:tcPr>
            <w:tcW w:w="1022"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805.0</w:t>
            </w:r>
          </w:p>
        </w:tc>
        <w:tc>
          <w:tcPr>
            <w:tcW w:w="923"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805.0</w:t>
            </w:r>
          </w:p>
        </w:tc>
        <w:tc>
          <w:tcPr>
            <w:tcW w:w="927"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805.0</w:t>
            </w:r>
          </w:p>
        </w:tc>
      </w:tr>
      <w:tr w:rsidR="004850D9" w:rsidRPr="00F23FFF" w:rsidTr="004850D9">
        <w:trPr>
          <w:jc w:val="center"/>
        </w:trPr>
        <w:tc>
          <w:tcPr>
            <w:tcW w:w="1788" w:type="dxa"/>
          </w:tcPr>
          <w:p w:rsidR="00AD1B03" w:rsidRPr="004850D9" w:rsidRDefault="00AD1B03" w:rsidP="004850D9">
            <w:pPr>
              <w:pStyle w:val="Paragraph"/>
              <w:ind w:firstLine="0"/>
              <w:jc w:val="left"/>
              <w:rPr>
                <w:sz w:val="18"/>
                <w:szCs w:val="18"/>
              </w:rPr>
            </w:pPr>
            <w:r w:rsidRPr="004850D9">
              <w:rPr>
                <w:sz w:val="18"/>
                <w:szCs w:val="18"/>
              </w:rPr>
              <w:t>w/c</w:t>
            </w:r>
          </w:p>
        </w:tc>
        <w:tc>
          <w:tcPr>
            <w:tcW w:w="1141" w:type="dxa"/>
          </w:tcPr>
          <w:p w:rsidR="00AD1B03" w:rsidRPr="004850D9" w:rsidRDefault="00AD1B03" w:rsidP="004850D9">
            <w:pPr>
              <w:pStyle w:val="Paragraph"/>
              <w:ind w:firstLine="0"/>
              <w:jc w:val="left"/>
              <w:rPr>
                <w:sz w:val="18"/>
                <w:szCs w:val="18"/>
              </w:rPr>
            </w:pPr>
            <w:r w:rsidRPr="004850D9">
              <w:rPr>
                <w:color w:val="000000"/>
                <w:lang w:val="en-ID" w:eastAsia="en-ID"/>
              </w:rPr>
              <w:t>[-]</w:t>
            </w:r>
          </w:p>
        </w:tc>
        <w:tc>
          <w:tcPr>
            <w:tcW w:w="1014"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0.5</w:t>
            </w:r>
          </w:p>
        </w:tc>
        <w:tc>
          <w:tcPr>
            <w:tcW w:w="1016"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0.5</w:t>
            </w:r>
          </w:p>
        </w:tc>
        <w:tc>
          <w:tcPr>
            <w:tcW w:w="1022"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0.5</w:t>
            </w:r>
          </w:p>
        </w:tc>
        <w:tc>
          <w:tcPr>
            <w:tcW w:w="1022"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0.5</w:t>
            </w:r>
          </w:p>
        </w:tc>
        <w:tc>
          <w:tcPr>
            <w:tcW w:w="923"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0.5</w:t>
            </w:r>
          </w:p>
        </w:tc>
        <w:tc>
          <w:tcPr>
            <w:tcW w:w="927"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0.5</w:t>
            </w:r>
          </w:p>
        </w:tc>
      </w:tr>
      <w:tr w:rsidR="004850D9" w:rsidRPr="00F23FFF" w:rsidTr="004850D9">
        <w:trPr>
          <w:jc w:val="center"/>
        </w:trPr>
        <w:tc>
          <w:tcPr>
            <w:tcW w:w="1788" w:type="dxa"/>
          </w:tcPr>
          <w:p w:rsidR="00AD1B03" w:rsidRPr="004850D9" w:rsidRDefault="00AD1B03" w:rsidP="004850D9">
            <w:pPr>
              <w:pStyle w:val="Paragraph"/>
              <w:ind w:firstLine="0"/>
              <w:jc w:val="left"/>
              <w:rPr>
                <w:sz w:val="18"/>
                <w:szCs w:val="18"/>
              </w:rPr>
            </w:pPr>
            <w:r w:rsidRPr="004850D9">
              <w:rPr>
                <w:sz w:val="18"/>
                <w:szCs w:val="18"/>
              </w:rPr>
              <w:t>Cement Reduction</w:t>
            </w:r>
          </w:p>
        </w:tc>
        <w:tc>
          <w:tcPr>
            <w:tcW w:w="1141" w:type="dxa"/>
          </w:tcPr>
          <w:p w:rsidR="00AD1B03" w:rsidRPr="004850D9" w:rsidRDefault="00AD1B03" w:rsidP="004850D9">
            <w:pPr>
              <w:pStyle w:val="Paragraph"/>
              <w:ind w:firstLine="0"/>
              <w:jc w:val="left"/>
              <w:rPr>
                <w:sz w:val="18"/>
                <w:szCs w:val="18"/>
              </w:rPr>
            </w:pPr>
            <w:r w:rsidRPr="004850D9">
              <w:rPr>
                <w:sz w:val="18"/>
                <w:szCs w:val="18"/>
              </w:rPr>
              <w:t>kg</w:t>
            </w:r>
          </w:p>
        </w:tc>
        <w:tc>
          <w:tcPr>
            <w:tcW w:w="1014"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0</w:t>
            </w:r>
          </w:p>
        </w:tc>
        <w:tc>
          <w:tcPr>
            <w:tcW w:w="1016"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43.2</w:t>
            </w:r>
          </w:p>
        </w:tc>
        <w:tc>
          <w:tcPr>
            <w:tcW w:w="1022"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43.2</w:t>
            </w:r>
          </w:p>
        </w:tc>
        <w:tc>
          <w:tcPr>
            <w:tcW w:w="1022"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43.2</w:t>
            </w:r>
          </w:p>
        </w:tc>
        <w:tc>
          <w:tcPr>
            <w:tcW w:w="923"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43.2</w:t>
            </w:r>
          </w:p>
        </w:tc>
        <w:tc>
          <w:tcPr>
            <w:tcW w:w="927"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43.2</w:t>
            </w:r>
          </w:p>
        </w:tc>
      </w:tr>
      <w:tr w:rsidR="004850D9" w:rsidRPr="00F23FFF" w:rsidTr="004850D9">
        <w:trPr>
          <w:jc w:val="center"/>
        </w:trPr>
        <w:tc>
          <w:tcPr>
            <w:tcW w:w="1788" w:type="dxa"/>
          </w:tcPr>
          <w:p w:rsidR="00AD1B03" w:rsidRPr="004850D9" w:rsidRDefault="00AD1B03" w:rsidP="004850D9">
            <w:pPr>
              <w:pStyle w:val="Paragraph"/>
              <w:ind w:firstLine="0"/>
              <w:jc w:val="left"/>
              <w:rPr>
                <w:sz w:val="18"/>
                <w:szCs w:val="18"/>
              </w:rPr>
            </w:pPr>
            <w:r w:rsidRPr="004850D9">
              <w:rPr>
                <w:sz w:val="18"/>
                <w:szCs w:val="18"/>
              </w:rPr>
              <w:t>Water Reduction</w:t>
            </w:r>
          </w:p>
        </w:tc>
        <w:tc>
          <w:tcPr>
            <w:tcW w:w="1141" w:type="dxa"/>
          </w:tcPr>
          <w:p w:rsidR="00AD1B03" w:rsidRPr="004850D9" w:rsidRDefault="00AD1B03" w:rsidP="004850D9">
            <w:pPr>
              <w:pStyle w:val="Paragraph"/>
              <w:ind w:firstLine="0"/>
              <w:jc w:val="left"/>
              <w:rPr>
                <w:sz w:val="18"/>
                <w:szCs w:val="18"/>
              </w:rPr>
            </w:pPr>
            <w:r w:rsidRPr="004850D9">
              <w:rPr>
                <w:sz w:val="18"/>
                <w:szCs w:val="18"/>
              </w:rPr>
              <w:t>kg</w:t>
            </w:r>
          </w:p>
        </w:tc>
        <w:tc>
          <w:tcPr>
            <w:tcW w:w="1014"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0</w:t>
            </w:r>
          </w:p>
        </w:tc>
        <w:tc>
          <w:tcPr>
            <w:tcW w:w="1016"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21.6</w:t>
            </w:r>
          </w:p>
        </w:tc>
        <w:tc>
          <w:tcPr>
            <w:tcW w:w="1022"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21.6</w:t>
            </w:r>
          </w:p>
        </w:tc>
        <w:tc>
          <w:tcPr>
            <w:tcW w:w="1022"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21.6</w:t>
            </w:r>
          </w:p>
        </w:tc>
        <w:tc>
          <w:tcPr>
            <w:tcW w:w="923"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21.6</w:t>
            </w:r>
          </w:p>
        </w:tc>
        <w:tc>
          <w:tcPr>
            <w:tcW w:w="927" w:type="dxa"/>
            <w:vAlign w:val="bottom"/>
          </w:tcPr>
          <w:p w:rsidR="00AD1B03" w:rsidRPr="004850D9" w:rsidRDefault="00AD1B03" w:rsidP="004850D9">
            <w:pPr>
              <w:pStyle w:val="Paragraph"/>
              <w:ind w:firstLine="0"/>
              <w:jc w:val="left"/>
              <w:rPr>
                <w:sz w:val="18"/>
                <w:szCs w:val="18"/>
              </w:rPr>
            </w:pPr>
            <w:r w:rsidRPr="004850D9">
              <w:rPr>
                <w:color w:val="000000"/>
                <w:sz w:val="18"/>
                <w:szCs w:val="18"/>
                <w:lang w:val="en-ID" w:eastAsia="en-ID"/>
              </w:rPr>
              <w:t>21.6</w:t>
            </w:r>
          </w:p>
        </w:tc>
      </w:tr>
    </w:tbl>
    <w:p w:rsidR="00AD1B03" w:rsidRDefault="00AD1B03" w:rsidP="00AD1B03">
      <w:pPr>
        <w:pStyle w:val="Paragraph"/>
        <w:ind w:firstLine="0"/>
      </w:pPr>
    </w:p>
    <w:p w:rsidR="00AD1B03" w:rsidRDefault="00AD1B03" w:rsidP="00AD1B03">
      <w:pPr>
        <w:pStyle w:val="Paragraph"/>
      </w:pPr>
      <w:r w:rsidRPr="00843797">
        <w:t>The compressive strength test was conducted on cylindrical specimens measuring 150 × 300 mm in accordance with ASTM C39M. Prior to testing, the specimens were cured in water for 7 and 28 days. The compressive strength values were obtained from the average of three specimens for each mix variation.</w:t>
      </w:r>
    </w:p>
    <w:p w:rsidR="0039376F" w:rsidRPr="00075EA6" w:rsidRDefault="00750087" w:rsidP="00B1000D">
      <w:pPr>
        <w:pStyle w:val="Heading1"/>
        <w:rPr>
          <w:caps w:val="0"/>
          <w:lang w:val="en-GB" w:eastAsia="en-GB"/>
        </w:rPr>
      </w:pPr>
      <w:r w:rsidRPr="00750087">
        <w:t>RESULTS AND DISCUSSION</w:t>
      </w:r>
    </w:p>
    <w:p w:rsidR="000A2485" w:rsidRDefault="0039376F" w:rsidP="000A2485">
      <w:pPr>
        <w:pStyle w:val="Paragraph"/>
        <w:rPr>
          <w:color w:val="333333"/>
          <w:lang w:val="en-ID"/>
        </w:rPr>
      </w:pPr>
      <w:r w:rsidRPr="000A2485">
        <w:rPr>
          <w:lang w:val="en-GB" w:eastAsia="en-GB"/>
        </w:rPr>
        <w:t>Figures,</w:t>
      </w:r>
      <w:r w:rsidR="000A2485" w:rsidRPr="000A2485">
        <w:rPr>
          <w:color w:val="333333"/>
          <w:lang w:val="en-ID"/>
        </w:rPr>
        <w:t xml:space="preserve"> All mixes were designed to have a consistency corresponding to a slump value of 90–110 mm. As shown in Figure 2, the addition of hydrated lime and calcium carbonate as fillers in the concrete mixture caused a reduction in slump, with the effect becoming more pronounced at higher filler contents. However, except for mixes containing 10% CaCO₃, all other mixes successfully achieved the target slump. The slump reduction is likely due to the high specific surface area of hydrated lime, which absorbs more water. This finding is consistent with studies by </w:t>
      </w:r>
      <w:r w:rsidR="000A2485" w:rsidRPr="000A2485">
        <w:rPr>
          <w:rStyle w:val="Emphasis"/>
          <w:i w:val="0"/>
          <w:iCs w:val="0"/>
          <w:color w:val="333333"/>
        </w:rPr>
        <w:fldChar w:fldCharType="begin" w:fldLock="1"/>
      </w:r>
      <w:r w:rsidR="00156B89">
        <w:rPr>
          <w:rStyle w:val="Emphasis"/>
          <w:i w:val="0"/>
          <w:iCs w:val="0"/>
          <w:color w:val="333333"/>
        </w:rPr>
        <w:instrText>ADDIN CSL_CITATION {"citationItems":[{"id":"ITEM-1","itemData":{"DOI":"10.1080/19648189.2023.2247459","ISSN":"1964-8189","author":[{"dropping-particle":"","family":"Abu Bakr","given":"Mohd","non-dropping-particle":"","parse-names":false,"suffix":""},{"dropping-particle":"","family":"Singh","given":"Birendra Kumar","non-dropping-particle":"","parse-names":false,"suffix":""}],"container-title":"European Journal of Environmental and Civil Engineering","id":"ITEM-1","issue":"6","issued":{"date-parts":[["2024","4","25"]]},"page":"1259-1283","title":"Strength and durability properties of recycled aggregate concrete blended with hydrated lime and brick powder","type":"article-journal","volume":"28"},"uris":["http://www.mendeley.com/documents/?uuid=b96067f9-85b7-4ffa-8318-13b236b5a311"]}],"mendeley":{"formattedCitation":"(16)","plainTextFormattedCitation":"(16)","previouslyFormattedCitation":"[16]"},"properties":{"noteIndex":0},"schema":"https://github.com/citation-style-language/schema/raw/master/csl-citation.json"}</w:instrText>
      </w:r>
      <w:r w:rsidR="000A2485" w:rsidRPr="000A2485">
        <w:rPr>
          <w:rStyle w:val="Emphasis"/>
          <w:i w:val="0"/>
          <w:iCs w:val="0"/>
          <w:color w:val="333333"/>
        </w:rPr>
        <w:fldChar w:fldCharType="separate"/>
      </w:r>
      <w:r w:rsidR="00156B89" w:rsidRPr="00156B89">
        <w:rPr>
          <w:rStyle w:val="Emphasis"/>
          <w:i w:val="0"/>
          <w:iCs w:val="0"/>
          <w:noProof/>
          <w:color w:val="333333"/>
        </w:rPr>
        <w:t>(16)</w:t>
      </w:r>
      <w:r w:rsidR="000A2485" w:rsidRPr="000A2485">
        <w:rPr>
          <w:rStyle w:val="Emphasis"/>
          <w:i w:val="0"/>
          <w:iCs w:val="0"/>
          <w:color w:val="333333"/>
        </w:rPr>
        <w:fldChar w:fldCharType="end"/>
      </w:r>
      <w:r w:rsidR="000A2485" w:rsidRPr="000A2485">
        <w:rPr>
          <w:rStyle w:val="Emphasis"/>
          <w:i w:val="0"/>
          <w:iCs w:val="0"/>
          <w:color w:val="333333"/>
        </w:rPr>
        <w:t xml:space="preserve"> and </w:t>
      </w:r>
      <w:r w:rsidR="000A2485" w:rsidRPr="000A2485">
        <w:rPr>
          <w:rStyle w:val="Emphasis"/>
          <w:i w:val="0"/>
          <w:iCs w:val="0"/>
          <w:color w:val="333333"/>
        </w:rPr>
        <w:fldChar w:fldCharType="begin" w:fldLock="1"/>
      </w:r>
      <w:r w:rsidR="00156B89">
        <w:rPr>
          <w:rStyle w:val="Emphasis"/>
          <w:i w:val="0"/>
          <w:iCs w:val="0"/>
          <w:color w:val="333333"/>
        </w:rPr>
        <w:instrText>ADDIN CSL_CITATION {"citationItems":[{"id":"ITEM-1","itemData":{"DOI":"10.3390/ma13225135","ISSN":"19961944","abstract":"The main objective of this study was to analyze the influence that the addition of finely ground hydrated lime has on chloride-induced reinforcement corrosion in eco-efficient concrete made with 50% cement replacement by fly ash. Six tests were carried out: mercury intrusion porosimetry, chloride migration, accelerated chloride penetration, electrical resistivity, and corrosion rate. The results show that the addition of 10–20% of lime to fly ash concrete did not affect its resistance to chloride penetration. However, the cementitious matrix density is increased by the pozzolanic reaction between the fly ash and added lime. As a result, the porosity and the electrical resistivity improved (of the order of 10% and 40%, respectively), giving rise to a lower corrosion rate (iCORR ) of the rebars and, therefore, an increase in durability. In fact, after subjecting specimens to wetting–drying cycles in a 0.5 M sodium chloride solution for 630 days, corrosion is considered negligible in fly ash concrete with 10% or 20% lime (iCORR less than 0.2 µA/cm2 ), while in fly ash concrete without lime, corrosion was low (iCORR of the order of 0.3 µA/cm2 ) and in the reference concrete made with Portland cement, only the corrosion was high (iCORR between 2 and 3 µA/cm2 ).","author":[{"dropping-particle":"","family":"Valcuende","given":"Manuel","non-dropping-particle":"","parse-names":false,"suffix":""},{"dropping-particle":"","family":"Calabuig","given":"Rafael","non-dropping-particle":"","parse-names":false,"suffix":""},{"dropping-particle":"","family":"Martínez-Ibernón","given":"Ana","non-dropping-particle":"","parse-names":false,"suffix":""},{"dropping-particle":"","family":"Soto","given":"Juan","non-dropping-particle":"","parse-names":false,"suffix":""}],"container-title":"Materials","id":"ITEM-1","issue":"22","issued":{"date-parts":[["2020"]]},"page":"1-16","title":"Influence of hydrated lime on the chloride-induced reinforcement corrosion in eco-efficient concretes made with high-volume fly ash","type":"article-journal","volume":"13"},"uris":["http://www.mendeley.com/documents/?uuid=8fa761d0-1e06-49a9-ae92-de199d7dda2a"]}],"mendeley":{"formattedCitation":"(13)","plainTextFormattedCitation":"(13)","previouslyFormattedCitation":"[13]"},"properties":{"noteIndex":0},"schema":"https://github.com/citation-style-language/schema/raw/master/csl-citation.json"}</w:instrText>
      </w:r>
      <w:r w:rsidR="000A2485" w:rsidRPr="000A2485">
        <w:rPr>
          <w:rStyle w:val="Emphasis"/>
          <w:i w:val="0"/>
          <w:iCs w:val="0"/>
          <w:color w:val="333333"/>
        </w:rPr>
        <w:fldChar w:fldCharType="separate"/>
      </w:r>
      <w:r w:rsidR="00156B89" w:rsidRPr="00156B89">
        <w:rPr>
          <w:rStyle w:val="Emphasis"/>
          <w:i w:val="0"/>
          <w:iCs w:val="0"/>
          <w:noProof/>
          <w:color w:val="333333"/>
        </w:rPr>
        <w:t>(13)</w:t>
      </w:r>
      <w:r w:rsidR="000A2485" w:rsidRPr="000A2485">
        <w:rPr>
          <w:rStyle w:val="Emphasis"/>
          <w:i w:val="0"/>
          <w:iCs w:val="0"/>
          <w:color w:val="333333"/>
        </w:rPr>
        <w:fldChar w:fldCharType="end"/>
      </w:r>
      <w:r w:rsidR="000A2485" w:rsidRPr="000A2485">
        <w:rPr>
          <w:rStyle w:val="Emphasis"/>
          <w:i w:val="0"/>
          <w:iCs w:val="0"/>
          <w:color w:val="333333"/>
        </w:rPr>
        <w:t xml:space="preserve">, </w:t>
      </w:r>
      <w:r w:rsidR="000A2485" w:rsidRPr="000A2485">
        <w:rPr>
          <w:color w:val="333333"/>
          <w:lang w:val="en-ID"/>
        </w:rPr>
        <w:t>which reported an increased water demand in concrete mixtures containing hydrated lime to achieve the same consistency as conventional concrete.</w:t>
      </w:r>
    </w:p>
    <w:p w:rsidR="004E2BFD" w:rsidRDefault="004E2BFD" w:rsidP="000A2485">
      <w:pPr>
        <w:pStyle w:val="Paragraph"/>
        <w:rPr>
          <w:color w:val="333333"/>
          <w:lang w:val="en-ID"/>
        </w:rPr>
      </w:pPr>
    </w:p>
    <w:p w:rsidR="004E2BFD" w:rsidRPr="000A2485" w:rsidRDefault="00B3728A" w:rsidP="004E2BFD">
      <w:pPr>
        <w:pStyle w:val="Paragraph"/>
        <w:jc w:val="center"/>
        <w:rPr>
          <w:rStyle w:val="Emphasis"/>
          <w:i w:val="0"/>
          <w:iCs w:val="0"/>
          <w:color w:val="333333"/>
        </w:rPr>
      </w:pPr>
      <w:r w:rsidRPr="00512FCF">
        <w:rPr>
          <w:noProof/>
        </w:rPr>
        <w:drawing>
          <wp:inline distT="0" distB="0" distL="0" distR="0">
            <wp:extent cx="3238500" cy="2520950"/>
            <wp:effectExtent l="0" t="0" r="0"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E2BFD" w:rsidRDefault="004E2BFD" w:rsidP="004E2BFD">
      <w:pPr>
        <w:pStyle w:val="FigureCaption"/>
      </w:pPr>
      <w:r w:rsidRPr="000A2485">
        <w:rPr>
          <w:b/>
        </w:rPr>
        <w:t>FIGURE 2</w:t>
      </w:r>
      <w:r w:rsidRPr="000A2485">
        <w:t>. Slump value of each concrete mix</w:t>
      </w:r>
    </w:p>
    <w:p w:rsidR="00C037CE" w:rsidRPr="00C037CE" w:rsidRDefault="00C037CE" w:rsidP="001F74AF">
      <w:pPr>
        <w:pStyle w:val="Paragraph"/>
        <w:ind w:firstLine="0"/>
      </w:pPr>
    </w:p>
    <w:p w:rsidR="000A2485" w:rsidRPr="000A2485" w:rsidRDefault="000A2485" w:rsidP="000A2485">
      <w:pPr>
        <w:pStyle w:val="Paragraph"/>
        <w:rPr>
          <w:rStyle w:val="Emphasis"/>
          <w:i w:val="0"/>
          <w:iCs w:val="0"/>
          <w:color w:val="333333"/>
        </w:rPr>
      </w:pPr>
      <w:r w:rsidRPr="000A2485">
        <w:rPr>
          <w:color w:val="333333"/>
          <w:lang w:val="en-ID"/>
        </w:rPr>
        <w:t xml:space="preserve">In contrast, incorporating CaCO₃ into the concrete mix is generally expected to improve workability, as noted by </w:t>
      </w:r>
      <w:r w:rsidRPr="000A2485">
        <w:rPr>
          <w:rStyle w:val="Emphasis"/>
          <w:i w:val="0"/>
          <w:iCs w:val="0"/>
          <w:color w:val="333333"/>
        </w:rPr>
        <w:fldChar w:fldCharType="begin" w:fldLock="1"/>
      </w:r>
      <w:r w:rsidR="00156B89">
        <w:rPr>
          <w:rStyle w:val="Emphasis"/>
          <w:i w:val="0"/>
          <w:iCs w:val="0"/>
          <w:color w:val="333333"/>
        </w:rPr>
        <w:instrText>ADDIN CSL_CITATION {"citationItems":[{"id":"ITEM-1","itemData":{"DOI":"10.4028/www.scientific.net/AMR.1115.137","ISSN":"1662-8985","abstract":"The continued growth of the world construction sectors has resulted in high demand for concrete materials. The innovation of using filler as a replacement for cement is becoming a trend in order to reduce the cement consumption and provide benefit in various ways. Hence forth, 10% of cement was replaced by the calcium carbonate (CaCO 3 ) in this study. CaCO 3 is a natural material, which has a finer particles size as compared to the cement particles. This improves particle packing of concrete and give spacer effect. The concrete with CaCO 3 replacement possess a higher slump, which increased the workability. The specimens were prepared in 150mm x 150mm x 150mm mould. At 28 days, the water absorbed by hardened concrete was lower for CaCO 3 as microscopy analysis indicates very low porosity in CaCO 3 concrete. Mechanical properties tests were conducted in 3, 7 and 28 days. The CaCO 3 helps to increase the early strength, due to the accelerator effect and high rate of hydration which hardens the concrete quicker. At matured age, the concrete with the CaCO 3 addition exhibits lower strength as compared with concrete without CaCO 3 , but still within the target strength.","author":[{"dropping-particle":"","family":"Ali","given":"Maisarah","non-dropping-particle":"","parse-names":false,"suffix":""},{"dropping-particle":"","family":"Abdullah","given":"Muhd Sufian","non-dropping-particle":"","parse-names":false,"suffix":""},{"dropping-particle":"","family":"Saad","given":"Siti Asmahani","non-dropping-particle":"","parse-names":false,"suffix":""}],"container-title":"Advanced Materials Research","id":"ITEM-1","issued":{"date-parts":[["2015","7"]]},"page":"137-141","title":"Effect of Calcium Carbonate Replacement on Workability and Mechanical Strength of Portland Cement Concrete","type":"article-journal","volume":"1115"},"uris":["http://www.mendeley.com/documents/?uuid=629c7463-5cdd-4d30-8c2d-079433136e15"]}],"mendeley":{"formattedCitation":"(15)","plainTextFormattedCitation":"(15)","previouslyFormattedCitation":"[15]"},"properties":{"noteIndex":0},"schema":"https://github.com/citation-style-language/schema/raw/master/csl-citation.json"}</w:instrText>
      </w:r>
      <w:r w:rsidRPr="000A2485">
        <w:rPr>
          <w:rStyle w:val="Emphasis"/>
          <w:i w:val="0"/>
          <w:iCs w:val="0"/>
          <w:color w:val="333333"/>
        </w:rPr>
        <w:fldChar w:fldCharType="separate"/>
      </w:r>
      <w:r w:rsidR="00156B89" w:rsidRPr="00156B89">
        <w:rPr>
          <w:rStyle w:val="Emphasis"/>
          <w:i w:val="0"/>
          <w:iCs w:val="0"/>
          <w:noProof/>
          <w:color w:val="333333"/>
        </w:rPr>
        <w:t>(15)</w:t>
      </w:r>
      <w:r w:rsidRPr="000A2485">
        <w:rPr>
          <w:rStyle w:val="Emphasis"/>
          <w:i w:val="0"/>
          <w:iCs w:val="0"/>
          <w:color w:val="333333"/>
        </w:rPr>
        <w:fldChar w:fldCharType="end"/>
      </w:r>
      <w:r w:rsidRPr="000A2485">
        <w:rPr>
          <w:rStyle w:val="Emphasis"/>
          <w:i w:val="0"/>
          <w:iCs w:val="0"/>
          <w:color w:val="333333"/>
        </w:rPr>
        <w:t xml:space="preserve">. </w:t>
      </w:r>
      <w:r w:rsidRPr="000A2485">
        <w:rPr>
          <w:color w:val="333333"/>
          <w:lang w:val="en-ID"/>
        </w:rPr>
        <w:t xml:space="preserve">This can be attributed to the fineness of CaCO₃ powder, which is smaller than the particle size of OPC. Fine CaCO₃ particles can physically disperse cement flocs, thereby releasing more paste to lubricate the aggregates and improving workability. Therefore, determining the fineness of the filler is crucial to ensure that the intended filler effect is fully realized. </w:t>
      </w:r>
      <w:r w:rsidRPr="000A2485">
        <w:rPr>
          <w:rStyle w:val="Emphasis"/>
          <w:i w:val="0"/>
          <w:iCs w:val="0"/>
          <w:color w:val="333333"/>
        </w:rPr>
        <w:t xml:space="preserve">Meanwhile, the CSP mixture, with water and cement contents 10% lower than the control mix, produced the highest workability. This result demonstrates the effectiveness of the superplasticizer in dispersing cement particles and releasing water trapped between their surfaces, thereby reducing the water requirement to achieve the desired consistency </w:t>
      </w:r>
      <w:r w:rsidRPr="000A2485">
        <w:rPr>
          <w:rStyle w:val="Emphasis"/>
          <w:i w:val="0"/>
          <w:iCs w:val="0"/>
          <w:color w:val="333333"/>
        </w:rPr>
        <w:fldChar w:fldCharType="begin" w:fldLock="1"/>
      </w:r>
      <w:r w:rsidR="00156B89">
        <w:rPr>
          <w:rStyle w:val="Emphasis"/>
          <w:i w:val="0"/>
          <w:iCs w:val="0"/>
          <w:color w:val="333333"/>
        </w:rPr>
        <w:instrText>ADDIN CSL_CITATION {"citationItems":[{"id":"ITEM-1","itemData":{"DOI":"10.3390/ma17174170","ISSN":"1996-1944","abstract":"With the rapid development of the construction industry worldwide, a large amount of waste concrete is generated each year, which has caused serious environmental problems. As a green and sustainable building material, thermally activated recycled cement (RC) has received widespread attention. However, the unique properties of RC, such as the high water demand and short setting time, necessitate the use of specialized superplasticizers that are different from those used in ordinary Portland cement. As an important component for the application of RC, superplasticizer has an important impact on the performance modification of RC. This article summarizes the recent research progress of potential superplasticizers for RC, with a view to providing a reference for the research and application of superplasticizers for RC. Based on the differences between ordinary Portland cement and RC, the paper discusses potential superplasticizers that may be suitable for RC, and points out that future development of potential modified superplasticizers can include altering the molecular structure to improve adsorption onto the surfaces of RC or to enhance the durability of concrete with RC.","author":[{"dropping-particle":"","family":"Huang","given":"Rong","non-dropping-particle":"","parse-names":false,"suffix":""},{"dropping-particle":"","family":"Xu","given":"Lei","non-dropping-particle":"","parse-names":false,"suffix":""},{"dropping-particle":"","family":"Xu","given":"Zihang","non-dropping-particle":"","parse-names":false,"suffix":""},{"dropping-particle":"","family":"Zhang","given":"Qihang","non-dropping-particle":"","parse-names":false,"suffix":""},{"dropping-particle":"","family":"Wang","given":"Junjie","non-dropping-particle":"","parse-names":false,"suffix":""}],"container-title":"Materials","id":"ITEM-1","issue":"17","issued":{"date-parts":[["2024","8","23"]]},"page":"4170","title":"A Review on Concrete Superplasticizers and Their Potential Applications for Enhancing the Performance of Thermally Activated Recycled Cement","type":"article-journal","volume":"17"},"uris":["http://www.mendeley.com/documents/?uuid=67abeadb-5620-4cb7-8ff4-759ac0affe02"]}],"mendeley":{"formattedCitation":"(17)","plainTextFormattedCitation":"(17)","previouslyFormattedCitation":"[17]"},"properties":{"noteIndex":0},"schema":"https://github.com/citation-style-language/schema/raw/master/csl-citation.json"}</w:instrText>
      </w:r>
      <w:r w:rsidRPr="000A2485">
        <w:rPr>
          <w:rStyle w:val="Emphasis"/>
          <w:i w:val="0"/>
          <w:iCs w:val="0"/>
          <w:color w:val="333333"/>
        </w:rPr>
        <w:fldChar w:fldCharType="separate"/>
      </w:r>
      <w:r w:rsidR="00156B89" w:rsidRPr="00156B89">
        <w:rPr>
          <w:rStyle w:val="Emphasis"/>
          <w:i w:val="0"/>
          <w:iCs w:val="0"/>
          <w:noProof/>
          <w:color w:val="333333"/>
        </w:rPr>
        <w:t>(17)</w:t>
      </w:r>
      <w:r w:rsidRPr="000A2485">
        <w:rPr>
          <w:rStyle w:val="Emphasis"/>
          <w:i w:val="0"/>
          <w:iCs w:val="0"/>
          <w:color w:val="333333"/>
        </w:rPr>
        <w:fldChar w:fldCharType="end"/>
      </w:r>
      <w:r w:rsidRPr="000A2485">
        <w:rPr>
          <w:rStyle w:val="Emphasis"/>
          <w:i w:val="0"/>
          <w:iCs w:val="0"/>
          <w:color w:val="333333"/>
        </w:rPr>
        <w:t>.</w:t>
      </w:r>
    </w:p>
    <w:p w:rsidR="000A2485" w:rsidRPr="000A2485" w:rsidRDefault="000A2485" w:rsidP="000A2485">
      <w:pPr>
        <w:pStyle w:val="Paragraph"/>
        <w:rPr>
          <w:rStyle w:val="Emphasis"/>
          <w:i w:val="0"/>
          <w:iCs w:val="0"/>
          <w:color w:val="333333"/>
        </w:rPr>
      </w:pPr>
    </w:p>
    <w:p w:rsidR="000A2485" w:rsidRPr="000A2485" w:rsidRDefault="00B3728A" w:rsidP="000A2485">
      <w:pPr>
        <w:pStyle w:val="Paragraph"/>
        <w:jc w:val="center"/>
        <w:rPr>
          <w:rStyle w:val="Emphasis"/>
          <w:i w:val="0"/>
          <w:iCs w:val="0"/>
          <w:color w:val="333333"/>
        </w:rPr>
      </w:pPr>
      <w:r w:rsidRPr="00512FCF">
        <w:rPr>
          <w:noProof/>
        </w:rPr>
        <w:drawing>
          <wp:inline distT="0" distB="0" distL="0" distR="0">
            <wp:extent cx="4321810" cy="2520950"/>
            <wp:effectExtent l="0" t="0" r="0"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A2485" w:rsidRPr="000A2485" w:rsidRDefault="000A2485" w:rsidP="000A2485">
      <w:pPr>
        <w:pStyle w:val="FigureCaption"/>
      </w:pPr>
      <w:r w:rsidRPr="000A2485">
        <w:rPr>
          <w:b/>
        </w:rPr>
        <w:t>FIGURE 3</w:t>
      </w:r>
      <w:r w:rsidRPr="000A2485">
        <w:t>. Compressive strength of each concrete mix</w:t>
      </w:r>
    </w:p>
    <w:p w:rsidR="000A2485" w:rsidRPr="000A2485" w:rsidRDefault="000A2485" w:rsidP="000A2485">
      <w:pPr>
        <w:pStyle w:val="Paragraph"/>
        <w:rPr>
          <w:rStyle w:val="Emphasis"/>
          <w:i w:val="0"/>
          <w:iCs w:val="0"/>
          <w:color w:val="333333"/>
        </w:rPr>
      </w:pPr>
    </w:p>
    <w:p w:rsidR="000A2485" w:rsidRPr="000A2485" w:rsidRDefault="000A2485" w:rsidP="000A2485">
      <w:pPr>
        <w:pStyle w:val="Paragraph"/>
        <w:rPr>
          <w:rStyle w:val="Emphasis"/>
          <w:i w:val="0"/>
          <w:iCs w:val="0"/>
          <w:color w:val="333333"/>
        </w:rPr>
      </w:pPr>
      <w:r w:rsidRPr="000A2485">
        <w:rPr>
          <w:rStyle w:val="Emphasis"/>
          <w:i w:val="0"/>
          <w:iCs w:val="0"/>
          <w:color w:val="333333"/>
        </w:rPr>
        <w:t>The results of the compressive strength test at 7 and 28 days for the three mixture variations are presented in Figure 7. All variations exhibited an increasing trend in compressive strength with longer curing periods. The CSP mixture, with a 10% reduction in both water and cement content, achieved the highest compressive strength, even surpassing the control mixture at both testing ages. This result indicates the significant influence of superplasticizer addition on concrete compressive strength. Simultaneously reducing water and cement content while maintaining a constant w/c ratio allows for compressive strength equal to or higher than that of concrete without admixture addition.</w:t>
      </w:r>
    </w:p>
    <w:p w:rsidR="000A2485" w:rsidRPr="000A2485" w:rsidRDefault="000A2485" w:rsidP="000A2485">
      <w:pPr>
        <w:pStyle w:val="Paragraph"/>
        <w:rPr>
          <w:rStyle w:val="Emphasis"/>
          <w:i w:val="0"/>
          <w:iCs w:val="0"/>
          <w:color w:val="333333"/>
        </w:rPr>
      </w:pPr>
      <w:r w:rsidRPr="000A2485">
        <w:rPr>
          <w:rStyle w:val="Emphasis"/>
          <w:i w:val="0"/>
          <w:iCs w:val="0"/>
          <w:color w:val="333333"/>
        </w:rPr>
        <w:t xml:space="preserve">Meanwhile, the specimens with hydrated lime addition of 5% and 10% experienced 1.5% and 2.7% reduction in compressive strength, respectively, compared to the control specimens. Similar findings were reported by </w:t>
      </w:r>
      <w:r w:rsidRPr="000A2485">
        <w:rPr>
          <w:rStyle w:val="Emphasis"/>
          <w:i w:val="0"/>
          <w:iCs w:val="0"/>
          <w:color w:val="333333"/>
        </w:rPr>
        <w:fldChar w:fldCharType="begin" w:fldLock="1"/>
      </w:r>
      <w:r w:rsidR="00156B89">
        <w:rPr>
          <w:rStyle w:val="Emphasis"/>
          <w:i w:val="0"/>
          <w:iCs w:val="0"/>
          <w:color w:val="333333"/>
        </w:rPr>
        <w:instrText>ADDIN CSL_CITATION {"citationItems":[{"id":"ITEM-1","itemData":{"DOI":"10.31026/j.eng.2013.03.07","ISSN":"2520-3339","abstract":"Roller compacted concrete (RCC) is a concrete of no slump, no reinforcement, no finishing, and compacted using vibratory roller. When compared with conventional concrete, it contains less water contentwhen compared to traditional concrete. The RCC technique achieves significant time and cost savings during the construction of concrete. This study demonstrates the preparation of RCC slab of (38 ×38× 10) cmsamples by using roller compactor which is manufactured in local markets. The Hydrated lime additive is used to study the mechanical and physical properties of that RCC slab samples. This investigation is dividedinto two main stages: The First stage consists of hammer compaction method with two gradation of aggregate, dense and gap graded aggregate, using five percentages of cement content (10, 12, 14, 16, and 18) as a percentage of the total aggregate content. This stage is carried out for selecting the maximum dry density, optimum moisture content, and optimum cement content which is utilized in RCC slab samplesconstruction, a total of 49 cylinder samples sized (10 cm diameter and 11.6 cm high) are prepared. The Second stage is classified into two sub stages; the first one consists of constructing RCC slab samples using roller compaction, 12% cement as a percentage of total aggregate weight has been used according to the data obtained from first stage, this group presents reference mixes without additives. While the second sub stage presents RCC mix with hydrated lime additive and with the same gradation of mixes compact by hammer compaction method, hydrated lime was implemented as (5, 10, 12, and 15) percentageas a partial replacement of cement content. Both of physical and mechanical properties of RCC are studied using cores, sawed cubes, and sawed beams obtained from RCC slab samples. The properties studied were porosity, absorption, and compressive strength, splitting tensile strength and flexural strength by using third point loading method. The results show that hydrated lime improved the overall properties of RCC as compared to reference mix. Mixes with 5% lime give the optimum values for most of strength properties. Dense graded mixes with hydrated lime show superior properties as compared to gap graded mixes.","author":[{"dropping-particle":"","family":"Sarsam","given":"Saad I.","non-dropping-particle":"","parse-names":false,"suffix":""},{"dropping-particle":"","family":"Salih","given":"Abeer A.","non-dropping-particle":"","parse-names":false,"suffix":""},{"dropping-particle":"","family":"Abdullah","given":"Suha Ghazi","non-dropping-particle":"","parse-names":false,"suffix":""}],"container-title":"Journal of Engineering","id":"ITEM-1","issue":"3","issued":{"date-parts":[["2013","5","18"]]},"page":"377-387","title":"Effect of Hydrated Lime on the Properties of Roller Compacted Concrete","type":"article-journal","volume":"19"},"uris":["http://www.mendeley.com/documents/?uuid=c9d43ef8-e3a9-4f33-9e6e-596e3ee267f0"]}],"mendeley":{"formattedCitation":"(18)","plainTextFormattedCitation":"(18)","previouslyFormattedCitation":"[18]"},"properties":{"noteIndex":0},"schema":"https://github.com/citation-style-language/schema/raw/master/csl-citation.json"}</w:instrText>
      </w:r>
      <w:r w:rsidRPr="000A2485">
        <w:rPr>
          <w:rStyle w:val="Emphasis"/>
          <w:i w:val="0"/>
          <w:iCs w:val="0"/>
          <w:color w:val="333333"/>
        </w:rPr>
        <w:fldChar w:fldCharType="separate"/>
      </w:r>
      <w:r w:rsidR="00156B89" w:rsidRPr="00156B89">
        <w:rPr>
          <w:rStyle w:val="Emphasis"/>
          <w:i w:val="0"/>
          <w:iCs w:val="0"/>
          <w:noProof/>
          <w:color w:val="333333"/>
        </w:rPr>
        <w:t>(18)</w:t>
      </w:r>
      <w:r w:rsidRPr="000A2485">
        <w:rPr>
          <w:rStyle w:val="Emphasis"/>
          <w:i w:val="0"/>
          <w:iCs w:val="0"/>
          <w:color w:val="333333"/>
        </w:rPr>
        <w:fldChar w:fldCharType="end"/>
      </w:r>
      <w:r w:rsidRPr="000A2485">
        <w:rPr>
          <w:rStyle w:val="Emphasis"/>
          <w:i w:val="0"/>
          <w:iCs w:val="0"/>
          <w:color w:val="333333"/>
        </w:rPr>
        <w:t xml:space="preserve">, who observed a tendency for compressive strength to decrease as the level of cement substitution with hydrated lime increased. This reduction can be attributed to the physical properties of hydrated lime, which has a lower specific gravity (approximately 2.3) compared to Portland cement (approximately 3.15). This means that for the same mass, hydrated lime produces a greater volume than cement </w:t>
      </w:r>
      <w:r w:rsidRPr="000A2485">
        <w:rPr>
          <w:rStyle w:val="Emphasis"/>
          <w:i w:val="0"/>
          <w:iCs w:val="0"/>
          <w:color w:val="333333"/>
        </w:rPr>
        <w:fldChar w:fldCharType="begin" w:fldLock="1"/>
      </w:r>
      <w:r w:rsidR="00156B89">
        <w:rPr>
          <w:rStyle w:val="Emphasis"/>
          <w:i w:val="0"/>
          <w:iCs w:val="0"/>
          <w:color w:val="333333"/>
        </w:rPr>
        <w:instrText>ADDIN CSL_CITATION {"citationItems":[{"id":"ITEM-1","itemData":{"DOI":"10.3390/polym14030482","ISSN":"2073-4360","abstract":"Lime-cement concrete (LCC) is a non-structural concrete in which lime and cement are used as the main binders. However, although LCC has many applications in reducing the settlement of foundations and providing a support layer for shallow foundations, little research has been conducted to evaluate its behaviour in various moisture conditions. Previous researchers have studied the feasibility of using waste tires in conventional concrete to alleviate their negative environmental impacts. However, in field projects, rubber has not been widely used because its application leads to the strength reduction of concrete. In the case of LCC, attaining high strengths is not required and thus application of waste tire particles sounds reasonable. This research evaluated the impact of various rubber powder contents on the fresh, geotechnical and durability properties of LCC at different saturation degrees induced by the capillary action and groundwater level increment, which has not been studied before. The results of more than 320 tests showed that the application of tire powder increases workability and decreases the water absorption of LCC. Moreover, all 60-day cured specimens exposed to 100% saturation degree experienced a strength reduction of less than 10% by using rubber powder contents varying from 0 to 20%. Moreover, increasing the saturation degree from 0 to 100% decreased the average compressive strength by 13.5 and 22% for 60-day cured samples of two different mix designs. The results of this research confirm that LCC containing up to 10% rubber powder could be promisingly used underneath or close to the groundwater table without its strength and geotechnical properties being jeopardized due to rubber employment and/or exposure to ground moisture.","author":[{"dropping-particle":"","family":"Mohammadifar","given":"Leili","non-dropping-particle":"","parse-names":false,"suffix":""},{"dropping-particle":"","family":"Miraki","given":"Hania","non-dropping-particle":"","parse-names":false,"suffix":""},{"dropping-particle":"","family":"Rahmani","given":"Aida","non-dropping-particle":"","parse-names":false,"suffix":""},{"dropping-particle":"","family":"Jahandari","given":"Soheil","non-dropping-particle":"","parse-names":false,"suffix":""},{"dropping-particle":"","family":"Mehdizadeh","given":"Bahareh","non-dropping-particle":"","parse-names":false,"suffix":""},{"dropping-particle":"","family":"Rasekh","given":"Haleh","non-dropping-particle":"","parse-names":false,"suffix":""},{"dropping-particle":"","family":"Samadi","given":"Parisa","non-dropping-particle":"","parse-names":false,"suffix":""},{"dropping-particle":"","family":"Samali","given":"Bijan","non-dropping-particle":"","parse-names":false,"suffix":""}],"container-title":"Polymers","id":"ITEM-1","issue":"3","issued":{"date-parts":[["2022","1","25"]]},"page":"482","title":"Properties of Lime-Cement Concrete Containing Various Amounts of Waste Tire Powder under Different Ground Moisture Conditions","type":"article-journal","volume":"14"},"uris":["http://www.mendeley.com/documents/?uuid=eb09158f-26d9-4480-9264-8bc017785789"]}],"mendeley":{"formattedCitation":"(19)","plainTextFormattedCitation":"(19)","previouslyFormattedCitation":"[19]"},"properties":{"noteIndex":0},"schema":"https://github.com/citation-style-language/schema/raw/master/csl-citation.json"}</w:instrText>
      </w:r>
      <w:r w:rsidRPr="000A2485">
        <w:rPr>
          <w:rStyle w:val="Emphasis"/>
          <w:i w:val="0"/>
          <w:iCs w:val="0"/>
          <w:color w:val="333333"/>
        </w:rPr>
        <w:fldChar w:fldCharType="separate"/>
      </w:r>
      <w:r w:rsidR="00156B89" w:rsidRPr="00156B89">
        <w:rPr>
          <w:rStyle w:val="Emphasis"/>
          <w:i w:val="0"/>
          <w:iCs w:val="0"/>
          <w:noProof/>
          <w:color w:val="333333"/>
        </w:rPr>
        <w:t>(19)</w:t>
      </w:r>
      <w:r w:rsidRPr="000A2485">
        <w:rPr>
          <w:rStyle w:val="Emphasis"/>
          <w:i w:val="0"/>
          <w:iCs w:val="0"/>
          <w:color w:val="333333"/>
        </w:rPr>
        <w:fldChar w:fldCharType="end"/>
      </w:r>
      <w:r w:rsidRPr="000A2485">
        <w:rPr>
          <w:rStyle w:val="Emphasis"/>
          <w:i w:val="0"/>
          <w:iCs w:val="0"/>
          <w:color w:val="333333"/>
        </w:rPr>
        <w:t xml:space="preserve">. Consequently, although the paste volume increases, the amount of hydraulic material involved in forming calcium-silicate-hydrate (C-S-H) gel is reduced, which negatively affects the development of concrete compressive strength. </w:t>
      </w:r>
    </w:p>
    <w:p w:rsidR="00E30656" w:rsidRPr="00C037CE" w:rsidRDefault="000A2485" w:rsidP="00C037CE">
      <w:pPr>
        <w:pStyle w:val="Paragraph"/>
        <w:rPr>
          <w:color w:val="333333"/>
        </w:rPr>
      </w:pPr>
      <w:r w:rsidRPr="000A2485">
        <w:rPr>
          <w:color w:val="333333"/>
        </w:rPr>
        <w:t>Specimens containing 5% and 10% calcium carbonate achieved comparable compressive strength to the control mix at 7 days. However, at 28 days, their strength decreased by 4.3% and 2.8%, respectively</w:t>
      </w:r>
      <w:r w:rsidRPr="000A2485">
        <w:rPr>
          <w:rStyle w:val="Emphasis"/>
          <w:i w:val="0"/>
          <w:iCs w:val="0"/>
          <w:color w:val="333333"/>
        </w:rPr>
        <w:t xml:space="preserve">. Similar findings were reported in </w:t>
      </w:r>
      <w:r w:rsidRPr="000A2485">
        <w:rPr>
          <w:rStyle w:val="Emphasis"/>
          <w:i w:val="0"/>
          <w:iCs w:val="0"/>
          <w:color w:val="333333"/>
        </w:rPr>
        <w:fldChar w:fldCharType="begin" w:fldLock="1"/>
      </w:r>
      <w:r w:rsidR="00156B89">
        <w:rPr>
          <w:rStyle w:val="Emphasis"/>
          <w:i w:val="0"/>
          <w:iCs w:val="0"/>
          <w:color w:val="333333"/>
        </w:rPr>
        <w:instrText>ADDIN CSL_CITATION {"citationItems":[{"id":"ITEM-1","itemData":{"DOI":"10.4028/www.scientific.net/AMR.1115.137","ISSN":"1662-8985","abstract":"The continued growth of the world construction sectors has resulted in high demand for concrete materials. The innovation of using filler as a replacement for cement is becoming a trend in order to reduce the cement consumption and provide benefit in various ways. Hence forth, 10% of cement was replaced by the calcium carbonate (CaCO 3 ) in this study. CaCO 3 is a natural material, which has a finer particles size as compared to the cement particles. This improves particle packing of concrete and give spacer effect. The concrete with CaCO 3 replacement possess a higher slump, which increased the workability. The specimens were prepared in 150mm x 150mm x 150mm mould. At 28 days, the water absorbed by hardened concrete was lower for CaCO 3 as microscopy analysis indicates very low porosity in CaCO 3 concrete. Mechanical properties tests were conducted in 3, 7 and 28 days. The CaCO 3 helps to increase the early strength, due to the accelerator effect and high rate of hydration which hardens the concrete quicker. At matured age, the concrete with the CaCO 3 addition exhibits lower strength as compared with concrete without CaCO 3 , but still within the target strength.","author":[{"dropping-particle":"","family":"Ali","given":"Maisarah","non-dropping-particle":"","parse-names":false,"suffix":""},{"dropping-particle":"","family":"Abdullah","given":"Muhd Sufian","non-dropping-particle":"","parse-names":false,"suffix":""},{"dropping-particle":"","family":"Saad","given":"Siti Asmahani","non-dropping-particle":"","parse-names":false,"suffix":""}],"container-title":"Advanced Materials Research","id":"ITEM-1","issued":{"date-parts":[["2015","7"]]},"page":"137-141","title":"Effect of Calcium Carbonate Replacement on Workability and Mechanical Strength of Portland Cement Concrete","type":"article-journal","volume":"1115"},"uris":["http://www.mendeley.com/documents/?uuid=629c7463-5cdd-4d30-8c2d-079433136e15"]}],"mendeley":{"formattedCitation":"(15)","plainTextFormattedCitation":"(15)","previouslyFormattedCitation":"[15]"},"properties":{"noteIndex":0},"schema":"https://github.com/citation-style-language/schema/raw/master/csl-citation.json"}</w:instrText>
      </w:r>
      <w:r w:rsidRPr="000A2485">
        <w:rPr>
          <w:rStyle w:val="Emphasis"/>
          <w:i w:val="0"/>
          <w:iCs w:val="0"/>
          <w:color w:val="333333"/>
        </w:rPr>
        <w:fldChar w:fldCharType="separate"/>
      </w:r>
      <w:r w:rsidR="00156B89" w:rsidRPr="00156B89">
        <w:rPr>
          <w:rStyle w:val="Emphasis"/>
          <w:i w:val="0"/>
          <w:iCs w:val="0"/>
          <w:noProof/>
          <w:color w:val="333333"/>
        </w:rPr>
        <w:t>(15)</w:t>
      </w:r>
      <w:r w:rsidRPr="000A2485">
        <w:rPr>
          <w:rStyle w:val="Emphasis"/>
          <w:i w:val="0"/>
          <w:iCs w:val="0"/>
          <w:color w:val="333333"/>
        </w:rPr>
        <w:fldChar w:fldCharType="end"/>
      </w:r>
      <w:r w:rsidRPr="000A2485">
        <w:rPr>
          <w:rStyle w:val="Emphasis"/>
          <w:i w:val="0"/>
          <w:iCs w:val="0"/>
          <w:color w:val="333333"/>
        </w:rPr>
        <w:t>, where concrete containing CaCO₃ showed higher early-age compressive strength than concrete without it, mainly due to its filler effect, which improves cement particle packing and hydration. CaCO₃ also reacts with the C₃A phase to form carboaluminates, enhancing early strength [8]. However, at 28 days, OPC concrete achieved higher strength, as the partial replacement of reactive cement with relatively inert CaCO₃ reduced long-term strength development due to its limited reactivity with cement hydrates.</w:t>
      </w:r>
    </w:p>
    <w:p w:rsidR="00D87E2A" w:rsidRDefault="00D87E2A" w:rsidP="00D87E2A">
      <w:pPr>
        <w:pStyle w:val="Heading1"/>
        <w:rPr>
          <w:b w:val="0"/>
          <w:caps w:val="0"/>
          <w:sz w:val="20"/>
        </w:rPr>
      </w:pPr>
      <w:r w:rsidRPr="004850D9">
        <w:t>CONCLUSION</w:t>
      </w:r>
    </w:p>
    <w:p w:rsidR="00B624FB" w:rsidRDefault="00B624FB" w:rsidP="00B624FB">
      <w:pPr>
        <w:pStyle w:val="Paragraphnumbered"/>
        <w:numPr>
          <w:ilvl w:val="0"/>
          <w:numId w:val="0"/>
        </w:numPr>
        <w:ind w:firstLine="284"/>
      </w:pPr>
      <w:r w:rsidRPr="00C57D6A">
        <w:t>This study aimed to evaluate the potential of reducing cement and water content in concrete by 10% through the use of a superplasticizer and to assess the effects of hydrated lime and calcium carbonate fillers on fresh and hardened properties.</w:t>
      </w:r>
      <w:r>
        <w:t xml:space="preserve"> </w:t>
      </w:r>
      <w:r w:rsidRPr="00483015">
        <w:t>This study demonstrated that reducing water and cement content by 10% and incorporating hydrated lime or calcium carbonate as fillers can produce environmentally friendly concrete with acceptable workability and strength performance. The mixture</w:t>
      </w:r>
      <w:r>
        <w:t xml:space="preserve"> that</w:t>
      </w:r>
      <w:r w:rsidRPr="00483015">
        <w:t xml:space="preserve"> combined reduced binder content with a superplasticizer, achieved the highest workability and compressive strength at both 7 and 28 days, confirming the effectiveness of water-reducing admixtures in optimizing particle dispersion and hydration.</w:t>
      </w:r>
      <w:r>
        <w:t xml:space="preserve"> </w:t>
      </w:r>
      <w:r w:rsidRPr="00483015">
        <w:t xml:space="preserve">Hydrated lime replacement at 5% and 10% slightly reduced compressive strength due to its lower specific gravity and lack of hydraulic reactivity, though the effect remained within a small margin. Calcium carbonate replacement yielded comparable early-age strength to the control, supported by its filler effect, but led to </w:t>
      </w:r>
      <w:r>
        <w:t>slight</w:t>
      </w:r>
      <w:r w:rsidRPr="00483015">
        <w:t xml:space="preserve"> reductions at 28 days due to its inert nature in long-term hydration.</w:t>
      </w:r>
      <w:r>
        <w:t xml:space="preserve"> T</w:t>
      </w:r>
      <w:r w:rsidRPr="00483015">
        <w:t>he results indicate that careful selection and proportioning of fillers, combined with optimized admixture use, can offset reductions in cement content while maintaining or enhancing concrete performance, contributing to the development of more sustainable green concrete.</w:t>
      </w:r>
    </w:p>
    <w:p w:rsidR="00D87E2A" w:rsidRPr="00A24F3D" w:rsidRDefault="00D87E2A" w:rsidP="003B0050">
      <w:pPr>
        <w:pStyle w:val="Paragraph"/>
      </w:pPr>
    </w:p>
    <w:p w:rsidR="00613B4D" w:rsidRPr="00075EA6" w:rsidRDefault="0016385D" w:rsidP="00613B4D">
      <w:pPr>
        <w:pStyle w:val="Heading1"/>
      </w:pPr>
      <w:r w:rsidRPr="004850D9">
        <w:t>Acknowledgments</w:t>
      </w:r>
    </w:p>
    <w:p w:rsidR="00D86A90" w:rsidRPr="009A7BC2" w:rsidRDefault="00D86A90" w:rsidP="00D86A90">
      <w:pPr>
        <w:pStyle w:val="Paragraph"/>
      </w:pPr>
      <w:r w:rsidRPr="001601FC">
        <w:t>The authors would like to express their gratitude to Universitas Muhammadiyah Malang for providing financial support for this research. This work would not have been possible without their generous funding and continuous encouragement.</w:t>
      </w:r>
    </w:p>
    <w:p w:rsidR="00156B89" w:rsidRPr="00A24F3D" w:rsidRDefault="0016385D" w:rsidP="00156B89">
      <w:pPr>
        <w:pStyle w:val="Heading1"/>
        <w:rPr>
          <w:iCs/>
        </w:rPr>
      </w:pPr>
      <w:r w:rsidRPr="004850D9">
        <w:t>References</w:t>
      </w:r>
    </w:p>
    <w:p w:rsidR="00156B89" w:rsidRPr="00156B89" w:rsidRDefault="00156B89" w:rsidP="00156B89">
      <w:pPr>
        <w:widowControl w:val="0"/>
        <w:autoSpaceDE w:val="0"/>
        <w:autoSpaceDN w:val="0"/>
        <w:adjustRightInd w:val="0"/>
        <w:ind w:left="640" w:hanging="640"/>
        <w:rPr>
          <w:noProof/>
          <w:sz w:val="20"/>
        </w:rPr>
      </w:pPr>
      <w:r>
        <w:rPr>
          <w:iCs/>
        </w:rPr>
        <w:fldChar w:fldCharType="begin" w:fldLock="1"/>
      </w:r>
      <w:r>
        <w:rPr>
          <w:iCs/>
        </w:rPr>
        <w:instrText xml:space="preserve">ADDIN Mendeley Bibliography CSL_BIBLIOGRAPHY </w:instrText>
      </w:r>
      <w:r>
        <w:rPr>
          <w:iCs/>
        </w:rPr>
        <w:fldChar w:fldCharType="separate"/>
      </w:r>
      <w:r w:rsidRPr="00156B89">
        <w:rPr>
          <w:noProof/>
          <w:sz w:val="20"/>
        </w:rPr>
        <w:t xml:space="preserve">1. </w:t>
      </w:r>
      <w:r w:rsidRPr="00156B89">
        <w:rPr>
          <w:noProof/>
          <w:sz w:val="20"/>
        </w:rPr>
        <w:tab/>
        <w:t>Tavakoli D, Saradar A, Langaroudi MAM, Moein MM, Karakouzian M. The influence of calcium carbonate on the mechanical properties and durability of ultra-high-performance concrete with varying silica fume content. Grantham M, Custodio J, Real S, editors. MATEC Web Conf [Internet]. 2025 Jun 13;409:12003. Available from: https://www.matec-conferences.org/10.1051/matecconf/202540912003</w:t>
      </w:r>
    </w:p>
    <w:p w:rsidR="00156B89" w:rsidRPr="00156B89" w:rsidRDefault="00156B89" w:rsidP="00156B89">
      <w:pPr>
        <w:widowControl w:val="0"/>
        <w:autoSpaceDE w:val="0"/>
        <w:autoSpaceDN w:val="0"/>
        <w:adjustRightInd w:val="0"/>
        <w:ind w:left="640" w:hanging="640"/>
        <w:rPr>
          <w:noProof/>
          <w:sz w:val="20"/>
        </w:rPr>
      </w:pPr>
      <w:r w:rsidRPr="00156B89">
        <w:rPr>
          <w:noProof/>
          <w:sz w:val="20"/>
        </w:rPr>
        <w:t xml:space="preserve">2. </w:t>
      </w:r>
      <w:r w:rsidRPr="00156B89">
        <w:rPr>
          <w:noProof/>
          <w:sz w:val="20"/>
        </w:rPr>
        <w:tab/>
        <w:t>Nilimaa J. Smart materials and technologies for sustainable concrete construction. Dev Built Environ [Internet]. 2023 Oct;15:100177. Available from: https://linkinghub.elsevier.com/retrieve/pii/S2666165923000595</w:t>
      </w:r>
    </w:p>
    <w:p w:rsidR="00156B89" w:rsidRPr="00156B89" w:rsidRDefault="00156B89" w:rsidP="00156B89">
      <w:pPr>
        <w:widowControl w:val="0"/>
        <w:autoSpaceDE w:val="0"/>
        <w:autoSpaceDN w:val="0"/>
        <w:adjustRightInd w:val="0"/>
        <w:ind w:left="640" w:hanging="640"/>
        <w:rPr>
          <w:noProof/>
          <w:sz w:val="20"/>
        </w:rPr>
      </w:pPr>
      <w:r w:rsidRPr="00156B89">
        <w:rPr>
          <w:noProof/>
          <w:sz w:val="20"/>
        </w:rPr>
        <w:t xml:space="preserve">3. </w:t>
      </w:r>
      <w:r w:rsidRPr="00156B89">
        <w:rPr>
          <w:noProof/>
          <w:sz w:val="20"/>
        </w:rPr>
        <w:tab/>
        <w:t>Cosentino I, Liendo F, Arduino M, Restuccia L, Bensaid S, Deorsola F, et al. Nano CaCO3 particles in cement mortars towards developing a circular economy in the cement industry. Procedia Struct Integr [Internet]. 2020;26:155–65. Available from: https://linkinghub.elsevier.com/retrieve/pii/S2452321620304224</w:t>
      </w:r>
    </w:p>
    <w:p w:rsidR="00156B89" w:rsidRPr="00156B89" w:rsidRDefault="00156B89" w:rsidP="00156B89">
      <w:pPr>
        <w:widowControl w:val="0"/>
        <w:autoSpaceDE w:val="0"/>
        <w:autoSpaceDN w:val="0"/>
        <w:adjustRightInd w:val="0"/>
        <w:ind w:left="640" w:hanging="640"/>
        <w:rPr>
          <w:noProof/>
          <w:sz w:val="20"/>
        </w:rPr>
      </w:pPr>
      <w:r w:rsidRPr="00156B89">
        <w:rPr>
          <w:noProof/>
          <w:sz w:val="20"/>
        </w:rPr>
        <w:t xml:space="preserve">4. </w:t>
      </w:r>
      <w:r w:rsidRPr="00156B89">
        <w:rPr>
          <w:noProof/>
          <w:sz w:val="20"/>
        </w:rPr>
        <w:tab/>
        <w:t>Tkachenko N, Tang K, McCarten M, Reece S, Kampmann D, Hickey C, et al. Global database of cement production assets and upstream suppliers. Sci Data [Internet]. 2023 Oct 13;10(1):696. Available from: https://www.nature.com/articles/s41597-023-02599-w</w:t>
      </w:r>
    </w:p>
    <w:p w:rsidR="00156B89" w:rsidRPr="00156B89" w:rsidRDefault="00156B89" w:rsidP="00156B89">
      <w:pPr>
        <w:widowControl w:val="0"/>
        <w:autoSpaceDE w:val="0"/>
        <w:autoSpaceDN w:val="0"/>
        <w:adjustRightInd w:val="0"/>
        <w:ind w:left="640" w:hanging="640"/>
        <w:rPr>
          <w:noProof/>
          <w:sz w:val="20"/>
        </w:rPr>
      </w:pPr>
      <w:r w:rsidRPr="00156B89">
        <w:rPr>
          <w:noProof/>
          <w:sz w:val="20"/>
        </w:rPr>
        <w:t xml:space="preserve">5. </w:t>
      </w:r>
      <w:r w:rsidRPr="00156B89">
        <w:rPr>
          <w:noProof/>
          <w:sz w:val="20"/>
        </w:rPr>
        <w:tab/>
        <w:t>Al-Otaibi A. Barriers and Enablers for Green Concrete Adoption: A Scientometric Aided Literature Review Approach. Sustainability [Internet]. 2024 Jun 14;16(12):5093. Available from: https://www.mdpi.com/2071-1050/16/12/5093</w:t>
      </w:r>
    </w:p>
    <w:p w:rsidR="00156B89" w:rsidRPr="00156B89" w:rsidRDefault="00156B89" w:rsidP="00156B89">
      <w:pPr>
        <w:widowControl w:val="0"/>
        <w:autoSpaceDE w:val="0"/>
        <w:autoSpaceDN w:val="0"/>
        <w:adjustRightInd w:val="0"/>
        <w:ind w:left="640" w:hanging="640"/>
        <w:rPr>
          <w:noProof/>
          <w:sz w:val="20"/>
        </w:rPr>
      </w:pPr>
      <w:r w:rsidRPr="00156B89">
        <w:rPr>
          <w:noProof/>
          <w:sz w:val="20"/>
        </w:rPr>
        <w:t xml:space="preserve">6. </w:t>
      </w:r>
      <w:r w:rsidRPr="00156B89">
        <w:rPr>
          <w:noProof/>
          <w:sz w:val="20"/>
        </w:rPr>
        <w:tab/>
        <w:t>Suhendro B. Toward Green Concrete for Better Sustainable Environment. Procedia Eng [Internet]. 2014;95:305–20. Available from: https://linkinghub.elsevier.com/retrieve/pii/S1877705814032494</w:t>
      </w:r>
    </w:p>
    <w:p w:rsidR="00156B89" w:rsidRPr="00156B89" w:rsidRDefault="00156B89" w:rsidP="00156B89">
      <w:pPr>
        <w:widowControl w:val="0"/>
        <w:autoSpaceDE w:val="0"/>
        <w:autoSpaceDN w:val="0"/>
        <w:adjustRightInd w:val="0"/>
        <w:ind w:left="640" w:hanging="640"/>
        <w:rPr>
          <w:noProof/>
          <w:sz w:val="20"/>
        </w:rPr>
      </w:pPr>
      <w:r w:rsidRPr="00156B89">
        <w:rPr>
          <w:noProof/>
          <w:sz w:val="20"/>
        </w:rPr>
        <w:t xml:space="preserve">7. </w:t>
      </w:r>
      <w:r w:rsidRPr="00156B89">
        <w:rPr>
          <w:noProof/>
          <w:sz w:val="20"/>
        </w:rPr>
        <w:tab/>
        <w:t xml:space="preserve">Alsadey S, Omran A. Effect of Superplasticizers to Enhance the Properties of Concrete. Des Constr Maint. 2022;2. </w:t>
      </w:r>
    </w:p>
    <w:p w:rsidR="00156B89" w:rsidRPr="00156B89" w:rsidRDefault="00156B89" w:rsidP="00156B89">
      <w:pPr>
        <w:widowControl w:val="0"/>
        <w:autoSpaceDE w:val="0"/>
        <w:autoSpaceDN w:val="0"/>
        <w:adjustRightInd w:val="0"/>
        <w:ind w:left="640" w:hanging="640"/>
        <w:rPr>
          <w:noProof/>
          <w:sz w:val="20"/>
        </w:rPr>
      </w:pPr>
      <w:r w:rsidRPr="00156B89">
        <w:rPr>
          <w:noProof/>
          <w:sz w:val="20"/>
        </w:rPr>
        <w:t xml:space="preserve">8. </w:t>
      </w:r>
      <w:r w:rsidRPr="00156B89">
        <w:rPr>
          <w:noProof/>
          <w:sz w:val="20"/>
        </w:rPr>
        <w:tab/>
        <w:t>Ardiansyah PP, Cahyani RAT, Rusdianto Y. Optimalisasi Penggunaan Superplastisizer dan Reduksi Air untuk Peningkatan Kinerja Beton. J Media Tek Sipil [Internet]. 2024 Feb 28;22(1):31–8. Available from: https://ejournal.umm.ac.id/index.php/jmts/article/view/32730</w:t>
      </w:r>
    </w:p>
    <w:p w:rsidR="00156B89" w:rsidRPr="00156B89" w:rsidRDefault="00156B89" w:rsidP="00156B89">
      <w:pPr>
        <w:widowControl w:val="0"/>
        <w:autoSpaceDE w:val="0"/>
        <w:autoSpaceDN w:val="0"/>
        <w:adjustRightInd w:val="0"/>
        <w:ind w:left="640" w:hanging="640"/>
        <w:rPr>
          <w:noProof/>
          <w:sz w:val="20"/>
        </w:rPr>
      </w:pPr>
      <w:r w:rsidRPr="00156B89">
        <w:rPr>
          <w:noProof/>
          <w:sz w:val="20"/>
        </w:rPr>
        <w:t xml:space="preserve">9. </w:t>
      </w:r>
      <w:r w:rsidRPr="00156B89">
        <w:rPr>
          <w:noProof/>
          <w:sz w:val="20"/>
        </w:rPr>
        <w:tab/>
        <w:t>Dvorkin L, Zhitkovsky V, Makarenko R, Ribakov Y. The Influence of Polymer Superplasticizers on Properties of High-Strength Concrete Based on Low-Clinker Slag Portland Cement. Materials (Basel) [Internet]. 2023 Mar 3;16(5):2075. Available from: https://www.mdpi.com/1996-1944/16/5/2075</w:t>
      </w:r>
    </w:p>
    <w:p w:rsidR="00156B89" w:rsidRPr="00156B89" w:rsidRDefault="00156B89" w:rsidP="00156B89">
      <w:pPr>
        <w:widowControl w:val="0"/>
        <w:autoSpaceDE w:val="0"/>
        <w:autoSpaceDN w:val="0"/>
        <w:adjustRightInd w:val="0"/>
        <w:ind w:left="640" w:hanging="640"/>
        <w:rPr>
          <w:noProof/>
          <w:sz w:val="20"/>
        </w:rPr>
      </w:pPr>
      <w:r w:rsidRPr="00156B89">
        <w:rPr>
          <w:noProof/>
          <w:sz w:val="20"/>
        </w:rPr>
        <w:t xml:space="preserve">10. </w:t>
      </w:r>
      <w:r w:rsidRPr="00156B89">
        <w:rPr>
          <w:noProof/>
          <w:sz w:val="20"/>
        </w:rPr>
        <w:tab/>
        <w:t>Proske T, Hainer S, Rezvani M, Graubner C-A. Eco-Friendly Concretes With Reduced Water and Cement Content. In: Handbook of Low Carbon Concrete [Internet]. Elsevier; 2017. p. 63–87. Available from: https://linkinghub.elsevier.com/retrieve/pii/B978012804524400004X</w:t>
      </w:r>
    </w:p>
    <w:p w:rsidR="00156B89" w:rsidRPr="00156B89" w:rsidRDefault="00156B89" w:rsidP="00156B89">
      <w:pPr>
        <w:widowControl w:val="0"/>
        <w:autoSpaceDE w:val="0"/>
        <w:autoSpaceDN w:val="0"/>
        <w:adjustRightInd w:val="0"/>
        <w:ind w:left="640" w:hanging="640"/>
        <w:rPr>
          <w:noProof/>
          <w:sz w:val="20"/>
        </w:rPr>
      </w:pPr>
      <w:r w:rsidRPr="00156B89">
        <w:rPr>
          <w:noProof/>
          <w:sz w:val="20"/>
        </w:rPr>
        <w:t xml:space="preserve">11. </w:t>
      </w:r>
      <w:r w:rsidRPr="00156B89">
        <w:rPr>
          <w:noProof/>
          <w:sz w:val="20"/>
        </w:rPr>
        <w:tab/>
        <w:t>Sato T, Diallo F. Seeding Effect of Nano-CaCO 3 on the Hydration of Tricalcium Silicate. Transp Res Rec J Transp Res Board [Internet]. 2010 Jan 1;2141(1):61–7. Available from: https://journals.sagepub.com/doi/10.3141/2141-11</w:t>
      </w:r>
    </w:p>
    <w:p w:rsidR="00156B89" w:rsidRPr="00156B89" w:rsidRDefault="00156B89" w:rsidP="00156B89">
      <w:pPr>
        <w:widowControl w:val="0"/>
        <w:autoSpaceDE w:val="0"/>
        <w:autoSpaceDN w:val="0"/>
        <w:adjustRightInd w:val="0"/>
        <w:ind w:left="640" w:hanging="640"/>
        <w:rPr>
          <w:noProof/>
          <w:sz w:val="20"/>
        </w:rPr>
      </w:pPr>
      <w:r w:rsidRPr="00156B89">
        <w:rPr>
          <w:noProof/>
          <w:sz w:val="20"/>
        </w:rPr>
        <w:t xml:space="preserve">12. </w:t>
      </w:r>
      <w:r w:rsidRPr="00156B89">
        <w:rPr>
          <w:noProof/>
          <w:sz w:val="20"/>
        </w:rPr>
        <w:tab/>
        <w:t xml:space="preserve">Anjos MAS, Camões A, Campos P, Azeredo GA, Ferreira RLS. Effect of high volume fly ash and metakaolin with and without hydrated lime on the properties of self-compacting concrete. J Build Eng. 2020;27(October 2019). </w:t>
      </w:r>
    </w:p>
    <w:p w:rsidR="00156B89" w:rsidRPr="00156B89" w:rsidRDefault="00156B89" w:rsidP="00156B89">
      <w:pPr>
        <w:widowControl w:val="0"/>
        <w:autoSpaceDE w:val="0"/>
        <w:autoSpaceDN w:val="0"/>
        <w:adjustRightInd w:val="0"/>
        <w:ind w:left="640" w:hanging="640"/>
        <w:rPr>
          <w:noProof/>
          <w:sz w:val="20"/>
        </w:rPr>
      </w:pPr>
      <w:r w:rsidRPr="00156B89">
        <w:rPr>
          <w:noProof/>
          <w:sz w:val="20"/>
        </w:rPr>
        <w:t xml:space="preserve">13. </w:t>
      </w:r>
      <w:r w:rsidRPr="00156B89">
        <w:rPr>
          <w:noProof/>
          <w:sz w:val="20"/>
        </w:rPr>
        <w:tab/>
        <w:t xml:space="preserve">Valcuende M, Calabuig R, Martínez-Ibernón A, Soto J. Influence of hydrated lime on the chloride-induced reinforcement corrosion in eco-efficient concretes made with high-volume fly ash. Materials (Basel). 2020;13(22):1–16. </w:t>
      </w:r>
    </w:p>
    <w:p w:rsidR="00156B89" w:rsidRPr="00156B89" w:rsidRDefault="00156B89" w:rsidP="00156B89">
      <w:pPr>
        <w:widowControl w:val="0"/>
        <w:autoSpaceDE w:val="0"/>
        <w:autoSpaceDN w:val="0"/>
        <w:adjustRightInd w:val="0"/>
        <w:ind w:left="640" w:hanging="640"/>
        <w:rPr>
          <w:noProof/>
          <w:sz w:val="20"/>
        </w:rPr>
      </w:pPr>
      <w:r w:rsidRPr="00156B89">
        <w:rPr>
          <w:noProof/>
          <w:sz w:val="20"/>
        </w:rPr>
        <w:t xml:space="preserve">14. </w:t>
      </w:r>
      <w:r w:rsidRPr="00156B89">
        <w:rPr>
          <w:noProof/>
          <w:sz w:val="20"/>
        </w:rPr>
        <w:tab/>
        <w:t>Awodiji CTG, Onwuka DO, Okere C, Ibearugbulem O. Anticipating the Compressive Strength of Hydrated Lime Cement Concrete Using Artificial Neural Network Model. Civ Eng J [Internet]. 2018 Dec 24;4(12):3005. Available from: https://civilejournal.org/index.php/cej/article/view/1091</w:t>
      </w:r>
    </w:p>
    <w:p w:rsidR="00156B89" w:rsidRPr="00156B89" w:rsidRDefault="00156B89" w:rsidP="00156B89">
      <w:pPr>
        <w:widowControl w:val="0"/>
        <w:autoSpaceDE w:val="0"/>
        <w:autoSpaceDN w:val="0"/>
        <w:adjustRightInd w:val="0"/>
        <w:ind w:left="640" w:hanging="640"/>
        <w:rPr>
          <w:noProof/>
          <w:sz w:val="20"/>
        </w:rPr>
      </w:pPr>
      <w:r w:rsidRPr="00156B89">
        <w:rPr>
          <w:noProof/>
          <w:sz w:val="20"/>
        </w:rPr>
        <w:t xml:space="preserve">15. </w:t>
      </w:r>
      <w:r w:rsidRPr="00156B89">
        <w:rPr>
          <w:noProof/>
          <w:sz w:val="20"/>
        </w:rPr>
        <w:tab/>
        <w:t>Ali M, Abdullah MS, Saad SA. Effect of Calcium Carbonate Replacement on Workability and Mechanical Strength of Portland Cement Concrete. Adv Mater Res [Internet]. 2015 Jul;1115:137–41. Available from: https://www.scientific.net/AMR.1115.137</w:t>
      </w:r>
    </w:p>
    <w:p w:rsidR="00156B89" w:rsidRPr="00156B89" w:rsidRDefault="00156B89" w:rsidP="00156B89">
      <w:pPr>
        <w:widowControl w:val="0"/>
        <w:autoSpaceDE w:val="0"/>
        <w:autoSpaceDN w:val="0"/>
        <w:adjustRightInd w:val="0"/>
        <w:ind w:left="640" w:hanging="640"/>
        <w:rPr>
          <w:noProof/>
          <w:sz w:val="20"/>
        </w:rPr>
      </w:pPr>
      <w:r w:rsidRPr="00156B89">
        <w:rPr>
          <w:noProof/>
          <w:sz w:val="20"/>
        </w:rPr>
        <w:t xml:space="preserve">16. </w:t>
      </w:r>
      <w:r w:rsidRPr="00156B89">
        <w:rPr>
          <w:noProof/>
          <w:sz w:val="20"/>
        </w:rPr>
        <w:tab/>
        <w:t>Abu Bakr M, Singh BK. Strength and durability properties of recycled aggregate concrete blended with hydrated lime and brick powder. Eur J Environ Civ Eng [Internet]. 2024 Apr 25;28(6):1259–83. Available from: https://www.tandfonline.com/doi/full/10.1080/19648189.2023.2247459</w:t>
      </w:r>
    </w:p>
    <w:p w:rsidR="00156B89" w:rsidRPr="00156B89" w:rsidRDefault="00156B89" w:rsidP="00156B89">
      <w:pPr>
        <w:widowControl w:val="0"/>
        <w:autoSpaceDE w:val="0"/>
        <w:autoSpaceDN w:val="0"/>
        <w:adjustRightInd w:val="0"/>
        <w:ind w:left="640" w:hanging="640"/>
        <w:rPr>
          <w:noProof/>
          <w:sz w:val="20"/>
        </w:rPr>
      </w:pPr>
      <w:r w:rsidRPr="00156B89">
        <w:rPr>
          <w:noProof/>
          <w:sz w:val="20"/>
        </w:rPr>
        <w:t xml:space="preserve">17. </w:t>
      </w:r>
      <w:r w:rsidRPr="00156B89">
        <w:rPr>
          <w:noProof/>
          <w:sz w:val="20"/>
        </w:rPr>
        <w:tab/>
        <w:t>Huang R, Xu L, Xu Z, Zhang Q, Wang J. A Review on Concrete Superplasticizers and Their Potential Applications for Enhancing the Performance of Thermally Activated Recycled Cement. Materials (Basel) [Internet]. 2024 Aug 23;17(17):4170. Available from: https://www.mdpi.com/1996-1944/17/17/4170</w:t>
      </w:r>
    </w:p>
    <w:p w:rsidR="00156B89" w:rsidRPr="00156B89" w:rsidRDefault="00156B89" w:rsidP="00156B89">
      <w:pPr>
        <w:widowControl w:val="0"/>
        <w:autoSpaceDE w:val="0"/>
        <w:autoSpaceDN w:val="0"/>
        <w:adjustRightInd w:val="0"/>
        <w:ind w:left="640" w:hanging="640"/>
        <w:rPr>
          <w:noProof/>
          <w:sz w:val="20"/>
        </w:rPr>
      </w:pPr>
      <w:r w:rsidRPr="00156B89">
        <w:rPr>
          <w:noProof/>
          <w:sz w:val="20"/>
        </w:rPr>
        <w:t xml:space="preserve">18. </w:t>
      </w:r>
      <w:r w:rsidRPr="00156B89">
        <w:rPr>
          <w:noProof/>
          <w:sz w:val="20"/>
        </w:rPr>
        <w:tab/>
        <w:t>Sarsam SI, Salih AA, Abdullah SG. Effect of Hydrated Lime on the Properties of Roller Compacted Concrete. J Eng [Internet]. 2013 May 18;19(3):377–87. Available from: https://joe.uobaghdad.edu.iq/index.php/main/article/view/2078</w:t>
      </w:r>
    </w:p>
    <w:p w:rsidR="00156B89" w:rsidRPr="00156B89" w:rsidRDefault="00156B89" w:rsidP="00156B89">
      <w:pPr>
        <w:widowControl w:val="0"/>
        <w:autoSpaceDE w:val="0"/>
        <w:autoSpaceDN w:val="0"/>
        <w:adjustRightInd w:val="0"/>
        <w:ind w:left="640" w:hanging="640"/>
        <w:rPr>
          <w:noProof/>
          <w:sz w:val="20"/>
        </w:rPr>
      </w:pPr>
      <w:r w:rsidRPr="00156B89">
        <w:rPr>
          <w:noProof/>
          <w:sz w:val="20"/>
        </w:rPr>
        <w:t xml:space="preserve">19. </w:t>
      </w:r>
      <w:r w:rsidRPr="00156B89">
        <w:rPr>
          <w:noProof/>
          <w:sz w:val="20"/>
        </w:rPr>
        <w:tab/>
        <w:t>Mohammadifar L, Miraki H, Rahmani A, Jahandari S, Mehdizadeh B, Rasekh H, et al. Properties of Lime-Cement Concrete Containing Various Amounts of Waste Tire Powder under Different Ground Moisture Conditions. Polymers (Basel) [Internet]. 2022 Jan 25;14(3):482. Available from: https://www.mdpi.com/2073-4360/14/3/482</w:t>
      </w:r>
    </w:p>
    <w:p w:rsidR="00A24F3D" w:rsidRPr="00A24F3D" w:rsidRDefault="00156B89" w:rsidP="00156B89">
      <w:pPr>
        <w:pStyle w:val="Paragraph"/>
        <w:ind w:firstLine="0"/>
        <w:rPr>
          <w:iCs/>
        </w:rPr>
      </w:pPr>
      <w:r>
        <w:rPr>
          <w:iCs/>
        </w:rPr>
        <w:fldChar w:fldCharType="end"/>
      </w:r>
    </w:p>
    <w:p w:rsidR="00326AE0" w:rsidRPr="003B0050" w:rsidRDefault="00326AE0" w:rsidP="005E71ED">
      <w:pPr>
        <w:pStyle w:val="Paragraph"/>
        <w:ind w:left="644" w:firstLine="0"/>
        <w:rPr>
          <w:iCs/>
        </w:rPr>
      </w:pPr>
    </w:p>
    <w:p w:rsidR="00326AE0" w:rsidRDefault="00326AE0" w:rsidP="005E71ED">
      <w:pPr>
        <w:pStyle w:val="Paragraph"/>
        <w:rPr>
          <w:i/>
          <w:iCs/>
        </w:rPr>
      </w:pPr>
    </w:p>
    <w:p w:rsidR="00326AE0" w:rsidRDefault="00326AE0" w:rsidP="003B0050">
      <w:pPr>
        <w:pStyle w:val="Paragraphbulleted"/>
        <w:numPr>
          <w:ilvl w:val="0"/>
          <w:numId w:val="0"/>
        </w:numPr>
        <w:ind w:left="426" w:hanging="426"/>
      </w:pPr>
    </w:p>
    <w:p w:rsidR="00C80F98" w:rsidRDefault="00C80F98" w:rsidP="003B0050">
      <w:pPr>
        <w:pStyle w:val="Paragraphbulleted"/>
        <w:numPr>
          <w:ilvl w:val="0"/>
          <w:numId w:val="0"/>
        </w:numPr>
        <w:ind w:left="426" w:hanging="426"/>
      </w:pPr>
    </w:p>
    <w:p w:rsidR="00C80F98" w:rsidRDefault="00C80F98" w:rsidP="003B0050">
      <w:pPr>
        <w:pStyle w:val="Paragraphbulleted"/>
        <w:numPr>
          <w:ilvl w:val="0"/>
          <w:numId w:val="0"/>
        </w:numPr>
        <w:ind w:left="426" w:hanging="426"/>
      </w:pPr>
    </w:p>
    <w:p w:rsidR="00C80F98" w:rsidRDefault="00C80F98" w:rsidP="003B0050">
      <w:pPr>
        <w:pStyle w:val="Paragraphbulleted"/>
        <w:numPr>
          <w:ilvl w:val="0"/>
          <w:numId w:val="0"/>
        </w:numPr>
        <w:ind w:left="426" w:hanging="426"/>
      </w:pPr>
    </w:p>
    <w:p w:rsidR="00C80F98" w:rsidRDefault="00C80F98" w:rsidP="003B0050">
      <w:pPr>
        <w:pStyle w:val="Paragraphbulleted"/>
        <w:numPr>
          <w:ilvl w:val="0"/>
          <w:numId w:val="0"/>
        </w:numPr>
        <w:ind w:left="426" w:hanging="426"/>
      </w:pPr>
    </w:p>
    <w:p w:rsidR="00C80F98" w:rsidRDefault="00C80F98" w:rsidP="003B0050">
      <w:pPr>
        <w:pStyle w:val="Paragraphbulleted"/>
        <w:numPr>
          <w:ilvl w:val="0"/>
          <w:numId w:val="0"/>
        </w:numPr>
        <w:ind w:left="426" w:hanging="426"/>
      </w:pPr>
    </w:p>
    <w:p w:rsidR="00C80F98" w:rsidRDefault="00C80F98" w:rsidP="003B0050">
      <w:pPr>
        <w:pStyle w:val="Paragraphbulleted"/>
        <w:numPr>
          <w:ilvl w:val="0"/>
          <w:numId w:val="0"/>
        </w:numPr>
        <w:ind w:left="426" w:hanging="426"/>
      </w:pPr>
    </w:p>
    <w:p w:rsidR="00C80F98" w:rsidRDefault="00C80F98" w:rsidP="003B0050">
      <w:pPr>
        <w:pStyle w:val="Paragraphbulleted"/>
        <w:numPr>
          <w:ilvl w:val="0"/>
          <w:numId w:val="0"/>
        </w:numPr>
        <w:ind w:left="426" w:hanging="426"/>
      </w:pPr>
    </w:p>
    <w:p w:rsidR="00C80F98" w:rsidRDefault="00C80F98" w:rsidP="003B0050">
      <w:pPr>
        <w:pStyle w:val="Paragraphbulleted"/>
        <w:numPr>
          <w:ilvl w:val="0"/>
          <w:numId w:val="0"/>
        </w:numPr>
        <w:ind w:left="426" w:hanging="426"/>
      </w:pPr>
    </w:p>
    <w:p w:rsidR="00C80F98" w:rsidRDefault="00C80F98" w:rsidP="003B0050">
      <w:pPr>
        <w:pStyle w:val="Paragraphbulleted"/>
        <w:numPr>
          <w:ilvl w:val="0"/>
          <w:numId w:val="0"/>
        </w:numPr>
        <w:ind w:left="426" w:hanging="426"/>
      </w:pPr>
    </w:p>
    <w:p w:rsidR="00C80F98" w:rsidRDefault="00C80F98" w:rsidP="003B0050">
      <w:pPr>
        <w:pStyle w:val="Paragraphbulleted"/>
        <w:numPr>
          <w:ilvl w:val="0"/>
          <w:numId w:val="0"/>
        </w:numPr>
        <w:ind w:left="426" w:hanging="426"/>
      </w:pPr>
    </w:p>
    <w:p w:rsidR="00C80F98" w:rsidRDefault="00C80F98" w:rsidP="003B0050">
      <w:pPr>
        <w:pStyle w:val="Paragraphbulleted"/>
        <w:numPr>
          <w:ilvl w:val="0"/>
          <w:numId w:val="0"/>
        </w:numPr>
        <w:ind w:left="426" w:hanging="426"/>
      </w:pPr>
    </w:p>
    <w:p w:rsidR="00C80F98" w:rsidRDefault="00C80F98" w:rsidP="003B0050">
      <w:pPr>
        <w:pStyle w:val="Paragraphbulleted"/>
        <w:numPr>
          <w:ilvl w:val="0"/>
          <w:numId w:val="0"/>
        </w:numPr>
        <w:ind w:left="426" w:hanging="426"/>
      </w:pPr>
    </w:p>
    <w:p w:rsidR="00C80F98" w:rsidRDefault="00C80F98" w:rsidP="003B0050">
      <w:pPr>
        <w:pStyle w:val="Paragraphbulleted"/>
        <w:numPr>
          <w:ilvl w:val="0"/>
          <w:numId w:val="0"/>
        </w:numPr>
        <w:ind w:left="426" w:hanging="426"/>
      </w:pPr>
    </w:p>
    <w:p w:rsidR="00C80F98" w:rsidRDefault="00C80F98" w:rsidP="003B0050">
      <w:pPr>
        <w:pStyle w:val="Paragraphbulleted"/>
        <w:numPr>
          <w:ilvl w:val="0"/>
          <w:numId w:val="0"/>
        </w:numPr>
        <w:ind w:left="426" w:hanging="426"/>
      </w:pPr>
    </w:p>
    <w:p w:rsidR="00C80F98" w:rsidRDefault="00C80F98" w:rsidP="003B0050">
      <w:pPr>
        <w:pStyle w:val="Paragraphbulleted"/>
        <w:numPr>
          <w:ilvl w:val="0"/>
          <w:numId w:val="0"/>
        </w:numPr>
        <w:ind w:left="426" w:hanging="426"/>
      </w:pPr>
    </w:p>
    <w:p w:rsidR="00C80F98" w:rsidRDefault="00C80F98" w:rsidP="003B0050">
      <w:pPr>
        <w:pStyle w:val="Paragraphbulleted"/>
        <w:numPr>
          <w:ilvl w:val="0"/>
          <w:numId w:val="0"/>
        </w:numPr>
        <w:ind w:left="426" w:hanging="426"/>
      </w:pPr>
    </w:p>
    <w:p w:rsidR="00C80F98" w:rsidRDefault="00C80F98" w:rsidP="003B0050">
      <w:pPr>
        <w:pStyle w:val="Paragraphbulleted"/>
        <w:numPr>
          <w:ilvl w:val="0"/>
          <w:numId w:val="0"/>
        </w:numPr>
        <w:ind w:left="426" w:hanging="426"/>
      </w:pPr>
    </w:p>
    <w:p w:rsidR="00C80F98" w:rsidRDefault="00C80F98" w:rsidP="003B0050">
      <w:pPr>
        <w:pStyle w:val="Paragraphbulleted"/>
        <w:numPr>
          <w:ilvl w:val="0"/>
          <w:numId w:val="0"/>
        </w:numPr>
        <w:ind w:left="426" w:hanging="426"/>
      </w:pPr>
    </w:p>
    <w:p w:rsidR="00C80F98" w:rsidRDefault="00C80F98" w:rsidP="003B0050">
      <w:pPr>
        <w:pStyle w:val="Paragraphbulleted"/>
        <w:numPr>
          <w:ilvl w:val="0"/>
          <w:numId w:val="0"/>
        </w:numPr>
        <w:ind w:left="426" w:hanging="426"/>
      </w:pPr>
    </w:p>
    <w:p w:rsidR="00C80F98" w:rsidRDefault="00C80F98" w:rsidP="003B0050">
      <w:pPr>
        <w:pStyle w:val="Paragraphbulleted"/>
        <w:numPr>
          <w:ilvl w:val="0"/>
          <w:numId w:val="0"/>
        </w:numPr>
        <w:ind w:left="426" w:hanging="426"/>
      </w:pPr>
    </w:p>
    <w:p w:rsidR="00C80F98" w:rsidRDefault="00C80F98" w:rsidP="003B0050">
      <w:pPr>
        <w:pStyle w:val="Paragraphbulleted"/>
        <w:numPr>
          <w:ilvl w:val="0"/>
          <w:numId w:val="0"/>
        </w:numPr>
        <w:ind w:left="426" w:hanging="426"/>
      </w:pPr>
    </w:p>
    <w:p w:rsidR="00C80F98" w:rsidRDefault="00C80F98" w:rsidP="003B0050">
      <w:pPr>
        <w:pStyle w:val="Paragraphbulleted"/>
        <w:numPr>
          <w:ilvl w:val="0"/>
          <w:numId w:val="0"/>
        </w:numPr>
        <w:ind w:left="426" w:hanging="426"/>
      </w:pPr>
    </w:p>
    <w:p w:rsidR="00C80F98" w:rsidRDefault="00C80F98" w:rsidP="003B0050">
      <w:pPr>
        <w:pStyle w:val="Paragraphbulleted"/>
        <w:numPr>
          <w:ilvl w:val="0"/>
          <w:numId w:val="0"/>
        </w:numPr>
        <w:ind w:left="426" w:hanging="426"/>
      </w:pPr>
    </w:p>
    <w:p w:rsidR="00C80F98" w:rsidRPr="00114AB1" w:rsidRDefault="00C80F98" w:rsidP="004008F1">
      <w:pPr>
        <w:pStyle w:val="Paragraphbulleted"/>
        <w:numPr>
          <w:ilvl w:val="0"/>
          <w:numId w:val="0"/>
        </w:numPr>
      </w:pPr>
    </w:p>
    <w:sectPr w:rsidR="00C80F98" w:rsidRPr="00114AB1" w:rsidSect="001F74AF">
      <w:pgSz w:w="12240" w:h="15840"/>
      <w:pgMar w:top="1440" w:right="1440" w:bottom="1135"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1C41"/>
    <w:rsid w:val="00003D7C"/>
    <w:rsid w:val="00014140"/>
    <w:rsid w:val="00027428"/>
    <w:rsid w:val="00031EC9"/>
    <w:rsid w:val="00066FED"/>
    <w:rsid w:val="00071B40"/>
    <w:rsid w:val="00075EA6"/>
    <w:rsid w:val="0007709F"/>
    <w:rsid w:val="00086F62"/>
    <w:rsid w:val="00090674"/>
    <w:rsid w:val="0009320B"/>
    <w:rsid w:val="00096AE0"/>
    <w:rsid w:val="000A2485"/>
    <w:rsid w:val="000B1B74"/>
    <w:rsid w:val="000B3A2D"/>
    <w:rsid w:val="000B49C0"/>
    <w:rsid w:val="000E382F"/>
    <w:rsid w:val="000E75CD"/>
    <w:rsid w:val="001036BA"/>
    <w:rsid w:val="001146DC"/>
    <w:rsid w:val="00114AB1"/>
    <w:rsid w:val="001230FF"/>
    <w:rsid w:val="00130BD7"/>
    <w:rsid w:val="00155B67"/>
    <w:rsid w:val="001562AF"/>
    <w:rsid w:val="00156B89"/>
    <w:rsid w:val="00161A5B"/>
    <w:rsid w:val="0016385D"/>
    <w:rsid w:val="0016782F"/>
    <w:rsid w:val="001937E9"/>
    <w:rsid w:val="001964E5"/>
    <w:rsid w:val="001B263B"/>
    <w:rsid w:val="001B476A"/>
    <w:rsid w:val="001C764F"/>
    <w:rsid w:val="001C7BB3"/>
    <w:rsid w:val="001D469C"/>
    <w:rsid w:val="001F74AF"/>
    <w:rsid w:val="0021619E"/>
    <w:rsid w:val="0023171B"/>
    <w:rsid w:val="00236BFC"/>
    <w:rsid w:val="00237437"/>
    <w:rsid w:val="002502FD"/>
    <w:rsid w:val="00274622"/>
    <w:rsid w:val="002803D9"/>
    <w:rsid w:val="00285D24"/>
    <w:rsid w:val="00290390"/>
    <w:rsid w:val="002915D3"/>
    <w:rsid w:val="002924DB"/>
    <w:rsid w:val="002941DA"/>
    <w:rsid w:val="002B5648"/>
    <w:rsid w:val="002E3C35"/>
    <w:rsid w:val="002F5298"/>
    <w:rsid w:val="00326AE0"/>
    <w:rsid w:val="00337E4F"/>
    <w:rsid w:val="00340C36"/>
    <w:rsid w:val="00346A9D"/>
    <w:rsid w:val="00350C8E"/>
    <w:rsid w:val="0039376F"/>
    <w:rsid w:val="003A287B"/>
    <w:rsid w:val="003A5C85"/>
    <w:rsid w:val="003A61B1"/>
    <w:rsid w:val="003B0050"/>
    <w:rsid w:val="003D6312"/>
    <w:rsid w:val="003E7C74"/>
    <w:rsid w:val="003F31C6"/>
    <w:rsid w:val="004008F1"/>
    <w:rsid w:val="0040225B"/>
    <w:rsid w:val="00402DA2"/>
    <w:rsid w:val="00407E01"/>
    <w:rsid w:val="00423516"/>
    <w:rsid w:val="00425AC2"/>
    <w:rsid w:val="0044771F"/>
    <w:rsid w:val="00461599"/>
    <w:rsid w:val="004850D9"/>
    <w:rsid w:val="004B151D"/>
    <w:rsid w:val="004C7243"/>
    <w:rsid w:val="004E21DE"/>
    <w:rsid w:val="004E2BFD"/>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14B1"/>
    <w:rsid w:val="006949BC"/>
    <w:rsid w:val="006D1229"/>
    <w:rsid w:val="006D372F"/>
    <w:rsid w:val="006D7A18"/>
    <w:rsid w:val="006E4474"/>
    <w:rsid w:val="006F17FB"/>
    <w:rsid w:val="00701388"/>
    <w:rsid w:val="0071241E"/>
    <w:rsid w:val="00723B7F"/>
    <w:rsid w:val="00725861"/>
    <w:rsid w:val="0073393A"/>
    <w:rsid w:val="0073539D"/>
    <w:rsid w:val="00750087"/>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C46D4"/>
    <w:rsid w:val="008E6A7A"/>
    <w:rsid w:val="008F1038"/>
    <w:rsid w:val="008F7046"/>
    <w:rsid w:val="009005FC"/>
    <w:rsid w:val="00913DB5"/>
    <w:rsid w:val="00922E5A"/>
    <w:rsid w:val="009369FD"/>
    <w:rsid w:val="009403DC"/>
    <w:rsid w:val="00943315"/>
    <w:rsid w:val="00946C27"/>
    <w:rsid w:val="009567F6"/>
    <w:rsid w:val="00963872"/>
    <w:rsid w:val="009A4F3D"/>
    <w:rsid w:val="009B696B"/>
    <w:rsid w:val="009B7671"/>
    <w:rsid w:val="009E5BA1"/>
    <w:rsid w:val="009F056E"/>
    <w:rsid w:val="00A244A7"/>
    <w:rsid w:val="00A24F3D"/>
    <w:rsid w:val="00A26DCD"/>
    <w:rsid w:val="00A314BB"/>
    <w:rsid w:val="00A32B7D"/>
    <w:rsid w:val="00A457BD"/>
    <w:rsid w:val="00A5596B"/>
    <w:rsid w:val="00A646B3"/>
    <w:rsid w:val="00A6739B"/>
    <w:rsid w:val="00A90413"/>
    <w:rsid w:val="00AA728C"/>
    <w:rsid w:val="00AB0A9C"/>
    <w:rsid w:val="00AB7119"/>
    <w:rsid w:val="00AD1866"/>
    <w:rsid w:val="00AD1B03"/>
    <w:rsid w:val="00AD5855"/>
    <w:rsid w:val="00AE7500"/>
    <w:rsid w:val="00AE7F87"/>
    <w:rsid w:val="00AF3542"/>
    <w:rsid w:val="00AF5ABE"/>
    <w:rsid w:val="00B00415"/>
    <w:rsid w:val="00B03C2A"/>
    <w:rsid w:val="00B1000D"/>
    <w:rsid w:val="00B10134"/>
    <w:rsid w:val="00B16BFE"/>
    <w:rsid w:val="00B3728A"/>
    <w:rsid w:val="00B500E5"/>
    <w:rsid w:val="00B624FB"/>
    <w:rsid w:val="00BA39BB"/>
    <w:rsid w:val="00BA3B3D"/>
    <w:rsid w:val="00BB7EEA"/>
    <w:rsid w:val="00BD1909"/>
    <w:rsid w:val="00BD69B6"/>
    <w:rsid w:val="00BE5E16"/>
    <w:rsid w:val="00BE5FD1"/>
    <w:rsid w:val="00C037CE"/>
    <w:rsid w:val="00C06E05"/>
    <w:rsid w:val="00C14B14"/>
    <w:rsid w:val="00C17370"/>
    <w:rsid w:val="00C2054D"/>
    <w:rsid w:val="00C252EB"/>
    <w:rsid w:val="00C26EC0"/>
    <w:rsid w:val="00C56C77"/>
    <w:rsid w:val="00C80F98"/>
    <w:rsid w:val="00C84923"/>
    <w:rsid w:val="00CB7B3E"/>
    <w:rsid w:val="00CC1BE9"/>
    <w:rsid w:val="00CC739D"/>
    <w:rsid w:val="00D04468"/>
    <w:rsid w:val="00D30640"/>
    <w:rsid w:val="00D36257"/>
    <w:rsid w:val="00D44BF8"/>
    <w:rsid w:val="00D4687E"/>
    <w:rsid w:val="00D53A12"/>
    <w:rsid w:val="00D86A90"/>
    <w:rsid w:val="00D87E2A"/>
    <w:rsid w:val="00DB0C43"/>
    <w:rsid w:val="00DE3354"/>
    <w:rsid w:val="00DF7DCD"/>
    <w:rsid w:val="00E255CE"/>
    <w:rsid w:val="00E30656"/>
    <w:rsid w:val="00E50B7D"/>
    <w:rsid w:val="00E904A1"/>
    <w:rsid w:val="00EB7D28"/>
    <w:rsid w:val="00EC0D0C"/>
    <w:rsid w:val="00ED4A2C"/>
    <w:rsid w:val="00EF6940"/>
    <w:rsid w:val="00F02B60"/>
    <w:rsid w:val="00F03391"/>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20A721-81BB-4828-9632-438F5322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uiPriority w:val="22"/>
    <w:qFormat/>
    <w:rsid w:val="005F7475"/>
    <w:rPr>
      <w:b/>
      <w:bCs/>
    </w:rPr>
  </w:style>
  <w:style w:type="character" w:styleId="Emphasis">
    <w:name w:val="Emphasis"/>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link w:val="CommentSubject"/>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2.xml"/><Relationship Id="rId5" Type="http://schemas.openxmlformats.org/officeDocument/2006/relationships/numbering" Target="numbering.xml"/><Relationship Id="rId10"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hyperlink" Target="mailto:yos.sumantri@upnyk.ac.id"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https://d.docs.live.net/6195a2fb6c385817/My%20Job/2%20Penelitian%20dan%20Pengabdian/Jurnal%20dan%20Proceeding/Jurnal%20Batanghari%20Jambi/GRAFIK%20JURNAL.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d.docs.live.net/6195a2fb6c385817/My%20Job/2%20Penelitian%20dan%20Pengabdian/Jurnal%20dan%20Proceeding/Icontine%202025/GRAFIK%20JURNAL.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d.docs.live.net/6195a2fb6c385817/My%20Job/2%20Penelitian%20dan%20Pengabdian/Jurnal%20dan%20Proceeding/Icontine%202025/GRAFIK%20JUR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840683479567698"/>
          <c:y val="0.17423604674784465"/>
          <c:w val="0.7132158180350936"/>
          <c:h val="0.64054513417604642"/>
        </c:manualLayout>
      </c:layout>
      <c:barChart>
        <c:barDir val="col"/>
        <c:grouping val="clustered"/>
        <c:varyColors val="0"/>
        <c:ser>
          <c:idx val="1"/>
          <c:order val="0"/>
          <c:tx>
            <c:v>Compressive Strength</c:v>
          </c:tx>
          <c:spPr>
            <a:solidFill>
              <a:schemeClr val="bg2">
                <a:lumMod val="75000"/>
              </a:schemeClr>
            </a:solidFill>
          </c:spPr>
          <c:invertIfNegative val="0"/>
          <c:dPt>
            <c:idx val="0"/>
            <c:invertIfNegative val="0"/>
            <c:bubble3D val="0"/>
            <c:spPr>
              <a:solidFill>
                <a:schemeClr val="bg1">
                  <a:lumMod val="65000"/>
                </a:schemeClr>
              </a:solidFill>
            </c:spPr>
            <c:extLst>
              <c:ext xmlns:c16="http://schemas.microsoft.com/office/drawing/2014/chart" uri="{C3380CC4-5D6E-409C-BE32-E72D297353CC}">
                <c16:uniqueId val="{00000007-585E-4F0C-B0E9-72873A55CA4D}"/>
              </c:ext>
            </c:extLst>
          </c:dPt>
          <c:dPt>
            <c:idx val="1"/>
            <c:invertIfNegative val="0"/>
            <c:bubble3D val="0"/>
            <c:spPr>
              <a:solidFill>
                <a:schemeClr val="bg1">
                  <a:lumMod val="65000"/>
                </a:schemeClr>
              </a:solidFill>
            </c:spPr>
            <c:extLst>
              <c:ext xmlns:c16="http://schemas.microsoft.com/office/drawing/2014/chart" uri="{C3380CC4-5D6E-409C-BE32-E72D297353CC}">
                <c16:uniqueId val="{00000008-585E-4F0C-B0E9-72873A55CA4D}"/>
              </c:ext>
            </c:extLst>
          </c:dPt>
          <c:dPt>
            <c:idx val="2"/>
            <c:invertIfNegative val="0"/>
            <c:bubble3D val="0"/>
            <c:spPr>
              <a:solidFill>
                <a:schemeClr val="bg1">
                  <a:lumMod val="65000"/>
                </a:schemeClr>
              </a:solidFill>
            </c:spPr>
            <c:extLst>
              <c:ext xmlns:c16="http://schemas.microsoft.com/office/drawing/2014/chart" uri="{C3380CC4-5D6E-409C-BE32-E72D297353CC}">
                <c16:uniqueId val="{00000009-585E-4F0C-B0E9-72873A55CA4D}"/>
              </c:ext>
            </c:extLst>
          </c:dPt>
          <c:dLbls>
            <c:spPr>
              <a:noFill/>
              <a:ln>
                <a:noFill/>
              </a:ln>
              <a:effectLst/>
            </c:spPr>
            <c:txPr>
              <a:bodyPr wrap="square" lIns="38100" tIns="19050" rIns="38100" bIns="19050" anchor="ctr">
                <a:spAutoFit/>
              </a:bodyPr>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'reduksi semen air'!$C$11:$E$11</c:f>
              <c:numCache>
                <c:formatCode>0.0%</c:formatCode>
                <c:ptCount val="3"/>
                <c:pt idx="0" formatCode="0%">
                  <c:v>0</c:v>
                </c:pt>
                <c:pt idx="1">
                  <c:v>0.01</c:v>
                </c:pt>
                <c:pt idx="2">
                  <c:v>0.01</c:v>
                </c:pt>
              </c:numCache>
            </c:numRef>
          </c:cat>
          <c:val>
            <c:numRef>
              <c:f>'reduksi semen air'!$C$12:$E$12</c:f>
              <c:numCache>
                <c:formatCode>General</c:formatCode>
                <c:ptCount val="3"/>
                <c:pt idx="0">
                  <c:v>23.5</c:v>
                </c:pt>
                <c:pt idx="1">
                  <c:v>27.6</c:v>
                </c:pt>
                <c:pt idx="2" formatCode="0.0">
                  <c:v>26</c:v>
                </c:pt>
              </c:numCache>
            </c:numRef>
          </c:val>
          <c:extLst>
            <c:ext xmlns:c16="http://schemas.microsoft.com/office/drawing/2014/chart" uri="{C3380CC4-5D6E-409C-BE32-E72D297353CC}">
              <c16:uniqueId val="{00000000-585E-4F0C-B0E9-72873A55CA4D}"/>
            </c:ext>
          </c:extLst>
        </c:ser>
        <c:dLbls>
          <c:showLegendKey val="0"/>
          <c:showVal val="0"/>
          <c:showCatName val="0"/>
          <c:showSerName val="0"/>
          <c:showPercent val="0"/>
          <c:showBubbleSize val="0"/>
        </c:dLbls>
        <c:gapWidth val="219"/>
        <c:axId val="80468367"/>
        <c:axId val="80467407"/>
      </c:barChart>
      <c:lineChart>
        <c:grouping val="standard"/>
        <c:varyColors val="0"/>
        <c:ser>
          <c:idx val="0"/>
          <c:order val="1"/>
          <c:tx>
            <c:v>Water Reduction</c:v>
          </c:tx>
          <c:spPr>
            <a:ln w="12700">
              <a:solidFill>
                <a:schemeClr val="tx1">
                  <a:alpha val="96000"/>
                </a:schemeClr>
              </a:solidFill>
              <a:prstDash val="sysDash"/>
            </a:ln>
            <a:effectLst/>
          </c:spPr>
          <c:marker>
            <c:symbol val="circle"/>
            <c:size val="5"/>
            <c:spPr>
              <a:solidFill>
                <a:schemeClr val="tx1">
                  <a:alpha val="97000"/>
                </a:schemeClr>
              </a:solidFill>
              <a:ln>
                <a:noFill/>
              </a:ln>
            </c:spPr>
          </c:marker>
          <c:dLbls>
            <c:dLbl>
              <c:idx val="0"/>
              <c:delete val="1"/>
              <c:extLst>
                <c:ext xmlns:c15="http://schemas.microsoft.com/office/drawing/2012/chart" uri="{CE6537A1-D6FC-4f65-9D91-7224C49458BB}"/>
                <c:ext xmlns:c16="http://schemas.microsoft.com/office/drawing/2014/chart" uri="{C3380CC4-5D6E-409C-BE32-E72D297353CC}">
                  <c16:uniqueId val="{00000001-585E-4F0C-B0E9-72873A55CA4D}"/>
                </c:ext>
              </c:extLst>
            </c:dLbl>
            <c:numFmt formatCode="0%" sourceLinked="0"/>
            <c:spPr>
              <a:noFill/>
              <a:ln>
                <a:noFill/>
              </a:ln>
              <a:effectLst/>
            </c:spPr>
            <c:txPr>
              <a:bodyPr wrap="square" lIns="38100" tIns="19050" rIns="38100" bIns="19050" anchor="ctr">
                <a:spAutoFit/>
              </a:bodyPr>
              <a:lstStyle/>
              <a:p>
                <a:pPr>
                  <a:defRPr sz="800" b="1">
                    <a:solidFill>
                      <a:sysClr val="windowText" lastClr="000000">
                        <a:alpha val="97000"/>
                      </a:sysClr>
                    </a:solidFill>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'reduksi semen air'!$C$11:$E$11</c:f>
              <c:numCache>
                <c:formatCode>0.0%</c:formatCode>
                <c:ptCount val="3"/>
                <c:pt idx="0" formatCode="0%">
                  <c:v>0</c:v>
                </c:pt>
                <c:pt idx="1">
                  <c:v>0.01</c:v>
                </c:pt>
                <c:pt idx="2">
                  <c:v>0.01</c:v>
                </c:pt>
              </c:numCache>
            </c:numRef>
          </c:cat>
          <c:val>
            <c:numRef>
              <c:f>'reduksi semen air'!$C$15:$E$15</c:f>
              <c:numCache>
                <c:formatCode>0.0%</c:formatCode>
                <c:ptCount val="3"/>
                <c:pt idx="0">
                  <c:v>0</c:v>
                </c:pt>
                <c:pt idx="1">
                  <c:v>0.11340314136125652</c:v>
                </c:pt>
                <c:pt idx="2">
                  <c:v>9.9999999999999964E-2</c:v>
                </c:pt>
              </c:numCache>
            </c:numRef>
          </c:val>
          <c:smooth val="0"/>
          <c:extLst>
            <c:ext xmlns:c16="http://schemas.microsoft.com/office/drawing/2014/chart" uri="{C3380CC4-5D6E-409C-BE32-E72D297353CC}">
              <c16:uniqueId val="{00000002-585E-4F0C-B0E9-72873A55CA4D}"/>
            </c:ext>
          </c:extLst>
        </c:ser>
        <c:ser>
          <c:idx val="2"/>
          <c:order val="2"/>
          <c:tx>
            <c:v>Cement Reduction</c:v>
          </c:tx>
          <c:spPr>
            <a:ln w="12700">
              <a:solidFill>
                <a:schemeClr val="tx1"/>
              </a:solidFill>
              <a:prstDash val="solid"/>
            </a:ln>
          </c:spPr>
          <c:marker>
            <c:symbol val="x"/>
            <c:size val="7"/>
            <c:spPr>
              <a:noFill/>
              <a:ln w="9525">
                <a:solidFill>
                  <a:schemeClr val="tx1"/>
                </a:solidFill>
              </a:ln>
            </c:spPr>
          </c:marker>
          <c:dLbls>
            <c:dLbl>
              <c:idx val="0"/>
              <c:layout>
                <c:manualLayout>
                  <c:x val="-4.375574863296245E-2"/>
                  <c:y val="-5.06998252222820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5E-4F0C-B0E9-72873A55CA4D}"/>
                </c:ext>
              </c:extLst>
            </c:dLbl>
            <c:dLbl>
              <c:idx val="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85E-4F0C-B0E9-72873A55CA4D}"/>
                </c:ext>
              </c:extLst>
            </c:dLbl>
            <c:dLbl>
              <c:idx val="2"/>
              <c:delete val="1"/>
              <c:extLst>
                <c:ext xmlns:c15="http://schemas.microsoft.com/office/drawing/2012/chart" uri="{CE6537A1-D6FC-4f65-9D91-7224C49458BB}"/>
                <c:ext xmlns:c16="http://schemas.microsoft.com/office/drawing/2014/chart" uri="{C3380CC4-5D6E-409C-BE32-E72D297353CC}">
                  <c16:uniqueId val="{00000005-585E-4F0C-B0E9-72873A55CA4D}"/>
                </c:ext>
              </c:extLst>
            </c:dLbl>
            <c:numFmt formatCode="0%" sourceLinked="0"/>
            <c:spPr>
              <a:noFill/>
              <a:ln>
                <a:noFill/>
              </a:ln>
              <a:effectLst/>
            </c:spPr>
            <c:txPr>
              <a:bodyPr wrap="square" lIns="38100" tIns="19050" rIns="38100" bIns="19050" anchor="ctr">
                <a:spAutoFit/>
              </a:bodyPr>
              <a:lstStyle/>
              <a:p>
                <a:pPr>
                  <a:defRPr sz="800" b="1"/>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'reduksi semen air'!$C$11:$E$11</c:f>
              <c:numCache>
                <c:formatCode>0.0%</c:formatCode>
                <c:ptCount val="3"/>
                <c:pt idx="0" formatCode="0%">
                  <c:v>0</c:v>
                </c:pt>
                <c:pt idx="1">
                  <c:v>0.01</c:v>
                </c:pt>
                <c:pt idx="2">
                  <c:v>0.01</c:v>
                </c:pt>
              </c:numCache>
            </c:numRef>
          </c:cat>
          <c:val>
            <c:numRef>
              <c:f>'reduksi semen air'!$C$16:$E$16</c:f>
              <c:numCache>
                <c:formatCode>0.0%</c:formatCode>
                <c:ptCount val="3"/>
                <c:pt idx="0">
                  <c:v>0</c:v>
                </c:pt>
                <c:pt idx="1">
                  <c:v>0</c:v>
                </c:pt>
                <c:pt idx="2">
                  <c:v>0.1</c:v>
                </c:pt>
              </c:numCache>
            </c:numRef>
          </c:val>
          <c:smooth val="0"/>
          <c:extLst>
            <c:ext xmlns:c16="http://schemas.microsoft.com/office/drawing/2014/chart" uri="{C3380CC4-5D6E-409C-BE32-E72D297353CC}">
              <c16:uniqueId val="{00000006-585E-4F0C-B0E9-72873A55CA4D}"/>
            </c:ext>
          </c:extLst>
        </c:ser>
        <c:dLbls>
          <c:showLegendKey val="0"/>
          <c:showVal val="0"/>
          <c:showCatName val="0"/>
          <c:showSerName val="0"/>
          <c:showPercent val="0"/>
          <c:showBubbleSize val="0"/>
        </c:dLbls>
        <c:marker val="1"/>
        <c:smooth val="0"/>
        <c:axId val="174671599"/>
        <c:axId val="174673039"/>
      </c:lineChart>
      <c:catAx>
        <c:axId val="80468367"/>
        <c:scaling>
          <c:orientation val="minMax"/>
        </c:scaling>
        <c:delete val="0"/>
        <c:axPos val="b"/>
        <c:title>
          <c:tx>
            <c:rich>
              <a:bodyPr/>
              <a:lstStyle/>
              <a:p>
                <a:pPr>
                  <a:defRPr sz="900" b="0"/>
                </a:pPr>
                <a:r>
                  <a:rPr lang="en-ID" sz="900" b="0"/>
                  <a:t>Amount of Superplasticizer </a:t>
                </a:r>
              </a:p>
            </c:rich>
          </c:tx>
          <c:overlay val="0"/>
        </c:title>
        <c:numFmt formatCode="0%" sourceLinked="1"/>
        <c:majorTickMark val="none"/>
        <c:minorTickMark val="none"/>
        <c:tickLblPos val="nextTo"/>
        <c:spPr>
          <a:noFill/>
          <a:ln w="9525" cap="flat" cmpd="sng" algn="ctr">
            <a:solidFill>
              <a:schemeClr val="tx1">
                <a:lumMod val="65000"/>
                <a:lumOff val="3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80467407"/>
        <c:crosses val="autoZero"/>
        <c:auto val="1"/>
        <c:lblAlgn val="ctr"/>
        <c:lblOffset val="100"/>
        <c:noMultiLvlLbl val="0"/>
      </c:catAx>
      <c:valAx>
        <c:axId val="80467407"/>
        <c:scaling>
          <c:orientation val="minMax"/>
          <c:max val="28"/>
          <c:min val="20"/>
        </c:scaling>
        <c:delete val="0"/>
        <c:axPos val="l"/>
        <c:title>
          <c:tx>
            <c:rich>
              <a:bodyPr/>
              <a:lstStyle/>
              <a:p>
                <a:pPr>
                  <a:defRPr sz="900" b="0"/>
                </a:pPr>
                <a:r>
                  <a:rPr lang="en-ID" sz="900" b="0"/>
                  <a:t>Compressive Strength </a:t>
                </a:r>
                <a:r>
                  <a:rPr lang="en-ID" sz="900" b="0" baseline="0"/>
                  <a:t>(MPa)</a:t>
                </a:r>
                <a:endParaRPr lang="en-ID" sz="900" b="0"/>
              </a:p>
            </c:rich>
          </c:tx>
          <c:overlay val="0"/>
        </c:title>
        <c:numFmt formatCode="General" sourceLinked="1"/>
        <c:majorTickMark val="out"/>
        <c:minorTickMark val="none"/>
        <c:tickLblPos val="nextTo"/>
        <c:spPr>
          <a:noFill/>
          <a:ln>
            <a:solidFill>
              <a:schemeClr val="tx1">
                <a:lumMod val="65000"/>
                <a:lumOff val="35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80468367"/>
        <c:crosses val="autoZero"/>
        <c:crossBetween val="between"/>
      </c:valAx>
      <c:valAx>
        <c:axId val="174673039"/>
        <c:scaling>
          <c:orientation val="minMax"/>
          <c:max val="0.16000000000000003"/>
          <c:min val="0"/>
        </c:scaling>
        <c:delete val="0"/>
        <c:axPos val="r"/>
        <c:title>
          <c:tx>
            <c:rich>
              <a:bodyPr rot="5400000" vert="horz"/>
              <a:lstStyle/>
              <a:p>
                <a:pPr>
                  <a:defRPr sz="900" b="0"/>
                </a:pPr>
                <a:r>
                  <a:rPr lang="en-ID" sz="900" b="0"/>
                  <a:t>Reduction Level (%)</a:t>
                </a:r>
              </a:p>
            </c:rich>
          </c:tx>
          <c:overlay val="0"/>
        </c:title>
        <c:numFmt formatCode="0%" sourceLinked="0"/>
        <c:majorTickMark val="in"/>
        <c:minorTickMark val="none"/>
        <c:tickLblPos val="nextTo"/>
        <c:spPr>
          <a:ln>
            <a:solidFill>
              <a:schemeClr val="tx1">
                <a:lumMod val="65000"/>
                <a:lumOff val="35000"/>
              </a:schemeClr>
            </a:solidFill>
          </a:ln>
        </c:spPr>
        <c:txPr>
          <a:bodyPr/>
          <a:lstStyle/>
          <a:p>
            <a:pPr>
              <a:defRPr sz="800"/>
            </a:pPr>
            <a:endParaRPr lang="en-US"/>
          </a:p>
        </c:txPr>
        <c:crossAx val="174671599"/>
        <c:crosses val="max"/>
        <c:crossBetween val="between"/>
        <c:majorUnit val="2.0000000000000004E-2"/>
      </c:valAx>
      <c:catAx>
        <c:axId val="174671599"/>
        <c:scaling>
          <c:orientation val="minMax"/>
        </c:scaling>
        <c:delete val="1"/>
        <c:axPos val="b"/>
        <c:numFmt formatCode="0%" sourceLinked="1"/>
        <c:majorTickMark val="out"/>
        <c:minorTickMark val="none"/>
        <c:tickLblPos val="nextTo"/>
        <c:crossAx val="174673039"/>
        <c:crosses val="autoZero"/>
        <c:auto val="1"/>
        <c:lblAlgn val="ctr"/>
        <c:lblOffset val="100"/>
        <c:noMultiLvlLbl val="0"/>
      </c:catAx>
    </c:plotArea>
    <c:legend>
      <c:legendPos val="t"/>
      <c:layout>
        <c:manualLayout>
          <c:xMode val="edge"/>
          <c:yMode val="edge"/>
          <c:x val="0"/>
          <c:y val="0"/>
          <c:w val="1"/>
          <c:h val="0.16365740740740742"/>
        </c:manualLayout>
      </c:layout>
      <c:overlay val="0"/>
      <c:txPr>
        <a:bodyPr/>
        <a:lstStyle/>
        <a:p>
          <a:pPr>
            <a:defRPr sz="800"/>
          </a:pPr>
          <a:endParaRPr lang="en-US"/>
        </a:p>
      </c:txPr>
    </c:legend>
    <c:plotVisOnly val="1"/>
    <c:dispBlanksAs val="gap"/>
    <c:showDLblsOverMax val="0"/>
    <c:extLst/>
  </c:chart>
  <c:spPr>
    <a:ln>
      <a:noFill/>
    </a:ln>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91646966115051"/>
          <c:y val="5.0925925925925923E-2"/>
          <c:w val="0.830279902955393"/>
          <c:h val="0.64740244792989587"/>
        </c:manualLayout>
      </c:layout>
      <c:barChart>
        <c:barDir val="col"/>
        <c:grouping val="clustered"/>
        <c:varyColors val="0"/>
        <c:ser>
          <c:idx val="0"/>
          <c:order val="0"/>
          <c:spPr>
            <a:solidFill>
              <a:schemeClr val="bg2">
                <a:lumMod val="75000"/>
              </a:schemeClr>
            </a:solidFill>
            <a:ln>
              <a:solidFill>
                <a:schemeClr val="tx1">
                  <a:lumMod val="65000"/>
                  <a:lumOff val="35000"/>
                </a:schemeClr>
              </a:solidFill>
            </a:ln>
            <a:effectLst/>
          </c:spPr>
          <c:invertIfNegative val="0"/>
          <c:dPt>
            <c:idx val="0"/>
            <c:invertIfNegative val="0"/>
            <c:bubble3D val="0"/>
            <c:spPr>
              <a:solidFill>
                <a:schemeClr val="bg1">
                  <a:lumMod val="65000"/>
                </a:schemeClr>
              </a:solidFill>
              <a:ln>
                <a:solidFill>
                  <a:schemeClr val="tx1">
                    <a:lumMod val="65000"/>
                    <a:lumOff val="35000"/>
                  </a:schemeClr>
                </a:solidFill>
              </a:ln>
              <a:effectLst/>
            </c:spPr>
            <c:extLst>
              <c:ext xmlns:c16="http://schemas.microsoft.com/office/drawing/2014/chart" uri="{C3380CC4-5D6E-409C-BE32-E72D297353CC}">
                <c16:uniqueId val="{0000000B-67F2-45BF-BE47-6FC1D62C48EB}"/>
              </c:ext>
            </c:extLst>
          </c:dPt>
          <c:dPt>
            <c:idx val="1"/>
            <c:invertIfNegative val="0"/>
            <c:bubble3D val="0"/>
            <c:spPr>
              <a:pattFill prst="pct40">
                <a:fgClr>
                  <a:schemeClr val="tx1">
                    <a:lumMod val="65000"/>
                    <a:lumOff val="35000"/>
                  </a:schemeClr>
                </a:fgClr>
                <a:bgClr>
                  <a:schemeClr val="bg1"/>
                </a:bgClr>
              </a:pattFill>
              <a:ln>
                <a:solidFill>
                  <a:schemeClr val="tx1">
                    <a:lumMod val="65000"/>
                    <a:lumOff val="35000"/>
                  </a:schemeClr>
                </a:solidFill>
              </a:ln>
              <a:effectLst/>
            </c:spPr>
            <c:extLst>
              <c:ext xmlns:c16="http://schemas.microsoft.com/office/drawing/2014/chart" uri="{C3380CC4-5D6E-409C-BE32-E72D297353CC}">
                <c16:uniqueId val="{00000001-67F2-45BF-BE47-6FC1D62C48EB}"/>
              </c:ext>
            </c:extLst>
          </c:dPt>
          <c:dPt>
            <c:idx val="2"/>
            <c:invertIfNegative val="0"/>
            <c:bubble3D val="0"/>
            <c:spPr>
              <a:pattFill prst="dkDnDiag">
                <a:fgClr>
                  <a:schemeClr val="tx1">
                    <a:lumMod val="65000"/>
                    <a:lumOff val="35000"/>
                  </a:schemeClr>
                </a:fgClr>
                <a:bgClr>
                  <a:schemeClr val="bg1"/>
                </a:bgClr>
              </a:pattFill>
              <a:ln>
                <a:solidFill>
                  <a:schemeClr val="tx1">
                    <a:lumMod val="65000"/>
                    <a:lumOff val="35000"/>
                  </a:schemeClr>
                </a:solidFill>
              </a:ln>
              <a:effectLst/>
            </c:spPr>
            <c:extLst>
              <c:ext xmlns:c16="http://schemas.microsoft.com/office/drawing/2014/chart" uri="{C3380CC4-5D6E-409C-BE32-E72D297353CC}">
                <c16:uniqueId val="{00000003-67F2-45BF-BE47-6FC1D62C48EB}"/>
              </c:ext>
            </c:extLst>
          </c:dPt>
          <c:dPt>
            <c:idx val="3"/>
            <c:invertIfNegative val="0"/>
            <c:bubble3D val="0"/>
            <c:spPr>
              <a:pattFill prst="wdDnDiag">
                <a:fgClr>
                  <a:schemeClr val="tx1">
                    <a:lumMod val="65000"/>
                    <a:lumOff val="35000"/>
                  </a:schemeClr>
                </a:fgClr>
                <a:bgClr>
                  <a:schemeClr val="bg1"/>
                </a:bgClr>
              </a:pattFill>
              <a:ln>
                <a:solidFill>
                  <a:schemeClr val="tx1">
                    <a:lumMod val="65000"/>
                    <a:lumOff val="35000"/>
                  </a:schemeClr>
                </a:solidFill>
              </a:ln>
              <a:effectLst/>
            </c:spPr>
            <c:extLst>
              <c:ext xmlns:c16="http://schemas.microsoft.com/office/drawing/2014/chart" uri="{C3380CC4-5D6E-409C-BE32-E72D297353CC}">
                <c16:uniqueId val="{00000005-67F2-45BF-BE47-6FC1D62C48EB}"/>
              </c:ext>
            </c:extLst>
          </c:dPt>
          <c:dPt>
            <c:idx val="4"/>
            <c:invertIfNegative val="0"/>
            <c:bubble3D val="0"/>
            <c:spPr>
              <a:pattFill prst="smConfetti">
                <a:fgClr>
                  <a:schemeClr val="tx1">
                    <a:lumMod val="65000"/>
                    <a:lumOff val="35000"/>
                  </a:schemeClr>
                </a:fgClr>
                <a:bgClr>
                  <a:schemeClr val="bg1"/>
                </a:bgClr>
              </a:pattFill>
              <a:ln>
                <a:solidFill>
                  <a:schemeClr val="tx1">
                    <a:lumMod val="65000"/>
                    <a:lumOff val="35000"/>
                  </a:schemeClr>
                </a:solidFill>
              </a:ln>
              <a:effectLst/>
            </c:spPr>
            <c:extLst>
              <c:ext xmlns:c16="http://schemas.microsoft.com/office/drawing/2014/chart" uri="{C3380CC4-5D6E-409C-BE32-E72D297353CC}">
                <c16:uniqueId val="{00000007-67F2-45BF-BE47-6FC1D62C48EB}"/>
              </c:ext>
            </c:extLst>
          </c:dPt>
          <c:dPt>
            <c:idx val="5"/>
            <c:invertIfNegative val="0"/>
            <c:bubble3D val="0"/>
            <c:spPr>
              <a:pattFill prst="lgConfetti">
                <a:fgClr>
                  <a:schemeClr val="tx1">
                    <a:lumMod val="65000"/>
                    <a:lumOff val="35000"/>
                  </a:schemeClr>
                </a:fgClr>
                <a:bgClr>
                  <a:schemeClr val="bg1"/>
                </a:bgClr>
              </a:pattFill>
              <a:ln>
                <a:solidFill>
                  <a:schemeClr val="tx1">
                    <a:lumMod val="65000"/>
                    <a:lumOff val="35000"/>
                  </a:schemeClr>
                </a:solidFill>
              </a:ln>
              <a:effectLst/>
            </c:spPr>
            <c:extLst>
              <c:ext xmlns:c16="http://schemas.microsoft.com/office/drawing/2014/chart" uri="{C3380CC4-5D6E-409C-BE32-E72D297353CC}">
                <c16:uniqueId val="{00000009-67F2-45BF-BE47-6FC1D62C48EB}"/>
              </c:ext>
            </c:extLst>
          </c:dPt>
          <c:dLbls>
            <c:spPr>
              <a:solidFill>
                <a:schemeClr val="bg1"/>
              </a:solid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'Uji slump'!$C$4:$C$9</c:f>
              <c:strCache>
                <c:ptCount val="6"/>
                <c:pt idx="0">
                  <c:v>CN</c:v>
                </c:pt>
                <c:pt idx="1">
                  <c:v>CSP</c:v>
                </c:pt>
                <c:pt idx="2">
                  <c:v>CSP-HL5%</c:v>
                </c:pt>
                <c:pt idx="3">
                  <c:v>CSP-HL10%</c:v>
                </c:pt>
                <c:pt idx="4">
                  <c:v>CSP-CC5%</c:v>
                </c:pt>
                <c:pt idx="5">
                  <c:v>CSP-CC10%</c:v>
                </c:pt>
              </c:strCache>
            </c:strRef>
          </c:cat>
          <c:val>
            <c:numRef>
              <c:f>'Uji slump'!$D$4:$D$9</c:f>
              <c:numCache>
                <c:formatCode>General</c:formatCode>
                <c:ptCount val="6"/>
                <c:pt idx="0">
                  <c:v>100</c:v>
                </c:pt>
                <c:pt idx="1">
                  <c:v>115</c:v>
                </c:pt>
                <c:pt idx="2">
                  <c:v>100</c:v>
                </c:pt>
                <c:pt idx="3">
                  <c:v>90</c:v>
                </c:pt>
                <c:pt idx="4">
                  <c:v>97</c:v>
                </c:pt>
                <c:pt idx="5">
                  <c:v>80</c:v>
                </c:pt>
              </c:numCache>
            </c:numRef>
          </c:val>
          <c:extLst>
            <c:ext xmlns:c16="http://schemas.microsoft.com/office/drawing/2014/chart" uri="{C3380CC4-5D6E-409C-BE32-E72D297353CC}">
              <c16:uniqueId val="{0000000A-67F2-45BF-BE47-6FC1D62C48EB}"/>
            </c:ext>
          </c:extLst>
        </c:ser>
        <c:dLbls>
          <c:showLegendKey val="0"/>
          <c:showVal val="0"/>
          <c:showCatName val="0"/>
          <c:showSerName val="0"/>
          <c:showPercent val="0"/>
          <c:showBubbleSize val="0"/>
        </c:dLbls>
        <c:gapWidth val="150"/>
        <c:axId val="1117829616"/>
        <c:axId val="1117826736"/>
      </c:barChart>
      <c:catAx>
        <c:axId val="111782961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ID" sz="900">
                    <a:solidFill>
                      <a:sysClr val="windowText" lastClr="000000"/>
                    </a:solidFill>
                  </a:rPr>
                  <a:t>Variation of Concrete</a:t>
                </a:r>
                <a:r>
                  <a:rPr lang="en-ID" sz="900" baseline="0">
                    <a:solidFill>
                      <a:sysClr val="windowText" lastClr="000000"/>
                    </a:solidFill>
                  </a:rPr>
                  <a:t> Mixes </a:t>
                </a:r>
                <a:endParaRPr lang="en-ID" sz="900">
                  <a:solidFill>
                    <a:sysClr val="windowText" lastClr="000000"/>
                  </a:solidFill>
                </a:endParaRPr>
              </a:p>
            </c:rich>
          </c:tx>
          <c:layout>
            <c:manualLayout>
              <c:xMode val="edge"/>
              <c:yMode val="edge"/>
              <c:x val="0.38640779174126411"/>
              <c:y val="0.9422698786028369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65000"/>
                <a:lumOff val="3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mn-lt"/>
                <a:ea typeface="+mn-ea"/>
                <a:cs typeface="+mn-cs"/>
              </a:defRPr>
            </a:pPr>
            <a:endParaRPr lang="en-US"/>
          </a:p>
        </c:txPr>
        <c:crossAx val="1117826736"/>
        <c:crosses val="autoZero"/>
        <c:auto val="1"/>
        <c:lblAlgn val="ctr"/>
        <c:lblOffset val="100"/>
        <c:noMultiLvlLbl val="0"/>
      </c:catAx>
      <c:valAx>
        <c:axId val="1117826736"/>
        <c:scaling>
          <c:orientation val="minMax"/>
          <c:min val="6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ID" sz="900">
                    <a:solidFill>
                      <a:sysClr val="windowText" lastClr="000000"/>
                    </a:solidFill>
                  </a:rPr>
                  <a:t>Slump</a:t>
                </a:r>
                <a:r>
                  <a:rPr lang="en-ID" sz="900" baseline="0">
                    <a:solidFill>
                      <a:sysClr val="windowText" lastClr="000000"/>
                    </a:solidFill>
                  </a:rPr>
                  <a:t> (mm)</a:t>
                </a:r>
                <a:endParaRPr lang="en-ID" sz="900">
                  <a:solidFill>
                    <a:sysClr val="windowText" lastClr="000000"/>
                  </a:solidFill>
                </a:endParaRPr>
              </a:p>
            </c:rich>
          </c:tx>
          <c:layout>
            <c:manualLayout>
              <c:xMode val="edge"/>
              <c:yMode val="edge"/>
              <c:x val="1.1111111111111112E-2"/>
              <c:y val="0.3109875328083989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tx1">
                <a:lumMod val="65000"/>
                <a:lumOff val="35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1178296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711889007559637"/>
          <c:y val="5.0925925925925923E-2"/>
          <c:w val="0.85456147584127062"/>
          <c:h val="0.77310610357768794"/>
        </c:manualLayout>
      </c:layout>
      <c:barChart>
        <c:barDir val="col"/>
        <c:grouping val="clustered"/>
        <c:varyColors val="0"/>
        <c:ser>
          <c:idx val="0"/>
          <c:order val="0"/>
          <c:tx>
            <c:strRef>
              <c:f>'Kuat Tekan'!$M$38</c:f>
              <c:strCache>
                <c:ptCount val="1"/>
                <c:pt idx="0">
                  <c:v>CN</c:v>
                </c:pt>
              </c:strCache>
            </c:strRef>
          </c:tx>
          <c:spPr>
            <a:solidFill>
              <a:schemeClr val="bg1">
                <a:lumMod val="65000"/>
              </a:schemeClr>
            </a:solidFill>
            <a:ln>
              <a:solidFill>
                <a:schemeClr val="tx1">
                  <a:lumMod val="65000"/>
                  <a:lumOff val="35000"/>
                </a:schemeClr>
              </a:solidFill>
            </a:ln>
            <a:effectLst/>
          </c:spPr>
          <c:invertIfNegative val="0"/>
          <c:cat>
            <c:numRef>
              <c:f>'Kuat Tekan'!$L$39:$L$40</c:f>
              <c:numCache>
                <c:formatCode>General</c:formatCode>
                <c:ptCount val="2"/>
                <c:pt idx="0">
                  <c:v>7</c:v>
                </c:pt>
                <c:pt idx="1">
                  <c:v>28</c:v>
                </c:pt>
              </c:numCache>
            </c:numRef>
          </c:cat>
          <c:val>
            <c:numRef>
              <c:f>'Kuat Tekan'!$M$39:$M$40</c:f>
              <c:numCache>
                <c:formatCode>#,#00</c:formatCode>
                <c:ptCount val="2"/>
                <c:pt idx="0">
                  <c:v>18.402663861014634</c:v>
                </c:pt>
                <c:pt idx="1">
                  <c:v>23.267302463618915</c:v>
                </c:pt>
              </c:numCache>
            </c:numRef>
          </c:val>
          <c:extLst>
            <c:ext xmlns:c16="http://schemas.microsoft.com/office/drawing/2014/chart" uri="{C3380CC4-5D6E-409C-BE32-E72D297353CC}">
              <c16:uniqueId val="{00000000-1332-4939-8476-8CAD6CE83EFF}"/>
            </c:ext>
          </c:extLst>
        </c:ser>
        <c:ser>
          <c:idx val="1"/>
          <c:order val="1"/>
          <c:tx>
            <c:strRef>
              <c:f>'Kuat Tekan'!$N$38</c:f>
              <c:strCache>
                <c:ptCount val="1"/>
                <c:pt idx="0">
                  <c:v>CSP</c:v>
                </c:pt>
              </c:strCache>
            </c:strRef>
          </c:tx>
          <c:spPr>
            <a:pattFill prst="pct40">
              <a:fgClr>
                <a:schemeClr val="tx1">
                  <a:lumMod val="65000"/>
                  <a:lumOff val="35000"/>
                </a:schemeClr>
              </a:fgClr>
              <a:bgClr>
                <a:schemeClr val="bg1"/>
              </a:bgClr>
            </a:pattFill>
            <a:ln>
              <a:solidFill>
                <a:schemeClr val="tx1">
                  <a:lumMod val="65000"/>
                  <a:lumOff val="35000"/>
                </a:schemeClr>
              </a:solidFill>
            </a:ln>
            <a:effectLst/>
          </c:spPr>
          <c:invertIfNegative val="0"/>
          <c:cat>
            <c:numRef>
              <c:f>'Kuat Tekan'!$L$39:$L$40</c:f>
              <c:numCache>
                <c:formatCode>General</c:formatCode>
                <c:ptCount val="2"/>
                <c:pt idx="0">
                  <c:v>7</c:v>
                </c:pt>
                <c:pt idx="1">
                  <c:v>28</c:v>
                </c:pt>
              </c:numCache>
            </c:numRef>
          </c:cat>
          <c:val>
            <c:numRef>
              <c:f>'Kuat Tekan'!$N$39:$N$40</c:f>
              <c:numCache>
                <c:formatCode>#,#00</c:formatCode>
                <c:ptCount val="2"/>
                <c:pt idx="0">
                  <c:v>20.985824669374274</c:v>
                </c:pt>
                <c:pt idx="1">
                  <c:v>24.990666681750817</c:v>
                </c:pt>
              </c:numCache>
            </c:numRef>
          </c:val>
          <c:extLst>
            <c:ext xmlns:c16="http://schemas.microsoft.com/office/drawing/2014/chart" uri="{C3380CC4-5D6E-409C-BE32-E72D297353CC}">
              <c16:uniqueId val="{00000001-1332-4939-8476-8CAD6CE83EFF}"/>
            </c:ext>
          </c:extLst>
        </c:ser>
        <c:ser>
          <c:idx val="3"/>
          <c:order val="2"/>
          <c:tx>
            <c:strRef>
              <c:f>'Kuat Tekan'!$O$38</c:f>
              <c:strCache>
                <c:ptCount val="1"/>
                <c:pt idx="0">
                  <c:v>CSP-HL5%</c:v>
                </c:pt>
              </c:strCache>
            </c:strRef>
          </c:tx>
          <c:spPr>
            <a:pattFill prst="dkDnDiag">
              <a:fgClr>
                <a:schemeClr val="tx1">
                  <a:lumMod val="65000"/>
                  <a:lumOff val="35000"/>
                </a:schemeClr>
              </a:fgClr>
              <a:bgClr>
                <a:schemeClr val="bg1"/>
              </a:bgClr>
            </a:pattFill>
            <a:ln>
              <a:solidFill>
                <a:schemeClr val="tx1"/>
              </a:solidFill>
            </a:ln>
            <a:effectLst/>
          </c:spPr>
          <c:invertIfNegative val="0"/>
          <c:val>
            <c:numRef>
              <c:f>'Kuat Tekan'!$O$39:$O$40</c:f>
              <c:numCache>
                <c:formatCode>#,#00</c:formatCode>
                <c:ptCount val="2"/>
                <c:pt idx="0">
                  <c:v>18.330071385743217</c:v>
                </c:pt>
                <c:pt idx="1">
                  <c:v>22.928851832158657</c:v>
                </c:pt>
              </c:numCache>
            </c:numRef>
          </c:val>
          <c:extLst>
            <c:ext xmlns:c16="http://schemas.microsoft.com/office/drawing/2014/chart" uri="{C3380CC4-5D6E-409C-BE32-E72D297353CC}">
              <c16:uniqueId val="{00000002-1332-4939-8476-8CAD6CE83EFF}"/>
            </c:ext>
          </c:extLst>
        </c:ser>
        <c:ser>
          <c:idx val="2"/>
          <c:order val="3"/>
          <c:tx>
            <c:strRef>
              <c:f>'Kuat Tekan'!$P$38</c:f>
              <c:strCache>
                <c:ptCount val="1"/>
                <c:pt idx="0">
                  <c:v>CSP-HL10%</c:v>
                </c:pt>
              </c:strCache>
            </c:strRef>
          </c:tx>
          <c:spPr>
            <a:pattFill prst="wdDnDiag">
              <a:fgClr>
                <a:schemeClr val="tx1">
                  <a:lumMod val="65000"/>
                  <a:lumOff val="35000"/>
                </a:schemeClr>
              </a:fgClr>
              <a:bgClr>
                <a:schemeClr val="bg1"/>
              </a:bgClr>
            </a:pattFill>
            <a:ln>
              <a:solidFill>
                <a:schemeClr val="tx1">
                  <a:lumMod val="65000"/>
                  <a:lumOff val="35000"/>
                </a:schemeClr>
              </a:solidFill>
            </a:ln>
            <a:effectLst/>
          </c:spPr>
          <c:invertIfNegative val="0"/>
          <c:cat>
            <c:numRef>
              <c:f>'Kuat Tekan'!$L$39:$L$40</c:f>
              <c:numCache>
                <c:formatCode>General</c:formatCode>
                <c:ptCount val="2"/>
                <c:pt idx="0">
                  <c:v>7</c:v>
                </c:pt>
                <c:pt idx="1">
                  <c:v>28</c:v>
                </c:pt>
              </c:numCache>
            </c:numRef>
          </c:cat>
          <c:val>
            <c:numRef>
              <c:f>'Kuat Tekan'!$P$39:$P$40</c:f>
              <c:numCache>
                <c:formatCode>#,#00</c:formatCode>
                <c:ptCount val="2"/>
                <c:pt idx="0">
                  <c:v>17.984078678930082</c:v>
                </c:pt>
                <c:pt idx="1">
                  <c:v>22.646024006425847</c:v>
                </c:pt>
              </c:numCache>
            </c:numRef>
          </c:val>
          <c:extLst>
            <c:ext xmlns:c16="http://schemas.microsoft.com/office/drawing/2014/chart" uri="{C3380CC4-5D6E-409C-BE32-E72D297353CC}">
              <c16:uniqueId val="{00000003-1332-4939-8476-8CAD6CE83EFF}"/>
            </c:ext>
          </c:extLst>
        </c:ser>
        <c:ser>
          <c:idx val="4"/>
          <c:order val="4"/>
          <c:tx>
            <c:strRef>
              <c:f>'Kuat Tekan'!$Q$38</c:f>
              <c:strCache>
                <c:ptCount val="1"/>
                <c:pt idx="0">
                  <c:v>CSP-CC5%</c:v>
                </c:pt>
              </c:strCache>
            </c:strRef>
          </c:tx>
          <c:spPr>
            <a:pattFill prst="smConfetti">
              <a:fgClr>
                <a:schemeClr val="tx1">
                  <a:lumMod val="65000"/>
                  <a:lumOff val="35000"/>
                </a:schemeClr>
              </a:fgClr>
              <a:bgClr>
                <a:schemeClr val="bg1"/>
              </a:bgClr>
            </a:pattFill>
            <a:ln>
              <a:solidFill>
                <a:schemeClr val="tx1">
                  <a:lumMod val="65000"/>
                  <a:lumOff val="35000"/>
                  <a:alpha val="96000"/>
                </a:schemeClr>
              </a:solidFill>
            </a:ln>
            <a:effectLst/>
          </c:spPr>
          <c:invertIfNegative val="0"/>
          <c:val>
            <c:numRef>
              <c:f>'Kuat Tekan'!$Q$39:$Q$40</c:f>
              <c:numCache>
                <c:formatCode>#,#00</c:formatCode>
                <c:ptCount val="2"/>
                <c:pt idx="0">
                  <c:v>18.395121785661765</c:v>
                </c:pt>
                <c:pt idx="1">
                  <c:v>22.266091960524779</c:v>
                </c:pt>
              </c:numCache>
            </c:numRef>
          </c:val>
          <c:extLst>
            <c:ext xmlns:c16="http://schemas.microsoft.com/office/drawing/2014/chart" uri="{C3380CC4-5D6E-409C-BE32-E72D297353CC}">
              <c16:uniqueId val="{00000004-1332-4939-8476-8CAD6CE83EFF}"/>
            </c:ext>
          </c:extLst>
        </c:ser>
        <c:ser>
          <c:idx val="5"/>
          <c:order val="5"/>
          <c:tx>
            <c:strRef>
              <c:f>'Kuat Tekan'!$R$38</c:f>
              <c:strCache>
                <c:ptCount val="1"/>
                <c:pt idx="0">
                  <c:v>CSP-CC10%</c:v>
                </c:pt>
              </c:strCache>
            </c:strRef>
          </c:tx>
          <c:spPr>
            <a:pattFill prst="lgConfetti">
              <a:fgClr>
                <a:schemeClr val="tx1">
                  <a:lumMod val="65000"/>
                  <a:lumOff val="35000"/>
                </a:schemeClr>
              </a:fgClr>
              <a:bgClr>
                <a:schemeClr val="bg1"/>
              </a:bgClr>
            </a:pattFill>
            <a:ln>
              <a:solidFill>
                <a:schemeClr val="tx1"/>
              </a:solidFill>
            </a:ln>
            <a:effectLst/>
          </c:spPr>
          <c:invertIfNegative val="0"/>
          <c:val>
            <c:numRef>
              <c:f>'Kuat Tekan'!$R$39:$R$40</c:f>
              <c:numCache>
                <c:formatCode>#,#00</c:formatCode>
                <c:ptCount val="2"/>
                <c:pt idx="0">
                  <c:v>18.385694191470666</c:v>
                </c:pt>
                <c:pt idx="1">
                  <c:v>22.61868398327168</c:v>
                </c:pt>
              </c:numCache>
            </c:numRef>
          </c:val>
          <c:extLst>
            <c:ext xmlns:c16="http://schemas.microsoft.com/office/drawing/2014/chart" uri="{C3380CC4-5D6E-409C-BE32-E72D297353CC}">
              <c16:uniqueId val="{00000005-1332-4939-8476-8CAD6CE83EFF}"/>
            </c:ext>
          </c:extLst>
        </c:ser>
        <c:dLbls>
          <c:showLegendKey val="0"/>
          <c:showVal val="0"/>
          <c:showCatName val="0"/>
          <c:showSerName val="0"/>
          <c:showPercent val="0"/>
          <c:showBubbleSize val="0"/>
        </c:dLbls>
        <c:gapWidth val="150"/>
        <c:axId val="1092238223"/>
        <c:axId val="1092232463"/>
      </c:barChart>
      <c:catAx>
        <c:axId val="1092238223"/>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ID" sz="900">
                    <a:solidFill>
                      <a:sysClr val="windowText" lastClr="000000"/>
                    </a:solidFill>
                  </a:rPr>
                  <a:t>Concrete</a:t>
                </a:r>
                <a:r>
                  <a:rPr lang="en-ID" sz="900" baseline="0">
                    <a:solidFill>
                      <a:sysClr val="windowText" lastClr="000000"/>
                    </a:solidFill>
                  </a:rPr>
                  <a:t> Age</a:t>
                </a:r>
                <a:r>
                  <a:rPr lang="en-ID" sz="900">
                    <a:solidFill>
                      <a:sysClr val="windowText" lastClr="000000"/>
                    </a:solidFill>
                  </a:rPr>
                  <a:t> (days)</a:t>
                </a:r>
              </a:p>
            </c:rich>
          </c:tx>
          <c:layout>
            <c:manualLayout>
              <c:xMode val="edge"/>
              <c:yMode val="edge"/>
              <c:x val="0.38136413097592831"/>
              <c:y val="0.9209251968503935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65000"/>
                <a:lumOff val="3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092232463"/>
        <c:crosses val="autoZero"/>
        <c:auto val="1"/>
        <c:lblAlgn val="ctr"/>
        <c:lblOffset val="100"/>
        <c:noMultiLvlLbl val="0"/>
      </c:catAx>
      <c:valAx>
        <c:axId val="1092232463"/>
        <c:scaling>
          <c:orientation val="minMax"/>
          <c:max val="28"/>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ID" sz="900">
                    <a:solidFill>
                      <a:sysClr val="windowText" lastClr="000000"/>
                    </a:solidFill>
                  </a:rPr>
                  <a:t>Compressive</a:t>
                </a:r>
                <a:r>
                  <a:rPr lang="en-ID" sz="900" baseline="0">
                    <a:solidFill>
                      <a:sysClr val="windowText" lastClr="000000"/>
                    </a:solidFill>
                  </a:rPr>
                  <a:t> Strength (MPa)</a:t>
                </a:r>
                <a:endParaRPr lang="en-ID" sz="900">
                  <a:solidFill>
                    <a:sysClr val="windowText" lastClr="000000"/>
                  </a:solidFill>
                </a:endParaRPr>
              </a:p>
            </c:rich>
          </c:tx>
          <c:layout>
            <c:manualLayout>
              <c:xMode val="edge"/>
              <c:yMode val="edge"/>
              <c:x val="7.5199628269686314E-3"/>
              <c:y val="0.1447533020066040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0" sourceLinked="1"/>
        <c:majorTickMark val="out"/>
        <c:minorTickMark val="none"/>
        <c:tickLblPos val="nextTo"/>
        <c:spPr>
          <a:noFill/>
          <a:ln>
            <a:solidFill>
              <a:schemeClr val="tx1">
                <a:lumMod val="65000"/>
                <a:lumOff val="35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092238223"/>
        <c:crosses val="autoZero"/>
        <c:crossBetween val="between"/>
        <c:majorUnit val="4"/>
      </c:valAx>
      <c:spPr>
        <a:noFill/>
        <a:ln>
          <a:noFill/>
        </a:ln>
        <a:effectLst/>
      </c:spPr>
    </c:plotArea>
    <c:legend>
      <c:legendPos val="b"/>
      <c:layout>
        <c:manualLayout>
          <c:xMode val="edge"/>
          <c:yMode val="edge"/>
          <c:x val="0.10405136224060481"/>
          <c:y val="1.9611220472440946E-2"/>
          <c:w val="0.85398776130493614"/>
          <c:h val="8.2142584279287931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3AD9B37A-E1DE-42EF-BD9A-17C7C4E2F6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TotalTime>
  <Pages>3</Pages>
  <Words>11220</Words>
  <Characters>63958</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75028</CharactersWithSpaces>
  <SharedDoc>false</SharedDoc>
  <HLinks>
    <vt:vector size="6" baseType="variant">
      <vt:variant>
        <vt:i4>458813</vt:i4>
      </vt:variant>
      <vt:variant>
        <vt:i4>0</vt:i4>
      </vt:variant>
      <vt:variant>
        <vt:i4>0</vt:i4>
      </vt:variant>
      <vt:variant>
        <vt:i4>5</vt:i4>
      </vt:variant>
      <vt:variant>
        <vt:lpwstr>mailto:yos.sumantri@upnyk.ac.id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cp:lastModifiedBy>HP</cp:lastModifiedBy>
  <cp:revision>2</cp:revision>
  <cp:lastPrinted>2011-03-03T08:29:00Z</cp:lastPrinted>
  <dcterms:created xsi:type="dcterms:W3CDTF">2026-01-27T06:41:00Z</dcterms:created>
  <dcterms:modified xsi:type="dcterms:W3CDTF">2026-01-27T06:41:00Z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http://www.zotero.org/styles/norsk-apa-manual</vt:lpwstr>
  </property>
  <property fmtid="{D5CDD505-2E9C-101B-9397-08002B2CF9AE}" pid="20" name="Mendeley Recent Style Name 8_1">
    <vt:lpwstr>Norsk APA-manual - APA 7th edition (author-date)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3375f6b3-0e24-376b-8574-2a3ba0b8222b</vt:lpwstr>
  </property>
  <property fmtid="{D5CDD505-2E9C-101B-9397-08002B2CF9AE}" pid="25" name="Mendeley Citation Style_1">
    <vt:lpwstr>http://www.zotero.org/styles/vancouver</vt:lpwstr>
  </property>
</Properties>
</file>