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710133" w14:textId="54C9B2A0" w:rsidR="00EA50A7" w:rsidRPr="00A50F32" w:rsidRDefault="0078043D" w:rsidP="00784F94">
      <w:pPr>
        <w:pStyle w:val="PaperTitle"/>
        <w:rPr>
          <w:sz w:val="24"/>
          <w:szCs w:val="24"/>
        </w:rPr>
      </w:pPr>
      <w:r w:rsidRPr="00A50F32">
        <w:t>Multiplier Effect of Science and Technology on Economic Growth in ASEAN Countries</w:t>
      </w:r>
    </w:p>
    <w:p w14:paraId="50BF688B" w14:textId="10D95093" w:rsidR="00EA50A7" w:rsidRPr="00A50F32" w:rsidRDefault="009D755F" w:rsidP="00784F94">
      <w:pPr>
        <w:pStyle w:val="AuthorName"/>
        <w:rPr>
          <w:b/>
          <w:szCs w:val="28"/>
        </w:rPr>
      </w:pPr>
      <w:r w:rsidRPr="00A50F32">
        <w:t xml:space="preserve">Muhammad </w:t>
      </w:r>
      <w:proofErr w:type="spellStart"/>
      <w:r w:rsidRPr="00A50F32">
        <w:t>Khoirul</w:t>
      </w:r>
      <w:proofErr w:type="spellEnd"/>
      <w:r w:rsidRPr="00A50F32">
        <w:t xml:space="preserve"> </w:t>
      </w:r>
      <w:proofErr w:type="spellStart"/>
      <w:r w:rsidRPr="00A50F32">
        <w:t>Fuddin</w:t>
      </w:r>
      <w:r w:rsidR="005C2B16" w:rsidRPr="00A50F32">
        <w:rPr>
          <w:vertAlign w:val="superscript"/>
        </w:rPr>
        <w:t>a</w:t>
      </w:r>
      <w:proofErr w:type="spellEnd"/>
      <w:r w:rsidR="00EA50A7" w:rsidRPr="00A50F32">
        <w:rPr>
          <w:vertAlign w:val="superscript"/>
        </w:rPr>
        <w:t>)</w:t>
      </w:r>
      <w:r w:rsidR="00EA50A7" w:rsidRPr="00A50F32">
        <w:t xml:space="preserve">, </w:t>
      </w:r>
      <w:r w:rsidRPr="00A50F32">
        <w:t xml:space="preserve">Rahmad </w:t>
      </w:r>
      <w:proofErr w:type="spellStart"/>
      <w:r w:rsidRPr="00A50F32">
        <w:t>Hidayat</w:t>
      </w:r>
      <w:r w:rsidR="005C2B16" w:rsidRPr="00A50F32">
        <w:rPr>
          <w:vertAlign w:val="superscript"/>
        </w:rPr>
        <w:t>b</w:t>
      </w:r>
      <w:proofErr w:type="spellEnd"/>
      <w:r w:rsidR="00DA6D7D" w:rsidRPr="00A50F32">
        <w:rPr>
          <w:vertAlign w:val="superscript"/>
        </w:rPr>
        <w:t>)</w:t>
      </w:r>
      <w:r w:rsidR="00EA50A7" w:rsidRPr="00A50F32">
        <w:t xml:space="preserve">, </w:t>
      </w:r>
      <w:r w:rsidR="00EE1365">
        <w:t xml:space="preserve">Wahyu Hidayat </w:t>
      </w:r>
      <w:proofErr w:type="spellStart"/>
      <w:r w:rsidR="00EE1365">
        <w:t>Riyanto</w:t>
      </w:r>
      <w:r w:rsidR="00300407" w:rsidRPr="00A50F32">
        <w:rPr>
          <w:vertAlign w:val="superscript"/>
        </w:rPr>
        <w:t>c</w:t>
      </w:r>
      <w:proofErr w:type="spellEnd"/>
      <w:r w:rsidR="00DA6D7D" w:rsidRPr="00A50F32">
        <w:rPr>
          <w:vertAlign w:val="superscript"/>
        </w:rPr>
        <w:t>)</w:t>
      </w:r>
      <w:r w:rsidR="00DA6D7D" w:rsidRPr="00A50F32">
        <w:t xml:space="preserve">, </w:t>
      </w:r>
      <w:r w:rsidR="00701D17">
        <w:t xml:space="preserve">and </w:t>
      </w:r>
      <w:r w:rsidR="00EE1365">
        <w:t xml:space="preserve">Zainal </w:t>
      </w:r>
      <w:proofErr w:type="spellStart"/>
      <w:r w:rsidR="00EE1365">
        <w:t>Arifin</w:t>
      </w:r>
      <w:r w:rsidRPr="00A50F32">
        <w:rPr>
          <w:vertAlign w:val="superscript"/>
        </w:rPr>
        <w:t>d</w:t>
      </w:r>
      <w:proofErr w:type="spellEnd"/>
      <w:r w:rsidRPr="00A50F32">
        <w:rPr>
          <w:vertAlign w:val="superscript"/>
        </w:rPr>
        <w:t>)</w:t>
      </w:r>
    </w:p>
    <w:p w14:paraId="2F3BAB1C" w14:textId="26049CB3" w:rsidR="005649A6" w:rsidRPr="00A50F32" w:rsidRDefault="009D755F" w:rsidP="00EE1365">
      <w:pPr>
        <w:pStyle w:val="AuthorAffiliation"/>
        <w:spacing w:after="240"/>
      </w:pPr>
      <w:r w:rsidRPr="00A50F32">
        <w:t>Faculty of Economics and Business, University of Muhammadiyah Malang</w:t>
      </w:r>
      <w:r w:rsidR="00B6146E" w:rsidRPr="00A50F32">
        <w:t>,</w:t>
      </w:r>
      <w:r w:rsidR="00701D17">
        <w:t xml:space="preserve"> </w:t>
      </w:r>
      <w:r w:rsidR="00C77C75" w:rsidRPr="00A50F32">
        <w:t>Malang,</w:t>
      </w:r>
      <w:r w:rsidR="00B6146E" w:rsidRPr="00A50F32">
        <w:t xml:space="preserve"> </w:t>
      </w:r>
      <w:r w:rsidRPr="00A50F32">
        <w:t>Indonesia</w:t>
      </w:r>
      <w:r w:rsidR="00B6146E" w:rsidRPr="00A50F32">
        <w:t xml:space="preserve"> </w:t>
      </w:r>
    </w:p>
    <w:p w14:paraId="43014103" w14:textId="7BF4DD88" w:rsidR="00EA50A7" w:rsidRPr="00EE1365" w:rsidRDefault="005C2B16" w:rsidP="005649A6">
      <w:pPr>
        <w:pStyle w:val="AuthorEmail"/>
        <w:rPr>
          <w:shd w:val="clear" w:color="auto" w:fill="FFFFFF"/>
        </w:rPr>
      </w:pPr>
      <w:r w:rsidRPr="00A50F32">
        <w:rPr>
          <w:shd w:val="clear" w:color="auto" w:fill="FFFFFF"/>
          <w:vertAlign w:val="superscript"/>
        </w:rPr>
        <w:t>a)</w:t>
      </w:r>
      <w:r w:rsidR="00701D17">
        <w:rPr>
          <w:shd w:val="clear" w:color="auto" w:fill="FFFFFF"/>
          <w:vertAlign w:val="superscript"/>
        </w:rPr>
        <w:t xml:space="preserve"> </w:t>
      </w:r>
      <w:r w:rsidR="00EA50A7" w:rsidRPr="00A50F32">
        <w:rPr>
          <w:shd w:val="clear" w:color="auto" w:fill="FFFFFF"/>
          <w:lang w:val="id-ID"/>
        </w:rPr>
        <w:t xml:space="preserve">Corresponding author: </w:t>
      </w:r>
      <w:hyperlink r:id="rId6" w:history="1">
        <w:r w:rsidR="009D755F" w:rsidRPr="00EE1365">
          <w:rPr>
            <w:rStyle w:val="Hyperlink"/>
            <w:color w:val="auto"/>
            <w:u w:val="none"/>
            <w:shd w:val="clear" w:color="auto" w:fill="FFFFFF"/>
          </w:rPr>
          <w:t>khoirulfuddin@umm.ac.id</w:t>
        </w:r>
      </w:hyperlink>
    </w:p>
    <w:p w14:paraId="6E88952D" w14:textId="5C3B4A89" w:rsidR="00EA50A7" w:rsidRPr="00EE1365" w:rsidRDefault="005C2B16" w:rsidP="005649A6">
      <w:pPr>
        <w:pStyle w:val="AuthorEmail"/>
      </w:pPr>
      <w:r w:rsidRPr="00EE1365">
        <w:rPr>
          <w:vertAlign w:val="superscript"/>
        </w:rPr>
        <w:t>b)</w:t>
      </w:r>
      <w:hyperlink r:id="rId7" w:history="1">
        <w:r w:rsidR="009175C6" w:rsidRPr="00EE1365">
          <w:rPr>
            <w:rStyle w:val="Hyperlink"/>
            <w:color w:val="auto"/>
            <w:u w:val="none"/>
          </w:rPr>
          <w:t>rahmadhidayat@umm.ac.id</w:t>
        </w:r>
      </w:hyperlink>
      <w:r w:rsidR="009175C6" w:rsidRPr="00EE1365">
        <w:t xml:space="preserve"> </w:t>
      </w:r>
    </w:p>
    <w:p w14:paraId="2BCC3E37" w14:textId="290BA777" w:rsidR="00300407" w:rsidRPr="00EE1365" w:rsidRDefault="00300407" w:rsidP="005649A6">
      <w:pPr>
        <w:pStyle w:val="AuthorEmail"/>
      </w:pPr>
      <w:r w:rsidRPr="00EE1365">
        <w:rPr>
          <w:vertAlign w:val="superscript"/>
        </w:rPr>
        <w:t>c)</w:t>
      </w:r>
      <w:r w:rsidR="009D755F" w:rsidRPr="00EE1365">
        <w:t xml:space="preserve"> </w:t>
      </w:r>
      <w:hyperlink r:id="rId8" w:history="1">
        <w:r w:rsidR="009D755F" w:rsidRPr="00EE1365">
          <w:rPr>
            <w:rStyle w:val="Hyperlink"/>
            <w:color w:val="auto"/>
            <w:u w:val="none"/>
          </w:rPr>
          <w:t>wahyuhidayat@umm.ac.id</w:t>
        </w:r>
      </w:hyperlink>
    </w:p>
    <w:p w14:paraId="3FACE6ED" w14:textId="36D1B043" w:rsidR="009D755F" w:rsidRPr="00EE1365" w:rsidRDefault="009D755F" w:rsidP="005649A6">
      <w:pPr>
        <w:pStyle w:val="AuthorEmail"/>
        <w:rPr>
          <w:sz w:val="24"/>
          <w:szCs w:val="24"/>
        </w:rPr>
      </w:pPr>
      <w:r w:rsidRPr="00EE1365">
        <w:rPr>
          <w:vertAlign w:val="superscript"/>
        </w:rPr>
        <w:t>d)</w:t>
      </w:r>
      <w:hyperlink r:id="rId9" w:history="1">
        <w:r w:rsidRPr="00EE1365">
          <w:rPr>
            <w:rStyle w:val="Hyperlink"/>
            <w:color w:val="auto"/>
            <w:u w:val="none"/>
          </w:rPr>
          <w:t>zainalarifin@umm.ac.id</w:t>
        </w:r>
      </w:hyperlink>
      <w:r w:rsidRPr="00EE1365">
        <w:t xml:space="preserve"> </w:t>
      </w:r>
    </w:p>
    <w:p w14:paraId="128B343A" w14:textId="08ECF1D9" w:rsidR="00CA3BBC" w:rsidRPr="00A50F32" w:rsidRDefault="00EA50A7" w:rsidP="00EE1365">
      <w:pPr>
        <w:pStyle w:val="Abstract"/>
        <w:spacing w:before="240" w:after="240"/>
        <w:rPr>
          <w:color w:val="333333"/>
          <w:szCs w:val="18"/>
        </w:rPr>
      </w:pPr>
      <w:r w:rsidRPr="00A50F32">
        <w:rPr>
          <w:b/>
        </w:rPr>
        <w:t>Abstract</w:t>
      </w:r>
      <w:r w:rsidR="00784F94" w:rsidRPr="00A50F32">
        <w:rPr>
          <w:b/>
        </w:rPr>
        <w:t xml:space="preserve">. </w:t>
      </w:r>
      <w:r w:rsidRPr="00A50F32">
        <w:t xml:space="preserve"> </w:t>
      </w:r>
      <w:r w:rsidR="00F63DA8" w:rsidRPr="00E31332">
        <w:t xml:space="preserve">Science and technology in the modern era play an important role in economic growth. However, the impact of both is different when viewed based on the time. Some can have an immediate impact in the short term but some need time so that the impact is only seen in the long term. </w:t>
      </w:r>
      <w:r w:rsidR="009D755F" w:rsidRPr="00E31332">
        <w:t>The research will aim to see how much effect the use and utilization of technology and science have on mobile phone ownership, the cost of using intellectual property, and the number of patents on ASEAN economic growth in the long and short term. The methodology used is to use vector error-correction models (VECM). Ownership of mobile phones in ASEAN in the long term or short term can influence economic growth. Meanwhile, the costs of using intellectual property and the number of patents have yet to be able to contribute to the economic growth of ASEAN countries in the long and short term. Using mobile phones with reasonably high intensity, whether used for productive or consumptive activities, significantly influences the economic growth of ASEAN countries. However, the impact on intellectual property, reflected in the cost of use and the amount of patented intellectual property, has yet to be able to contribute maximally to the country's economic growth.</w:t>
      </w:r>
    </w:p>
    <w:p w14:paraId="282ACB97" w14:textId="5DA3F939" w:rsidR="00EA50A7" w:rsidRPr="00A50F32" w:rsidRDefault="00EA50A7" w:rsidP="00EE1365">
      <w:pPr>
        <w:pStyle w:val="Abstract"/>
        <w:spacing w:before="240" w:after="240"/>
      </w:pPr>
      <w:r w:rsidRPr="00A50F32">
        <w:rPr>
          <w:b/>
        </w:rPr>
        <w:t xml:space="preserve">Keywords: </w:t>
      </w:r>
      <w:r w:rsidR="009D755F" w:rsidRPr="00A50F32">
        <w:t>Economic Growth, Technology and Science</w:t>
      </w:r>
    </w:p>
    <w:p w14:paraId="0CD11642" w14:textId="11C772BC" w:rsidR="00EA50A7" w:rsidRPr="00A50F32" w:rsidRDefault="00EA50A7" w:rsidP="00784F94">
      <w:pPr>
        <w:pStyle w:val="Heading1"/>
      </w:pPr>
      <w:r w:rsidRPr="00A50F32">
        <w:t>INTRODUCTION</w:t>
      </w:r>
    </w:p>
    <w:p w14:paraId="404860B7" w14:textId="1633A8EB" w:rsidR="009D755F" w:rsidRPr="00701D17" w:rsidRDefault="009D755F" w:rsidP="00701D17">
      <w:pPr>
        <w:pStyle w:val="Paragraph"/>
        <w:rPr>
          <w:rStyle w:val="Emphasis"/>
        </w:rPr>
      </w:pPr>
      <w:r w:rsidRPr="00701D17">
        <w:rPr>
          <w:rStyle w:val="Emphasis"/>
        </w:rPr>
        <w:t xml:space="preserve">The availability of capital, natural resources, and human resources strongly influences economic growth in a classical economy. Classical economics focuses on understanding capital, natural resources, and human resources and their role in economic growth. Classical writers believed that economics should deal with objective, measurable data and that social tastes were a given, at least briefly. They also emphasize the importance of capital accumulation and growth, which depends on the creation of savings and investment, the proportionality of different forms of capital, the institutional environment, scientific and technological progress, public policy, and globalization. Additionally, natural resource economics treats resources as capital and highlights the need for forward-looking </w:t>
      </w:r>
      <w:r w:rsidR="0058436D" w:rsidRPr="00701D17">
        <w:rPr>
          <w:rStyle w:val="Emphasis"/>
        </w:rPr>
        <w:t>behavior</w:t>
      </w:r>
      <w:r w:rsidRPr="00701D17">
        <w:rPr>
          <w:rStyle w:val="Emphasis"/>
        </w:rPr>
        <w:t xml:space="preserve"> in dynamic settings</w:t>
      </w:r>
      <w:r w:rsidR="0098356F" w:rsidRPr="00701D17">
        <w:rPr>
          <w:rStyle w:val="Emphasis"/>
        </w:rPr>
        <w:t xml:space="preserve"> </w:t>
      </w:r>
      <w:r w:rsidR="0098356F" w:rsidRPr="00701D17">
        <w:rPr>
          <w:rStyle w:val="Emphasis"/>
        </w:rPr>
        <w:fldChar w:fldCharType="begin"/>
      </w:r>
      <w:r w:rsidR="0098356F" w:rsidRPr="00701D17">
        <w:rPr>
          <w:rStyle w:val="Emphasis"/>
        </w:rPr>
        <w:instrText xml:space="preserve"> ADDIN EN.CITE &lt;EndNote&gt;&lt;Cite&gt;&lt;Author&gt;Araji&lt;/Author&gt;&lt;Year&gt;2018&lt;/Year&gt;&lt;RecNum&gt;2&lt;/RecNum&gt;&lt;DisplayText&gt;[1]&lt;/DisplayText&gt;&lt;record&gt;&lt;rec-number&gt;2&lt;/rec-number&gt;&lt;foreign-keys&gt;&lt;key app="EN" db-id="dzdesfex4asa0gexvamvtvxszs955090fzex" timestamp="1729488339"&gt;2&lt;/key&gt;&lt;/foreign-keys&gt;&lt;ref-type name="Journal Article"&gt;17&lt;/ref-type&gt;&lt;contributors&gt;&lt;authors&gt;&lt;author&gt;Araji, Salim M.&lt;/author&gt;&lt;author&gt;Mohtadi, Hamid&lt;/author&gt;&lt;/authors&gt;&lt;/contributors&gt;&lt;titles&gt;&lt;title&gt;Natural resources, incentives and human capital: reinterpreting the curse&lt;/title&gt;&lt;secondary-title&gt;Middle East Development Journal&lt;/secondary-title&gt;&lt;/titles&gt;&lt;periodical&gt;&lt;full-title&gt;Middle East Development Journal&lt;/full-title&gt;&lt;/periodical&gt;&lt;pages&gt;1-30&lt;/pages&gt;&lt;volume&gt;10&lt;/volume&gt;&lt;number&gt;1&lt;/number&gt;&lt;dates&gt;&lt;year&gt;2018&lt;/year&gt;&lt;/dates&gt;&lt;publisher&gt;Taylor &amp;amp; Francis&lt;/publisher&gt;&lt;isbn&gt;1793-8120&lt;/isbn&gt;&lt;urls&gt;&lt;/urls&gt;&lt;/record&gt;&lt;/Cite&gt;&lt;/EndNote&gt;</w:instrText>
      </w:r>
      <w:r w:rsidR="0098356F" w:rsidRPr="00701D17">
        <w:rPr>
          <w:rStyle w:val="Emphasis"/>
        </w:rPr>
        <w:fldChar w:fldCharType="separate"/>
      </w:r>
      <w:r w:rsidR="0098356F" w:rsidRPr="00701D17">
        <w:rPr>
          <w:rStyle w:val="Emphasis"/>
        </w:rPr>
        <w:t>[1]</w:t>
      </w:r>
      <w:r w:rsidR="0098356F" w:rsidRPr="00701D17">
        <w:rPr>
          <w:rStyle w:val="Emphasis"/>
        </w:rPr>
        <w:fldChar w:fldCharType="end"/>
      </w:r>
      <w:r w:rsidR="0098356F" w:rsidRPr="00701D17">
        <w:rPr>
          <w:rStyle w:val="Emphasis"/>
        </w:rPr>
        <w:t>.</w:t>
      </w:r>
      <w:r w:rsidRPr="00701D17">
        <w:rPr>
          <w:rStyle w:val="Emphasis"/>
        </w:rPr>
        <w:t xml:space="preserve"> Additionally, the distribution of natural resource rents can impact incentives to invest in higher education</w:t>
      </w:r>
      <w:r w:rsidR="0098356F" w:rsidRPr="00701D17">
        <w:rPr>
          <w:rStyle w:val="Emphasis"/>
        </w:rPr>
        <w:t xml:space="preserve"> </w:t>
      </w:r>
      <w:r w:rsidR="0098356F" w:rsidRPr="00701D17">
        <w:rPr>
          <w:rStyle w:val="Emphasis"/>
        </w:rPr>
        <w:fldChar w:fldCharType="begin"/>
      </w:r>
      <w:r w:rsidR="0098356F" w:rsidRPr="00701D17">
        <w:rPr>
          <w:rStyle w:val="Emphasis"/>
        </w:rPr>
        <w:instrText xml:space="preserve"> ADDIN EN.CITE &lt;EndNote&gt;&lt;Cite&gt;&lt;Author&gt;Karp&lt;/Author&gt;&lt;Year&gt;2001&lt;/Year&gt;&lt;RecNum&gt;3&lt;/RecNum&gt;&lt;DisplayText&gt;[2]&lt;/DisplayText&gt;&lt;record&gt;&lt;rec-number&gt;3&lt;/rec-number&gt;&lt;foreign-keys&gt;&lt;key app="EN" db-id="dzdesfex4asa0gexvamvtvxszs955090fzex" timestamp="1729488454"&gt;3&lt;/key&gt;&lt;/foreign-keys&gt;&lt;ref-type name="Journal Article"&gt;17&lt;/ref-type&gt;&lt;contributors&gt;&lt;authors&gt;&lt;author&gt;Karp, Larry S.&lt;/author&gt;&lt;author&gt;Chen, Ming&lt;/author&gt;&lt;/authors&gt;&lt;/contributors&gt;&lt;titles&gt;&lt;title&gt;Environmental indices for the Chinese grain sector&lt;/title&gt;&lt;secondary-title&gt;Available at SSRN 293691&lt;/secondary-title&gt;&lt;/titles&gt;&lt;periodical&gt;&lt;full-title&gt;Available at SSRN 293691&lt;/full-title&gt;&lt;/periodical&gt;&lt;dates&gt;&lt;year&gt;2001&lt;/year&gt;&lt;/dates&gt;&lt;urls&gt;&lt;/urls&gt;&lt;/record&gt;&lt;/Cite&gt;&lt;/EndNote&gt;</w:instrText>
      </w:r>
      <w:r w:rsidR="0098356F" w:rsidRPr="00701D17">
        <w:rPr>
          <w:rStyle w:val="Emphasis"/>
        </w:rPr>
        <w:fldChar w:fldCharType="separate"/>
      </w:r>
      <w:r w:rsidR="0098356F" w:rsidRPr="00701D17">
        <w:rPr>
          <w:rStyle w:val="Emphasis"/>
        </w:rPr>
        <w:t>[2]</w:t>
      </w:r>
      <w:r w:rsidR="0098356F" w:rsidRPr="00701D17">
        <w:rPr>
          <w:rStyle w:val="Emphasis"/>
        </w:rPr>
        <w:fldChar w:fldCharType="end"/>
      </w:r>
      <w:r w:rsidRPr="00701D17">
        <w:rPr>
          <w:rStyle w:val="Emphasis"/>
        </w:rPr>
        <w:t>. Classical economics provides theoretical and methodological explanations for economic growth and the factors that influence it, including capital, natural resources, and human resources.</w:t>
      </w:r>
    </w:p>
    <w:p w14:paraId="33B32DAA" w14:textId="3644BB1D" w:rsidR="009D755F" w:rsidRPr="00701D17" w:rsidRDefault="009D755F" w:rsidP="00701D17">
      <w:pPr>
        <w:pStyle w:val="Paragraph"/>
        <w:rPr>
          <w:rStyle w:val="Emphasis"/>
        </w:rPr>
      </w:pPr>
      <w:r w:rsidRPr="00701D17">
        <w:rPr>
          <w:rStyle w:val="Emphasis"/>
        </w:rPr>
        <w:t>In the era of development towards the modern and global era, other fundamental variables influence the growth and acceleration of a country's economic growth, namely the availability and use of technology. Technology has a vital role in accelerating a country's economic growth. Countries that do not have abundant capital, natural resources, and human resources can still develop better and faster if they can utilize technology well and optimally. Technological innovation significantly impacts economic growth; This drives productivity and output growth, leading to overall economic development</w:t>
      </w:r>
      <w:r w:rsidR="0098356F" w:rsidRPr="00701D17">
        <w:rPr>
          <w:rStyle w:val="Emphasis"/>
        </w:rPr>
        <w:t xml:space="preserve"> </w:t>
      </w:r>
      <w:r w:rsidR="0098356F" w:rsidRPr="00701D17">
        <w:rPr>
          <w:rStyle w:val="Emphasis"/>
        </w:rPr>
        <w:fldChar w:fldCharType="begin"/>
      </w:r>
      <w:r w:rsidR="0098356F" w:rsidRPr="00701D17">
        <w:rPr>
          <w:rStyle w:val="Emphasis"/>
        </w:rPr>
        <w:instrText xml:space="preserve"> ADDIN EN.CITE &lt;EndNote&gt;&lt;Cite&gt;&lt;Author&gt;Naeruz&lt;/Author&gt;&lt;RecNum&gt;4&lt;/RecNum&gt;&lt;DisplayText&gt;[3]&lt;/DisplayText&gt;&lt;record&gt;&lt;rec-number&gt;4&lt;/rec-number&gt;&lt;foreign-keys&gt;&lt;key app="EN" db-id="dzdesfex4asa0gexvamvtvxszs955090fzex" timestamp="1729488530"&gt;4&lt;/key&gt;&lt;/foreign-keys&gt;&lt;ref-type name="Conference Proceedings"&gt;10&lt;/ref-type&gt;&lt;contributors&gt;&lt;authors&gt;&lt;author&gt;Naeruz, Milla&lt;/author&gt;&lt;author&gt;Afiffudin, Syaad&lt;/author&gt;&lt;author&gt;Ruslan, Dede&lt;/author&gt;&lt;author&gt;Syafii, Muhammad&lt;/author&gt;&lt;/authors&gt;&lt;/contributors&gt;&lt;titles&gt;&lt;title&gt;The impact of economic growth on technological developments, emoneys and fluctuations interest rates and exchange rates in Indonesia&lt;/title&gt;&lt;alt-title&gt;E3S Web of Conferences&lt;/alt-title&gt;&lt;/titles&gt;&lt;pages&gt;05008&lt;/pages&gt;&lt;volume&gt;339&lt;/volume&gt;&lt;dates&gt;&lt;pub-dates&gt;&lt;date&gt;2022&lt;/date&gt;&lt;/pub-dates&gt;&lt;/dates&gt;&lt;publisher&gt;EDP Sciences&lt;/publisher&gt;&lt;isbn&gt;2267-1242&lt;/isbn&gt;&lt;urls&gt;&lt;/urls&gt;&lt;/record&gt;&lt;/Cite&gt;&lt;/EndNote&gt;</w:instrText>
      </w:r>
      <w:r w:rsidR="0098356F" w:rsidRPr="00701D17">
        <w:rPr>
          <w:rStyle w:val="Emphasis"/>
        </w:rPr>
        <w:fldChar w:fldCharType="separate"/>
      </w:r>
      <w:r w:rsidR="0098356F" w:rsidRPr="00701D17">
        <w:rPr>
          <w:rStyle w:val="Emphasis"/>
        </w:rPr>
        <w:t>[3]</w:t>
      </w:r>
      <w:r w:rsidR="0098356F" w:rsidRPr="00701D17">
        <w:rPr>
          <w:rStyle w:val="Emphasis"/>
        </w:rPr>
        <w:fldChar w:fldCharType="end"/>
      </w:r>
      <w:r w:rsidRPr="00701D17">
        <w:rPr>
          <w:rStyle w:val="Emphasis"/>
        </w:rPr>
        <w:t>.</w:t>
      </w:r>
      <w:r w:rsidR="0098356F" w:rsidRPr="00701D17">
        <w:rPr>
          <w:rStyle w:val="Emphasis"/>
        </w:rPr>
        <w:t xml:space="preserve"> </w:t>
      </w:r>
      <w:r w:rsidRPr="00701D17">
        <w:rPr>
          <w:rStyle w:val="Emphasis"/>
        </w:rPr>
        <w:t>New technologies drive the creation of new products and services and higher productivity, which leads to economic growth. Studies consistently show a strong positive relationship between R&amp;D investment and productivity and output growth</w:t>
      </w:r>
      <w:r w:rsidR="0098356F" w:rsidRPr="00701D17">
        <w:rPr>
          <w:rStyle w:val="Emphasis"/>
        </w:rPr>
        <w:t xml:space="preserve"> </w:t>
      </w:r>
      <w:r w:rsidR="0098356F" w:rsidRPr="00701D17">
        <w:rPr>
          <w:rStyle w:val="Emphasis"/>
        </w:rPr>
        <w:fldChar w:fldCharType="begin"/>
      </w:r>
      <w:r w:rsidR="0098356F" w:rsidRPr="00701D17">
        <w:rPr>
          <w:rStyle w:val="Emphasis"/>
        </w:rPr>
        <w:instrText xml:space="preserve"> ADDIN EN.CITE &lt;EndNote&gt;&lt;Cite&gt;&lt;Author&gt;Yılmaz&lt;/Author&gt;&lt;Year&gt;2023&lt;/Year&gt;&lt;RecNum&gt;5&lt;/RecNum&gt;&lt;DisplayText&gt;[4]&lt;/DisplayText&gt;&lt;record&gt;&lt;rec-number&gt;5&lt;/rec-number&gt;&lt;foreign-keys&gt;&lt;key app="EN" db-id="dzdesfex4asa0gexvamvtvxszs955090fzex" timestamp="1729488592"&gt;5&lt;/key&gt;&lt;/foreign-keys&gt;&lt;ref-type name="Journal Article"&gt;17&lt;/ref-type&gt;&lt;contributors&gt;&lt;authors&gt;&lt;author&gt;Yılmaz, Ebru Gül&lt;/author&gt;&lt;author&gt;Bıyıklı, Süreyya İmre&lt;/author&gt;&lt;author&gt;Demir, Ceren&lt;/author&gt;&lt;/authors&gt;&lt;/contributors&gt;&lt;titles&gt;&lt;title&gt;Impacts of Technology on Economic Growth: With Difference Between Tourism Countries and Industry Countries Aspect Based on Extended Solow Growth Model&lt;/title&gt;&lt;secondary-title&gt;Scientific Papers of the University of Pardubice. Series D, Faculty of Economics &amp;amp; Administration&lt;/secondary-title&gt;&lt;/titles&gt;&lt;periodical&gt;&lt;full-title&gt;Scientific Papers of the University of Pardubice. Series D, Faculty of Economics &amp;amp; Administration&lt;/full-title&gt;&lt;/periodical&gt;&lt;volume&gt;31&lt;/volume&gt;&lt;number&gt;1&lt;/number&gt;&lt;dates&gt;&lt;year&gt;2023&lt;/year&gt;&lt;/dates&gt;&lt;isbn&gt;1211-555X&lt;/isbn&gt;&lt;urls&gt;&lt;/urls&gt;&lt;/record&gt;&lt;/Cite&gt;&lt;/EndNote&gt;</w:instrText>
      </w:r>
      <w:r w:rsidR="0098356F" w:rsidRPr="00701D17">
        <w:rPr>
          <w:rStyle w:val="Emphasis"/>
        </w:rPr>
        <w:fldChar w:fldCharType="separate"/>
      </w:r>
      <w:r w:rsidR="0098356F" w:rsidRPr="00701D17">
        <w:rPr>
          <w:rStyle w:val="Emphasis"/>
        </w:rPr>
        <w:t>[4]</w:t>
      </w:r>
      <w:r w:rsidR="0098356F" w:rsidRPr="00701D17">
        <w:rPr>
          <w:rStyle w:val="Emphasis"/>
        </w:rPr>
        <w:fldChar w:fldCharType="end"/>
      </w:r>
      <w:r w:rsidRPr="00701D17">
        <w:rPr>
          <w:rStyle w:val="Emphasis"/>
        </w:rPr>
        <w:t xml:space="preserve">. However, the impact of technology on economic growth can vary across countries and sectors. For example, in the case of tourism countries and industrialized </w:t>
      </w:r>
      <w:r w:rsidRPr="00701D17">
        <w:rPr>
          <w:rStyle w:val="Emphasis"/>
        </w:rPr>
        <w:lastRenderedPageBreak/>
        <w:t>countries, technology has been found to hurt economic growth</w:t>
      </w:r>
      <w:r w:rsidR="0098356F" w:rsidRPr="00701D17">
        <w:rPr>
          <w:rStyle w:val="Emphasis"/>
        </w:rPr>
        <w:t xml:space="preserve"> </w:t>
      </w:r>
      <w:r w:rsidR="0098356F" w:rsidRPr="00701D17">
        <w:rPr>
          <w:rStyle w:val="Emphasis"/>
        </w:rPr>
        <w:fldChar w:fldCharType="begin"/>
      </w:r>
      <w:r w:rsidR="0098356F" w:rsidRPr="00701D17">
        <w:rPr>
          <w:rStyle w:val="Emphasis"/>
        </w:rPr>
        <w:instrText xml:space="preserve"> ADDIN EN.CITE &lt;EndNote&gt;&lt;Cite&gt;&lt;Author&gt;Jammeh&lt;/Author&gt;&lt;Year&gt;2022&lt;/Year&gt;&lt;RecNum&gt;6&lt;/RecNum&gt;&lt;DisplayText&gt;[5]&lt;/DisplayText&gt;&lt;record&gt;&lt;rec-number&gt;6&lt;/rec-number&gt;&lt;foreign-keys&gt;&lt;key app="EN" db-id="dzdesfex4asa0gexvamvtvxszs955090fzex" timestamp="1729488661"&gt;6&lt;/key&gt;&lt;/foreign-keys&gt;&lt;ref-type name="Journal Article"&gt;17&lt;/ref-type&gt;&lt;contributors&gt;&lt;authors&gt;&lt;author&gt;Jammeh, Ismaila Y.&lt;/author&gt;&lt;/authors&gt;&lt;/contributors&gt;&lt;titles&gt;&lt;title&gt;The effect of technological innovation on economic growth: Evidence from ECOWAS countries&lt;/title&gt;&lt;secondary-title&gt;International Journal of Social Sciences Perspectives&lt;/secondary-title&gt;&lt;/titles&gt;&lt;periodical&gt;&lt;full-title&gt;International Journal of Social Sciences Perspectives&lt;/full-title&gt;&lt;/periodical&gt;&lt;pages&gt;1-10&lt;/pages&gt;&lt;volume&gt;11&lt;/volume&gt;&lt;number&gt;1&lt;/number&gt;&lt;dates&gt;&lt;year&gt;2022&lt;/year&gt;&lt;/dates&gt;&lt;publisher&gt;Online Academic Press&lt;/publisher&gt;&lt;isbn&gt;2577-7750&lt;/isbn&gt;&lt;urls&gt;&lt;/urls&gt;&lt;/record&gt;&lt;/Cite&gt;&lt;/EndNote&gt;</w:instrText>
      </w:r>
      <w:r w:rsidR="0098356F" w:rsidRPr="00701D17">
        <w:rPr>
          <w:rStyle w:val="Emphasis"/>
        </w:rPr>
        <w:fldChar w:fldCharType="separate"/>
      </w:r>
      <w:r w:rsidR="0098356F" w:rsidRPr="00701D17">
        <w:rPr>
          <w:rStyle w:val="Emphasis"/>
        </w:rPr>
        <w:t>[5]</w:t>
      </w:r>
      <w:r w:rsidR="0098356F" w:rsidRPr="00701D17">
        <w:rPr>
          <w:rStyle w:val="Emphasis"/>
        </w:rPr>
        <w:fldChar w:fldCharType="end"/>
      </w:r>
      <w:r w:rsidR="0098356F" w:rsidRPr="00701D17">
        <w:rPr>
          <w:rStyle w:val="Emphasis"/>
        </w:rPr>
        <w:t>.</w:t>
      </w:r>
      <w:r w:rsidRPr="00701D17">
        <w:rPr>
          <w:rStyle w:val="Emphasis"/>
        </w:rPr>
        <w:t xml:space="preserve"> In addition, the effectiveness of technological innovation in stimulating economic growth can be influenced by factors such as institutions, human resource development, and the ability to formulate and implement policies that promote innovation</w:t>
      </w:r>
      <w:r w:rsidR="0098356F" w:rsidRPr="00701D17">
        <w:rPr>
          <w:rStyle w:val="Emphasis"/>
        </w:rPr>
        <w:t xml:space="preserve"> </w:t>
      </w:r>
      <w:r w:rsidR="0098356F" w:rsidRPr="00701D17">
        <w:rPr>
          <w:rStyle w:val="Emphasis"/>
        </w:rPr>
        <w:fldChar w:fldCharType="begin"/>
      </w:r>
      <w:r w:rsidR="0098356F" w:rsidRPr="00701D17">
        <w:rPr>
          <w:rStyle w:val="Emphasis"/>
        </w:rPr>
        <w:instrText xml:space="preserve"> ADDIN EN.CITE &lt;EndNote&gt;&lt;Cite&gt;&lt;Author&gt;Jin-Xiu&lt;/Author&gt;&lt;RecNum&gt;7&lt;/RecNum&gt;&lt;DisplayText&gt;[6]&lt;/DisplayText&gt;&lt;record&gt;&lt;rec-number&gt;7&lt;/rec-number&gt;&lt;foreign-keys&gt;&lt;key app="EN" db-id="dzdesfex4asa0gexvamvtvxszs955090fzex" timestamp="1729488719"&gt;7&lt;/key&gt;&lt;/foreign-keys&gt;&lt;ref-type name="Conference Proceedings"&gt;10&lt;/ref-type&gt;&lt;contributors&gt;&lt;authors&gt;&lt;author&gt;Jin-Xiu, Zhao&lt;/author&gt;&lt;/authors&gt;&lt;/contributors&gt;&lt;titles&gt;&lt;title&gt;An Empirical Study on the Impact of Technological Innovation on Economic Growth—Taking Shandong Province as an Example&lt;/title&gt;&lt;alt-title&gt;4th Annual International Conference on Social Science and Contemporary Humanity Development (SSCHD 2018)&lt;/alt-title&gt;&lt;/titles&gt;&lt;pages&gt;454-457&lt;/pages&gt;&lt;dates&gt;&lt;pub-dates&gt;&lt;date&gt;2019&lt;/date&gt;&lt;/pub-dates&gt;&lt;/dates&gt;&lt;publisher&gt;Atlantis Press&lt;/publisher&gt;&lt;isbn&gt;9462526591&lt;/isbn&gt;&lt;urls&gt;&lt;/urls&gt;&lt;/record&gt;&lt;/Cite&gt;&lt;/EndNote&gt;</w:instrText>
      </w:r>
      <w:r w:rsidR="0098356F" w:rsidRPr="00701D17">
        <w:rPr>
          <w:rStyle w:val="Emphasis"/>
        </w:rPr>
        <w:fldChar w:fldCharType="separate"/>
      </w:r>
      <w:r w:rsidR="0098356F" w:rsidRPr="00701D17">
        <w:rPr>
          <w:rStyle w:val="Emphasis"/>
        </w:rPr>
        <w:t>[6]</w:t>
      </w:r>
      <w:r w:rsidR="0098356F" w:rsidRPr="00701D17">
        <w:rPr>
          <w:rStyle w:val="Emphasis"/>
        </w:rPr>
        <w:fldChar w:fldCharType="end"/>
      </w:r>
      <w:r w:rsidR="0098356F" w:rsidRPr="00701D17">
        <w:rPr>
          <w:rStyle w:val="Emphasis"/>
        </w:rPr>
        <w:t>.</w:t>
      </w:r>
      <w:r w:rsidRPr="00701D17">
        <w:rPr>
          <w:rStyle w:val="Emphasis"/>
        </w:rPr>
        <w:t xml:space="preserve"> While technology is vital in driving economic growth, its impact can be influenced by various factors and contexts.</w:t>
      </w:r>
    </w:p>
    <w:p w14:paraId="7BEB9CC9" w14:textId="77777777" w:rsidR="009D755F" w:rsidRPr="00701D17" w:rsidRDefault="009D755F" w:rsidP="00701D17">
      <w:pPr>
        <w:pStyle w:val="Paragraph"/>
        <w:rPr>
          <w:rStyle w:val="Emphasis"/>
        </w:rPr>
      </w:pPr>
      <w:r w:rsidRPr="00701D17">
        <w:rPr>
          <w:rStyle w:val="Emphasis"/>
        </w:rPr>
        <w:t>ASEAN is a region where several countries, such as Indonesia, Malaysia, Philippines, and Thailand, have abundant availability of capital, natural resources, and human resources. According to the classical school, the country should have a potential level of economic growth when talking about economic growth. Singapore is one of the countries in the ASEAN region that has much less availability of human resources and natural resources compared to other countries, but when it comes to economic growth, Singapore is an ASEAN country that has relatively good economic growth; this is due, in part, to the use of technology and sound research.</w:t>
      </w:r>
    </w:p>
    <w:p w14:paraId="18EAB68B" w14:textId="77777777" w:rsidR="009D755F" w:rsidRPr="00701D17" w:rsidRDefault="009D755F" w:rsidP="00701D17">
      <w:pPr>
        <w:pStyle w:val="Paragraph"/>
        <w:rPr>
          <w:rStyle w:val="Emphasis"/>
        </w:rPr>
      </w:pPr>
      <w:r w:rsidRPr="00701D17">
        <w:rPr>
          <w:rStyle w:val="Emphasis"/>
        </w:rPr>
        <w:t>Singapore's success in maintaining economic growth and high per capita income by utilizing science and technology has made other ASEAN countries also begin to concentrate on using technology to increase economic growth; this is why ASEAN was chosen as the object of research: Most countries in the ASEAN region have abundant natural and human resources and are starting to concentrate on using technology to support economic growth.</w:t>
      </w:r>
    </w:p>
    <w:p w14:paraId="7F69BF25" w14:textId="77777777" w:rsidR="009D755F" w:rsidRPr="00701D17" w:rsidRDefault="009D755F" w:rsidP="00701D17">
      <w:pPr>
        <w:pStyle w:val="Paragraph"/>
        <w:rPr>
          <w:rStyle w:val="Emphasis"/>
        </w:rPr>
      </w:pPr>
      <w:r w:rsidRPr="00701D17">
        <w:rPr>
          <w:rStyle w:val="Emphasis"/>
        </w:rPr>
        <w:t>Various levels of society must refrain from using mobile phones in the era of globalization. The existence of a mobile phone is a primary need for the lifestyle of modern society. Mobile phones are more than to facilitate communication; in the modern era, mobile phones also determine the course of economic activities in a country. The ease, security, and effectiveness of transactions in the modern era are also determined by the people of a country's use of mobile phones.</w:t>
      </w:r>
    </w:p>
    <w:p w14:paraId="16D6E7AE" w14:textId="77777777" w:rsidR="009D755F" w:rsidRPr="00701D17" w:rsidRDefault="009D755F" w:rsidP="00701D17">
      <w:pPr>
        <w:pStyle w:val="Paragraph"/>
        <w:rPr>
          <w:rStyle w:val="Emphasis"/>
        </w:rPr>
      </w:pPr>
      <w:r w:rsidRPr="00701D17">
        <w:rPr>
          <w:rStyle w:val="Emphasis"/>
        </w:rPr>
        <w:t>The costs of using intellectual property rights provide a dilemma in their implementation, especially in developing countries. On the one hand, these costs will cause additional costs from the use of goods or services that are being consumed by the public so that it is not uncommon for people's consumption interest to decrease or even give rise to imitation products to serve the public's needs for goods or services. On the other hand, the cost of using intellectual property rights stimulates someone to conduct necessary research and discoveries where the results can increase the country's economic growth, directly or indirectly.</w:t>
      </w:r>
    </w:p>
    <w:p w14:paraId="4D82ADCA" w14:textId="77777777" w:rsidR="009D755F" w:rsidRPr="00701D17" w:rsidRDefault="009D755F" w:rsidP="00701D17">
      <w:pPr>
        <w:pStyle w:val="Paragraph"/>
        <w:rPr>
          <w:rStyle w:val="Emphasis"/>
        </w:rPr>
      </w:pPr>
      <w:r w:rsidRPr="00701D17">
        <w:rPr>
          <w:rStyle w:val="Emphasis"/>
        </w:rPr>
        <w:t>Patents are an inseparable part of a researcher continuing to develop their expertise. Technology and discoveries produced by a person or business entity are expected to accelerate economic growth in a country.</w:t>
      </w:r>
    </w:p>
    <w:p w14:paraId="60CBAED3" w14:textId="29520556" w:rsidR="00CB1FE9" w:rsidRPr="00701D17" w:rsidRDefault="009D755F" w:rsidP="00A95B7C">
      <w:pPr>
        <w:pStyle w:val="Paragraph"/>
        <w:rPr>
          <w:rStyle w:val="Emphasis"/>
        </w:rPr>
      </w:pPr>
      <w:r w:rsidRPr="00701D17">
        <w:rPr>
          <w:rStyle w:val="Emphasis"/>
        </w:rPr>
        <w:t>Various kinds of research have comprehensively discussed the causes or impacts of economic growth through several economic perspectives ranging from macroeconomics, microeconomics, geopolitics, financial instruments, and monetary or fiscal. However, it is still rare to find research that specifically discusses technology and science related to economic growth from a short-term and long-term perspective. This research will be even more interesting, considering that technology and science are variables that can accelerate economic growth in several developed countries. Meanwhile, in this research, the object discussed in developing countries, namely ASEAN, which in the last few decades has experienced quite significant economic growth. The research will look at how much effect the use and utilization of technology and science have on mobile phone ownership, the cost of using intellectual property, and the number of patents on ASEAN economic growth in the long and short term.</w:t>
      </w:r>
    </w:p>
    <w:p w14:paraId="590C3C2B" w14:textId="078523CF" w:rsidR="00EA50A7" w:rsidRPr="00A50F32" w:rsidRDefault="00EA50A7" w:rsidP="00784F94">
      <w:pPr>
        <w:pStyle w:val="Heading1"/>
        <w:rPr>
          <w:color w:val="FF0000"/>
        </w:rPr>
      </w:pPr>
      <w:r w:rsidRPr="00A50F32">
        <w:t>METHODS</w:t>
      </w:r>
    </w:p>
    <w:p w14:paraId="61C66052" w14:textId="7A35E25C" w:rsidR="009D755F" w:rsidRPr="00701D17" w:rsidRDefault="009D755F" w:rsidP="00EE1365">
      <w:pPr>
        <w:ind w:firstLine="284"/>
        <w:jc w:val="both"/>
        <w:rPr>
          <w:rStyle w:val="Emphasis"/>
          <w:rFonts w:eastAsiaTheme="minorEastAsia"/>
        </w:rPr>
      </w:pPr>
      <w:r w:rsidRPr="00701D17">
        <w:rPr>
          <w:rStyle w:val="Emphasis"/>
        </w:rPr>
        <w:t xml:space="preserve">Assume </w:t>
      </w:r>
      <m:oMath>
        <m:sSub>
          <m:sSubPr>
            <m:ctrlPr>
              <w:rPr>
                <w:rStyle w:val="Emphasis"/>
                <w:rFonts w:ascii="Cambria Math" w:hAnsi="Cambria Math"/>
              </w:rPr>
            </m:ctrlPr>
          </m:sSubPr>
          <m:e>
            <m:r>
              <w:rPr>
                <w:rStyle w:val="Emphasis"/>
                <w:rFonts w:ascii="Cambria Math" w:hAnsi="Cambria Math"/>
              </w:rPr>
              <m:t>y</m:t>
            </m:r>
          </m:e>
          <m:sub>
            <m:r>
              <w:rPr>
                <w:rStyle w:val="Emphasis"/>
                <w:rFonts w:ascii="Cambria Math" w:hAnsi="Cambria Math"/>
              </w:rPr>
              <m:t>t</m:t>
            </m:r>
          </m:sub>
        </m:sSub>
        <m:r>
          <w:rPr>
            <w:rStyle w:val="Emphasis"/>
            <w:rFonts w:ascii="Cambria Math" w:hAnsi="Cambria Math"/>
          </w:rPr>
          <m:t>=(</m:t>
        </m:r>
        <m:sSub>
          <m:sSubPr>
            <m:ctrlPr>
              <w:rPr>
                <w:rStyle w:val="Emphasis"/>
                <w:rFonts w:ascii="Cambria Math" w:hAnsi="Cambria Math"/>
              </w:rPr>
            </m:ctrlPr>
          </m:sSubPr>
          <m:e>
            <m:r>
              <w:rPr>
                <w:rStyle w:val="Emphasis"/>
                <w:rFonts w:ascii="Cambria Math" w:hAnsi="Cambria Math"/>
              </w:rPr>
              <m:t>y</m:t>
            </m:r>
          </m:e>
          <m:sub>
            <m:r>
              <w:rPr>
                <w:rStyle w:val="Emphasis"/>
                <w:rFonts w:ascii="Cambria Math" w:hAnsi="Cambria Math"/>
              </w:rPr>
              <m:t>1t</m:t>
            </m:r>
          </m:sub>
        </m:sSub>
        <m:r>
          <w:rPr>
            <w:rStyle w:val="Emphasis"/>
            <w:rFonts w:ascii="Cambria Math" w:hAnsi="Cambria Math"/>
          </w:rPr>
          <m:t xml:space="preserve">,  </m:t>
        </m:r>
        <m:sSub>
          <m:sSubPr>
            <m:ctrlPr>
              <w:rPr>
                <w:rStyle w:val="Emphasis"/>
                <w:rFonts w:ascii="Cambria Math" w:hAnsi="Cambria Math"/>
              </w:rPr>
            </m:ctrlPr>
          </m:sSubPr>
          <m:e>
            <m:r>
              <w:rPr>
                <w:rStyle w:val="Emphasis"/>
                <w:rFonts w:ascii="Cambria Math" w:hAnsi="Cambria Math"/>
              </w:rPr>
              <m:t>y</m:t>
            </m:r>
          </m:e>
          <m:sub>
            <m:r>
              <w:rPr>
                <w:rStyle w:val="Emphasis"/>
                <w:rFonts w:ascii="Cambria Math" w:hAnsi="Cambria Math"/>
              </w:rPr>
              <m:t>2t</m:t>
            </m:r>
          </m:sub>
        </m:sSub>
        <m:r>
          <w:rPr>
            <w:rStyle w:val="Emphasis"/>
            <w:rFonts w:ascii="Cambria Math" w:hAnsi="Cambria Math"/>
          </w:rPr>
          <m:t xml:space="preserve">,  </m:t>
        </m:r>
        <m:sSub>
          <m:sSubPr>
            <m:ctrlPr>
              <w:rPr>
                <w:rStyle w:val="Emphasis"/>
                <w:rFonts w:ascii="Cambria Math" w:hAnsi="Cambria Math"/>
              </w:rPr>
            </m:ctrlPr>
          </m:sSubPr>
          <m:e>
            <m:r>
              <w:rPr>
                <w:rStyle w:val="Emphasis"/>
                <w:rFonts w:ascii="Cambria Math" w:hAnsi="Cambria Math"/>
              </w:rPr>
              <m:t>y</m:t>
            </m:r>
          </m:e>
          <m:sub>
            <m:r>
              <w:rPr>
                <w:rStyle w:val="Emphasis"/>
                <w:rFonts w:ascii="Cambria Math" w:hAnsi="Cambria Math"/>
              </w:rPr>
              <m:t>kt</m:t>
            </m:r>
          </m:sub>
        </m:sSub>
        <m:r>
          <w:rPr>
            <w:rStyle w:val="Emphasis"/>
            <w:rFonts w:ascii="Cambria Math" w:hAnsi="Cambria Math"/>
          </w:rPr>
          <m:t>)</m:t>
        </m:r>
      </m:oMath>
      <w:r w:rsidR="0082600A" w:rsidRPr="00701D17">
        <w:rPr>
          <w:rStyle w:val="Emphasis"/>
          <w:rFonts w:eastAsiaTheme="minorEastAsia"/>
        </w:rPr>
        <w:t>Is</w:t>
      </w:r>
      <w:r w:rsidRPr="00701D17">
        <w:rPr>
          <w:rStyle w:val="Emphasis"/>
          <w:rFonts w:eastAsiaTheme="minorEastAsia"/>
        </w:rPr>
        <w:t xml:space="preserve"> the k-dimensional stochastic time series data with </w:t>
      </w:r>
      <m:oMath>
        <m:r>
          <w:rPr>
            <w:rStyle w:val="Emphasis"/>
            <w:rFonts w:ascii="Cambria Math" w:eastAsiaTheme="minorEastAsia" w:hAnsi="Cambria Math"/>
          </w:rPr>
          <m:t>t=1,2,3,…,T</m:t>
        </m:r>
      </m:oMath>
      <w:r w:rsidRPr="00701D17">
        <w:rPr>
          <w:rStyle w:val="Emphasis"/>
          <w:rFonts w:eastAsiaTheme="minorEastAsia"/>
        </w:rPr>
        <w:t xml:space="preserve"> for each </w:t>
      </w:r>
      <m:oMath>
        <m:sSub>
          <m:sSubPr>
            <m:ctrlPr>
              <w:rPr>
                <w:rStyle w:val="Emphasis"/>
                <w:rFonts w:ascii="Cambria Math" w:hAnsi="Cambria Math"/>
              </w:rPr>
            </m:ctrlPr>
          </m:sSubPr>
          <m:e>
            <m:r>
              <w:rPr>
                <w:rStyle w:val="Emphasis"/>
                <w:rFonts w:ascii="Cambria Math" w:hAnsi="Cambria Math"/>
              </w:rPr>
              <m:t>y</m:t>
            </m:r>
          </m:e>
          <m:sub>
            <m:r>
              <w:rPr>
                <w:rStyle w:val="Emphasis"/>
                <w:rFonts w:ascii="Cambria Math" w:hAnsi="Cambria Math"/>
              </w:rPr>
              <m:t>it</m:t>
            </m:r>
          </m:sub>
        </m:sSub>
        <m:r>
          <w:rPr>
            <w:rStyle w:val="Emphasis"/>
            <w:rFonts w:ascii="Cambria Math" w:hAnsi="Cambria Math"/>
          </w:rPr>
          <m:t>∼I</m:t>
        </m:r>
        <m:d>
          <m:dPr>
            <m:ctrlPr>
              <w:rPr>
                <w:rStyle w:val="Emphasis"/>
                <w:rFonts w:ascii="Cambria Math" w:hAnsi="Cambria Math"/>
              </w:rPr>
            </m:ctrlPr>
          </m:dPr>
          <m:e>
            <m:r>
              <w:rPr>
                <w:rStyle w:val="Emphasis"/>
                <w:rFonts w:ascii="Cambria Math" w:hAnsi="Cambria Math"/>
              </w:rPr>
              <m:t>1</m:t>
            </m:r>
          </m:e>
        </m:d>
        <m:r>
          <w:rPr>
            <w:rStyle w:val="Emphasis"/>
            <w:rFonts w:ascii="Cambria Math" w:hAnsi="Cambria Math"/>
          </w:rPr>
          <m:t>,</m:t>
        </m:r>
      </m:oMath>
      <w:r w:rsidR="0082600A" w:rsidRPr="00701D17">
        <w:rPr>
          <w:rStyle w:val="Emphasis"/>
          <w:rFonts w:eastAsiaTheme="minorEastAsia"/>
        </w:rPr>
        <w:t>And</w:t>
      </w:r>
      <w:r w:rsidRPr="00701D17">
        <w:rPr>
          <w:rStyle w:val="Emphasis"/>
          <w:rFonts w:eastAsiaTheme="minorEastAsia"/>
        </w:rPr>
        <w:t xml:space="preserve"> each k is influenced by a dimensionless exogenous variable </w:t>
      </w:r>
      <m:oMath>
        <m:sSub>
          <m:sSubPr>
            <m:ctrlPr>
              <w:rPr>
                <w:rStyle w:val="Emphasis"/>
                <w:rFonts w:ascii="Cambria Math" w:hAnsi="Cambria Math"/>
              </w:rPr>
            </m:ctrlPr>
          </m:sSubPr>
          <m:e>
            <m:r>
              <w:rPr>
                <w:rStyle w:val="Emphasis"/>
                <w:rFonts w:ascii="Cambria Math" w:hAnsi="Cambria Math"/>
              </w:rPr>
              <m:t>x</m:t>
            </m:r>
          </m:e>
          <m:sub>
            <m:r>
              <w:rPr>
                <w:rStyle w:val="Emphasis"/>
                <w:rFonts w:ascii="Cambria Math" w:hAnsi="Cambria Math"/>
              </w:rPr>
              <m:t>1t</m:t>
            </m:r>
          </m:sub>
        </m:sSub>
        <m:r>
          <w:rPr>
            <w:rStyle w:val="Emphasis"/>
            <w:rFonts w:ascii="Cambria Math" w:hAnsi="Cambria Math"/>
          </w:rPr>
          <m:t xml:space="preserve">,  </m:t>
        </m:r>
        <m:sSub>
          <m:sSubPr>
            <m:ctrlPr>
              <w:rPr>
                <w:rStyle w:val="Emphasis"/>
                <w:rFonts w:ascii="Cambria Math" w:hAnsi="Cambria Math"/>
              </w:rPr>
            </m:ctrlPr>
          </m:sSubPr>
          <m:e>
            <m:r>
              <w:rPr>
                <w:rStyle w:val="Emphasis"/>
                <w:rFonts w:ascii="Cambria Math" w:hAnsi="Cambria Math"/>
              </w:rPr>
              <m:t>x</m:t>
            </m:r>
          </m:e>
          <m:sub>
            <m:r>
              <w:rPr>
                <w:rStyle w:val="Emphasis"/>
                <w:rFonts w:ascii="Cambria Math" w:hAnsi="Cambria Math"/>
              </w:rPr>
              <m:t>2t</m:t>
            </m:r>
          </m:sub>
        </m:sSub>
        <m:r>
          <w:rPr>
            <w:rStyle w:val="Emphasis"/>
            <w:rFonts w:ascii="Cambria Math" w:hAnsi="Cambria Math"/>
          </w:rPr>
          <m:t xml:space="preserve">, </m:t>
        </m:r>
        <m:sSub>
          <m:sSubPr>
            <m:ctrlPr>
              <w:rPr>
                <w:rStyle w:val="Emphasis"/>
                <w:rFonts w:ascii="Cambria Math" w:hAnsi="Cambria Math"/>
              </w:rPr>
            </m:ctrlPr>
          </m:sSubPr>
          <m:e>
            <m:r>
              <w:rPr>
                <w:rStyle w:val="Emphasis"/>
                <w:rFonts w:ascii="Cambria Math" w:hAnsi="Cambria Math"/>
              </w:rPr>
              <m:t>x</m:t>
            </m:r>
          </m:e>
          <m:sub>
            <m:r>
              <w:rPr>
                <w:rStyle w:val="Emphasis"/>
                <w:rFonts w:ascii="Cambria Math" w:hAnsi="Cambria Math"/>
              </w:rPr>
              <m:t>dt</m:t>
            </m:r>
          </m:sub>
        </m:sSub>
      </m:oMath>
      <w:r w:rsidRPr="00701D17">
        <w:rPr>
          <w:rStyle w:val="Emphasis"/>
          <w:rFonts w:eastAsiaTheme="minorEastAsia"/>
        </w:rPr>
        <w:t xml:space="preserve">. Based on these assumptions, the VAR model can be constructed following the equation (1). When </w:t>
      </w:r>
      <m:oMath>
        <m:sSub>
          <m:sSubPr>
            <m:ctrlPr>
              <w:rPr>
                <w:rStyle w:val="Emphasis"/>
                <w:rFonts w:ascii="Cambria Math" w:hAnsi="Cambria Math"/>
              </w:rPr>
            </m:ctrlPr>
          </m:sSubPr>
          <m:e>
            <m:r>
              <w:rPr>
                <w:rStyle w:val="Emphasis"/>
                <w:rFonts w:ascii="Cambria Math" w:hAnsi="Cambria Math"/>
              </w:rPr>
              <m:t>y</m:t>
            </m:r>
          </m:e>
          <m:sub>
            <m:r>
              <w:rPr>
                <w:rStyle w:val="Emphasis"/>
                <w:rFonts w:ascii="Cambria Math" w:hAnsi="Cambria Math"/>
              </w:rPr>
              <m:t>t</m:t>
            </m:r>
          </m:sub>
        </m:sSub>
      </m:oMath>
      <w:r w:rsidR="0082600A" w:rsidRPr="00701D17">
        <w:rPr>
          <w:rStyle w:val="Emphasis"/>
          <w:rFonts w:eastAsiaTheme="minorEastAsia"/>
        </w:rPr>
        <w:t>Not</w:t>
      </w:r>
      <w:r w:rsidRPr="00701D17">
        <w:rPr>
          <w:rStyle w:val="Emphasis"/>
          <w:rFonts w:eastAsiaTheme="minorEastAsia"/>
        </w:rPr>
        <w:t xml:space="preserve"> influenced by time series variables VAR model that has been constructed in Eq (1) can be formulated like an equation (2). Next, with the cointegration transformation carried out in formula 2, equation (3) is obtained.</w:t>
      </w:r>
      <w:r w:rsidRPr="00701D17">
        <w:rPr>
          <w:rStyle w:val="Emphasis"/>
        </w:rPr>
        <w:t xml:space="preserve"> </w:t>
      </w:r>
      <w:r w:rsidRPr="00701D17">
        <w:rPr>
          <w:rStyle w:val="Emphasis"/>
          <w:rFonts w:eastAsiaTheme="minorEastAsia"/>
        </w:rPr>
        <w:t xml:space="preserve">If </w:t>
      </w:r>
      <m:oMath>
        <m:sSub>
          <m:sSubPr>
            <m:ctrlPr>
              <w:rPr>
                <w:rStyle w:val="Emphasis"/>
                <w:rFonts w:ascii="Cambria Math" w:hAnsi="Cambria Math"/>
              </w:rPr>
            </m:ctrlPr>
          </m:sSubPr>
          <m:e>
            <m:r>
              <w:rPr>
                <w:rStyle w:val="Emphasis"/>
                <w:rFonts w:ascii="Cambria Math" w:eastAsiaTheme="minorEastAsia" w:hAnsi="Cambria Math"/>
              </w:rPr>
              <m:t>y</m:t>
            </m:r>
          </m:e>
          <m:sub>
            <m:r>
              <w:rPr>
                <w:rStyle w:val="Emphasis"/>
                <w:rFonts w:ascii="Cambria Math" w:eastAsiaTheme="minorEastAsia" w:hAnsi="Cambria Math"/>
              </w:rPr>
              <m:t>t</m:t>
            </m:r>
          </m:sub>
        </m:sSub>
      </m:oMath>
      <w:r w:rsidRPr="00701D17">
        <w:rPr>
          <w:rStyle w:val="Emphasis"/>
          <w:rFonts w:eastAsiaTheme="minorEastAsia"/>
        </w:rPr>
        <w:t xml:space="preserve"> has cointegration, then </w:t>
      </w:r>
      <m:oMath>
        <m:nary>
          <m:naryPr>
            <m:chr m:val="∏"/>
            <m:limLoc m:val="undOvr"/>
            <m:subHide m:val="1"/>
            <m:supHide m:val="1"/>
            <m:ctrlPr>
              <w:rPr>
                <w:rStyle w:val="Emphasis"/>
                <w:rFonts w:ascii="Cambria Math" w:hAnsi="Cambria Math"/>
              </w:rPr>
            </m:ctrlPr>
          </m:naryPr>
          <m:sub/>
          <m:sup/>
          <m:e>
            <m:sSub>
              <m:sSubPr>
                <m:ctrlPr>
                  <w:rPr>
                    <w:rStyle w:val="Emphasis"/>
                    <w:rFonts w:ascii="Cambria Math" w:hAnsi="Cambria Math"/>
                  </w:rPr>
                </m:ctrlPr>
              </m:sSubPr>
              <m:e>
                <m:r>
                  <w:rPr>
                    <w:rStyle w:val="Emphasis"/>
                    <w:rFonts w:ascii="Cambria Math" w:hAnsi="Cambria Math"/>
                  </w:rPr>
                  <m:t>y</m:t>
                </m:r>
              </m:e>
              <m:sub>
                <m:r>
                  <w:rPr>
                    <w:rStyle w:val="Emphasis"/>
                    <w:rFonts w:ascii="Cambria Math" w:hAnsi="Cambria Math"/>
                  </w:rPr>
                  <m:t>t-1</m:t>
                </m:r>
              </m:sub>
            </m:sSub>
          </m:e>
        </m:nary>
        <m:r>
          <w:rPr>
            <w:rStyle w:val="Emphasis"/>
            <w:rFonts w:ascii="Cambria Math" w:hAnsi="Cambria Math"/>
          </w:rPr>
          <m:t>∼I(0)</m:t>
        </m:r>
      </m:oMath>
      <w:r w:rsidR="00901460" w:rsidRPr="00701D17">
        <w:rPr>
          <w:rStyle w:val="Emphasis"/>
          <w:rFonts w:eastAsiaTheme="minorEastAsia"/>
        </w:rPr>
        <w:t>Moreover</w:t>
      </w:r>
      <w:r w:rsidRPr="00701D17">
        <w:rPr>
          <w:rStyle w:val="Emphasis"/>
          <w:rFonts w:eastAsiaTheme="minorEastAsia"/>
        </w:rPr>
        <w:t>, equation (3) can be written like equation (5).</w:t>
      </w:r>
    </w:p>
    <w:p w14:paraId="04B22307" w14:textId="77777777" w:rsidR="00701D17" w:rsidRDefault="00701D17" w:rsidP="009D755F">
      <w:pPr>
        <w:jc w:val="center"/>
        <w:rPr>
          <w:rFonts w:eastAsiaTheme="minorEastAsia"/>
          <w:sz w:val="20"/>
        </w:rPr>
      </w:pPr>
    </w:p>
    <w:p w14:paraId="126A0641" w14:textId="43E35EA1" w:rsidR="009D755F" w:rsidRPr="00A50F32" w:rsidRDefault="00000000" w:rsidP="009D755F">
      <w:pPr>
        <w:jc w:val="center"/>
        <w:rPr>
          <w:rFonts w:eastAsiaTheme="minorEastAsia"/>
          <w:sz w:val="20"/>
        </w:rPr>
      </w:pPr>
      <m:oMath>
        <m:sSub>
          <m:sSubPr>
            <m:ctrlPr>
              <w:rPr>
                <w:rFonts w:ascii="Cambria Math" w:hAnsi="Cambria Math"/>
                <w:i/>
                <w:sz w:val="20"/>
              </w:rPr>
            </m:ctrlPr>
          </m:sSubPr>
          <m:e>
            <m:r>
              <w:rPr>
                <w:rFonts w:ascii="Cambria Math" w:hAnsi="Cambria Math"/>
                <w:sz w:val="20"/>
              </w:rPr>
              <m:t>y</m:t>
            </m:r>
          </m:e>
          <m:sub>
            <m:r>
              <w:rPr>
                <w:rFonts w:ascii="Cambria Math" w:hAnsi="Cambria Math"/>
                <w:sz w:val="20"/>
              </w:rPr>
              <m:t>t</m:t>
            </m:r>
          </m:sub>
        </m:sSub>
        <m:r>
          <w:rPr>
            <w:rFonts w:ascii="Cambria Math" w:hAnsi="Cambria Math"/>
            <w:sz w:val="20"/>
          </w:rPr>
          <m:t>=</m:t>
        </m:r>
        <m:sSub>
          <m:sSubPr>
            <m:ctrlPr>
              <w:rPr>
                <w:rFonts w:ascii="Cambria Math" w:hAnsi="Cambria Math"/>
                <w:i/>
                <w:sz w:val="20"/>
              </w:rPr>
            </m:ctrlPr>
          </m:sSubPr>
          <m:e>
            <m:r>
              <w:rPr>
                <w:rFonts w:ascii="Cambria Math" w:hAnsi="Cambria Math"/>
                <w:sz w:val="20"/>
              </w:rPr>
              <m:t>A</m:t>
            </m:r>
          </m:e>
          <m:sub>
            <m:r>
              <w:rPr>
                <w:rFonts w:ascii="Cambria Math" w:hAnsi="Cambria Math"/>
                <w:sz w:val="20"/>
              </w:rPr>
              <m:t>1</m:t>
            </m:r>
          </m:sub>
        </m:sSub>
        <m:sSub>
          <m:sSubPr>
            <m:ctrlPr>
              <w:rPr>
                <w:rFonts w:ascii="Cambria Math" w:hAnsi="Cambria Math"/>
                <w:i/>
                <w:sz w:val="20"/>
              </w:rPr>
            </m:ctrlPr>
          </m:sSubPr>
          <m:e>
            <m:r>
              <w:rPr>
                <w:rFonts w:ascii="Cambria Math" w:hAnsi="Cambria Math"/>
                <w:sz w:val="20"/>
              </w:rPr>
              <m:t>y</m:t>
            </m:r>
          </m:e>
          <m:sub>
            <m:r>
              <w:rPr>
                <w:rFonts w:ascii="Cambria Math" w:hAnsi="Cambria Math"/>
                <w:sz w:val="20"/>
              </w:rPr>
              <m:t>t-1</m:t>
            </m:r>
          </m:sub>
        </m:sSub>
        <m:r>
          <w:rPr>
            <w:rFonts w:ascii="Cambria Math" w:hAnsi="Cambria Math"/>
            <w:sz w:val="20"/>
          </w:rPr>
          <m:t>+</m:t>
        </m:r>
        <m:sSub>
          <m:sSubPr>
            <m:ctrlPr>
              <w:rPr>
                <w:rFonts w:ascii="Cambria Math" w:hAnsi="Cambria Math"/>
                <w:i/>
                <w:sz w:val="20"/>
              </w:rPr>
            </m:ctrlPr>
          </m:sSubPr>
          <m:e>
            <m:r>
              <w:rPr>
                <w:rFonts w:ascii="Cambria Math" w:hAnsi="Cambria Math"/>
                <w:sz w:val="20"/>
              </w:rPr>
              <m:t>A</m:t>
            </m:r>
          </m:e>
          <m:sub>
            <m:r>
              <w:rPr>
                <w:rFonts w:ascii="Cambria Math" w:hAnsi="Cambria Math"/>
                <w:sz w:val="20"/>
              </w:rPr>
              <m:t>2</m:t>
            </m:r>
          </m:sub>
        </m:sSub>
        <m:sSub>
          <m:sSubPr>
            <m:ctrlPr>
              <w:rPr>
                <w:rFonts w:ascii="Cambria Math" w:hAnsi="Cambria Math"/>
                <w:i/>
                <w:sz w:val="20"/>
              </w:rPr>
            </m:ctrlPr>
          </m:sSubPr>
          <m:e>
            <m:r>
              <w:rPr>
                <w:rFonts w:ascii="Cambria Math" w:hAnsi="Cambria Math"/>
                <w:sz w:val="20"/>
              </w:rPr>
              <m:t>y</m:t>
            </m:r>
          </m:e>
          <m:sub>
            <m:r>
              <w:rPr>
                <w:rFonts w:ascii="Cambria Math" w:hAnsi="Cambria Math"/>
                <w:sz w:val="20"/>
              </w:rPr>
              <m:t>t-2</m:t>
            </m:r>
          </m:sub>
        </m:sSub>
        <m:r>
          <w:rPr>
            <w:rFonts w:ascii="Cambria Math" w:hAnsi="Cambria Math"/>
            <w:sz w:val="20"/>
          </w:rPr>
          <m:t>+</m:t>
        </m:r>
        <m:r>
          <w:rPr>
            <w:rFonts w:ascii="Cambria Math" w:eastAsiaTheme="minorEastAsia" w:hAnsi="Cambria Math"/>
            <w:sz w:val="20"/>
          </w:rPr>
          <m:t>…+</m:t>
        </m:r>
        <m:sSub>
          <m:sSubPr>
            <m:ctrlPr>
              <w:rPr>
                <w:rFonts w:ascii="Cambria Math" w:hAnsi="Cambria Math"/>
                <w:i/>
                <w:sz w:val="20"/>
              </w:rPr>
            </m:ctrlPr>
          </m:sSubPr>
          <m:e>
            <m:r>
              <w:rPr>
                <w:rFonts w:ascii="Cambria Math" w:hAnsi="Cambria Math"/>
                <w:sz w:val="20"/>
              </w:rPr>
              <m:t>A</m:t>
            </m:r>
          </m:e>
          <m:sub>
            <m:r>
              <w:rPr>
                <w:rFonts w:ascii="Cambria Math" w:hAnsi="Cambria Math"/>
                <w:sz w:val="20"/>
              </w:rPr>
              <m:t>p</m:t>
            </m:r>
          </m:sub>
        </m:sSub>
        <m:sSub>
          <m:sSubPr>
            <m:ctrlPr>
              <w:rPr>
                <w:rFonts w:ascii="Cambria Math" w:hAnsi="Cambria Math"/>
                <w:i/>
                <w:sz w:val="20"/>
              </w:rPr>
            </m:ctrlPr>
          </m:sSubPr>
          <m:e>
            <m:r>
              <w:rPr>
                <w:rFonts w:ascii="Cambria Math" w:hAnsi="Cambria Math"/>
                <w:sz w:val="20"/>
              </w:rPr>
              <m:t>y</m:t>
            </m:r>
          </m:e>
          <m:sub>
            <m:r>
              <w:rPr>
                <w:rFonts w:ascii="Cambria Math" w:hAnsi="Cambria Math"/>
                <w:sz w:val="20"/>
              </w:rPr>
              <m:t>t-p</m:t>
            </m:r>
          </m:sub>
        </m:sSub>
        <m:r>
          <w:rPr>
            <w:rFonts w:ascii="Cambria Math" w:hAnsi="Cambria Math"/>
            <w:sz w:val="20"/>
          </w:rPr>
          <m:t>+B</m:t>
        </m:r>
        <m:sSub>
          <m:sSubPr>
            <m:ctrlPr>
              <w:rPr>
                <w:rFonts w:ascii="Cambria Math" w:hAnsi="Cambria Math"/>
                <w:i/>
                <w:sz w:val="20"/>
              </w:rPr>
            </m:ctrlPr>
          </m:sSubPr>
          <m:e>
            <m:r>
              <w:rPr>
                <w:rFonts w:ascii="Cambria Math" w:hAnsi="Cambria Math"/>
                <w:sz w:val="20"/>
              </w:rPr>
              <m:t>x</m:t>
            </m:r>
          </m:e>
          <m:sub>
            <m:r>
              <w:rPr>
                <w:rFonts w:ascii="Cambria Math" w:hAnsi="Cambria Math"/>
                <w:sz w:val="20"/>
              </w:rPr>
              <m:t>t</m:t>
            </m:r>
          </m:sub>
        </m:sSub>
        <m:r>
          <w:rPr>
            <w:rFonts w:ascii="Cambria Math" w:hAnsi="Cambria Math"/>
            <w:sz w:val="20"/>
          </w:rPr>
          <m:t>+</m:t>
        </m:r>
        <m:sSub>
          <m:sSubPr>
            <m:ctrlPr>
              <w:rPr>
                <w:rFonts w:ascii="Cambria Math" w:hAnsi="Cambria Math"/>
                <w:i/>
                <w:sz w:val="20"/>
              </w:rPr>
            </m:ctrlPr>
          </m:sSubPr>
          <m:e>
            <m:r>
              <w:rPr>
                <w:rFonts w:ascii="Cambria Math" w:hAnsi="Cambria Math"/>
                <w:sz w:val="20"/>
              </w:rPr>
              <m:t>μ</m:t>
            </m:r>
          </m:e>
          <m:sub>
            <m:r>
              <w:rPr>
                <w:rFonts w:ascii="Cambria Math" w:hAnsi="Cambria Math"/>
                <w:sz w:val="20"/>
              </w:rPr>
              <m:t>t</m:t>
            </m:r>
          </m:sub>
        </m:sSub>
      </m:oMath>
      <w:r w:rsidR="00EE1365">
        <w:rPr>
          <w:rFonts w:eastAsiaTheme="minorEastAsia"/>
          <w:sz w:val="20"/>
        </w:rPr>
        <w:t xml:space="preserve"> </w:t>
      </w:r>
      <w:r w:rsidR="00EE1365">
        <w:rPr>
          <w:rFonts w:eastAsiaTheme="minorEastAsia"/>
          <w:sz w:val="20"/>
        </w:rPr>
        <w:tab/>
      </w:r>
      <w:r w:rsidR="00EE1365">
        <w:rPr>
          <w:rFonts w:eastAsiaTheme="minorEastAsia"/>
          <w:sz w:val="20"/>
        </w:rPr>
        <w:tab/>
      </w:r>
      <w:r w:rsidR="00EE1365">
        <w:rPr>
          <w:rFonts w:eastAsiaTheme="minorEastAsia"/>
          <w:sz w:val="20"/>
        </w:rPr>
        <w:tab/>
      </w:r>
      <w:r w:rsidR="00EE1365">
        <w:rPr>
          <w:rFonts w:eastAsiaTheme="minorEastAsia"/>
          <w:sz w:val="20"/>
        </w:rPr>
        <w:tab/>
      </w:r>
      <w:r w:rsidR="00EE1365">
        <w:rPr>
          <w:rFonts w:eastAsiaTheme="minorEastAsia"/>
          <w:sz w:val="20"/>
        </w:rPr>
        <w:tab/>
      </w:r>
      <w:r w:rsidR="00EE1365">
        <w:rPr>
          <w:rFonts w:eastAsiaTheme="minorEastAsia"/>
          <w:sz w:val="20"/>
        </w:rPr>
        <w:tab/>
      </w:r>
      <w:r w:rsidR="00EE1365">
        <w:rPr>
          <w:rFonts w:eastAsiaTheme="minorEastAsia"/>
          <w:sz w:val="20"/>
        </w:rPr>
        <w:tab/>
        <w:t xml:space="preserve">        </w:t>
      </w:r>
      <w:r w:rsidR="00EE1365" w:rsidRPr="00A50F32">
        <w:rPr>
          <w:rFonts w:eastAsiaTheme="minorEastAsia"/>
          <w:sz w:val="20"/>
        </w:rPr>
        <w:t xml:space="preserve"> </w:t>
      </w:r>
      <w:r w:rsidR="009D755F" w:rsidRPr="00A50F32">
        <w:rPr>
          <w:rFonts w:eastAsiaTheme="minorEastAsia"/>
          <w:sz w:val="20"/>
        </w:rPr>
        <w:t>(1)</w:t>
      </w:r>
    </w:p>
    <w:p w14:paraId="087EA4A3" w14:textId="09E4F115" w:rsidR="009D755F" w:rsidRPr="00A50F32" w:rsidRDefault="00000000" w:rsidP="009D755F">
      <w:pPr>
        <w:jc w:val="center"/>
        <w:rPr>
          <w:rFonts w:eastAsiaTheme="minorEastAsia"/>
          <w:sz w:val="20"/>
        </w:rPr>
      </w:pPr>
      <m:oMath>
        <m:sSub>
          <m:sSubPr>
            <m:ctrlPr>
              <w:rPr>
                <w:rFonts w:ascii="Cambria Math" w:hAnsi="Cambria Math"/>
                <w:i/>
                <w:sz w:val="20"/>
              </w:rPr>
            </m:ctrlPr>
          </m:sSubPr>
          <m:e>
            <m:r>
              <w:rPr>
                <w:rFonts w:ascii="Cambria Math" w:hAnsi="Cambria Math"/>
                <w:sz w:val="20"/>
              </w:rPr>
              <m:t>y</m:t>
            </m:r>
          </m:e>
          <m:sub>
            <m:r>
              <w:rPr>
                <w:rFonts w:ascii="Cambria Math" w:hAnsi="Cambria Math"/>
                <w:sz w:val="20"/>
              </w:rPr>
              <m:t>t</m:t>
            </m:r>
          </m:sub>
        </m:sSub>
        <m:r>
          <w:rPr>
            <w:rFonts w:ascii="Cambria Math" w:hAnsi="Cambria Math"/>
            <w:sz w:val="20"/>
          </w:rPr>
          <m:t>=</m:t>
        </m:r>
        <m:sSub>
          <m:sSubPr>
            <m:ctrlPr>
              <w:rPr>
                <w:rFonts w:ascii="Cambria Math" w:hAnsi="Cambria Math"/>
                <w:i/>
                <w:sz w:val="20"/>
              </w:rPr>
            </m:ctrlPr>
          </m:sSubPr>
          <m:e>
            <m:r>
              <w:rPr>
                <w:rFonts w:ascii="Cambria Math" w:hAnsi="Cambria Math"/>
                <w:sz w:val="20"/>
              </w:rPr>
              <m:t>A</m:t>
            </m:r>
          </m:e>
          <m:sub>
            <m:r>
              <w:rPr>
                <w:rFonts w:ascii="Cambria Math" w:hAnsi="Cambria Math"/>
                <w:sz w:val="20"/>
              </w:rPr>
              <m:t>1</m:t>
            </m:r>
          </m:sub>
        </m:sSub>
        <m:sSub>
          <m:sSubPr>
            <m:ctrlPr>
              <w:rPr>
                <w:rFonts w:ascii="Cambria Math" w:hAnsi="Cambria Math"/>
                <w:i/>
                <w:sz w:val="20"/>
              </w:rPr>
            </m:ctrlPr>
          </m:sSubPr>
          <m:e>
            <m:r>
              <w:rPr>
                <w:rFonts w:ascii="Cambria Math" w:hAnsi="Cambria Math"/>
                <w:sz w:val="20"/>
              </w:rPr>
              <m:t>y</m:t>
            </m:r>
          </m:e>
          <m:sub>
            <m:r>
              <w:rPr>
                <w:rFonts w:ascii="Cambria Math" w:hAnsi="Cambria Math"/>
                <w:sz w:val="20"/>
              </w:rPr>
              <m:t>t-1</m:t>
            </m:r>
          </m:sub>
        </m:sSub>
        <m:r>
          <w:rPr>
            <w:rFonts w:ascii="Cambria Math" w:hAnsi="Cambria Math"/>
            <w:sz w:val="20"/>
          </w:rPr>
          <m:t>+</m:t>
        </m:r>
        <m:sSub>
          <m:sSubPr>
            <m:ctrlPr>
              <w:rPr>
                <w:rFonts w:ascii="Cambria Math" w:hAnsi="Cambria Math"/>
                <w:i/>
                <w:sz w:val="20"/>
              </w:rPr>
            </m:ctrlPr>
          </m:sSubPr>
          <m:e>
            <m:r>
              <w:rPr>
                <w:rFonts w:ascii="Cambria Math" w:hAnsi="Cambria Math"/>
                <w:sz w:val="20"/>
              </w:rPr>
              <m:t>A</m:t>
            </m:r>
          </m:e>
          <m:sub>
            <m:r>
              <w:rPr>
                <w:rFonts w:ascii="Cambria Math" w:hAnsi="Cambria Math"/>
                <w:sz w:val="20"/>
              </w:rPr>
              <m:t>2</m:t>
            </m:r>
          </m:sub>
        </m:sSub>
        <m:sSub>
          <m:sSubPr>
            <m:ctrlPr>
              <w:rPr>
                <w:rFonts w:ascii="Cambria Math" w:hAnsi="Cambria Math"/>
                <w:i/>
                <w:sz w:val="20"/>
              </w:rPr>
            </m:ctrlPr>
          </m:sSubPr>
          <m:e>
            <m:r>
              <w:rPr>
                <w:rFonts w:ascii="Cambria Math" w:hAnsi="Cambria Math"/>
                <w:sz w:val="20"/>
              </w:rPr>
              <m:t>y</m:t>
            </m:r>
          </m:e>
          <m:sub>
            <m:r>
              <w:rPr>
                <w:rFonts w:ascii="Cambria Math" w:hAnsi="Cambria Math"/>
                <w:sz w:val="20"/>
              </w:rPr>
              <m:t>t-2</m:t>
            </m:r>
          </m:sub>
        </m:sSub>
        <m:r>
          <w:rPr>
            <w:rFonts w:ascii="Cambria Math" w:hAnsi="Cambria Math"/>
            <w:sz w:val="20"/>
          </w:rPr>
          <m:t>+</m:t>
        </m:r>
        <m:r>
          <w:rPr>
            <w:rFonts w:ascii="Cambria Math" w:eastAsiaTheme="minorEastAsia" w:hAnsi="Cambria Math"/>
            <w:sz w:val="20"/>
          </w:rPr>
          <m:t>…+</m:t>
        </m:r>
        <m:sSub>
          <m:sSubPr>
            <m:ctrlPr>
              <w:rPr>
                <w:rFonts w:ascii="Cambria Math" w:hAnsi="Cambria Math"/>
                <w:i/>
                <w:sz w:val="20"/>
              </w:rPr>
            </m:ctrlPr>
          </m:sSubPr>
          <m:e>
            <m:r>
              <w:rPr>
                <w:rFonts w:ascii="Cambria Math" w:hAnsi="Cambria Math"/>
                <w:sz w:val="20"/>
              </w:rPr>
              <m:t>A</m:t>
            </m:r>
          </m:e>
          <m:sub>
            <m:r>
              <w:rPr>
                <w:rFonts w:ascii="Cambria Math" w:hAnsi="Cambria Math"/>
                <w:sz w:val="20"/>
              </w:rPr>
              <m:t>p</m:t>
            </m:r>
          </m:sub>
        </m:sSub>
        <m:sSub>
          <m:sSubPr>
            <m:ctrlPr>
              <w:rPr>
                <w:rFonts w:ascii="Cambria Math" w:hAnsi="Cambria Math"/>
                <w:i/>
                <w:sz w:val="20"/>
              </w:rPr>
            </m:ctrlPr>
          </m:sSubPr>
          <m:e>
            <m:r>
              <w:rPr>
                <w:rFonts w:ascii="Cambria Math" w:hAnsi="Cambria Math"/>
                <w:sz w:val="20"/>
              </w:rPr>
              <m:t>y</m:t>
            </m:r>
          </m:e>
          <m:sub>
            <m:r>
              <w:rPr>
                <w:rFonts w:ascii="Cambria Math" w:hAnsi="Cambria Math"/>
                <w:sz w:val="20"/>
              </w:rPr>
              <m:t>t-p</m:t>
            </m:r>
          </m:sub>
        </m:sSub>
        <m:r>
          <w:rPr>
            <w:rFonts w:ascii="Cambria Math" w:hAnsi="Cambria Math"/>
            <w:sz w:val="20"/>
          </w:rPr>
          <m:t>+</m:t>
        </m:r>
        <m:sSub>
          <m:sSubPr>
            <m:ctrlPr>
              <w:rPr>
                <w:rFonts w:ascii="Cambria Math" w:hAnsi="Cambria Math"/>
                <w:i/>
                <w:sz w:val="20"/>
              </w:rPr>
            </m:ctrlPr>
          </m:sSubPr>
          <m:e>
            <m:r>
              <w:rPr>
                <w:rFonts w:ascii="Cambria Math" w:hAnsi="Cambria Math"/>
                <w:sz w:val="20"/>
              </w:rPr>
              <m:t>μ</m:t>
            </m:r>
          </m:e>
          <m:sub>
            <m:r>
              <w:rPr>
                <w:rFonts w:ascii="Cambria Math" w:hAnsi="Cambria Math"/>
                <w:sz w:val="20"/>
              </w:rPr>
              <m:t>t</m:t>
            </m:r>
          </m:sub>
        </m:sSub>
      </m:oMath>
      <w:r w:rsidR="009D755F" w:rsidRPr="00A50F32">
        <w:rPr>
          <w:rFonts w:eastAsiaTheme="minorEastAsia"/>
          <w:sz w:val="20"/>
        </w:rPr>
        <w:t xml:space="preserve"> </w:t>
      </w:r>
      <w:r w:rsidR="00EE1365">
        <w:rPr>
          <w:rFonts w:eastAsiaTheme="minorEastAsia"/>
          <w:sz w:val="20"/>
        </w:rPr>
        <w:tab/>
      </w:r>
      <w:r w:rsidR="00EE1365">
        <w:rPr>
          <w:rFonts w:eastAsiaTheme="minorEastAsia"/>
          <w:sz w:val="20"/>
        </w:rPr>
        <w:tab/>
      </w:r>
      <w:r w:rsidR="00EE1365">
        <w:rPr>
          <w:rFonts w:eastAsiaTheme="minorEastAsia"/>
          <w:sz w:val="20"/>
        </w:rPr>
        <w:tab/>
      </w:r>
      <w:r w:rsidR="00EE1365">
        <w:rPr>
          <w:rFonts w:eastAsiaTheme="minorEastAsia"/>
          <w:sz w:val="20"/>
        </w:rPr>
        <w:tab/>
      </w:r>
      <w:r w:rsidR="00EE1365">
        <w:rPr>
          <w:rFonts w:eastAsiaTheme="minorEastAsia"/>
          <w:sz w:val="20"/>
        </w:rPr>
        <w:tab/>
      </w:r>
      <w:r w:rsidR="00EE1365">
        <w:rPr>
          <w:rFonts w:eastAsiaTheme="minorEastAsia"/>
          <w:sz w:val="20"/>
        </w:rPr>
        <w:tab/>
      </w:r>
      <w:r w:rsidR="00EE1365">
        <w:rPr>
          <w:rFonts w:eastAsiaTheme="minorEastAsia"/>
          <w:sz w:val="20"/>
        </w:rPr>
        <w:tab/>
      </w:r>
      <w:r w:rsidR="00EE1365">
        <w:rPr>
          <w:rFonts w:eastAsiaTheme="minorEastAsia"/>
          <w:sz w:val="20"/>
        </w:rPr>
        <w:tab/>
        <w:t xml:space="preserve">         </w:t>
      </w:r>
      <w:r w:rsidR="009D755F" w:rsidRPr="00A50F32">
        <w:rPr>
          <w:rFonts w:eastAsiaTheme="minorEastAsia"/>
          <w:sz w:val="20"/>
        </w:rPr>
        <w:t>(2)</w:t>
      </w:r>
    </w:p>
    <w:p w14:paraId="7D7EBD74" w14:textId="4431C2A0" w:rsidR="009D755F" w:rsidRPr="00A50F32" w:rsidRDefault="009D755F" w:rsidP="009D755F">
      <w:pPr>
        <w:jc w:val="center"/>
        <w:rPr>
          <w:rFonts w:eastAsiaTheme="minorEastAsia"/>
          <w:sz w:val="20"/>
        </w:rPr>
      </w:pPr>
      <m:oMath>
        <m:r>
          <m:rPr>
            <m:sty m:val="p"/>
          </m:rPr>
          <w:rPr>
            <w:rFonts w:ascii="Cambria Math" w:hAnsi="Cambria Math"/>
            <w:sz w:val="20"/>
          </w:rPr>
          <m:t>Δ</m:t>
        </m:r>
        <m:sSub>
          <m:sSubPr>
            <m:ctrlPr>
              <w:rPr>
                <w:rFonts w:ascii="Cambria Math" w:hAnsi="Cambria Math"/>
                <w:i/>
                <w:sz w:val="20"/>
              </w:rPr>
            </m:ctrlPr>
          </m:sSubPr>
          <m:e>
            <m:r>
              <w:rPr>
                <w:rFonts w:ascii="Cambria Math" w:hAnsi="Cambria Math"/>
                <w:sz w:val="20"/>
              </w:rPr>
              <m:t>y</m:t>
            </m:r>
          </m:e>
          <m:sub>
            <m:r>
              <w:rPr>
                <w:rFonts w:ascii="Cambria Math" w:hAnsi="Cambria Math"/>
                <w:sz w:val="20"/>
              </w:rPr>
              <m:t>t</m:t>
            </m:r>
          </m:sub>
        </m:sSub>
        <m:r>
          <w:rPr>
            <w:rFonts w:ascii="Cambria Math" w:hAnsi="Cambria Math"/>
            <w:sz w:val="20"/>
          </w:rPr>
          <m:t>=</m:t>
        </m:r>
        <m:nary>
          <m:naryPr>
            <m:chr m:val="∏"/>
            <m:limLoc m:val="undOvr"/>
            <m:subHide m:val="1"/>
            <m:supHide m:val="1"/>
            <m:ctrlPr>
              <w:rPr>
                <w:rFonts w:ascii="Cambria Math" w:hAnsi="Cambria Math"/>
                <w:i/>
                <w:sz w:val="20"/>
              </w:rPr>
            </m:ctrlPr>
          </m:naryPr>
          <m:sub/>
          <m:sup/>
          <m:e>
            <m:sSub>
              <m:sSubPr>
                <m:ctrlPr>
                  <w:rPr>
                    <w:rFonts w:ascii="Cambria Math" w:hAnsi="Cambria Math"/>
                    <w:i/>
                    <w:sz w:val="20"/>
                  </w:rPr>
                </m:ctrlPr>
              </m:sSubPr>
              <m:e>
                <m:r>
                  <w:rPr>
                    <w:rFonts w:ascii="Cambria Math" w:hAnsi="Cambria Math"/>
                    <w:sz w:val="20"/>
                  </w:rPr>
                  <m:t>y</m:t>
                </m:r>
              </m:e>
              <m:sub>
                <m:r>
                  <w:rPr>
                    <w:rFonts w:ascii="Cambria Math" w:hAnsi="Cambria Math"/>
                    <w:sz w:val="20"/>
                  </w:rPr>
                  <m:t>t-1</m:t>
                </m:r>
              </m:sub>
            </m:sSub>
          </m:e>
        </m:nary>
        <m:r>
          <w:rPr>
            <w:rFonts w:ascii="Cambria Math" w:hAnsi="Cambria Math"/>
            <w:sz w:val="20"/>
          </w:rPr>
          <m:t>+</m:t>
        </m:r>
        <m:nary>
          <m:naryPr>
            <m:chr m:val="∑"/>
            <m:limLoc m:val="undOvr"/>
            <m:ctrlPr>
              <w:rPr>
                <w:rFonts w:ascii="Cambria Math" w:hAnsi="Cambria Math"/>
                <w:i/>
                <w:sz w:val="20"/>
              </w:rPr>
            </m:ctrlPr>
          </m:naryPr>
          <m:sub>
            <m:r>
              <w:rPr>
                <w:rFonts w:ascii="Cambria Math" w:hAnsi="Cambria Math"/>
                <w:sz w:val="20"/>
              </w:rPr>
              <m:t>i=1</m:t>
            </m:r>
          </m:sub>
          <m:sup>
            <m:r>
              <w:rPr>
                <w:rFonts w:ascii="Cambria Math" w:hAnsi="Cambria Math"/>
                <w:sz w:val="20"/>
              </w:rPr>
              <m:t>p-1</m:t>
            </m:r>
          </m:sup>
          <m:e>
            <m:sSub>
              <m:sSubPr>
                <m:ctrlPr>
                  <w:rPr>
                    <w:rFonts w:ascii="Cambria Math" w:hAnsi="Cambria Math"/>
                    <w:sz w:val="20"/>
                  </w:rPr>
                </m:ctrlPr>
              </m:sSubPr>
              <m:e>
                <m:r>
                  <m:rPr>
                    <m:sty m:val="p"/>
                  </m:rPr>
                  <w:rPr>
                    <w:rFonts w:ascii="Cambria Math" w:hAnsi="Cambria Math"/>
                    <w:sz w:val="20"/>
                  </w:rPr>
                  <m:t>Γ</m:t>
                </m:r>
              </m:e>
              <m:sub>
                <m:r>
                  <w:rPr>
                    <w:rFonts w:ascii="Cambria Math" w:hAnsi="Cambria Math"/>
                    <w:sz w:val="20"/>
                  </w:rPr>
                  <m:t>i</m:t>
                </m:r>
              </m:sub>
            </m:sSub>
          </m:e>
        </m:nary>
        <m:r>
          <m:rPr>
            <m:sty m:val="p"/>
          </m:rPr>
          <w:rPr>
            <w:rFonts w:ascii="Cambria Math" w:hAnsi="Cambria Math"/>
            <w:sz w:val="20"/>
          </w:rPr>
          <m:t>Δ</m:t>
        </m:r>
        <m:sSub>
          <m:sSubPr>
            <m:ctrlPr>
              <w:rPr>
                <w:rFonts w:ascii="Cambria Math" w:hAnsi="Cambria Math"/>
                <w:i/>
                <w:sz w:val="20"/>
              </w:rPr>
            </m:ctrlPr>
          </m:sSubPr>
          <m:e>
            <m:r>
              <w:rPr>
                <w:rFonts w:ascii="Cambria Math" w:hAnsi="Cambria Math"/>
                <w:sz w:val="20"/>
              </w:rPr>
              <m:t>y</m:t>
            </m:r>
          </m:e>
          <m:sub>
            <m:r>
              <w:rPr>
                <w:rFonts w:ascii="Cambria Math" w:hAnsi="Cambria Math"/>
                <w:sz w:val="20"/>
              </w:rPr>
              <m:t>t-1</m:t>
            </m:r>
          </m:sub>
        </m:sSub>
        <m:r>
          <w:rPr>
            <w:rFonts w:ascii="Cambria Math" w:hAnsi="Cambria Math"/>
            <w:sz w:val="20"/>
          </w:rPr>
          <m:t>+</m:t>
        </m:r>
        <m:sSub>
          <m:sSubPr>
            <m:ctrlPr>
              <w:rPr>
                <w:rFonts w:ascii="Cambria Math" w:hAnsi="Cambria Math"/>
                <w:i/>
                <w:sz w:val="20"/>
              </w:rPr>
            </m:ctrlPr>
          </m:sSubPr>
          <m:e>
            <m:r>
              <w:rPr>
                <w:rFonts w:ascii="Cambria Math" w:hAnsi="Cambria Math"/>
                <w:sz w:val="20"/>
              </w:rPr>
              <m:t>μ</m:t>
            </m:r>
          </m:e>
          <m:sub>
            <m:r>
              <w:rPr>
                <w:rFonts w:ascii="Cambria Math" w:hAnsi="Cambria Math"/>
                <w:sz w:val="20"/>
              </w:rPr>
              <m:t>t</m:t>
            </m:r>
          </m:sub>
        </m:sSub>
      </m:oMath>
      <w:r w:rsidRPr="00A50F32">
        <w:rPr>
          <w:rFonts w:eastAsiaTheme="minorEastAsia"/>
          <w:sz w:val="20"/>
        </w:rPr>
        <w:t xml:space="preserve"> </w:t>
      </w:r>
      <w:r w:rsidR="00EE1365">
        <w:rPr>
          <w:rFonts w:eastAsiaTheme="minorEastAsia"/>
          <w:sz w:val="20"/>
        </w:rPr>
        <w:tab/>
      </w:r>
      <w:r w:rsidR="00EE1365">
        <w:rPr>
          <w:rFonts w:eastAsiaTheme="minorEastAsia"/>
          <w:sz w:val="20"/>
        </w:rPr>
        <w:tab/>
      </w:r>
      <w:r w:rsidR="00EE1365">
        <w:rPr>
          <w:rFonts w:eastAsiaTheme="minorEastAsia"/>
          <w:sz w:val="20"/>
        </w:rPr>
        <w:tab/>
      </w:r>
      <w:r w:rsidR="00EE1365">
        <w:rPr>
          <w:rFonts w:eastAsiaTheme="minorEastAsia"/>
          <w:sz w:val="20"/>
        </w:rPr>
        <w:tab/>
      </w:r>
      <w:r w:rsidR="00EE1365">
        <w:rPr>
          <w:rFonts w:eastAsiaTheme="minorEastAsia"/>
          <w:sz w:val="20"/>
        </w:rPr>
        <w:tab/>
      </w:r>
      <w:r w:rsidR="00EE1365">
        <w:rPr>
          <w:rFonts w:eastAsiaTheme="minorEastAsia"/>
          <w:sz w:val="20"/>
        </w:rPr>
        <w:tab/>
      </w:r>
      <w:r w:rsidR="00EE1365">
        <w:rPr>
          <w:rFonts w:eastAsiaTheme="minorEastAsia"/>
          <w:sz w:val="20"/>
        </w:rPr>
        <w:tab/>
      </w:r>
      <w:r w:rsidR="00EE1365">
        <w:rPr>
          <w:rFonts w:eastAsiaTheme="minorEastAsia"/>
          <w:sz w:val="20"/>
        </w:rPr>
        <w:tab/>
        <w:t xml:space="preserve">         </w:t>
      </w:r>
      <w:r w:rsidRPr="00A50F32">
        <w:rPr>
          <w:rFonts w:eastAsiaTheme="minorEastAsia"/>
          <w:sz w:val="20"/>
        </w:rPr>
        <w:t>(3)</w:t>
      </w:r>
    </w:p>
    <w:p w14:paraId="66CF2EB4" w14:textId="77777777" w:rsidR="00701D17" w:rsidRDefault="00701D17" w:rsidP="009D755F">
      <w:pPr>
        <w:rPr>
          <w:rFonts w:eastAsiaTheme="minorEastAsia"/>
          <w:sz w:val="20"/>
        </w:rPr>
      </w:pPr>
    </w:p>
    <w:p w14:paraId="02370CD8" w14:textId="5B264919" w:rsidR="009D755F" w:rsidRPr="00701D17" w:rsidRDefault="009D755F" w:rsidP="009D755F">
      <w:pPr>
        <w:rPr>
          <w:rStyle w:val="Emphasis"/>
          <w:rFonts w:eastAsiaTheme="minorEastAsia"/>
        </w:rPr>
      </w:pPr>
      <w:r w:rsidRPr="00701D17">
        <w:rPr>
          <w:rStyle w:val="Emphasis"/>
          <w:rFonts w:eastAsiaTheme="minorEastAsia"/>
        </w:rPr>
        <w:t>with</w:t>
      </w:r>
    </w:p>
    <w:p w14:paraId="14F47E22" w14:textId="353F9B70" w:rsidR="009D755F" w:rsidRPr="00A50F32" w:rsidRDefault="00000000" w:rsidP="009D755F">
      <w:pPr>
        <w:jc w:val="center"/>
        <w:rPr>
          <w:rFonts w:eastAsiaTheme="minorEastAsia"/>
          <w:sz w:val="20"/>
        </w:rPr>
      </w:pPr>
      <m:oMath>
        <m:nary>
          <m:naryPr>
            <m:chr m:val="∏"/>
            <m:limLoc m:val="undOvr"/>
            <m:subHide m:val="1"/>
            <m:supHide m:val="1"/>
            <m:ctrlPr>
              <w:rPr>
                <w:rFonts w:ascii="Cambria Math" w:hAnsi="Cambria Math"/>
                <w:i/>
                <w:sz w:val="20"/>
              </w:rPr>
            </m:ctrlPr>
          </m:naryPr>
          <m:sub/>
          <m:sup/>
          <m:e>
            <m:r>
              <w:rPr>
                <w:rFonts w:ascii="Cambria Math" w:hAnsi="Cambria Math"/>
                <w:sz w:val="20"/>
              </w:rPr>
              <m:t>=</m:t>
            </m:r>
            <m:nary>
              <m:naryPr>
                <m:chr m:val="∑"/>
                <m:limLoc m:val="undOvr"/>
                <m:ctrlPr>
                  <w:rPr>
                    <w:rFonts w:ascii="Cambria Math" w:hAnsi="Cambria Math"/>
                    <w:i/>
                    <w:sz w:val="20"/>
                  </w:rPr>
                </m:ctrlPr>
              </m:naryPr>
              <m:sub>
                <m:r>
                  <w:rPr>
                    <w:rFonts w:ascii="Cambria Math" w:hAnsi="Cambria Math"/>
                    <w:sz w:val="20"/>
                  </w:rPr>
                  <m:t>i=1</m:t>
                </m:r>
              </m:sub>
              <m:sup>
                <m:r>
                  <w:rPr>
                    <w:rFonts w:ascii="Cambria Math" w:hAnsi="Cambria Math"/>
                    <w:sz w:val="20"/>
                  </w:rPr>
                  <m:t>p-1</m:t>
                </m:r>
              </m:sup>
              <m:e>
                <m:sSub>
                  <m:sSubPr>
                    <m:ctrlPr>
                      <w:rPr>
                        <w:rFonts w:ascii="Cambria Math" w:hAnsi="Cambria Math"/>
                        <w:sz w:val="20"/>
                      </w:rPr>
                    </m:ctrlPr>
                  </m:sSubPr>
                  <m:e>
                    <m:r>
                      <w:rPr>
                        <w:rFonts w:ascii="Cambria Math" w:hAnsi="Cambria Math"/>
                        <w:sz w:val="20"/>
                      </w:rPr>
                      <m:t>A</m:t>
                    </m:r>
                  </m:e>
                  <m:sub>
                    <m:r>
                      <w:rPr>
                        <w:rFonts w:ascii="Cambria Math" w:hAnsi="Cambria Math"/>
                        <w:sz w:val="20"/>
                      </w:rPr>
                      <m:t>i</m:t>
                    </m:r>
                  </m:sub>
                </m:sSub>
                <m:r>
                  <w:rPr>
                    <w:rFonts w:ascii="Cambria Math" w:hAnsi="Cambria Math"/>
                    <w:sz w:val="20"/>
                  </w:rPr>
                  <m:t>-I</m:t>
                </m:r>
              </m:e>
            </m:nary>
          </m:e>
        </m:nary>
      </m:oMath>
      <w:r w:rsidR="00EE1365">
        <w:rPr>
          <w:rFonts w:eastAsiaTheme="minorEastAsia"/>
          <w:sz w:val="20"/>
        </w:rPr>
        <w:tab/>
      </w:r>
      <w:r w:rsidR="00EE1365">
        <w:rPr>
          <w:rFonts w:eastAsiaTheme="minorEastAsia"/>
          <w:sz w:val="20"/>
        </w:rPr>
        <w:tab/>
      </w:r>
      <w:r w:rsidR="00EE1365">
        <w:rPr>
          <w:rFonts w:eastAsiaTheme="minorEastAsia"/>
          <w:sz w:val="20"/>
        </w:rPr>
        <w:tab/>
      </w:r>
      <w:r w:rsidR="00EE1365">
        <w:rPr>
          <w:rFonts w:eastAsiaTheme="minorEastAsia"/>
          <w:sz w:val="20"/>
        </w:rPr>
        <w:tab/>
      </w:r>
      <w:r w:rsidR="00EE1365">
        <w:rPr>
          <w:rFonts w:eastAsiaTheme="minorEastAsia"/>
          <w:sz w:val="20"/>
        </w:rPr>
        <w:tab/>
      </w:r>
      <w:r w:rsidR="00EE1365">
        <w:rPr>
          <w:rFonts w:eastAsiaTheme="minorEastAsia"/>
          <w:sz w:val="20"/>
        </w:rPr>
        <w:tab/>
      </w:r>
      <w:r w:rsidR="00EE1365">
        <w:rPr>
          <w:rFonts w:eastAsiaTheme="minorEastAsia"/>
          <w:sz w:val="20"/>
        </w:rPr>
        <w:tab/>
      </w:r>
      <w:r w:rsidR="00EE1365">
        <w:rPr>
          <w:rFonts w:eastAsiaTheme="minorEastAsia"/>
          <w:sz w:val="20"/>
        </w:rPr>
        <w:tab/>
      </w:r>
      <w:r w:rsidR="00EE1365">
        <w:rPr>
          <w:rFonts w:eastAsiaTheme="minorEastAsia"/>
          <w:sz w:val="20"/>
        </w:rPr>
        <w:tab/>
      </w:r>
      <w:r w:rsidR="00EE1365">
        <w:rPr>
          <w:rFonts w:eastAsiaTheme="minorEastAsia"/>
          <w:sz w:val="20"/>
        </w:rPr>
        <w:tab/>
      </w:r>
      <w:r w:rsidR="00EE1365">
        <w:rPr>
          <w:rFonts w:eastAsiaTheme="minorEastAsia"/>
          <w:sz w:val="20"/>
        </w:rPr>
        <w:tab/>
        <w:t xml:space="preserve">        </w:t>
      </w:r>
      <w:r w:rsidR="009D755F" w:rsidRPr="00A50F32">
        <w:rPr>
          <w:rFonts w:eastAsiaTheme="minorEastAsia"/>
          <w:sz w:val="20"/>
        </w:rPr>
        <w:t xml:space="preserve"> (4)</w:t>
      </w:r>
    </w:p>
    <w:p w14:paraId="029792A8" w14:textId="197C7EAD" w:rsidR="009D755F" w:rsidRPr="00A50F32" w:rsidRDefault="00000000" w:rsidP="009D755F">
      <w:pPr>
        <w:jc w:val="center"/>
        <w:rPr>
          <w:rFonts w:eastAsiaTheme="minorEastAsia"/>
          <w:sz w:val="20"/>
          <w:lang w:val="en-ID"/>
        </w:rPr>
      </w:pPr>
      <m:oMath>
        <m:sSub>
          <m:sSubPr>
            <m:ctrlPr>
              <w:rPr>
                <w:rFonts w:ascii="Cambria Math" w:hAnsi="Cambria Math"/>
                <w:sz w:val="20"/>
              </w:rPr>
            </m:ctrlPr>
          </m:sSubPr>
          <m:e>
            <m:r>
              <m:rPr>
                <m:sty m:val="p"/>
              </m:rPr>
              <w:rPr>
                <w:rFonts w:ascii="Cambria Math" w:hAnsi="Cambria Math"/>
                <w:sz w:val="20"/>
              </w:rPr>
              <m:t>Γ</m:t>
            </m:r>
          </m:e>
          <m:sub>
            <m:r>
              <w:rPr>
                <w:rFonts w:ascii="Cambria Math" w:hAnsi="Cambria Math"/>
                <w:sz w:val="20"/>
              </w:rPr>
              <m:t>i</m:t>
            </m:r>
          </m:sub>
        </m:sSub>
        <m:r>
          <w:rPr>
            <w:rFonts w:ascii="Cambria Math" w:hAnsi="Cambria Math"/>
            <w:sz w:val="20"/>
            <w:lang w:val="en-ID"/>
          </w:rPr>
          <m:t>=-</m:t>
        </m:r>
        <m:nary>
          <m:naryPr>
            <m:chr m:val="∑"/>
            <m:limLoc m:val="undOvr"/>
            <m:ctrlPr>
              <w:rPr>
                <w:rFonts w:ascii="Cambria Math" w:hAnsi="Cambria Math"/>
                <w:i/>
                <w:sz w:val="20"/>
              </w:rPr>
            </m:ctrlPr>
          </m:naryPr>
          <m:sub>
            <m:r>
              <w:rPr>
                <w:rFonts w:ascii="Cambria Math" w:hAnsi="Cambria Math"/>
                <w:sz w:val="20"/>
              </w:rPr>
              <m:t>i</m:t>
            </m:r>
            <m:r>
              <w:rPr>
                <w:rFonts w:ascii="Cambria Math" w:hAnsi="Cambria Math"/>
                <w:sz w:val="20"/>
                <w:lang w:val="en-ID"/>
              </w:rPr>
              <m:t>=1</m:t>
            </m:r>
          </m:sub>
          <m:sup>
            <m:r>
              <w:rPr>
                <w:rFonts w:ascii="Cambria Math" w:hAnsi="Cambria Math"/>
                <w:sz w:val="20"/>
              </w:rPr>
              <m:t>p</m:t>
            </m:r>
            <m:r>
              <w:rPr>
                <w:rFonts w:ascii="Cambria Math" w:hAnsi="Cambria Math"/>
                <w:sz w:val="20"/>
                <w:lang w:val="en-ID"/>
              </w:rPr>
              <m:t>-1</m:t>
            </m:r>
          </m:sup>
          <m:e>
            <m:sSub>
              <m:sSubPr>
                <m:ctrlPr>
                  <w:rPr>
                    <w:rFonts w:ascii="Cambria Math" w:hAnsi="Cambria Math"/>
                    <w:sz w:val="20"/>
                  </w:rPr>
                </m:ctrlPr>
              </m:sSubPr>
              <m:e>
                <m:r>
                  <w:rPr>
                    <w:rFonts w:ascii="Cambria Math" w:hAnsi="Cambria Math"/>
                    <w:sz w:val="20"/>
                  </w:rPr>
                  <m:t>A</m:t>
                </m:r>
              </m:e>
              <m:sub>
                <m:r>
                  <w:rPr>
                    <w:rFonts w:ascii="Cambria Math" w:hAnsi="Cambria Math"/>
                    <w:sz w:val="20"/>
                  </w:rPr>
                  <m:t>j</m:t>
                </m:r>
              </m:sub>
            </m:sSub>
          </m:e>
        </m:nary>
      </m:oMath>
      <w:r w:rsidR="009D755F" w:rsidRPr="00A50F32">
        <w:rPr>
          <w:rFonts w:eastAsiaTheme="minorEastAsia"/>
          <w:sz w:val="20"/>
          <w:lang w:val="en-ID"/>
        </w:rPr>
        <w:t xml:space="preserve"> </w:t>
      </w:r>
      <w:r w:rsidR="00EE1365">
        <w:rPr>
          <w:rFonts w:eastAsiaTheme="minorEastAsia"/>
          <w:sz w:val="20"/>
          <w:lang w:val="en-ID"/>
        </w:rPr>
        <w:tab/>
      </w:r>
      <w:r w:rsidR="00EE1365">
        <w:rPr>
          <w:rFonts w:eastAsiaTheme="minorEastAsia"/>
          <w:sz w:val="20"/>
          <w:lang w:val="en-ID"/>
        </w:rPr>
        <w:tab/>
      </w:r>
      <w:r w:rsidR="00EE1365">
        <w:rPr>
          <w:rFonts w:eastAsiaTheme="minorEastAsia"/>
          <w:sz w:val="20"/>
          <w:lang w:val="en-ID"/>
        </w:rPr>
        <w:tab/>
      </w:r>
      <w:r w:rsidR="00EE1365">
        <w:rPr>
          <w:rFonts w:eastAsiaTheme="minorEastAsia"/>
          <w:sz w:val="20"/>
          <w:lang w:val="en-ID"/>
        </w:rPr>
        <w:tab/>
      </w:r>
      <w:r w:rsidR="00EE1365">
        <w:rPr>
          <w:rFonts w:eastAsiaTheme="minorEastAsia"/>
          <w:sz w:val="20"/>
          <w:lang w:val="en-ID"/>
        </w:rPr>
        <w:tab/>
      </w:r>
      <w:r w:rsidR="00EE1365">
        <w:rPr>
          <w:rFonts w:eastAsiaTheme="minorEastAsia"/>
          <w:sz w:val="20"/>
          <w:lang w:val="en-ID"/>
        </w:rPr>
        <w:tab/>
      </w:r>
      <w:r w:rsidR="00EE1365">
        <w:rPr>
          <w:rFonts w:eastAsiaTheme="minorEastAsia"/>
          <w:sz w:val="20"/>
          <w:lang w:val="en-ID"/>
        </w:rPr>
        <w:tab/>
      </w:r>
      <w:r w:rsidR="00EE1365">
        <w:rPr>
          <w:rFonts w:eastAsiaTheme="minorEastAsia"/>
          <w:sz w:val="20"/>
          <w:lang w:val="en-ID"/>
        </w:rPr>
        <w:tab/>
      </w:r>
      <w:r w:rsidR="00EE1365">
        <w:rPr>
          <w:rFonts w:eastAsiaTheme="minorEastAsia"/>
          <w:sz w:val="20"/>
          <w:lang w:val="en-ID"/>
        </w:rPr>
        <w:tab/>
      </w:r>
      <w:r w:rsidR="00EE1365">
        <w:rPr>
          <w:rFonts w:eastAsiaTheme="minorEastAsia"/>
          <w:sz w:val="20"/>
          <w:lang w:val="en-ID"/>
        </w:rPr>
        <w:tab/>
      </w:r>
      <w:r w:rsidR="00EE1365">
        <w:rPr>
          <w:rFonts w:eastAsiaTheme="minorEastAsia"/>
          <w:sz w:val="20"/>
          <w:lang w:val="en-ID"/>
        </w:rPr>
        <w:tab/>
        <w:t xml:space="preserve">         </w:t>
      </w:r>
      <w:r w:rsidR="009D755F" w:rsidRPr="00A50F32">
        <w:rPr>
          <w:rFonts w:eastAsiaTheme="minorEastAsia"/>
          <w:sz w:val="20"/>
          <w:lang w:val="en-ID"/>
        </w:rPr>
        <w:t>(5)</w:t>
      </w:r>
    </w:p>
    <w:p w14:paraId="0BE1F945" w14:textId="0CCC90C6" w:rsidR="009D755F" w:rsidRPr="00A50F32" w:rsidRDefault="009D755F" w:rsidP="009D755F">
      <w:pPr>
        <w:jc w:val="center"/>
        <w:rPr>
          <w:rFonts w:eastAsiaTheme="minorEastAsia"/>
          <w:sz w:val="20"/>
          <w:lang w:val="pt-BR"/>
        </w:rPr>
      </w:pPr>
      <m:oMath>
        <m:r>
          <m:rPr>
            <m:sty m:val="p"/>
          </m:rPr>
          <w:rPr>
            <w:rFonts w:ascii="Cambria Math" w:hAnsi="Cambria Math"/>
            <w:sz w:val="20"/>
          </w:rPr>
          <w:lastRenderedPageBreak/>
          <m:t>Δ</m:t>
        </m:r>
        <m:sSub>
          <m:sSubPr>
            <m:ctrlPr>
              <w:rPr>
                <w:rFonts w:ascii="Cambria Math" w:hAnsi="Cambria Math"/>
                <w:i/>
                <w:sz w:val="20"/>
              </w:rPr>
            </m:ctrlPr>
          </m:sSubPr>
          <m:e>
            <m:r>
              <w:rPr>
                <w:rFonts w:ascii="Cambria Math" w:hAnsi="Cambria Math"/>
                <w:sz w:val="20"/>
              </w:rPr>
              <m:t>y</m:t>
            </m:r>
          </m:e>
          <m:sub>
            <m:r>
              <w:rPr>
                <w:rFonts w:ascii="Cambria Math" w:hAnsi="Cambria Math"/>
                <w:sz w:val="20"/>
              </w:rPr>
              <m:t>t</m:t>
            </m:r>
          </m:sub>
        </m:sSub>
        <m:r>
          <w:rPr>
            <w:rFonts w:ascii="Cambria Math" w:hAnsi="Cambria Math"/>
            <w:sz w:val="20"/>
            <w:lang w:val="pt-BR"/>
          </w:rPr>
          <m:t>=</m:t>
        </m:r>
        <m:sSub>
          <m:sSubPr>
            <m:ctrlPr>
              <w:rPr>
                <w:rFonts w:ascii="Cambria Math" w:hAnsi="Cambria Math"/>
                <w:i/>
                <w:sz w:val="20"/>
              </w:rPr>
            </m:ctrlPr>
          </m:sSubPr>
          <m:e>
            <m:r>
              <w:rPr>
                <w:rFonts w:ascii="Cambria Math" w:hAnsi="Cambria Math"/>
                <w:sz w:val="20"/>
              </w:rPr>
              <m:t>αβ</m:t>
            </m:r>
            <m:r>
              <w:rPr>
                <w:rFonts w:ascii="Cambria Math" w:hAnsi="Cambria Math"/>
                <w:sz w:val="20"/>
                <w:lang w:val="pt-BR"/>
              </w:rPr>
              <m:t>'</m:t>
            </m:r>
            <m:r>
              <w:rPr>
                <w:rFonts w:ascii="Cambria Math" w:hAnsi="Cambria Math"/>
                <w:sz w:val="20"/>
              </w:rPr>
              <m:t>y</m:t>
            </m:r>
          </m:e>
          <m:sub>
            <m:r>
              <w:rPr>
                <w:rFonts w:ascii="Cambria Math" w:hAnsi="Cambria Math"/>
                <w:sz w:val="20"/>
              </w:rPr>
              <m:t>t</m:t>
            </m:r>
            <m:r>
              <w:rPr>
                <w:rFonts w:ascii="Cambria Math" w:hAnsi="Cambria Math"/>
                <w:sz w:val="20"/>
                <w:lang w:val="pt-BR"/>
              </w:rPr>
              <m:t>-1</m:t>
            </m:r>
          </m:sub>
        </m:sSub>
        <m:r>
          <w:rPr>
            <w:rFonts w:ascii="Cambria Math" w:hAnsi="Cambria Math"/>
            <w:sz w:val="20"/>
            <w:lang w:val="pt-BR"/>
          </w:rPr>
          <m:t>+</m:t>
        </m:r>
        <m:nary>
          <m:naryPr>
            <m:chr m:val="∑"/>
            <m:limLoc m:val="undOvr"/>
            <m:ctrlPr>
              <w:rPr>
                <w:rFonts w:ascii="Cambria Math" w:hAnsi="Cambria Math"/>
                <w:i/>
                <w:sz w:val="20"/>
              </w:rPr>
            </m:ctrlPr>
          </m:naryPr>
          <m:sub>
            <m:r>
              <w:rPr>
                <w:rFonts w:ascii="Cambria Math" w:hAnsi="Cambria Math"/>
                <w:sz w:val="20"/>
              </w:rPr>
              <m:t>i</m:t>
            </m:r>
            <m:r>
              <w:rPr>
                <w:rFonts w:ascii="Cambria Math" w:hAnsi="Cambria Math"/>
                <w:sz w:val="20"/>
                <w:lang w:val="pt-BR"/>
              </w:rPr>
              <m:t>=1</m:t>
            </m:r>
          </m:sub>
          <m:sup>
            <m:r>
              <w:rPr>
                <w:rFonts w:ascii="Cambria Math" w:hAnsi="Cambria Math"/>
                <w:sz w:val="20"/>
              </w:rPr>
              <m:t>p</m:t>
            </m:r>
            <m:r>
              <w:rPr>
                <w:rFonts w:ascii="Cambria Math" w:hAnsi="Cambria Math"/>
                <w:sz w:val="20"/>
                <w:lang w:val="pt-BR"/>
              </w:rPr>
              <m:t>-1</m:t>
            </m:r>
          </m:sup>
          <m:e>
            <m:sSub>
              <m:sSubPr>
                <m:ctrlPr>
                  <w:rPr>
                    <w:rFonts w:ascii="Cambria Math" w:hAnsi="Cambria Math"/>
                    <w:sz w:val="20"/>
                  </w:rPr>
                </m:ctrlPr>
              </m:sSubPr>
              <m:e>
                <m:r>
                  <m:rPr>
                    <m:sty m:val="p"/>
                  </m:rPr>
                  <w:rPr>
                    <w:rFonts w:ascii="Cambria Math" w:hAnsi="Cambria Math"/>
                    <w:sz w:val="20"/>
                  </w:rPr>
                  <m:t>Γ</m:t>
                </m:r>
              </m:e>
              <m:sub>
                <m:r>
                  <w:rPr>
                    <w:rFonts w:ascii="Cambria Math" w:hAnsi="Cambria Math"/>
                    <w:sz w:val="20"/>
                  </w:rPr>
                  <m:t>i</m:t>
                </m:r>
              </m:sub>
            </m:sSub>
          </m:e>
        </m:nary>
        <m:r>
          <m:rPr>
            <m:sty m:val="p"/>
          </m:rPr>
          <w:rPr>
            <w:rFonts w:ascii="Cambria Math" w:hAnsi="Cambria Math"/>
            <w:sz w:val="20"/>
          </w:rPr>
          <m:t>Δ</m:t>
        </m:r>
        <m:sSub>
          <m:sSubPr>
            <m:ctrlPr>
              <w:rPr>
                <w:rFonts w:ascii="Cambria Math" w:hAnsi="Cambria Math"/>
                <w:i/>
                <w:sz w:val="20"/>
              </w:rPr>
            </m:ctrlPr>
          </m:sSubPr>
          <m:e>
            <m:r>
              <w:rPr>
                <w:rFonts w:ascii="Cambria Math" w:hAnsi="Cambria Math"/>
                <w:sz w:val="20"/>
              </w:rPr>
              <m:t>y</m:t>
            </m:r>
          </m:e>
          <m:sub>
            <m:r>
              <w:rPr>
                <w:rFonts w:ascii="Cambria Math" w:hAnsi="Cambria Math"/>
                <w:sz w:val="20"/>
              </w:rPr>
              <m:t>t</m:t>
            </m:r>
            <m:r>
              <w:rPr>
                <w:rFonts w:ascii="Cambria Math" w:hAnsi="Cambria Math"/>
                <w:sz w:val="20"/>
                <w:lang w:val="pt-BR"/>
              </w:rPr>
              <m:t>-1</m:t>
            </m:r>
          </m:sub>
        </m:sSub>
        <m:r>
          <w:rPr>
            <w:rFonts w:ascii="Cambria Math" w:hAnsi="Cambria Math"/>
            <w:sz w:val="20"/>
            <w:lang w:val="pt-BR"/>
          </w:rPr>
          <m:t>+</m:t>
        </m:r>
        <m:sSub>
          <m:sSubPr>
            <m:ctrlPr>
              <w:rPr>
                <w:rFonts w:ascii="Cambria Math" w:hAnsi="Cambria Math"/>
                <w:i/>
                <w:sz w:val="20"/>
              </w:rPr>
            </m:ctrlPr>
          </m:sSubPr>
          <m:e>
            <m:r>
              <w:rPr>
                <w:rFonts w:ascii="Cambria Math" w:hAnsi="Cambria Math"/>
                <w:sz w:val="20"/>
              </w:rPr>
              <m:t>μ</m:t>
            </m:r>
          </m:e>
          <m:sub>
            <m:r>
              <w:rPr>
                <w:rFonts w:ascii="Cambria Math" w:hAnsi="Cambria Math"/>
                <w:sz w:val="20"/>
              </w:rPr>
              <m:t>t</m:t>
            </m:r>
          </m:sub>
        </m:sSub>
      </m:oMath>
      <w:r w:rsidR="00EE1365">
        <w:rPr>
          <w:rFonts w:eastAsiaTheme="minorEastAsia"/>
          <w:sz w:val="20"/>
          <w:lang w:val="pt-BR"/>
        </w:rPr>
        <w:t xml:space="preserve"> </w:t>
      </w:r>
      <w:r w:rsidR="00EE1365">
        <w:rPr>
          <w:rFonts w:eastAsiaTheme="minorEastAsia"/>
          <w:sz w:val="20"/>
          <w:lang w:val="pt-BR"/>
        </w:rPr>
        <w:tab/>
      </w:r>
      <w:r w:rsidR="00EE1365">
        <w:rPr>
          <w:rFonts w:eastAsiaTheme="minorEastAsia"/>
          <w:sz w:val="20"/>
          <w:lang w:val="pt-BR"/>
        </w:rPr>
        <w:tab/>
      </w:r>
      <w:r w:rsidR="00EE1365">
        <w:rPr>
          <w:rFonts w:eastAsiaTheme="minorEastAsia"/>
          <w:sz w:val="20"/>
          <w:lang w:val="pt-BR"/>
        </w:rPr>
        <w:tab/>
      </w:r>
      <w:r w:rsidR="00EE1365">
        <w:rPr>
          <w:rFonts w:eastAsiaTheme="minorEastAsia"/>
          <w:sz w:val="20"/>
          <w:lang w:val="pt-BR"/>
        </w:rPr>
        <w:tab/>
      </w:r>
      <w:r w:rsidR="00EE1365">
        <w:rPr>
          <w:rFonts w:eastAsiaTheme="minorEastAsia"/>
          <w:sz w:val="20"/>
          <w:lang w:val="pt-BR"/>
        </w:rPr>
        <w:tab/>
      </w:r>
      <w:r w:rsidR="00EE1365">
        <w:rPr>
          <w:rFonts w:eastAsiaTheme="minorEastAsia"/>
          <w:sz w:val="20"/>
          <w:lang w:val="pt-BR"/>
        </w:rPr>
        <w:tab/>
      </w:r>
      <w:r w:rsidR="00EE1365">
        <w:rPr>
          <w:rFonts w:eastAsiaTheme="minorEastAsia"/>
          <w:sz w:val="20"/>
          <w:lang w:val="pt-BR"/>
        </w:rPr>
        <w:tab/>
      </w:r>
      <w:r w:rsidR="00EE1365">
        <w:rPr>
          <w:rFonts w:eastAsiaTheme="minorEastAsia"/>
          <w:sz w:val="20"/>
          <w:lang w:val="pt-BR"/>
        </w:rPr>
        <w:tab/>
        <w:t xml:space="preserve">      (6.1</w:t>
      </w:r>
      <w:r w:rsidRPr="00A50F32">
        <w:rPr>
          <w:rFonts w:eastAsiaTheme="minorEastAsia"/>
          <w:sz w:val="20"/>
          <w:lang w:val="pt-BR"/>
        </w:rPr>
        <w:t>)</w:t>
      </w:r>
    </w:p>
    <w:p w14:paraId="7724956C" w14:textId="01296853" w:rsidR="009D755F" w:rsidRPr="00A50F32" w:rsidRDefault="009D755F" w:rsidP="009D755F">
      <w:pPr>
        <w:jc w:val="center"/>
        <w:rPr>
          <w:rFonts w:eastAsiaTheme="minorEastAsia"/>
          <w:sz w:val="20"/>
        </w:rPr>
      </w:pPr>
      <m:oMath>
        <m:r>
          <m:rPr>
            <m:sty m:val="p"/>
          </m:rPr>
          <w:rPr>
            <w:rFonts w:ascii="Cambria Math" w:hAnsi="Cambria Math"/>
            <w:sz w:val="20"/>
          </w:rPr>
          <m:t>Δ</m:t>
        </m:r>
        <m:sSub>
          <m:sSubPr>
            <m:ctrlPr>
              <w:rPr>
                <w:rFonts w:ascii="Cambria Math" w:hAnsi="Cambria Math"/>
                <w:i/>
                <w:sz w:val="20"/>
              </w:rPr>
            </m:ctrlPr>
          </m:sSubPr>
          <m:e>
            <m:r>
              <w:rPr>
                <w:rFonts w:ascii="Cambria Math" w:hAnsi="Cambria Math"/>
                <w:sz w:val="20"/>
              </w:rPr>
              <m:t>y</m:t>
            </m:r>
          </m:e>
          <m:sub>
            <m:r>
              <w:rPr>
                <w:rFonts w:ascii="Cambria Math" w:hAnsi="Cambria Math"/>
                <w:sz w:val="20"/>
              </w:rPr>
              <m:t>t</m:t>
            </m:r>
          </m:sub>
        </m:sSub>
        <m:r>
          <w:rPr>
            <w:rFonts w:ascii="Cambria Math" w:hAnsi="Cambria Math"/>
            <w:sz w:val="20"/>
          </w:rPr>
          <m:t>=</m:t>
        </m:r>
        <m:sSub>
          <m:sSubPr>
            <m:ctrlPr>
              <w:rPr>
                <w:rFonts w:ascii="Cambria Math" w:hAnsi="Cambria Math"/>
                <w:i/>
                <w:sz w:val="20"/>
              </w:rPr>
            </m:ctrlPr>
          </m:sSubPr>
          <m:e>
            <m:r>
              <w:rPr>
                <w:rFonts w:ascii="Cambria Math" w:hAnsi="Cambria Math"/>
                <w:sz w:val="20"/>
              </w:rPr>
              <m:t xml:space="preserve">α ecm </m:t>
            </m:r>
          </m:e>
          <m:sub>
            <m:r>
              <w:rPr>
                <w:rFonts w:ascii="Cambria Math" w:hAnsi="Cambria Math"/>
                <w:sz w:val="20"/>
              </w:rPr>
              <m:t>t-1</m:t>
            </m:r>
          </m:sub>
        </m:sSub>
        <m:r>
          <w:rPr>
            <w:rFonts w:ascii="Cambria Math" w:hAnsi="Cambria Math"/>
            <w:sz w:val="20"/>
          </w:rPr>
          <m:t>+</m:t>
        </m:r>
        <m:nary>
          <m:naryPr>
            <m:chr m:val="∑"/>
            <m:limLoc m:val="undOvr"/>
            <m:ctrlPr>
              <w:rPr>
                <w:rFonts w:ascii="Cambria Math" w:hAnsi="Cambria Math"/>
                <w:i/>
                <w:sz w:val="20"/>
              </w:rPr>
            </m:ctrlPr>
          </m:naryPr>
          <m:sub>
            <m:r>
              <w:rPr>
                <w:rFonts w:ascii="Cambria Math" w:hAnsi="Cambria Math"/>
                <w:sz w:val="20"/>
              </w:rPr>
              <m:t>i=1</m:t>
            </m:r>
          </m:sub>
          <m:sup>
            <m:r>
              <w:rPr>
                <w:rFonts w:ascii="Cambria Math" w:hAnsi="Cambria Math"/>
                <w:sz w:val="20"/>
              </w:rPr>
              <m:t>p-1</m:t>
            </m:r>
          </m:sup>
          <m:e>
            <m:sSub>
              <m:sSubPr>
                <m:ctrlPr>
                  <w:rPr>
                    <w:rFonts w:ascii="Cambria Math" w:hAnsi="Cambria Math"/>
                    <w:sz w:val="20"/>
                  </w:rPr>
                </m:ctrlPr>
              </m:sSubPr>
              <m:e>
                <m:r>
                  <m:rPr>
                    <m:sty m:val="p"/>
                  </m:rPr>
                  <w:rPr>
                    <w:rFonts w:ascii="Cambria Math" w:hAnsi="Cambria Math"/>
                    <w:sz w:val="20"/>
                  </w:rPr>
                  <m:t>Γ</m:t>
                </m:r>
              </m:e>
              <m:sub>
                <m:r>
                  <w:rPr>
                    <w:rFonts w:ascii="Cambria Math" w:hAnsi="Cambria Math"/>
                    <w:sz w:val="20"/>
                  </w:rPr>
                  <m:t>i</m:t>
                </m:r>
              </m:sub>
            </m:sSub>
          </m:e>
        </m:nary>
        <m:r>
          <m:rPr>
            <m:sty m:val="p"/>
          </m:rPr>
          <w:rPr>
            <w:rFonts w:ascii="Cambria Math" w:hAnsi="Cambria Math"/>
            <w:sz w:val="20"/>
          </w:rPr>
          <m:t>Δ</m:t>
        </m:r>
        <m:sSub>
          <m:sSubPr>
            <m:ctrlPr>
              <w:rPr>
                <w:rFonts w:ascii="Cambria Math" w:hAnsi="Cambria Math"/>
                <w:i/>
                <w:sz w:val="20"/>
              </w:rPr>
            </m:ctrlPr>
          </m:sSubPr>
          <m:e>
            <m:r>
              <w:rPr>
                <w:rFonts w:ascii="Cambria Math" w:hAnsi="Cambria Math"/>
                <w:sz w:val="20"/>
              </w:rPr>
              <m:t>y</m:t>
            </m:r>
          </m:e>
          <m:sub>
            <m:r>
              <w:rPr>
                <w:rFonts w:ascii="Cambria Math" w:hAnsi="Cambria Math"/>
                <w:sz w:val="20"/>
              </w:rPr>
              <m:t>t-1</m:t>
            </m:r>
          </m:sub>
        </m:sSub>
        <m:r>
          <w:rPr>
            <w:rFonts w:ascii="Cambria Math" w:hAnsi="Cambria Math"/>
            <w:sz w:val="20"/>
          </w:rPr>
          <m:t>+</m:t>
        </m:r>
        <m:sSub>
          <m:sSubPr>
            <m:ctrlPr>
              <w:rPr>
                <w:rFonts w:ascii="Cambria Math" w:hAnsi="Cambria Math"/>
                <w:i/>
                <w:sz w:val="20"/>
              </w:rPr>
            </m:ctrlPr>
          </m:sSubPr>
          <m:e>
            <m:r>
              <w:rPr>
                <w:rFonts w:ascii="Cambria Math" w:hAnsi="Cambria Math"/>
                <w:sz w:val="20"/>
              </w:rPr>
              <m:t>μ</m:t>
            </m:r>
          </m:e>
          <m:sub>
            <m:r>
              <w:rPr>
                <w:rFonts w:ascii="Cambria Math" w:hAnsi="Cambria Math"/>
                <w:sz w:val="20"/>
              </w:rPr>
              <m:t>t</m:t>
            </m:r>
          </m:sub>
        </m:sSub>
      </m:oMath>
      <w:r w:rsidR="00EE1365">
        <w:rPr>
          <w:rFonts w:eastAsiaTheme="minorEastAsia"/>
          <w:sz w:val="20"/>
        </w:rPr>
        <w:t xml:space="preserve"> </w:t>
      </w:r>
      <w:r w:rsidR="00EE1365">
        <w:rPr>
          <w:rFonts w:eastAsiaTheme="minorEastAsia"/>
          <w:sz w:val="20"/>
        </w:rPr>
        <w:tab/>
      </w:r>
      <w:r w:rsidR="00EE1365">
        <w:rPr>
          <w:rFonts w:eastAsiaTheme="minorEastAsia"/>
          <w:sz w:val="20"/>
        </w:rPr>
        <w:tab/>
      </w:r>
      <w:r w:rsidR="00EE1365">
        <w:rPr>
          <w:rFonts w:eastAsiaTheme="minorEastAsia"/>
          <w:sz w:val="20"/>
        </w:rPr>
        <w:tab/>
      </w:r>
      <w:r w:rsidR="00EE1365">
        <w:rPr>
          <w:rFonts w:eastAsiaTheme="minorEastAsia"/>
          <w:sz w:val="20"/>
        </w:rPr>
        <w:tab/>
      </w:r>
      <w:r w:rsidR="00EE1365">
        <w:rPr>
          <w:rFonts w:eastAsiaTheme="minorEastAsia"/>
          <w:sz w:val="20"/>
        </w:rPr>
        <w:tab/>
      </w:r>
      <w:r w:rsidR="00EE1365">
        <w:rPr>
          <w:rFonts w:eastAsiaTheme="minorEastAsia"/>
          <w:sz w:val="20"/>
        </w:rPr>
        <w:tab/>
      </w:r>
      <w:r w:rsidR="00EE1365">
        <w:rPr>
          <w:rFonts w:eastAsiaTheme="minorEastAsia"/>
          <w:sz w:val="20"/>
        </w:rPr>
        <w:tab/>
      </w:r>
      <w:r w:rsidR="00EE1365">
        <w:rPr>
          <w:rFonts w:eastAsiaTheme="minorEastAsia"/>
          <w:sz w:val="20"/>
        </w:rPr>
        <w:tab/>
        <w:t xml:space="preserve">      (6.2</w:t>
      </w:r>
      <w:r w:rsidRPr="00A50F32">
        <w:rPr>
          <w:rFonts w:eastAsiaTheme="minorEastAsia"/>
          <w:sz w:val="20"/>
        </w:rPr>
        <w:t>)</w:t>
      </w:r>
    </w:p>
    <w:p w14:paraId="739FF927" w14:textId="77777777" w:rsidR="00701D17" w:rsidRDefault="00701D17" w:rsidP="00EE1365">
      <w:pPr>
        <w:ind w:firstLine="284"/>
        <w:jc w:val="both"/>
        <w:rPr>
          <w:sz w:val="20"/>
        </w:rPr>
      </w:pPr>
    </w:p>
    <w:p w14:paraId="51853A66" w14:textId="348BD610" w:rsidR="009D755F" w:rsidRPr="00701D17" w:rsidRDefault="009D755F" w:rsidP="00EE1365">
      <w:pPr>
        <w:ind w:firstLine="284"/>
        <w:jc w:val="both"/>
        <w:rPr>
          <w:rStyle w:val="Emphasis"/>
        </w:rPr>
      </w:pPr>
      <w:r w:rsidRPr="00701D17">
        <w:rPr>
          <w:rStyle w:val="Emphasis"/>
        </w:rPr>
        <w:t xml:space="preserve">Engle and Granger combined cointegration and error correction models to form a vector error correction model (VECM). As long as variables have a cointegration relationship, the error correction model can be derived from the vector auto-regressive (VAR) model. Therefore, VECM is a VAR model with cointegration constraints. Equation (6) is a formal mathematical VECM model that will be used as the basic model in this study. </w:t>
      </w:r>
    </w:p>
    <w:p w14:paraId="7F1E3471" w14:textId="535079D9" w:rsidR="009D755F" w:rsidRPr="00701D17" w:rsidRDefault="009D755F" w:rsidP="00EE1365">
      <w:pPr>
        <w:ind w:firstLine="284"/>
        <w:jc w:val="both"/>
        <w:rPr>
          <w:rStyle w:val="Emphasis"/>
        </w:rPr>
      </w:pPr>
      <w:r w:rsidRPr="00701D17">
        <w:rPr>
          <w:rStyle w:val="Emphasis"/>
        </w:rPr>
        <w:t xml:space="preserve">We apply the best practices in building the VECM model to get a robust model. First, we performed a Stationarity test using the Augmented Dickey-Fuller (AF) and Phillips-Perron (PP) Tests. Second, determine the lag length for the endogenous variable. The wider the Lag Interval, the more it reflects the dynamic nature and endogeneity, but on the other hand, a lag that is too wide will reduce the degree of freedom of the model. This study uses Lag Length Criteria and </w:t>
      </w:r>
      <w:proofErr w:type="spellStart"/>
      <w:r w:rsidRPr="00701D17">
        <w:rPr>
          <w:rStyle w:val="Emphasis"/>
        </w:rPr>
        <w:t>Ar</w:t>
      </w:r>
      <w:proofErr w:type="spellEnd"/>
      <w:r w:rsidRPr="00701D17">
        <w:rPr>
          <w:rStyle w:val="Emphasis"/>
        </w:rPr>
        <w:t xml:space="preserve"> Roots to obtain the optimal lag. Third, we carried out a cointegration test between variables in the model using the Johnsen method by assuming the linear trend, which has cointegration with an intercept. In the third stage, a Granger causality test is carried out to see the causal relationship between the variables in the model. Next, the VECM model analysis is carried out in the fourth stage</w:t>
      </w:r>
      <w:r w:rsidR="003C0355" w:rsidRPr="00701D17">
        <w:rPr>
          <w:rStyle w:val="Emphasis"/>
        </w:rPr>
        <w:t>.</w:t>
      </w:r>
      <w:r w:rsidRPr="00701D17">
        <w:rPr>
          <w:rStyle w:val="Emphasis"/>
        </w:rPr>
        <w:t xml:space="preserve"> </w:t>
      </w:r>
    </w:p>
    <w:p w14:paraId="44CEC7A4" w14:textId="3F7DBA6D" w:rsidR="009D755F" w:rsidRPr="00701D17" w:rsidRDefault="009D755F" w:rsidP="00EE1365">
      <w:pPr>
        <w:ind w:firstLine="284"/>
        <w:jc w:val="both"/>
        <w:rPr>
          <w:rStyle w:val="Emphasis"/>
        </w:rPr>
      </w:pPr>
      <w:r w:rsidRPr="00701D17">
        <w:rPr>
          <w:rStyle w:val="Emphasis"/>
        </w:rPr>
        <w:t>After the VECM model is obtained, the Impulse Response function (IRF) helps explain the dynamic system of the VECM model by showing the existence of impulses between endogenous variables and the variables themselves when a shock occurs. Suppose the impulse response is adopted to reflect the shock effect of the system on the internal variables. In that case, variance decomposition refers to the decomposition of the mean squared error whose contribution comes from each variable. Therefore, variance decomposition can be applied to analyze the effect of changes in each variable on other variables</w:t>
      </w:r>
      <w:r w:rsidR="0082600A" w:rsidRPr="00701D17">
        <w:rPr>
          <w:rStyle w:val="Emphasis"/>
        </w:rPr>
        <w:t>.</w:t>
      </w:r>
      <w:r w:rsidRPr="00701D17">
        <w:rPr>
          <w:rStyle w:val="Emphasis"/>
        </w:rPr>
        <w:t xml:space="preserve"> </w:t>
      </w:r>
    </w:p>
    <w:p w14:paraId="4BCDAA55" w14:textId="40F68388" w:rsidR="009D755F" w:rsidRDefault="009D755F" w:rsidP="00EE1365">
      <w:pPr>
        <w:ind w:firstLine="284"/>
        <w:jc w:val="both"/>
        <w:rPr>
          <w:rStyle w:val="Emphasis"/>
        </w:rPr>
      </w:pPr>
      <w:r w:rsidRPr="00701D17">
        <w:rPr>
          <w:rStyle w:val="Emphasis"/>
        </w:rPr>
        <w:t>The nature of VECM, a simultaneous equation, also provides the advantage that each variable can be placed as a dependent variable. Based on equation (6) and the nine variables included in the model, this study constructs eight models such as equations (7.1)-(7.4). The eight models formed will provide a perspective on the dynamic relationship between economic growth, welfare, the environment, and the role of government.</w:t>
      </w:r>
    </w:p>
    <w:p w14:paraId="4C20D6E4" w14:textId="77777777" w:rsidR="00701D17" w:rsidRPr="00701D17" w:rsidRDefault="00701D17" w:rsidP="00EE1365">
      <w:pPr>
        <w:ind w:firstLine="284"/>
        <w:jc w:val="both"/>
        <w:rPr>
          <w:rStyle w:val="Emphasis"/>
        </w:rPr>
      </w:pPr>
    </w:p>
    <w:p w14:paraId="2C0C4ADC" w14:textId="48BC658C" w:rsidR="009D755F" w:rsidRPr="00A50F32" w:rsidRDefault="009D755F" w:rsidP="009D755F">
      <w:pPr>
        <w:jc w:val="both"/>
        <w:rPr>
          <w:rFonts w:eastAsiaTheme="minorEastAsia"/>
          <w:sz w:val="20"/>
        </w:rPr>
      </w:pPr>
      <m:oMath>
        <m:r>
          <w:rPr>
            <w:rFonts w:ascii="Cambria Math" w:hAnsi="Cambria Math"/>
            <w:sz w:val="20"/>
          </w:rPr>
          <m:t>EG=</m:t>
        </m:r>
        <m:sSub>
          <m:sSubPr>
            <m:ctrlPr>
              <w:rPr>
                <w:rFonts w:ascii="Cambria Math" w:hAnsi="Cambria Math"/>
                <w:i/>
                <w:sz w:val="20"/>
              </w:rPr>
            </m:ctrlPr>
          </m:sSubPr>
          <m:e>
            <m:r>
              <w:rPr>
                <w:rFonts w:ascii="Cambria Math" w:hAnsi="Cambria Math"/>
                <w:sz w:val="20"/>
              </w:rPr>
              <m:t>a</m:t>
            </m:r>
          </m:e>
          <m:sub>
            <m:r>
              <w:rPr>
                <w:rFonts w:ascii="Cambria Math" w:hAnsi="Cambria Math"/>
                <w:sz w:val="20"/>
              </w:rPr>
              <m:t>i0</m:t>
            </m:r>
          </m:sub>
        </m:sSub>
        <m:r>
          <w:rPr>
            <w:rFonts w:ascii="Cambria Math" w:hAnsi="Cambria Math"/>
            <w:sz w:val="20"/>
          </w:rPr>
          <m:t>+</m:t>
        </m:r>
        <m:nary>
          <m:naryPr>
            <m:chr m:val="∑"/>
            <m:limLoc m:val="undOvr"/>
            <m:ctrlPr>
              <w:rPr>
                <w:rFonts w:ascii="Cambria Math" w:hAnsi="Cambria Math"/>
                <w:i/>
                <w:sz w:val="20"/>
              </w:rPr>
            </m:ctrlPr>
          </m:naryPr>
          <m:sub>
            <m:r>
              <w:rPr>
                <w:rFonts w:ascii="Cambria Math" w:hAnsi="Cambria Math"/>
                <w:sz w:val="20"/>
              </w:rPr>
              <m:t>i=1</m:t>
            </m:r>
          </m:sub>
          <m:sup>
            <m:r>
              <w:rPr>
                <w:rFonts w:ascii="Cambria Math" w:hAnsi="Cambria Math"/>
                <w:sz w:val="20"/>
              </w:rPr>
              <m:t>p</m:t>
            </m:r>
          </m:sup>
          <m:e>
            <m:sSub>
              <m:sSubPr>
                <m:ctrlPr>
                  <w:rPr>
                    <w:rFonts w:ascii="Cambria Math" w:hAnsi="Cambria Math"/>
                    <w:sz w:val="20"/>
                  </w:rPr>
                </m:ctrlPr>
              </m:sSubPr>
              <m:e>
                <m:r>
                  <m:rPr>
                    <m:sty m:val="p"/>
                  </m:rPr>
                  <w:rPr>
                    <w:rFonts w:ascii="Cambria Math" w:hAnsi="Cambria Math"/>
                    <w:sz w:val="20"/>
                  </w:rPr>
                  <m:t>γ</m:t>
                </m:r>
              </m:e>
              <m:sub>
                <m:r>
                  <w:rPr>
                    <w:rFonts w:ascii="Cambria Math" w:hAnsi="Cambria Math"/>
                    <w:sz w:val="20"/>
                  </w:rPr>
                  <m:t>i</m:t>
                </m:r>
              </m:sub>
            </m:sSub>
          </m:e>
        </m:nary>
        <m:r>
          <m:rPr>
            <m:sty m:val="p"/>
          </m:rPr>
          <w:rPr>
            <w:rFonts w:ascii="Cambria Math" w:hAnsi="Cambria Math"/>
            <w:sz w:val="20"/>
          </w:rPr>
          <m:t>Δ</m:t>
        </m:r>
        <m:sSub>
          <m:sSubPr>
            <m:ctrlPr>
              <w:rPr>
                <w:rFonts w:ascii="Cambria Math" w:hAnsi="Cambria Math"/>
                <w:i/>
                <w:sz w:val="20"/>
              </w:rPr>
            </m:ctrlPr>
          </m:sSubPr>
          <m:e>
            <m:sSub>
              <m:sSubPr>
                <m:ctrlPr>
                  <w:rPr>
                    <w:rFonts w:ascii="Cambria Math" w:hAnsi="Cambria Math"/>
                    <w:i/>
                    <w:sz w:val="20"/>
                  </w:rPr>
                </m:ctrlPr>
              </m:sSubPr>
              <m:e>
                <m:r>
                  <w:rPr>
                    <w:rFonts w:ascii="Cambria Math" w:hAnsi="Cambria Math"/>
                    <w:sz w:val="20"/>
                  </w:rPr>
                  <m:t>MP</m:t>
                </m:r>
              </m:e>
              <m:sub>
                <m:r>
                  <w:rPr>
                    <w:rFonts w:ascii="Cambria Math" w:hAnsi="Cambria Math"/>
                    <w:sz w:val="20"/>
                  </w:rPr>
                  <m:t>p</m:t>
                </m:r>
              </m:sub>
            </m:sSub>
          </m:e>
          <m:sub>
            <m:r>
              <w:rPr>
                <w:rFonts w:ascii="Cambria Math" w:hAnsi="Cambria Math"/>
                <w:sz w:val="20"/>
              </w:rPr>
              <m:t>t-1</m:t>
            </m:r>
          </m:sub>
        </m:sSub>
        <m:r>
          <w:rPr>
            <w:rFonts w:ascii="Cambria Math" w:hAnsi="Cambria Math"/>
            <w:sz w:val="20"/>
          </w:rPr>
          <m:t>+</m:t>
        </m:r>
        <m:nary>
          <m:naryPr>
            <m:chr m:val="∑"/>
            <m:limLoc m:val="undOvr"/>
            <m:ctrlPr>
              <w:rPr>
                <w:rFonts w:ascii="Cambria Math" w:hAnsi="Cambria Math"/>
                <w:i/>
                <w:sz w:val="20"/>
              </w:rPr>
            </m:ctrlPr>
          </m:naryPr>
          <m:sub>
            <m:r>
              <w:rPr>
                <w:rFonts w:ascii="Cambria Math" w:hAnsi="Cambria Math"/>
                <w:sz w:val="20"/>
              </w:rPr>
              <m:t>i=1</m:t>
            </m:r>
          </m:sub>
          <m:sup>
            <m:r>
              <w:rPr>
                <w:rFonts w:ascii="Cambria Math" w:hAnsi="Cambria Math"/>
                <w:sz w:val="20"/>
              </w:rPr>
              <m:t>p</m:t>
            </m:r>
          </m:sup>
          <m:e>
            <m:sSub>
              <m:sSubPr>
                <m:ctrlPr>
                  <w:rPr>
                    <w:rFonts w:ascii="Cambria Math" w:hAnsi="Cambria Math"/>
                    <w:sz w:val="20"/>
                  </w:rPr>
                </m:ctrlPr>
              </m:sSubPr>
              <m:e>
                <m:r>
                  <w:rPr>
                    <w:rFonts w:ascii="Cambria Math" w:hAnsi="Cambria Math"/>
                    <w:sz w:val="20"/>
                  </w:rPr>
                  <m:t>ζ</m:t>
                </m:r>
              </m:e>
              <m:sub>
                <m:r>
                  <w:rPr>
                    <w:rFonts w:ascii="Cambria Math" w:hAnsi="Cambria Math"/>
                    <w:sz w:val="20"/>
                  </w:rPr>
                  <m:t>i</m:t>
                </m:r>
              </m:sub>
            </m:sSub>
          </m:e>
        </m:nary>
        <m:r>
          <m:rPr>
            <m:sty m:val="p"/>
          </m:rPr>
          <w:rPr>
            <w:rFonts w:ascii="Cambria Math" w:hAnsi="Cambria Math"/>
            <w:sz w:val="20"/>
          </w:rPr>
          <m:t>Δ</m:t>
        </m:r>
        <m:sSub>
          <m:sSubPr>
            <m:ctrlPr>
              <w:rPr>
                <w:rFonts w:ascii="Cambria Math" w:hAnsi="Cambria Math"/>
                <w:i/>
                <w:sz w:val="20"/>
              </w:rPr>
            </m:ctrlPr>
          </m:sSubPr>
          <m:e>
            <m:sSub>
              <m:sSubPr>
                <m:ctrlPr>
                  <w:rPr>
                    <w:rFonts w:ascii="Cambria Math" w:hAnsi="Cambria Math"/>
                    <w:i/>
                    <w:sz w:val="20"/>
                  </w:rPr>
                </m:ctrlPr>
              </m:sSubPr>
              <m:e>
                <m:r>
                  <w:rPr>
                    <w:rFonts w:ascii="Cambria Math" w:hAnsi="Cambria Math"/>
                    <w:sz w:val="20"/>
                  </w:rPr>
                  <m:t>CI</m:t>
                </m:r>
              </m:e>
              <m:sub>
                <m:r>
                  <w:rPr>
                    <w:rFonts w:ascii="Cambria Math" w:hAnsi="Cambria Math"/>
                    <w:sz w:val="20"/>
                  </w:rPr>
                  <m:t>l</m:t>
                </m:r>
              </m:sub>
            </m:sSub>
          </m:e>
          <m:sub>
            <m:r>
              <w:rPr>
                <w:rFonts w:ascii="Cambria Math" w:hAnsi="Cambria Math"/>
                <w:sz w:val="20"/>
              </w:rPr>
              <m:t>t-1</m:t>
            </m:r>
          </m:sub>
        </m:sSub>
        <m:r>
          <w:rPr>
            <w:rFonts w:ascii="Cambria Math" w:hAnsi="Cambria Math"/>
            <w:sz w:val="20"/>
          </w:rPr>
          <m:t>+</m:t>
        </m:r>
        <m:sSub>
          <m:sSubPr>
            <m:ctrlPr>
              <w:rPr>
                <w:rFonts w:ascii="Cambria Math" w:hAnsi="Cambria Math"/>
                <w:i/>
                <w:sz w:val="20"/>
              </w:rPr>
            </m:ctrlPr>
          </m:sSubPr>
          <m:e>
            <m:nary>
              <m:naryPr>
                <m:chr m:val="∑"/>
                <m:limLoc m:val="undOvr"/>
                <m:ctrlPr>
                  <w:rPr>
                    <w:rFonts w:ascii="Cambria Math" w:hAnsi="Cambria Math"/>
                    <w:i/>
                    <w:sz w:val="20"/>
                  </w:rPr>
                </m:ctrlPr>
              </m:naryPr>
              <m:sub>
                <m:r>
                  <w:rPr>
                    <w:rFonts w:ascii="Cambria Math" w:hAnsi="Cambria Math"/>
                    <w:sz w:val="20"/>
                  </w:rPr>
                  <m:t>i=1</m:t>
                </m:r>
              </m:sub>
              <m:sup>
                <m:r>
                  <w:rPr>
                    <w:rFonts w:ascii="Cambria Math" w:hAnsi="Cambria Math"/>
                    <w:sz w:val="20"/>
                  </w:rPr>
                  <m:t>p</m:t>
                </m:r>
              </m:sup>
              <m:e>
                <m:sSub>
                  <m:sSubPr>
                    <m:ctrlPr>
                      <w:rPr>
                        <w:rFonts w:ascii="Cambria Math" w:hAnsi="Cambria Math"/>
                        <w:sz w:val="20"/>
                      </w:rPr>
                    </m:ctrlPr>
                  </m:sSubPr>
                  <m:e>
                    <m:r>
                      <m:rPr>
                        <m:sty m:val="p"/>
                      </m:rPr>
                      <w:rPr>
                        <w:rFonts w:ascii="Cambria Math" w:hAnsi="Cambria Math"/>
                        <w:sz w:val="20"/>
                      </w:rPr>
                      <m:t>θ</m:t>
                    </m:r>
                  </m:e>
                  <m:sub>
                    <m:r>
                      <w:rPr>
                        <w:rFonts w:ascii="Cambria Math" w:hAnsi="Cambria Math"/>
                        <w:sz w:val="20"/>
                      </w:rPr>
                      <m:t>i</m:t>
                    </m:r>
                  </m:sub>
                </m:sSub>
              </m:e>
            </m:nary>
            <m:r>
              <m:rPr>
                <m:sty m:val="p"/>
              </m:rPr>
              <w:rPr>
                <w:rFonts w:ascii="Cambria Math" w:hAnsi="Cambria Math"/>
                <w:sz w:val="20"/>
              </w:rPr>
              <m:t>Δ</m:t>
            </m:r>
            <m:sSub>
              <m:sSubPr>
                <m:ctrlPr>
                  <w:rPr>
                    <w:rFonts w:ascii="Cambria Math" w:hAnsi="Cambria Math"/>
                    <w:i/>
                    <w:sz w:val="20"/>
                  </w:rPr>
                </m:ctrlPr>
              </m:sSubPr>
              <m:e>
                <m:r>
                  <w:rPr>
                    <w:rFonts w:ascii="Cambria Math" w:hAnsi="Cambria Math"/>
                    <w:sz w:val="20"/>
                  </w:rPr>
                  <m:t>IPR</m:t>
                </m:r>
              </m:e>
              <m:sub>
                <m:r>
                  <w:rPr>
                    <w:rFonts w:ascii="Cambria Math" w:hAnsi="Cambria Math"/>
                    <w:sz w:val="20"/>
                  </w:rPr>
                  <m:t>t-1</m:t>
                </m:r>
              </m:sub>
            </m:sSub>
            <m:r>
              <w:rPr>
                <w:rFonts w:ascii="Cambria Math" w:hAnsi="Cambria Math"/>
                <w:sz w:val="20"/>
              </w:rPr>
              <m:t>+μ</m:t>
            </m:r>
          </m:e>
          <m:sub>
            <m:r>
              <w:rPr>
                <w:rFonts w:ascii="Cambria Math" w:hAnsi="Cambria Math"/>
                <w:sz w:val="20"/>
              </w:rPr>
              <m:t>t</m:t>
            </m:r>
          </m:sub>
        </m:sSub>
      </m:oMath>
      <w:r w:rsidRPr="00A50F32">
        <w:rPr>
          <w:rFonts w:eastAsiaTheme="minorEastAsia"/>
          <w:sz w:val="20"/>
        </w:rPr>
        <w:t xml:space="preserve"> </w:t>
      </w:r>
      <w:r w:rsidR="00EE1365">
        <w:rPr>
          <w:rFonts w:eastAsiaTheme="minorEastAsia"/>
          <w:sz w:val="20"/>
        </w:rPr>
        <w:tab/>
      </w:r>
      <w:r w:rsidR="00EE1365">
        <w:rPr>
          <w:rFonts w:eastAsiaTheme="minorEastAsia"/>
          <w:sz w:val="20"/>
        </w:rPr>
        <w:tab/>
      </w:r>
      <w:r w:rsidR="00EE1365">
        <w:rPr>
          <w:rFonts w:eastAsiaTheme="minorEastAsia"/>
          <w:sz w:val="20"/>
        </w:rPr>
        <w:tab/>
      </w:r>
      <w:r w:rsidR="00EE1365">
        <w:rPr>
          <w:rFonts w:eastAsiaTheme="minorEastAsia"/>
          <w:sz w:val="20"/>
        </w:rPr>
        <w:tab/>
        <w:t xml:space="preserve">      </w:t>
      </w:r>
      <w:r w:rsidRPr="00A50F32">
        <w:rPr>
          <w:rFonts w:eastAsiaTheme="minorEastAsia"/>
          <w:sz w:val="20"/>
        </w:rPr>
        <w:t>(7.1)</w:t>
      </w:r>
    </w:p>
    <w:p w14:paraId="6EA09470" w14:textId="62F105C9" w:rsidR="009D755F" w:rsidRPr="00A50F32" w:rsidRDefault="009D755F" w:rsidP="009D755F">
      <w:pPr>
        <w:jc w:val="both"/>
        <w:rPr>
          <w:rFonts w:eastAsiaTheme="minorEastAsia"/>
          <w:sz w:val="20"/>
        </w:rPr>
      </w:pPr>
      <m:oMath>
        <m:r>
          <w:rPr>
            <w:rFonts w:ascii="Cambria Math" w:hAnsi="Cambria Math"/>
            <w:sz w:val="20"/>
          </w:rPr>
          <m:t>MP=</m:t>
        </m:r>
        <m:sSub>
          <m:sSubPr>
            <m:ctrlPr>
              <w:rPr>
                <w:rFonts w:ascii="Cambria Math" w:hAnsi="Cambria Math"/>
                <w:i/>
                <w:sz w:val="20"/>
              </w:rPr>
            </m:ctrlPr>
          </m:sSubPr>
          <m:e>
            <m:r>
              <w:rPr>
                <w:rFonts w:ascii="Cambria Math" w:hAnsi="Cambria Math"/>
                <w:sz w:val="20"/>
              </w:rPr>
              <m:t>a</m:t>
            </m:r>
          </m:e>
          <m:sub>
            <m:r>
              <w:rPr>
                <w:rFonts w:ascii="Cambria Math" w:hAnsi="Cambria Math"/>
                <w:sz w:val="20"/>
              </w:rPr>
              <m:t>i0</m:t>
            </m:r>
          </m:sub>
        </m:sSub>
        <m:r>
          <w:rPr>
            <w:rFonts w:ascii="Cambria Math" w:hAnsi="Cambria Math"/>
            <w:sz w:val="20"/>
          </w:rPr>
          <m:t>+</m:t>
        </m:r>
        <m:nary>
          <m:naryPr>
            <m:chr m:val="∑"/>
            <m:limLoc m:val="undOvr"/>
            <m:ctrlPr>
              <w:rPr>
                <w:rFonts w:ascii="Cambria Math" w:hAnsi="Cambria Math"/>
                <w:i/>
                <w:sz w:val="20"/>
              </w:rPr>
            </m:ctrlPr>
          </m:naryPr>
          <m:sub>
            <m:r>
              <w:rPr>
                <w:rFonts w:ascii="Cambria Math" w:hAnsi="Cambria Math"/>
                <w:sz w:val="20"/>
              </w:rPr>
              <m:t>i=1</m:t>
            </m:r>
          </m:sub>
          <m:sup>
            <m:r>
              <w:rPr>
                <w:rFonts w:ascii="Cambria Math" w:hAnsi="Cambria Math"/>
                <w:sz w:val="20"/>
              </w:rPr>
              <m:t>p</m:t>
            </m:r>
          </m:sup>
          <m:e>
            <m:sSub>
              <m:sSubPr>
                <m:ctrlPr>
                  <w:rPr>
                    <w:rFonts w:ascii="Cambria Math" w:hAnsi="Cambria Math"/>
                    <w:sz w:val="20"/>
                  </w:rPr>
                </m:ctrlPr>
              </m:sSubPr>
              <m:e>
                <m:r>
                  <m:rPr>
                    <m:sty m:val="p"/>
                  </m:rPr>
                  <w:rPr>
                    <w:rFonts w:ascii="Cambria Math" w:hAnsi="Cambria Math"/>
                    <w:sz w:val="20"/>
                  </w:rPr>
                  <m:t>γ</m:t>
                </m:r>
              </m:e>
              <m:sub>
                <m:r>
                  <w:rPr>
                    <w:rFonts w:ascii="Cambria Math" w:hAnsi="Cambria Math"/>
                    <w:sz w:val="20"/>
                  </w:rPr>
                  <m:t>i</m:t>
                </m:r>
              </m:sub>
            </m:sSub>
          </m:e>
        </m:nary>
        <m:r>
          <m:rPr>
            <m:sty m:val="p"/>
          </m:rPr>
          <w:rPr>
            <w:rFonts w:ascii="Cambria Math" w:hAnsi="Cambria Math"/>
            <w:sz w:val="20"/>
          </w:rPr>
          <m:t>Δ</m:t>
        </m:r>
        <m:sSub>
          <m:sSubPr>
            <m:ctrlPr>
              <w:rPr>
                <w:rFonts w:ascii="Cambria Math" w:hAnsi="Cambria Math"/>
                <w:i/>
                <w:sz w:val="20"/>
              </w:rPr>
            </m:ctrlPr>
          </m:sSubPr>
          <m:e>
            <m:sSub>
              <m:sSubPr>
                <m:ctrlPr>
                  <w:rPr>
                    <w:rFonts w:ascii="Cambria Math" w:hAnsi="Cambria Math"/>
                    <w:i/>
                    <w:sz w:val="20"/>
                  </w:rPr>
                </m:ctrlPr>
              </m:sSubPr>
              <m:e>
                <m:r>
                  <w:rPr>
                    <w:rFonts w:ascii="Cambria Math" w:hAnsi="Cambria Math"/>
                    <w:sz w:val="20"/>
                  </w:rPr>
                  <m:t>EG</m:t>
                </m:r>
              </m:e>
              <m:sub>
                <m:r>
                  <w:rPr>
                    <w:rFonts w:ascii="Cambria Math" w:hAnsi="Cambria Math"/>
                    <w:sz w:val="20"/>
                  </w:rPr>
                  <m:t>p</m:t>
                </m:r>
              </m:sub>
            </m:sSub>
          </m:e>
          <m:sub>
            <m:r>
              <w:rPr>
                <w:rFonts w:ascii="Cambria Math" w:hAnsi="Cambria Math"/>
                <w:sz w:val="20"/>
              </w:rPr>
              <m:t>t-1</m:t>
            </m:r>
          </m:sub>
        </m:sSub>
        <m:r>
          <w:rPr>
            <w:rFonts w:ascii="Cambria Math" w:hAnsi="Cambria Math"/>
            <w:sz w:val="20"/>
          </w:rPr>
          <m:t>+</m:t>
        </m:r>
        <m:nary>
          <m:naryPr>
            <m:chr m:val="∑"/>
            <m:limLoc m:val="undOvr"/>
            <m:ctrlPr>
              <w:rPr>
                <w:rFonts w:ascii="Cambria Math" w:hAnsi="Cambria Math"/>
                <w:i/>
                <w:sz w:val="20"/>
              </w:rPr>
            </m:ctrlPr>
          </m:naryPr>
          <m:sub>
            <m:r>
              <w:rPr>
                <w:rFonts w:ascii="Cambria Math" w:hAnsi="Cambria Math"/>
                <w:sz w:val="20"/>
              </w:rPr>
              <m:t>i=1</m:t>
            </m:r>
          </m:sub>
          <m:sup>
            <m:r>
              <w:rPr>
                <w:rFonts w:ascii="Cambria Math" w:hAnsi="Cambria Math"/>
                <w:sz w:val="20"/>
              </w:rPr>
              <m:t>p</m:t>
            </m:r>
          </m:sup>
          <m:e>
            <m:sSub>
              <m:sSubPr>
                <m:ctrlPr>
                  <w:rPr>
                    <w:rFonts w:ascii="Cambria Math" w:hAnsi="Cambria Math"/>
                    <w:sz w:val="20"/>
                  </w:rPr>
                </m:ctrlPr>
              </m:sSubPr>
              <m:e>
                <m:r>
                  <w:rPr>
                    <w:rFonts w:ascii="Cambria Math" w:hAnsi="Cambria Math"/>
                    <w:sz w:val="20"/>
                  </w:rPr>
                  <m:t>ζ</m:t>
                </m:r>
              </m:e>
              <m:sub>
                <m:r>
                  <w:rPr>
                    <w:rFonts w:ascii="Cambria Math" w:hAnsi="Cambria Math"/>
                    <w:sz w:val="20"/>
                  </w:rPr>
                  <m:t>i</m:t>
                </m:r>
              </m:sub>
            </m:sSub>
          </m:e>
        </m:nary>
        <m:r>
          <m:rPr>
            <m:sty m:val="p"/>
          </m:rPr>
          <w:rPr>
            <w:rFonts w:ascii="Cambria Math" w:hAnsi="Cambria Math"/>
            <w:sz w:val="20"/>
          </w:rPr>
          <m:t>Δ</m:t>
        </m:r>
        <m:sSub>
          <m:sSubPr>
            <m:ctrlPr>
              <w:rPr>
                <w:rFonts w:ascii="Cambria Math" w:hAnsi="Cambria Math"/>
                <w:i/>
                <w:sz w:val="20"/>
              </w:rPr>
            </m:ctrlPr>
          </m:sSubPr>
          <m:e>
            <m:sSub>
              <m:sSubPr>
                <m:ctrlPr>
                  <w:rPr>
                    <w:rFonts w:ascii="Cambria Math" w:hAnsi="Cambria Math"/>
                    <w:i/>
                    <w:sz w:val="20"/>
                  </w:rPr>
                </m:ctrlPr>
              </m:sSubPr>
              <m:e>
                <m:r>
                  <w:rPr>
                    <w:rFonts w:ascii="Cambria Math" w:hAnsi="Cambria Math"/>
                    <w:sz w:val="20"/>
                  </w:rPr>
                  <m:t>CI</m:t>
                </m:r>
              </m:e>
              <m:sub>
                <m:r>
                  <w:rPr>
                    <w:rFonts w:ascii="Cambria Math" w:hAnsi="Cambria Math"/>
                    <w:sz w:val="20"/>
                  </w:rPr>
                  <m:t>l</m:t>
                </m:r>
              </m:sub>
            </m:sSub>
          </m:e>
          <m:sub>
            <m:r>
              <w:rPr>
                <w:rFonts w:ascii="Cambria Math" w:hAnsi="Cambria Math"/>
                <w:sz w:val="20"/>
              </w:rPr>
              <m:t>t-1</m:t>
            </m:r>
          </m:sub>
        </m:sSub>
        <m:r>
          <w:rPr>
            <w:rFonts w:ascii="Cambria Math" w:hAnsi="Cambria Math"/>
            <w:sz w:val="20"/>
          </w:rPr>
          <m:t>+</m:t>
        </m:r>
        <m:sSub>
          <m:sSubPr>
            <m:ctrlPr>
              <w:rPr>
                <w:rFonts w:ascii="Cambria Math" w:hAnsi="Cambria Math"/>
                <w:i/>
                <w:sz w:val="20"/>
              </w:rPr>
            </m:ctrlPr>
          </m:sSubPr>
          <m:e>
            <m:nary>
              <m:naryPr>
                <m:chr m:val="∑"/>
                <m:limLoc m:val="undOvr"/>
                <m:ctrlPr>
                  <w:rPr>
                    <w:rFonts w:ascii="Cambria Math" w:hAnsi="Cambria Math"/>
                    <w:i/>
                    <w:sz w:val="20"/>
                  </w:rPr>
                </m:ctrlPr>
              </m:naryPr>
              <m:sub>
                <m:r>
                  <w:rPr>
                    <w:rFonts w:ascii="Cambria Math" w:hAnsi="Cambria Math"/>
                    <w:sz w:val="20"/>
                  </w:rPr>
                  <m:t>i=1</m:t>
                </m:r>
              </m:sub>
              <m:sup>
                <m:r>
                  <w:rPr>
                    <w:rFonts w:ascii="Cambria Math" w:hAnsi="Cambria Math"/>
                    <w:sz w:val="20"/>
                  </w:rPr>
                  <m:t>p</m:t>
                </m:r>
              </m:sup>
              <m:e>
                <m:sSub>
                  <m:sSubPr>
                    <m:ctrlPr>
                      <w:rPr>
                        <w:rFonts w:ascii="Cambria Math" w:hAnsi="Cambria Math"/>
                        <w:sz w:val="20"/>
                      </w:rPr>
                    </m:ctrlPr>
                  </m:sSubPr>
                  <m:e>
                    <m:r>
                      <m:rPr>
                        <m:sty m:val="p"/>
                      </m:rPr>
                      <w:rPr>
                        <w:rFonts w:ascii="Cambria Math" w:hAnsi="Cambria Math"/>
                        <w:sz w:val="20"/>
                      </w:rPr>
                      <m:t>θ</m:t>
                    </m:r>
                  </m:e>
                  <m:sub>
                    <m:r>
                      <w:rPr>
                        <w:rFonts w:ascii="Cambria Math" w:hAnsi="Cambria Math"/>
                        <w:sz w:val="20"/>
                      </w:rPr>
                      <m:t>i</m:t>
                    </m:r>
                  </m:sub>
                </m:sSub>
              </m:e>
            </m:nary>
            <m:r>
              <m:rPr>
                <m:sty m:val="p"/>
              </m:rPr>
              <w:rPr>
                <w:rFonts w:ascii="Cambria Math" w:hAnsi="Cambria Math"/>
                <w:sz w:val="20"/>
              </w:rPr>
              <m:t>Δ</m:t>
            </m:r>
            <m:sSub>
              <m:sSubPr>
                <m:ctrlPr>
                  <w:rPr>
                    <w:rFonts w:ascii="Cambria Math" w:hAnsi="Cambria Math"/>
                    <w:i/>
                    <w:sz w:val="20"/>
                  </w:rPr>
                </m:ctrlPr>
              </m:sSubPr>
              <m:e>
                <m:r>
                  <w:rPr>
                    <w:rFonts w:ascii="Cambria Math" w:hAnsi="Cambria Math"/>
                    <w:sz w:val="20"/>
                  </w:rPr>
                  <m:t>IPR</m:t>
                </m:r>
              </m:e>
              <m:sub>
                <m:r>
                  <w:rPr>
                    <w:rFonts w:ascii="Cambria Math" w:hAnsi="Cambria Math"/>
                    <w:sz w:val="20"/>
                  </w:rPr>
                  <m:t>t-1</m:t>
                </m:r>
              </m:sub>
            </m:sSub>
            <m:r>
              <w:rPr>
                <w:rFonts w:ascii="Cambria Math" w:hAnsi="Cambria Math"/>
                <w:sz w:val="20"/>
              </w:rPr>
              <m:t>+μ</m:t>
            </m:r>
          </m:e>
          <m:sub>
            <m:r>
              <w:rPr>
                <w:rFonts w:ascii="Cambria Math" w:hAnsi="Cambria Math"/>
                <w:sz w:val="20"/>
              </w:rPr>
              <m:t>t</m:t>
            </m:r>
          </m:sub>
        </m:sSub>
      </m:oMath>
      <w:r w:rsidRPr="00A50F32">
        <w:rPr>
          <w:rFonts w:eastAsiaTheme="minorEastAsia"/>
          <w:sz w:val="20"/>
        </w:rPr>
        <w:t xml:space="preserve"> </w:t>
      </w:r>
      <w:r w:rsidR="00EE1365">
        <w:rPr>
          <w:rFonts w:eastAsiaTheme="minorEastAsia"/>
          <w:sz w:val="20"/>
        </w:rPr>
        <w:tab/>
      </w:r>
      <w:r w:rsidR="00EE1365">
        <w:rPr>
          <w:rFonts w:eastAsiaTheme="minorEastAsia"/>
          <w:sz w:val="20"/>
        </w:rPr>
        <w:tab/>
      </w:r>
      <w:r w:rsidR="00EE1365">
        <w:rPr>
          <w:rFonts w:eastAsiaTheme="minorEastAsia"/>
          <w:sz w:val="20"/>
        </w:rPr>
        <w:tab/>
      </w:r>
      <w:r w:rsidR="00EE1365">
        <w:rPr>
          <w:rFonts w:eastAsiaTheme="minorEastAsia"/>
          <w:sz w:val="20"/>
        </w:rPr>
        <w:tab/>
        <w:t xml:space="preserve">      </w:t>
      </w:r>
      <w:r w:rsidRPr="00A50F32">
        <w:rPr>
          <w:rFonts w:eastAsiaTheme="minorEastAsia"/>
          <w:sz w:val="20"/>
        </w:rPr>
        <w:t>(7.2)</w:t>
      </w:r>
    </w:p>
    <w:p w14:paraId="216B8792" w14:textId="19529F57" w:rsidR="009D755F" w:rsidRPr="00A50F32" w:rsidRDefault="009D755F" w:rsidP="009D755F">
      <w:pPr>
        <w:jc w:val="both"/>
        <w:rPr>
          <w:rFonts w:eastAsiaTheme="minorEastAsia"/>
          <w:sz w:val="20"/>
        </w:rPr>
      </w:pPr>
      <m:oMath>
        <m:r>
          <w:rPr>
            <w:rFonts w:ascii="Cambria Math" w:hAnsi="Cambria Math"/>
            <w:sz w:val="20"/>
          </w:rPr>
          <m:t>CI=</m:t>
        </m:r>
        <m:sSub>
          <m:sSubPr>
            <m:ctrlPr>
              <w:rPr>
                <w:rFonts w:ascii="Cambria Math" w:hAnsi="Cambria Math"/>
                <w:i/>
                <w:sz w:val="20"/>
              </w:rPr>
            </m:ctrlPr>
          </m:sSubPr>
          <m:e>
            <m:r>
              <w:rPr>
                <w:rFonts w:ascii="Cambria Math" w:hAnsi="Cambria Math"/>
                <w:sz w:val="20"/>
              </w:rPr>
              <m:t>a</m:t>
            </m:r>
          </m:e>
          <m:sub>
            <m:r>
              <w:rPr>
                <w:rFonts w:ascii="Cambria Math" w:hAnsi="Cambria Math"/>
                <w:sz w:val="20"/>
              </w:rPr>
              <m:t>i0</m:t>
            </m:r>
          </m:sub>
        </m:sSub>
        <m:r>
          <w:rPr>
            <w:rFonts w:ascii="Cambria Math" w:hAnsi="Cambria Math"/>
            <w:sz w:val="20"/>
          </w:rPr>
          <m:t>+</m:t>
        </m:r>
        <m:nary>
          <m:naryPr>
            <m:chr m:val="∑"/>
            <m:limLoc m:val="undOvr"/>
            <m:ctrlPr>
              <w:rPr>
                <w:rFonts w:ascii="Cambria Math" w:hAnsi="Cambria Math"/>
                <w:i/>
                <w:sz w:val="20"/>
              </w:rPr>
            </m:ctrlPr>
          </m:naryPr>
          <m:sub>
            <m:r>
              <w:rPr>
                <w:rFonts w:ascii="Cambria Math" w:hAnsi="Cambria Math"/>
                <w:sz w:val="20"/>
              </w:rPr>
              <m:t>i=1</m:t>
            </m:r>
          </m:sub>
          <m:sup>
            <m:r>
              <w:rPr>
                <w:rFonts w:ascii="Cambria Math" w:hAnsi="Cambria Math"/>
                <w:sz w:val="20"/>
              </w:rPr>
              <m:t>p</m:t>
            </m:r>
          </m:sup>
          <m:e>
            <m:sSub>
              <m:sSubPr>
                <m:ctrlPr>
                  <w:rPr>
                    <w:rFonts w:ascii="Cambria Math" w:hAnsi="Cambria Math"/>
                    <w:sz w:val="20"/>
                  </w:rPr>
                </m:ctrlPr>
              </m:sSubPr>
              <m:e>
                <m:r>
                  <m:rPr>
                    <m:sty m:val="p"/>
                  </m:rPr>
                  <w:rPr>
                    <w:rFonts w:ascii="Cambria Math" w:hAnsi="Cambria Math"/>
                    <w:sz w:val="20"/>
                  </w:rPr>
                  <m:t>γ</m:t>
                </m:r>
              </m:e>
              <m:sub>
                <m:r>
                  <w:rPr>
                    <w:rFonts w:ascii="Cambria Math" w:hAnsi="Cambria Math"/>
                    <w:sz w:val="20"/>
                  </w:rPr>
                  <m:t>i</m:t>
                </m:r>
              </m:sub>
            </m:sSub>
          </m:e>
        </m:nary>
        <m:r>
          <m:rPr>
            <m:sty m:val="p"/>
          </m:rPr>
          <w:rPr>
            <w:rFonts w:ascii="Cambria Math" w:hAnsi="Cambria Math"/>
            <w:sz w:val="20"/>
          </w:rPr>
          <m:t>Δ</m:t>
        </m:r>
        <m:sSub>
          <m:sSubPr>
            <m:ctrlPr>
              <w:rPr>
                <w:rFonts w:ascii="Cambria Math" w:hAnsi="Cambria Math"/>
                <w:i/>
                <w:sz w:val="20"/>
              </w:rPr>
            </m:ctrlPr>
          </m:sSubPr>
          <m:e>
            <m:sSub>
              <m:sSubPr>
                <m:ctrlPr>
                  <w:rPr>
                    <w:rFonts w:ascii="Cambria Math" w:hAnsi="Cambria Math"/>
                    <w:i/>
                    <w:sz w:val="20"/>
                  </w:rPr>
                </m:ctrlPr>
              </m:sSubPr>
              <m:e>
                <m:r>
                  <w:rPr>
                    <w:rFonts w:ascii="Cambria Math" w:hAnsi="Cambria Math"/>
                    <w:sz w:val="20"/>
                  </w:rPr>
                  <m:t>EG</m:t>
                </m:r>
              </m:e>
              <m:sub>
                <m:r>
                  <w:rPr>
                    <w:rFonts w:ascii="Cambria Math" w:hAnsi="Cambria Math"/>
                    <w:sz w:val="20"/>
                  </w:rPr>
                  <m:t>p</m:t>
                </m:r>
              </m:sub>
            </m:sSub>
          </m:e>
          <m:sub>
            <m:r>
              <w:rPr>
                <w:rFonts w:ascii="Cambria Math" w:hAnsi="Cambria Math"/>
                <w:sz w:val="20"/>
              </w:rPr>
              <m:t>t-1</m:t>
            </m:r>
          </m:sub>
        </m:sSub>
        <m:r>
          <w:rPr>
            <w:rFonts w:ascii="Cambria Math" w:hAnsi="Cambria Math"/>
            <w:sz w:val="20"/>
          </w:rPr>
          <m:t>+</m:t>
        </m:r>
        <m:nary>
          <m:naryPr>
            <m:chr m:val="∑"/>
            <m:limLoc m:val="undOvr"/>
            <m:ctrlPr>
              <w:rPr>
                <w:rFonts w:ascii="Cambria Math" w:hAnsi="Cambria Math"/>
                <w:i/>
                <w:sz w:val="20"/>
              </w:rPr>
            </m:ctrlPr>
          </m:naryPr>
          <m:sub>
            <m:r>
              <w:rPr>
                <w:rFonts w:ascii="Cambria Math" w:hAnsi="Cambria Math"/>
                <w:sz w:val="20"/>
              </w:rPr>
              <m:t>i=1</m:t>
            </m:r>
          </m:sub>
          <m:sup>
            <m:r>
              <w:rPr>
                <w:rFonts w:ascii="Cambria Math" w:hAnsi="Cambria Math"/>
                <w:sz w:val="20"/>
              </w:rPr>
              <m:t>p</m:t>
            </m:r>
          </m:sup>
          <m:e>
            <m:sSub>
              <m:sSubPr>
                <m:ctrlPr>
                  <w:rPr>
                    <w:rFonts w:ascii="Cambria Math" w:hAnsi="Cambria Math"/>
                    <w:sz w:val="20"/>
                  </w:rPr>
                </m:ctrlPr>
              </m:sSubPr>
              <m:e>
                <m:r>
                  <w:rPr>
                    <w:rFonts w:ascii="Cambria Math" w:hAnsi="Cambria Math"/>
                    <w:sz w:val="20"/>
                  </w:rPr>
                  <m:t>ζ</m:t>
                </m:r>
              </m:e>
              <m:sub>
                <m:r>
                  <w:rPr>
                    <w:rFonts w:ascii="Cambria Math" w:hAnsi="Cambria Math"/>
                    <w:sz w:val="20"/>
                  </w:rPr>
                  <m:t>i</m:t>
                </m:r>
              </m:sub>
            </m:sSub>
          </m:e>
        </m:nary>
        <m:r>
          <m:rPr>
            <m:sty m:val="p"/>
          </m:rPr>
          <w:rPr>
            <w:rFonts w:ascii="Cambria Math" w:hAnsi="Cambria Math"/>
            <w:sz w:val="20"/>
          </w:rPr>
          <m:t>Δ</m:t>
        </m:r>
        <m:sSub>
          <m:sSubPr>
            <m:ctrlPr>
              <w:rPr>
                <w:rFonts w:ascii="Cambria Math" w:hAnsi="Cambria Math"/>
                <w:i/>
                <w:sz w:val="20"/>
              </w:rPr>
            </m:ctrlPr>
          </m:sSubPr>
          <m:e>
            <m:sSub>
              <m:sSubPr>
                <m:ctrlPr>
                  <w:rPr>
                    <w:rFonts w:ascii="Cambria Math" w:hAnsi="Cambria Math"/>
                    <w:i/>
                    <w:sz w:val="20"/>
                  </w:rPr>
                </m:ctrlPr>
              </m:sSubPr>
              <m:e>
                <m:r>
                  <w:rPr>
                    <w:rFonts w:ascii="Cambria Math" w:hAnsi="Cambria Math"/>
                    <w:sz w:val="20"/>
                  </w:rPr>
                  <m:t>MP</m:t>
                </m:r>
              </m:e>
              <m:sub>
                <m:r>
                  <w:rPr>
                    <w:rFonts w:ascii="Cambria Math" w:hAnsi="Cambria Math"/>
                    <w:sz w:val="20"/>
                  </w:rPr>
                  <m:t>l</m:t>
                </m:r>
              </m:sub>
            </m:sSub>
          </m:e>
          <m:sub>
            <m:r>
              <w:rPr>
                <w:rFonts w:ascii="Cambria Math" w:hAnsi="Cambria Math"/>
                <w:sz w:val="20"/>
              </w:rPr>
              <m:t>t-1</m:t>
            </m:r>
          </m:sub>
        </m:sSub>
        <m:r>
          <w:rPr>
            <w:rFonts w:ascii="Cambria Math" w:hAnsi="Cambria Math"/>
            <w:sz w:val="20"/>
          </w:rPr>
          <m:t>+</m:t>
        </m:r>
        <m:sSub>
          <m:sSubPr>
            <m:ctrlPr>
              <w:rPr>
                <w:rFonts w:ascii="Cambria Math" w:hAnsi="Cambria Math"/>
                <w:i/>
                <w:sz w:val="20"/>
              </w:rPr>
            </m:ctrlPr>
          </m:sSubPr>
          <m:e>
            <m:nary>
              <m:naryPr>
                <m:chr m:val="∑"/>
                <m:limLoc m:val="undOvr"/>
                <m:ctrlPr>
                  <w:rPr>
                    <w:rFonts w:ascii="Cambria Math" w:hAnsi="Cambria Math"/>
                    <w:i/>
                    <w:sz w:val="20"/>
                  </w:rPr>
                </m:ctrlPr>
              </m:naryPr>
              <m:sub>
                <m:r>
                  <w:rPr>
                    <w:rFonts w:ascii="Cambria Math" w:hAnsi="Cambria Math"/>
                    <w:sz w:val="20"/>
                  </w:rPr>
                  <m:t>i=1</m:t>
                </m:r>
              </m:sub>
              <m:sup>
                <m:r>
                  <w:rPr>
                    <w:rFonts w:ascii="Cambria Math" w:hAnsi="Cambria Math"/>
                    <w:sz w:val="20"/>
                  </w:rPr>
                  <m:t>p</m:t>
                </m:r>
              </m:sup>
              <m:e>
                <m:sSub>
                  <m:sSubPr>
                    <m:ctrlPr>
                      <w:rPr>
                        <w:rFonts w:ascii="Cambria Math" w:hAnsi="Cambria Math"/>
                        <w:sz w:val="20"/>
                      </w:rPr>
                    </m:ctrlPr>
                  </m:sSubPr>
                  <m:e>
                    <m:r>
                      <m:rPr>
                        <m:sty m:val="p"/>
                      </m:rPr>
                      <w:rPr>
                        <w:rFonts w:ascii="Cambria Math" w:hAnsi="Cambria Math"/>
                        <w:sz w:val="20"/>
                      </w:rPr>
                      <m:t>θ</m:t>
                    </m:r>
                  </m:e>
                  <m:sub>
                    <m:r>
                      <w:rPr>
                        <w:rFonts w:ascii="Cambria Math" w:hAnsi="Cambria Math"/>
                        <w:sz w:val="20"/>
                      </w:rPr>
                      <m:t>i</m:t>
                    </m:r>
                  </m:sub>
                </m:sSub>
              </m:e>
            </m:nary>
            <m:r>
              <m:rPr>
                <m:sty m:val="p"/>
              </m:rPr>
              <w:rPr>
                <w:rFonts w:ascii="Cambria Math" w:hAnsi="Cambria Math"/>
                <w:sz w:val="20"/>
              </w:rPr>
              <m:t>Δ</m:t>
            </m:r>
            <m:sSub>
              <m:sSubPr>
                <m:ctrlPr>
                  <w:rPr>
                    <w:rFonts w:ascii="Cambria Math" w:hAnsi="Cambria Math"/>
                    <w:i/>
                    <w:sz w:val="20"/>
                  </w:rPr>
                </m:ctrlPr>
              </m:sSubPr>
              <m:e>
                <m:r>
                  <w:rPr>
                    <w:rFonts w:ascii="Cambria Math" w:hAnsi="Cambria Math"/>
                    <w:sz w:val="20"/>
                  </w:rPr>
                  <m:t>IPR</m:t>
                </m:r>
              </m:e>
              <m:sub>
                <m:r>
                  <w:rPr>
                    <w:rFonts w:ascii="Cambria Math" w:hAnsi="Cambria Math"/>
                    <w:sz w:val="20"/>
                  </w:rPr>
                  <m:t>t-1</m:t>
                </m:r>
              </m:sub>
            </m:sSub>
            <m:r>
              <w:rPr>
                <w:rFonts w:ascii="Cambria Math" w:hAnsi="Cambria Math"/>
                <w:sz w:val="20"/>
              </w:rPr>
              <m:t>+μ</m:t>
            </m:r>
          </m:e>
          <m:sub>
            <m:r>
              <w:rPr>
                <w:rFonts w:ascii="Cambria Math" w:hAnsi="Cambria Math"/>
                <w:sz w:val="20"/>
              </w:rPr>
              <m:t>t</m:t>
            </m:r>
          </m:sub>
        </m:sSub>
      </m:oMath>
      <w:r w:rsidRPr="00A50F32">
        <w:rPr>
          <w:rFonts w:eastAsiaTheme="minorEastAsia"/>
          <w:sz w:val="20"/>
        </w:rPr>
        <w:t xml:space="preserve"> </w:t>
      </w:r>
      <w:r w:rsidR="00EE1365">
        <w:rPr>
          <w:rFonts w:eastAsiaTheme="minorEastAsia"/>
          <w:sz w:val="20"/>
        </w:rPr>
        <w:tab/>
      </w:r>
      <w:r w:rsidR="00EE1365">
        <w:rPr>
          <w:rFonts w:eastAsiaTheme="minorEastAsia"/>
          <w:sz w:val="20"/>
        </w:rPr>
        <w:tab/>
      </w:r>
      <w:r w:rsidR="00EE1365">
        <w:rPr>
          <w:rFonts w:eastAsiaTheme="minorEastAsia"/>
          <w:sz w:val="20"/>
        </w:rPr>
        <w:tab/>
      </w:r>
      <w:r w:rsidR="00EE1365">
        <w:rPr>
          <w:rFonts w:eastAsiaTheme="minorEastAsia"/>
          <w:sz w:val="20"/>
        </w:rPr>
        <w:tab/>
        <w:t xml:space="preserve">      </w:t>
      </w:r>
      <w:r w:rsidRPr="00A50F32">
        <w:rPr>
          <w:rFonts w:eastAsiaTheme="minorEastAsia"/>
          <w:sz w:val="20"/>
        </w:rPr>
        <w:t>(7.3)</w:t>
      </w:r>
    </w:p>
    <w:p w14:paraId="353CC1AF" w14:textId="0A454699" w:rsidR="009D755F" w:rsidRPr="00A50F32" w:rsidRDefault="009D755F" w:rsidP="009D755F">
      <w:pPr>
        <w:jc w:val="both"/>
        <w:rPr>
          <w:rFonts w:eastAsiaTheme="minorEastAsia"/>
          <w:sz w:val="20"/>
        </w:rPr>
      </w:pPr>
      <m:oMath>
        <m:r>
          <w:rPr>
            <w:rFonts w:ascii="Cambria Math" w:hAnsi="Cambria Math"/>
            <w:sz w:val="20"/>
          </w:rPr>
          <m:t>IPR=</m:t>
        </m:r>
        <m:sSub>
          <m:sSubPr>
            <m:ctrlPr>
              <w:rPr>
                <w:rFonts w:ascii="Cambria Math" w:hAnsi="Cambria Math"/>
                <w:i/>
                <w:sz w:val="20"/>
              </w:rPr>
            </m:ctrlPr>
          </m:sSubPr>
          <m:e>
            <m:r>
              <w:rPr>
                <w:rFonts w:ascii="Cambria Math" w:hAnsi="Cambria Math"/>
                <w:sz w:val="20"/>
              </w:rPr>
              <m:t>a</m:t>
            </m:r>
          </m:e>
          <m:sub>
            <m:r>
              <w:rPr>
                <w:rFonts w:ascii="Cambria Math" w:hAnsi="Cambria Math"/>
                <w:sz w:val="20"/>
              </w:rPr>
              <m:t>i0</m:t>
            </m:r>
          </m:sub>
        </m:sSub>
        <m:r>
          <w:rPr>
            <w:rFonts w:ascii="Cambria Math" w:hAnsi="Cambria Math"/>
            <w:sz w:val="20"/>
          </w:rPr>
          <m:t>+</m:t>
        </m:r>
        <m:nary>
          <m:naryPr>
            <m:chr m:val="∑"/>
            <m:limLoc m:val="undOvr"/>
            <m:ctrlPr>
              <w:rPr>
                <w:rFonts w:ascii="Cambria Math" w:hAnsi="Cambria Math"/>
                <w:i/>
                <w:sz w:val="20"/>
              </w:rPr>
            </m:ctrlPr>
          </m:naryPr>
          <m:sub>
            <m:r>
              <w:rPr>
                <w:rFonts w:ascii="Cambria Math" w:hAnsi="Cambria Math"/>
                <w:sz w:val="20"/>
              </w:rPr>
              <m:t>i=1</m:t>
            </m:r>
          </m:sub>
          <m:sup>
            <m:r>
              <w:rPr>
                <w:rFonts w:ascii="Cambria Math" w:hAnsi="Cambria Math"/>
                <w:sz w:val="20"/>
              </w:rPr>
              <m:t>p</m:t>
            </m:r>
          </m:sup>
          <m:e>
            <m:sSub>
              <m:sSubPr>
                <m:ctrlPr>
                  <w:rPr>
                    <w:rFonts w:ascii="Cambria Math" w:hAnsi="Cambria Math"/>
                    <w:sz w:val="20"/>
                  </w:rPr>
                </m:ctrlPr>
              </m:sSubPr>
              <m:e>
                <m:r>
                  <m:rPr>
                    <m:sty m:val="p"/>
                  </m:rPr>
                  <w:rPr>
                    <w:rFonts w:ascii="Cambria Math" w:hAnsi="Cambria Math"/>
                    <w:sz w:val="20"/>
                  </w:rPr>
                  <m:t>γ</m:t>
                </m:r>
              </m:e>
              <m:sub>
                <m:r>
                  <w:rPr>
                    <w:rFonts w:ascii="Cambria Math" w:hAnsi="Cambria Math"/>
                    <w:sz w:val="20"/>
                  </w:rPr>
                  <m:t>i</m:t>
                </m:r>
              </m:sub>
            </m:sSub>
          </m:e>
        </m:nary>
        <m:r>
          <m:rPr>
            <m:sty m:val="p"/>
          </m:rPr>
          <w:rPr>
            <w:rFonts w:ascii="Cambria Math" w:hAnsi="Cambria Math"/>
            <w:sz w:val="20"/>
          </w:rPr>
          <m:t>Δ</m:t>
        </m:r>
        <m:sSub>
          <m:sSubPr>
            <m:ctrlPr>
              <w:rPr>
                <w:rFonts w:ascii="Cambria Math" w:hAnsi="Cambria Math"/>
                <w:i/>
                <w:sz w:val="20"/>
              </w:rPr>
            </m:ctrlPr>
          </m:sSubPr>
          <m:e>
            <m:sSub>
              <m:sSubPr>
                <m:ctrlPr>
                  <w:rPr>
                    <w:rFonts w:ascii="Cambria Math" w:hAnsi="Cambria Math"/>
                    <w:i/>
                    <w:sz w:val="20"/>
                  </w:rPr>
                </m:ctrlPr>
              </m:sSubPr>
              <m:e>
                <m:r>
                  <w:rPr>
                    <w:rFonts w:ascii="Cambria Math" w:hAnsi="Cambria Math"/>
                    <w:sz w:val="20"/>
                  </w:rPr>
                  <m:t>EG</m:t>
                </m:r>
              </m:e>
              <m:sub>
                <m:r>
                  <w:rPr>
                    <w:rFonts w:ascii="Cambria Math" w:hAnsi="Cambria Math"/>
                    <w:sz w:val="20"/>
                  </w:rPr>
                  <m:t>p</m:t>
                </m:r>
              </m:sub>
            </m:sSub>
          </m:e>
          <m:sub>
            <m:r>
              <w:rPr>
                <w:rFonts w:ascii="Cambria Math" w:hAnsi="Cambria Math"/>
                <w:sz w:val="20"/>
              </w:rPr>
              <m:t>t-1</m:t>
            </m:r>
          </m:sub>
        </m:sSub>
        <m:r>
          <w:rPr>
            <w:rFonts w:ascii="Cambria Math" w:hAnsi="Cambria Math"/>
            <w:sz w:val="20"/>
          </w:rPr>
          <m:t>+</m:t>
        </m:r>
        <m:nary>
          <m:naryPr>
            <m:chr m:val="∑"/>
            <m:limLoc m:val="undOvr"/>
            <m:ctrlPr>
              <w:rPr>
                <w:rFonts w:ascii="Cambria Math" w:hAnsi="Cambria Math"/>
                <w:i/>
                <w:sz w:val="20"/>
              </w:rPr>
            </m:ctrlPr>
          </m:naryPr>
          <m:sub>
            <m:r>
              <w:rPr>
                <w:rFonts w:ascii="Cambria Math" w:hAnsi="Cambria Math"/>
                <w:sz w:val="20"/>
              </w:rPr>
              <m:t>i=1</m:t>
            </m:r>
          </m:sub>
          <m:sup>
            <m:r>
              <w:rPr>
                <w:rFonts w:ascii="Cambria Math" w:hAnsi="Cambria Math"/>
                <w:sz w:val="20"/>
              </w:rPr>
              <m:t>p</m:t>
            </m:r>
          </m:sup>
          <m:e>
            <m:sSub>
              <m:sSubPr>
                <m:ctrlPr>
                  <w:rPr>
                    <w:rFonts w:ascii="Cambria Math" w:hAnsi="Cambria Math"/>
                    <w:sz w:val="20"/>
                  </w:rPr>
                </m:ctrlPr>
              </m:sSubPr>
              <m:e>
                <m:r>
                  <w:rPr>
                    <w:rFonts w:ascii="Cambria Math" w:hAnsi="Cambria Math"/>
                    <w:sz w:val="20"/>
                  </w:rPr>
                  <m:t>ζ</m:t>
                </m:r>
              </m:e>
              <m:sub>
                <m:r>
                  <w:rPr>
                    <w:rFonts w:ascii="Cambria Math" w:hAnsi="Cambria Math"/>
                    <w:sz w:val="20"/>
                  </w:rPr>
                  <m:t>i</m:t>
                </m:r>
              </m:sub>
            </m:sSub>
          </m:e>
        </m:nary>
        <m:r>
          <m:rPr>
            <m:sty m:val="p"/>
          </m:rPr>
          <w:rPr>
            <w:rFonts w:ascii="Cambria Math" w:hAnsi="Cambria Math"/>
            <w:sz w:val="20"/>
          </w:rPr>
          <m:t>Δ</m:t>
        </m:r>
        <m:sSub>
          <m:sSubPr>
            <m:ctrlPr>
              <w:rPr>
                <w:rFonts w:ascii="Cambria Math" w:hAnsi="Cambria Math"/>
                <w:i/>
                <w:sz w:val="20"/>
              </w:rPr>
            </m:ctrlPr>
          </m:sSubPr>
          <m:e>
            <m:sSub>
              <m:sSubPr>
                <m:ctrlPr>
                  <w:rPr>
                    <w:rFonts w:ascii="Cambria Math" w:hAnsi="Cambria Math"/>
                    <w:i/>
                    <w:sz w:val="20"/>
                  </w:rPr>
                </m:ctrlPr>
              </m:sSubPr>
              <m:e>
                <m:r>
                  <w:rPr>
                    <w:rFonts w:ascii="Cambria Math" w:hAnsi="Cambria Math"/>
                    <w:sz w:val="20"/>
                  </w:rPr>
                  <m:t>MP</m:t>
                </m:r>
              </m:e>
              <m:sub>
                <m:r>
                  <w:rPr>
                    <w:rFonts w:ascii="Cambria Math" w:hAnsi="Cambria Math"/>
                    <w:sz w:val="20"/>
                  </w:rPr>
                  <m:t>l</m:t>
                </m:r>
              </m:sub>
            </m:sSub>
          </m:e>
          <m:sub>
            <m:r>
              <w:rPr>
                <w:rFonts w:ascii="Cambria Math" w:hAnsi="Cambria Math"/>
                <w:sz w:val="20"/>
              </w:rPr>
              <m:t>t-1</m:t>
            </m:r>
          </m:sub>
        </m:sSub>
        <m:r>
          <w:rPr>
            <w:rFonts w:ascii="Cambria Math" w:hAnsi="Cambria Math"/>
            <w:sz w:val="20"/>
          </w:rPr>
          <m:t>+</m:t>
        </m:r>
        <m:sSub>
          <m:sSubPr>
            <m:ctrlPr>
              <w:rPr>
                <w:rFonts w:ascii="Cambria Math" w:hAnsi="Cambria Math"/>
                <w:i/>
                <w:sz w:val="20"/>
              </w:rPr>
            </m:ctrlPr>
          </m:sSubPr>
          <m:e>
            <m:nary>
              <m:naryPr>
                <m:chr m:val="∑"/>
                <m:limLoc m:val="undOvr"/>
                <m:ctrlPr>
                  <w:rPr>
                    <w:rFonts w:ascii="Cambria Math" w:hAnsi="Cambria Math"/>
                    <w:i/>
                    <w:sz w:val="20"/>
                  </w:rPr>
                </m:ctrlPr>
              </m:naryPr>
              <m:sub>
                <m:r>
                  <w:rPr>
                    <w:rFonts w:ascii="Cambria Math" w:hAnsi="Cambria Math"/>
                    <w:sz w:val="20"/>
                  </w:rPr>
                  <m:t>i=1</m:t>
                </m:r>
              </m:sub>
              <m:sup>
                <m:r>
                  <w:rPr>
                    <w:rFonts w:ascii="Cambria Math" w:hAnsi="Cambria Math"/>
                    <w:sz w:val="20"/>
                  </w:rPr>
                  <m:t>p</m:t>
                </m:r>
              </m:sup>
              <m:e>
                <m:sSub>
                  <m:sSubPr>
                    <m:ctrlPr>
                      <w:rPr>
                        <w:rFonts w:ascii="Cambria Math" w:hAnsi="Cambria Math"/>
                        <w:sz w:val="20"/>
                      </w:rPr>
                    </m:ctrlPr>
                  </m:sSubPr>
                  <m:e>
                    <m:r>
                      <m:rPr>
                        <m:sty m:val="p"/>
                      </m:rPr>
                      <w:rPr>
                        <w:rFonts w:ascii="Cambria Math" w:hAnsi="Cambria Math"/>
                        <w:sz w:val="20"/>
                      </w:rPr>
                      <m:t>θ</m:t>
                    </m:r>
                  </m:e>
                  <m:sub>
                    <m:r>
                      <w:rPr>
                        <w:rFonts w:ascii="Cambria Math" w:hAnsi="Cambria Math"/>
                        <w:sz w:val="20"/>
                      </w:rPr>
                      <m:t>i</m:t>
                    </m:r>
                  </m:sub>
                </m:sSub>
              </m:e>
            </m:nary>
            <m:r>
              <m:rPr>
                <m:sty m:val="p"/>
              </m:rPr>
              <w:rPr>
                <w:rFonts w:ascii="Cambria Math" w:hAnsi="Cambria Math"/>
                <w:sz w:val="20"/>
              </w:rPr>
              <m:t>Δ</m:t>
            </m:r>
            <m:sSub>
              <m:sSubPr>
                <m:ctrlPr>
                  <w:rPr>
                    <w:rFonts w:ascii="Cambria Math" w:hAnsi="Cambria Math"/>
                    <w:i/>
                    <w:sz w:val="20"/>
                  </w:rPr>
                </m:ctrlPr>
              </m:sSubPr>
              <m:e>
                <m:r>
                  <w:rPr>
                    <w:rFonts w:ascii="Cambria Math" w:hAnsi="Cambria Math"/>
                    <w:sz w:val="20"/>
                  </w:rPr>
                  <m:t>CI</m:t>
                </m:r>
              </m:e>
              <m:sub>
                <m:r>
                  <w:rPr>
                    <w:rFonts w:ascii="Cambria Math" w:hAnsi="Cambria Math"/>
                    <w:sz w:val="20"/>
                  </w:rPr>
                  <m:t>t-1</m:t>
                </m:r>
              </m:sub>
            </m:sSub>
            <m:r>
              <w:rPr>
                <w:rFonts w:ascii="Cambria Math" w:hAnsi="Cambria Math"/>
                <w:sz w:val="20"/>
              </w:rPr>
              <m:t>+μ</m:t>
            </m:r>
          </m:e>
          <m:sub>
            <m:r>
              <w:rPr>
                <w:rFonts w:ascii="Cambria Math" w:hAnsi="Cambria Math"/>
                <w:sz w:val="20"/>
              </w:rPr>
              <m:t>t</m:t>
            </m:r>
          </m:sub>
        </m:sSub>
      </m:oMath>
      <w:r w:rsidR="00EE1365">
        <w:rPr>
          <w:rFonts w:eastAsiaTheme="minorEastAsia"/>
          <w:sz w:val="20"/>
        </w:rPr>
        <w:tab/>
      </w:r>
      <w:r w:rsidR="00EE1365">
        <w:rPr>
          <w:rFonts w:eastAsiaTheme="minorEastAsia"/>
          <w:sz w:val="20"/>
        </w:rPr>
        <w:tab/>
      </w:r>
      <w:r w:rsidR="00EE1365">
        <w:rPr>
          <w:rFonts w:eastAsiaTheme="minorEastAsia"/>
          <w:sz w:val="20"/>
        </w:rPr>
        <w:tab/>
      </w:r>
      <w:r w:rsidR="00EE1365">
        <w:rPr>
          <w:rFonts w:eastAsiaTheme="minorEastAsia"/>
          <w:sz w:val="20"/>
        </w:rPr>
        <w:tab/>
        <w:t xml:space="preserve">      </w:t>
      </w:r>
      <w:r w:rsidRPr="00A50F32">
        <w:rPr>
          <w:rFonts w:eastAsiaTheme="minorEastAsia"/>
          <w:sz w:val="20"/>
        </w:rPr>
        <w:t>(7.4)</w:t>
      </w:r>
    </w:p>
    <w:p w14:paraId="23E0C890" w14:textId="77777777" w:rsidR="00701D17" w:rsidRDefault="00701D17" w:rsidP="00EE1365">
      <w:pPr>
        <w:pStyle w:val="Equation"/>
        <w:ind w:firstLine="284"/>
        <w:jc w:val="left"/>
      </w:pPr>
    </w:p>
    <w:p w14:paraId="22F15662" w14:textId="22E0C48B" w:rsidR="00EA50A7" w:rsidRPr="00444A2E" w:rsidRDefault="009D755F" w:rsidP="00444A2E">
      <w:pPr>
        <w:pStyle w:val="Equation"/>
        <w:ind w:firstLine="284"/>
        <w:jc w:val="both"/>
        <w:rPr>
          <w:rStyle w:val="Emphasis"/>
        </w:rPr>
      </w:pPr>
      <w:r w:rsidRPr="00444A2E">
        <w:rPr>
          <w:rStyle w:val="Emphasis"/>
        </w:rPr>
        <w:t xml:space="preserve">Description: EG is economic growth; MP is mobile phone ownership; CI is the cost of using intellectual property; IPR is the number of patents; </w:t>
      </w:r>
      <w:proofErr w:type="spellStart"/>
      <w:r w:rsidRPr="00444A2E">
        <w:rPr>
          <w:rStyle w:val="Emphasis"/>
        </w:rPr>
        <w:t>i</w:t>
      </w:r>
      <w:proofErr w:type="spellEnd"/>
      <w:r w:rsidRPr="00444A2E">
        <w:rPr>
          <w:rStyle w:val="Emphasis"/>
        </w:rPr>
        <w:t xml:space="preserve"> is the </w:t>
      </w:r>
      <w:proofErr w:type="spellStart"/>
      <w:r w:rsidRPr="00444A2E">
        <w:rPr>
          <w:rStyle w:val="Emphasis"/>
        </w:rPr>
        <w:t>ith</w:t>
      </w:r>
      <w:proofErr w:type="spellEnd"/>
      <w:r w:rsidRPr="00444A2E">
        <w:rPr>
          <w:rStyle w:val="Emphasis"/>
        </w:rPr>
        <w:t xml:space="preserve"> lag, and p is the optimal lag length.</w:t>
      </w:r>
      <w:r w:rsidR="00784F94" w:rsidRPr="00444A2E">
        <w:rPr>
          <w:rStyle w:val="Emphasis"/>
        </w:rPr>
        <w:tab/>
      </w:r>
    </w:p>
    <w:p w14:paraId="384519A9" w14:textId="4852B5F9" w:rsidR="00EA50A7" w:rsidRPr="00A50F32" w:rsidRDefault="00EA50A7" w:rsidP="00784F94">
      <w:pPr>
        <w:pStyle w:val="Heading1"/>
      </w:pPr>
      <w:r w:rsidRPr="00A50F32">
        <w:t>RESULTS AND DISCUSSION</w:t>
      </w:r>
    </w:p>
    <w:p w14:paraId="71244E06" w14:textId="1941AFFF" w:rsidR="009D755F" w:rsidRPr="00EE1365" w:rsidRDefault="00EE1365" w:rsidP="00EE1365">
      <w:pPr>
        <w:pStyle w:val="Heading2"/>
      </w:pPr>
      <w:r w:rsidRPr="00EE1365">
        <w:t>TEST STATIONARITY PANEL</w:t>
      </w:r>
    </w:p>
    <w:p w14:paraId="18D22442" w14:textId="10F28075" w:rsidR="009D755F" w:rsidRPr="00444A2E" w:rsidRDefault="009D755F" w:rsidP="00EE1365">
      <w:pPr>
        <w:ind w:firstLine="284"/>
        <w:jc w:val="both"/>
        <w:rPr>
          <w:rStyle w:val="Emphasis"/>
        </w:rPr>
      </w:pPr>
      <w:r w:rsidRPr="00444A2E">
        <w:rPr>
          <w:rStyle w:val="Emphasis"/>
        </w:rPr>
        <w:t>The results of the panel unit root test stationarity test show that the data used in this research is not stationary at the level and stationary at the first different degree</w:t>
      </w:r>
      <w:r w:rsidR="00E31332">
        <w:rPr>
          <w:rStyle w:val="Emphasis"/>
        </w:rPr>
        <w:t xml:space="preserve"> as displayed in </w:t>
      </w:r>
      <w:r w:rsidR="00E31332" w:rsidRPr="00E31332">
        <w:rPr>
          <w:rStyle w:val="Emphasis"/>
          <w:b/>
          <w:bCs/>
        </w:rPr>
        <w:t>TABLE 1</w:t>
      </w:r>
      <w:r w:rsidR="00E31332">
        <w:rPr>
          <w:rStyle w:val="Emphasis"/>
        </w:rPr>
        <w:t>.</w:t>
      </w:r>
      <w:r w:rsidRPr="00444A2E">
        <w:rPr>
          <w:rStyle w:val="Emphasis"/>
        </w:rPr>
        <w:t xml:space="preserve"> </w:t>
      </w:r>
      <w:r w:rsidR="00E31332">
        <w:rPr>
          <w:rStyle w:val="Emphasis"/>
        </w:rPr>
        <w:t>T</w:t>
      </w:r>
      <w:r w:rsidRPr="00444A2E">
        <w:rPr>
          <w:rStyle w:val="Emphasis"/>
        </w:rPr>
        <w:t>hus, it can be said that it can be continued to carry out testing using the VECM test to be able to see the influence between variables in the short term and long.</w:t>
      </w:r>
    </w:p>
    <w:p w14:paraId="50C5B6FE" w14:textId="49A9BF02" w:rsidR="009D755F" w:rsidRPr="00EE1365" w:rsidRDefault="00444A2E" w:rsidP="00444A2E">
      <w:pPr>
        <w:pStyle w:val="TableCaption"/>
        <w:rPr>
          <w:shd w:val="clear" w:color="auto" w:fill="FFFFFF"/>
        </w:rPr>
      </w:pPr>
      <w:r w:rsidRPr="00EE1365">
        <w:rPr>
          <w:b/>
          <w:shd w:val="clear" w:color="auto" w:fill="FFFFFF"/>
        </w:rPr>
        <w:t xml:space="preserve">TABLE </w:t>
      </w:r>
      <w:r w:rsidR="009D755F" w:rsidRPr="00EE1365">
        <w:rPr>
          <w:b/>
          <w:shd w:val="clear" w:color="auto" w:fill="FFFFFF"/>
        </w:rPr>
        <w:t xml:space="preserve">1. </w:t>
      </w:r>
      <w:r w:rsidR="009D755F" w:rsidRPr="00EE1365">
        <w:rPr>
          <w:shd w:val="clear" w:color="auto" w:fill="FFFFFF"/>
        </w:rPr>
        <w:t>Unit Root Test Stationarity Panel</w:t>
      </w:r>
    </w:p>
    <w:tbl>
      <w:tblPr>
        <w:tblStyle w:val="TableGrid"/>
        <w:tblW w:w="9582" w:type="dxa"/>
        <w:tblLook w:val="04A0" w:firstRow="1" w:lastRow="0" w:firstColumn="1" w:lastColumn="0" w:noHBand="0" w:noVBand="1"/>
      </w:tblPr>
      <w:tblGrid>
        <w:gridCol w:w="1242"/>
        <w:gridCol w:w="1985"/>
        <w:gridCol w:w="1559"/>
        <w:gridCol w:w="1417"/>
        <w:gridCol w:w="1418"/>
        <w:gridCol w:w="1961"/>
      </w:tblGrid>
      <w:tr w:rsidR="009D755F" w:rsidRPr="00A50F32" w14:paraId="3684821D" w14:textId="77777777" w:rsidTr="00373F31">
        <w:tc>
          <w:tcPr>
            <w:tcW w:w="9582" w:type="dxa"/>
            <w:gridSpan w:val="6"/>
            <w:vAlign w:val="center"/>
          </w:tcPr>
          <w:p w14:paraId="4C09FEE5" w14:textId="77777777" w:rsidR="009D755F" w:rsidRPr="00A50F32" w:rsidRDefault="009D755F" w:rsidP="00F647C8">
            <w:pPr>
              <w:jc w:val="center"/>
              <w:rPr>
                <w:color w:val="030303"/>
                <w:sz w:val="20"/>
                <w:shd w:val="clear" w:color="auto" w:fill="FFFFFF"/>
              </w:rPr>
            </w:pPr>
            <w:r w:rsidRPr="00A50F32">
              <w:rPr>
                <w:color w:val="000000"/>
                <w:sz w:val="20"/>
              </w:rPr>
              <w:t>Panel unit root test</w:t>
            </w:r>
            <w:r w:rsidRPr="00A50F32">
              <w:rPr>
                <w:color w:val="000000"/>
                <w:sz w:val="20"/>
                <w:lang w:val="en-US"/>
              </w:rPr>
              <w:t xml:space="preserve"> (Level)</w:t>
            </w:r>
          </w:p>
        </w:tc>
      </w:tr>
      <w:tr w:rsidR="009D755F" w:rsidRPr="00A50F32" w14:paraId="57A4ED9A" w14:textId="77777777" w:rsidTr="00373F31">
        <w:tc>
          <w:tcPr>
            <w:tcW w:w="1242" w:type="dxa"/>
            <w:vAlign w:val="center"/>
          </w:tcPr>
          <w:p w14:paraId="14807418" w14:textId="77777777" w:rsidR="009D755F" w:rsidRPr="00A50F32" w:rsidRDefault="009D755F" w:rsidP="00F647C8">
            <w:pPr>
              <w:jc w:val="center"/>
              <w:rPr>
                <w:color w:val="030303"/>
                <w:sz w:val="20"/>
                <w:shd w:val="clear" w:color="auto" w:fill="FFFFFF"/>
                <w:lang w:val="en-ID"/>
              </w:rPr>
            </w:pPr>
            <w:proofErr w:type="spellStart"/>
            <w:r w:rsidRPr="00A50F32">
              <w:rPr>
                <w:color w:val="030303"/>
                <w:sz w:val="20"/>
                <w:shd w:val="clear" w:color="auto" w:fill="FFFFFF"/>
                <w:lang w:val="en-ID"/>
              </w:rPr>
              <w:t>Variabel</w:t>
            </w:r>
            <w:proofErr w:type="spellEnd"/>
          </w:p>
        </w:tc>
        <w:tc>
          <w:tcPr>
            <w:tcW w:w="1985" w:type="dxa"/>
            <w:vAlign w:val="center"/>
          </w:tcPr>
          <w:p w14:paraId="1EF2833B" w14:textId="77777777" w:rsidR="009D755F" w:rsidRPr="00A50F32" w:rsidRDefault="009D755F" w:rsidP="00F647C8">
            <w:pPr>
              <w:jc w:val="center"/>
              <w:rPr>
                <w:color w:val="030303"/>
                <w:sz w:val="20"/>
                <w:shd w:val="clear" w:color="auto" w:fill="FFFFFF"/>
                <w:lang w:val="sv-SE"/>
              </w:rPr>
            </w:pPr>
            <w:r w:rsidRPr="00A50F32">
              <w:rPr>
                <w:color w:val="000000"/>
                <w:sz w:val="20"/>
              </w:rPr>
              <w:t>Levin, Lin &amp; Chu t*</w:t>
            </w:r>
          </w:p>
        </w:tc>
        <w:tc>
          <w:tcPr>
            <w:tcW w:w="1559" w:type="dxa"/>
            <w:vAlign w:val="center"/>
          </w:tcPr>
          <w:p w14:paraId="58A11EFC" w14:textId="77777777" w:rsidR="009D755F" w:rsidRPr="00A50F32" w:rsidRDefault="009D755F" w:rsidP="00F647C8">
            <w:pPr>
              <w:jc w:val="center"/>
              <w:rPr>
                <w:color w:val="030303"/>
                <w:sz w:val="20"/>
                <w:shd w:val="clear" w:color="auto" w:fill="FFFFFF"/>
                <w:lang w:val="en-ID"/>
              </w:rPr>
            </w:pPr>
            <w:proofErr w:type="spellStart"/>
            <w:r w:rsidRPr="00A50F32">
              <w:rPr>
                <w:color w:val="000000"/>
                <w:sz w:val="20"/>
              </w:rPr>
              <w:t>Im</w:t>
            </w:r>
            <w:proofErr w:type="spellEnd"/>
            <w:r w:rsidRPr="00A50F32">
              <w:rPr>
                <w:color w:val="000000"/>
                <w:sz w:val="20"/>
              </w:rPr>
              <w:t xml:space="preserve">, </w:t>
            </w:r>
            <w:proofErr w:type="spellStart"/>
            <w:r w:rsidRPr="00A50F32">
              <w:rPr>
                <w:color w:val="000000"/>
                <w:sz w:val="20"/>
              </w:rPr>
              <w:t>Pesaran</w:t>
            </w:r>
            <w:proofErr w:type="spellEnd"/>
            <w:r w:rsidRPr="00A50F32">
              <w:rPr>
                <w:color w:val="000000"/>
                <w:sz w:val="20"/>
              </w:rPr>
              <w:t xml:space="preserve"> and Shin W-stat </w:t>
            </w:r>
          </w:p>
        </w:tc>
        <w:tc>
          <w:tcPr>
            <w:tcW w:w="1417" w:type="dxa"/>
            <w:vAlign w:val="center"/>
          </w:tcPr>
          <w:p w14:paraId="382E9E5C" w14:textId="77777777" w:rsidR="009D755F" w:rsidRPr="00A50F32" w:rsidRDefault="009D755F" w:rsidP="00F647C8">
            <w:pPr>
              <w:jc w:val="center"/>
              <w:rPr>
                <w:color w:val="030303"/>
                <w:sz w:val="20"/>
                <w:shd w:val="clear" w:color="auto" w:fill="FFFFFF"/>
                <w:lang w:val="en-ID"/>
              </w:rPr>
            </w:pPr>
            <w:r w:rsidRPr="00A50F32">
              <w:rPr>
                <w:color w:val="000000"/>
                <w:sz w:val="20"/>
              </w:rPr>
              <w:t>ADF - Fisher Chi-square</w:t>
            </w:r>
          </w:p>
        </w:tc>
        <w:tc>
          <w:tcPr>
            <w:tcW w:w="1418" w:type="dxa"/>
            <w:vAlign w:val="center"/>
          </w:tcPr>
          <w:p w14:paraId="6F7E1014" w14:textId="77777777" w:rsidR="009D755F" w:rsidRPr="00A50F32" w:rsidRDefault="009D755F" w:rsidP="00F647C8">
            <w:pPr>
              <w:jc w:val="center"/>
              <w:rPr>
                <w:color w:val="030303"/>
                <w:sz w:val="20"/>
                <w:shd w:val="clear" w:color="auto" w:fill="FFFFFF"/>
                <w:lang w:val="en-ID"/>
              </w:rPr>
            </w:pPr>
            <w:r w:rsidRPr="00A50F32">
              <w:rPr>
                <w:color w:val="000000"/>
                <w:sz w:val="20"/>
              </w:rPr>
              <w:t>PP - Fisher Chi-square</w:t>
            </w:r>
          </w:p>
        </w:tc>
        <w:tc>
          <w:tcPr>
            <w:tcW w:w="1957" w:type="dxa"/>
            <w:vAlign w:val="center"/>
          </w:tcPr>
          <w:p w14:paraId="523BB53E" w14:textId="77777777" w:rsidR="009D755F" w:rsidRPr="00A50F32" w:rsidRDefault="009D755F" w:rsidP="00F647C8">
            <w:pPr>
              <w:jc w:val="center"/>
              <w:rPr>
                <w:color w:val="030303"/>
                <w:sz w:val="20"/>
                <w:shd w:val="clear" w:color="auto" w:fill="FFFFFF"/>
                <w:lang w:val="en-ID"/>
              </w:rPr>
            </w:pPr>
            <w:r w:rsidRPr="00A50F32">
              <w:rPr>
                <w:color w:val="030303"/>
                <w:sz w:val="20"/>
                <w:shd w:val="clear" w:color="auto" w:fill="FFFFFF"/>
                <w:lang w:val="en-ID"/>
              </w:rPr>
              <w:t>Annotation</w:t>
            </w:r>
          </w:p>
        </w:tc>
      </w:tr>
      <w:tr w:rsidR="009D755F" w:rsidRPr="00A50F32" w14:paraId="481EB5D1" w14:textId="77777777" w:rsidTr="00373F31">
        <w:tc>
          <w:tcPr>
            <w:tcW w:w="1242" w:type="dxa"/>
            <w:vAlign w:val="center"/>
          </w:tcPr>
          <w:p w14:paraId="6D3C243B" w14:textId="77777777" w:rsidR="009D755F" w:rsidRPr="00A50F32" w:rsidRDefault="009D755F" w:rsidP="00F647C8">
            <w:pPr>
              <w:jc w:val="center"/>
              <w:rPr>
                <w:color w:val="030303"/>
                <w:sz w:val="20"/>
                <w:shd w:val="clear" w:color="auto" w:fill="FFFFFF"/>
                <w:lang w:val="en-ID"/>
              </w:rPr>
            </w:pPr>
            <w:r w:rsidRPr="00A50F32">
              <w:rPr>
                <w:color w:val="030303"/>
                <w:sz w:val="20"/>
                <w:shd w:val="clear" w:color="auto" w:fill="FFFFFF"/>
                <w:lang w:val="sv-SE"/>
              </w:rPr>
              <w:t>EG</w:t>
            </w:r>
          </w:p>
        </w:tc>
        <w:tc>
          <w:tcPr>
            <w:tcW w:w="1985" w:type="dxa"/>
            <w:vAlign w:val="center"/>
          </w:tcPr>
          <w:p w14:paraId="3746CBDE" w14:textId="77777777" w:rsidR="009D755F" w:rsidRPr="00A50F32" w:rsidRDefault="009D755F" w:rsidP="00F647C8">
            <w:pPr>
              <w:jc w:val="center"/>
              <w:rPr>
                <w:color w:val="030303"/>
                <w:sz w:val="20"/>
                <w:shd w:val="clear" w:color="auto" w:fill="FFFFFF"/>
                <w:lang w:val="en-ID"/>
              </w:rPr>
            </w:pPr>
            <w:r w:rsidRPr="00A50F32">
              <w:rPr>
                <w:color w:val="000000"/>
                <w:sz w:val="20"/>
              </w:rPr>
              <w:t>0.0000</w:t>
            </w:r>
          </w:p>
        </w:tc>
        <w:tc>
          <w:tcPr>
            <w:tcW w:w="1559" w:type="dxa"/>
            <w:vAlign w:val="center"/>
          </w:tcPr>
          <w:p w14:paraId="3207D4CC" w14:textId="77777777" w:rsidR="009D755F" w:rsidRPr="00A50F32" w:rsidRDefault="009D755F" w:rsidP="00F647C8">
            <w:pPr>
              <w:jc w:val="center"/>
              <w:rPr>
                <w:color w:val="030303"/>
                <w:sz w:val="20"/>
                <w:shd w:val="clear" w:color="auto" w:fill="FFFFFF"/>
                <w:lang w:val="en-ID"/>
              </w:rPr>
            </w:pPr>
            <w:r w:rsidRPr="00A50F32">
              <w:rPr>
                <w:color w:val="000000"/>
                <w:sz w:val="20"/>
              </w:rPr>
              <w:t>0.0000</w:t>
            </w:r>
          </w:p>
        </w:tc>
        <w:tc>
          <w:tcPr>
            <w:tcW w:w="1417" w:type="dxa"/>
            <w:vAlign w:val="center"/>
          </w:tcPr>
          <w:p w14:paraId="717B6515" w14:textId="77777777" w:rsidR="009D755F" w:rsidRPr="00A50F32" w:rsidRDefault="009D755F" w:rsidP="00F647C8">
            <w:pPr>
              <w:jc w:val="center"/>
              <w:rPr>
                <w:color w:val="030303"/>
                <w:sz w:val="20"/>
                <w:shd w:val="clear" w:color="auto" w:fill="FFFFFF"/>
                <w:lang w:val="sv-SE"/>
              </w:rPr>
            </w:pPr>
            <w:r w:rsidRPr="00A50F32">
              <w:rPr>
                <w:color w:val="000000"/>
                <w:sz w:val="20"/>
              </w:rPr>
              <w:t>0.0000</w:t>
            </w:r>
          </w:p>
        </w:tc>
        <w:tc>
          <w:tcPr>
            <w:tcW w:w="1418" w:type="dxa"/>
            <w:vAlign w:val="center"/>
          </w:tcPr>
          <w:p w14:paraId="25E1C1B4" w14:textId="77777777" w:rsidR="009D755F" w:rsidRPr="00A50F32" w:rsidRDefault="009D755F" w:rsidP="00F647C8">
            <w:pPr>
              <w:jc w:val="center"/>
              <w:rPr>
                <w:color w:val="030303"/>
                <w:sz w:val="20"/>
                <w:shd w:val="clear" w:color="auto" w:fill="FFFFFF"/>
                <w:lang w:val="sv-SE"/>
              </w:rPr>
            </w:pPr>
            <w:r w:rsidRPr="00A50F32">
              <w:rPr>
                <w:color w:val="000000"/>
                <w:sz w:val="20"/>
              </w:rPr>
              <w:t>0.0000</w:t>
            </w:r>
          </w:p>
        </w:tc>
        <w:tc>
          <w:tcPr>
            <w:tcW w:w="1957" w:type="dxa"/>
            <w:vAlign w:val="center"/>
          </w:tcPr>
          <w:p w14:paraId="60D0DF98" w14:textId="77777777" w:rsidR="009D755F" w:rsidRPr="00A50F32" w:rsidRDefault="009D755F" w:rsidP="00F647C8">
            <w:pPr>
              <w:jc w:val="center"/>
              <w:rPr>
                <w:color w:val="030303"/>
                <w:sz w:val="20"/>
                <w:shd w:val="clear" w:color="auto" w:fill="FFFFFF"/>
                <w:lang w:val="sv-SE"/>
              </w:rPr>
            </w:pPr>
            <w:r w:rsidRPr="00A50F32">
              <w:rPr>
                <w:color w:val="030303"/>
                <w:sz w:val="20"/>
                <w:shd w:val="clear" w:color="auto" w:fill="FFFFFF"/>
                <w:lang w:val="sv-SE"/>
              </w:rPr>
              <w:t>Stationery</w:t>
            </w:r>
          </w:p>
        </w:tc>
      </w:tr>
      <w:tr w:rsidR="009D755F" w:rsidRPr="00A50F32" w14:paraId="25175A90" w14:textId="77777777" w:rsidTr="00373F31">
        <w:tc>
          <w:tcPr>
            <w:tcW w:w="1242" w:type="dxa"/>
            <w:vAlign w:val="center"/>
          </w:tcPr>
          <w:p w14:paraId="5D31E678" w14:textId="77777777" w:rsidR="009D755F" w:rsidRPr="00A50F32" w:rsidRDefault="009D755F" w:rsidP="00F647C8">
            <w:pPr>
              <w:jc w:val="both"/>
              <w:rPr>
                <w:color w:val="030303"/>
                <w:sz w:val="20"/>
                <w:shd w:val="clear" w:color="auto" w:fill="FFFFFF"/>
                <w:lang w:val="sv-SE"/>
              </w:rPr>
            </w:pPr>
            <w:r w:rsidRPr="00A50F32">
              <w:rPr>
                <w:color w:val="030303"/>
                <w:sz w:val="20"/>
                <w:shd w:val="clear" w:color="auto" w:fill="FFFFFF"/>
                <w:lang w:val="sv-SE"/>
              </w:rPr>
              <w:t>MP</w:t>
            </w:r>
          </w:p>
        </w:tc>
        <w:tc>
          <w:tcPr>
            <w:tcW w:w="1985" w:type="dxa"/>
            <w:vAlign w:val="center"/>
          </w:tcPr>
          <w:p w14:paraId="5E6377BD" w14:textId="77777777" w:rsidR="009D755F" w:rsidRPr="00A50F32" w:rsidRDefault="009D755F" w:rsidP="00F647C8">
            <w:pPr>
              <w:jc w:val="center"/>
              <w:rPr>
                <w:color w:val="030303"/>
                <w:sz w:val="20"/>
                <w:shd w:val="clear" w:color="auto" w:fill="FFFFFF"/>
                <w:lang w:val="sv-SE"/>
              </w:rPr>
            </w:pPr>
            <w:r w:rsidRPr="00A50F32">
              <w:rPr>
                <w:color w:val="000000"/>
                <w:sz w:val="20"/>
              </w:rPr>
              <w:t>0.0000</w:t>
            </w:r>
          </w:p>
        </w:tc>
        <w:tc>
          <w:tcPr>
            <w:tcW w:w="1559" w:type="dxa"/>
            <w:vAlign w:val="center"/>
          </w:tcPr>
          <w:p w14:paraId="28F567F3" w14:textId="77777777" w:rsidR="009D755F" w:rsidRPr="00A50F32" w:rsidRDefault="009D755F" w:rsidP="00F647C8">
            <w:pPr>
              <w:jc w:val="center"/>
              <w:rPr>
                <w:color w:val="030303"/>
                <w:sz w:val="20"/>
                <w:shd w:val="clear" w:color="auto" w:fill="FFFFFF"/>
                <w:lang w:val="sv-SE"/>
              </w:rPr>
            </w:pPr>
            <w:r w:rsidRPr="00A50F32">
              <w:rPr>
                <w:color w:val="000000"/>
                <w:sz w:val="20"/>
              </w:rPr>
              <w:t>0.0393</w:t>
            </w:r>
          </w:p>
        </w:tc>
        <w:tc>
          <w:tcPr>
            <w:tcW w:w="1417" w:type="dxa"/>
            <w:vAlign w:val="center"/>
          </w:tcPr>
          <w:p w14:paraId="69A1AA65" w14:textId="77777777" w:rsidR="009D755F" w:rsidRPr="00A50F32" w:rsidRDefault="009D755F" w:rsidP="00F647C8">
            <w:pPr>
              <w:jc w:val="center"/>
              <w:rPr>
                <w:color w:val="030303"/>
                <w:sz w:val="20"/>
                <w:shd w:val="clear" w:color="auto" w:fill="FFFFFF"/>
                <w:lang w:val="sv-SE"/>
              </w:rPr>
            </w:pPr>
            <w:r w:rsidRPr="00A50F32">
              <w:rPr>
                <w:color w:val="000000"/>
                <w:sz w:val="20"/>
              </w:rPr>
              <w:t>0.0492</w:t>
            </w:r>
          </w:p>
        </w:tc>
        <w:tc>
          <w:tcPr>
            <w:tcW w:w="1418" w:type="dxa"/>
            <w:vAlign w:val="center"/>
          </w:tcPr>
          <w:p w14:paraId="7A12CBB7" w14:textId="77777777" w:rsidR="009D755F" w:rsidRPr="00A50F32" w:rsidRDefault="009D755F" w:rsidP="00F647C8">
            <w:pPr>
              <w:jc w:val="center"/>
              <w:rPr>
                <w:color w:val="030303"/>
                <w:sz w:val="20"/>
                <w:shd w:val="clear" w:color="auto" w:fill="FFFFFF"/>
                <w:lang w:val="sv-SE"/>
              </w:rPr>
            </w:pPr>
            <w:r w:rsidRPr="00A50F32">
              <w:rPr>
                <w:color w:val="000000"/>
                <w:sz w:val="20"/>
              </w:rPr>
              <w:t>0.0001</w:t>
            </w:r>
          </w:p>
        </w:tc>
        <w:tc>
          <w:tcPr>
            <w:tcW w:w="1957" w:type="dxa"/>
            <w:vAlign w:val="center"/>
          </w:tcPr>
          <w:p w14:paraId="3E1E2251" w14:textId="77777777" w:rsidR="009D755F" w:rsidRPr="00A50F32" w:rsidRDefault="009D755F" w:rsidP="00F647C8">
            <w:pPr>
              <w:jc w:val="center"/>
              <w:rPr>
                <w:color w:val="030303"/>
                <w:sz w:val="20"/>
                <w:shd w:val="clear" w:color="auto" w:fill="FFFFFF"/>
                <w:lang w:val="sv-SE"/>
              </w:rPr>
            </w:pPr>
            <w:r w:rsidRPr="00A50F32">
              <w:rPr>
                <w:color w:val="030303"/>
                <w:sz w:val="20"/>
                <w:shd w:val="clear" w:color="auto" w:fill="FFFFFF"/>
                <w:lang w:val="sv-SE"/>
              </w:rPr>
              <w:t>Non-Stationery</w:t>
            </w:r>
          </w:p>
        </w:tc>
      </w:tr>
      <w:tr w:rsidR="009D755F" w:rsidRPr="00A50F32" w14:paraId="73C0747D" w14:textId="77777777" w:rsidTr="00373F31">
        <w:tc>
          <w:tcPr>
            <w:tcW w:w="1242" w:type="dxa"/>
            <w:vAlign w:val="center"/>
          </w:tcPr>
          <w:p w14:paraId="0BFA17B0" w14:textId="77777777" w:rsidR="009D755F" w:rsidRPr="00A50F32" w:rsidRDefault="009D755F" w:rsidP="00F647C8">
            <w:pPr>
              <w:jc w:val="both"/>
              <w:rPr>
                <w:color w:val="030303"/>
                <w:sz w:val="20"/>
                <w:shd w:val="clear" w:color="auto" w:fill="FFFFFF"/>
                <w:lang w:val="sv-SE"/>
              </w:rPr>
            </w:pPr>
            <w:r w:rsidRPr="00A50F32">
              <w:rPr>
                <w:color w:val="030303"/>
                <w:sz w:val="20"/>
                <w:shd w:val="clear" w:color="auto" w:fill="FFFFFF"/>
                <w:lang w:val="sv-SE"/>
              </w:rPr>
              <w:t>CI</w:t>
            </w:r>
          </w:p>
        </w:tc>
        <w:tc>
          <w:tcPr>
            <w:tcW w:w="1985" w:type="dxa"/>
            <w:vAlign w:val="center"/>
          </w:tcPr>
          <w:p w14:paraId="146B7875" w14:textId="77777777" w:rsidR="009D755F" w:rsidRPr="00A50F32" w:rsidRDefault="009D755F" w:rsidP="00F647C8">
            <w:pPr>
              <w:jc w:val="center"/>
              <w:rPr>
                <w:color w:val="030303"/>
                <w:sz w:val="20"/>
                <w:shd w:val="clear" w:color="auto" w:fill="FFFFFF"/>
                <w:lang w:val="sv-SE"/>
              </w:rPr>
            </w:pPr>
            <w:r w:rsidRPr="00A50F32">
              <w:rPr>
                <w:color w:val="000000"/>
                <w:sz w:val="20"/>
              </w:rPr>
              <w:t>0.0309</w:t>
            </w:r>
          </w:p>
        </w:tc>
        <w:tc>
          <w:tcPr>
            <w:tcW w:w="1559" w:type="dxa"/>
            <w:vAlign w:val="center"/>
          </w:tcPr>
          <w:p w14:paraId="79F8D8D9" w14:textId="77777777" w:rsidR="009D755F" w:rsidRPr="00A50F32" w:rsidRDefault="009D755F" w:rsidP="00F647C8">
            <w:pPr>
              <w:jc w:val="center"/>
              <w:rPr>
                <w:color w:val="030303"/>
                <w:sz w:val="20"/>
                <w:shd w:val="clear" w:color="auto" w:fill="FFFFFF"/>
                <w:lang w:val="sv-SE"/>
              </w:rPr>
            </w:pPr>
            <w:r w:rsidRPr="00A50F32">
              <w:rPr>
                <w:color w:val="000000"/>
                <w:sz w:val="20"/>
              </w:rPr>
              <w:t>0.5030</w:t>
            </w:r>
          </w:p>
        </w:tc>
        <w:tc>
          <w:tcPr>
            <w:tcW w:w="1417" w:type="dxa"/>
            <w:vAlign w:val="center"/>
          </w:tcPr>
          <w:p w14:paraId="5AA3ED73" w14:textId="77777777" w:rsidR="009D755F" w:rsidRPr="00A50F32" w:rsidRDefault="009D755F" w:rsidP="00F647C8">
            <w:pPr>
              <w:jc w:val="center"/>
              <w:rPr>
                <w:color w:val="030303"/>
                <w:sz w:val="20"/>
                <w:shd w:val="clear" w:color="auto" w:fill="FFFFFF"/>
                <w:lang w:val="sv-SE"/>
              </w:rPr>
            </w:pPr>
            <w:r w:rsidRPr="00A50F32">
              <w:rPr>
                <w:color w:val="000000"/>
                <w:sz w:val="20"/>
              </w:rPr>
              <w:t>0.1136</w:t>
            </w:r>
          </w:p>
        </w:tc>
        <w:tc>
          <w:tcPr>
            <w:tcW w:w="1418" w:type="dxa"/>
            <w:vAlign w:val="center"/>
          </w:tcPr>
          <w:p w14:paraId="5DD92EEA" w14:textId="77777777" w:rsidR="009D755F" w:rsidRPr="00A50F32" w:rsidRDefault="009D755F" w:rsidP="00F647C8">
            <w:pPr>
              <w:jc w:val="center"/>
              <w:rPr>
                <w:color w:val="030303"/>
                <w:sz w:val="20"/>
                <w:shd w:val="clear" w:color="auto" w:fill="FFFFFF"/>
                <w:lang w:val="sv-SE"/>
              </w:rPr>
            </w:pPr>
            <w:r w:rsidRPr="00A50F32">
              <w:rPr>
                <w:color w:val="000000"/>
                <w:sz w:val="20"/>
              </w:rPr>
              <w:t>0.8700</w:t>
            </w:r>
          </w:p>
        </w:tc>
        <w:tc>
          <w:tcPr>
            <w:tcW w:w="1957" w:type="dxa"/>
            <w:vAlign w:val="center"/>
          </w:tcPr>
          <w:p w14:paraId="6FE9B48D" w14:textId="77777777" w:rsidR="009D755F" w:rsidRPr="00A50F32" w:rsidRDefault="009D755F" w:rsidP="00F647C8">
            <w:pPr>
              <w:jc w:val="center"/>
              <w:rPr>
                <w:color w:val="030303"/>
                <w:sz w:val="20"/>
                <w:shd w:val="clear" w:color="auto" w:fill="FFFFFF"/>
                <w:lang w:val="sv-SE"/>
              </w:rPr>
            </w:pPr>
            <w:r w:rsidRPr="00A50F32">
              <w:rPr>
                <w:color w:val="030303"/>
                <w:sz w:val="20"/>
                <w:shd w:val="clear" w:color="auto" w:fill="FFFFFF"/>
                <w:lang w:val="sv-SE"/>
              </w:rPr>
              <w:t>Non-Stationery</w:t>
            </w:r>
          </w:p>
        </w:tc>
      </w:tr>
      <w:tr w:rsidR="009D755F" w:rsidRPr="00A50F32" w14:paraId="6D0C1CC9" w14:textId="77777777" w:rsidTr="00373F31">
        <w:tc>
          <w:tcPr>
            <w:tcW w:w="1242" w:type="dxa"/>
            <w:vAlign w:val="center"/>
          </w:tcPr>
          <w:p w14:paraId="3941D593" w14:textId="77777777" w:rsidR="009D755F" w:rsidRPr="00A50F32" w:rsidRDefault="009D755F" w:rsidP="00F647C8">
            <w:pPr>
              <w:jc w:val="both"/>
              <w:rPr>
                <w:color w:val="030303"/>
                <w:sz w:val="20"/>
                <w:shd w:val="clear" w:color="auto" w:fill="FFFFFF"/>
                <w:lang w:val="sv-SE"/>
              </w:rPr>
            </w:pPr>
            <w:r w:rsidRPr="00A50F32">
              <w:rPr>
                <w:color w:val="030303"/>
                <w:sz w:val="20"/>
                <w:shd w:val="clear" w:color="auto" w:fill="FFFFFF"/>
                <w:lang w:val="sv-SE"/>
              </w:rPr>
              <w:t>IPR</w:t>
            </w:r>
          </w:p>
        </w:tc>
        <w:tc>
          <w:tcPr>
            <w:tcW w:w="1985" w:type="dxa"/>
            <w:vAlign w:val="center"/>
          </w:tcPr>
          <w:p w14:paraId="2DAB2D1D" w14:textId="77777777" w:rsidR="009D755F" w:rsidRPr="00A50F32" w:rsidRDefault="009D755F" w:rsidP="00F647C8">
            <w:pPr>
              <w:jc w:val="center"/>
              <w:rPr>
                <w:color w:val="030303"/>
                <w:sz w:val="20"/>
                <w:shd w:val="clear" w:color="auto" w:fill="FFFFFF"/>
                <w:lang w:val="sv-SE"/>
              </w:rPr>
            </w:pPr>
            <w:r w:rsidRPr="00A50F32">
              <w:rPr>
                <w:color w:val="000000"/>
                <w:sz w:val="20"/>
              </w:rPr>
              <w:t>0.5366</w:t>
            </w:r>
          </w:p>
        </w:tc>
        <w:tc>
          <w:tcPr>
            <w:tcW w:w="1559" w:type="dxa"/>
            <w:vAlign w:val="center"/>
          </w:tcPr>
          <w:p w14:paraId="1AEE7AAB" w14:textId="77777777" w:rsidR="009D755F" w:rsidRPr="00A50F32" w:rsidRDefault="009D755F" w:rsidP="00F647C8">
            <w:pPr>
              <w:jc w:val="center"/>
              <w:rPr>
                <w:color w:val="030303"/>
                <w:sz w:val="20"/>
                <w:shd w:val="clear" w:color="auto" w:fill="FFFFFF"/>
                <w:lang w:val="sv-SE"/>
              </w:rPr>
            </w:pPr>
            <w:r w:rsidRPr="00A50F32">
              <w:rPr>
                <w:color w:val="000000"/>
                <w:sz w:val="20"/>
              </w:rPr>
              <w:t>0.2105</w:t>
            </w:r>
          </w:p>
        </w:tc>
        <w:tc>
          <w:tcPr>
            <w:tcW w:w="1417" w:type="dxa"/>
            <w:vAlign w:val="center"/>
          </w:tcPr>
          <w:p w14:paraId="49E4B063" w14:textId="77777777" w:rsidR="009D755F" w:rsidRPr="00A50F32" w:rsidRDefault="009D755F" w:rsidP="00F647C8">
            <w:pPr>
              <w:jc w:val="center"/>
              <w:rPr>
                <w:color w:val="030303"/>
                <w:sz w:val="20"/>
                <w:shd w:val="clear" w:color="auto" w:fill="FFFFFF"/>
                <w:lang w:val="sv-SE"/>
              </w:rPr>
            </w:pPr>
            <w:r w:rsidRPr="00A50F32">
              <w:rPr>
                <w:color w:val="000000"/>
                <w:sz w:val="20"/>
              </w:rPr>
              <w:t>0.0276</w:t>
            </w:r>
          </w:p>
        </w:tc>
        <w:tc>
          <w:tcPr>
            <w:tcW w:w="1418" w:type="dxa"/>
            <w:vAlign w:val="center"/>
          </w:tcPr>
          <w:p w14:paraId="654F9DA1" w14:textId="77777777" w:rsidR="009D755F" w:rsidRPr="00A50F32" w:rsidRDefault="009D755F" w:rsidP="00F647C8">
            <w:pPr>
              <w:jc w:val="center"/>
              <w:rPr>
                <w:color w:val="030303"/>
                <w:sz w:val="20"/>
                <w:shd w:val="clear" w:color="auto" w:fill="FFFFFF"/>
                <w:lang w:val="sv-SE"/>
              </w:rPr>
            </w:pPr>
            <w:r w:rsidRPr="00A50F32">
              <w:rPr>
                <w:color w:val="000000"/>
                <w:sz w:val="20"/>
              </w:rPr>
              <w:t>0.2704</w:t>
            </w:r>
          </w:p>
        </w:tc>
        <w:tc>
          <w:tcPr>
            <w:tcW w:w="1957" w:type="dxa"/>
            <w:vAlign w:val="center"/>
          </w:tcPr>
          <w:p w14:paraId="3A5F1742" w14:textId="77777777" w:rsidR="009D755F" w:rsidRPr="00A50F32" w:rsidRDefault="009D755F" w:rsidP="00F647C8">
            <w:pPr>
              <w:jc w:val="center"/>
              <w:rPr>
                <w:color w:val="030303"/>
                <w:sz w:val="20"/>
                <w:shd w:val="clear" w:color="auto" w:fill="FFFFFF"/>
                <w:lang w:val="sv-SE"/>
              </w:rPr>
            </w:pPr>
            <w:r w:rsidRPr="00A50F32">
              <w:rPr>
                <w:color w:val="030303"/>
                <w:sz w:val="20"/>
                <w:shd w:val="clear" w:color="auto" w:fill="FFFFFF"/>
                <w:lang w:val="sv-SE"/>
              </w:rPr>
              <w:t>Non-Stationery</w:t>
            </w:r>
          </w:p>
        </w:tc>
      </w:tr>
      <w:tr w:rsidR="009D755F" w:rsidRPr="00A50F32" w14:paraId="50294240" w14:textId="77777777" w:rsidTr="00373F31">
        <w:tc>
          <w:tcPr>
            <w:tcW w:w="9582" w:type="dxa"/>
            <w:gridSpan w:val="6"/>
            <w:vAlign w:val="center"/>
          </w:tcPr>
          <w:p w14:paraId="04B934BF" w14:textId="77777777" w:rsidR="009D755F" w:rsidRPr="00A50F32" w:rsidRDefault="009D755F" w:rsidP="00F647C8">
            <w:pPr>
              <w:jc w:val="center"/>
              <w:rPr>
                <w:color w:val="030303"/>
                <w:sz w:val="20"/>
                <w:shd w:val="clear" w:color="auto" w:fill="FFFFFF"/>
                <w:lang w:val="en-ID"/>
              </w:rPr>
            </w:pPr>
            <w:r w:rsidRPr="00A50F32">
              <w:rPr>
                <w:color w:val="000000"/>
                <w:sz w:val="20"/>
              </w:rPr>
              <w:t>Panel unit root test</w:t>
            </w:r>
            <w:r w:rsidRPr="00A50F32">
              <w:rPr>
                <w:color w:val="000000"/>
                <w:sz w:val="20"/>
                <w:lang w:val="en-US"/>
              </w:rPr>
              <w:t xml:space="preserve"> (</w:t>
            </w:r>
            <w:r w:rsidRPr="00A50F32">
              <w:rPr>
                <w:sz w:val="20"/>
              </w:rPr>
              <w:t>First Different level</w:t>
            </w:r>
            <w:r w:rsidRPr="00A50F32">
              <w:rPr>
                <w:color w:val="000000"/>
                <w:sz w:val="20"/>
                <w:lang w:val="en-US"/>
              </w:rPr>
              <w:t>)</w:t>
            </w:r>
          </w:p>
        </w:tc>
      </w:tr>
      <w:tr w:rsidR="009D755F" w:rsidRPr="00A50F32" w14:paraId="0A0E8CDA" w14:textId="77777777" w:rsidTr="00373F31">
        <w:tc>
          <w:tcPr>
            <w:tcW w:w="1242" w:type="dxa"/>
            <w:vAlign w:val="center"/>
          </w:tcPr>
          <w:p w14:paraId="59DF7A4C" w14:textId="77777777" w:rsidR="009D755F" w:rsidRPr="00A50F32" w:rsidRDefault="009D755F" w:rsidP="00F647C8">
            <w:pPr>
              <w:jc w:val="center"/>
              <w:rPr>
                <w:color w:val="030303"/>
                <w:sz w:val="20"/>
                <w:shd w:val="clear" w:color="auto" w:fill="FFFFFF"/>
                <w:lang w:val="en-ID"/>
              </w:rPr>
            </w:pPr>
            <w:proofErr w:type="spellStart"/>
            <w:r w:rsidRPr="00A50F32">
              <w:rPr>
                <w:color w:val="030303"/>
                <w:sz w:val="20"/>
                <w:shd w:val="clear" w:color="auto" w:fill="FFFFFF"/>
                <w:lang w:val="en-ID"/>
              </w:rPr>
              <w:t>Variabel</w:t>
            </w:r>
            <w:proofErr w:type="spellEnd"/>
          </w:p>
        </w:tc>
        <w:tc>
          <w:tcPr>
            <w:tcW w:w="1985" w:type="dxa"/>
            <w:vAlign w:val="center"/>
          </w:tcPr>
          <w:p w14:paraId="6D63A8C6" w14:textId="77777777" w:rsidR="009D755F" w:rsidRPr="00A50F32" w:rsidRDefault="009D755F" w:rsidP="00F647C8">
            <w:pPr>
              <w:jc w:val="center"/>
              <w:rPr>
                <w:color w:val="030303"/>
                <w:sz w:val="20"/>
                <w:shd w:val="clear" w:color="auto" w:fill="FFFFFF"/>
                <w:lang w:val="en-ID"/>
              </w:rPr>
            </w:pPr>
            <w:r w:rsidRPr="00A50F32">
              <w:rPr>
                <w:color w:val="000000"/>
                <w:sz w:val="20"/>
              </w:rPr>
              <w:t>Levin, Lin &amp; Chu t*</w:t>
            </w:r>
          </w:p>
        </w:tc>
        <w:tc>
          <w:tcPr>
            <w:tcW w:w="1559" w:type="dxa"/>
            <w:vAlign w:val="center"/>
          </w:tcPr>
          <w:p w14:paraId="234E94BD" w14:textId="77777777" w:rsidR="009D755F" w:rsidRPr="00A50F32" w:rsidRDefault="009D755F" w:rsidP="00F647C8">
            <w:pPr>
              <w:jc w:val="center"/>
              <w:rPr>
                <w:color w:val="030303"/>
                <w:sz w:val="20"/>
                <w:shd w:val="clear" w:color="auto" w:fill="FFFFFF"/>
                <w:lang w:val="en-ID"/>
              </w:rPr>
            </w:pPr>
            <w:proofErr w:type="spellStart"/>
            <w:r w:rsidRPr="00A50F32">
              <w:rPr>
                <w:color w:val="000000"/>
                <w:sz w:val="20"/>
              </w:rPr>
              <w:t>Im</w:t>
            </w:r>
            <w:proofErr w:type="spellEnd"/>
            <w:r w:rsidRPr="00A50F32">
              <w:rPr>
                <w:color w:val="000000"/>
                <w:sz w:val="20"/>
              </w:rPr>
              <w:t xml:space="preserve">, </w:t>
            </w:r>
            <w:proofErr w:type="spellStart"/>
            <w:r w:rsidRPr="00A50F32">
              <w:rPr>
                <w:color w:val="000000"/>
                <w:sz w:val="20"/>
              </w:rPr>
              <w:t>Pesaran</w:t>
            </w:r>
            <w:proofErr w:type="spellEnd"/>
            <w:r w:rsidRPr="00A50F32">
              <w:rPr>
                <w:color w:val="000000"/>
                <w:sz w:val="20"/>
              </w:rPr>
              <w:t xml:space="preserve"> and Shin W-stat</w:t>
            </w:r>
          </w:p>
        </w:tc>
        <w:tc>
          <w:tcPr>
            <w:tcW w:w="1417" w:type="dxa"/>
            <w:vAlign w:val="center"/>
          </w:tcPr>
          <w:p w14:paraId="18ACE437" w14:textId="77777777" w:rsidR="009D755F" w:rsidRPr="00A50F32" w:rsidRDefault="009D755F" w:rsidP="00F647C8">
            <w:pPr>
              <w:jc w:val="center"/>
              <w:rPr>
                <w:color w:val="030303"/>
                <w:sz w:val="20"/>
                <w:shd w:val="clear" w:color="auto" w:fill="FFFFFF"/>
                <w:lang w:val="en-ID"/>
              </w:rPr>
            </w:pPr>
            <w:r w:rsidRPr="00A50F32">
              <w:rPr>
                <w:color w:val="000000"/>
                <w:sz w:val="20"/>
              </w:rPr>
              <w:t>ADF - Fisher Chi-square</w:t>
            </w:r>
          </w:p>
        </w:tc>
        <w:tc>
          <w:tcPr>
            <w:tcW w:w="1418" w:type="dxa"/>
            <w:vAlign w:val="center"/>
          </w:tcPr>
          <w:p w14:paraId="3BBBC562" w14:textId="77777777" w:rsidR="009D755F" w:rsidRPr="00A50F32" w:rsidRDefault="009D755F" w:rsidP="00F647C8">
            <w:pPr>
              <w:jc w:val="center"/>
              <w:rPr>
                <w:color w:val="030303"/>
                <w:sz w:val="20"/>
                <w:shd w:val="clear" w:color="auto" w:fill="FFFFFF"/>
                <w:lang w:val="en-ID"/>
              </w:rPr>
            </w:pPr>
            <w:r w:rsidRPr="00A50F32">
              <w:rPr>
                <w:color w:val="000000"/>
                <w:sz w:val="20"/>
              </w:rPr>
              <w:t>PP - Fisher Chi-square</w:t>
            </w:r>
          </w:p>
        </w:tc>
        <w:tc>
          <w:tcPr>
            <w:tcW w:w="1957" w:type="dxa"/>
            <w:vAlign w:val="center"/>
          </w:tcPr>
          <w:p w14:paraId="2D900B4E" w14:textId="77777777" w:rsidR="009D755F" w:rsidRPr="00A50F32" w:rsidRDefault="009D755F" w:rsidP="00F647C8">
            <w:pPr>
              <w:jc w:val="center"/>
              <w:rPr>
                <w:color w:val="030303"/>
                <w:sz w:val="20"/>
                <w:shd w:val="clear" w:color="auto" w:fill="FFFFFF"/>
                <w:lang w:val="en-ID"/>
              </w:rPr>
            </w:pPr>
            <w:r w:rsidRPr="00A50F32">
              <w:rPr>
                <w:color w:val="030303"/>
                <w:sz w:val="20"/>
                <w:shd w:val="clear" w:color="auto" w:fill="FFFFFF"/>
                <w:lang w:val="en-ID"/>
              </w:rPr>
              <w:t>Annotation</w:t>
            </w:r>
          </w:p>
        </w:tc>
      </w:tr>
      <w:tr w:rsidR="009D755F" w:rsidRPr="00A50F32" w14:paraId="60381911" w14:textId="77777777" w:rsidTr="00373F31">
        <w:tc>
          <w:tcPr>
            <w:tcW w:w="1242" w:type="dxa"/>
            <w:vAlign w:val="center"/>
          </w:tcPr>
          <w:p w14:paraId="6B3E2EAE" w14:textId="77777777" w:rsidR="009D755F" w:rsidRPr="00A50F32" w:rsidRDefault="009D755F" w:rsidP="00F647C8">
            <w:pPr>
              <w:jc w:val="both"/>
              <w:rPr>
                <w:color w:val="030303"/>
                <w:sz w:val="20"/>
                <w:shd w:val="clear" w:color="auto" w:fill="FFFFFF"/>
                <w:lang w:val="en-ID"/>
              </w:rPr>
            </w:pPr>
            <w:r w:rsidRPr="00A50F32">
              <w:rPr>
                <w:color w:val="030303"/>
                <w:sz w:val="20"/>
                <w:shd w:val="clear" w:color="auto" w:fill="FFFFFF"/>
                <w:lang w:val="sv-SE"/>
              </w:rPr>
              <w:lastRenderedPageBreak/>
              <w:t>EG</w:t>
            </w:r>
          </w:p>
        </w:tc>
        <w:tc>
          <w:tcPr>
            <w:tcW w:w="1985" w:type="dxa"/>
            <w:vAlign w:val="center"/>
          </w:tcPr>
          <w:p w14:paraId="4B91BED9" w14:textId="77777777" w:rsidR="009D755F" w:rsidRPr="00A50F32" w:rsidRDefault="009D755F" w:rsidP="00F647C8">
            <w:pPr>
              <w:jc w:val="center"/>
              <w:rPr>
                <w:color w:val="030303"/>
                <w:sz w:val="20"/>
                <w:shd w:val="clear" w:color="auto" w:fill="FFFFFF"/>
                <w:lang w:val="en-ID"/>
              </w:rPr>
            </w:pPr>
            <w:r w:rsidRPr="00A50F32">
              <w:rPr>
                <w:color w:val="000000"/>
                <w:sz w:val="20"/>
              </w:rPr>
              <w:t>0.0000</w:t>
            </w:r>
          </w:p>
        </w:tc>
        <w:tc>
          <w:tcPr>
            <w:tcW w:w="1559" w:type="dxa"/>
            <w:vAlign w:val="center"/>
          </w:tcPr>
          <w:p w14:paraId="31536B91" w14:textId="77777777" w:rsidR="009D755F" w:rsidRPr="00A50F32" w:rsidRDefault="009D755F" w:rsidP="00F647C8">
            <w:pPr>
              <w:jc w:val="center"/>
              <w:rPr>
                <w:color w:val="030303"/>
                <w:sz w:val="20"/>
                <w:shd w:val="clear" w:color="auto" w:fill="FFFFFF"/>
                <w:lang w:val="en-ID"/>
              </w:rPr>
            </w:pPr>
            <w:r w:rsidRPr="00A50F32">
              <w:rPr>
                <w:color w:val="000000"/>
                <w:sz w:val="20"/>
              </w:rPr>
              <w:t>0.0000</w:t>
            </w:r>
          </w:p>
        </w:tc>
        <w:tc>
          <w:tcPr>
            <w:tcW w:w="1417" w:type="dxa"/>
            <w:vAlign w:val="center"/>
          </w:tcPr>
          <w:p w14:paraId="68526042" w14:textId="77777777" w:rsidR="009D755F" w:rsidRPr="00A50F32" w:rsidRDefault="009D755F" w:rsidP="00F647C8">
            <w:pPr>
              <w:jc w:val="center"/>
              <w:rPr>
                <w:color w:val="030303"/>
                <w:sz w:val="20"/>
                <w:shd w:val="clear" w:color="auto" w:fill="FFFFFF"/>
                <w:lang w:val="en-ID"/>
              </w:rPr>
            </w:pPr>
            <w:r w:rsidRPr="00A50F32">
              <w:rPr>
                <w:color w:val="000000"/>
                <w:sz w:val="20"/>
              </w:rPr>
              <w:t>0.0000</w:t>
            </w:r>
          </w:p>
        </w:tc>
        <w:tc>
          <w:tcPr>
            <w:tcW w:w="1418" w:type="dxa"/>
            <w:vAlign w:val="center"/>
          </w:tcPr>
          <w:p w14:paraId="3B43A1DD" w14:textId="77777777" w:rsidR="009D755F" w:rsidRPr="00A50F32" w:rsidRDefault="009D755F" w:rsidP="00F647C8">
            <w:pPr>
              <w:jc w:val="center"/>
              <w:rPr>
                <w:color w:val="030303"/>
                <w:sz w:val="20"/>
                <w:shd w:val="clear" w:color="auto" w:fill="FFFFFF"/>
                <w:lang w:val="en-ID"/>
              </w:rPr>
            </w:pPr>
            <w:r w:rsidRPr="00A50F32">
              <w:rPr>
                <w:color w:val="000000"/>
                <w:sz w:val="20"/>
              </w:rPr>
              <w:t>0.0000</w:t>
            </w:r>
          </w:p>
        </w:tc>
        <w:tc>
          <w:tcPr>
            <w:tcW w:w="1957" w:type="dxa"/>
            <w:vAlign w:val="center"/>
          </w:tcPr>
          <w:p w14:paraId="2CA5659E" w14:textId="77777777" w:rsidR="009D755F" w:rsidRPr="00A50F32" w:rsidRDefault="009D755F" w:rsidP="00F647C8">
            <w:pPr>
              <w:jc w:val="center"/>
              <w:rPr>
                <w:color w:val="030303"/>
                <w:sz w:val="20"/>
                <w:shd w:val="clear" w:color="auto" w:fill="FFFFFF"/>
                <w:lang w:val="en-ID"/>
              </w:rPr>
            </w:pPr>
            <w:r w:rsidRPr="00A50F32">
              <w:rPr>
                <w:color w:val="030303"/>
                <w:sz w:val="20"/>
                <w:shd w:val="clear" w:color="auto" w:fill="FFFFFF"/>
                <w:lang w:val="sv-SE"/>
              </w:rPr>
              <w:t>Stationery</w:t>
            </w:r>
          </w:p>
        </w:tc>
      </w:tr>
      <w:tr w:rsidR="009D755F" w:rsidRPr="00A50F32" w14:paraId="70350749" w14:textId="77777777" w:rsidTr="00373F31">
        <w:tc>
          <w:tcPr>
            <w:tcW w:w="1242" w:type="dxa"/>
            <w:vAlign w:val="center"/>
          </w:tcPr>
          <w:p w14:paraId="632683A1" w14:textId="77777777" w:rsidR="009D755F" w:rsidRPr="00A50F32" w:rsidRDefault="009D755F" w:rsidP="00F647C8">
            <w:pPr>
              <w:jc w:val="both"/>
              <w:rPr>
                <w:color w:val="030303"/>
                <w:sz w:val="20"/>
                <w:shd w:val="clear" w:color="auto" w:fill="FFFFFF"/>
                <w:lang w:val="en-ID"/>
              </w:rPr>
            </w:pPr>
            <w:r w:rsidRPr="00A50F32">
              <w:rPr>
                <w:color w:val="030303"/>
                <w:sz w:val="20"/>
                <w:shd w:val="clear" w:color="auto" w:fill="FFFFFF"/>
                <w:lang w:val="sv-SE"/>
              </w:rPr>
              <w:t>MP</w:t>
            </w:r>
          </w:p>
        </w:tc>
        <w:tc>
          <w:tcPr>
            <w:tcW w:w="1985" w:type="dxa"/>
            <w:vAlign w:val="center"/>
          </w:tcPr>
          <w:p w14:paraId="5794AB40" w14:textId="77777777" w:rsidR="009D755F" w:rsidRPr="00A50F32" w:rsidRDefault="009D755F" w:rsidP="00F647C8">
            <w:pPr>
              <w:jc w:val="center"/>
              <w:rPr>
                <w:color w:val="030303"/>
                <w:sz w:val="20"/>
                <w:shd w:val="clear" w:color="auto" w:fill="FFFFFF"/>
                <w:lang w:val="en-ID"/>
              </w:rPr>
            </w:pPr>
            <w:r w:rsidRPr="00A50F32">
              <w:rPr>
                <w:color w:val="000000"/>
                <w:sz w:val="20"/>
              </w:rPr>
              <w:t>0.0000</w:t>
            </w:r>
          </w:p>
        </w:tc>
        <w:tc>
          <w:tcPr>
            <w:tcW w:w="1559" w:type="dxa"/>
            <w:vAlign w:val="center"/>
          </w:tcPr>
          <w:p w14:paraId="7D7AA870" w14:textId="77777777" w:rsidR="009D755F" w:rsidRPr="00A50F32" w:rsidRDefault="009D755F" w:rsidP="00F647C8">
            <w:pPr>
              <w:jc w:val="center"/>
              <w:rPr>
                <w:color w:val="030303"/>
                <w:sz w:val="20"/>
                <w:shd w:val="clear" w:color="auto" w:fill="FFFFFF"/>
                <w:lang w:val="en-ID"/>
              </w:rPr>
            </w:pPr>
            <w:r w:rsidRPr="00A50F32">
              <w:rPr>
                <w:color w:val="000000"/>
                <w:sz w:val="20"/>
              </w:rPr>
              <w:t>0.0000</w:t>
            </w:r>
          </w:p>
        </w:tc>
        <w:tc>
          <w:tcPr>
            <w:tcW w:w="1417" w:type="dxa"/>
            <w:vAlign w:val="center"/>
          </w:tcPr>
          <w:p w14:paraId="659CC9FF" w14:textId="77777777" w:rsidR="009D755F" w:rsidRPr="00A50F32" w:rsidRDefault="009D755F" w:rsidP="00F647C8">
            <w:pPr>
              <w:jc w:val="center"/>
              <w:rPr>
                <w:color w:val="030303"/>
                <w:sz w:val="20"/>
                <w:shd w:val="clear" w:color="auto" w:fill="FFFFFF"/>
                <w:lang w:val="en-US"/>
              </w:rPr>
            </w:pPr>
            <w:r w:rsidRPr="00A50F32">
              <w:rPr>
                <w:color w:val="000000"/>
                <w:sz w:val="20"/>
              </w:rPr>
              <w:t>0.000</w:t>
            </w:r>
            <w:r w:rsidRPr="00A50F32">
              <w:rPr>
                <w:color w:val="000000"/>
                <w:sz w:val="20"/>
                <w:lang w:val="en-US"/>
              </w:rPr>
              <w:t>2</w:t>
            </w:r>
          </w:p>
        </w:tc>
        <w:tc>
          <w:tcPr>
            <w:tcW w:w="1418" w:type="dxa"/>
            <w:vAlign w:val="center"/>
          </w:tcPr>
          <w:p w14:paraId="4AFE1879" w14:textId="77777777" w:rsidR="009D755F" w:rsidRPr="00A50F32" w:rsidRDefault="009D755F" w:rsidP="00F647C8">
            <w:pPr>
              <w:jc w:val="center"/>
              <w:rPr>
                <w:color w:val="030303"/>
                <w:sz w:val="20"/>
                <w:shd w:val="clear" w:color="auto" w:fill="FFFFFF"/>
                <w:lang w:val="en-ID"/>
              </w:rPr>
            </w:pPr>
            <w:r w:rsidRPr="00A50F32">
              <w:rPr>
                <w:color w:val="000000"/>
                <w:sz w:val="20"/>
              </w:rPr>
              <w:t>0.0000</w:t>
            </w:r>
          </w:p>
        </w:tc>
        <w:tc>
          <w:tcPr>
            <w:tcW w:w="1957" w:type="dxa"/>
            <w:vAlign w:val="center"/>
          </w:tcPr>
          <w:p w14:paraId="10FDB5D3" w14:textId="77777777" w:rsidR="009D755F" w:rsidRPr="00A50F32" w:rsidRDefault="009D755F" w:rsidP="00F647C8">
            <w:pPr>
              <w:jc w:val="center"/>
              <w:rPr>
                <w:color w:val="030303"/>
                <w:sz w:val="20"/>
                <w:shd w:val="clear" w:color="auto" w:fill="FFFFFF"/>
                <w:lang w:val="en-ID"/>
              </w:rPr>
            </w:pPr>
            <w:r w:rsidRPr="00A50F32">
              <w:rPr>
                <w:color w:val="030303"/>
                <w:sz w:val="20"/>
                <w:shd w:val="clear" w:color="auto" w:fill="FFFFFF"/>
                <w:lang w:val="sv-SE"/>
              </w:rPr>
              <w:t>Stationery</w:t>
            </w:r>
          </w:p>
        </w:tc>
      </w:tr>
      <w:tr w:rsidR="009D755F" w:rsidRPr="00A50F32" w14:paraId="7B9DD4BD" w14:textId="77777777" w:rsidTr="00373F31">
        <w:tc>
          <w:tcPr>
            <w:tcW w:w="1242" w:type="dxa"/>
            <w:vAlign w:val="center"/>
          </w:tcPr>
          <w:p w14:paraId="3D657F18" w14:textId="77777777" w:rsidR="009D755F" w:rsidRPr="00A50F32" w:rsidRDefault="009D755F" w:rsidP="00F647C8">
            <w:pPr>
              <w:jc w:val="both"/>
              <w:rPr>
                <w:color w:val="030303"/>
                <w:sz w:val="20"/>
                <w:shd w:val="clear" w:color="auto" w:fill="FFFFFF"/>
                <w:lang w:val="en-ID"/>
              </w:rPr>
            </w:pPr>
            <w:r w:rsidRPr="00A50F32">
              <w:rPr>
                <w:color w:val="030303"/>
                <w:sz w:val="20"/>
                <w:shd w:val="clear" w:color="auto" w:fill="FFFFFF"/>
                <w:lang w:val="sv-SE"/>
              </w:rPr>
              <w:t>CI</w:t>
            </w:r>
          </w:p>
        </w:tc>
        <w:tc>
          <w:tcPr>
            <w:tcW w:w="1985" w:type="dxa"/>
            <w:vAlign w:val="center"/>
          </w:tcPr>
          <w:p w14:paraId="79C9940E" w14:textId="77777777" w:rsidR="009D755F" w:rsidRPr="00A50F32" w:rsidRDefault="009D755F" w:rsidP="00F647C8">
            <w:pPr>
              <w:jc w:val="center"/>
              <w:rPr>
                <w:color w:val="030303"/>
                <w:sz w:val="20"/>
                <w:shd w:val="clear" w:color="auto" w:fill="FFFFFF"/>
                <w:lang w:val="en-ID"/>
              </w:rPr>
            </w:pPr>
            <w:r w:rsidRPr="00A50F32">
              <w:rPr>
                <w:color w:val="000000"/>
                <w:sz w:val="20"/>
              </w:rPr>
              <w:t>0.0000</w:t>
            </w:r>
          </w:p>
        </w:tc>
        <w:tc>
          <w:tcPr>
            <w:tcW w:w="1559" w:type="dxa"/>
            <w:vAlign w:val="center"/>
          </w:tcPr>
          <w:p w14:paraId="4541E335" w14:textId="77777777" w:rsidR="009D755F" w:rsidRPr="00A50F32" w:rsidRDefault="009D755F" w:rsidP="00F647C8">
            <w:pPr>
              <w:jc w:val="center"/>
              <w:rPr>
                <w:color w:val="030303"/>
                <w:sz w:val="20"/>
                <w:shd w:val="clear" w:color="auto" w:fill="FFFFFF"/>
                <w:lang w:val="en-ID"/>
              </w:rPr>
            </w:pPr>
            <w:r w:rsidRPr="00A50F32">
              <w:rPr>
                <w:color w:val="000000"/>
                <w:sz w:val="20"/>
              </w:rPr>
              <w:t>0.0000</w:t>
            </w:r>
          </w:p>
        </w:tc>
        <w:tc>
          <w:tcPr>
            <w:tcW w:w="1417" w:type="dxa"/>
            <w:vAlign w:val="center"/>
          </w:tcPr>
          <w:p w14:paraId="0BB6477E" w14:textId="77777777" w:rsidR="009D755F" w:rsidRPr="00A50F32" w:rsidRDefault="009D755F" w:rsidP="00F647C8">
            <w:pPr>
              <w:jc w:val="center"/>
              <w:rPr>
                <w:color w:val="030303"/>
                <w:sz w:val="20"/>
                <w:shd w:val="clear" w:color="auto" w:fill="FFFFFF"/>
                <w:lang w:val="en-ID"/>
              </w:rPr>
            </w:pPr>
            <w:r w:rsidRPr="00A50F32">
              <w:rPr>
                <w:color w:val="000000"/>
                <w:sz w:val="20"/>
              </w:rPr>
              <w:t>0.0000</w:t>
            </w:r>
          </w:p>
        </w:tc>
        <w:tc>
          <w:tcPr>
            <w:tcW w:w="1418" w:type="dxa"/>
            <w:vAlign w:val="center"/>
          </w:tcPr>
          <w:p w14:paraId="6AE15B14" w14:textId="77777777" w:rsidR="009D755F" w:rsidRPr="00A50F32" w:rsidRDefault="009D755F" w:rsidP="00F647C8">
            <w:pPr>
              <w:jc w:val="center"/>
              <w:rPr>
                <w:color w:val="030303"/>
                <w:sz w:val="20"/>
                <w:shd w:val="clear" w:color="auto" w:fill="FFFFFF"/>
                <w:lang w:val="en-ID"/>
              </w:rPr>
            </w:pPr>
            <w:r w:rsidRPr="00A50F32">
              <w:rPr>
                <w:color w:val="000000"/>
                <w:sz w:val="20"/>
              </w:rPr>
              <w:t>0.0000</w:t>
            </w:r>
          </w:p>
        </w:tc>
        <w:tc>
          <w:tcPr>
            <w:tcW w:w="1957" w:type="dxa"/>
            <w:vAlign w:val="center"/>
          </w:tcPr>
          <w:p w14:paraId="626FF1D8" w14:textId="77777777" w:rsidR="009D755F" w:rsidRPr="00A50F32" w:rsidRDefault="009D755F" w:rsidP="00F647C8">
            <w:pPr>
              <w:jc w:val="center"/>
              <w:rPr>
                <w:color w:val="030303"/>
                <w:sz w:val="20"/>
                <w:shd w:val="clear" w:color="auto" w:fill="FFFFFF"/>
                <w:lang w:val="en-ID"/>
              </w:rPr>
            </w:pPr>
            <w:r w:rsidRPr="00A50F32">
              <w:rPr>
                <w:color w:val="030303"/>
                <w:sz w:val="20"/>
                <w:shd w:val="clear" w:color="auto" w:fill="FFFFFF"/>
                <w:lang w:val="sv-SE"/>
              </w:rPr>
              <w:t>Stationery</w:t>
            </w:r>
          </w:p>
        </w:tc>
      </w:tr>
      <w:tr w:rsidR="009D755F" w:rsidRPr="00A50F32" w14:paraId="460F8F32" w14:textId="77777777" w:rsidTr="00373F31">
        <w:tc>
          <w:tcPr>
            <w:tcW w:w="1242" w:type="dxa"/>
            <w:vAlign w:val="center"/>
          </w:tcPr>
          <w:p w14:paraId="70F75EBA" w14:textId="77777777" w:rsidR="009D755F" w:rsidRPr="00A50F32" w:rsidRDefault="009D755F" w:rsidP="00F647C8">
            <w:pPr>
              <w:jc w:val="both"/>
              <w:rPr>
                <w:color w:val="030303"/>
                <w:sz w:val="20"/>
                <w:shd w:val="clear" w:color="auto" w:fill="FFFFFF"/>
              </w:rPr>
            </w:pPr>
            <w:r w:rsidRPr="00A50F32">
              <w:rPr>
                <w:color w:val="030303"/>
                <w:sz w:val="20"/>
                <w:shd w:val="clear" w:color="auto" w:fill="FFFFFF"/>
                <w:lang w:val="sv-SE"/>
              </w:rPr>
              <w:t>IPR</w:t>
            </w:r>
          </w:p>
        </w:tc>
        <w:tc>
          <w:tcPr>
            <w:tcW w:w="1985" w:type="dxa"/>
            <w:vAlign w:val="center"/>
          </w:tcPr>
          <w:p w14:paraId="5CFA0060" w14:textId="77777777" w:rsidR="009D755F" w:rsidRPr="00A50F32" w:rsidRDefault="009D755F" w:rsidP="00F647C8">
            <w:pPr>
              <w:jc w:val="center"/>
              <w:rPr>
                <w:color w:val="030303"/>
                <w:sz w:val="20"/>
                <w:shd w:val="clear" w:color="auto" w:fill="FFFFFF"/>
              </w:rPr>
            </w:pPr>
            <w:r w:rsidRPr="00A50F32">
              <w:rPr>
                <w:color w:val="000000"/>
                <w:sz w:val="20"/>
              </w:rPr>
              <w:t>0.0000</w:t>
            </w:r>
          </w:p>
        </w:tc>
        <w:tc>
          <w:tcPr>
            <w:tcW w:w="1559" w:type="dxa"/>
            <w:vAlign w:val="center"/>
          </w:tcPr>
          <w:p w14:paraId="7DED57FC" w14:textId="77777777" w:rsidR="009D755F" w:rsidRPr="00A50F32" w:rsidRDefault="009D755F" w:rsidP="00F647C8">
            <w:pPr>
              <w:jc w:val="center"/>
              <w:rPr>
                <w:color w:val="030303"/>
                <w:sz w:val="20"/>
                <w:shd w:val="clear" w:color="auto" w:fill="FFFFFF"/>
              </w:rPr>
            </w:pPr>
            <w:r w:rsidRPr="00A50F32">
              <w:rPr>
                <w:color w:val="000000"/>
                <w:sz w:val="20"/>
              </w:rPr>
              <w:t>0.0000</w:t>
            </w:r>
          </w:p>
        </w:tc>
        <w:tc>
          <w:tcPr>
            <w:tcW w:w="1417" w:type="dxa"/>
            <w:vAlign w:val="center"/>
          </w:tcPr>
          <w:p w14:paraId="15555B15" w14:textId="77777777" w:rsidR="009D755F" w:rsidRPr="00A50F32" w:rsidRDefault="009D755F" w:rsidP="00F647C8">
            <w:pPr>
              <w:jc w:val="center"/>
              <w:rPr>
                <w:color w:val="030303"/>
                <w:sz w:val="20"/>
                <w:shd w:val="clear" w:color="auto" w:fill="FFFFFF"/>
              </w:rPr>
            </w:pPr>
            <w:r w:rsidRPr="00A50F32">
              <w:rPr>
                <w:color w:val="000000"/>
                <w:sz w:val="20"/>
              </w:rPr>
              <w:t>0.0000</w:t>
            </w:r>
          </w:p>
        </w:tc>
        <w:tc>
          <w:tcPr>
            <w:tcW w:w="1418" w:type="dxa"/>
            <w:vAlign w:val="center"/>
          </w:tcPr>
          <w:p w14:paraId="0693E3EA" w14:textId="77777777" w:rsidR="009D755F" w:rsidRPr="00A50F32" w:rsidRDefault="009D755F" w:rsidP="00F647C8">
            <w:pPr>
              <w:jc w:val="center"/>
              <w:rPr>
                <w:color w:val="030303"/>
                <w:sz w:val="20"/>
                <w:shd w:val="clear" w:color="auto" w:fill="FFFFFF"/>
              </w:rPr>
            </w:pPr>
            <w:r w:rsidRPr="00A50F32">
              <w:rPr>
                <w:color w:val="000000"/>
                <w:sz w:val="20"/>
              </w:rPr>
              <w:t>0.0000</w:t>
            </w:r>
          </w:p>
        </w:tc>
        <w:tc>
          <w:tcPr>
            <w:tcW w:w="1957" w:type="dxa"/>
            <w:vAlign w:val="center"/>
          </w:tcPr>
          <w:p w14:paraId="729B2CB8" w14:textId="77777777" w:rsidR="009D755F" w:rsidRPr="00A50F32" w:rsidRDefault="009D755F" w:rsidP="00F647C8">
            <w:pPr>
              <w:jc w:val="center"/>
              <w:rPr>
                <w:color w:val="030303"/>
                <w:sz w:val="20"/>
                <w:shd w:val="clear" w:color="auto" w:fill="FFFFFF"/>
              </w:rPr>
            </w:pPr>
            <w:r w:rsidRPr="00A50F32">
              <w:rPr>
                <w:color w:val="030303"/>
                <w:sz w:val="20"/>
                <w:shd w:val="clear" w:color="auto" w:fill="FFFFFF"/>
                <w:lang w:val="sv-SE"/>
              </w:rPr>
              <w:t>Stationery</w:t>
            </w:r>
          </w:p>
        </w:tc>
      </w:tr>
    </w:tbl>
    <w:p w14:paraId="5DF550D9" w14:textId="1F5D24E0" w:rsidR="009D755F" w:rsidRPr="00A50F32" w:rsidRDefault="00EE1365" w:rsidP="00EE1365">
      <w:pPr>
        <w:pStyle w:val="Heading2"/>
      </w:pPr>
      <w:r>
        <w:t>LAG OPTIMUM TEST</w:t>
      </w:r>
    </w:p>
    <w:p w14:paraId="272B6CF3" w14:textId="318CA32F" w:rsidR="009D755F" w:rsidRPr="00444A2E" w:rsidRDefault="009D755F" w:rsidP="00EE1365">
      <w:pPr>
        <w:autoSpaceDE w:val="0"/>
        <w:autoSpaceDN w:val="0"/>
        <w:adjustRightInd w:val="0"/>
        <w:ind w:firstLine="284"/>
        <w:jc w:val="both"/>
        <w:rPr>
          <w:rStyle w:val="Emphasis"/>
        </w:rPr>
      </w:pPr>
      <w:r w:rsidRPr="00444A2E">
        <w:rPr>
          <w:rStyle w:val="Emphasis"/>
        </w:rPr>
        <w:t>The lag length used in this research is 2, based on the smallest Akaike Information Criterion (AIC) value of 71.51528</w:t>
      </w:r>
      <w:r w:rsidR="00687007">
        <w:rPr>
          <w:rStyle w:val="Emphasis"/>
        </w:rPr>
        <w:t xml:space="preserve"> as shown in </w:t>
      </w:r>
      <w:r w:rsidR="00687007" w:rsidRPr="00687007">
        <w:rPr>
          <w:rStyle w:val="Emphasis"/>
          <w:b/>
          <w:bCs/>
        </w:rPr>
        <w:t>TABLE 2</w:t>
      </w:r>
      <w:r w:rsidRPr="00444A2E">
        <w:rPr>
          <w:rStyle w:val="Emphasis"/>
        </w:rPr>
        <w:t>. This optimum lag length 2 will later be used in estimating the VECM model</w:t>
      </w:r>
      <w:r w:rsidR="00687007">
        <w:rPr>
          <w:rStyle w:val="Emphasis"/>
        </w:rPr>
        <w:t>.</w:t>
      </w:r>
    </w:p>
    <w:p w14:paraId="475D83A2" w14:textId="09816C40" w:rsidR="009D755F" w:rsidRPr="00EE1365" w:rsidRDefault="00444A2E" w:rsidP="00444A2E">
      <w:pPr>
        <w:pStyle w:val="TableCaption"/>
        <w:rPr>
          <w:lang w:val="sv-SE"/>
        </w:rPr>
      </w:pPr>
      <w:r w:rsidRPr="00EE1365">
        <w:rPr>
          <w:b/>
          <w:color w:val="030303"/>
          <w:shd w:val="clear" w:color="auto" w:fill="FFFFFF"/>
        </w:rPr>
        <w:t xml:space="preserve">TABLE </w:t>
      </w:r>
      <w:r w:rsidR="009D755F" w:rsidRPr="00EE1365">
        <w:rPr>
          <w:b/>
          <w:color w:val="030303"/>
          <w:shd w:val="clear" w:color="auto" w:fill="FFFFFF"/>
        </w:rPr>
        <w:t xml:space="preserve">2. </w:t>
      </w:r>
      <w:r w:rsidR="009D755F" w:rsidRPr="00EE1365">
        <w:t>Lag Optimum Test</w:t>
      </w:r>
    </w:p>
    <w:tbl>
      <w:tblPr>
        <w:tblW w:w="9042"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20"/>
        <w:gridCol w:w="1418"/>
        <w:gridCol w:w="1276"/>
        <w:gridCol w:w="1418"/>
        <w:gridCol w:w="1417"/>
        <w:gridCol w:w="1276"/>
        <w:gridCol w:w="1417"/>
      </w:tblGrid>
      <w:tr w:rsidR="009D755F" w:rsidRPr="00A50F32" w14:paraId="4EA5D95F" w14:textId="77777777" w:rsidTr="00373F31">
        <w:trPr>
          <w:trHeight w:val="220"/>
        </w:trPr>
        <w:tc>
          <w:tcPr>
            <w:tcW w:w="820" w:type="dxa"/>
            <w:vAlign w:val="bottom"/>
          </w:tcPr>
          <w:p w14:paraId="23155BF5" w14:textId="77777777" w:rsidR="009D755F" w:rsidRPr="00A50F32" w:rsidRDefault="009D755F" w:rsidP="00F647C8">
            <w:pPr>
              <w:autoSpaceDE w:val="0"/>
              <w:autoSpaceDN w:val="0"/>
              <w:adjustRightInd w:val="0"/>
              <w:jc w:val="center"/>
              <w:rPr>
                <w:color w:val="000000"/>
                <w:sz w:val="20"/>
              </w:rPr>
            </w:pPr>
            <w:r w:rsidRPr="00A50F32">
              <w:rPr>
                <w:color w:val="000000"/>
                <w:sz w:val="20"/>
                <w:lang w:val="sv-SE"/>
              </w:rPr>
              <w:t> </w:t>
            </w:r>
            <w:r w:rsidRPr="00A50F32">
              <w:rPr>
                <w:color w:val="000000"/>
                <w:sz w:val="20"/>
              </w:rPr>
              <w:t>Lag</w:t>
            </w:r>
          </w:p>
        </w:tc>
        <w:tc>
          <w:tcPr>
            <w:tcW w:w="1418" w:type="dxa"/>
            <w:vAlign w:val="bottom"/>
          </w:tcPr>
          <w:p w14:paraId="05759A87" w14:textId="77777777" w:rsidR="009D755F" w:rsidRPr="00A50F32" w:rsidRDefault="009D755F" w:rsidP="00F647C8">
            <w:pPr>
              <w:autoSpaceDE w:val="0"/>
              <w:autoSpaceDN w:val="0"/>
              <w:adjustRightInd w:val="0"/>
              <w:jc w:val="center"/>
              <w:rPr>
                <w:color w:val="000000"/>
                <w:sz w:val="20"/>
              </w:rPr>
            </w:pPr>
            <w:proofErr w:type="spellStart"/>
            <w:r w:rsidRPr="00A50F32">
              <w:rPr>
                <w:color w:val="000000"/>
                <w:sz w:val="20"/>
              </w:rPr>
              <w:t>LogL</w:t>
            </w:r>
            <w:proofErr w:type="spellEnd"/>
          </w:p>
        </w:tc>
        <w:tc>
          <w:tcPr>
            <w:tcW w:w="1276" w:type="dxa"/>
            <w:vAlign w:val="bottom"/>
          </w:tcPr>
          <w:p w14:paraId="0BB5DC54" w14:textId="77777777" w:rsidR="009D755F" w:rsidRPr="00A50F32" w:rsidRDefault="009D755F" w:rsidP="00F647C8">
            <w:pPr>
              <w:autoSpaceDE w:val="0"/>
              <w:autoSpaceDN w:val="0"/>
              <w:adjustRightInd w:val="0"/>
              <w:jc w:val="center"/>
              <w:rPr>
                <w:color w:val="000000"/>
                <w:sz w:val="20"/>
              </w:rPr>
            </w:pPr>
            <w:r w:rsidRPr="00A50F32">
              <w:rPr>
                <w:color w:val="000000"/>
                <w:sz w:val="20"/>
              </w:rPr>
              <w:t>LR</w:t>
            </w:r>
          </w:p>
        </w:tc>
        <w:tc>
          <w:tcPr>
            <w:tcW w:w="1418" w:type="dxa"/>
            <w:vAlign w:val="bottom"/>
          </w:tcPr>
          <w:p w14:paraId="5AD2273B" w14:textId="77777777" w:rsidR="009D755F" w:rsidRPr="00A50F32" w:rsidRDefault="009D755F" w:rsidP="00F647C8">
            <w:pPr>
              <w:autoSpaceDE w:val="0"/>
              <w:autoSpaceDN w:val="0"/>
              <w:adjustRightInd w:val="0"/>
              <w:jc w:val="center"/>
              <w:rPr>
                <w:color w:val="000000"/>
                <w:sz w:val="20"/>
              </w:rPr>
            </w:pPr>
            <w:r w:rsidRPr="00A50F32">
              <w:rPr>
                <w:color w:val="000000"/>
                <w:sz w:val="20"/>
              </w:rPr>
              <w:t>FPE</w:t>
            </w:r>
          </w:p>
        </w:tc>
        <w:tc>
          <w:tcPr>
            <w:tcW w:w="1417" w:type="dxa"/>
            <w:vAlign w:val="bottom"/>
          </w:tcPr>
          <w:p w14:paraId="4B37DC6C" w14:textId="77777777" w:rsidR="009D755F" w:rsidRPr="00A50F32" w:rsidRDefault="009D755F" w:rsidP="00F647C8">
            <w:pPr>
              <w:autoSpaceDE w:val="0"/>
              <w:autoSpaceDN w:val="0"/>
              <w:adjustRightInd w:val="0"/>
              <w:jc w:val="center"/>
              <w:rPr>
                <w:color w:val="000000"/>
                <w:sz w:val="20"/>
              </w:rPr>
            </w:pPr>
            <w:r w:rsidRPr="00A50F32">
              <w:rPr>
                <w:color w:val="000000"/>
                <w:sz w:val="20"/>
              </w:rPr>
              <w:t>AIC</w:t>
            </w:r>
          </w:p>
        </w:tc>
        <w:tc>
          <w:tcPr>
            <w:tcW w:w="1276" w:type="dxa"/>
            <w:vAlign w:val="bottom"/>
          </w:tcPr>
          <w:p w14:paraId="390FFAD8" w14:textId="77777777" w:rsidR="009D755F" w:rsidRPr="00A50F32" w:rsidRDefault="009D755F" w:rsidP="00F647C8">
            <w:pPr>
              <w:autoSpaceDE w:val="0"/>
              <w:autoSpaceDN w:val="0"/>
              <w:adjustRightInd w:val="0"/>
              <w:jc w:val="center"/>
              <w:rPr>
                <w:color w:val="000000"/>
                <w:sz w:val="20"/>
              </w:rPr>
            </w:pPr>
            <w:r w:rsidRPr="00A50F32">
              <w:rPr>
                <w:color w:val="000000"/>
                <w:sz w:val="20"/>
              </w:rPr>
              <w:t>SC</w:t>
            </w:r>
          </w:p>
        </w:tc>
        <w:tc>
          <w:tcPr>
            <w:tcW w:w="1417" w:type="dxa"/>
            <w:vAlign w:val="bottom"/>
          </w:tcPr>
          <w:p w14:paraId="3517019E" w14:textId="77777777" w:rsidR="009D755F" w:rsidRPr="00A50F32" w:rsidRDefault="009D755F" w:rsidP="00F647C8">
            <w:pPr>
              <w:autoSpaceDE w:val="0"/>
              <w:autoSpaceDN w:val="0"/>
              <w:adjustRightInd w:val="0"/>
              <w:jc w:val="center"/>
              <w:rPr>
                <w:color w:val="000000"/>
                <w:sz w:val="20"/>
              </w:rPr>
            </w:pPr>
            <w:r w:rsidRPr="00A50F32">
              <w:rPr>
                <w:color w:val="000000"/>
                <w:sz w:val="20"/>
              </w:rPr>
              <w:t>HQ</w:t>
            </w:r>
          </w:p>
        </w:tc>
      </w:tr>
      <w:tr w:rsidR="009D755F" w:rsidRPr="00A50F32" w14:paraId="4092BB7B" w14:textId="77777777" w:rsidTr="00373F31">
        <w:trPr>
          <w:trHeight w:val="220"/>
        </w:trPr>
        <w:tc>
          <w:tcPr>
            <w:tcW w:w="820" w:type="dxa"/>
            <w:vAlign w:val="bottom"/>
          </w:tcPr>
          <w:p w14:paraId="3967448E" w14:textId="77777777" w:rsidR="009D755F" w:rsidRPr="00A50F32" w:rsidRDefault="009D755F" w:rsidP="00F647C8">
            <w:pPr>
              <w:autoSpaceDE w:val="0"/>
              <w:autoSpaceDN w:val="0"/>
              <w:adjustRightInd w:val="0"/>
              <w:jc w:val="center"/>
              <w:rPr>
                <w:color w:val="000000"/>
                <w:sz w:val="20"/>
              </w:rPr>
            </w:pPr>
            <w:r w:rsidRPr="00A50F32">
              <w:rPr>
                <w:color w:val="000000"/>
                <w:sz w:val="20"/>
              </w:rPr>
              <w:t>0</w:t>
            </w:r>
          </w:p>
        </w:tc>
        <w:tc>
          <w:tcPr>
            <w:tcW w:w="1418" w:type="dxa"/>
            <w:vAlign w:val="bottom"/>
          </w:tcPr>
          <w:p w14:paraId="49BDD161" w14:textId="77777777" w:rsidR="009D755F" w:rsidRPr="00A50F32" w:rsidRDefault="009D755F" w:rsidP="00F647C8">
            <w:pPr>
              <w:autoSpaceDE w:val="0"/>
              <w:autoSpaceDN w:val="0"/>
              <w:adjustRightInd w:val="0"/>
              <w:jc w:val="center"/>
              <w:rPr>
                <w:color w:val="000000"/>
                <w:sz w:val="20"/>
              </w:rPr>
            </w:pPr>
            <w:r w:rsidRPr="00A50F32">
              <w:rPr>
                <w:color w:val="000000"/>
                <w:sz w:val="20"/>
              </w:rPr>
              <w:t>-1810.131</w:t>
            </w:r>
          </w:p>
        </w:tc>
        <w:tc>
          <w:tcPr>
            <w:tcW w:w="1276" w:type="dxa"/>
            <w:vAlign w:val="bottom"/>
          </w:tcPr>
          <w:p w14:paraId="12164F42" w14:textId="77777777" w:rsidR="009D755F" w:rsidRPr="00A50F32" w:rsidRDefault="009D755F" w:rsidP="00F647C8">
            <w:pPr>
              <w:autoSpaceDE w:val="0"/>
              <w:autoSpaceDN w:val="0"/>
              <w:adjustRightInd w:val="0"/>
              <w:jc w:val="center"/>
              <w:rPr>
                <w:color w:val="000000"/>
                <w:sz w:val="20"/>
              </w:rPr>
            </w:pPr>
            <w:r w:rsidRPr="00A50F32">
              <w:rPr>
                <w:color w:val="000000"/>
                <w:sz w:val="20"/>
              </w:rPr>
              <w:t>NA </w:t>
            </w:r>
          </w:p>
        </w:tc>
        <w:tc>
          <w:tcPr>
            <w:tcW w:w="1418" w:type="dxa"/>
            <w:vAlign w:val="bottom"/>
          </w:tcPr>
          <w:p w14:paraId="7CEB425B" w14:textId="77777777" w:rsidR="009D755F" w:rsidRPr="00A50F32" w:rsidRDefault="009D755F" w:rsidP="00F647C8">
            <w:pPr>
              <w:autoSpaceDE w:val="0"/>
              <w:autoSpaceDN w:val="0"/>
              <w:adjustRightInd w:val="0"/>
              <w:jc w:val="center"/>
              <w:rPr>
                <w:color w:val="000000"/>
                <w:sz w:val="20"/>
              </w:rPr>
            </w:pPr>
            <w:r w:rsidRPr="00A50F32">
              <w:rPr>
                <w:color w:val="000000"/>
                <w:sz w:val="20"/>
              </w:rPr>
              <w:t> 3.84e+26</w:t>
            </w:r>
          </w:p>
        </w:tc>
        <w:tc>
          <w:tcPr>
            <w:tcW w:w="1417" w:type="dxa"/>
            <w:vAlign w:val="bottom"/>
          </w:tcPr>
          <w:p w14:paraId="685DA3C7" w14:textId="77777777" w:rsidR="009D755F" w:rsidRPr="00A50F32" w:rsidRDefault="009D755F" w:rsidP="00F647C8">
            <w:pPr>
              <w:autoSpaceDE w:val="0"/>
              <w:autoSpaceDN w:val="0"/>
              <w:adjustRightInd w:val="0"/>
              <w:jc w:val="center"/>
              <w:rPr>
                <w:color w:val="000000"/>
                <w:sz w:val="20"/>
              </w:rPr>
            </w:pPr>
            <w:r w:rsidRPr="00A50F32">
              <w:rPr>
                <w:color w:val="000000"/>
                <w:sz w:val="20"/>
              </w:rPr>
              <w:t> 72.56524</w:t>
            </w:r>
          </w:p>
        </w:tc>
        <w:tc>
          <w:tcPr>
            <w:tcW w:w="1276" w:type="dxa"/>
            <w:vAlign w:val="bottom"/>
          </w:tcPr>
          <w:p w14:paraId="6B60F9E8" w14:textId="77777777" w:rsidR="009D755F" w:rsidRPr="00A50F32" w:rsidRDefault="009D755F" w:rsidP="00F647C8">
            <w:pPr>
              <w:autoSpaceDE w:val="0"/>
              <w:autoSpaceDN w:val="0"/>
              <w:adjustRightInd w:val="0"/>
              <w:jc w:val="center"/>
              <w:rPr>
                <w:color w:val="000000"/>
                <w:sz w:val="20"/>
              </w:rPr>
            </w:pPr>
            <w:r w:rsidRPr="00A50F32">
              <w:rPr>
                <w:color w:val="000000"/>
                <w:sz w:val="20"/>
              </w:rPr>
              <w:t> 72.71820</w:t>
            </w:r>
          </w:p>
        </w:tc>
        <w:tc>
          <w:tcPr>
            <w:tcW w:w="1417" w:type="dxa"/>
            <w:vAlign w:val="bottom"/>
          </w:tcPr>
          <w:p w14:paraId="026039B6" w14:textId="77777777" w:rsidR="009D755F" w:rsidRPr="00A50F32" w:rsidRDefault="009D755F" w:rsidP="00F647C8">
            <w:pPr>
              <w:autoSpaceDE w:val="0"/>
              <w:autoSpaceDN w:val="0"/>
              <w:adjustRightInd w:val="0"/>
              <w:jc w:val="center"/>
              <w:rPr>
                <w:color w:val="000000"/>
                <w:sz w:val="20"/>
              </w:rPr>
            </w:pPr>
            <w:r w:rsidRPr="00A50F32">
              <w:rPr>
                <w:color w:val="000000"/>
                <w:sz w:val="20"/>
              </w:rPr>
              <w:t> 72.62348</w:t>
            </w:r>
          </w:p>
        </w:tc>
      </w:tr>
      <w:tr w:rsidR="009D755F" w:rsidRPr="00A50F32" w14:paraId="559EB0F5" w14:textId="77777777" w:rsidTr="00373F31">
        <w:trPr>
          <w:trHeight w:val="220"/>
        </w:trPr>
        <w:tc>
          <w:tcPr>
            <w:tcW w:w="820" w:type="dxa"/>
            <w:vAlign w:val="bottom"/>
          </w:tcPr>
          <w:p w14:paraId="582F38A6" w14:textId="77777777" w:rsidR="009D755F" w:rsidRPr="00A50F32" w:rsidRDefault="009D755F" w:rsidP="00F647C8">
            <w:pPr>
              <w:autoSpaceDE w:val="0"/>
              <w:autoSpaceDN w:val="0"/>
              <w:adjustRightInd w:val="0"/>
              <w:jc w:val="center"/>
              <w:rPr>
                <w:color w:val="000000"/>
                <w:sz w:val="20"/>
              </w:rPr>
            </w:pPr>
            <w:r w:rsidRPr="00A50F32">
              <w:rPr>
                <w:color w:val="000000"/>
                <w:sz w:val="20"/>
              </w:rPr>
              <w:t>1</w:t>
            </w:r>
          </w:p>
        </w:tc>
        <w:tc>
          <w:tcPr>
            <w:tcW w:w="1418" w:type="dxa"/>
            <w:vAlign w:val="bottom"/>
          </w:tcPr>
          <w:p w14:paraId="269D166B" w14:textId="77777777" w:rsidR="009D755F" w:rsidRPr="00A50F32" w:rsidRDefault="009D755F" w:rsidP="00F647C8">
            <w:pPr>
              <w:autoSpaceDE w:val="0"/>
              <w:autoSpaceDN w:val="0"/>
              <w:adjustRightInd w:val="0"/>
              <w:jc w:val="center"/>
              <w:rPr>
                <w:color w:val="000000"/>
                <w:sz w:val="20"/>
              </w:rPr>
            </w:pPr>
            <w:r w:rsidRPr="00A50F32">
              <w:rPr>
                <w:color w:val="000000"/>
                <w:sz w:val="20"/>
              </w:rPr>
              <w:t>-1772.310</w:t>
            </w:r>
          </w:p>
        </w:tc>
        <w:tc>
          <w:tcPr>
            <w:tcW w:w="1276" w:type="dxa"/>
            <w:vAlign w:val="bottom"/>
          </w:tcPr>
          <w:p w14:paraId="7371BFBD" w14:textId="77777777" w:rsidR="009D755F" w:rsidRPr="00A50F32" w:rsidRDefault="009D755F" w:rsidP="00F647C8">
            <w:pPr>
              <w:autoSpaceDE w:val="0"/>
              <w:autoSpaceDN w:val="0"/>
              <w:adjustRightInd w:val="0"/>
              <w:jc w:val="center"/>
              <w:rPr>
                <w:color w:val="000000"/>
                <w:sz w:val="20"/>
              </w:rPr>
            </w:pPr>
            <w:r w:rsidRPr="00A50F32">
              <w:rPr>
                <w:color w:val="000000"/>
                <w:sz w:val="20"/>
              </w:rPr>
              <w:t> 68.07819</w:t>
            </w:r>
          </w:p>
        </w:tc>
        <w:tc>
          <w:tcPr>
            <w:tcW w:w="1418" w:type="dxa"/>
            <w:vAlign w:val="bottom"/>
          </w:tcPr>
          <w:p w14:paraId="6DD5B0B1" w14:textId="77777777" w:rsidR="009D755F" w:rsidRPr="00A50F32" w:rsidRDefault="009D755F" w:rsidP="00F647C8">
            <w:pPr>
              <w:autoSpaceDE w:val="0"/>
              <w:autoSpaceDN w:val="0"/>
              <w:adjustRightInd w:val="0"/>
              <w:jc w:val="center"/>
              <w:rPr>
                <w:color w:val="000000"/>
                <w:sz w:val="20"/>
              </w:rPr>
            </w:pPr>
            <w:r w:rsidRPr="00A50F32">
              <w:rPr>
                <w:color w:val="000000"/>
                <w:sz w:val="20"/>
              </w:rPr>
              <w:t> 1.61e+26</w:t>
            </w:r>
          </w:p>
        </w:tc>
        <w:tc>
          <w:tcPr>
            <w:tcW w:w="1417" w:type="dxa"/>
            <w:vAlign w:val="bottom"/>
          </w:tcPr>
          <w:p w14:paraId="39E85A08" w14:textId="77777777" w:rsidR="009D755F" w:rsidRPr="00A50F32" w:rsidRDefault="009D755F" w:rsidP="00F647C8">
            <w:pPr>
              <w:autoSpaceDE w:val="0"/>
              <w:autoSpaceDN w:val="0"/>
              <w:adjustRightInd w:val="0"/>
              <w:jc w:val="center"/>
              <w:rPr>
                <w:color w:val="000000"/>
                <w:sz w:val="20"/>
              </w:rPr>
            </w:pPr>
            <w:r w:rsidRPr="00A50F32">
              <w:rPr>
                <w:color w:val="000000"/>
                <w:sz w:val="20"/>
              </w:rPr>
              <w:t> 71.69239</w:t>
            </w:r>
          </w:p>
        </w:tc>
        <w:tc>
          <w:tcPr>
            <w:tcW w:w="1276" w:type="dxa"/>
            <w:vAlign w:val="bottom"/>
          </w:tcPr>
          <w:p w14:paraId="21D2B5C2" w14:textId="77777777" w:rsidR="009D755F" w:rsidRPr="00A50F32" w:rsidRDefault="009D755F" w:rsidP="00F647C8">
            <w:pPr>
              <w:autoSpaceDE w:val="0"/>
              <w:autoSpaceDN w:val="0"/>
              <w:adjustRightInd w:val="0"/>
              <w:jc w:val="center"/>
              <w:rPr>
                <w:color w:val="000000"/>
                <w:sz w:val="20"/>
              </w:rPr>
            </w:pPr>
            <w:r w:rsidRPr="00A50F32">
              <w:rPr>
                <w:color w:val="000000"/>
                <w:sz w:val="20"/>
              </w:rPr>
              <w:t>  72.45720*</w:t>
            </w:r>
          </w:p>
        </w:tc>
        <w:tc>
          <w:tcPr>
            <w:tcW w:w="1417" w:type="dxa"/>
            <w:vAlign w:val="bottom"/>
          </w:tcPr>
          <w:p w14:paraId="2B938694" w14:textId="77777777" w:rsidR="009D755F" w:rsidRPr="00A50F32" w:rsidRDefault="009D755F" w:rsidP="00F647C8">
            <w:pPr>
              <w:autoSpaceDE w:val="0"/>
              <w:autoSpaceDN w:val="0"/>
              <w:adjustRightInd w:val="0"/>
              <w:jc w:val="center"/>
              <w:rPr>
                <w:color w:val="000000"/>
                <w:sz w:val="20"/>
              </w:rPr>
            </w:pPr>
            <w:r w:rsidRPr="00A50F32">
              <w:rPr>
                <w:color w:val="000000"/>
                <w:sz w:val="20"/>
              </w:rPr>
              <w:t>  71.98363*</w:t>
            </w:r>
          </w:p>
        </w:tc>
      </w:tr>
      <w:tr w:rsidR="009D755F" w:rsidRPr="00A50F32" w14:paraId="317BFB50" w14:textId="77777777" w:rsidTr="00373F31">
        <w:trPr>
          <w:trHeight w:val="220"/>
        </w:trPr>
        <w:tc>
          <w:tcPr>
            <w:tcW w:w="820" w:type="dxa"/>
            <w:vAlign w:val="bottom"/>
          </w:tcPr>
          <w:p w14:paraId="43F79500" w14:textId="77777777" w:rsidR="009D755F" w:rsidRPr="00A50F32" w:rsidRDefault="009D755F" w:rsidP="00F647C8">
            <w:pPr>
              <w:autoSpaceDE w:val="0"/>
              <w:autoSpaceDN w:val="0"/>
              <w:adjustRightInd w:val="0"/>
              <w:jc w:val="center"/>
              <w:rPr>
                <w:color w:val="000000"/>
                <w:sz w:val="20"/>
              </w:rPr>
            </w:pPr>
            <w:r w:rsidRPr="00A50F32">
              <w:rPr>
                <w:color w:val="000000"/>
                <w:sz w:val="20"/>
              </w:rPr>
              <w:t>2</w:t>
            </w:r>
          </w:p>
        </w:tc>
        <w:tc>
          <w:tcPr>
            <w:tcW w:w="1418" w:type="dxa"/>
            <w:vAlign w:val="bottom"/>
          </w:tcPr>
          <w:p w14:paraId="0C1BED5B" w14:textId="77777777" w:rsidR="009D755F" w:rsidRPr="00A50F32" w:rsidRDefault="009D755F" w:rsidP="00F647C8">
            <w:pPr>
              <w:autoSpaceDE w:val="0"/>
              <w:autoSpaceDN w:val="0"/>
              <w:adjustRightInd w:val="0"/>
              <w:jc w:val="center"/>
              <w:rPr>
                <w:color w:val="000000"/>
                <w:sz w:val="20"/>
              </w:rPr>
            </w:pPr>
            <w:r w:rsidRPr="00A50F32">
              <w:rPr>
                <w:color w:val="000000"/>
                <w:sz w:val="20"/>
              </w:rPr>
              <w:t>-1751.882</w:t>
            </w:r>
          </w:p>
        </w:tc>
        <w:tc>
          <w:tcPr>
            <w:tcW w:w="1276" w:type="dxa"/>
            <w:vAlign w:val="bottom"/>
          </w:tcPr>
          <w:p w14:paraId="266D730F" w14:textId="77777777" w:rsidR="009D755F" w:rsidRPr="00A50F32" w:rsidRDefault="009D755F" w:rsidP="00F647C8">
            <w:pPr>
              <w:autoSpaceDE w:val="0"/>
              <w:autoSpaceDN w:val="0"/>
              <w:adjustRightInd w:val="0"/>
              <w:jc w:val="center"/>
              <w:rPr>
                <w:color w:val="000000"/>
                <w:sz w:val="20"/>
              </w:rPr>
            </w:pPr>
            <w:r w:rsidRPr="00A50F32">
              <w:rPr>
                <w:color w:val="000000"/>
                <w:sz w:val="20"/>
              </w:rPr>
              <w:t>  33.50123*</w:t>
            </w:r>
          </w:p>
        </w:tc>
        <w:tc>
          <w:tcPr>
            <w:tcW w:w="1418" w:type="dxa"/>
            <w:vAlign w:val="bottom"/>
          </w:tcPr>
          <w:p w14:paraId="4FE3C65D" w14:textId="77777777" w:rsidR="009D755F" w:rsidRPr="00A50F32" w:rsidRDefault="009D755F" w:rsidP="00F647C8">
            <w:pPr>
              <w:autoSpaceDE w:val="0"/>
              <w:autoSpaceDN w:val="0"/>
              <w:adjustRightInd w:val="0"/>
              <w:jc w:val="center"/>
              <w:rPr>
                <w:color w:val="000000"/>
                <w:sz w:val="20"/>
              </w:rPr>
            </w:pPr>
            <w:r w:rsidRPr="00A50F32">
              <w:rPr>
                <w:color w:val="000000"/>
                <w:sz w:val="20"/>
              </w:rPr>
              <w:t>  1.37e+26*</w:t>
            </w:r>
          </w:p>
        </w:tc>
        <w:tc>
          <w:tcPr>
            <w:tcW w:w="1417" w:type="dxa"/>
            <w:vAlign w:val="bottom"/>
          </w:tcPr>
          <w:p w14:paraId="703DB54C" w14:textId="77777777" w:rsidR="009D755F" w:rsidRPr="00A50F32" w:rsidRDefault="009D755F" w:rsidP="00F647C8">
            <w:pPr>
              <w:autoSpaceDE w:val="0"/>
              <w:autoSpaceDN w:val="0"/>
              <w:adjustRightInd w:val="0"/>
              <w:jc w:val="center"/>
              <w:rPr>
                <w:color w:val="000000"/>
                <w:sz w:val="20"/>
              </w:rPr>
            </w:pPr>
            <w:r w:rsidRPr="00A50F32">
              <w:rPr>
                <w:color w:val="000000"/>
                <w:sz w:val="20"/>
              </w:rPr>
              <w:t>  71.51528*</w:t>
            </w:r>
          </w:p>
        </w:tc>
        <w:tc>
          <w:tcPr>
            <w:tcW w:w="1276" w:type="dxa"/>
            <w:vAlign w:val="bottom"/>
          </w:tcPr>
          <w:p w14:paraId="0A612ACF" w14:textId="77777777" w:rsidR="009D755F" w:rsidRPr="00A50F32" w:rsidRDefault="009D755F" w:rsidP="00F647C8">
            <w:pPr>
              <w:autoSpaceDE w:val="0"/>
              <w:autoSpaceDN w:val="0"/>
              <w:adjustRightInd w:val="0"/>
              <w:jc w:val="center"/>
              <w:rPr>
                <w:color w:val="000000"/>
                <w:sz w:val="20"/>
              </w:rPr>
            </w:pPr>
            <w:r w:rsidRPr="00A50F32">
              <w:rPr>
                <w:color w:val="000000"/>
                <w:sz w:val="20"/>
              </w:rPr>
              <w:t> 72.89194</w:t>
            </w:r>
          </w:p>
        </w:tc>
        <w:tc>
          <w:tcPr>
            <w:tcW w:w="1417" w:type="dxa"/>
            <w:vAlign w:val="bottom"/>
          </w:tcPr>
          <w:p w14:paraId="4CB406F6" w14:textId="77777777" w:rsidR="009D755F" w:rsidRPr="00A50F32" w:rsidRDefault="009D755F" w:rsidP="00F647C8">
            <w:pPr>
              <w:autoSpaceDE w:val="0"/>
              <w:autoSpaceDN w:val="0"/>
              <w:adjustRightInd w:val="0"/>
              <w:jc w:val="center"/>
              <w:rPr>
                <w:color w:val="000000"/>
                <w:sz w:val="20"/>
              </w:rPr>
            </w:pPr>
            <w:r w:rsidRPr="00A50F32">
              <w:rPr>
                <w:color w:val="000000"/>
                <w:sz w:val="20"/>
              </w:rPr>
              <w:t> 72.03952</w:t>
            </w:r>
          </w:p>
        </w:tc>
      </w:tr>
      <w:tr w:rsidR="009D755F" w:rsidRPr="00A50F32" w14:paraId="43D4711E" w14:textId="77777777" w:rsidTr="00373F31">
        <w:trPr>
          <w:trHeight w:val="220"/>
        </w:trPr>
        <w:tc>
          <w:tcPr>
            <w:tcW w:w="820" w:type="dxa"/>
            <w:vAlign w:val="bottom"/>
          </w:tcPr>
          <w:p w14:paraId="7C64EDC5" w14:textId="77777777" w:rsidR="009D755F" w:rsidRPr="00A50F32" w:rsidRDefault="009D755F" w:rsidP="00F647C8">
            <w:pPr>
              <w:autoSpaceDE w:val="0"/>
              <w:autoSpaceDN w:val="0"/>
              <w:adjustRightInd w:val="0"/>
              <w:jc w:val="center"/>
              <w:rPr>
                <w:color w:val="000000"/>
                <w:sz w:val="20"/>
              </w:rPr>
            </w:pPr>
            <w:r w:rsidRPr="00A50F32">
              <w:rPr>
                <w:color w:val="000000"/>
                <w:sz w:val="20"/>
              </w:rPr>
              <w:t>3</w:t>
            </w:r>
          </w:p>
        </w:tc>
        <w:tc>
          <w:tcPr>
            <w:tcW w:w="1418" w:type="dxa"/>
            <w:vAlign w:val="bottom"/>
          </w:tcPr>
          <w:p w14:paraId="4702AA3C" w14:textId="77777777" w:rsidR="009D755F" w:rsidRPr="00A50F32" w:rsidRDefault="009D755F" w:rsidP="00F647C8">
            <w:pPr>
              <w:autoSpaceDE w:val="0"/>
              <w:autoSpaceDN w:val="0"/>
              <w:adjustRightInd w:val="0"/>
              <w:jc w:val="center"/>
              <w:rPr>
                <w:color w:val="000000"/>
                <w:sz w:val="20"/>
              </w:rPr>
            </w:pPr>
            <w:r w:rsidRPr="00A50F32">
              <w:rPr>
                <w:color w:val="000000"/>
                <w:sz w:val="20"/>
              </w:rPr>
              <w:t>-1742.540</w:t>
            </w:r>
          </w:p>
        </w:tc>
        <w:tc>
          <w:tcPr>
            <w:tcW w:w="1276" w:type="dxa"/>
            <w:vAlign w:val="bottom"/>
          </w:tcPr>
          <w:p w14:paraId="4C498973" w14:textId="77777777" w:rsidR="009D755F" w:rsidRPr="00A50F32" w:rsidRDefault="009D755F" w:rsidP="00F647C8">
            <w:pPr>
              <w:autoSpaceDE w:val="0"/>
              <w:autoSpaceDN w:val="0"/>
              <w:adjustRightInd w:val="0"/>
              <w:jc w:val="center"/>
              <w:rPr>
                <w:color w:val="000000"/>
                <w:sz w:val="20"/>
              </w:rPr>
            </w:pPr>
            <w:r w:rsidRPr="00A50F32">
              <w:rPr>
                <w:color w:val="000000"/>
                <w:sz w:val="20"/>
              </w:rPr>
              <w:t> 13.82639</w:t>
            </w:r>
          </w:p>
        </w:tc>
        <w:tc>
          <w:tcPr>
            <w:tcW w:w="1418" w:type="dxa"/>
            <w:vAlign w:val="bottom"/>
          </w:tcPr>
          <w:p w14:paraId="3C2AEFD2" w14:textId="77777777" w:rsidR="009D755F" w:rsidRPr="00A50F32" w:rsidRDefault="009D755F" w:rsidP="00F647C8">
            <w:pPr>
              <w:autoSpaceDE w:val="0"/>
              <w:autoSpaceDN w:val="0"/>
              <w:adjustRightInd w:val="0"/>
              <w:jc w:val="center"/>
              <w:rPr>
                <w:color w:val="000000"/>
                <w:sz w:val="20"/>
              </w:rPr>
            </w:pPr>
            <w:r w:rsidRPr="00A50F32">
              <w:rPr>
                <w:color w:val="000000"/>
                <w:sz w:val="20"/>
              </w:rPr>
              <w:t> 1.84e+26</w:t>
            </w:r>
          </w:p>
        </w:tc>
        <w:tc>
          <w:tcPr>
            <w:tcW w:w="1417" w:type="dxa"/>
            <w:vAlign w:val="bottom"/>
          </w:tcPr>
          <w:p w14:paraId="563F2C78" w14:textId="77777777" w:rsidR="009D755F" w:rsidRPr="00A50F32" w:rsidRDefault="009D755F" w:rsidP="00F647C8">
            <w:pPr>
              <w:autoSpaceDE w:val="0"/>
              <w:autoSpaceDN w:val="0"/>
              <w:adjustRightInd w:val="0"/>
              <w:jc w:val="center"/>
              <w:rPr>
                <w:color w:val="000000"/>
                <w:sz w:val="20"/>
              </w:rPr>
            </w:pPr>
            <w:r w:rsidRPr="00A50F32">
              <w:rPr>
                <w:color w:val="000000"/>
                <w:sz w:val="20"/>
              </w:rPr>
              <w:t> 71.78160</w:t>
            </w:r>
          </w:p>
        </w:tc>
        <w:tc>
          <w:tcPr>
            <w:tcW w:w="1276" w:type="dxa"/>
            <w:vAlign w:val="bottom"/>
          </w:tcPr>
          <w:p w14:paraId="5099E7FC" w14:textId="77777777" w:rsidR="009D755F" w:rsidRPr="00A50F32" w:rsidRDefault="009D755F" w:rsidP="00F647C8">
            <w:pPr>
              <w:autoSpaceDE w:val="0"/>
              <w:autoSpaceDN w:val="0"/>
              <w:adjustRightInd w:val="0"/>
              <w:jc w:val="center"/>
              <w:rPr>
                <w:color w:val="000000"/>
                <w:sz w:val="20"/>
              </w:rPr>
            </w:pPr>
            <w:r w:rsidRPr="00A50F32">
              <w:rPr>
                <w:color w:val="000000"/>
                <w:sz w:val="20"/>
              </w:rPr>
              <w:t> 73.77010</w:t>
            </w:r>
          </w:p>
        </w:tc>
        <w:tc>
          <w:tcPr>
            <w:tcW w:w="1417" w:type="dxa"/>
            <w:vAlign w:val="bottom"/>
          </w:tcPr>
          <w:p w14:paraId="3B659A12" w14:textId="77777777" w:rsidR="009D755F" w:rsidRPr="00A50F32" w:rsidRDefault="009D755F" w:rsidP="00F647C8">
            <w:pPr>
              <w:autoSpaceDE w:val="0"/>
              <w:autoSpaceDN w:val="0"/>
              <w:adjustRightInd w:val="0"/>
              <w:jc w:val="center"/>
              <w:rPr>
                <w:color w:val="000000"/>
                <w:sz w:val="20"/>
              </w:rPr>
            </w:pPr>
            <w:r w:rsidRPr="00A50F32">
              <w:rPr>
                <w:color w:val="000000"/>
                <w:sz w:val="20"/>
              </w:rPr>
              <w:t> 72.53883</w:t>
            </w:r>
          </w:p>
        </w:tc>
      </w:tr>
      <w:tr w:rsidR="009D755F" w:rsidRPr="00A50F32" w14:paraId="26149F1B" w14:textId="77777777" w:rsidTr="00373F31">
        <w:trPr>
          <w:trHeight w:val="220"/>
        </w:trPr>
        <w:tc>
          <w:tcPr>
            <w:tcW w:w="820" w:type="dxa"/>
            <w:vAlign w:val="bottom"/>
          </w:tcPr>
          <w:p w14:paraId="480457CD" w14:textId="77777777" w:rsidR="009D755F" w:rsidRPr="00A50F32" w:rsidRDefault="009D755F" w:rsidP="00F647C8">
            <w:pPr>
              <w:autoSpaceDE w:val="0"/>
              <w:autoSpaceDN w:val="0"/>
              <w:adjustRightInd w:val="0"/>
              <w:jc w:val="center"/>
              <w:rPr>
                <w:color w:val="000000"/>
                <w:sz w:val="20"/>
              </w:rPr>
            </w:pPr>
            <w:r w:rsidRPr="00A50F32">
              <w:rPr>
                <w:color w:val="000000"/>
                <w:sz w:val="20"/>
              </w:rPr>
              <w:t>4</w:t>
            </w:r>
          </w:p>
        </w:tc>
        <w:tc>
          <w:tcPr>
            <w:tcW w:w="1418" w:type="dxa"/>
            <w:vAlign w:val="bottom"/>
          </w:tcPr>
          <w:p w14:paraId="69A92D62" w14:textId="77777777" w:rsidR="009D755F" w:rsidRPr="00A50F32" w:rsidRDefault="009D755F" w:rsidP="00F647C8">
            <w:pPr>
              <w:autoSpaceDE w:val="0"/>
              <w:autoSpaceDN w:val="0"/>
              <w:adjustRightInd w:val="0"/>
              <w:jc w:val="center"/>
              <w:rPr>
                <w:color w:val="000000"/>
                <w:sz w:val="20"/>
              </w:rPr>
            </w:pPr>
            <w:r w:rsidRPr="00A50F32">
              <w:rPr>
                <w:color w:val="000000"/>
                <w:sz w:val="20"/>
              </w:rPr>
              <w:t>-1735.812</w:t>
            </w:r>
          </w:p>
        </w:tc>
        <w:tc>
          <w:tcPr>
            <w:tcW w:w="1276" w:type="dxa"/>
            <w:vAlign w:val="bottom"/>
          </w:tcPr>
          <w:p w14:paraId="1A3F079C" w14:textId="77777777" w:rsidR="009D755F" w:rsidRPr="00A50F32" w:rsidRDefault="009D755F" w:rsidP="00F647C8">
            <w:pPr>
              <w:autoSpaceDE w:val="0"/>
              <w:autoSpaceDN w:val="0"/>
              <w:adjustRightInd w:val="0"/>
              <w:jc w:val="center"/>
              <w:rPr>
                <w:color w:val="000000"/>
                <w:sz w:val="20"/>
              </w:rPr>
            </w:pPr>
            <w:r w:rsidRPr="00A50F32">
              <w:rPr>
                <w:color w:val="000000"/>
                <w:sz w:val="20"/>
              </w:rPr>
              <w:t> 8.880309</w:t>
            </w:r>
          </w:p>
        </w:tc>
        <w:tc>
          <w:tcPr>
            <w:tcW w:w="1418" w:type="dxa"/>
            <w:vAlign w:val="bottom"/>
          </w:tcPr>
          <w:p w14:paraId="7F139A93" w14:textId="77777777" w:rsidR="009D755F" w:rsidRPr="00A50F32" w:rsidRDefault="009D755F" w:rsidP="00F647C8">
            <w:pPr>
              <w:autoSpaceDE w:val="0"/>
              <w:autoSpaceDN w:val="0"/>
              <w:adjustRightInd w:val="0"/>
              <w:jc w:val="center"/>
              <w:rPr>
                <w:color w:val="000000"/>
                <w:sz w:val="20"/>
              </w:rPr>
            </w:pPr>
            <w:r w:rsidRPr="00A50F32">
              <w:rPr>
                <w:color w:val="000000"/>
                <w:sz w:val="20"/>
              </w:rPr>
              <w:t> 2.85e+26</w:t>
            </w:r>
          </w:p>
        </w:tc>
        <w:tc>
          <w:tcPr>
            <w:tcW w:w="1417" w:type="dxa"/>
            <w:vAlign w:val="bottom"/>
          </w:tcPr>
          <w:p w14:paraId="2E1DEE5E" w14:textId="77777777" w:rsidR="009D755F" w:rsidRPr="00A50F32" w:rsidRDefault="009D755F" w:rsidP="00F647C8">
            <w:pPr>
              <w:autoSpaceDE w:val="0"/>
              <w:autoSpaceDN w:val="0"/>
              <w:adjustRightInd w:val="0"/>
              <w:jc w:val="center"/>
              <w:rPr>
                <w:color w:val="000000"/>
                <w:sz w:val="20"/>
              </w:rPr>
            </w:pPr>
            <w:r w:rsidRPr="00A50F32">
              <w:rPr>
                <w:color w:val="000000"/>
                <w:sz w:val="20"/>
              </w:rPr>
              <w:t> 72.15250</w:t>
            </w:r>
          </w:p>
        </w:tc>
        <w:tc>
          <w:tcPr>
            <w:tcW w:w="1276" w:type="dxa"/>
            <w:vAlign w:val="bottom"/>
          </w:tcPr>
          <w:p w14:paraId="4D4E5474" w14:textId="77777777" w:rsidR="009D755F" w:rsidRPr="00A50F32" w:rsidRDefault="009D755F" w:rsidP="00F647C8">
            <w:pPr>
              <w:autoSpaceDE w:val="0"/>
              <w:autoSpaceDN w:val="0"/>
              <w:adjustRightInd w:val="0"/>
              <w:jc w:val="center"/>
              <w:rPr>
                <w:color w:val="000000"/>
                <w:sz w:val="20"/>
              </w:rPr>
            </w:pPr>
            <w:r w:rsidRPr="00A50F32">
              <w:rPr>
                <w:color w:val="000000"/>
                <w:sz w:val="20"/>
              </w:rPr>
              <w:t> 74.75285</w:t>
            </w:r>
          </w:p>
        </w:tc>
        <w:tc>
          <w:tcPr>
            <w:tcW w:w="1417" w:type="dxa"/>
            <w:vAlign w:val="bottom"/>
          </w:tcPr>
          <w:p w14:paraId="510ACAD8" w14:textId="77777777" w:rsidR="009D755F" w:rsidRPr="00A50F32" w:rsidRDefault="009D755F" w:rsidP="00F647C8">
            <w:pPr>
              <w:autoSpaceDE w:val="0"/>
              <w:autoSpaceDN w:val="0"/>
              <w:adjustRightInd w:val="0"/>
              <w:jc w:val="center"/>
              <w:rPr>
                <w:color w:val="000000"/>
                <w:sz w:val="20"/>
              </w:rPr>
            </w:pPr>
            <w:r w:rsidRPr="00A50F32">
              <w:rPr>
                <w:color w:val="000000"/>
                <w:sz w:val="20"/>
              </w:rPr>
              <w:t> 73.14273</w:t>
            </w:r>
          </w:p>
        </w:tc>
      </w:tr>
      <w:tr w:rsidR="009D755F" w:rsidRPr="00A50F32" w14:paraId="0CF6EA51" w14:textId="77777777" w:rsidTr="00373F31">
        <w:trPr>
          <w:trHeight w:val="220"/>
        </w:trPr>
        <w:tc>
          <w:tcPr>
            <w:tcW w:w="820" w:type="dxa"/>
            <w:vAlign w:val="bottom"/>
          </w:tcPr>
          <w:p w14:paraId="00289219" w14:textId="77777777" w:rsidR="009D755F" w:rsidRPr="00A50F32" w:rsidRDefault="009D755F" w:rsidP="00F647C8">
            <w:pPr>
              <w:autoSpaceDE w:val="0"/>
              <w:autoSpaceDN w:val="0"/>
              <w:adjustRightInd w:val="0"/>
              <w:jc w:val="center"/>
              <w:rPr>
                <w:color w:val="000000"/>
                <w:sz w:val="20"/>
              </w:rPr>
            </w:pPr>
            <w:r w:rsidRPr="00A50F32">
              <w:rPr>
                <w:color w:val="000000"/>
                <w:sz w:val="20"/>
              </w:rPr>
              <w:t>5</w:t>
            </w:r>
          </w:p>
        </w:tc>
        <w:tc>
          <w:tcPr>
            <w:tcW w:w="1418" w:type="dxa"/>
            <w:vAlign w:val="bottom"/>
          </w:tcPr>
          <w:p w14:paraId="2F7980E8" w14:textId="77777777" w:rsidR="009D755F" w:rsidRPr="00A50F32" w:rsidRDefault="009D755F" w:rsidP="00F647C8">
            <w:pPr>
              <w:autoSpaceDE w:val="0"/>
              <w:autoSpaceDN w:val="0"/>
              <w:adjustRightInd w:val="0"/>
              <w:jc w:val="center"/>
              <w:rPr>
                <w:color w:val="000000"/>
                <w:sz w:val="20"/>
              </w:rPr>
            </w:pPr>
            <w:r w:rsidRPr="00A50F32">
              <w:rPr>
                <w:color w:val="000000"/>
                <w:sz w:val="20"/>
              </w:rPr>
              <w:t>-1715.979</w:t>
            </w:r>
          </w:p>
        </w:tc>
        <w:tc>
          <w:tcPr>
            <w:tcW w:w="1276" w:type="dxa"/>
            <w:vAlign w:val="bottom"/>
          </w:tcPr>
          <w:p w14:paraId="6353041F" w14:textId="77777777" w:rsidR="009D755F" w:rsidRPr="00A50F32" w:rsidRDefault="009D755F" w:rsidP="00F647C8">
            <w:pPr>
              <w:autoSpaceDE w:val="0"/>
              <w:autoSpaceDN w:val="0"/>
              <w:adjustRightInd w:val="0"/>
              <w:jc w:val="center"/>
              <w:rPr>
                <w:color w:val="000000"/>
                <w:sz w:val="20"/>
              </w:rPr>
            </w:pPr>
            <w:r w:rsidRPr="00A50F32">
              <w:rPr>
                <w:color w:val="000000"/>
                <w:sz w:val="20"/>
              </w:rPr>
              <w:t> 23.00670</w:t>
            </w:r>
          </w:p>
        </w:tc>
        <w:tc>
          <w:tcPr>
            <w:tcW w:w="1418" w:type="dxa"/>
            <w:vAlign w:val="bottom"/>
          </w:tcPr>
          <w:p w14:paraId="02D1F833" w14:textId="77777777" w:rsidR="009D755F" w:rsidRPr="00A50F32" w:rsidRDefault="009D755F" w:rsidP="00F647C8">
            <w:pPr>
              <w:autoSpaceDE w:val="0"/>
              <w:autoSpaceDN w:val="0"/>
              <w:adjustRightInd w:val="0"/>
              <w:jc w:val="center"/>
              <w:rPr>
                <w:color w:val="000000"/>
                <w:sz w:val="20"/>
              </w:rPr>
            </w:pPr>
            <w:r w:rsidRPr="00A50F32">
              <w:rPr>
                <w:color w:val="000000"/>
                <w:sz w:val="20"/>
              </w:rPr>
              <w:t> 2.72e+26</w:t>
            </w:r>
          </w:p>
        </w:tc>
        <w:tc>
          <w:tcPr>
            <w:tcW w:w="1417" w:type="dxa"/>
            <w:vAlign w:val="bottom"/>
          </w:tcPr>
          <w:p w14:paraId="4C2B7553" w14:textId="77777777" w:rsidR="009D755F" w:rsidRPr="00A50F32" w:rsidRDefault="009D755F" w:rsidP="00F647C8">
            <w:pPr>
              <w:autoSpaceDE w:val="0"/>
              <w:autoSpaceDN w:val="0"/>
              <w:adjustRightInd w:val="0"/>
              <w:jc w:val="center"/>
              <w:rPr>
                <w:color w:val="000000"/>
                <w:sz w:val="20"/>
              </w:rPr>
            </w:pPr>
            <w:r w:rsidRPr="00A50F32">
              <w:rPr>
                <w:color w:val="000000"/>
                <w:sz w:val="20"/>
              </w:rPr>
              <w:t> 71.99916</w:t>
            </w:r>
          </w:p>
        </w:tc>
        <w:tc>
          <w:tcPr>
            <w:tcW w:w="1276" w:type="dxa"/>
            <w:vAlign w:val="bottom"/>
          </w:tcPr>
          <w:p w14:paraId="3A40BEDB" w14:textId="77777777" w:rsidR="009D755F" w:rsidRPr="00A50F32" w:rsidRDefault="009D755F" w:rsidP="00F647C8">
            <w:pPr>
              <w:autoSpaceDE w:val="0"/>
              <w:autoSpaceDN w:val="0"/>
              <w:adjustRightInd w:val="0"/>
              <w:jc w:val="center"/>
              <w:rPr>
                <w:color w:val="000000"/>
                <w:sz w:val="20"/>
              </w:rPr>
            </w:pPr>
            <w:r w:rsidRPr="00A50F32">
              <w:rPr>
                <w:color w:val="000000"/>
                <w:sz w:val="20"/>
              </w:rPr>
              <w:t> 75.21136</w:t>
            </w:r>
          </w:p>
        </w:tc>
        <w:tc>
          <w:tcPr>
            <w:tcW w:w="1417" w:type="dxa"/>
            <w:vAlign w:val="bottom"/>
          </w:tcPr>
          <w:p w14:paraId="60E6AFE6" w14:textId="77777777" w:rsidR="009D755F" w:rsidRPr="00A50F32" w:rsidRDefault="009D755F" w:rsidP="00F647C8">
            <w:pPr>
              <w:autoSpaceDE w:val="0"/>
              <w:autoSpaceDN w:val="0"/>
              <w:adjustRightInd w:val="0"/>
              <w:jc w:val="center"/>
              <w:rPr>
                <w:color w:val="000000"/>
                <w:sz w:val="20"/>
              </w:rPr>
            </w:pPr>
            <w:r w:rsidRPr="00A50F32">
              <w:rPr>
                <w:color w:val="000000"/>
                <w:sz w:val="20"/>
              </w:rPr>
              <w:t> 73.22239</w:t>
            </w:r>
          </w:p>
        </w:tc>
      </w:tr>
      <w:tr w:rsidR="009D755F" w:rsidRPr="00A50F32" w14:paraId="13662A62" w14:textId="77777777" w:rsidTr="00373F31">
        <w:trPr>
          <w:trHeight w:val="220"/>
        </w:trPr>
        <w:tc>
          <w:tcPr>
            <w:tcW w:w="820" w:type="dxa"/>
            <w:vAlign w:val="bottom"/>
          </w:tcPr>
          <w:p w14:paraId="7787DE25" w14:textId="77777777" w:rsidR="009D755F" w:rsidRPr="00A50F32" w:rsidRDefault="009D755F" w:rsidP="00F647C8">
            <w:pPr>
              <w:autoSpaceDE w:val="0"/>
              <w:autoSpaceDN w:val="0"/>
              <w:adjustRightInd w:val="0"/>
              <w:jc w:val="center"/>
              <w:rPr>
                <w:color w:val="000000"/>
                <w:sz w:val="20"/>
              </w:rPr>
            </w:pPr>
            <w:r w:rsidRPr="00A50F32">
              <w:rPr>
                <w:color w:val="000000"/>
                <w:sz w:val="20"/>
              </w:rPr>
              <w:t>6</w:t>
            </w:r>
          </w:p>
        </w:tc>
        <w:tc>
          <w:tcPr>
            <w:tcW w:w="1418" w:type="dxa"/>
            <w:vAlign w:val="bottom"/>
          </w:tcPr>
          <w:p w14:paraId="32621E8A" w14:textId="77777777" w:rsidR="009D755F" w:rsidRPr="00A50F32" w:rsidRDefault="009D755F" w:rsidP="00F647C8">
            <w:pPr>
              <w:autoSpaceDE w:val="0"/>
              <w:autoSpaceDN w:val="0"/>
              <w:adjustRightInd w:val="0"/>
              <w:jc w:val="center"/>
              <w:rPr>
                <w:color w:val="000000"/>
                <w:sz w:val="20"/>
              </w:rPr>
            </w:pPr>
            <w:r w:rsidRPr="00A50F32">
              <w:rPr>
                <w:color w:val="000000"/>
                <w:sz w:val="20"/>
              </w:rPr>
              <w:t>-1697.796</w:t>
            </w:r>
          </w:p>
        </w:tc>
        <w:tc>
          <w:tcPr>
            <w:tcW w:w="1276" w:type="dxa"/>
            <w:vAlign w:val="bottom"/>
          </w:tcPr>
          <w:p w14:paraId="793A5997" w14:textId="77777777" w:rsidR="009D755F" w:rsidRPr="00A50F32" w:rsidRDefault="009D755F" w:rsidP="00F647C8">
            <w:pPr>
              <w:autoSpaceDE w:val="0"/>
              <w:autoSpaceDN w:val="0"/>
              <w:adjustRightInd w:val="0"/>
              <w:jc w:val="center"/>
              <w:rPr>
                <w:color w:val="000000"/>
                <w:sz w:val="20"/>
              </w:rPr>
            </w:pPr>
            <w:r w:rsidRPr="00A50F32">
              <w:rPr>
                <w:color w:val="000000"/>
                <w:sz w:val="20"/>
              </w:rPr>
              <w:t> 18.18322</w:t>
            </w:r>
          </w:p>
        </w:tc>
        <w:tc>
          <w:tcPr>
            <w:tcW w:w="1418" w:type="dxa"/>
            <w:vAlign w:val="bottom"/>
          </w:tcPr>
          <w:p w14:paraId="4E8BDE4E" w14:textId="77777777" w:rsidR="009D755F" w:rsidRPr="00A50F32" w:rsidRDefault="009D755F" w:rsidP="00F647C8">
            <w:pPr>
              <w:autoSpaceDE w:val="0"/>
              <w:autoSpaceDN w:val="0"/>
              <w:adjustRightInd w:val="0"/>
              <w:jc w:val="center"/>
              <w:rPr>
                <w:color w:val="000000"/>
                <w:sz w:val="20"/>
              </w:rPr>
            </w:pPr>
            <w:r w:rsidRPr="00A50F32">
              <w:rPr>
                <w:color w:val="000000"/>
                <w:sz w:val="20"/>
              </w:rPr>
              <w:t> 2.97e+26</w:t>
            </w:r>
          </w:p>
        </w:tc>
        <w:tc>
          <w:tcPr>
            <w:tcW w:w="1417" w:type="dxa"/>
            <w:vAlign w:val="bottom"/>
          </w:tcPr>
          <w:p w14:paraId="66DC3844" w14:textId="77777777" w:rsidR="009D755F" w:rsidRPr="00A50F32" w:rsidRDefault="009D755F" w:rsidP="00F647C8">
            <w:pPr>
              <w:autoSpaceDE w:val="0"/>
              <w:autoSpaceDN w:val="0"/>
              <w:adjustRightInd w:val="0"/>
              <w:jc w:val="center"/>
              <w:rPr>
                <w:color w:val="000000"/>
                <w:sz w:val="20"/>
              </w:rPr>
            </w:pPr>
            <w:r w:rsidRPr="00A50F32">
              <w:rPr>
                <w:color w:val="000000"/>
                <w:sz w:val="20"/>
              </w:rPr>
              <w:t> 71.91183</w:t>
            </w:r>
          </w:p>
        </w:tc>
        <w:tc>
          <w:tcPr>
            <w:tcW w:w="1276" w:type="dxa"/>
            <w:vAlign w:val="bottom"/>
          </w:tcPr>
          <w:p w14:paraId="2967720E" w14:textId="77777777" w:rsidR="009D755F" w:rsidRPr="00A50F32" w:rsidRDefault="009D755F" w:rsidP="00F647C8">
            <w:pPr>
              <w:autoSpaceDE w:val="0"/>
              <w:autoSpaceDN w:val="0"/>
              <w:adjustRightInd w:val="0"/>
              <w:jc w:val="center"/>
              <w:rPr>
                <w:color w:val="000000"/>
                <w:sz w:val="20"/>
              </w:rPr>
            </w:pPr>
            <w:r w:rsidRPr="00A50F32">
              <w:rPr>
                <w:color w:val="000000"/>
                <w:sz w:val="20"/>
              </w:rPr>
              <w:t> 75.73588</w:t>
            </w:r>
          </w:p>
        </w:tc>
        <w:tc>
          <w:tcPr>
            <w:tcW w:w="1417" w:type="dxa"/>
            <w:vAlign w:val="bottom"/>
          </w:tcPr>
          <w:p w14:paraId="008F4567" w14:textId="77777777" w:rsidR="009D755F" w:rsidRPr="00A50F32" w:rsidRDefault="009D755F" w:rsidP="00F647C8">
            <w:pPr>
              <w:autoSpaceDE w:val="0"/>
              <w:autoSpaceDN w:val="0"/>
              <w:adjustRightInd w:val="0"/>
              <w:jc w:val="center"/>
              <w:rPr>
                <w:color w:val="000000"/>
                <w:sz w:val="20"/>
              </w:rPr>
            </w:pPr>
            <w:r w:rsidRPr="00A50F32">
              <w:rPr>
                <w:color w:val="000000"/>
                <w:sz w:val="20"/>
              </w:rPr>
              <w:t> 73.36805</w:t>
            </w:r>
          </w:p>
        </w:tc>
      </w:tr>
      <w:tr w:rsidR="009D755F" w:rsidRPr="00A50F32" w14:paraId="349444CE" w14:textId="77777777" w:rsidTr="00373F31">
        <w:trPr>
          <w:trHeight w:val="220"/>
        </w:trPr>
        <w:tc>
          <w:tcPr>
            <w:tcW w:w="820" w:type="dxa"/>
            <w:vAlign w:val="bottom"/>
          </w:tcPr>
          <w:p w14:paraId="51749A4A" w14:textId="77777777" w:rsidR="009D755F" w:rsidRPr="00A50F32" w:rsidRDefault="009D755F" w:rsidP="00F647C8">
            <w:pPr>
              <w:autoSpaceDE w:val="0"/>
              <w:autoSpaceDN w:val="0"/>
              <w:adjustRightInd w:val="0"/>
              <w:jc w:val="center"/>
              <w:rPr>
                <w:color w:val="000000"/>
                <w:sz w:val="20"/>
              </w:rPr>
            </w:pPr>
            <w:r w:rsidRPr="00A50F32">
              <w:rPr>
                <w:color w:val="000000"/>
                <w:sz w:val="20"/>
              </w:rPr>
              <w:t>7</w:t>
            </w:r>
          </w:p>
        </w:tc>
        <w:tc>
          <w:tcPr>
            <w:tcW w:w="1418" w:type="dxa"/>
            <w:vAlign w:val="bottom"/>
          </w:tcPr>
          <w:p w14:paraId="014FE011" w14:textId="77777777" w:rsidR="009D755F" w:rsidRPr="00A50F32" w:rsidRDefault="009D755F" w:rsidP="00F647C8">
            <w:pPr>
              <w:autoSpaceDE w:val="0"/>
              <w:autoSpaceDN w:val="0"/>
              <w:adjustRightInd w:val="0"/>
              <w:jc w:val="center"/>
              <w:rPr>
                <w:color w:val="000000"/>
                <w:sz w:val="20"/>
              </w:rPr>
            </w:pPr>
            <w:r w:rsidRPr="00A50F32">
              <w:rPr>
                <w:color w:val="000000"/>
                <w:sz w:val="20"/>
              </w:rPr>
              <w:t>-1686.926</w:t>
            </w:r>
          </w:p>
        </w:tc>
        <w:tc>
          <w:tcPr>
            <w:tcW w:w="1276" w:type="dxa"/>
            <w:vAlign w:val="bottom"/>
          </w:tcPr>
          <w:p w14:paraId="7053996E" w14:textId="77777777" w:rsidR="009D755F" w:rsidRPr="00A50F32" w:rsidRDefault="009D755F" w:rsidP="00F647C8">
            <w:pPr>
              <w:autoSpaceDE w:val="0"/>
              <w:autoSpaceDN w:val="0"/>
              <w:adjustRightInd w:val="0"/>
              <w:jc w:val="center"/>
              <w:rPr>
                <w:color w:val="000000"/>
                <w:sz w:val="20"/>
              </w:rPr>
            </w:pPr>
            <w:r w:rsidRPr="00A50F32">
              <w:rPr>
                <w:color w:val="000000"/>
                <w:sz w:val="20"/>
              </w:rPr>
              <w:t> 9.130370</w:t>
            </w:r>
          </w:p>
        </w:tc>
        <w:tc>
          <w:tcPr>
            <w:tcW w:w="1418" w:type="dxa"/>
            <w:vAlign w:val="bottom"/>
          </w:tcPr>
          <w:p w14:paraId="52320613" w14:textId="77777777" w:rsidR="009D755F" w:rsidRPr="00A50F32" w:rsidRDefault="009D755F" w:rsidP="00F647C8">
            <w:pPr>
              <w:autoSpaceDE w:val="0"/>
              <w:autoSpaceDN w:val="0"/>
              <w:adjustRightInd w:val="0"/>
              <w:jc w:val="center"/>
              <w:rPr>
                <w:color w:val="000000"/>
                <w:sz w:val="20"/>
              </w:rPr>
            </w:pPr>
            <w:r w:rsidRPr="00A50F32">
              <w:rPr>
                <w:color w:val="000000"/>
                <w:sz w:val="20"/>
              </w:rPr>
              <w:t> 4.75e+26</w:t>
            </w:r>
          </w:p>
        </w:tc>
        <w:tc>
          <w:tcPr>
            <w:tcW w:w="1417" w:type="dxa"/>
            <w:vAlign w:val="bottom"/>
          </w:tcPr>
          <w:p w14:paraId="641FE8AF" w14:textId="77777777" w:rsidR="009D755F" w:rsidRPr="00A50F32" w:rsidRDefault="009D755F" w:rsidP="00F647C8">
            <w:pPr>
              <w:autoSpaceDE w:val="0"/>
              <w:autoSpaceDN w:val="0"/>
              <w:adjustRightInd w:val="0"/>
              <w:jc w:val="center"/>
              <w:rPr>
                <w:color w:val="000000"/>
                <w:sz w:val="20"/>
              </w:rPr>
            </w:pPr>
            <w:r w:rsidRPr="00A50F32">
              <w:rPr>
                <w:color w:val="000000"/>
                <w:sz w:val="20"/>
              </w:rPr>
              <w:t> 72.11705</w:t>
            </w:r>
          </w:p>
        </w:tc>
        <w:tc>
          <w:tcPr>
            <w:tcW w:w="1276" w:type="dxa"/>
            <w:vAlign w:val="bottom"/>
          </w:tcPr>
          <w:p w14:paraId="372E5CFD" w14:textId="77777777" w:rsidR="009D755F" w:rsidRPr="00A50F32" w:rsidRDefault="009D755F" w:rsidP="00F647C8">
            <w:pPr>
              <w:autoSpaceDE w:val="0"/>
              <w:autoSpaceDN w:val="0"/>
              <w:adjustRightInd w:val="0"/>
              <w:jc w:val="center"/>
              <w:rPr>
                <w:color w:val="000000"/>
                <w:sz w:val="20"/>
              </w:rPr>
            </w:pPr>
            <w:r w:rsidRPr="00A50F32">
              <w:rPr>
                <w:color w:val="000000"/>
                <w:sz w:val="20"/>
              </w:rPr>
              <w:t> 76.55295</w:t>
            </w:r>
          </w:p>
        </w:tc>
        <w:tc>
          <w:tcPr>
            <w:tcW w:w="1417" w:type="dxa"/>
            <w:vAlign w:val="bottom"/>
          </w:tcPr>
          <w:p w14:paraId="08B22078" w14:textId="77777777" w:rsidR="009D755F" w:rsidRPr="00A50F32" w:rsidRDefault="009D755F" w:rsidP="00F647C8">
            <w:pPr>
              <w:autoSpaceDE w:val="0"/>
              <w:autoSpaceDN w:val="0"/>
              <w:adjustRightInd w:val="0"/>
              <w:jc w:val="center"/>
              <w:rPr>
                <w:color w:val="000000"/>
                <w:sz w:val="20"/>
              </w:rPr>
            </w:pPr>
            <w:r w:rsidRPr="00A50F32">
              <w:rPr>
                <w:color w:val="000000"/>
                <w:sz w:val="20"/>
              </w:rPr>
              <w:t> 73.80627</w:t>
            </w:r>
          </w:p>
        </w:tc>
      </w:tr>
    </w:tbl>
    <w:p w14:paraId="3545224E" w14:textId="1FB8F87D" w:rsidR="009D755F" w:rsidRPr="00A50F32" w:rsidRDefault="00EE1365" w:rsidP="00EE1365">
      <w:pPr>
        <w:pStyle w:val="Heading2"/>
      </w:pPr>
      <w:r>
        <w:t>STABILITY TEST</w:t>
      </w:r>
    </w:p>
    <w:p w14:paraId="3841E41A" w14:textId="47AC5927" w:rsidR="009D755F" w:rsidRPr="00444A2E" w:rsidRDefault="009D755F" w:rsidP="00EE1365">
      <w:pPr>
        <w:autoSpaceDE w:val="0"/>
        <w:autoSpaceDN w:val="0"/>
        <w:adjustRightInd w:val="0"/>
        <w:ind w:firstLine="284"/>
        <w:jc w:val="both"/>
        <w:rPr>
          <w:rStyle w:val="Emphasis"/>
        </w:rPr>
      </w:pPr>
      <w:r w:rsidRPr="00444A2E">
        <w:rPr>
          <w:rStyle w:val="Emphasis"/>
        </w:rPr>
        <w:t>To analyze the short and long-term using VECM correctly, a stable model is needed. Model stability testing in VECM can be done using Roots of Characteristic polynomials</w:t>
      </w:r>
      <w:r w:rsidR="00687007">
        <w:rPr>
          <w:rStyle w:val="Emphasis"/>
        </w:rPr>
        <w:t xml:space="preserve"> as presented in </w:t>
      </w:r>
      <w:r w:rsidR="00687007" w:rsidRPr="00687007">
        <w:rPr>
          <w:rStyle w:val="Emphasis"/>
          <w:b/>
          <w:bCs/>
        </w:rPr>
        <w:t>TABLE 3</w:t>
      </w:r>
      <w:r w:rsidRPr="00444A2E">
        <w:rPr>
          <w:rStyle w:val="Emphasis"/>
        </w:rPr>
        <w:t>. The model is said to be stable if the value is no more than one.</w:t>
      </w:r>
    </w:p>
    <w:p w14:paraId="52D88426" w14:textId="5A800941" w:rsidR="009D755F" w:rsidRPr="00EE1365" w:rsidRDefault="00444A2E" w:rsidP="00444A2E">
      <w:pPr>
        <w:pStyle w:val="TableCaption"/>
      </w:pPr>
      <w:r w:rsidRPr="00EE1365">
        <w:rPr>
          <w:b/>
          <w:color w:val="030303"/>
          <w:shd w:val="clear" w:color="auto" w:fill="FFFFFF"/>
        </w:rPr>
        <w:t xml:space="preserve">TABLE </w:t>
      </w:r>
      <w:r w:rsidR="009D755F" w:rsidRPr="00EE1365">
        <w:rPr>
          <w:b/>
          <w:color w:val="030303"/>
          <w:shd w:val="clear" w:color="auto" w:fill="FFFFFF"/>
        </w:rPr>
        <w:t xml:space="preserve">3. </w:t>
      </w:r>
      <w:r w:rsidR="009D755F" w:rsidRPr="00EE1365">
        <w:t>Roots of Characteristic Polynomial</w:t>
      </w:r>
    </w:p>
    <w:tbl>
      <w:tblPr>
        <w:tblW w:w="9042"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31"/>
        <w:gridCol w:w="5811"/>
      </w:tblGrid>
      <w:tr w:rsidR="009D755F" w:rsidRPr="00A50F32" w14:paraId="79C53F49" w14:textId="77777777" w:rsidTr="00EE1365">
        <w:trPr>
          <w:trHeight w:val="220"/>
        </w:trPr>
        <w:tc>
          <w:tcPr>
            <w:tcW w:w="3231" w:type="dxa"/>
            <w:vAlign w:val="bottom"/>
          </w:tcPr>
          <w:p w14:paraId="164956EE" w14:textId="77777777" w:rsidR="009D755F" w:rsidRPr="00A50F32" w:rsidRDefault="009D755F" w:rsidP="00F647C8">
            <w:pPr>
              <w:autoSpaceDE w:val="0"/>
              <w:autoSpaceDN w:val="0"/>
              <w:adjustRightInd w:val="0"/>
              <w:rPr>
                <w:color w:val="000000"/>
                <w:sz w:val="20"/>
              </w:rPr>
            </w:pPr>
            <w:r w:rsidRPr="00A50F32">
              <w:rPr>
                <w:color w:val="000000"/>
                <w:sz w:val="20"/>
              </w:rPr>
              <w:t>     Root</w:t>
            </w:r>
          </w:p>
        </w:tc>
        <w:tc>
          <w:tcPr>
            <w:tcW w:w="5811" w:type="dxa"/>
            <w:vAlign w:val="bottom"/>
          </w:tcPr>
          <w:p w14:paraId="1698AA2D" w14:textId="77777777" w:rsidR="009D755F" w:rsidRPr="00A50F32" w:rsidRDefault="009D755F" w:rsidP="00F647C8">
            <w:pPr>
              <w:autoSpaceDE w:val="0"/>
              <w:autoSpaceDN w:val="0"/>
              <w:adjustRightInd w:val="0"/>
              <w:jc w:val="center"/>
              <w:rPr>
                <w:color w:val="000000"/>
                <w:sz w:val="20"/>
              </w:rPr>
            </w:pPr>
            <w:r w:rsidRPr="00A50F32">
              <w:rPr>
                <w:color w:val="000000"/>
                <w:sz w:val="20"/>
              </w:rPr>
              <w:t>Modulus</w:t>
            </w:r>
          </w:p>
        </w:tc>
      </w:tr>
      <w:tr w:rsidR="009D755F" w:rsidRPr="00A50F32" w14:paraId="7535161F" w14:textId="77777777" w:rsidTr="00EE1365">
        <w:trPr>
          <w:trHeight w:val="220"/>
        </w:trPr>
        <w:tc>
          <w:tcPr>
            <w:tcW w:w="3231" w:type="dxa"/>
            <w:vAlign w:val="bottom"/>
          </w:tcPr>
          <w:p w14:paraId="0B6026EF" w14:textId="77777777" w:rsidR="009D755F" w:rsidRPr="00A50F32" w:rsidRDefault="009D755F" w:rsidP="00F647C8">
            <w:pPr>
              <w:autoSpaceDE w:val="0"/>
              <w:autoSpaceDN w:val="0"/>
              <w:adjustRightInd w:val="0"/>
              <w:rPr>
                <w:color w:val="000000"/>
                <w:sz w:val="20"/>
              </w:rPr>
            </w:pPr>
            <w:r w:rsidRPr="00A50F32">
              <w:rPr>
                <w:color w:val="000000"/>
                <w:sz w:val="20"/>
              </w:rPr>
              <w:t> 0.974376</w:t>
            </w:r>
          </w:p>
        </w:tc>
        <w:tc>
          <w:tcPr>
            <w:tcW w:w="5811" w:type="dxa"/>
            <w:vAlign w:val="bottom"/>
          </w:tcPr>
          <w:p w14:paraId="02C25B4C" w14:textId="77777777" w:rsidR="009D755F" w:rsidRPr="00A50F32" w:rsidRDefault="009D755F" w:rsidP="00F647C8">
            <w:pPr>
              <w:autoSpaceDE w:val="0"/>
              <w:autoSpaceDN w:val="0"/>
              <w:adjustRightInd w:val="0"/>
              <w:jc w:val="center"/>
              <w:rPr>
                <w:color w:val="000000"/>
                <w:sz w:val="20"/>
              </w:rPr>
            </w:pPr>
            <w:r w:rsidRPr="00A50F32">
              <w:rPr>
                <w:color w:val="000000"/>
                <w:sz w:val="20"/>
              </w:rPr>
              <w:t> 0.974376</w:t>
            </w:r>
          </w:p>
        </w:tc>
      </w:tr>
      <w:tr w:rsidR="009D755F" w:rsidRPr="00A50F32" w14:paraId="570DE723" w14:textId="77777777" w:rsidTr="00EE1365">
        <w:trPr>
          <w:trHeight w:val="220"/>
        </w:trPr>
        <w:tc>
          <w:tcPr>
            <w:tcW w:w="3231" w:type="dxa"/>
            <w:vAlign w:val="bottom"/>
          </w:tcPr>
          <w:p w14:paraId="109EA737" w14:textId="77777777" w:rsidR="009D755F" w:rsidRPr="00A50F32" w:rsidRDefault="009D755F" w:rsidP="00F647C8">
            <w:pPr>
              <w:autoSpaceDE w:val="0"/>
              <w:autoSpaceDN w:val="0"/>
              <w:adjustRightInd w:val="0"/>
              <w:rPr>
                <w:color w:val="000000"/>
                <w:sz w:val="20"/>
              </w:rPr>
            </w:pPr>
            <w:r w:rsidRPr="00A50F32">
              <w:rPr>
                <w:color w:val="000000"/>
                <w:sz w:val="20"/>
              </w:rPr>
              <w:t> 0.895200 - 0.022095i</w:t>
            </w:r>
          </w:p>
        </w:tc>
        <w:tc>
          <w:tcPr>
            <w:tcW w:w="5811" w:type="dxa"/>
            <w:vAlign w:val="bottom"/>
          </w:tcPr>
          <w:p w14:paraId="3181AE71" w14:textId="77777777" w:rsidR="009D755F" w:rsidRPr="00A50F32" w:rsidRDefault="009D755F" w:rsidP="00F647C8">
            <w:pPr>
              <w:autoSpaceDE w:val="0"/>
              <w:autoSpaceDN w:val="0"/>
              <w:adjustRightInd w:val="0"/>
              <w:jc w:val="center"/>
              <w:rPr>
                <w:color w:val="000000"/>
                <w:sz w:val="20"/>
              </w:rPr>
            </w:pPr>
            <w:r w:rsidRPr="00A50F32">
              <w:rPr>
                <w:color w:val="000000"/>
                <w:sz w:val="20"/>
              </w:rPr>
              <w:t> 0.895473</w:t>
            </w:r>
          </w:p>
        </w:tc>
      </w:tr>
      <w:tr w:rsidR="009D755F" w:rsidRPr="00A50F32" w14:paraId="290205C7" w14:textId="77777777" w:rsidTr="00EE1365">
        <w:trPr>
          <w:trHeight w:val="220"/>
        </w:trPr>
        <w:tc>
          <w:tcPr>
            <w:tcW w:w="3231" w:type="dxa"/>
            <w:vAlign w:val="bottom"/>
          </w:tcPr>
          <w:p w14:paraId="4B690B7F" w14:textId="77777777" w:rsidR="009D755F" w:rsidRPr="00A50F32" w:rsidRDefault="009D755F" w:rsidP="00F647C8">
            <w:pPr>
              <w:autoSpaceDE w:val="0"/>
              <w:autoSpaceDN w:val="0"/>
              <w:adjustRightInd w:val="0"/>
              <w:rPr>
                <w:color w:val="000000"/>
                <w:sz w:val="20"/>
              </w:rPr>
            </w:pPr>
            <w:r w:rsidRPr="00A50F32">
              <w:rPr>
                <w:color w:val="000000"/>
                <w:sz w:val="20"/>
              </w:rPr>
              <w:t> 0.895200 + 0.022095i</w:t>
            </w:r>
          </w:p>
        </w:tc>
        <w:tc>
          <w:tcPr>
            <w:tcW w:w="5811" w:type="dxa"/>
            <w:vAlign w:val="bottom"/>
          </w:tcPr>
          <w:p w14:paraId="17EAE28D" w14:textId="77777777" w:rsidR="009D755F" w:rsidRPr="00A50F32" w:rsidRDefault="009D755F" w:rsidP="00F647C8">
            <w:pPr>
              <w:autoSpaceDE w:val="0"/>
              <w:autoSpaceDN w:val="0"/>
              <w:adjustRightInd w:val="0"/>
              <w:jc w:val="center"/>
              <w:rPr>
                <w:color w:val="000000"/>
                <w:sz w:val="20"/>
              </w:rPr>
            </w:pPr>
            <w:r w:rsidRPr="00A50F32">
              <w:rPr>
                <w:color w:val="000000"/>
                <w:sz w:val="20"/>
              </w:rPr>
              <w:t> 0.895473</w:t>
            </w:r>
          </w:p>
        </w:tc>
      </w:tr>
      <w:tr w:rsidR="009D755F" w:rsidRPr="00A50F32" w14:paraId="3F0C3B8C" w14:textId="77777777" w:rsidTr="00EE1365">
        <w:trPr>
          <w:trHeight w:val="220"/>
        </w:trPr>
        <w:tc>
          <w:tcPr>
            <w:tcW w:w="3231" w:type="dxa"/>
            <w:vAlign w:val="bottom"/>
          </w:tcPr>
          <w:p w14:paraId="4DA472DE" w14:textId="77777777" w:rsidR="009D755F" w:rsidRPr="00A50F32" w:rsidRDefault="009D755F" w:rsidP="00F647C8">
            <w:pPr>
              <w:autoSpaceDE w:val="0"/>
              <w:autoSpaceDN w:val="0"/>
              <w:adjustRightInd w:val="0"/>
              <w:rPr>
                <w:color w:val="000000"/>
                <w:sz w:val="20"/>
              </w:rPr>
            </w:pPr>
            <w:r w:rsidRPr="00A50F32">
              <w:rPr>
                <w:color w:val="000000"/>
                <w:sz w:val="20"/>
              </w:rPr>
              <w:t>-0.581080</w:t>
            </w:r>
          </w:p>
        </w:tc>
        <w:tc>
          <w:tcPr>
            <w:tcW w:w="5811" w:type="dxa"/>
            <w:vAlign w:val="bottom"/>
          </w:tcPr>
          <w:p w14:paraId="38D784BE" w14:textId="77777777" w:rsidR="009D755F" w:rsidRPr="00A50F32" w:rsidRDefault="009D755F" w:rsidP="00F647C8">
            <w:pPr>
              <w:autoSpaceDE w:val="0"/>
              <w:autoSpaceDN w:val="0"/>
              <w:adjustRightInd w:val="0"/>
              <w:jc w:val="center"/>
              <w:rPr>
                <w:color w:val="000000"/>
                <w:sz w:val="20"/>
              </w:rPr>
            </w:pPr>
            <w:r w:rsidRPr="00A50F32">
              <w:rPr>
                <w:color w:val="000000"/>
                <w:sz w:val="20"/>
              </w:rPr>
              <w:t> 0.581080</w:t>
            </w:r>
          </w:p>
        </w:tc>
      </w:tr>
      <w:tr w:rsidR="009D755F" w:rsidRPr="00A50F32" w14:paraId="7AEAF74C" w14:textId="77777777" w:rsidTr="00EE1365">
        <w:trPr>
          <w:trHeight w:val="220"/>
        </w:trPr>
        <w:tc>
          <w:tcPr>
            <w:tcW w:w="3231" w:type="dxa"/>
            <w:vAlign w:val="bottom"/>
          </w:tcPr>
          <w:p w14:paraId="5355517C" w14:textId="77777777" w:rsidR="009D755F" w:rsidRPr="00A50F32" w:rsidRDefault="009D755F" w:rsidP="00F647C8">
            <w:pPr>
              <w:autoSpaceDE w:val="0"/>
              <w:autoSpaceDN w:val="0"/>
              <w:adjustRightInd w:val="0"/>
              <w:rPr>
                <w:color w:val="000000"/>
                <w:sz w:val="20"/>
              </w:rPr>
            </w:pPr>
            <w:r w:rsidRPr="00A50F32">
              <w:rPr>
                <w:color w:val="000000"/>
                <w:sz w:val="20"/>
              </w:rPr>
              <w:t> 0.441130</w:t>
            </w:r>
          </w:p>
        </w:tc>
        <w:tc>
          <w:tcPr>
            <w:tcW w:w="5811" w:type="dxa"/>
            <w:vAlign w:val="bottom"/>
          </w:tcPr>
          <w:p w14:paraId="0B23E3E8" w14:textId="77777777" w:rsidR="009D755F" w:rsidRPr="00A50F32" w:rsidRDefault="009D755F" w:rsidP="00F647C8">
            <w:pPr>
              <w:autoSpaceDE w:val="0"/>
              <w:autoSpaceDN w:val="0"/>
              <w:adjustRightInd w:val="0"/>
              <w:jc w:val="center"/>
              <w:rPr>
                <w:color w:val="000000"/>
                <w:sz w:val="20"/>
              </w:rPr>
            </w:pPr>
            <w:r w:rsidRPr="00A50F32">
              <w:rPr>
                <w:color w:val="000000"/>
                <w:sz w:val="20"/>
              </w:rPr>
              <w:t> 0.441130</w:t>
            </w:r>
          </w:p>
        </w:tc>
      </w:tr>
      <w:tr w:rsidR="009D755F" w:rsidRPr="00A50F32" w14:paraId="212D2C82" w14:textId="77777777" w:rsidTr="00EE1365">
        <w:trPr>
          <w:trHeight w:val="220"/>
        </w:trPr>
        <w:tc>
          <w:tcPr>
            <w:tcW w:w="3231" w:type="dxa"/>
            <w:vAlign w:val="bottom"/>
          </w:tcPr>
          <w:p w14:paraId="231E0B68" w14:textId="77777777" w:rsidR="009D755F" w:rsidRPr="00A50F32" w:rsidRDefault="009D755F" w:rsidP="00F647C8">
            <w:pPr>
              <w:autoSpaceDE w:val="0"/>
              <w:autoSpaceDN w:val="0"/>
              <w:adjustRightInd w:val="0"/>
              <w:rPr>
                <w:color w:val="000000"/>
                <w:sz w:val="20"/>
              </w:rPr>
            </w:pPr>
            <w:r w:rsidRPr="00A50F32">
              <w:rPr>
                <w:color w:val="000000"/>
                <w:sz w:val="20"/>
              </w:rPr>
              <w:t>-0.132700 - 0.350950i</w:t>
            </w:r>
          </w:p>
        </w:tc>
        <w:tc>
          <w:tcPr>
            <w:tcW w:w="5811" w:type="dxa"/>
            <w:vAlign w:val="bottom"/>
          </w:tcPr>
          <w:p w14:paraId="52A864BB" w14:textId="77777777" w:rsidR="009D755F" w:rsidRPr="00A50F32" w:rsidRDefault="009D755F" w:rsidP="00F647C8">
            <w:pPr>
              <w:autoSpaceDE w:val="0"/>
              <w:autoSpaceDN w:val="0"/>
              <w:adjustRightInd w:val="0"/>
              <w:jc w:val="center"/>
              <w:rPr>
                <w:color w:val="000000"/>
                <w:sz w:val="20"/>
              </w:rPr>
            </w:pPr>
            <w:r w:rsidRPr="00A50F32">
              <w:rPr>
                <w:color w:val="000000"/>
                <w:sz w:val="20"/>
              </w:rPr>
              <w:t> 0.375200</w:t>
            </w:r>
          </w:p>
        </w:tc>
      </w:tr>
      <w:tr w:rsidR="009D755F" w:rsidRPr="00A50F32" w14:paraId="00C98ACE" w14:textId="77777777" w:rsidTr="00EE1365">
        <w:trPr>
          <w:trHeight w:val="220"/>
        </w:trPr>
        <w:tc>
          <w:tcPr>
            <w:tcW w:w="3231" w:type="dxa"/>
            <w:vAlign w:val="bottom"/>
          </w:tcPr>
          <w:p w14:paraId="5D113125" w14:textId="77777777" w:rsidR="009D755F" w:rsidRPr="00A50F32" w:rsidRDefault="009D755F" w:rsidP="00F647C8">
            <w:pPr>
              <w:autoSpaceDE w:val="0"/>
              <w:autoSpaceDN w:val="0"/>
              <w:adjustRightInd w:val="0"/>
              <w:rPr>
                <w:color w:val="000000"/>
                <w:sz w:val="20"/>
              </w:rPr>
            </w:pPr>
            <w:r w:rsidRPr="00A50F32">
              <w:rPr>
                <w:color w:val="000000"/>
                <w:sz w:val="20"/>
              </w:rPr>
              <w:t>-0.132700 + 0.350950i</w:t>
            </w:r>
          </w:p>
        </w:tc>
        <w:tc>
          <w:tcPr>
            <w:tcW w:w="5811" w:type="dxa"/>
            <w:vAlign w:val="bottom"/>
          </w:tcPr>
          <w:p w14:paraId="779741F0" w14:textId="77777777" w:rsidR="009D755F" w:rsidRPr="00A50F32" w:rsidRDefault="009D755F" w:rsidP="00F647C8">
            <w:pPr>
              <w:autoSpaceDE w:val="0"/>
              <w:autoSpaceDN w:val="0"/>
              <w:adjustRightInd w:val="0"/>
              <w:jc w:val="center"/>
              <w:rPr>
                <w:color w:val="000000"/>
                <w:sz w:val="20"/>
              </w:rPr>
            </w:pPr>
            <w:r w:rsidRPr="00A50F32">
              <w:rPr>
                <w:color w:val="000000"/>
                <w:sz w:val="20"/>
              </w:rPr>
              <w:t> 0.375200</w:t>
            </w:r>
          </w:p>
        </w:tc>
      </w:tr>
      <w:tr w:rsidR="009D755F" w:rsidRPr="00A50F32" w14:paraId="1C959CF5" w14:textId="77777777" w:rsidTr="00EE1365">
        <w:trPr>
          <w:trHeight w:val="220"/>
        </w:trPr>
        <w:tc>
          <w:tcPr>
            <w:tcW w:w="3231" w:type="dxa"/>
            <w:vAlign w:val="bottom"/>
          </w:tcPr>
          <w:p w14:paraId="4EDEA2A1" w14:textId="77777777" w:rsidR="009D755F" w:rsidRPr="00A50F32" w:rsidRDefault="009D755F" w:rsidP="00F647C8">
            <w:pPr>
              <w:autoSpaceDE w:val="0"/>
              <w:autoSpaceDN w:val="0"/>
              <w:adjustRightInd w:val="0"/>
              <w:rPr>
                <w:color w:val="000000"/>
                <w:sz w:val="20"/>
              </w:rPr>
            </w:pPr>
            <w:r w:rsidRPr="00A50F32">
              <w:rPr>
                <w:color w:val="000000"/>
                <w:sz w:val="20"/>
              </w:rPr>
              <w:t> 0.127617</w:t>
            </w:r>
          </w:p>
        </w:tc>
        <w:tc>
          <w:tcPr>
            <w:tcW w:w="5811" w:type="dxa"/>
            <w:vAlign w:val="bottom"/>
          </w:tcPr>
          <w:p w14:paraId="4E11D142" w14:textId="77777777" w:rsidR="009D755F" w:rsidRPr="00A50F32" w:rsidRDefault="009D755F" w:rsidP="00F647C8">
            <w:pPr>
              <w:autoSpaceDE w:val="0"/>
              <w:autoSpaceDN w:val="0"/>
              <w:adjustRightInd w:val="0"/>
              <w:jc w:val="center"/>
              <w:rPr>
                <w:color w:val="000000"/>
                <w:sz w:val="20"/>
              </w:rPr>
            </w:pPr>
            <w:r w:rsidRPr="00A50F32">
              <w:rPr>
                <w:color w:val="000000"/>
                <w:sz w:val="20"/>
              </w:rPr>
              <w:t> 0.127617</w:t>
            </w:r>
          </w:p>
        </w:tc>
      </w:tr>
      <w:tr w:rsidR="009D755F" w:rsidRPr="00A50F32" w14:paraId="46D27944" w14:textId="77777777" w:rsidTr="00EE1365">
        <w:trPr>
          <w:trHeight w:val="220"/>
        </w:trPr>
        <w:tc>
          <w:tcPr>
            <w:tcW w:w="9042" w:type="dxa"/>
            <w:gridSpan w:val="2"/>
            <w:vAlign w:val="bottom"/>
          </w:tcPr>
          <w:p w14:paraId="0519B8C8" w14:textId="77777777" w:rsidR="009D755F" w:rsidRPr="00A50F32" w:rsidRDefault="009D755F" w:rsidP="00F647C8">
            <w:pPr>
              <w:autoSpaceDE w:val="0"/>
              <w:autoSpaceDN w:val="0"/>
              <w:adjustRightInd w:val="0"/>
              <w:rPr>
                <w:color w:val="000000"/>
                <w:sz w:val="20"/>
              </w:rPr>
            </w:pPr>
            <w:r w:rsidRPr="00A50F32">
              <w:rPr>
                <w:color w:val="000000"/>
                <w:sz w:val="20"/>
              </w:rPr>
              <w:t> No root lies outside the unit circle.</w:t>
            </w:r>
          </w:p>
        </w:tc>
      </w:tr>
      <w:tr w:rsidR="009D755F" w:rsidRPr="00A50F32" w14:paraId="26276B6D" w14:textId="77777777" w:rsidTr="00EE1365">
        <w:trPr>
          <w:trHeight w:val="220"/>
        </w:trPr>
        <w:tc>
          <w:tcPr>
            <w:tcW w:w="9042" w:type="dxa"/>
            <w:gridSpan w:val="2"/>
            <w:vAlign w:val="bottom"/>
          </w:tcPr>
          <w:p w14:paraId="138310C7" w14:textId="77777777" w:rsidR="009D755F" w:rsidRPr="00A50F32" w:rsidRDefault="009D755F" w:rsidP="00F647C8">
            <w:pPr>
              <w:autoSpaceDE w:val="0"/>
              <w:autoSpaceDN w:val="0"/>
              <w:adjustRightInd w:val="0"/>
              <w:rPr>
                <w:color w:val="000000"/>
                <w:sz w:val="20"/>
              </w:rPr>
            </w:pPr>
            <w:r w:rsidRPr="00A50F32">
              <w:rPr>
                <w:color w:val="000000"/>
                <w:sz w:val="20"/>
              </w:rPr>
              <w:t> VAR satisfies the stability condition.</w:t>
            </w:r>
          </w:p>
        </w:tc>
      </w:tr>
    </w:tbl>
    <w:p w14:paraId="5150F2DD" w14:textId="19FB1329" w:rsidR="009D755F" w:rsidRPr="00444A2E" w:rsidRDefault="009D755F" w:rsidP="00EE1365">
      <w:pPr>
        <w:autoSpaceDE w:val="0"/>
        <w:autoSpaceDN w:val="0"/>
        <w:adjustRightInd w:val="0"/>
        <w:spacing w:before="120"/>
        <w:ind w:firstLine="284"/>
        <w:jc w:val="both"/>
        <w:rPr>
          <w:rStyle w:val="Emphasis"/>
        </w:rPr>
      </w:pPr>
      <w:r w:rsidRPr="00444A2E">
        <w:rPr>
          <w:rStyle w:val="Emphasis"/>
        </w:rPr>
        <w:t>In the inverse root of the AR characteristic polynomial image, it can be seen that each point is inside the circle. This proves that the variables used are stable, so the results of the Variance Decomposition (VD) and Functional Response Impulse (IRF) analysis carried out through VECM estimation can be used to predict the observed variables.</w:t>
      </w:r>
      <w:r w:rsidR="00D412B6" w:rsidRPr="00444A2E">
        <w:rPr>
          <w:rStyle w:val="Emphasis"/>
        </w:rPr>
        <w:t xml:space="preserve"> From </w:t>
      </w:r>
      <w:r w:rsidR="00687007" w:rsidRPr="00687007">
        <w:rPr>
          <w:rStyle w:val="Emphasis"/>
          <w:b/>
          <w:bCs/>
        </w:rPr>
        <w:t>FIGURE 1</w:t>
      </w:r>
      <w:r w:rsidR="00687007" w:rsidRPr="00444A2E">
        <w:rPr>
          <w:rStyle w:val="Emphasis"/>
        </w:rPr>
        <w:t xml:space="preserve"> </w:t>
      </w:r>
      <w:r w:rsidR="00D412B6" w:rsidRPr="00444A2E">
        <w:rPr>
          <w:rStyle w:val="Emphasis"/>
        </w:rPr>
        <w:t>it shows that each coordinate is inside the circle. This shows that the VAR model in this study is stable.</w:t>
      </w:r>
    </w:p>
    <w:p w14:paraId="76795B0B" w14:textId="77777777" w:rsidR="009D755F" w:rsidRDefault="009D755F" w:rsidP="009D755F">
      <w:pPr>
        <w:autoSpaceDE w:val="0"/>
        <w:autoSpaceDN w:val="0"/>
        <w:adjustRightInd w:val="0"/>
        <w:jc w:val="center"/>
        <w:rPr>
          <w:b/>
          <w:bCs/>
          <w:sz w:val="20"/>
        </w:rPr>
      </w:pPr>
      <w:r w:rsidRPr="00A50F32">
        <w:rPr>
          <w:b/>
          <w:bCs/>
          <w:noProof/>
          <w:sz w:val="20"/>
        </w:rPr>
        <w:lastRenderedPageBreak/>
        <w:drawing>
          <wp:inline distT="0" distB="0" distL="0" distR="0" wp14:anchorId="0A0F187D" wp14:editId="5DAF0911">
            <wp:extent cx="3891719" cy="2114550"/>
            <wp:effectExtent l="0" t="0" r="0" b="0"/>
            <wp:docPr id="262236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23631" name=""/>
                    <pic:cNvPicPr/>
                  </pic:nvPicPr>
                  <pic:blipFill rotWithShape="1">
                    <a:blip r:embed="rId10"/>
                    <a:srcRect t="9360"/>
                    <a:stretch/>
                  </pic:blipFill>
                  <pic:spPr bwMode="auto">
                    <a:xfrm>
                      <a:off x="0" y="0"/>
                      <a:ext cx="3897606" cy="2117748"/>
                    </a:xfrm>
                    <a:prstGeom prst="rect">
                      <a:avLst/>
                    </a:prstGeom>
                    <a:ln>
                      <a:noFill/>
                    </a:ln>
                    <a:extLst>
                      <a:ext uri="{53640926-AAD7-44D8-BBD7-CCE9431645EC}">
                        <a14:shadowObscured xmlns:a14="http://schemas.microsoft.com/office/drawing/2010/main"/>
                      </a:ext>
                    </a:extLst>
                  </pic:spPr>
                </pic:pic>
              </a:graphicData>
            </a:graphic>
          </wp:inline>
        </w:drawing>
      </w:r>
    </w:p>
    <w:p w14:paraId="1CE6AD6D" w14:textId="42D3C097" w:rsidR="00EE1365" w:rsidRPr="00EE1365" w:rsidRDefault="00444A2E" w:rsidP="00444A2E">
      <w:pPr>
        <w:pStyle w:val="FigureCaption"/>
      </w:pPr>
      <w:r>
        <w:rPr>
          <w:b/>
        </w:rPr>
        <w:t>FIGURE</w:t>
      </w:r>
      <w:r w:rsidRPr="00EE1365">
        <w:rPr>
          <w:b/>
        </w:rPr>
        <w:t xml:space="preserve"> </w:t>
      </w:r>
      <w:r w:rsidR="00EE1365" w:rsidRPr="00EE1365">
        <w:rPr>
          <w:b/>
        </w:rPr>
        <w:t xml:space="preserve">1. </w:t>
      </w:r>
      <w:r w:rsidR="00EE1365" w:rsidRPr="00EE1365">
        <w:t>Inverse Roots of AR Characteristic Polynomial</w:t>
      </w:r>
    </w:p>
    <w:p w14:paraId="6613B3D4" w14:textId="77777777" w:rsidR="00EE1365" w:rsidRPr="00A50F32" w:rsidRDefault="00EE1365" w:rsidP="009D755F">
      <w:pPr>
        <w:autoSpaceDE w:val="0"/>
        <w:autoSpaceDN w:val="0"/>
        <w:adjustRightInd w:val="0"/>
        <w:jc w:val="center"/>
        <w:rPr>
          <w:b/>
          <w:bCs/>
          <w:sz w:val="20"/>
        </w:rPr>
      </w:pPr>
    </w:p>
    <w:p w14:paraId="28A6B92C" w14:textId="6639445E" w:rsidR="009D755F" w:rsidRPr="00A50F32" w:rsidRDefault="00EE1365" w:rsidP="00EE1365">
      <w:pPr>
        <w:pStyle w:val="Heading2"/>
      </w:pPr>
      <w:r>
        <w:t>GRANGER CASUALITY TEST</w:t>
      </w:r>
    </w:p>
    <w:p w14:paraId="1F1A9059" w14:textId="2BF39109" w:rsidR="009D755F" w:rsidRPr="00444A2E" w:rsidRDefault="009D755F" w:rsidP="00A95B7C">
      <w:pPr>
        <w:autoSpaceDE w:val="0"/>
        <w:autoSpaceDN w:val="0"/>
        <w:adjustRightInd w:val="0"/>
        <w:ind w:firstLine="284"/>
        <w:jc w:val="both"/>
        <w:rPr>
          <w:rStyle w:val="Emphasis"/>
        </w:rPr>
      </w:pPr>
      <w:r w:rsidRPr="00444A2E">
        <w:rPr>
          <w:rStyle w:val="Emphasis"/>
        </w:rPr>
        <w:t>Mobile phone ownership influences economic growth. Mobile phone ownership has significantly impacted economic growth in ASEAN countries. Research has shown that penetration of mobile subscriptions, including fixed lines and mobile-mobile subscriptions, has a positive effect on GDP growth in the region</w:t>
      </w:r>
      <w:r w:rsidR="0098356F" w:rsidRPr="00444A2E">
        <w:rPr>
          <w:rStyle w:val="Emphasis"/>
        </w:rPr>
        <w:t xml:space="preserve"> </w:t>
      </w:r>
      <w:r w:rsidR="0098356F" w:rsidRPr="00444A2E">
        <w:rPr>
          <w:rStyle w:val="Emphasis"/>
        </w:rPr>
        <w:fldChar w:fldCharType="begin">
          <w:fldData xml:space="preserve">PEVuZE5vdGU+PENpdGU+PEF1dGhvcj5MZWU8L0F1dGhvcj48UmVjTnVtPjg8L1JlY051bT48RGlz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</w:fldData>
        </w:fldChar>
      </w:r>
      <w:r w:rsidR="0098356F" w:rsidRPr="00444A2E">
        <w:rPr>
          <w:rStyle w:val="Emphasis"/>
        </w:rPr>
        <w:instrText xml:space="preserve"> ADDIN EN.CITE </w:instrText>
      </w:r>
      <w:r w:rsidR="0098356F" w:rsidRPr="00444A2E">
        <w:rPr>
          <w:rStyle w:val="Emphasis"/>
        </w:rPr>
        <w:fldChar w:fldCharType="begin">
          <w:fldData xml:space="preserve">PEVuZE5vdGU+PENpdGU+PEF1dGhvcj5MZWU8L0F1dGhvcj48UmVjTnVtPjg8L1JlY051bT48RGlz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</w:fldData>
        </w:fldChar>
      </w:r>
      <w:r w:rsidR="0098356F" w:rsidRPr="00444A2E">
        <w:rPr>
          <w:rStyle w:val="Emphasis"/>
        </w:rPr>
        <w:instrText xml:space="preserve"> ADDIN EN.CITE.DATA </w:instrText>
      </w:r>
      <w:r w:rsidR="0098356F" w:rsidRPr="00444A2E">
        <w:rPr>
          <w:rStyle w:val="Emphasis"/>
        </w:rPr>
      </w:r>
      <w:r w:rsidR="0098356F" w:rsidRPr="00444A2E">
        <w:rPr>
          <w:rStyle w:val="Emphasis"/>
        </w:rPr>
        <w:fldChar w:fldCharType="end"/>
      </w:r>
      <w:r w:rsidR="0098356F" w:rsidRPr="00444A2E">
        <w:rPr>
          <w:rStyle w:val="Emphasis"/>
        </w:rPr>
      </w:r>
      <w:r w:rsidR="0098356F" w:rsidRPr="00444A2E">
        <w:rPr>
          <w:rStyle w:val="Emphasis"/>
        </w:rPr>
        <w:fldChar w:fldCharType="separate"/>
      </w:r>
      <w:r w:rsidR="0098356F" w:rsidRPr="00444A2E">
        <w:rPr>
          <w:rStyle w:val="Emphasis"/>
        </w:rPr>
        <w:t>[7-9]</w:t>
      </w:r>
      <w:r w:rsidR="0098356F" w:rsidRPr="00444A2E">
        <w:rPr>
          <w:rStyle w:val="Emphasis"/>
        </w:rPr>
        <w:fldChar w:fldCharType="end"/>
      </w:r>
      <w:r w:rsidR="0098356F" w:rsidRPr="00444A2E">
        <w:rPr>
          <w:rStyle w:val="Emphasis"/>
        </w:rPr>
        <w:t>.</w:t>
      </w:r>
      <w:r w:rsidRPr="00444A2E">
        <w:rPr>
          <w:rStyle w:val="Emphasis"/>
        </w:rPr>
        <w:t xml:space="preserve"> The digital economy, which includes the use of mobile phones, has transformed the economic growth of ASEAN countries, leading to improvements in their economic performance</w:t>
      </w:r>
      <w:r w:rsidR="00A95B7C" w:rsidRPr="00444A2E">
        <w:rPr>
          <w:rStyle w:val="Emphasis"/>
        </w:rPr>
        <w:t xml:space="preserve"> </w:t>
      </w:r>
      <w:r w:rsidR="0098356F" w:rsidRPr="00444A2E">
        <w:rPr>
          <w:rStyle w:val="Emphasis"/>
        </w:rPr>
        <w:fldChar w:fldCharType="begin"/>
      </w:r>
      <w:r w:rsidR="0098356F" w:rsidRPr="00444A2E">
        <w:rPr>
          <w:rStyle w:val="Emphasis"/>
        </w:rPr>
        <w:instrText xml:space="preserve"> ADDIN EN.CITE &lt;EndNote&gt;&lt;Cite&gt;&lt;Author&gt;Dutta&lt;/Author&gt;&lt;RecNum&gt;1&lt;/RecNum&gt;&lt;DisplayText&gt;[10]&lt;/DisplayText&gt;&lt;record&gt;&lt;rec-number&gt;1&lt;/rec-number&gt;&lt;foreign-keys&gt;&lt;key app="EN" db-id="2zvev9rz0frseoefpv6pstv6d9av9epa5rfe" timestamp="1729488990"&gt;1&lt;/key&gt;&lt;/foreign-keys&gt;&lt;ref-type name="Conference Proceedings"&gt;10&lt;/ref-type&gt;&lt;contributors&gt;&lt;authors&gt;&lt;author&gt;Dutta, Ujjal Protim&lt;/author&gt;&lt;author&gt;Gupta, Abhishek&lt;/author&gt;&lt;author&gt;Sengupta, Partha Pratim&lt;/author&gt;&lt;/authors&gt;&lt;/contributors&gt;&lt;titles&gt;&lt;title&gt;Exploring the nexus between mobile phone penetration and economic growth in 13 Asian countries: evidence from panel cointegration analysis&lt;/title&gt;&lt;alt-title&gt;Soft Computing and Signal Processing: Proceedings of ICSCSP 2018, Volume 2&lt;/alt-title&gt;&lt;/titles&gt;&lt;pages&gt;337-346&lt;/pages&gt;&lt;dates&gt;&lt;pub-dates&gt;&lt;date&gt;2019&lt;/date&gt;&lt;/pub-dates&gt;&lt;/dates&gt;&lt;publisher&gt;Springer&lt;/publisher&gt;&lt;isbn&gt;9811333920&lt;/isbn&gt;&lt;urls&gt;&lt;/urls&gt;&lt;/record&gt;&lt;/Cite&gt;&lt;/EndNote&gt;</w:instrText>
      </w:r>
      <w:r w:rsidR="0098356F" w:rsidRPr="00444A2E">
        <w:rPr>
          <w:rStyle w:val="Emphasis"/>
        </w:rPr>
        <w:fldChar w:fldCharType="separate"/>
      </w:r>
      <w:r w:rsidR="0098356F" w:rsidRPr="00444A2E">
        <w:rPr>
          <w:rStyle w:val="Emphasis"/>
        </w:rPr>
        <w:t>[10]</w:t>
      </w:r>
      <w:r w:rsidR="0098356F" w:rsidRPr="00444A2E">
        <w:rPr>
          <w:rStyle w:val="Emphasis"/>
        </w:rPr>
        <w:fldChar w:fldCharType="end"/>
      </w:r>
      <w:r w:rsidR="0098356F" w:rsidRPr="00444A2E">
        <w:rPr>
          <w:rStyle w:val="Emphasis"/>
        </w:rPr>
        <w:t>.</w:t>
      </w:r>
      <w:r w:rsidRPr="00444A2E">
        <w:rPr>
          <w:rStyle w:val="Emphasis"/>
        </w:rPr>
        <w:t xml:space="preserve"> Additionally, investment in ICT infrastructure, including mobile phone penetration, has been identified as a critical driver of economic growth in Asian countries</w:t>
      </w:r>
      <w:r w:rsidR="00A95B7C" w:rsidRPr="00444A2E">
        <w:rPr>
          <w:rStyle w:val="Emphasis"/>
        </w:rPr>
        <w:t xml:space="preserve"> </w:t>
      </w:r>
      <w:r w:rsidR="00A95B7C" w:rsidRPr="00444A2E">
        <w:rPr>
          <w:rStyle w:val="Emphasis"/>
        </w:rPr>
        <w:fldChar w:fldCharType="begin"/>
      </w:r>
      <w:r w:rsidR="00A95B7C" w:rsidRPr="00444A2E">
        <w:rPr>
          <w:rStyle w:val="Emphasis"/>
        </w:rPr>
        <w:instrText xml:space="preserve"> ADDIN EN.CITE &lt;EndNote&gt;&lt;Cite&gt;&lt;Author&gt;Tran&lt;/Author&gt;&lt;Year&gt;2022&lt;/Year&gt;&lt;RecNum&gt;2&lt;/RecNum&gt;&lt;DisplayText&gt;[11]&lt;/DisplayText&gt;&lt;record&gt;&lt;rec-number&gt;2&lt;/rec-number&gt;&lt;foreign-keys&gt;&lt;key app="EN" db-id="2zvev9rz0frseoefpv6pstv6d9av9epa5rfe" timestamp="1729489120"&gt;2&lt;/key&gt;&lt;/foreign-keys&gt;&lt;ref-type name="Journal Article"&gt;17&lt;/ref-type&gt;&lt;contributors&gt;&lt;authors&gt;&lt;author&gt;Tran, Lam Quynh Trang&lt;/author&gt;&lt;author&gt;Nguyen, Manh Tuan&lt;/author&gt;&lt;/authors&gt;&lt;/contributors&gt;&lt;titles&gt;&lt;title&gt;Digital Economy: A Comparative Study in ASEAN&lt;/title&gt;&lt;secondary-title&gt;Theory, Methodology, Practice-Review of Business and Management&lt;/secondary-title&gt;&lt;/titles&gt;&lt;periodical&gt;&lt;full-title&gt;Theory, Methodology, Practice-Review of Business and Management&lt;/full-title&gt;&lt;/periodical&gt;&lt;pages&gt;83-92&lt;/pages&gt;&lt;volume&gt;18&lt;/volume&gt;&lt;number&gt;02&lt;/number&gt;&lt;dates&gt;&lt;year&gt;2022&lt;/year&gt;&lt;/dates&gt;&lt;isbn&gt;2415-9883&lt;/isbn&gt;&lt;urls&gt;&lt;/urls&gt;&lt;/record&gt;&lt;/Cite&gt;&lt;/EndNote&gt;</w:instrText>
      </w:r>
      <w:r w:rsidR="00A95B7C" w:rsidRPr="00444A2E">
        <w:rPr>
          <w:rStyle w:val="Emphasis"/>
        </w:rPr>
        <w:fldChar w:fldCharType="separate"/>
      </w:r>
      <w:r w:rsidR="00A95B7C" w:rsidRPr="00444A2E">
        <w:rPr>
          <w:rStyle w:val="Emphasis"/>
        </w:rPr>
        <w:t>[11]</w:t>
      </w:r>
      <w:r w:rsidR="00A95B7C" w:rsidRPr="00444A2E">
        <w:rPr>
          <w:rStyle w:val="Emphasis"/>
        </w:rPr>
        <w:fldChar w:fldCharType="end"/>
      </w:r>
      <w:r w:rsidR="00A95B7C" w:rsidRPr="00444A2E">
        <w:rPr>
          <w:rStyle w:val="Emphasis"/>
        </w:rPr>
        <w:t>.</w:t>
      </w:r>
      <w:r w:rsidRPr="00444A2E">
        <w:rPr>
          <w:rStyle w:val="Emphasis"/>
        </w:rPr>
        <w:t xml:space="preserve"> Therefore, mobile phone ownership drives economic growth in ASEAN countries. While economic growth does not influence cellphone ownership</w:t>
      </w:r>
      <w:r w:rsidR="00687007">
        <w:rPr>
          <w:rStyle w:val="Emphasis"/>
        </w:rPr>
        <w:t xml:space="preserve">, as shown in </w:t>
      </w:r>
      <w:r w:rsidR="00687007" w:rsidRPr="00687007">
        <w:rPr>
          <w:rStyle w:val="Emphasis"/>
          <w:b/>
          <w:bCs/>
        </w:rPr>
        <w:t>TABLE 4</w:t>
      </w:r>
      <w:r w:rsidR="00687007">
        <w:rPr>
          <w:rStyle w:val="Emphasis"/>
        </w:rPr>
        <w:t>.</w:t>
      </w:r>
    </w:p>
    <w:p w14:paraId="5920651F" w14:textId="5B3B81B9" w:rsidR="009D755F" w:rsidRPr="00EE1365" w:rsidRDefault="00444A2E" w:rsidP="00444A2E">
      <w:pPr>
        <w:pStyle w:val="TableCaption"/>
        <w:rPr>
          <w:b/>
        </w:rPr>
      </w:pPr>
      <w:r w:rsidRPr="00EE1365">
        <w:rPr>
          <w:b/>
          <w:color w:val="030303"/>
          <w:shd w:val="clear" w:color="auto" w:fill="FFFFFF"/>
        </w:rPr>
        <w:t xml:space="preserve">TABLE </w:t>
      </w:r>
      <w:r w:rsidR="009D755F" w:rsidRPr="00EE1365">
        <w:rPr>
          <w:b/>
          <w:color w:val="030303"/>
          <w:shd w:val="clear" w:color="auto" w:fill="FFFFFF"/>
        </w:rPr>
        <w:t xml:space="preserve">4. </w:t>
      </w:r>
      <w:r w:rsidR="009D755F" w:rsidRPr="00EE1365">
        <w:t>Pairwise Granger Causality Tests</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820"/>
        <w:gridCol w:w="1679"/>
        <w:gridCol w:w="1843"/>
        <w:gridCol w:w="1984"/>
      </w:tblGrid>
      <w:tr w:rsidR="009D755F" w:rsidRPr="00A50F32" w14:paraId="2A2F0419" w14:textId="77777777" w:rsidTr="00EE1365">
        <w:trPr>
          <w:trHeight w:val="220"/>
        </w:trPr>
        <w:tc>
          <w:tcPr>
            <w:tcW w:w="3820" w:type="dxa"/>
            <w:vAlign w:val="bottom"/>
          </w:tcPr>
          <w:p w14:paraId="5163A5D4" w14:textId="77777777" w:rsidR="009D755F" w:rsidRPr="00A50F32" w:rsidRDefault="009D755F" w:rsidP="00F647C8">
            <w:pPr>
              <w:autoSpaceDE w:val="0"/>
              <w:autoSpaceDN w:val="0"/>
              <w:adjustRightInd w:val="0"/>
              <w:rPr>
                <w:color w:val="000000"/>
                <w:sz w:val="20"/>
              </w:rPr>
            </w:pPr>
            <w:r w:rsidRPr="00A50F32">
              <w:rPr>
                <w:color w:val="000000"/>
                <w:sz w:val="20"/>
              </w:rPr>
              <w:t> Null Hypothesis:</w:t>
            </w:r>
          </w:p>
        </w:tc>
        <w:tc>
          <w:tcPr>
            <w:tcW w:w="1679" w:type="dxa"/>
            <w:vAlign w:val="bottom"/>
          </w:tcPr>
          <w:p w14:paraId="76DD904D" w14:textId="77777777" w:rsidR="009D755F" w:rsidRPr="00A50F32" w:rsidRDefault="009D755F" w:rsidP="00F647C8">
            <w:pPr>
              <w:autoSpaceDE w:val="0"/>
              <w:autoSpaceDN w:val="0"/>
              <w:adjustRightInd w:val="0"/>
              <w:jc w:val="center"/>
              <w:rPr>
                <w:color w:val="000000"/>
                <w:sz w:val="20"/>
              </w:rPr>
            </w:pPr>
            <w:proofErr w:type="spellStart"/>
            <w:r w:rsidRPr="00A50F32">
              <w:rPr>
                <w:color w:val="000000"/>
                <w:sz w:val="20"/>
              </w:rPr>
              <w:t>Obs</w:t>
            </w:r>
            <w:proofErr w:type="spellEnd"/>
          </w:p>
        </w:tc>
        <w:tc>
          <w:tcPr>
            <w:tcW w:w="1843" w:type="dxa"/>
            <w:vAlign w:val="bottom"/>
          </w:tcPr>
          <w:p w14:paraId="2CF5D575" w14:textId="77777777" w:rsidR="009D755F" w:rsidRPr="00A50F32" w:rsidRDefault="009D755F" w:rsidP="00F647C8">
            <w:pPr>
              <w:autoSpaceDE w:val="0"/>
              <w:autoSpaceDN w:val="0"/>
              <w:adjustRightInd w:val="0"/>
              <w:jc w:val="center"/>
              <w:rPr>
                <w:color w:val="000000"/>
                <w:sz w:val="20"/>
              </w:rPr>
            </w:pPr>
            <w:r w:rsidRPr="00A50F32">
              <w:rPr>
                <w:color w:val="000000"/>
                <w:sz w:val="20"/>
              </w:rPr>
              <w:t>F-Statistic</w:t>
            </w:r>
          </w:p>
        </w:tc>
        <w:tc>
          <w:tcPr>
            <w:tcW w:w="1984" w:type="dxa"/>
            <w:vAlign w:val="bottom"/>
          </w:tcPr>
          <w:p w14:paraId="6E0AAA2A" w14:textId="77777777" w:rsidR="009D755F" w:rsidRPr="00A50F32" w:rsidRDefault="009D755F" w:rsidP="00F647C8">
            <w:pPr>
              <w:autoSpaceDE w:val="0"/>
              <w:autoSpaceDN w:val="0"/>
              <w:adjustRightInd w:val="0"/>
              <w:ind w:right="20"/>
              <w:jc w:val="right"/>
              <w:rPr>
                <w:color w:val="000000"/>
                <w:sz w:val="20"/>
              </w:rPr>
            </w:pPr>
            <w:r w:rsidRPr="00A50F32">
              <w:rPr>
                <w:color w:val="000000"/>
                <w:sz w:val="20"/>
              </w:rPr>
              <w:t>Prob. </w:t>
            </w:r>
          </w:p>
        </w:tc>
      </w:tr>
      <w:tr w:rsidR="009D755F" w:rsidRPr="00A50F32" w14:paraId="6F6CA6F1" w14:textId="77777777" w:rsidTr="00EE1365">
        <w:trPr>
          <w:trHeight w:val="220"/>
        </w:trPr>
        <w:tc>
          <w:tcPr>
            <w:tcW w:w="3820" w:type="dxa"/>
            <w:vAlign w:val="bottom"/>
          </w:tcPr>
          <w:p w14:paraId="3A23E132" w14:textId="77777777" w:rsidR="009D755F" w:rsidRPr="00A50F32" w:rsidRDefault="009D755F" w:rsidP="00F647C8">
            <w:pPr>
              <w:autoSpaceDE w:val="0"/>
              <w:autoSpaceDN w:val="0"/>
              <w:adjustRightInd w:val="0"/>
              <w:rPr>
                <w:color w:val="000000"/>
                <w:sz w:val="20"/>
              </w:rPr>
            </w:pPr>
            <w:r w:rsidRPr="00A50F32">
              <w:rPr>
                <w:color w:val="000000"/>
                <w:sz w:val="20"/>
              </w:rPr>
              <w:t> MP does not Granger Cause EG</w:t>
            </w:r>
          </w:p>
        </w:tc>
        <w:tc>
          <w:tcPr>
            <w:tcW w:w="1679" w:type="dxa"/>
            <w:vAlign w:val="bottom"/>
          </w:tcPr>
          <w:p w14:paraId="0D82FB3B" w14:textId="77777777" w:rsidR="009D755F" w:rsidRPr="00A50F32" w:rsidRDefault="009D755F" w:rsidP="00F647C8">
            <w:pPr>
              <w:autoSpaceDE w:val="0"/>
              <w:autoSpaceDN w:val="0"/>
              <w:adjustRightInd w:val="0"/>
              <w:jc w:val="center"/>
              <w:rPr>
                <w:color w:val="000000"/>
                <w:sz w:val="20"/>
              </w:rPr>
            </w:pPr>
            <w:r w:rsidRPr="00A50F32">
              <w:rPr>
                <w:color w:val="000000"/>
                <w:sz w:val="20"/>
              </w:rPr>
              <w:t> 80</w:t>
            </w:r>
          </w:p>
        </w:tc>
        <w:tc>
          <w:tcPr>
            <w:tcW w:w="1843" w:type="dxa"/>
            <w:vAlign w:val="bottom"/>
          </w:tcPr>
          <w:p w14:paraId="74ECC585" w14:textId="77777777" w:rsidR="009D755F" w:rsidRPr="00A50F32" w:rsidRDefault="009D755F" w:rsidP="00F647C8">
            <w:pPr>
              <w:autoSpaceDE w:val="0"/>
              <w:autoSpaceDN w:val="0"/>
              <w:adjustRightInd w:val="0"/>
              <w:jc w:val="center"/>
              <w:rPr>
                <w:color w:val="000000"/>
                <w:sz w:val="20"/>
              </w:rPr>
            </w:pPr>
            <w:r w:rsidRPr="00A50F32">
              <w:rPr>
                <w:color w:val="000000"/>
                <w:sz w:val="20"/>
              </w:rPr>
              <w:t> 6.20916</w:t>
            </w:r>
          </w:p>
        </w:tc>
        <w:tc>
          <w:tcPr>
            <w:tcW w:w="1984" w:type="dxa"/>
            <w:vAlign w:val="bottom"/>
          </w:tcPr>
          <w:p w14:paraId="3A627D46" w14:textId="77777777" w:rsidR="009D755F" w:rsidRPr="00A50F32" w:rsidRDefault="009D755F" w:rsidP="00F647C8">
            <w:pPr>
              <w:autoSpaceDE w:val="0"/>
              <w:autoSpaceDN w:val="0"/>
              <w:adjustRightInd w:val="0"/>
              <w:ind w:right="20"/>
              <w:jc w:val="right"/>
              <w:rPr>
                <w:color w:val="000000"/>
                <w:sz w:val="20"/>
              </w:rPr>
            </w:pPr>
            <w:r w:rsidRPr="00A50F32">
              <w:rPr>
                <w:color w:val="000000"/>
                <w:sz w:val="20"/>
              </w:rPr>
              <w:t>0.0032</w:t>
            </w:r>
          </w:p>
        </w:tc>
      </w:tr>
      <w:tr w:rsidR="009D755F" w:rsidRPr="00A50F32" w14:paraId="3C3CAF4F" w14:textId="77777777" w:rsidTr="00EE1365">
        <w:trPr>
          <w:trHeight w:val="220"/>
        </w:trPr>
        <w:tc>
          <w:tcPr>
            <w:tcW w:w="5499" w:type="dxa"/>
            <w:gridSpan w:val="2"/>
            <w:vAlign w:val="bottom"/>
          </w:tcPr>
          <w:p w14:paraId="364D5474" w14:textId="77777777" w:rsidR="009D755F" w:rsidRPr="00A50F32" w:rsidRDefault="009D755F" w:rsidP="00F647C8">
            <w:pPr>
              <w:autoSpaceDE w:val="0"/>
              <w:autoSpaceDN w:val="0"/>
              <w:adjustRightInd w:val="0"/>
              <w:rPr>
                <w:color w:val="000000"/>
                <w:sz w:val="20"/>
              </w:rPr>
            </w:pPr>
            <w:r w:rsidRPr="00A50F32">
              <w:rPr>
                <w:color w:val="000000"/>
                <w:sz w:val="20"/>
              </w:rPr>
              <w:t> EG does not Granger Cause MP</w:t>
            </w:r>
          </w:p>
        </w:tc>
        <w:tc>
          <w:tcPr>
            <w:tcW w:w="1843" w:type="dxa"/>
            <w:vAlign w:val="bottom"/>
          </w:tcPr>
          <w:p w14:paraId="4FADA501" w14:textId="77777777" w:rsidR="009D755F" w:rsidRPr="00A50F32" w:rsidRDefault="009D755F" w:rsidP="00F647C8">
            <w:pPr>
              <w:autoSpaceDE w:val="0"/>
              <w:autoSpaceDN w:val="0"/>
              <w:adjustRightInd w:val="0"/>
              <w:jc w:val="center"/>
              <w:rPr>
                <w:color w:val="000000"/>
                <w:sz w:val="20"/>
              </w:rPr>
            </w:pPr>
            <w:r w:rsidRPr="00A50F32">
              <w:rPr>
                <w:color w:val="000000"/>
                <w:sz w:val="20"/>
              </w:rPr>
              <w:t> 0.21907</w:t>
            </w:r>
          </w:p>
        </w:tc>
        <w:tc>
          <w:tcPr>
            <w:tcW w:w="1984" w:type="dxa"/>
            <w:vAlign w:val="bottom"/>
          </w:tcPr>
          <w:p w14:paraId="53A00069" w14:textId="77777777" w:rsidR="009D755F" w:rsidRPr="00A50F32" w:rsidRDefault="009D755F" w:rsidP="00F647C8">
            <w:pPr>
              <w:autoSpaceDE w:val="0"/>
              <w:autoSpaceDN w:val="0"/>
              <w:adjustRightInd w:val="0"/>
              <w:ind w:right="20"/>
              <w:jc w:val="right"/>
              <w:rPr>
                <w:color w:val="000000"/>
                <w:sz w:val="20"/>
              </w:rPr>
            </w:pPr>
            <w:r w:rsidRPr="00A50F32">
              <w:rPr>
                <w:color w:val="000000"/>
                <w:sz w:val="20"/>
              </w:rPr>
              <w:t>0.8038</w:t>
            </w:r>
          </w:p>
        </w:tc>
      </w:tr>
      <w:tr w:rsidR="009D755F" w:rsidRPr="00A50F32" w14:paraId="7432C4E5" w14:textId="77777777" w:rsidTr="00EE1365">
        <w:trPr>
          <w:trHeight w:val="220"/>
        </w:trPr>
        <w:tc>
          <w:tcPr>
            <w:tcW w:w="3820" w:type="dxa"/>
            <w:vAlign w:val="bottom"/>
          </w:tcPr>
          <w:p w14:paraId="2CAA0BBD" w14:textId="77777777" w:rsidR="009D755F" w:rsidRPr="00A50F32" w:rsidRDefault="009D755F" w:rsidP="00F647C8">
            <w:pPr>
              <w:autoSpaceDE w:val="0"/>
              <w:autoSpaceDN w:val="0"/>
              <w:adjustRightInd w:val="0"/>
              <w:rPr>
                <w:color w:val="000000"/>
                <w:sz w:val="20"/>
              </w:rPr>
            </w:pPr>
            <w:r w:rsidRPr="00A50F32">
              <w:rPr>
                <w:color w:val="000000"/>
                <w:sz w:val="20"/>
              </w:rPr>
              <w:t> CI does not Granger Cause EG</w:t>
            </w:r>
          </w:p>
        </w:tc>
        <w:tc>
          <w:tcPr>
            <w:tcW w:w="1679" w:type="dxa"/>
            <w:vAlign w:val="bottom"/>
          </w:tcPr>
          <w:p w14:paraId="12912B6D" w14:textId="77777777" w:rsidR="009D755F" w:rsidRPr="00A50F32" w:rsidRDefault="009D755F" w:rsidP="00F647C8">
            <w:pPr>
              <w:autoSpaceDE w:val="0"/>
              <w:autoSpaceDN w:val="0"/>
              <w:adjustRightInd w:val="0"/>
              <w:jc w:val="center"/>
              <w:rPr>
                <w:color w:val="000000"/>
                <w:sz w:val="20"/>
              </w:rPr>
            </w:pPr>
            <w:r w:rsidRPr="00A50F32">
              <w:rPr>
                <w:color w:val="000000"/>
                <w:sz w:val="20"/>
              </w:rPr>
              <w:t> 80</w:t>
            </w:r>
          </w:p>
        </w:tc>
        <w:tc>
          <w:tcPr>
            <w:tcW w:w="1843" w:type="dxa"/>
            <w:vAlign w:val="bottom"/>
          </w:tcPr>
          <w:p w14:paraId="663BBF4D" w14:textId="77777777" w:rsidR="009D755F" w:rsidRPr="00A50F32" w:rsidRDefault="009D755F" w:rsidP="00F647C8">
            <w:pPr>
              <w:autoSpaceDE w:val="0"/>
              <w:autoSpaceDN w:val="0"/>
              <w:adjustRightInd w:val="0"/>
              <w:jc w:val="center"/>
              <w:rPr>
                <w:color w:val="000000"/>
                <w:sz w:val="20"/>
              </w:rPr>
            </w:pPr>
            <w:r w:rsidRPr="00A50F32">
              <w:rPr>
                <w:color w:val="000000"/>
                <w:sz w:val="20"/>
              </w:rPr>
              <w:t> 0.06749</w:t>
            </w:r>
          </w:p>
        </w:tc>
        <w:tc>
          <w:tcPr>
            <w:tcW w:w="1984" w:type="dxa"/>
            <w:vAlign w:val="bottom"/>
          </w:tcPr>
          <w:p w14:paraId="1D26CA7C" w14:textId="77777777" w:rsidR="009D755F" w:rsidRPr="00A50F32" w:rsidRDefault="009D755F" w:rsidP="00F647C8">
            <w:pPr>
              <w:autoSpaceDE w:val="0"/>
              <w:autoSpaceDN w:val="0"/>
              <w:adjustRightInd w:val="0"/>
              <w:ind w:right="20"/>
              <w:jc w:val="right"/>
              <w:rPr>
                <w:color w:val="000000"/>
                <w:sz w:val="20"/>
              </w:rPr>
            </w:pPr>
            <w:r w:rsidRPr="00A50F32">
              <w:rPr>
                <w:color w:val="000000"/>
                <w:sz w:val="20"/>
              </w:rPr>
              <w:t>0.9348</w:t>
            </w:r>
          </w:p>
        </w:tc>
      </w:tr>
      <w:tr w:rsidR="009D755F" w:rsidRPr="00A50F32" w14:paraId="7DC265E9" w14:textId="77777777" w:rsidTr="00EE1365">
        <w:trPr>
          <w:trHeight w:val="220"/>
        </w:trPr>
        <w:tc>
          <w:tcPr>
            <w:tcW w:w="5499" w:type="dxa"/>
            <w:gridSpan w:val="2"/>
            <w:vAlign w:val="bottom"/>
          </w:tcPr>
          <w:p w14:paraId="5AB87AD4" w14:textId="77777777" w:rsidR="009D755F" w:rsidRPr="00A50F32" w:rsidRDefault="009D755F" w:rsidP="00F647C8">
            <w:pPr>
              <w:autoSpaceDE w:val="0"/>
              <w:autoSpaceDN w:val="0"/>
              <w:adjustRightInd w:val="0"/>
              <w:rPr>
                <w:color w:val="000000"/>
                <w:sz w:val="20"/>
              </w:rPr>
            </w:pPr>
            <w:r w:rsidRPr="00A50F32">
              <w:rPr>
                <w:color w:val="000000"/>
                <w:sz w:val="20"/>
              </w:rPr>
              <w:t> EG does not Granger Cause CI</w:t>
            </w:r>
          </w:p>
        </w:tc>
        <w:tc>
          <w:tcPr>
            <w:tcW w:w="1843" w:type="dxa"/>
            <w:vAlign w:val="bottom"/>
          </w:tcPr>
          <w:p w14:paraId="724CF7BF" w14:textId="77777777" w:rsidR="009D755F" w:rsidRPr="00A50F32" w:rsidRDefault="009D755F" w:rsidP="00F647C8">
            <w:pPr>
              <w:autoSpaceDE w:val="0"/>
              <w:autoSpaceDN w:val="0"/>
              <w:adjustRightInd w:val="0"/>
              <w:jc w:val="center"/>
              <w:rPr>
                <w:color w:val="000000"/>
                <w:sz w:val="20"/>
              </w:rPr>
            </w:pPr>
            <w:r w:rsidRPr="00A50F32">
              <w:rPr>
                <w:color w:val="000000"/>
                <w:sz w:val="20"/>
              </w:rPr>
              <w:t> 0.34136</w:t>
            </w:r>
          </w:p>
        </w:tc>
        <w:tc>
          <w:tcPr>
            <w:tcW w:w="1984" w:type="dxa"/>
            <w:vAlign w:val="bottom"/>
          </w:tcPr>
          <w:p w14:paraId="0DC94756" w14:textId="77777777" w:rsidR="009D755F" w:rsidRPr="00A50F32" w:rsidRDefault="009D755F" w:rsidP="00F647C8">
            <w:pPr>
              <w:autoSpaceDE w:val="0"/>
              <w:autoSpaceDN w:val="0"/>
              <w:adjustRightInd w:val="0"/>
              <w:ind w:right="20"/>
              <w:jc w:val="right"/>
              <w:rPr>
                <w:color w:val="000000"/>
                <w:sz w:val="20"/>
              </w:rPr>
            </w:pPr>
            <w:r w:rsidRPr="00A50F32">
              <w:rPr>
                <w:color w:val="000000"/>
                <w:sz w:val="20"/>
              </w:rPr>
              <w:t>0.7119</w:t>
            </w:r>
          </w:p>
        </w:tc>
      </w:tr>
      <w:tr w:rsidR="009D755F" w:rsidRPr="00A50F32" w14:paraId="39E2E34C" w14:textId="77777777" w:rsidTr="00EE1365">
        <w:trPr>
          <w:trHeight w:val="220"/>
        </w:trPr>
        <w:tc>
          <w:tcPr>
            <w:tcW w:w="3820" w:type="dxa"/>
            <w:vAlign w:val="bottom"/>
          </w:tcPr>
          <w:p w14:paraId="3C1DE78E" w14:textId="77777777" w:rsidR="009D755F" w:rsidRPr="00A50F32" w:rsidRDefault="009D755F" w:rsidP="00F647C8">
            <w:pPr>
              <w:autoSpaceDE w:val="0"/>
              <w:autoSpaceDN w:val="0"/>
              <w:adjustRightInd w:val="0"/>
              <w:rPr>
                <w:color w:val="000000"/>
                <w:sz w:val="20"/>
              </w:rPr>
            </w:pPr>
            <w:r w:rsidRPr="00A50F32">
              <w:rPr>
                <w:color w:val="000000"/>
                <w:sz w:val="20"/>
              </w:rPr>
              <w:t> IPR does not Granger Cause EG</w:t>
            </w:r>
          </w:p>
        </w:tc>
        <w:tc>
          <w:tcPr>
            <w:tcW w:w="1679" w:type="dxa"/>
            <w:vAlign w:val="bottom"/>
          </w:tcPr>
          <w:p w14:paraId="6248FB44" w14:textId="77777777" w:rsidR="009D755F" w:rsidRPr="00A50F32" w:rsidRDefault="009D755F" w:rsidP="00F647C8">
            <w:pPr>
              <w:autoSpaceDE w:val="0"/>
              <w:autoSpaceDN w:val="0"/>
              <w:adjustRightInd w:val="0"/>
              <w:jc w:val="center"/>
              <w:rPr>
                <w:color w:val="000000"/>
                <w:sz w:val="20"/>
              </w:rPr>
            </w:pPr>
            <w:r w:rsidRPr="00A50F32">
              <w:rPr>
                <w:color w:val="000000"/>
                <w:sz w:val="20"/>
              </w:rPr>
              <w:t> 80</w:t>
            </w:r>
          </w:p>
        </w:tc>
        <w:tc>
          <w:tcPr>
            <w:tcW w:w="1843" w:type="dxa"/>
            <w:vAlign w:val="bottom"/>
          </w:tcPr>
          <w:p w14:paraId="24DC40E3" w14:textId="77777777" w:rsidR="009D755F" w:rsidRPr="00A50F32" w:rsidRDefault="009D755F" w:rsidP="00F647C8">
            <w:pPr>
              <w:autoSpaceDE w:val="0"/>
              <w:autoSpaceDN w:val="0"/>
              <w:adjustRightInd w:val="0"/>
              <w:jc w:val="center"/>
              <w:rPr>
                <w:color w:val="000000"/>
                <w:sz w:val="20"/>
              </w:rPr>
            </w:pPr>
            <w:r w:rsidRPr="00A50F32">
              <w:rPr>
                <w:color w:val="000000"/>
                <w:sz w:val="20"/>
              </w:rPr>
              <w:t> 3.03856</w:t>
            </w:r>
          </w:p>
        </w:tc>
        <w:tc>
          <w:tcPr>
            <w:tcW w:w="1984" w:type="dxa"/>
            <w:vAlign w:val="bottom"/>
          </w:tcPr>
          <w:p w14:paraId="30B20E7F" w14:textId="77777777" w:rsidR="009D755F" w:rsidRPr="00A50F32" w:rsidRDefault="009D755F" w:rsidP="00F647C8">
            <w:pPr>
              <w:autoSpaceDE w:val="0"/>
              <w:autoSpaceDN w:val="0"/>
              <w:adjustRightInd w:val="0"/>
              <w:ind w:right="20"/>
              <w:jc w:val="right"/>
              <w:rPr>
                <w:color w:val="000000"/>
                <w:sz w:val="20"/>
              </w:rPr>
            </w:pPr>
            <w:r w:rsidRPr="00A50F32">
              <w:rPr>
                <w:color w:val="000000"/>
                <w:sz w:val="20"/>
              </w:rPr>
              <w:t>0.0538</w:t>
            </w:r>
          </w:p>
        </w:tc>
      </w:tr>
      <w:tr w:rsidR="009D755F" w:rsidRPr="00A50F32" w14:paraId="7B3E25F4" w14:textId="77777777" w:rsidTr="00EE1365">
        <w:trPr>
          <w:trHeight w:val="220"/>
        </w:trPr>
        <w:tc>
          <w:tcPr>
            <w:tcW w:w="5499" w:type="dxa"/>
            <w:gridSpan w:val="2"/>
            <w:vAlign w:val="bottom"/>
          </w:tcPr>
          <w:p w14:paraId="5036A72F" w14:textId="77777777" w:rsidR="009D755F" w:rsidRPr="00A50F32" w:rsidRDefault="009D755F" w:rsidP="00F647C8">
            <w:pPr>
              <w:autoSpaceDE w:val="0"/>
              <w:autoSpaceDN w:val="0"/>
              <w:adjustRightInd w:val="0"/>
              <w:rPr>
                <w:color w:val="000000"/>
                <w:sz w:val="20"/>
              </w:rPr>
            </w:pPr>
            <w:r w:rsidRPr="00A50F32">
              <w:rPr>
                <w:color w:val="000000"/>
                <w:sz w:val="20"/>
              </w:rPr>
              <w:t> EG does not Granger Cause IPR</w:t>
            </w:r>
          </w:p>
        </w:tc>
        <w:tc>
          <w:tcPr>
            <w:tcW w:w="1843" w:type="dxa"/>
            <w:vAlign w:val="bottom"/>
          </w:tcPr>
          <w:p w14:paraId="5BB8A857" w14:textId="77777777" w:rsidR="009D755F" w:rsidRPr="00A50F32" w:rsidRDefault="009D755F" w:rsidP="00F647C8">
            <w:pPr>
              <w:autoSpaceDE w:val="0"/>
              <w:autoSpaceDN w:val="0"/>
              <w:adjustRightInd w:val="0"/>
              <w:jc w:val="center"/>
              <w:rPr>
                <w:color w:val="000000"/>
                <w:sz w:val="20"/>
              </w:rPr>
            </w:pPr>
            <w:r w:rsidRPr="00A50F32">
              <w:rPr>
                <w:color w:val="000000"/>
                <w:sz w:val="20"/>
              </w:rPr>
              <w:t> 0.77676</w:t>
            </w:r>
          </w:p>
        </w:tc>
        <w:tc>
          <w:tcPr>
            <w:tcW w:w="1984" w:type="dxa"/>
            <w:vAlign w:val="bottom"/>
          </w:tcPr>
          <w:p w14:paraId="561EEB85" w14:textId="77777777" w:rsidR="009D755F" w:rsidRPr="00A50F32" w:rsidRDefault="009D755F" w:rsidP="00F647C8">
            <w:pPr>
              <w:autoSpaceDE w:val="0"/>
              <w:autoSpaceDN w:val="0"/>
              <w:adjustRightInd w:val="0"/>
              <w:ind w:right="20"/>
              <w:jc w:val="right"/>
              <w:rPr>
                <w:color w:val="000000"/>
                <w:sz w:val="20"/>
              </w:rPr>
            </w:pPr>
            <w:r w:rsidRPr="00A50F32">
              <w:rPr>
                <w:color w:val="000000"/>
                <w:sz w:val="20"/>
              </w:rPr>
              <w:t>0.4636</w:t>
            </w:r>
          </w:p>
        </w:tc>
      </w:tr>
      <w:tr w:rsidR="009D755F" w:rsidRPr="00A50F32" w14:paraId="4DC888B2" w14:textId="77777777" w:rsidTr="00EE1365">
        <w:trPr>
          <w:trHeight w:val="220"/>
        </w:trPr>
        <w:tc>
          <w:tcPr>
            <w:tcW w:w="3820" w:type="dxa"/>
            <w:vAlign w:val="bottom"/>
          </w:tcPr>
          <w:p w14:paraId="1BE0E1E6" w14:textId="77777777" w:rsidR="009D755F" w:rsidRPr="00A50F32" w:rsidRDefault="009D755F" w:rsidP="00F647C8">
            <w:pPr>
              <w:autoSpaceDE w:val="0"/>
              <w:autoSpaceDN w:val="0"/>
              <w:adjustRightInd w:val="0"/>
              <w:rPr>
                <w:color w:val="000000"/>
                <w:sz w:val="20"/>
              </w:rPr>
            </w:pPr>
            <w:r w:rsidRPr="00A50F32">
              <w:rPr>
                <w:color w:val="000000"/>
                <w:sz w:val="20"/>
              </w:rPr>
              <w:t> CI does not Granger Cause MP</w:t>
            </w:r>
          </w:p>
        </w:tc>
        <w:tc>
          <w:tcPr>
            <w:tcW w:w="1679" w:type="dxa"/>
            <w:vAlign w:val="bottom"/>
          </w:tcPr>
          <w:p w14:paraId="1D470182" w14:textId="77777777" w:rsidR="009D755F" w:rsidRPr="00A50F32" w:rsidRDefault="009D755F" w:rsidP="00F647C8">
            <w:pPr>
              <w:autoSpaceDE w:val="0"/>
              <w:autoSpaceDN w:val="0"/>
              <w:adjustRightInd w:val="0"/>
              <w:jc w:val="center"/>
              <w:rPr>
                <w:color w:val="000000"/>
                <w:sz w:val="20"/>
              </w:rPr>
            </w:pPr>
            <w:r w:rsidRPr="00A50F32">
              <w:rPr>
                <w:color w:val="000000"/>
                <w:sz w:val="20"/>
              </w:rPr>
              <w:t> 80</w:t>
            </w:r>
          </w:p>
        </w:tc>
        <w:tc>
          <w:tcPr>
            <w:tcW w:w="1843" w:type="dxa"/>
            <w:vAlign w:val="bottom"/>
          </w:tcPr>
          <w:p w14:paraId="4811A09B" w14:textId="77777777" w:rsidR="009D755F" w:rsidRPr="00A50F32" w:rsidRDefault="009D755F" w:rsidP="00F647C8">
            <w:pPr>
              <w:autoSpaceDE w:val="0"/>
              <w:autoSpaceDN w:val="0"/>
              <w:adjustRightInd w:val="0"/>
              <w:jc w:val="center"/>
              <w:rPr>
                <w:color w:val="000000"/>
                <w:sz w:val="20"/>
              </w:rPr>
            </w:pPr>
            <w:r w:rsidRPr="00A50F32">
              <w:rPr>
                <w:color w:val="000000"/>
                <w:sz w:val="20"/>
              </w:rPr>
              <w:t> 0.68217</w:t>
            </w:r>
          </w:p>
        </w:tc>
        <w:tc>
          <w:tcPr>
            <w:tcW w:w="1984" w:type="dxa"/>
            <w:vAlign w:val="bottom"/>
          </w:tcPr>
          <w:p w14:paraId="674B45FA" w14:textId="77777777" w:rsidR="009D755F" w:rsidRPr="00A50F32" w:rsidRDefault="009D755F" w:rsidP="00F647C8">
            <w:pPr>
              <w:autoSpaceDE w:val="0"/>
              <w:autoSpaceDN w:val="0"/>
              <w:adjustRightInd w:val="0"/>
              <w:ind w:right="20"/>
              <w:jc w:val="right"/>
              <w:rPr>
                <w:color w:val="000000"/>
                <w:sz w:val="20"/>
              </w:rPr>
            </w:pPr>
            <w:r w:rsidRPr="00A50F32">
              <w:rPr>
                <w:color w:val="000000"/>
                <w:sz w:val="20"/>
              </w:rPr>
              <w:t>0.5086</w:t>
            </w:r>
          </w:p>
        </w:tc>
      </w:tr>
      <w:tr w:rsidR="009D755F" w:rsidRPr="00A50F32" w14:paraId="1F2D57FF" w14:textId="77777777" w:rsidTr="00EE1365">
        <w:trPr>
          <w:trHeight w:val="220"/>
        </w:trPr>
        <w:tc>
          <w:tcPr>
            <w:tcW w:w="5499" w:type="dxa"/>
            <w:gridSpan w:val="2"/>
            <w:vAlign w:val="bottom"/>
          </w:tcPr>
          <w:p w14:paraId="2130FEB1" w14:textId="77777777" w:rsidR="009D755F" w:rsidRPr="00A50F32" w:rsidRDefault="009D755F" w:rsidP="00F647C8">
            <w:pPr>
              <w:autoSpaceDE w:val="0"/>
              <w:autoSpaceDN w:val="0"/>
              <w:adjustRightInd w:val="0"/>
              <w:rPr>
                <w:color w:val="000000"/>
                <w:sz w:val="20"/>
              </w:rPr>
            </w:pPr>
            <w:r w:rsidRPr="00A50F32">
              <w:rPr>
                <w:color w:val="000000"/>
                <w:sz w:val="20"/>
              </w:rPr>
              <w:t> MP does not Granger Cause CI</w:t>
            </w:r>
          </w:p>
        </w:tc>
        <w:tc>
          <w:tcPr>
            <w:tcW w:w="1843" w:type="dxa"/>
            <w:vAlign w:val="bottom"/>
          </w:tcPr>
          <w:p w14:paraId="6FA78099" w14:textId="77777777" w:rsidR="009D755F" w:rsidRPr="00A50F32" w:rsidRDefault="009D755F" w:rsidP="00F647C8">
            <w:pPr>
              <w:autoSpaceDE w:val="0"/>
              <w:autoSpaceDN w:val="0"/>
              <w:adjustRightInd w:val="0"/>
              <w:jc w:val="center"/>
              <w:rPr>
                <w:color w:val="000000"/>
                <w:sz w:val="20"/>
              </w:rPr>
            </w:pPr>
            <w:r w:rsidRPr="00A50F32">
              <w:rPr>
                <w:color w:val="000000"/>
                <w:sz w:val="20"/>
              </w:rPr>
              <w:t> 0.09587</w:t>
            </w:r>
          </w:p>
        </w:tc>
        <w:tc>
          <w:tcPr>
            <w:tcW w:w="1984" w:type="dxa"/>
            <w:vAlign w:val="bottom"/>
          </w:tcPr>
          <w:p w14:paraId="07FD658C" w14:textId="77777777" w:rsidR="009D755F" w:rsidRPr="00A50F32" w:rsidRDefault="009D755F" w:rsidP="00F647C8">
            <w:pPr>
              <w:autoSpaceDE w:val="0"/>
              <w:autoSpaceDN w:val="0"/>
              <w:adjustRightInd w:val="0"/>
              <w:ind w:right="20"/>
              <w:jc w:val="right"/>
              <w:rPr>
                <w:color w:val="000000"/>
                <w:sz w:val="20"/>
              </w:rPr>
            </w:pPr>
            <w:r w:rsidRPr="00A50F32">
              <w:rPr>
                <w:color w:val="000000"/>
                <w:sz w:val="20"/>
              </w:rPr>
              <w:t>0.9087</w:t>
            </w:r>
          </w:p>
        </w:tc>
      </w:tr>
      <w:tr w:rsidR="009D755F" w:rsidRPr="00A50F32" w14:paraId="5440D44A" w14:textId="77777777" w:rsidTr="00EE1365">
        <w:trPr>
          <w:trHeight w:val="220"/>
        </w:trPr>
        <w:tc>
          <w:tcPr>
            <w:tcW w:w="3820" w:type="dxa"/>
            <w:vAlign w:val="bottom"/>
          </w:tcPr>
          <w:p w14:paraId="10C2D30F" w14:textId="77777777" w:rsidR="009D755F" w:rsidRPr="00A50F32" w:rsidRDefault="009D755F" w:rsidP="00F647C8">
            <w:pPr>
              <w:autoSpaceDE w:val="0"/>
              <w:autoSpaceDN w:val="0"/>
              <w:adjustRightInd w:val="0"/>
              <w:rPr>
                <w:color w:val="000000"/>
                <w:sz w:val="20"/>
              </w:rPr>
            </w:pPr>
            <w:r w:rsidRPr="00A50F32">
              <w:rPr>
                <w:color w:val="000000"/>
                <w:sz w:val="20"/>
              </w:rPr>
              <w:t> IPR does not Granger Cause MP</w:t>
            </w:r>
          </w:p>
        </w:tc>
        <w:tc>
          <w:tcPr>
            <w:tcW w:w="1679" w:type="dxa"/>
            <w:vAlign w:val="bottom"/>
          </w:tcPr>
          <w:p w14:paraId="1D27B13B" w14:textId="77777777" w:rsidR="009D755F" w:rsidRPr="00A50F32" w:rsidRDefault="009D755F" w:rsidP="00F647C8">
            <w:pPr>
              <w:autoSpaceDE w:val="0"/>
              <w:autoSpaceDN w:val="0"/>
              <w:adjustRightInd w:val="0"/>
              <w:jc w:val="center"/>
              <w:rPr>
                <w:color w:val="000000"/>
                <w:sz w:val="20"/>
              </w:rPr>
            </w:pPr>
            <w:r w:rsidRPr="00A50F32">
              <w:rPr>
                <w:color w:val="000000"/>
                <w:sz w:val="20"/>
              </w:rPr>
              <w:t> 80</w:t>
            </w:r>
          </w:p>
        </w:tc>
        <w:tc>
          <w:tcPr>
            <w:tcW w:w="1843" w:type="dxa"/>
            <w:vAlign w:val="bottom"/>
          </w:tcPr>
          <w:p w14:paraId="16C6E28D" w14:textId="77777777" w:rsidR="009D755F" w:rsidRPr="00A50F32" w:rsidRDefault="009D755F" w:rsidP="00F647C8">
            <w:pPr>
              <w:autoSpaceDE w:val="0"/>
              <w:autoSpaceDN w:val="0"/>
              <w:adjustRightInd w:val="0"/>
              <w:jc w:val="center"/>
              <w:rPr>
                <w:color w:val="000000"/>
                <w:sz w:val="20"/>
              </w:rPr>
            </w:pPr>
            <w:r w:rsidRPr="00A50F32">
              <w:rPr>
                <w:color w:val="000000"/>
                <w:sz w:val="20"/>
              </w:rPr>
              <w:t> 1.23561</w:t>
            </w:r>
          </w:p>
        </w:tc>
        <w:tc>
          <w:tcPr>
            <w:tcW w:w="1984" w:type="dxa"/>
            <w:vAlign w:val="bottom"/>
          </w:tcPr>
          <w:p w14:paraId="66EE04F3" w14:textId="77777777" w:rsidR="009D755F" w:rsidRPr="00A50F32" w:rsidRDefault="009D755F" w:rsidP="00F647C8">
            <w:pPr>
              <w:autoSpaceDE w:val="0"/>
              <w:autoSpaceDN w:val="0"/>
              <w:adjustRightInd w:val="0"/>
              <w:ind w:right="20"/>
              <w:jc w:val="right"/>
              <w:rPr>
                <w:color w:val="000000"/>
                <w:sz w:val="20"/>
              </w:rPr>
            </w:pPr>
            <w:r w:rsidRPr="00A50F32">
              <w:rPr>
                <w:color w:val="000000"/>
                <w:sz w:val="20"/>
              </w:rPr>
              <w:t>0.2965</w:t>
            </w:r>
          </w:p>
        </w:tc>
      </w:tr>
      <w:tr w:rsidR="009D755F" w:rsidRPr="00A50F32" w14:paraId="123B03EF" w14:textId="77777777" w:rsidTr="00EE1365">
        <w:trPr>
          <w:trHeight w:val="220"/>
        </w:trPr>
        <w:tc>
          <w:tcPr>
            <w:tcW w:w="5499" w:type="dxa"/>
            <w:gridSpan w:val="2"/>
            <w:vAlign w:val="bottom"/>
          </w:tcPr>
          <w:p w14:paraId="561CF7F1" w14:textId="77777777" w:rsidR="009D755F" w:rsidRPr="00A50F32" w:rsidRDefault="009D755F" w:rsidP="00F647C8">
            <w:pPr>
              <w:autoSpaceDE w:val="0"/>
              <w:autoSpaceDN w:val="0"/>
              <w:adjustRightInd w:val="0"/>
              <w:rPr>
                <w:color w:val="000000"/>
                <w:sz w:val="20"/>
              </w:rPr>
            </w:pPr>
            <w:r w:rsidRPr="00A50F32">
              <w:rPr>
                <w:color w:val="000000"/>
                <w:sz w:val="20"/>
              </w:rPr>
              <w:t> MP does not Granger Cause IPR</w:t>
            </w:r>
          </w:p>
        </w:tc>
        <w:tc>
          <w:tcPr>
            <w:tcW w:w="1843" w:type="dxa"/>
            <w:vAlign w:val="bottom"/>
          </w:tcPr>
          <w:p w14:paraId="3060C952" w14:textId="77777777" w:rsidR="009D755F" w:rsidRPr="00A50F32" w:rsidRDefault="009D755F" w:rsidP="00F647C8">
            <w:pPr>
              <w:autoSpaceDE w:val="0"/>
              <w:autoSpaceDN w:val="0"/>
              <w:adjustRightInd w:val="0"/>
              <w:jc w:val="center"/>
              <w:rPr>
                <w:color w:val="000000"/>
                <w:sz w:val="20"/>
              </w:rPr>
            </w:pPr>
            <w:r w:rsidRPr="00A50F32">
              <w:rPr>
                <w:color w:val="000000"/>
                <w:sz w:val="20"/>
              </w:rPr>
              <w:t> 3.37272</w:t>
            </w:r>
          </w:p>
        </w:tc>
        <w:tc>
          <w:tcPr>
            <w:tcW w:w="1984" w:type="dxa"/>
            <w:vAlign w:val="bottom"/>
          </w:tcPr>
          <w:p w14:paraId="0C18106E" w14:textId="77777777" w:rsidR="009D755F" w:rsidRPr="00A50F32" w:rsidRDefault="009D755F" w:rsidP="00F647C8">
            <w:pPr>
              <w:autoSpaceDE w:val="0"/>
              <w:autoSpaceDN w:val="0"/>
              <w:adjustRightInd w:val="0"/>
              <w:ind w:right="20"/>
              <w:jc w:val="right"/>
              <w:rPr>
                <w:color w:val="000000"/>
                <w:sz w:val="20"/>
              </w:rPr>
            </w:pPr>
            <w:r w:rsidRPr="00A50F32">
              <w:rPr>
                <w:color w:val="000000"/>
                <w:sz w:val="20"/>
              </w:rPr>
              <w:t>0.0396</w:t>
            </w:r>
          </w:p>
        </w:tc>
      </w:tr>
      <w:tr w:rsidR="009D755F" w:rsidRPr="00A50F32" w14:paraId="26279328" w14:textId="77777777" w:rsidTr="00EE1365">
        <w:trPr>
          <w:trHeight w:val="220"/>
        </w:trPr>
        <w:tc>
          <w:tcPr>
            <w:tcW w:w="3820" w:type="dxa"/>
            <w:vAlign w:val="bottom"/>
          </w:tcPr>
          <w:p w14:paraId="33914648" w14:textId="77777777" w:rsidR="009D755F" w:rsidRPr="00A50F32" w:rsidRDefault="009D755F" w:rsidP="00F647C8">
            <w:pPr>
              <w:autoSpaceDE w:val="0"/>
              <w:autoSpaceDN w:val="0"/>
              <w:adjustRightInd w:val="0"/>
              <w:rPr>
                <w:color w:val="000000"/>
                <w:sz w:val="20"/>
              </w:rPr>
            </w:pPr>
            <w:r w:rsidRPr="00A50F32">
              <w:rPr>
                <w:color w:val="000000"/>
                <w:sz w:val="20"/>
              </w:rPr>
              <w:t> IPR does not Granger Cause CI</w:t>
            </w:r>
          </w:p>
        </w:tc>
        <w:tc>
          <w:tcPr>
            <w:tcW w:w="1679" w:type="dxa"/>
            <w:vAlign w:val="bottom"/>
          </w:tcPr>
          <w:p w14:paraId="674205D6" w14:textId="77777777" w:rsidR="009D755F" w:rsidRPr="00A50F32" w:rsidRDefault="009D755F" w:rsidP="00F647C8">
            <w:pPr>
              <w:autoSpaceDE w:val="0"/>
              <w:autoSpaceDN w:val="0"/>
              <w:adjustRightInd w:val="0"/>
              <w:jc w:val="center"/>
              <w:rPr>
                <w:color w:val="000000"/>
                <w:sz w:val="20"/>
              </w:rPr>
            </w:pPr>
            <w:r w:rsidRPr="00A50F32">
              <w:rPr>
                <w:color w:val="000000"/>
                <w:sz w:val="20"/>
              </w:rPr>
              <w:t> 80</w:t>
            </w:r>
          </w:p>
        </w:tc>
        <w:tc>
          <w:tcPr>
            <w:tcW w:w="1843" w:type="dxa"/>
            <w:vAlign w:val="bottom"/>
          </w:tcPr>
          <w:p w14:paraId="6AE6D24F" w14:textId="77777777" w:rsidR="009D755F" w:rsidRPr="00A50F32" w:rsidRDefault="009D755F" w:rsidP="00F647C8">
            <w:pPr>
              <w:autoSpaceDE w:val="0"/>
              <w:autoSpaceDN w:val="0"/>
              <w:adjustRightInd w:val="0"/>
              <w:jc w:val="center"/>
              <w:rPr>
                <w:color w:val="000000"/>
                <w:sz w:val="20"/>
              </w:rPr>
            </w:pPr>
            <w:r w:rsidRPr="00A50F32">
              <w:rPr>
                <w:color w:val="000000"/>
                <w:sz w:val="20"/>
              </w:rPr>
              <w:t> 0.53065</w:t>
            </w:r>
          </w:p>
        </w:tc>
        <w:tc>
          <w:tcPr>
            <w:tcW w:w="1984" w:type="dxa"/>
            <w:vAlign w:val="bottom"/>
          </w:tcPr>
          <w:p w14:paraId="341F0C4C" w14:textId="77777777" w:rsidR="009D755F" w:rsidRPr="00A50F32" w:rsidRDefault="009D755F" w:rsidP="00F647C8">
            <w:pPr>
              <w:autoSpaceDE w:val="0"/>
              <w:autoSpaceDN w:val="0"/>
              <w:adjustRightInd w:val="0"/>
              <w:ind w:right="20"/>
              <w:jc w:val="right"/>
              <w:rPr>
                <w:color w:val="000000"/>
                <w:sz w:val="20"/>
              </w:rPr>
            </w:pPr>
            <w:r w:rsidRPr="00A50F32">
              <w:rPr>
                <w:color w:val="000000"/>
                <w:sz w:val="20"/>
              </w:rPr>
              <w:t>0.5904</w:t>
            </w:r>
          </w:p>
        </w:tc>
      </w:tr>
      <w:tr w:rsidR="009D755F" w:rsidRPr="00A50F32" w14:paraId="387F2F97" w14:textId="77777777" w:rsidTr="00EE1365">
        <w:trPr>
          <w:trHeight w:val="220"/>
        </w:trPr>
        <w:tc>
          <w:tcPr>
            <w:tcW w:w="5499" w:type="dxa"/>
            <w:gridSpan w:val="2"/>
            <w:vAlign w:val="bottom"/>
          </w:tcPr>
          <w:p w14:paraId="57452D50" w14:textId="77777777" w:rsidR="009D755F" w:rsidRPr="00A50F32" w:rsidRDefault="009D755F" w:rsidP="00F647C8">
            <w:pPr>
              <w:autoSpaceDE w:val="0"/>
              <w:autoSpaceDN w:val="0"/>
              <w:adjustRightInd w:val="0"/>
              <w:rPr>
                <w:color w:val="000000"/>
                <w:sz w:val="20"/>
              </w:rPr>
            </w:pPr>
            <w:r w:rsidRPr="00A50F32">
              <w:rPr>
                <w:color w:val="000000"/>
                <w:sz w:val="20"/>
              </w:rPr>
              <w:t> CI does not Granger Cause IPR</w:t>
            </w:r>
          </w:p>
        </w:tc>
        <w:tc>
          <w:tcPr>
            <w:tcW w:w="1843" w:type="dxa"/>
            <w:vAlign w:val="bottom"/>
          </w:tcPr>
          <w:p w14:paraId="13E8305B" w14:textId="77777777" w:rsidR="009D755F" w:rsidRPr="00A50F32" w:rsidRDefault="009D755F" w:rsidP="00F647C8">
            <w:pPr>
              <w:autoSpaceDE w:val="0"/>
              <w:autoSpaceDN w:val="0"/>
              <w:adjustRightInd w:val="0"/>
              <w:jc w:val="center"/>
              <w:rPr>
                <w:color w:val="000000"/>
                <w:sz w:val="20"/>
              </w:rPr>
            </w:pPr>
            <w:r w:rsidRPr="00A50F32">
              <w:rPr>
                <w:color w:val="000000"/>
                <w:sz w:val="20"/>
              </w:rPr>
              <w:t> 1.86691</w:t>
            </w:r>
          </w:p>
        </w:tc>
        <w:tc>
          <w:tcPr>
            <w:tcW w:w="1984" w:type="dxa"/>
            <w:vAlign w:val="bottom"/>
          </w:tcPr>
          <w:p w14:paraId="4D93C1D0" w14:textId="77777777" w:rsidR="009D755F" w:rsidRPr="00A50F32" w:rsidRDefault="009D755F" w:rsidP="00F647C8">
            <w:pPr>
              <w:autoSpaceDE w:val="0"/>
              <w:autoSpaceDN w:val="0"/>
              <w:adjustRightInd w:val="0"/>
              <w:ind w:right="20"/>
              <w:jc w:val="right"/>
              <w:rPr>
                <w:color w:val="000000"/>
                <w:sz w:val="20"/>
              </w:rPr>
            </w:pPr>
            <w:r w:rsidRPr="00A50F32">
              <w:rPr>
                <w:color w:val="000000"/>
                <w:sz w:val="20"/>
              </w:rPr>
              <w:t>0.1617</w:t>
            </w:r>
          </w:p>
        </w:tc>
      </w:tr>
    </w:tbl>
    <w:p w14:paraId="3E9F4ABC" w14:textId="441E90B5" w:rsidR="009D755F" w:rsidRPr="00444A2E" w:rsidRDefault="009D755F" w:rsidP="00373F31">
      <w:pPr>
        <w:autoSpaceDE w:val="0"/>
        <w:autoSpaceDN w:val="0"/>
        <w:adjustRightInd w:val="0"/>
        <w:spacing w:before="120"/>
        <w:ind w:firstLine="284"/>
        <w:jc w:val="both"/>
        <w:rPr>
          <w:rStyle w:val="Emphasis"/>
        </w:rPr>
      </w:pPr>
      <w:r w:rsidRPr="00444A2E">
        <w:rPr>
          <w:rStyle w:val="Emphasis"/>
        </w:rPr>
        <w:t>The cost of intellectual use does not influence economic growth and vice versa. The number of intellectual property rights does not influence economic growth and vice versa. Intellectual usage costs do not influence mobile phone ownership and vice versa</w:t>
      </w:r>
      <w:r w:rsidR="0082600A" w:rsidRPr="00444A2E">
        <w:rPr>
          <w:rStyle w:val="Emphasis"/>
        </w:rPr>
        <w:t>.</w:t>
      </w:r>
    </w:p>
    <w:p w14:paraId="0002E7D7" w14:textId="6FAF1EEB" w:rsidR="009D755F" w:rsidRPr="00444A2E" w:rsidRDefault="009D755F" w:rsidP="009D755F">
      <w:pPr>
        <w:autoSpaceDE w:val="0"/>
        <w:autoSpaceDN w:val="0"/>
        <w:adjustRightInd w:val="0"/>
        <w:ind w:firstLine="284"/>
        <w:jc w:val="both"/>
        <w:rPr>
          <w:rStyle w:val="Emphasis"/>
        </w:rPr>
      </w:pPr>
      <w:r w:rsidRPr="00444A2E">
        <w:rPr>
          <w:rStyle w:val="Emphasis"/>
        </w:rPr>
        <w:t>The number of intellectual property rights does not influence mobile phone ownership, but mobile phone ownership influences the amount of intellectual property. Mobile phone ownership significantly influences the amount of intellectual property (IP) in ASEAN. China's rise has balanced trade differences between China and other countries, including ASEAN member countries such as Indonesia and Thailand</w:t>
      </w:r>
      <w:r w:rsidR="00A95B7C" w:rsidRPr="00444A2E">
        <w:rPr>
          <w:rStyle w:val="Emphasis"/>
        </w:rPr>
        <w:t xml:space="preserve"> </w:t>
      </w:r>
      <w:r w:rsidR="00A95B7C" w:rsidRPr="00444A2E">
        <w:rPr>
          <w:rStyle w:val="Emphasis"/>
        </w:rPr>
        <w:fldChar w:fldCharType="begin"/>
      </w:r>
      <w:r w:rsidR="00A95B7C" w:rsidRPr="00444A2E">
        <w:rPr>
          <w:rStyle w:val="Emphasis"/>
        </w:rPr>
        <w:instrText xml:space="preserve"> ADDIN EN.CITE &lt;EndNote&gt;&lt;Cite&gt;&lt;Author&gt;Prihastomo&lt;/Author&gt;&lt;RecNum&gt;3&lt;/RecNum&gt;&lt;DisplayText&gt;[12]&lt;/DisplayText&gt;&lt;record&gt;&lt;rec-number&gt;3&lt;/rec-number&gt;&lt;foreign-keys&gt;&lt;key app="EN" db-id="2zvev9rz0frseoefpv6pstv6d9av9epa5rfe" timestamp="1729489230"&gt;3&lt;/key&gt;&lt;/foreign-keys&gt;&lt;ref-type name="Conference Proceedings"&gt;10&lt;/ref-type&gt;&lt;contributors&gt;&lt;authors&gt;&lt;author&gt;Prihastomo, Yoga&lt;/author&gt;&lt;author&gt;Ningtyas, Anisa Aurum&lt;/author&gt;&lt;/authors&gt;&lt;/contributors&gt;&lt;titles&gt;&lt;title&gt;Mobile Intellectual Property Marketplace Model for Commercialization of Intellectual Property Rights&lt;/title&gt;&lt;alt-title&gt;2022 IEEE Creative Communication and Innovative Technology (ICCIT)&lt;/alt-title&gt;&lt;/titles&gt;&lt;pages&gt;1-5&lt;/pages&gt;&lt;dates&gt;&lt;pub-dates&gt;&lt;date&gt;2022&lt;/date&gt;&lt;/pub-dates&gt;&lt;/dates&gt;&lt;publisher&gt;IEEE&lt;/publisher&gt;&lt;isbn&gt;1665468777&lt;/isbn&gt;&lt;urls&gt;&lt;/urls&gt;&lt;/record&gt;&lt;/Cite&gt;&lt;/EndNote&gt;</w:instrText>
      </w:r>
      <w:r w:rsidR="00A95B7C" w:rsidRPr="00444A2E">
        <w:rPr>
          <w:rStyle w:val="Emphasis"/>
        </w:rPr>
        <w:fldChar w:fldCharType="separate"/>
      </w:r>
      <w:r w:rsidR="00A95B7C" w:rsidRPr="00444A2E">
        <w:rPr>
          <w:rStyle w:val="Emphasis"/>
        </w:rPr>
        <w:t>[12]</w:t>
      </w:r>
      <w:r w:rsidR="00A95B7C" w:rsidRPr="00444A2E">
        <w:rPr>
          <w:rStyle w:val="Emphasis"/>
        </w:rPr>
        <w:fldChar w:fldCharType="end"/>
      </w:r>
      <w:r w:rsidR="00A95B7C" w:rsidRPr="00444A2E">
        <w:rPr>
          <w:rStyle w:val="Emphasis"/>
        </w:rPr>
        <w:t>.</w:t>
      </w:r>
      <w:r w:rsidRPr="00444A2E">
        <w:rPr>
          <w:rStyle w:val="Emphasis"/>
        </w:rPr>
        <w:t xml:space="preserve"> These countries have been shown to have high rates of illegal software downloads, indicating a strong presence of digital copyright infringement</w:t>
      </w:r>
      <w:r w:rsidR="00A95B7C" w:rsidRPr="00444A2E">
        <w:rPr>
          <w:rStyle w:val="Emphasis"/>
        </w:rPr>
        <w:t xml:space="preserve"> </w:t>
      </w:r>
      <w:r w:rsidR="00A95B7C" w:rsidRPr="00444A2E">
        <w:rPr>
          <w:rStyle w:val="Emphasis"/>
        </w:rPr>
        <w:fldChar w:fldCharType="begin"/>
      </w:r>
      <w:r w:rsidR="00A95B7C" w:rsidRPr="00444A2E">
        <w:rPr>
          <w:rStyle w:val="Emphasis"/>
        </w:rPr>
        <w:instrText xml:space="preserve"> ADDIN EN.CITE &lt;EndNote&gt;&lt;Cite&gt;&lt;Author&gt;Lu&lt;/Author&gt;&lt;Year&gt;2022&lt;/Year&gt;&lt;RecNum&gt;4&lt;/RecNum&gt;&lt;DisplayText&gt;[13]&lt;/DisplayText&gt;&lt;record&gt;&lt;rec-number&gt;4&lt;/rec-number&gt;&lt;foreign-keys&gt;&lt;key app="EN" db-id="2zvev9rz0frseoefpv6pstv6d9av9epa5rfe" timestamp="1729489289"&gt;4&lt;/key&gt;&lt;/foreign-keys&gt;&lt;ref-type name="Journal Article"&gt;17&lt;/ref-type&gt;&lt;contributors&gt;&lt;authors&gt;&lt;author&gt;Lu, Bing-Yuh&lt;/author&gt;&lt;author&gt;Der Han, Tien&lt;/author&gt;&lt;author&gt;Liu, Mei&lt;/author&gt;&lt;author&gt;Wu, Rushan&lt;/author&gt;&lt;author&gt;He, Juhui&lt;/author&gt;&lt;author&gt;Lin, Pao-An&lt;/author&gt;&lt;/authors&gt;&lt;/contributors&gt;&lt;titles&gt;&lt;title&gt;EXPLORATION OF MOBILE MARKET: POPULATION DISTRIBUTION AND EMOTIONAL BEHAVIOR CHANGES IN SOUTHEAST AND SOUTH ASIAN COUNTRIES&lt;/title&gt;&lt;secondary-title&gt;International Journal of Neuropsychopharmacology&lt;/secondary-title&gt;&lt;/titles&gt;&lt;periodical&gt;&lt;full-title&gt;International Journal of Neuropsychopharmacology&lt;/full-title&gt;&lt;/periodical&gt;&lt;pages&gt;A100-A101&lt;/pages&gt;&lt;volume&gt;25&lt;/volume&gt;&lt;number&gt;Supplement_1&lt;/number&gt;&lt;dates&gt;&lt;year&gt;2022&lt;/year&gt;&lt;/dates&gt;&lt;publisher&gt;Oxford University Press US&lt;/publisher&gt;&lt;isbn&gt;1461-1457&lt;/isbn&gt;&lt;urls&gt;&lt;/urls&gt;&lt;/record&gt;&lt;/Cite&gt;&lt;/EndNote&gt;</w:instrText>
      </w:r>
      <w:r w:rsidR="00A95B7C" w:rsidRPr="00444A2E">
        <w:rPr>
          <w:rStyle w:val="Emphasis"/>
        </w:rPr>
        <w:fldChar w:fldCharType="separate"/>
      </w:r>
      <w:r w:rsidR="00A95B7C" w:rsidRPr="00444A2E">
        <w:rPr>
          <w:rStyle w:val="Emphasis"/>
        </w:rPr>
        <w:t>[13]</w:t>
      </w:r>
      <w:r w:rsidR="00A95B7C" w:rsidRPr="00444A2E">
        <w:rPr>
          <w:rStyle w:val="Emphasis"/>
        </w:rPr>
        <w:fldChar w:fldCharType="end"/>
      </w:r>
      <w:r w:rsidRPr="00444A2E">
        <w:rPr>
          <w:rStyle w:val="Emphasis"/>
        </w:rPr>
        <w:t>. Additionally, developing an IP market model based on mobile location-aware computing in Indonesia has shown the potential to commercialize IP and provide contextual IP information to smartphone users based on location</w:t>
      </w:r>
      <w:r w:rsidR="00A95B7C" w:rsidRPr="00444A2E">
        <w:rPr>
          <w:rStyle w:val="Emphasis"/>
        </w:rPr>
        <w:t xml:space="preserve"> </w:t>
      </w:r>
      <w:r w:rsidR="00A95B7C" w:rsidRPr="00444A2E">
        <w:rPr>
          <w:rStyle w:val="Emphasis"/>
        </w:rPr>
        <w:fldChar w:fldCharType="begin"/>
      </w:r>
      <w:r w:rsidR="00A95B7C" w:rsidRPr="00444A2E">
        <w:rPr>
          <w:rStyle w:val="Emphasis"/>
        </w:rPr>
        <w:instrText xml:space="preserve"> ADDIN EN.CITE &lt;EndNote&gt;&lt;Cite&gt;&lt;Author&gt;Lim&lt;/Author&gt;&lt;Year&gt;2023&lt;/Year&gt;&lt;RecNum&gt;5&lt;/RecNum&gt;&lt;DisplayText&gt;[14]&lt;/DisplayText&gt;&lt;record&gt;&lt;rec-number&gt;5&lt;/rec-number&gt;&lt;foreign-keys&gt;&lt;key app="EN" db-id="2zvev9rz0frseoefpv6pstv6d9av9epa5rfe" timestamp="1729489349"&gt;5&lt;/key&gt;&lt;/foreign-keys&gt;&lt;ref-type name="Book Section"&gt;5&lt;/ref-type&gt;&lt;contributors&gt;&lt;authors&gt;&lt;author&gt;Lim, Hannah Yee-Fen&lt;/author&gt;&lt;/authors&gt;&lt;/contributors&gt;&lt;titles&gt;&lt;title&gt;The battle against digital copyright infringements in ASEAN&lt;/title&gt;&lt;secondary-title&gt;Intellectual Property Law in South East Asia&lt;/secondary-title&gt;&lt;/titles&gt;&lt;pages&gt;297-317&lt;/pages&gt;&lt;dates&gt;&lt;year&gt;2023&lt;/year&gt;&lt;/dates&gt;&lt;publisher&gt;Edward Elgar Publishing&lt;/publisher&gt;&lt;isbn&gt;1035308398&lt;/isbn&gt;&lt;urls&gt;&lt;/urls&gt;&lt;/record&gt;&lt;/Cite&gt;&lt;/EndNote&gt;</w:instrText>
      </w:r>
      <w:r w:rsidR="00A95B7C" w:rsidRPr="00444A2E">
        <w:rPr>
          <w:rStyle w:val="Emphasis"/>
        </w:rPr>
        <w:fldChar w:fldCharType="separate"/>
      </w:r>
      <w:r w:rsidR="00A95B7C" w:rsidRPr="00444A2E">
        <w:rPr>
          <w:rStyle w:val="Emphasis"/>
        </w:rPr>
        <w:t>[14]</w:t>
      </w:r>
      <w:r w:rsidR="00A95B7C" w:rsidRPr="00444A2E">
        <w:rPr>
          <w:rStyle w:val="Emphasis"/>
        </w:rPr>
        <w:fldChar w:fldCharType="end"/>
      </w:r>
      <w:r w:rsidR="00A95B7C" w:rsidRPr="00444A2E">
        <w:rPr>
          <w:rStyle w:val="Emphasis"/>
        </w:rPr>
        <w:t xml:space="preserve">. </w:t>
      </w:r>
    </w:p>
    <w:p w14:paraId="0A84D8E8" w14:textId="34B1F66F" w:rsidR="009D755F" w:rsidRPr="00444A2E" w:rsidRDefault="009D755F" w:rsidP="009D755F">
      <w:pPr>
        <w:autoSpaceDE w:val="0"/>
        <w:autoSpaceDN w:val="0"/>
        <w:adjustRightInd w:val="0"/>
        <w:ind w:firstLine="284"/>
        <w:jc w:val="both"/>
        <w:rPr>
          <w:rStyle w:val="Emphasis"/>
        </w:rPr>
      </w:pPr>
      <w:r w:rsidRPr="00444A2E">
        <w:rPr>
          <w:rStyle w:val="Emphasis"/>
        </w:rPr>
        <w:lastRenderedPageBreak/>
        <w:t>The differences between corporate development and IP creation in ASEAN highlight the need for further research on the nature and characteristics of technological progress at the corporate level and the adaptation of formal IP registration systems to encourage companies to register their technological innovations</w:t>
      </w:r>
      <w:r w:rsidR="00A95B7C" w:rsidRPr="00444A2E">
        <w:rPr>
          <w:rStyle w:val="Emphasis"/>
        </w:rPr>
        <w:t xml:space="preserve"> </w:t>
      </w:r>
      <w:r w:rsidR="00A95B7C" w:rsidRPr="00444A2E">
        <w:rPr>
          <w:rStyle w:val="Emphasis"/>
        </w:rPr>
        <w:fldChar w:fldCharType="begin"/>
      </w:r>
      <w:r w:rsidR="00A95B7C" w:rsidRPr="00444A2E">
        <w:rPr>
          <w:rStyle w:val="Emphasis"/>
        </w:rPr>
        <w:instrText xml:space="preserve"> ADDIN EN.CITE &lt;EndNote&gt;&lt;Cite&gt;&lt;Author&gt;Antons&lt;/Author&gt;&lt;Year&gt;2023&lt;/Year&gt;&lt;RecNum&gt;6&lt;/RecNum&gt;&lt;DisplayText&gt;[15]&lt;/DisplayText&gt;&lt;record&gt;&lt;rec-number&gt;6&lt;/rec-number&gt;&lt;foreign-keys&gt;&lt;key app="EN" db-id="2zvev9rz0frseoefpv6pstv6d9av9epa5rfe" timestamp="1729489402"&gt;6&lt;/key&gt;&lt;/foreign-keys&gt;&lt;ref-type name="Book Section"&gt;5&lt;/ref-type&gt;&lt;contributors&gt;&lt;authors&gt;&lt;author&gt;Antons, Christoph&lt;/author&gt;&lt;author&gt;Blakeney, Michael&lt;/author&gt;&lt;/authors&gt;&lt;/contributors&gt;&lt;titles&gt;&lt;title&gt;Intellectual property, farmers&amp;apos; rights and agriculture in the ASEAN countries&lt;/title&gt;&lt;secondary-title&gt;Intellectual Property Law in South East Asia&lt;/secondary-title&gt;&lt;/titles&gt;&lt;pages&gt;318-357&lt;/pages&gt;&lt;dates&gt;&lt;year&gt;2023&lt;/year&gt;&lt;/dates&gt;&lt;publisher&gt;Edward Elgar Publishing&lt;/publisher&gt;&lt;isbn&gt;1035308398&lt;/isbn&gt;&lt;urls&gt;&lt;/urls&gt;&lt;/record&gt;&lt;/Cite&gt;&lt;/EndNote&gt;</w:instrText>
      </w:r>
      <w:r w:rsidR="00A95B7C" w:rsidRPr="00444A2E">
        <w:rPr>
          <w:rStyle w:val="Emphasis"/>
        </w:rPr>
        <w:fldChar w:fldCharType="separate"/>
      </w:r>
      <w:r w:rsidR="00A95B7C" w:rsidRPr="00444A2E">
        <w:rPr>
          <w:rStyle w:val="Emphasis"/>
        </w:rPr>
        <w:t>[15]</w:t>
      </w:r>
      <w:r w:rsidR="00A95B7C" w:rsidRPr="00444A2E">
        <w:rPr>
          <w:rStyle w:val="Emphasis"/>
        </w:rPr>
        <w:fldChar w:fldCharType="end"/>
      </w:r>
      <w:r w:rsidR="00A95B7C" w:rsidRPr="00444A2E">
        <w:rPr>
          <w:rStyle w:val="Emphasis"/>
        </w:rPr>
        <w:t>.</w:t>
      </w:r>
      <w:r w:rsidRPr="00444A2E">
        <w:rPr>
          <w:rStyle w:val="Emphasis"/>
        </w:rPr>
        <w:t xml:space="preserve"> Overall, mobile phone ownership and the digital landscape in ASEAN have implications for the region's amount and protection of intellectual property. The amount of intellectual property does not influence the cost of using intellectual property and vice versa.</w:t>
      </w:r>
    </w:p>
    <w:p w14:paraId="2581FFCC" w14:textId="253183DE" w:rsidR="009D755F" w:rsidRPr="00A50F32" w:rsidRDefault="00EE1365" w:rsidP="00EE1365">
      <w:pPr>
        <w:pStyle w:val="Heading2"/>
      </w:pPr>
      <w:r>
        <w:t>COINTEGRATION TEST</w:t>
      </w:r>
    </w:p>
    <w:p w14:paraId="4EE6ABAC" w14:textId="64D93286" w:rsidR="00373F31" w:rsidRDefault="009D755F" w:rsidP="00EE1365">
      <w:pPr>
        <w:autoSpaceDE w:val="0"/>
        <w:autoSpaceDN w:val="0"/>
        <w:adjustRightInd w:val="0"/>
        <w:ind w:firstLine="284"/>
        <w:jc w:val="both"/>
        <w:rPr>
          <w:rStyle w:val="Emphasis"/>
        </w:rPr>
      </w:pPr>
      <w:r w:rsidRPr="00444A2E">
        <w:rPr>
          <w:rStyle w:val="Emphasis"/>
        </w:rPr>
        <w:t>To see whether the research between variables can be analyzed in the long term, it can be seen using the cointegration test. The test results found that the probability value from the PP-Statistics Panel and the ADF-Statistics Panel was less than 0.05; thus, it can be concluded that the variables in this study influence the long term</w:t>
      </w:r>
      <w:r w:rsidR="00687007">
        <w:rPr>
          <w:rStyle w:val="Emphasis"/>
        </w:rPr>
        <w:t xml:space="preserve">, see </w:t>
      </w:r>
      <w:r w:rsidR="00687007" w:rsidRPr="00687007">
        <w:rPr>
          <w:rStyle w:val="Emphasis"/>
          <w:b/>
          <w:bCs/>
        </w:rPr>
        <w:t>TABLE 5</w:t>
      </w:r>
      <w:r w:rsidRPr="00444A2E">
        <w:rPr>
          <w:rStyle w:val="Emphasis"/>
        </w:rPr>
        <w:t>.</w:t>
      </w:r>
    </w:p>
    <w:p w14:paraId="1F291246" w14:textId="77777777" w:rsidR="00444A2E" w:rsidRPr="00444A2E" w:rsidRDefault="00444A2E" w:rsidP="00EE1365">
      <w:pPr>
        <w:autoSpaceDE w:val="0"/>
        <w:autoSpaceDN w:val="0"/>
        <w:adjustRightInd w:val="0"/>
        <w:ind w:firstLine="284"/>
        <w:jc w:val="both"/>
        <w:rPr>
          <w:rStyle w:val="Emphasis"/>
        </w:rPr>
      </w:pPr>
    </w:p>
    <w:p w14:paraId="13893EEA" w14:textId="1B3F6837" w:rsidR="009D755F" w:rsidRPr="00EE1365" w:rsidRDefault="00444A2E" w:rsidP="00444A2E">
      <w:pPr>
        <w:pStyle w:val="TableCaption"/>
        <w:rPr>
          <w:b/>
        </w:rPr>
      </w:pPr>
      <w:r w:rsidRPr="00EE1365">
        <w:rPr>
          <w:b/>
          <w:color w:val="030303"/>
          <w:shd w:val="clear" w:color="auto" w:fill="FFFFFF"/>
        </w:rPr>
        <w:t xml:space="preserve">TABLE </w:t>
      </w:r>
      <w:r w:rsidR="009D755F" w:rsidRPr="00EE1365">
        <w:rPr>
          <w:b/>
          <w:color w:val="030303"/>
          <w:shd w:val="clear" w:color="auto" w:fill="FFFFFF"/>
        </w:rPr>
        <w:t>5.</w:t>
      </w:r>
      <w:r w:rsidR="00EE1365">
        <w:rPr>
          <w:b/>
          <w:color w:val="030303"/>
          <w:shd w:val="clear" w:color="auto" w:fill="FFFFFF"/>
        </w:rPr>
        <w:t xml:space="preserve"> </w:t>
      </w:r>
      <w:r w:rsidR="009D755F" w:rsidRPr="00EE1365">
        <w:t>Pedroni Residual Cointegration Test</w:t>
      </w:r>
    </w:p>
    <w:tbl>
      <w:tblPr>
        <w:tblW w:w="9042"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20"/>
        <w:gridCol w:w="750"/>
        <w:gridCol w:w="1050"/>
        <w:gridCol w:w="1050"/>
        <w:gridCol w:w="1050"/>
        <w:gridCol w:w="3822"/>
      </w:tblGrid>
      <w:tr w:rsidR="009D755F" w:rsidRPr="00A50F32" w14:paraId="3BE078F6" w14:textId="77777777" w:rsidTr="00EE1365">
        <w:trPr>
          <w:trHeight w:val="220"/>
        </w:trPr>
        <w:tc>
          <w:tcPr>
            <w:tcW w:w="9042" w:type="dxa"/>
            <w:gridSpan w:val="6"/>
            <w:vAlign w:val="center"/>
          </w:tcPr>
          <w:p w14:paraId="5BE6AF50" w14:textId="77777777" w:rsidR="009D755F" w:rsidRPr="00A50F32" w:rsidRDefault="009D755F" w:rsidP="00EE1365">
            <w:pPr>
              <w:autoSpaceDE w:val="0"/>
              <w:autoSpaceDN w:val="0"/>
              <w:adjustRightInd w:val="0"/>
              <w:jc w:val="center"/>
              <w:rPr>
                <w:color w:val="000000"/>
                <w:sz w:val="20"/>
              </w:rPr>
            </w:pPr>
            <w:r w:rsidRPr="00A50F32">
              <w:rPr>
                <w:color w:val="000000"/>
                <w:sz w:val="20"/>
              </w:rPr>
              <w:t>Alternative hypothesis: common AR chefs. (within-dimension)</w:t>
            </w:r>
          </w:p>
        </w:tc>
      </w:tr>
      <w:tr w:rsidR="00EE1365" w:rsidRPr="00A50F32" w14:paraId="65D5EBE6" w14:textId="77777777" w:rsidTr="00EE1365">
        <w:trPr>
          <w:trHeight w:val="220"/>
        </w:trPr>
        <w:tc>
          <w:tcPr>
            <w:tcW w:w="2070" w:type="dxa"/>
            <w:gridSpan w:val="2"/>
            <w:vMerge w:val="restart"/>
            <w:vAlign w:val="bottom"/>
          </w:tcPr>
          <w:p w14:paraId="22D96245" w14:textId="77777777" w:rsidR="00EE1365" w:rsidRPr="00A50F32" w:rsidRDefault="00EE1365" w:rsidP="00F647C8">
            <w:pPr>
              <w:autoSpaceDE w:val="0"/>
              <w:autoSpaceDN w:val="0"/>
              <w:adjustRightInd w:val="0"/>
              <w:jc w:val="center"/>
              <w:rPr>
                <w:color w:val="000000"/>
                <w:sz w:val="20"/>
              </w:rPr>
            </w:pPr>
          </w:p>
        </w:tc>
        <w:tc>
          <w:tcPr>
            <w:tcW w:w="1050" w:type="dxa"/>
            <w:vMerge w:val="restart"/>
            <w:vAlign w:val="center"/>
          </w:tcPr>
          <w:p w14:paraId="089BBDDF" w14:textId="50025205" w:rsidR="00EE1365" w:rsidRPr="00A50F32" w:rsidRDefault="00EE1365" w:rsidP="00EE1365">
            <w:pPr>
              <w:autoSpaceDE w:val="0"/>
              <w:autoSpaceDN w:val="0"/>
              <w:adjustRightInd w:val="0"/>
              <w:jc w:val="center"/>
              <w:rPr>
                <w:color w:val="000000"/>
                <w:sz w:val="20"/>
              </w:rPr>
            </w:pPr>
            <w:r w:rsidRPr="00A50F32">
              <w:rPr>
                <w:color w:val="000000"/>
                <w:sz w:val="20"/>
              </w:rPr>
              <w:t>Statistic</w:t>
            </w:r>
          </w:p>
        </w:tc>
        <w:tc>
          <w:tcPr>
            <w:tcW w:w="1050" w:type="dxa"/>
            <w:vMerge w:val="restart"/>
            <w:vAlign w:val="center"/>
          </w:tcPr>
          <w:p w14:paraId="59CFCE74" w14:textId="6BD01D57" w:rsidR="00EE1365" w:rsidRPr="00A50F32" w:rsidRDefault="00EE1365" w:rsidP="00EE1365">
            <w:pPr>
              <w:autoSpaceDE w:val="0"/>
              <w:autoSpaceDN w:val="0"/>
              <w:adjustRightInd w:val="0"/>
              <w:jc w:val="center"/>
              <w:rPr>
                <w:color w:val="000000"/>
                <w:sz w:val="20"/>
              </w:rPr>
            </w:pPr>
            <w:r w:rsidRPr="00A50F32">
              <w:rPr>
                <w:color w:val="000000"/>
                <w:sz w:val="20"/>
              </w:rPr>
              <w:t>Prob.</w:t>
            </w:r>
          </w:p>
        </w:tc>
        <w:tc>
          <w:tcPr>
            <w:tcW w:w="4872" w:type="dxa"/>
            <w:gridSpan w:val="2"/>
            <w:vAlign w:val="center"/>
          </w:tcPr>
          <w:p w14:paraId="1716EEDA" w14:textId="2A2EB793" w:rsidR="00EE1365" w:rsidRPr="00A50F32" w:rsidRDefault="00EE1365" w:rsidP="00EE1365">
            <w:pPr>
              <w:autoSpaceDE w:val="0"/>
              <w:autoSpaceDN w:val="0"/>
              <w:adjustRightInd w:val="0"/>
              <w:jc w:val="center"/>
              <w:rPr>
                <w:color w:val="000000"/>
                <w:sz w:val="20"/>
              </w:rPr>
            </w:pPr>
            <w:r w:rsidRPr="00A50F32">
              <w:rPr>
                <w:color w:val="000000"/>
                <w:sz w:val="20"/>
              </w:rPr>
              <w:t>Weighted</w:t>
            </w:r>
          </w:p>
        </w:tc>
      </w:tr>
      <w:tr w:rsidR="00EE1365" w:rsidRPr="00A50F32" w14:paraId="781719AD" w14:textId="77777777" w:rsidTr="00F647C8">
        <w:trPr>
          <w:trHeight w:val="220"/>
        </w:trPr>
        <w:tc>
          <w:tcPr>
            <w:tcW w:w="2070" w:type="dxa"/>
            <w:gridSpan w:val="2"/>
            <w:vMerge/>
            <w:vAlign w:val="bottom"/>
          </w:tcPr>
          <w:p w14:paraId="3A53BE07" w14:textId="77777777" w:rsidR="00EE1365" w:rsidRPr="00A50F32" w:rsidRDefault="00EE1365" w:rsidP="00F647C8">
            <w:pPr>
              <w:autoSpaceDE w:val="0"/>
              <w:autoSpaceDN w:val="0"/>
              <w:adjustRightInd w:val="0"/>
              <w:jc w:val="center"/>
              <w:rPr>
                <w:color w:val="000000"/>
                <w:sz w:val="20"/>
              </w:rPr>
            </w:pPr>
          </w:p>
        </w:tc>
        <w:tc>
          <w:tcPr>
            <w:tcW w:w="1050" w:type="dxa"/>
            <w:vMerge/>
            <w:vAlign w:val="bottom"/>
          </w:tcPr>
          <w:p w14:paraId="39ADE1D1" w14:textId="1C38F456" w:rsidR="00EE1365" w:rsidRPr="00A50F32" w:rsidRDefault="00EE1365" w:rsidP="00F647C8">
            <w:pPr>
              <w:autoSpaceDE w:val="0"/>
              <w:autoSpaceDN w:val="0"/>
              <w:adjustRightInd w:val="0"/>
              <w:jc w:val="center"/>
              <w:rPr>
                <w:color w:val="000000"/>
                <w:sz w:val="20"/>
              </w:rPr>
            </w:pPr>
          </w:p>
        </w:tc>
        <w:tc>
          <w:tcPr>
            <w:tcW w:w="1050" w:type="dxa"/>
            <w:vMerge/>
            <w:vAlign w:val="bottom"/>
          </w:tcPr>
          <w:p w14:paraId="5EBCEF82" w14:textId="1E48D996" w:rsidR="00EE1365" w:rsidRPr="00A50F32" w:rsidRDefault="00EE1365" w:rsidP="00F647C8">
            <w:pPr>
              <w:autoSpaceDE w:val="0"/>
              <w:autoSpaceDN w:val="0"/>
              <w:adjustRightInd w:val="0"/>
              <w:jc w:val="center"/>
              <w:rPr>
                <w:color w:val="000000"/>
                <w:sz w:val="20"/>
              </w:rPr>
            </w:pPr>
          </w:p>
        </w:tc>
        <w:tc>
          <w:tcPr>
            <w:tcW w:w="1050" w:type="dxa"/>
            <w:vAlign w:val="bottom"/>
          </w:tcPr>
          <w:p w14:paraId="113D2D3D" w14:textId="77777777" w:rsidR="00EE1365" w:rsidRPr="00A50F32" w:rsidRDefault="00EE1365" w:rsidP="00F647C8">
            <w:pPr>
              <w:autoSpaceDE w:val="0"/>
              <w:autoSpaceDN w:val="0"/>
              <w:adjustRightInd w:val="0"/>
              <w:jc w:val="center"/>
              <w:rPr>
                <w:color w:val="000000"/>
                <w:sz w:val="20"/>
              </w:rPr>
            </w:pPr>
            <w:r w:rsidRPr="00A50F32">
              <w:rPr>
                <w:color w:val="000000"/>
                <w:sz w:val="20"/>
              </w:rPr>
              <w:t>Statistic</w:t>
            </w:r>
          </w:p>
        </w:tc>
        <w:tc>
          <w:tcPr>
            <w:tcW w:w="3822" w:type="dxa"/>
            <w:vAlign w:val="bottom"/>
          </w:tcPr>
          <w:p w14:paraId="72FD3CEC" w14:textId="77777777" w:rsidR="00EE1365" w:rsidRPr="00A50F32" w:rsidRDefault="00EE1365" w:rsidP="00F647C8">
            <w:pPr>
              <w:autoSpaceDE w:val="0"/>
              <w:autoSpaceDN w:val="0"/>
              <w:adjustRightInd w:val="0"/>
              <w:jc w:val="center"/>
              <w:rPr>
                <w:color w:val="000000"/>
                <w:sz w:val="20"/>
              </w:rPr>
            </w:pPr>
            <w:r w:rsidRPr="00A50F32">
              <w:rPr>
                <w:color w:val="000000"/>
                <w:sz w:val="20"/>
              </w:rPr>
              <w:t>Prob.</w:t>
            </w:r>
          </w:p>
        </w:tc>
      </w:tr>
      <w:tr w:rsidR="009D755F" w:rsidRPr="00A50F32" w14:paraId="04AF9C5A" w14:textId="77777777" w:rsidTr="00EE1365">
        <w:trPr>
          <w:trHeight w:val="220"/>
        </w:trPr>
        <w:tc>
          <w:tcPr>
            <w:tcW w:w="2070" w:type="dxa"/>
            <w:gridSpan w:val="2"/>
            <w:vAlign w:val="bottom"/>
          </w:tcPr>
          <w:p w14:paraId="2940EA13" w14:textId="77777777" w:rsidR="009D755F" w:rsidRPr="00A50F32" w:rsidRDefault="009D755F" w:rsidP="00F647C8">
            <w:pPr>
              <w:autoSpaceDE w:val="0"/>
              <w:autoSpaceDN w:val="0"/>
              <w:adjustRightInd w:val="0"/>
              <w:rPr>
                <w:color w:val="000000"/>
                <w:sz w:val="20"/>
              </w:rPr>
            </w:pPr>
            <w:r w:rsidRPr="00A50F32">
              <w:rPr>
                <w:color w:val="000000"/>
                <w:sz w:val="20"/>
              </w:rPr>
              <w:t>Panel v-Statistic</w:t>
            </w:r>
          </w:p>
        </w:tc>
        <w:tc>
          <w:tcPr>
            <w:tcW w:w="1050" w:type="dxa"/>
            <w:vAlign w:val="bottom"/>
          </w:tcPr>
          <w:p w14:paraId="3A60A7DB" w14:textId="77777777" w:rsidR="009D755F" w:rsidRPr="00A50F32" w:rsidRDefault="009D755F" w:rsidP="00F647C8">
            <w:pPr>
              <w:autoSpaceDE w:val="0"/>
              <w:autoSpaceDN w:val="0"/>
              <w:adjustRightInd w:val="0"/>
              <w:jc w:val="center"/>
              <w:rPr>
                <w:color w:val="000000"/>
                <w:sz w:val="20"/>
              </w:rPr>
            </w:pPr>
            <w:r w:rsidRPr="00A50F32">
              <w:rPr>
                <w:color w:val="000000"/>
                <w:sz w:val="20"/>
              </w:rPr>
              <w:t> 1.004919</w:t>
            </w:r>
          </w:p>
        </w:tc>
        <w:tc>
          <w:tcPr>
            <w:tcW w:w="1050" w:type="dxa"/>
            <w:vAlign w:val="bottom"/>
          </w:tcPr>
          <w:p w14:paraId="291444F1" w14:textId="77777777" w:rsidR="009D755F" w:rsidRPr="00A50F32" w:rsidRDefault="009D755F" w:rsidP="00F647C8">
            <w:pPr>
              <w:autoSpaceDE w:val="0"/>
              <w:autoSpaceDN w:val="0"/>
              <w:adjustRightInd w:val="0"/>
              <w:jc w:val="center"/>
              <w:rPr>
                <w:color w:val="000000"/>
                <w:sz w:val="20"/>
              </w:rPr>
            </w:pPr>
            <w:r w:rsidRPr="00A50F32">
              <w:rPr>
                <w:color w:val="000000"/>
                <w:sz w:val="20"/>
              </w:rPr>
              <w:t> 0.1575</w:t>
            </w:r>
          </w:p>
        </w:tc>
        <w:tc>
          <w:tcPr>
            <w:tcW w:w="1050" w:type="dxa"/>
            <w:vAlign w:val="bottom"/>
          </w:tcPr>
          <w:p w14:paraId="09A596DD" w14:textId="77777777" w:rsidR="009D755F" w:rsidRPr="00A50F32" w:rsidRDefault="009D755F" w:rsidP="00F647C8">
            <w:pPr>
              <w:autoSpaceDE w:val="0"/>
              <w:autoSpaceDN w:val="0"/>
              <w:adjustRightInd w:val="0"/>
              <w:jc w:val="center"/>
              <w:rPr>
                <w:color w:val="000000"/>
                <w:sz w:val="20"/>
              </w:rPr>
            </w:pPr>
            <w:r w:rsidRPr="00A50F32">
              <w:rPr>
                <w:color w:val="000000"/>
                <w:sz w:val="20"/>
              </w:rPr>
              <w:t>-0.757011</w:t>
            </w:r>
          </w:p>
        </w:tc>
        <w:tc>
          <w:tcPr>
            <w:tcW w:w="3822" w:type="dxa"/>
            <w:vAlign w:val="bottom"/>
          </w:tcPr>
          <w:p w14:paraId="30995070" w14:textId="77777777" w:rsidR="009D755F" w:rsidRPr="00A50F32" w:rsidRDefault="009D755F" w:rsidP="00F647C8">
            <w:pPr>
              <w:autoSpaceDE w:val="0"/>
              <w:autoSpaceDN w:val="0"/>
              <w:adjustRightInd w:val="0"/>
              <w:jc w:val="center"/>
              <w:rPr>
                <w:color w:val="000000"/>
                <w:sz w:val="20"/>
              </w:rPr>
            </w:pPr>
            <w:r w:rsidRPr="00A50F32">
              <w:rPr>
                <w:color w:val="000000"/>
                <w:sz w:val="20"/>
              </w:rPr>
              <w:t> 0.7755</w:t>
            </w:r>
          </w:p>
        </w:tc>
      </w:tr>
      <w:tr w:rsidR="009D755F" w:rsidRPr="00A50F32" w14:paraId="662DF9B5" w14:textId="77777777" w:rsidTr="00EE1365">
        <w:trPr>
          <w:trHeight w:val="220"/>
        </w:trPr>
        <w:tc>
          <w:tcPr>
            <w:tcW w:w="2070" w:type="dxa"/>
            <w:gridSpan w:val="2"/>
            <w:vAlign w:val="bottom"/>
          </w:tcPr>
          <w:p w14:paraId="600DDCFE" w14:textId="77777777" w:rsidR="009D755F" w:rsidRPr="00A50F32" w:rsidRDefault="009D755F" w:rsidP="00F647C8">
            <w:pPr>
              <w:autoSpaceDE w:val="0"/>
              <w:autoSpaceDN w:val="0"/>
              <w:adjustRightInd w:val="0"/>
              <w:rPr>
                <w:color w:val="000000"/>
                <w:sz w:val="20"/>
              </w:rPr>
            </w:pPr>
            <w:r w:rsidRPr="00A50F32">
              <w:rPr>
                <w:color w:val="000000"/>
                <w:sz w:val="20"/>
              </w:rPr>
              <w:t>Panel rho-Statistic</w:t>
            </w:r>
          </w:p>
        </w:tc>
        <w:tc>
          <w:tcPr>
            <w:tcW w:w="1050" w:type="dxa"/>
            <w:vAlign w:val="bottom"/>
          </w:tcPr>
          <w:p w14:paraId="0EE3F43D" w14:textId="77777777" w:rsidR="009D755F" w:rsidRPr="00A50F32" w:rsidRDefault="009D755F" w:rsidP="00F647C8">
            <w:pPr>
              <w:autoSpaceDE w:val="0"/>
              <w:autoSpaceDN w:val="0"/>
              <w:adjustRightInd w:val="0"/>
              <w:jc w:val="center"/>
              <w:rPr>
                <w:color w:val="000000"/>
                <w:sz w:val="20"/>
              </w:rPr>
            </w:pPr>
            <w:r w:rsidRPr="00A50F32">
              <w:rPr>
                <w:color w:val="000000"/>
                <w:sz w:val="20"/>
              </w:rPr>
              <w:t> 0.243344</w:t>
            </w:r>
          </w:p>
        </w:tc>
        <w:tc>
          <w:tcPr>
            <w:tcW w:w="1050" w:type="dxa"/>
            <w:vAlign w:val="bottom"/>
          </w:tcPr>
          <w:p w14:paraId="5A1D7437" w14:textId="77777777" w:rsidR="009D755F" w:rsidRPr="00A50F32" w:rsidRDefault="009D755F" w:rsidP="00F647C8">
            <w:pPr>
              <w:autoSpaceDE w:val="0"/>
              <w:autoSpaceDN w:val="0"/>
              <w:adjustRightInd w:val="0"/>
              <w:jc w:val="center"/>
              <w:rPr>
                <w:color w:val="000000"/>
                <w:sz w:val="20"/>
              </w:rPr>
            </w:pPr>
            <w:r w:rsidRPr="00A50F32">
              <w:rPr>
                <w:color w:val="000000"/>
                <w:sz w:val="20"/>
              </w:rPr>
              <w:t> 0.5961</w:t>
            </w:r>
          </w:p>
        </w:tc>
        <w:tc>
          <w:tcPr>
            <w:tcW w:w="1050" w:type="dxa"/>
            <w:vAlign w:val="bottom"/>
          </w:tcPr>
          <w:p w14:paraId="37005AB1" w14:textId="77777777" w:rsidR="009D755F" w:rsidRPr="00A50F32" w:rsidRDefault="009D755F" w:rsidP="00F647C8">
            <w:pPr>
              <w:autoSpaceDE w:val="0"/>
              <w:autoSpaceDN w:val="0"/>
              <w:adjustRightInd w:val="0"/>
              <w:jc w:val="center"/>
              <w:rPr>
                <w:color w:val="000000"/>
                <w:sz w:val="20"/>
              </w:rPr>
            </w:pPr>
            <w:r w:rsidRPr="00A50F32">
              <w:rPr>
                <w:color w:val="000000"/>
                <w:sz w:val="20"/>
              </w:rPr>
              <w:t> 0.312160</w:t>
            </w:r>
          </w:p>
        </w:tc>
        <w:tc>
          <w:tcPr>
            <w:tcW w:w="3822" w:type="dxa"/>
            <w:vAlign w:val="bottom"/>
          </w:tcPr>
          <w:p w14:paraId="23A403AE" w14:textId="77777777" w:rsidR="009D755F" w:rsidRPr="00A50F32" w:rsidRDefault="009D755F" w:rsidP="00F647C8">
            <w:pPr>
              <w:autoSpaceDE w:val="0"/>
              <w:autoSpaceDN w:val="0"/>
              <w:adjustRightInd w:val="0"/>
              <w:jc w:val="center"/>
              <w:rPr>
                <w:color w:val="000000"/>
                <w:sz w:val="20"/>
              </w:rPr>
            </w:pPr>
            <w:r w:rsidRPr="00A50F32">
              <w:rPr>
                <w:color w:val="000000"/>
                <w:sz w:val="20"/>
              </w:rPr>
              <w:t> 0.6225</w:t>
            </w:r>
          </w:p>
        </w:tc>
      </w:tr>
      <w:tr w:rsidR="009D755F" w:rsidRPr="00A50F32" w14:paraId="27304813" w14:textId="77777777" w:rsidTr="00EE1365">
        <w:trPr>
          <w:trHeight w:val="220"/>
        </w:trPr>
        <w:tc>
          <w:tcPr>
            <w:tcW w:w="2070" w:type="dxa"/>
            <w:gridSpan w:val="2"/>
            <w:vAlign w:val="bottom"/>
          </w:tcPr>
          <w:p w14:paraId="0CD18A3F" w14:textId="77777777" w:rsidR="009D755F" w:rsidRPr="00A50F32" w:rsidRDefault="009D755F" w:rsidP="00F647C8">
            <w:pPr>
              <w:autoSpaceDE w:val="0"/>
              <w:autoSpaceDN w:val="0"/>
              <w:adjustRightInd w:val="0"/>
              <w:rPr>
                <w:color w:val="000000"/>
                <w:sz w:val="20"/>
              </w:rPr>
            </w:pPr>
            <w:r w:rsidRPr="00A50F32">
              <w:rPr>
                <w:color w:val="000000"/>
                <w:sz w:val="20"/>
              </w:rPr>
              <w:t>Panel PP-Statistic</w:t>
            </w:r>
          </w:p>
        </w:tc>
        <w:tc>
          <w:tcPr>
            <w:tcW w:w="1050" w:type="dxa"/>
            <w:vAlign w:val="bottom"/>
          </w:tcPr>
          <w:p w14:paraId="5DB13F2B" w14:textId="77777777" w:rsidR="009D755F" w:rsidRPr="00A50F32" w:rsidRDefault="009D755F" w:rsidP="00F647C8">
            <w:pPr>
              <w:autoSpaceDE w:val="0"/>
              <w:autoSpaceDN w:val="0"/>
              <w:adjustRightInd w:val="0"/>
              <w:jc w:val="center"/>
              <w:rPr>
                <w:color w:val="000000"/>
                <w:sz w:val="20"/>
              </w:rPr>
            </w:pPr>
            <w:r w:rsidRPr="00A50F32">
              <w:rPr>
                <w:color w:val="000000"/>
                <w:sz w:val="20"/>
              </w:rPr>
              <w:t>-7.276848</w:t>
            </w:r>
          </w:p>
        </w:tc>
        <w:tc>
          <w:tcPr>
            <w:tcW w:w="1050" w:type="dxa"/>
            <w:vAlign w:val="bottom"/>
          </w:tcPr>
          <w:p w14:paraId="73D13BDF" w14:textId="77777777" w:rsidR="009D755F" w:rsidRPr="00A50F32" w:rsidRDefault="009D755F" w:rsidP="00F647C8">
            <w:pPr>
              <w:autoSpaceDE w:val="0"/>
              <w:autoSpaceDN w:val="0"/>
              <w:adjustRightInd w:val="0"/>
              <w:jc w:val="center"/>
              <w:rPr>
                <w:color w:val="000000"/>
                <w:sz w:val="20"/>
              </w:rPr>
            </w:pPr>
            <w:r w:rsidRPr="00A50F32">
              <w:rPr>
                <w:color w:val="000000"/>
                <w:sz w:val="20"/>
              </w:rPr>
              <w:t> 0.0000</w:t>
            </w:r>
          </w:p>
        </w:tc>
        <w:tc>
          <w:tcPr>
            <w:tcW w:w="1050" w:type="dxa"/>
            <w:vAlign w:val="bottom"/>
          </w:tcPr>
          <w:p w14:paraId="3CF2BF64" w14:textId="77777777" w:rsidR="009D755F" w:rsidRPr="00A50F32" w:rsidRDefault="009D755F" w:rsidP="00F647C8">
            <w:pPr>
              <w:autoSpaceDE w:val="0"/>
              <w:autoSpaceDN w:val="0"/>
              <w:adjustRightInd w:val="0"/>
              <w:jc w:val="center"/>
              <w:rPr>
                <w:color w:val="000000"/>
                <w:sz w:val="20"/>
              </w:rPr>
            </w:pPr>
            <w:r w:rsidRPr="00A50F32">
              <w:rPr>
                <w:color w:val="000000"/>
                <w:sz w:val="20"/>
              </w:rPr>
              <w:t>-9.657645</w:t>
            </w:r>
          </w:p>
        </w:tc>
        <w:tc>
          <w:tcPr>
            <w:tcW w:w="3822" w:type="dxa"/>
            <w:vAlign w:val="bottom"/>
          </w:tcPr>
          <w:p w14:paraId="47A53007" w14:textId="77777777" w:rsidR="009D755F" w:rsidRPr="00A50F32" w:rsidRDefault="009D755F" w:rsidP="00F647C8">
            <w:pPr>
              <w:autoSpaceDE w:val="0"/>
              <w:autoSpaceDN w:val="0"/>
              <w:adjustRightInd w:val="0"/>
              <w:jc w:val="center"/>
              <w:rPr>
                <w:color w:val="000000"/>
                <w:sz w:val="20"/>
              </w:rPr>
            </w:pPr>
            <w:r w:rsidRPr="00A50F32">
              <w:rPr>
                <w:color w:val="000000"/>
                <w:sz w:val="20"/>
              </w:rPr>
              <w:t> 0.0000</w:t>
            </w:r>
          </w:p>
        </w:tc>
      </w:tr>
      <w:tr w:rsidR="009D755F" w:rsidRPr="00A50F32" w14:paraId="289AB6C0" w14:textId="77777777" w:rsidTr="00EE1365">
        <w:trPr>
          <w:trHeight w:val="220"/>
        </w:trPr>
        <w:tc>
          <w:tcPr>
            <w:tcW w:w="2070" w:type="dxa"/>
            <w:gridSpan w:val="2"/>
            <w:vAlign w:val="bottom"/>
          </w:tcPr>
          <w:p w14:paraId="0249B7FB" w14:textId="77777777" w:rsidR="009D755F" w:rsidRPr="00A50F32" w:rsidRDefault="009D755F" w:rsidP="00F647C8">
            <w:pPr>
              <w:autoSpaceDE w:val="0"/>
              <w:autoSpaceDN w:val="0"/>
              <w:adjustRightInd w:val="0"/>
              <w:rPr>
                <w:color w:val="000000"/>
                <w:sz w:val="20"/>
              </w:rPr>
            </w:pPr>
            <w:r w:rsidRPr="00A50F32">
              <w:rPr>
                <w:color w:val="000000"/>
                <w:sz w:val="20"/>
              </w:rPr>
              <w:t>Panel ADF-Statistic</w:t>
            </w:r>
          </w:p>
        </w:tc>
        <w:tc>
          <w:tcPr>
            <w:tcW w:w="1050" w:type="dxa"/>
            <w:vAlign w:val="bottom"/>
          </w:tcPr>
          <w:p w14:paraId="6123B8B3" w14:textId="77777777" w:rsidR="009D755F" w:rsidRPr="00A50F32" w:rsidRDefault="009D755F" w:rsidP="00F647C8">
            <w:pPr>
              <w:autoSpaceDE w:val="0"/>
              <w:autoSpaceDN w:val="0"/>
              <w:adjustRightInd w:val="0"/>
              <w:jc w:val="center"/>
              <w:rPr>
                <w:color w:val="000000"/>
                <w:sz w:val="20"/>
              </w:rPr>
            </w:pPr>
            <w:r w:rsidRPr="00A50F32">
              <w:rPr>
                <w:color w:val="000000"/>
                <w:sz w:val="20"/>
              </w:rPr>
              <w:t>-5.976187</w:t>
            </w:r>
          </w:p>
        </w:tc>
        <w:tc>
          <w:tcPr>
            <w:tcW w:w="1050" w:type="dxa"/>
            <w:vAlign w:val="bottom"/>
          </w:tcPr>
          <w:p w14:paraId="3271A4CA" w14:textId="77777777" w:rsidR="009D755F" w:rsidRPr="00A50F32" w:rsidRDefault="009D755F" w:rsidP="00F647C8">
            <w:pPr>
              <w:autoSpaceDE w:val="0"/>
              <w:autoSpaceDN w:val="0"/>
              <w:adjustRightInd w:val="0"/>
              <w:jc w:val="center"/>
              <w:rPr>
                <w:color w:val="000000"/>
                <w:sz w:val="20"/>
              </w:rPr>
            </w:pPr>
            <w:r w:rsidRPr="00A50F32">
              <w:rPr>
                <w:color w:val="000000"/>
                <w:sz w:val="20"/>
              </w:rPr>
              <w:t> 0.0000</w:t>
            </w:r>
          </w:p>
        </w:tc>
        <w:tc>
          <w:tcPr>
            <w:tcW w:w="1050" w:type="dxa"/>
            <w:vAlign w:val="bottom"/>
          </w:tcPr>
          <w:p w14:paraId="4CCBAA3B" w14:textId="77777777" w:rsidR="009D755F" w:rsidRPr="00A50F32" w:rsidRDefault="009D755F" w:rsidP="00F647C8">
            <w:pPr>
              <w:autoSpaceDE w:val="0"/>
              <w:autoSpaceDN w:val="0"/>
              <w:adjustRightInd w:val="0"/>
              <w:jc w:val="center"/>
              <w:rPr>
                <w:color w:val="000000"/>
                <w:sz w:val="20"/>
              </w:rPr>
            </w:pPr>
            <w:r w:rsidRPr="00A50F32">
              <w:rPr>
                <w:color w:val="000000"/>
                <w:sz w:val="20"/>
              </w:rPr>
              <w:t>-6.452484</w:t>
            </w:r>
          </w:p>
        </w:tc>
        <w:tc>
          <w:tcPr>
            <w:tcW w:w="3822" w:type="dxa"/>
            <w:vAlign w:val="bottom"/>
          </w:tcPr>
          <w:p w14:paraId="3C4E72E6" w14:textId="77777777" w:rsidR="009D755F" w:rsidRPr="00A50F32" w:rsidRDefault="009D755F" w:rsidP="00F647C8">
            <w:pPr>
              <w:autoSpaceDE w:val="0"/>
              <w:autoSpaceDN w:val="0"/>
              <w:adjustRightInd w:val="0"/>
              <w:jc w:val="center"/>
              <w:rPr>
                <w:color w:val="000000"/>
                <w:sz w:val="20"/>
              </w:rPr>
            </w:pPr>
            <w:r w:rsidRPr="00A50F32">
              <w:rPr>
                <w:color w:val="000000"/>
                <w:sz w:val="20"/>
              </w:rPr>
              <w:t> 0.0000</w:t>
            </w:r>
          </w:p>
        </w:tc>
      </w:tr>
      <w:tr w:rsidR="009D755F" w:rsidRPr="00A50F32" w14:paraId="47CB4784" w14:textId="77777777" w:rsidTr="00EE1365">
        <w:trPr>
          <w:trHeight w:val="220"/>
        </w:trPr>
        <w:tc>
          <w:tcPr>
            <w:tcW w:w="9042" w:type="dxa"/>
            <w:gridSpan w:val="6"/>
            <w:vAlign w:val="center"/>
          </w:tcPr>
          <w:p w14:paraId="00152F7C" w14:textId="77777777" w:rsidR="009D755F" w:rsidRPr="00A50F32" w:rsidRDefault="009D755F" w:rsidP="00EE1365">
            <w:pPr>
              <w:autoSpaceDE w:val="0"/>
              <w:autoSpaceDN w:val="0"/>
              <w:adjustRightInd w:val="0"/>
              <w:jc w:val="center"/>
              <w:rPr>
                <w:color w:val="000000"/>
                <w:sz w:val="20"/>
              </w:rPr>
            </w:pPr>
            <w:r w:rsidRPr="00A50F32">
              <w:rPr>
                <w:color w:val="000000"/>
                <w:sz w:val="20"/>
              </w:rPr>
              <w:t>Alternative hypothesis: individual AR chefs. (between-dimension)</w:t>
            </w:r>
          </w:p>
        </w:tc>
      </w:tr>
      <w:tr w:rsidR="00EE1365" w:rsidRPr="00A50F32" w14:paraId="020276A6" w14:textId="77777777" w:rsidTr="00F647C8">
        <w:trPr>
          <w:trHeight w:val="220"/>
        </w:trPr>
        <w:tc>
          <w:tcPr>
            <w:tcW w:w="2070" w:type="dxa"/>
            <w:gridSpan w:val="2"/>
            <w:vAlign w:val="bottom"/>
          </w:tcPr>
          <w:p w14:paraId="5AEA422D" w14:textId="77777777" w:rsidR="00EE1365" w:rsidRPr="00A50F32" w:rsidRDefault="00EE1365" w:rsidP="00F647C8">
            <w:pPr>
              <w:autoSpaceDE w:val="0"/>
              <w:autoSpaceDN w:val="0"/>
              <w:adjustRightInd w:val="0"/>
              <w:jc w:val="center"/>
              <w:rPr>
                <w:color w:val="000000"/>
                <w:sz w:val="20"/>
              </w:rPr>
            </w:pPr>
          </w:p>
        </w:tc>
        <w:tc>
          <w:tcPr>
            <w:tcW w:w="1050" w:type="dxa"/>
            <w:vAlign w:val="bottom"/>
          </w:tcPr>
          <w:p w14:paraId="67F9915C" w14:textId="77777777" w:rsidR="00EE1365" w:rsidRPr="00A50F32" w:rsidRDefault="00EE1365" w:rsidP="00F647C8">
            <w:pPr>
              <w:autoSpaceDE w:val="0"/>
              <w:autoSpaceDN w:val="0"/>
              <w:adjustRightInd w:val="0"/>
              <w:jc w:val="center"/>
              <w:rPr>
                <w:color w:val="000000"/>
                <w:sz w:val="20"/>
              </w:rPr>
            </w:pPr>
            <w:r w:rsidRPr="00A50F32">
              <w:rPr>
                <w:color w:val="000000"/>
                <w:sz w:val="20"/>
              </w:rPr>
              <w:t>Statistic</w:t>
            </w:r>
          </w:p>
        </w:tc>
        <w:tc>
          <w:tcPr>
            <w:tcW w:w="1050" w:type="dxa"/>
            <w:vAlign w:val="bottom"/>
          </w:tcPr>
          <w:p w14:paraId="6C4A6E88" w14:textId="77777777" w:rsidR="00EE1365" w:rsidRPr="00A50F32" w:rsidRDefault="00EE1365" w:rsidP="00F647C8">
            <w:pPr>
              <w:autoSpaceDE w:val="0"/>
              <w:autoSpaceDN w:val="0"/>
              <w:adjustRightInd w:val="0"/>
              <w:jc w:val="center"/>
              <w:rPr>
                <w:color w:val="000000"/>
                <w:sz w:val="20"/>
              </w:rPr>
            </w:pPr>
            <w:r w:rsidRPr="00A50F32">
              <w:rPr>
                <w:color w:val="000000"/>
                <w:sz w:val="20"/>
              </w:rPr>
              <w:t>Prob.</w:t>
            </w:r>
          </w:p>
        </w:tc>
        <w:tc>
          <w:tcPr>
            <w:tcW w:w="1050" w:type="dxa"/>
            <w:vAlign w:val="bottom"/>
          </w:tcPr>
          <w:p w14:paraId="7E7F37C3" w14:textId="77777777" w:rsidR="00EE1365" w:rsidRPr="00A50F32" w:rsidRDefault="00EE1365" w:rsidP="00F647C8">
            <w:pPr>
              <w:autoSpaceDE w:val="0"/>
              <w:autoSpaceDN w:val="0"/>
              <w:adjustRightInd w:val="0"/>
              <w:jc w:val="center"/>
              <w:rPr>
                <w:color w:val="000000"/>
                <w:sz w:val="20"/>
              </w:rPr>
            </w:pPr>
          </w:p>
        </w:tc>
        <w:tc>
          <w:tcPr>
            <w:tcW w:w="3822" w:type="dxa"/>
            <w:vAlign w:val="bottom"/>
          </w:tcPr>
          <w:p w14:paraId="718B2474" w14:textId="77777777" w:rsidR="00EE1365" w:rsidRPr="00A50F32" w:rsidRDefault="00EE1365" w:rsidP="00F647C8">
            <w:pPr>
              <w:autoSpaceDE w:val="0"/>
              <w:autoSpaceDN w:val="0"/>
              <w:adjustRightInd w:val="0"/>
              <w:jc w:val="center"/>
              <w:rPr>
                <w:color w:val="000000"/>
                <w:sz w:val="20"/>
              </w:rPr>
            </w:pPr>
          </w:p>
        </w:tc>
      </w:tr>
      <w:tr w:rsidR="009D755F" w:rsidRPr="00A50F32" w14:paraId="2330687C" w14:textId="77777777" w:rsidTr="00EE1365">
        <w:trPr>
          <w:trHeight w:val="220"/>
        </w:trPr>
        <w:tc>
          <w:tcPr>
            <w:tcW w:w="2070" w:type="dxa"/>
            <w:gridSpan w:val="2"/>
            <w:vAlign w:val="bottom"/>
          </w:tcPr>
          <w:p w14:paraId="338E5F33" w14:textId="77777777" w:rsidR="009D755F" w:rsidRPr="00A50F32" w:rsidRDefault="009D755F" w:rsidP="00F647C8">
            <w:pPr>
              <w:autoSpaceDE w:val="0"/>
              <w:autoSpaceDN w:val="0"/>
              <w:adjustRightInd w:val="0"/>
              <w:rPr>
                <w:color w:val="000000"/>
                <w:sz w:val="20"/>
              </w:rPr>
            </w:pPr>
            <w:r w:rsidRPr="00A50F32">
              <w:rPr>
                <w:color w:val="000000"/>
                <w:sz w:val="20"/>
              </w:rPr>
              <w:t>Group rho-Statistic</w:t>
            </w:r>
          </w:p>
        </w:tc>
        <w:tc>
          <w:tcPr>
            <w:tcW w:w="1050" w:type="dxa"/>
            <w:vAlign w:val="bottom"/>
          </w:tcPr>
          <w:p w14:paraId="77E6F766" w14:textId="77777777" w:rsidR="009D755F" w:rsidRPr="00A50F32" w:rsidRDefault="009D755F" w:rsidP="00F647C8">
            <w:pPr>
              <w:autoSpaceDE w:val="0"/>
              <w:autoSpaceDN w:val="0"/>
              <w:adjustRightInd w:val="0"/>
              <w:jc w:val="center"/>
              <w:rPr>
                <w:color w:val="000000"/>
                <w:sz w:val="20"/>
              </w:rPr>
            </w:pPr>
            <w:r w:rsidRPr="00A50F32">
              <w:rPr>
                <w:color w:val="000000"/>
                <w:sz w:val="20"/>
              </w:rPr>
              <w:t> 1.048445</w:t>
            </w:r>
          </w:p>
        </w:tc>
        <w:tc>
          <w:tcPr>
            <w:tcW w:w="1050" w:type="dxa"/>
            <w:vAlign w:val="bottom"/>
          </w:tcPr>
          <w:p w14:paraId="72AE0D05" w14:textId="77777777" w:rsidR="009D755F" w:rsidRPr="00A50F32" w:rsidRDefault="009D755F" w:rsidP="00F647C8">
            <w:pPr>
              <w:autoSpaceDE w:val="0"/>
              <w:autoSpaceDN w:val="0"/>
              <w:adjustRightInd w:val="0"/>
              <w:jc w:val="center"/>
              <w:rPr>
                <w:color w:val="000000"/>
                <w:sz w:val="20"/>
              </w:rPr>
            </w:pPr>
            <w:r w:rsidRPr="00A50F32">
              <w:rPr>
                <w:color w:val="000000"/>
                <w:sz w:val="20"/>
              </w:rPr>
              <w:t> 0.8528</w:t>
            </w:r>
          </w:p>
        </w:tc>
        <w:tc>
          <w:tcPr>
            <w:tcW w:w="1050" w:type="dxa"/>
            <w:vAlign w:val="bottom"/>
          </w:tcPr>
          <w:p w14:paraId="1A367A85" w14:textId="77777777" w:rsidR="009D755F" w:rsidRPr="00A50F32" w:rsidRDefault="009D755F" w:rsidP="00F647C8">
            <w:pPr>
              <w:autoSpaceDE w:val="0"/>
              <w:autoSpaceDN w:val="0"/>
              <w:adjustRightInd w:val="0"/>
              <w:jc w:val="center"/>
              <w:rPr>
                <w:color w:val="000000"/>
                <w:sz w:val="20"/>
              </w:rPr>
            </w:pPr>
          </w:p>
        </w:tc>
        <w:tc>
          <w:tcPr>
            <w:tcW w:w="3822" w:type="dxa"/>
            <w:vAlign w:val="bottom"/>
          </w:tcPr>
          <w:p w14:paraId="370703FA" w14:textId="77777777" w:rsidR="009D755F" w:rsidRPr="00A50F32" w:rsidRDefault="009D755F" w:rsidP="00F647C8">
            <w:pPr>
              <w:autoSpaceDE w:val="0"/>
              <w:autoSpaceDN w:val="0"/>
              <w:adjustRightInd w:val="0"/>
              <w:jc w:val="center"/>
              <w:rPr>
                <w:color w:val="000000"/>
                <w:sz w:val="20"/>
              </w:rPr>
            </w:pPr>
          </w:p>
        </w:tc>
      </w:tr>
      <w:tr w:rsidR="009D755F" w:rsidRPr="00A50F32" w14:paraId="4077B973" w14:textId="77777777" w:rsidTr="00EE1365">
        <w:trPr>
          <w:trHeight w:val="220"/>
        </w:trPr>
        <w:tc>
          <w:tcPr>
            <w:tcW w:w="2070" w:type="dxa"/>
            <w:gridSpan w:val="2"/>
            <w:vAlign w:val="bottom"/>
          </w:tcPr>
          <w:p w14:paraId="13252EA6" w14:textId="77777777" w:rsidR="009D755F" w:rsidRPr="00A50F32" w:rsidRDefault="009D755F" w:rsidP="00F647C8">
            <w:pPr>
              <w:autoSpaceDE w:val="0"/>
              <w:autoSpaceDN w:val="0"/>
              <w:adjustRightInd w:val="0"/>
              <w:rPr>
                <w:color w:val="000000"/>
                <w:sz w:val="20"/>
              </w:rPr>
            </w:pPr>
            <w:r w:rsidRPr="00A50F32">
              <w:rPr>
                <w:color w:val="000000"/>
                <w:sz w:val="20"/>
              </w:rPr>
              <w:t>Group PP-Statistic</w:t>
            </w:r>
          </w:p>
        </w:tc>
        <w:tc>
          <w:tcPr>
            <w:tcW w:w="1050" w:type="dxa"/>
            <w:vAlign w:val="bottom"/>
          </w:tcPr>
          <w:p w14:paraId="147B425E" w14:textId="77777777" w:rsidR="009D755F" w:rsidRPr="00A50F32" w:rsidRDefault="009D755F" w:rsidP="00F647C8">
            <w:pPr>
              <w:autoSpaceDE w:val="0"/>
              <w:autoSpaceDN w:val="0"/>
              <w:adjustRightInd w:val="0"/>
              <w:jc w:val="center"/>
              <w:rPr>
                <w:color w:val="000000"/>
                <w:sz w:val="20"/>
              </w:rPr>
            </w:pPr>
            <w:r w:rsidRPr="00A50F32">
              <w:rPr>
                <w:color w:val="000000"/>
                <w:sz w:val="20"/>
              </w:rPr>
              <w:t>-11.48225</w:t>
            </w:r>
          </w:p>
        </w:tc>
        <w:tc>
          <w:tcPr>
            <w:tcW w:w="1050" w:type="dxa"/>
            <w:vAlign w:val="bottom"/>
          </w:tcPr>
          <w:p w14:paraId="57ADBC21" w14:textId="77777777" w:rsidR="009D755F" w:rsidRPr="00A50F32" w:rsidRDefault="009D755F" w:rsidP="00F647C8">
            <w:pPr>
              <w:autoSpaceDE w:val="0"/>
              <w:autoSpaceDN w:val="0"/>
              <w:adjustRightInd w:val="0"/>
              <w:jc w:val="center"/>
              <w:rPr>
                <w:color w:val="000000"/>
                <w:sz w:val="20"/>
              </w:rPr>
            </w:pPr>
            <w:r w:rsidRPr="00A50F32">
              <w:rPr>
                <w:color w:val="000000"/>
                <w:sz w:val="20"/>
              </w:rPr>
              <w:t> 0.0000</w:t>
            </w:r>
          </w:p>
        </w:tc>
        <w:tc>
          <w:tcPr>
            <w:tcW w:w="1050" w:type="dxa"/>
            <w:vAlign w:val="bottom"/>
          </w:tcPr>
          <w:p w14:paraId="3F172FBB" w14:textId="77777777" w:rsidR="009D755F" w:rsidRPr="00A50F32" w:rsidRDefault="009D755F" w:rsidP="00F647C8">
            <w:pPr>
              <w:autoSpaceDE w:val="0"/>
              <w:autoSpaceDN w:val="0"/>
              <w:adjustRightInd w:val="0"/>
              <w:jc w:val="center"/>
              <w:rPr>
                <w:color w:val="000000"/>
                <w:sz w:val="20"/>
              </w:rPr>
            </w:pPr>
          </w:p>
        </w:tc>
        <w:tc>
          <w:tcPr>
            <w:tcW w:w="3822" w:type="dxa"/>
            <w:vAlign w:val="bottom"/>
          </w:tcPr>
          <w:p w14:paraId="778EE86E" w14:textId="77777777" w:rsidR="009D755F" w:rsidRPr="00A50F32" w:rsidRDefault="009D755F" w:rsidP="00F647C8">
            <w:pPr>
              <w:autoSpaceDE w:val="0"/>
              <w:autoSpaceDN w:val="0"/>
              <w:adjustRightInd w:val="0"/>
              <w:jc w:val="center"/>
              <w:rPr>
                <w:color w:val="000000"/>
                <w:sz w:val="20"/>
              </w:rPr>
            </w:pPr>
          </w:p>
        </w:tc>
      </w:tr>
      <w:tr w:rsidR="009D755F" w:rsidRPr="00A50F32" w14:paraId="566B4405" w14:textId="77777777" w:rsidTr="00EE1365">
        <w:trPr>
          <w:trHeight w:val="220"/>
        </w:trPr>
        <w:tc>
          <w:tcPr>
            <w:tcW w:w="2070" w:type="dxa"/>
            <w:gridSpan w:val="2"/>
            <w:vAlign w:val="bottom"/>
          </w:tcPr>
          <w:p w14:paraId="4C12436C" w14:textId="77777777" w:rsidR="009D755F" w:rsidRPr="00A50F32" w:rsidRDefault="009D755F" w:rsidP="00F647C8">
            <w:pPr>
              <w:autoSpaceDE w:val="0"/>
              <w:autoSpaceDN w:val="0"/>
              <w:adjustRightInd w:val="0"/>
              <w:rPr>
                <w:color w:val="000000"/>
                <w:sz w:val="20"/>
              </w:rPr>
            </w:pPr>
            <w:r w:rsidRPr="00A50F32">
              <w:rPr>
                <w:color w:val="000000"/>
                <w:sz w:val="20"/>
              </w:rPr>
              <w:t>Group ADF-Statistic</w:t>
            </w:r>
          </w:p>
        </w:tc>
        <w:tc>
          <w:tcPr>
            <w:tcW w:w="1050" w:type="dxa"/>
            <w:vAlign w:val="bottom"/>
          </w:tcPr>
          <w:p w14:paraId="73B16D7C" w14:textId="77777777" w:rsidR="009D755F" w:rsidRPr="00A50F32" w:rsidRDefault="009D755F" w:rsidP="00F647C8">
            <w:pPr>
              <w:autoSpaceDE w:val="0"/>
              <w:autoSpaceDN w:val="0"/>
              <w:adjustRightInd w:val="0"/>
              <w:jc w:val="center"/>
              <w:rPr>
                <w:color w:val="000000"/>
                <w:sz w:val="20"/>
              </w:rPr>
            </w:pPr>
            <w:r w:rsidRPr="00A50F32">
              <w:rPr>
                <w:color w:val="000000"/>
                <w:sz w:val="20"/>
              </w:rPr>
              <w:t>-6.940289</w:t>
            </w:r>
          </w:p>
        </w:tc>
        <w:tc>
          <w:tcPr>
            <w:tcW w:w="1050" w:type="dxa"/>
            <w:vAlign w:val="bottom"/>
          </w:tcPr>
          <w:p w14:paraId="78C2136C" w14:textId="77777777" w:rsidR="009D755F" w:rsidRPr="00A50F32" w:rsidRDefault="009D755F" w:rsidP="00F647C8">
            <w:pPr>
              <w:autoSpaceDE w:val="0"/>
              <w:autoSpaceDN w:val="0"/>
              <w:adjustRightInd w:val="0"/>
              <w:jc w:val="center"/>
              <w:rPr>
                <w:color w:val="000000"/>
                <w:sz w:val="20"/>
              </w:rPr>
            </w:pPr>
            <w:r w:rsidRPr="00A50F32">
              <w:rPr>
                <w:color w:val="000000"/>
                <w:sz w:val="20"/>
              </w:rPr>
              <w:t> 0.0000</w:t>
            </w:r>
          </w:p>
        </w:tc>
        <w:tc>
          <w:tcPr>
            <w:tcW w:w="1050" w:type="dxa"/>
            <w:vAlign w:val="bottom"/>
          </w:tcPr>
          <w:p w14:paraId="48700D4C" w14:textId="77777777" w:rsidR="009D755F" w:rsidRPr="00A50F32" w:rsidRDefault="009D755F" w:rsidP="00F647C8">
            <w:pPr>
              <w:autoSpaceDE w:val="0"/>
              <w:autoSpaceDN w:val="0"/>
              <w:adjustRightInd w:val="0"/>
              <w:jc w:val="center"/>
              <w:rPr>
                <w:color w:val="000000"/>
                <w:sz w:val="20"/>
              </w:rPr>
            </w:pPr>
          </w:p>
        </w:tc>
        <w:tc>
          <w:tcPr>
            <w:tcW w:w="3822" w:type="dxa"/>
            <w:vAlign w:val="bottom"/>
          </w:tcPr>
          <w:p w14:paraId="0DBAE837" w14:textId="77777777" w:rsidR="009D755F" w:rsidRPr="00A50F32" w:rsidRDefault="009D755F" w:rsidP="00F647C8">
            <w:pPr>
              <w:autoSpaceDE w:val="0"/>
              <w:autoSpaceDN w:val="0"/>
              <w:adjustRightInd w:val="0"/>
              <w:jc w:val="center"/>
              <w:rPr>
                <w:color w:val="000000"/>
                <w:sz w:val="20"/>
              </w:rPr>
            </w:pPr>
          </w:p>
        </w:tc>
      </w:tr>
      <w:tr w:rsidR="009D755F" w:rsidRPr="00A50F32" w14:paraId="7AF740D8" w14:textId="77777777" w:rsidTr="00EE1365">
        <w:trPr>
          <w:trHeight w:val="220"/>
        </w:trPr>
        <w:tc>
          <w:tcPr>
            <w:tcW w:w="5220" w:type="dxa"/>
            <w:gridSpan w:val="5"/>
            <w:vAlign w:val="center"/>
          </w:tcPr>
          <w:p w14:paraId="0744DE6E" w14:textId="77777777" w:rsidR="009D755F" w:rsidRPr="00A50F32" w:rsidRDefault="009D755F" w:rsidP="00EE1365">
            <w:pPr>
              <w:autoSpaceDE w:val="0"/>
              <w:autoSpaceDN w:val="0"/>
              <w:adjustRightInd w:val="0"/>
              <w:jc w:val="center"/>
              <w:rPr>
                <w:color w:val="000000"/>
                <w:sz w:val="20"/>
              </w:rPr>
            </w:pPr>
            <w:r w:rsidRPr="00A50F32">
              <w:rPr>
                <w:color w:val="000000"/>
                <w:sz w:val="20"/>
              </w:rPr>
              <w:t>Cross-section-specific results</w:t>
            </w:r>
          </w:p>
        </w:tc>
        <w:tc>
          <w:tcPr>
            <w:tcW w:w="3822" w:type="dxa"/>
            <w:vAlign w:val="bottom"/>
          </w:tcPr>
          <w:p w14:paraId="7815E4CB" w14:textId="77777777" w:rsidR="009D755F" w:rsidRPr="00A50F32" w:rsidRDefault="009D755F" w:rsidP="00F647C8">
            <w:pPr>
              <w:autoSpaceDE w:val="0"/>
              <w:autoSpaceDN w:val="0"/>
              <w:adjustRightInd w:val="0"/>
              <w:jc w:val="center"/>
              <w:rPr>
                <w:color w:val="000000"/>
                <w:sz w:val="20"/>
              </w:rPr>
            </w:pPr>
          </w:p>
        </w:tc>
      </w:tr>
      <w:tr w:rsidR="009D755F" w:rsidRPr="00A50F32" w14:paraId="67FF31D7" w14:textId="77777777" w:rsidTr="00EE1365">
        <w:trPr>
          <w:trHeight w:val="220"/>
        </w:trPr>
        <w:tc>
          <w:tcPr>
            <w:tcW w:w="9042" w:type="dxa"/>
            <w:gridSpan w:val="6"/>
            <w:vAlign w:val="center"/>
          </w:tcPr>
          <w:p w14:paraId="4F46BE4B" w14:textId="77777777" w:rsidR="009D755F" w:rsidRPr="00A50F32" w:rsidRDefault="009D755F" w:rsidP="00EE1365">
            <w:pPr>
              <w:autoSpaceDE w:val="0"/>
              <w:autoSpaceDN w:val="0"/>
              <w:adjustRightInd w:val="0"/>
              <w:jc w:val="center"/>
              <w:rPr>
                <w:color w:val="000000"/>
                <w:sz w:val="20"/>
              </w:rPr>
            </w:pPr>
            <w:r w:rsidRPr="00A50F32">
              <w:rPr>
                <w:color w:val="000000"/>
                <w:sz w:val="20"/>
              </w:rPr>
              <w:t>Phillips-Peron results (non-parametric)</w:t>
            </w:r>
          </w:p>
        </w:tc>
      </w:tr>
      <w:tr w:rsidR="009D755F" w:rsidRPr="00A50F32" w14:paraId="3D5A1C8C" w14:textId="77777777" w:rsidTr="00EE1365">
        <w:trPr>
          <w:trHeight w:val="220"/>
        </w:trPr>
        <w:tc>
          <w:tcPr>
            <w:tcW w:w="1320" w:type="dxa"/>
            <w:vAlign w:val="bottom"/>
          </w:tcPr>
          <w:p w14:paraId="39314556" w14:textId="77777777" w:rsidR="009D755F" w:rsidRPr="00A50F32" w:rsidRDefault="009D755F" w:rsidP="00F647C8">
            <w:pPr>
              <w:autoSpaceDE w:val="0"/>
              <w:autoSpaceDN w:val="0"/>
              <w:adjustRightInd w:val="0"/>
              <w:jc w:val="center"/>
              <w:rPr>
                <w:color w:val="000000"/>
                <w:sz w:val="20"/>
              </w:rPr>
            </w:pPr>
            <w:r w:rsidRPr="00A50F32">
              <w:rPr>
                <w:color w:val="000000"/>
                <w:sz w:val="20"/>
              </w:rPr>
              <w:t>Cross ID</w:t>
            </w:r>
          </w:p>
        </w:tc>
        <w:tc>
          <w:tcPr>
            <w:tcW w:w="750" w:type="dxa"/>
            <w:vAlign w:val="bottom"/>
          </w:tcPr>
          <w:p w14:paraId="323DB7FB" w14:textId="77777777" w:rsidR="009D755F" w:rsidRPr="00A50F32" w:rsidRDefault="009D755F" w:rsidP="00F647C8">
            <w:pPr>
              <w:autoSpaceDE w:val="0"/>
              <w:autoSpaceDN w:val="0"/>
              <w:adjustRightInd w:val="0"/>
              <w:ind w:right="20"/>
              <w:jc w:val="right"/>
              <w:rPr>
                <w:color w:val="000000"/>
                <w:sz w:val="20"/>
              </w:rPr>
            </w:pPr>
            <w:r w:rsidRPr="00A50F32">
              <w:rPr>
                <w:color w:val="000000"/>
                <w:sz w:val="20"/>
              </w:rPr>
              <w:t>AR(1)</w:t>
            </w:r>
          </w:p>
        </w:tc>
        <w:tc>
          <w:tcPr>
            <w:tcW w:w="1050" w:type="dxa"/>
            <w:vAlign w:val="bottom"/>
          </w:tcPr>
          <w:p w14:paraId="04C7D375" w14:textId="77777777" w:rsidR="009D755F" w:rsidRPr="00A50F32" w:rsidRDefault="009D755F" w:rsidP="00F647C8">
            <w:pPr>
              <w:autoSpaceDE w:val="0"/>
              <w:autoSpaceDN w:val="0"/>
              <w:adjustRightInd w:val="0"/>
              <w:ind w:right="20"/>
              <w:jc w:val="right"/>
              <w:rPr>
                <w:color w:val="000000"/>
                <w:sz w:val="20"/>
              </w:rPr>
            </w:pPr>
            <w:r w:rsidRPr="00A50F32">
              <w:rPr>
                <w:color w:val="000000"/>
                <w:sz w:val="20"/>
              </w:rPr>
              <w:t>Variance</w:t>
            </w:r>
          </w:p>
        </w:tc>
        <w:tc>
          <w:tcPr>
            <w:tcW w:w="1050" w:type="dxa"/>
            <w:vAlign w:val="bottom"/>
          </w:tcPr>
          <w:p w14:paraId="0107D69F" w14:textId="77777777" w:rsidR="009D755F" w:rsidRPr="00A50F32" w:rsidRDefault="009D755F" w:rsidP="00F647C8">
            <w:pPr>
              <w:autoSpaceDE w:val="0"/>
              <w:autoSpaceDN w:val="0"/>
              <w:adjustRightInd w:val="0"/>
              <w:ind w:right="20"/>
              <w:jc w:val="right"/>
              <w:rPr>
                <w:color w:val="000000"/>
                <w:sz w:val="20"/>
              </w:rPr>
            </w:pPr>
            <w:r w:rsidRPr="00A50F32">
              <w:rPr>
                <w:color w:val="000000"/>
                <w:sz w:val="20"/>
              </w:rPr>
              <w:t>HAC  </w:t>
            </w:r>
          </w:p>
        </w:tc>
        <w:tc>
          <w:tcPr>
            <w:tcW w:w="1050" w:type="dxa"/>
            <w:vAlign w:val="bottom"/>
          </w:tcPr>
          <w:p w14:paraId="24C13E32" w14:textId="77777777" w:rsidR="009D755F" w:rsidRPr="00A50F32" w:rsidRDefault="009D755F" w:rsidP="00F647C8">
            <w:pPr>
              <w:autoSpaceDE w:val="0"/>
              <w:autoSpaceDN w:val="0"/>
              <w:adjustRightInd w:val="0"/>
              <w:ind w:right="20"/>
              <w:jc w:val="right"/>
              <w:rPr>
                <w:color w:val="000000"/>
                <w:sz w:val="20"/>
              </w:rPr>
            </w:pPr>
            <w:r w:rsidRPr="00A50F32">
              <w:rPr>
                <w:color w:val="000000"/>
                <w:sz w:val="20"/>
              </w:rPr>
              <w:t>Bandwidth</w:t>
            </w:r>
          </w:p>
        </w:tc>
        <w:tc>
          <w:tcPr>
            <w:tcW w:w="3822" w:type="dxa"/>
            <w:vAlign w:val="bottom"/>
          </w:tcPr>
          <w:p w14:paraId="247BD2FE" w14:textId="77777777" w:rsidR="009D755F" w:rsidRPr="00A50F32" w:rsidRDefault="009D755F" w:rsidP="00F647C8">
            <w:pPr>
              <w:autoSpaceDE w:val="0"/>
              <w:autoSpaceDN w:val="0"/>
              <w:adjustRightInd w:val="0"/>
              <w:ind w:right="20"/>
              <w:jc w:val="right"/>
              <w:rPr>
                <w:color w:val="000000"/>
                <w:sz w:val="20"/>
              </w:rPr>
            </w:pPr>
            <w:proofErr w:type="spellStart"/>
            <w:r w:rsidRPr="00A50F32">
              <w:rPr>
                <w:color w:val="000000"/>
                <w:sz w:val="20"/>
              </w:rPr>
              <w:t>Obs</w:t>
            </w:r>
            <w:proofErr w:type="spellEnd"/>
          </w:p>
        </w:tc>
      </w:tr>
      <w:tr w:rsidR="009D755F" w:rsidRPr="00A50F32" w14:paraId="50F934F6" w14:textId="77777777" w:rsidTr="00EE1365">
        <w:trPr>
          <w:trHeight w:val="220"/>
        </w:trPr>
        <w:tc>
          <w:tcPr>
            <w:tcW w:w="1320" w:type="dxa"/>
            <w:vAlign w:val="bottom"/>
          </w:tcPr>
          <w:p w14:paraId="450606E1" w14:textId="77777777" w:rsidR="009D755F" w:rsidRPr="00A50F32" w:rsidRDefault="009D755F" w:rsidP="00F647C8">
            <w:pPr>
              <w:autoSpaceDE w:val="0"/>
              <w:autoSpaceDN w:val="0"/>
              <w:adjustRightInd w:val="0"/>
              <w:jc w:val="center"/>
              <w:rPr>
                <w:color w:val="000000"/>
                <w:sz w:val="20"/>
              </w:rPr>
            </w:pPr>
            <w:r w:rsidRPr="00A50F32">
              <w:rPr>
                <w:color w:val="000000"/>
                <w:sz w:val="20"/>
              </w:rPr>
              <w:t> 1</w:t>
            </w:r>
          </w:p>
        </w:tc>
        <w:tc>
          <w:tcPr>
            <w:tcW w:w="750" w:type="dxa"/>
            <w:vAlign w:val="bottom"/>
          </w:tcPr>
          <w:p w14:paraId="1342C9FF" w14:textId="77777777" w:rsidR="009D755F" w:rsidRPr="00A50F32" w:rsidRDefault="009D755F" w:rsidP="00F647C8">
            <w:pPr>
              <w:autoSpaceDE w:val="0"/>
              <w:autoSpaceDN w:val="0"/>
              <w:adjustRightInd w:val="0"/>
              <w:ind w:right="20"/>
              <w:jc w:val="right"/>
              <w:rPr>
                <w:color w:val="000000"/>
                <w:sz w:val="20"/>
              </w:rPr>
            </w:pPr>
            <w:r w:rsidRPr="00A50F32">
              <w:rPr>
                <w:color w:val="000000"/>
                <w:sz w:val="20"/>
              </w:rPr>
              <w:t>-0.298</w:t>
            </w:r>
          </w:p>
        </w:tc>
        <w:tc>
          <w:tcPr>
            <w:tcW w:w="1050" w:type="dxa"/>
            <w:vAlign w:val="bottom"/>
          </w:tcPr>
          <w:p w14:paraId="044BF077" w14:textId="77777777" w:rsidR="009D755F" w:rsidRPr="00A50F32" w:rsidRDefault="009D755F" w:rsidP="00F647C8">
            <w:pPr>
              <w:autoSpaceDE w:val="0"/>
              <w:autoSpaceDN w:val="0"/>
              <w:adjustRightInd w:val="0"/>
              <w:ind w:right="20"/>
              <w:jc w:val="right"/>
              <w:rPr>
                <w:color w:val="000000"/>
                <w:sz w:val="20"/>
              </w:rPr>
            </w:pPr>
            <w:r w:rsidRPr="00A50F32">
              <w:rPr>
                <w:color w:val="000000"/>
                <w:sz w:val="20"/>
              </w:rPr>
              <w:t>1.520994</w:t>
            </w:r>
          </w:p>
        </w:tc>
        <w:tc>
          <w:tcPr>
            <w:tcW w:w="1050" w:type="dxa"/>
            <w:vAlign w:val="bottom"/>
          </w:tcPr>
          <w:p w14:paraId="7054BAE0" w14:textId="77777777" w:rsidR="009D755F" w:rsidRPr="00A50F32" w:rsidRDefault="009D755F" w:rsidP="00F647C8">
            <w:pPr>
              <w:autoSpaceDE w:val="0"/>
              <w:autoSpaceDN w:val="0"/>
              <w:adjustRightInd w:val="0"/>
              <w:ind w:right="20"/>
              <w:jc w:val="right"/>
              <w:rPr>
                <w:color w:val="000000"/>
                <w:sz w:val="20"/>
              </w:rPr>
            </w:pPr>
            <w:r w:rsidRPr="00A50F32">
              <w:rPr>
                <w:color w:val="000000"/>
                <w:sz w:val="20"/>
              </w:rPr>
              <w:t>0.253398</w:t>
            </w:r>
          </w:p>
        </w:tc>
        <w:tc>
          <w:tcPr>
            <w:tcW w:w="1050" w:type="dxa"/>
            <w:vAlign w:val="bottom"/>
          </w:tcPr>
          <w:p w14:paraId="7D9225AC" w14:textId="77777777" w:rsidR="009D755F" w:rsidRPr="00A50F32" w:rsidRDefault="009D755F" w:rsidP="00F647C8">
            <w:pPr>
              <w:autoSpaceDE w:val="0"/>
              <w:autoSpaceDN w:val="0"/>
              <w:adjustRightInd w:val="0"/>
              <w:ind w:right="20"/>
              <w:jc w:val="right"/>
              <w:rPr>
                <w:color w:val="000000"/>
                <w:sz w:val="20"/>
              </w:rPr>
            </w:pPr>
            <w:r w:rsidRPr="00A50F32">
              <w:rPr>
                <w:color w:val="000000"/>
                <w:sz w:val="20"/>
              </w:rPr>
              <w:t>16.00</w:t>
            </w:r>
          </w:p>
        </w:tc>
        <w:tc>
          <w:tcPr>
            <w:tcW w:w="3822" w:type="dxa"/>
            <w:vAlign w:val="bottom"/>
          </w:tcPr>
          <w:p w14:paraId="6ABC32E4" w14:textId="77777777" w:rsidR="009D755F" w:rsidRPr="00A50F32" w:rsidRDefault="009D755F" w:rsidP="00F647C8">
            <w:pPr>
              <w:autoSpaceDE w:val="0"/>
              <w:autoSpaceDN w:val="0"/>
              <w:adjustRightInd w:val="0"/>
              <w:ind w:right="20"/>
              <w:jc w:val="right"/>
              <w:rPr>
                <w:color w:val="000000"/>
                <w:sz w:val="20"/>
              </w:rPr>
            </w:pPr>
            <w:r w:rsidRPr="00A50F32">
              <w:rPr>
                <w:color w:val="000000"/>
                <w:sz w:val="20"/>
              </w:rPr>
              <w:t>17</w:t>
            </w:r>
          </w:p>
        </w:tc>
      </w:tr>
      <w:tr w:rsidR="009D755F" w:rsidRPr="00A50F32" w14:paraId="3D6C83F9" w14:textId="77777777" w:rsidTr="00EE1365">
        <w:trPr>
          <w:trHeight w:val="220"/>
        </w:trPr>
        <w:tc>
          <w:tcPr>
            <w:tcW w:w="1320" w:type="dxa"/>
            <w:vAlign w:val="bottom"/>
          </w:tcPr>
          <w:p w14:paraId="03719CEF" w14:textId="77777777" w:rsidR="009D755F" w:rsidRPr="00A50F32" w:rsidRDefault="009D755F" w:rsidP="00F647C8">
            <w:pPr>
              <w:autoSpaceDE w:val="0"/>
              <w:autoSpaceDN w:val="0"/>
              <w:adjustRightInd w:val="0"/>
              <w:jc w:val="center"/>
              <w:rPr>
                <w:color w:val="000000"/>
                <w:sz w:val="20"/>
              </w:rPr>
            </w:pPr>
            <w:r w:rsidRPr="00A50F32">
              <w:rPr>
                <w:color w:val="000000"/>
                <w:sz w:val="20"/>
              </w:rPr>
              <w:t> 2</w:t>
            </w:r>
          </w:p>
        </w:tc>
        <w:tc>
          <w:tcPr>
            <w:tcW w:w="750" w:type="dxa"/>
            <w:vAlign w:val="bottom"/>
          </w:tcPr>
          <w:p w14:paraId="389E2EF4" w14:textId="77777777" w:rsidR="009D755F" w:rsidRPr="00A50F32" w:rsidRDefault="009D755F" w:rsidP="00F647C8">
            <w:pPr>
              <w:autoSpaceDE w:val="0"/>
              <w:autoSpaceDN w:val="0"/>
              <w:adjustRightInd w:val="0"/>
              <w:ind w:right="20"/>
              <w:jc w:val="right"/>
              <w:rPr>
                <w:color w:val="000000"/>
                <w:sz w:val="20"/>
              </w:rPr>
            </w:pPr>
            <w:r w:rsidRPr="00A50F32">
              <w:rPr>
                <w:color w:val="000000"/>
                <w:sz w:val="20"/>
              </w:rPr>
              <w:t>-0.203</w:t>
            </w:r>
          </w:p>
        </w:tc>
        <w:tc>
          <w:tcPr>
            <w:tcW w:w="1050" w:type="dxa"/>
            <w:vAlign w:val="bottom"/>
          </w:tcPr>
          <w:p w14:paraId="277C0DF9" w14:textId="77777777" w:rsidR="009D755F" w:rsidRPr="00A50F32" w:rsidRDefault="009D755F" w:rsidP="00F647C8">
            <w:pPr>
              <w:autoSpaceDE w:val="0"/>
              <w:autoSpaceDN w:val="0"/>
              <w:adjustRightInd w:val="0"/>
              <w:ind w:right="20"/>
              <w:jc w:val="right"/>
              <w:rPr>
                <w:color w:val="000000"/>
                <w:sz w:val="20"/>
              </w:rPr>
            </w:pPr>
            <w:r w:rsidRPr="00A50F32">
              <w:rPr>
                <w:color w:val="000000"/>
                <w:sz w:val="20"/>
              </w:rPr>
              <w:t>6.405906</w:t>
            </w:r>
          </w:p>
        </w:tc>
        <w:tc>
          <w:tcPr>
            <w:tcW w:w="1050" w:type="dxa"/>
            <w:vAlign w:val="bottom"/>
          </w:tcPr>
          <w:p w14:paraId="5D30E04C" w14:textId="77777777" w:rsidR="009D755F" w:rsidRPr="00A50F32" w:rsidRDefault="009D755F" w:rsidP="00F647C8">
            <w:pPr>
              <w:autoSpaceDE w:val="0"/>
              <w:autoSpaceDN w:val="0"/>
              <w:adjustRightInd w:val="0"/>
              <w:ind w:right="20"/>
              <w:jc w:val="right"/>
              <w:rPr>
                <w:color w:val="000000"/>
                <w:sz w:val="20"/>
              </w:rPr>
            </w:pPr>
            <w:r w:rsidRPr="00A50F32">
              <w:rPr>
                <w:color w:val="000000"/>
                <w:sz w:val="20"/>
              </w:rPr>
              <w:t>2.221233</w:t>
            </w:r>
          </w:p>
        </w:tc>
        <w:tc>
          <w:tcPr>
            <w:tcW w:w="1050" w:type="dxa"/>
            <w:vAlign w:val="bottom"/>
          </w:tcPr>
          <w:p w14:paraId="3719B175" w14:textId="77777777" w:rsidR="009D755F" w:rsidRPr="00A50F32" w:rsidRDefault="009D755F" w:rsidP="00F647C8">
            <w:pPr>
              <w:autoSpaceDE w:val="0"/>
              <w:autoSpaceDN w:val="0"/>
              <w:adjustRightInd w:val="0"/>
              <w:ind w:right="20"/>
              <w:jc w:val="right"/>
              <w:rPr>
                <w:color w:val="000000"/>
                <w:sz w:val="20"/>
              </w:rPr>
            </w:pPr>
            <w:r w:rsidRPr="00A50F32">
              <w:rPr>
                <w:color w:val="000000"/>
                <w:sz w:val="20"/>
              </w:rPr>
              <w:t>7.00</w:t>
            </w:r>
          </w:p>
        </w:tc>
        <w:tc>
          <w:tcPr>
            <w:tcW w:w="3822" w:type="dxa"/>
            <w:vAlign w:val="bottom"/>
          </w:tcPr>
          <w:p w14:paraId="6FB993EB" w14:textId="77777777" w:rsidR="009D755F" w:rsidRPr="00A50F32" w:rsidRDefault="009D755F" w:rsidP="00F647C8">
            <w:pPr>
              <w:autoSpaceDE w:val="0"/>
              <w:autoSpaceDN w:val="0"/>
              <w:adjustRightInd w:val="0"/>
              <w:ind w:right="20"/>
              <w:jc w:val="right"/>
              <w:rPr>
                <w:color w:val="000000"/>
                <w:sz w:val="20"/>
              </w:rPr>
            </w:pPr>
            <w:r w:rsidRPr="00A50F32">
              <w:rPr>
                <w:color w:val="000000"/>
                <w:sz w:val="20"/>
              </w:rPr>
              <w:t>17</w:t>
            </w:r>
          </w:p>
        </w:tc>
      </w:tr>
      <w:tr w:rsidR="009D755F" w:rsidRPr="00A50F32" w14:paraId="268BC0C4" w14:textId="77777777" w:rsidTr="00EE1365">
        <w:trPr>
          <w:trHeight w:val="220"/>
        </w:trPr>
        <w:tc>
          <w:tcPr>
            <w:tcW w:w="1320" w:type="dxa"/>
            <w:vAlign w:val="bottom"/>
          </w:tcPr>
          <w:p w14:paraId="070FCCFD" w14:textId="77777777" w:rsidR="009D755F" w:rsidRPr="00A50F32" w:rsidRDefault="009D755F" w:rsidP="00F647C8">
            <w:pPr>
              <w:autoSpaceDE w:val="0"/>
              <w:autoSpaceDN w:val="0"/>
              <w:adjustRightInd w:val="0"/>
              <w:jc w:val="center"/>
              <w:rPr>
                <w:color w:val="000000"/>
                <w:sz w:val="20"/>
              </w:rPr>
            </w:pPr>
            <w:r w:rsidRPr="00A50F32">
              <w:rPr>
                <w:color w:val="000000"/>
                <w:sz w:val="20"/>
              </w:rPr>
              <w:t> 3</w:t>
            </w:r>
          </w:p>
        </w:tc>
        <w:tc>
          <w:tcPr>
            <w:tcW w:w="750" w:type="dxa"/>
            <w:vAlign w:val="bottom"/>
          </w:tcPr>
          <w:p w14:paraId="0437BE1C" w14:textId="77777777" w:rsidR="009D755F" w:rsidRPr="00A50F32" w:rsidRDefault="009D755F" w:rsidP="00F647C8">
            <w:pPr>
              <w:autoSpaceDE w:val="0"/>
              <w:autoSpaceDN w:val="0"/>
              <w:adjustRightInd w:val="0"/>
              <w:ind w:right="20"/>
              <w:jc w:val="right"/>
              <w:rPr>
                <w:color w:val="000000"/>
                <w:sz w:val="20"/>
              </w:rPr>
            </w:pPr>
            <w:r w:rsidRPr="00A50F32">
              <w:rPr>
                <w:color w:val="000000"/>
                <w:sz w:val="20"/>
              </w:rPr>
              <w:t>-0.300</w:t>
            </w:r>
          </w:p>
        </w:tc>
        <w:tc>
          <w:tcPr>
            <w:tcW w:w="1050" w:type="dxa"/>
            <w:vAlign w:val="bottom"/>
          </w:tcPr>
          <w:p w14:paraId="6984F47D" w14:textId="77777777" w:rsidR="009D755F" w:rsidRPr="00A50F32" w:rsidRDefault="009D755F" w:rsidP="00F647C8">
            <w:pPr>
              <w:autoSpaceDE w:val="0"/>
              <w:autoSpaceDN w:val="0"/>
              <w:adjustRightInd w:val="0"/>
              <w:ind w:right="20"/>
              <w:jc w:val="right"/>
              <w:rPr>
                <w:color w:val="000000"/>
                <w:sz w:val="20"/>
              </w:rPr>
            </w:pPr>
            <w:r w:rsidRPr="00A50F32">
              <w:rPr>
                <w:color w:val="000000"/>
                <w:sz w:val="20"/>
              </w:rPr>
              <w:t>8.041389</w:t>
            </w:r>
          </w:p>
        </w:tc>
        <w:tc>
          <w:tcPr>
            <w:tcW w:w="1050" w:type="dxa"/>
            <w:vAlign w:val="bottom"/>
          </w:tcPr>
          <w:p w14:paraId="2CA441B8" w14:textId="77777777" w:rsidR="009D755F" w:rsidRPr="00A50F32" w:rsidRDefault="009D755F" w:rsidP="00F647C8">
            <w:pPr>
              <w:autoSpaceDE w:val="0"/>
              <w:autoSpaceDN w:val="0"/>
              <w:adjustRightInd w:val="0"/>
              <w:ind w:right="20"/>
              <w:jc w:val="right"/>
              <w:rPr>
                <w:color w:val="000000"/>
                <w:sz w:val="20"/>
              </w:rPr>
            </w:pPr>
            <w:r w:rsidRPr="00A50F32">
              <w:rPr>
                <w:color w:val="000000"/>
                <w:sz w:val="20"/>
              </w:rPr>
              <w:t>8.347632</w:t>
            </w:r>
          </w:p>
        </w:tc>
        <w:tc>
          <w:tcPr>
            <w:tcW w:w="1050" w:type="dxa"/>
            <w:vAlign w:val="bottom"/>
          </w:tcPr>
          <w:p w14:paraId="3479EF4F" w14:textId="77777777" w:rsidR="009D755F" w:rsidRPr="00A50F32" w:rsidRDefault="009D755F" w:rsidP="00F647C8">
            <w:pPr>
              <w:autoSpaceDE w:val="0"/>
              <w:autoSpaceDN w:val="0"/>
              <w:adjustRightInd w:val="0"/>
              <w:ind w:right="20"/>
              <w:jc w:val="right"/>
              <w:rPr>
                <w:color w:val="000000"/>
                <w:sz w:val="20"/>
              </w:rPr>
            </w:pPr>
            <w:r w:rsidRPr="00A50F32">
              <w:rPr>
                <w:color w:val="000000"/>
                <w:sz w:val="20"/>
              </w:rPr>
              <w:t>1.00</w:t>
            </w:r>
          </w:p>
        </w:tc>
        <w:tc>
          <w:tcPr>
            <w:tcW w:w="3822" w:type="dxa"/>
            <w:vAlign w:val="bottom"/>
          </w:tcPr>
          <w:p w14:paraId="44DE7DC5" w14:textId="77777777" w:rsidR="009D755F" w:rsidRPr="00A50F32" w:rsidRDefault="009D755F" w:rsidP="00F647C8">
            <w:pPr>
              <w:autoSpaceDE w:val="0"/>
              <w:autoSpaceDN w:val="0"/>
              <w:adjustRightInd w:val="0"/>
              <w:ind w:right="20"/>
              <w:jc w:val="right"/>
              <w:rPr>
                <w:color w:val="000000"/>
                <w:sz w:val="20"/>
              </w:rPr>
            </w:pPr>
            <w:r w:rsidRPr="00A50F32">
              <w:rPr>
                <w:color w:val="000000"/>
                <w:sz w:val="20"/>
              </w:rPr>
              <w:t>17</w:t>
            </w:r>
          </w:p>
        </w:tc>
      </w:tr>
      <w:tr w:rsidR="009D755F" w:rsidRPr="00A50F32" w14:paraId="1A00CFDC" w14:textId="77777777" w:rsidTr="00EE1365">
        <w:trPr>
          <w:trHeight w:val="220"/>
        </w:trPr>
        <w:tc>
          <w:tcPr>
            <w:tcW w:w="1320" w:type="dxa"/>
            <w:vAlign w:val="bottom"/>
          </w:tcPr>
          <w:p w14:paraId="5A6EDCA5" w14:textId="77777777" w:rsidR="009D755F" w:rsidRPr="00A50F32" w:rsidRDefault="009D755F" w:rsidP="00F647C8">
            <w:pPr>
              <w:autoSpaceDE w:val="0"/>
              <w:autoSpaceDN w:val="0"/>
              <w:adjustRightInd w:val="0"/>
              <w:jc w:val="center"/>
              <w:rPr>
                <w:color w:val="000000"/>
                <w:sz w:val="20"/>
              </w:rPr>
            </w:pPr>
            <w:r w:rsidRPr="00A50F32">
              <w:rPr>
                <w:color w:val="000000"/>
                <w:sz w:val="20"/>
              </w:rPr>
              <w:t> 4</w:t>
            </w:r>
          </w:p>
        </w:tc>
        <w:tc>
          <w:tcPr>
            <w:tcW w:w="750" w:type="dxa"/>
            <w:vAlign w:val="bottom"/>
          </w:tcPr>
          <w:p w14:paraId="6A137DAE" w14:textId="77777777" w:rsidR="009D755F" w:rsidRPr="00A50F32" w:rsidRDefault="009D755F" w:rsidP="00F647C8">
            <w:pPr>
              <w:autoSpaceDE w:val="0"/>
              <w:autoSpaceDN w:val="0"/>
              <w:adjustRightInd w:val="0"/>
              <w:ind w:right="20"/>
              <w:jc w:val="right"/>
              <w:rPr>
                <w:color w:val="000000"/>
                <w:sz w:val="20"/>
              </w:rPr>
            </w:pPr>
            <w:r w:rsidRPr="00A50F32">
              <w:rPr>
                <w:color w:val="000000"/>
                <w:sz w:val="20"/>
              </w:rPr>
              <w:t>-0.238</w:t>
            </w:r>
          </w:p>
        </w:tc>
        <w:tc>
          <w:tcPr>
            <w:tcW w:w="1050" w:type="dxa"/>
            <w:vAlign w:val="bottom"/>
          </w:tcPr>
          <w:p w14:paraId="08C970F4" w14:textId="77777777" w:rsidR="009D755F" w:rsidRPr="00A50F32" w:rsidRDefault="009D755F" w:rsidP="00F647C8">
            <w:pPr>
              <w:autoSpaceDE w:val="0"/>
              <w:autoSpaceDN w:val="0"/>
              <w:adjustRightInd w:val="0"/>
              <w:ind w:right="20"/>
              <w:jc w:val="right"/>
              <w:rPr>
                <w:color w:val="000000"/>
                <w:sz w:val="20"/>
              </w:rPr>
            </w:pPr>
            <w:r w:rsidRPr="00A50F32">
              <w:rPr>
                <w:color w:val="000000"/>
                <w:sz w:val="20"/>
              </w:rPr>
              <w:t>11.73633</w:t>
            </w:r>
          </w:p>
        </w:tc>
        <w:tc>
          <w:tcPr>
            <w:tcW w:w="1050" w:type="dxa"/>
            <w:vAlign w:val="bottom"/>
          </w:tcPr>
          <w:p w14:paraId="32FEF3F8" w14:textId="77777777" w:rsidR="009D755F" w:rsidRPr="00A50F32" w:rsidRDefault="009D755F" w:rsidP="00F647C8">
            <w:pPr>
              <w:autoSpaceDE w:val="0"/>
              <w:autoSpaceDN w:val="0"/>
              <w:adjustRightInd w:val="0"/>
              <w:ind w:right="20"/>
              <w:jc w:val="right"/>
              <w:rPr>
                <w:color w:val="000000"/>
                <w:sz w:val="20"/>
              </w:rPr>
            </w:pPr>
            <w:r w:rsidRPr="00A50F32">
              <w:rPr>
                <w:color w:val="000000"/>
                <w:sz w:val="20"/>
              </w:rPr>
              <w:t>1.452861</w:t>
            </w:r>
          </w:p>
        </w:tc>
        <w:tc>
          <w:tcPr>
            <w:tcW w:w="1050" w:type="dxa"/>
            <w:vAlign w:val="bottom"/>
          </w:tcPr>
          <w:p w14:paraId="79E234D3" w14:textId="77777777" w:rsidR="009D755F" w:rsidRPr="00A50F32" w:rsidRDefault="009D755F" w:rsidP="00F647C8">
            <w:pPr>
              <w:autoSpaceDE w:val="0"/>
              <w:autoSpaceDN w:val="0"/>
              <w:adjustRightInd w:val="0"/>
              <w:ind w:right="20"/>
              <w:jc w:val="right"/>
              <w:rPr>
                <w:color w:val="000000"/>
                <w:sz w:val="20"/>
              </w:rPr>
            </w:pPr>
            <w:r w:rsidRPr="00A50F32">
              <w:rPr>
                <w:color w:val="000000"/>
                <w:sz w:val="20"/>
              </w:rPr>
              <w:t>14.00</w:t>
            </w:r>
          </w:p>
        </w:tc>
        <w:tc>
          <w:tcPr>
            <w:tcW w:w="3822" w:type="dxa"/>
            <w:vAlign w:val="bottom"/>
          </w:tcPr>
          <w:p w14:paraId="76118AA5" w14:textId="77777777" w:rsidR="009D755F" w:rsidRPr="00A50F32" w:rsidRDefault="009D755F" w:rsidP="00F647C8">
            <w:pPr>
              <w:autoSpaceDE w:val="0"/>
              <w:autoSpaceDN w:val="0"/>
              <w:adjustRightInd w:val="0"/>
              <w:ind w:right="20"/>
              <w:jc w:val="right"/>
              <w:rPr>
                <w:color w:val="000000"/>
                <w:sz w:val="20"/>
              </w:rPr>
            </w:pPr>
            <w:r w:rsidRPr="00A50F32">
              <w:rPr>
                <w:color w:val="000000"/>
                <w:sz w:val="20"/>
              </w:rPr>
              <w:t>17</w:t>
            </w:r>
          </w:p>
        </w:tc>
      </w:tr>
      <w:tr w:rsidR="009D755F" w:rsidRPr="00A50F32" w14:paraId="247BA035" w14:textId="77777777" w:rsidTr="00EE1365">
        <w:trPr>
          <w:trHeight w:val="220"/>
        </w:trPr>
        <w:tc>
          <w:tcPr>
            <w:tcW w:w="1320" w:type="dxa"/>
            <w:vAlign w:val="bottom"/>
          </w:tcPr>
          <w:p w14:paraId="2C32DE66" w14:textId="77777777" w:rsidR="009D755F" w:rsidRPr="00A50F32" w:rsidRDefault="009D755F" w:rsidP="00F647C8">
            <w:pPr>
              <w:autoSpaceDE w:val="0"/>
              <w:autoSpaceDN w:val="0"/>
              <w:adjustRightInd w:val="0"/>
              <w:jc w:val="center"/>
              <w:rPr>
                <w:color w:val="000000"/>
                <w:sz w:val="20"/>
              </w:rPr>
            </w:pPr>
            <w:r w:rsidRPr="00A50F32">
              <w:rPr>
                <w:color w:val="000000"/>
                <w:sz w:val="20"/>
              </w:rPr>
              <w:t> 5</w:t>
            </w:r>
          </w:p>
        </w:tc>
        <w:tc>
          <w:tcPr>
            <w:tcW w:w="750" w:type="dxa"/>
            <w:vAlign w:val="bottom"/>
          </w:tcPr>
          <w:p w14:paraId="368AC0BA" w14:textId="77777777" w:rsidR="009D755F" w:rsidRPr="00A50F32" w:rsidRDefault="009D755F" w:rsidP="00F647C8">
            <w:pPr>
              <w:autoSpaceDE w:val="0"/>
              <w:autoSpaceDN w:val="0"/>
              <w:adjustRightInd w:val="0"/>
              <w:ind w:right="20"/>
              <w:jc w:val="right"/>
              <w:rPr>
                <w:color w:val="000000"/>
                <w:sz w:val="20"/>
              </w:rPr>
            </w:pPr>
            <w:r w:rsidRPr="00A50F32">
              <w:rPr>
                <w:color w:val="000000"/>
                <w:sz w:val="20"/>
              </w:rPr>
              <w:t>-0.231</w:t>
            </w:r>
          </w:p>
        </w:tc>
        <w:tc>
          <w:tcPr>
            <w:tcW w:w="1050" w:type="dxa"/>
            <w:vAlign w:val="bottom"/>
          </w:tcPr>
          <w:p w14:paraId="041078F7" w14:textId="77777777" w:rsidR="009D755F" w:rsidRPr="00A50F32" w:rsidRDefault="009D755F" w:rsidP="00F647C8">
            <w:pPr>
              <w:autoSpaceDE w:val="0"/>
              <w:autoSpaceDN w:val="0"/>
              <w:adjustRightInd w:val="0"/>
              <w:ind w:right="20"/>
              <w:jc w:val="right"/>
              <w:rPr>
                <w:color w:val="000000"/>
                <w:sz w:val="20"/>
              </w:rPr>
            </w:pPr>
            <w:r w:rsidRPr="00A50F32">
              <w:rPr>
                <w:color w:val="000000"/>
                <w:sz w:val="20"/>
              </w:rPr>
              <w:t>4.949689</w:t>
            </w:r>
          </w:p>
        </w:tc>
        <w:tc>
          <w:tcPr>
            <w:tcW w:w="1050" w:type="dxa"/>
            <w:vAlign w:val="bottom"/>
          </w:tcPr>
          <w:p w14:paraId="06FD4399" w14:textId="77777777" w:rsidR="009D755F" w:rsidRPr="00A50F32" w:rsidRDefault="009D755F" w:rsidP="00F647C8">
            <w:pPr>
              <w:autoSpaceDE w:val="0"/>
              <w:autoSpaceDN w:val="0"/>
              <w:adjustRightInd w:val="0"/>
              <w:ind w:right="20"/>
              <w:jc w:val="right"/>
              <w:rPr>
                <w:color w:val="000000"/>
                <w:sz w:val="20"/>
              </w:rPr>
            </w:pPr>
            <w:r w:rsidRPr="00A50F32">
              <w:rPr>
                <w:color w:val="000000"/>
                <w:sz w:val="20"/>
              </w:rPr>
              <w:t>1.597196</w:t>
            </w:r>
          </w:p>
        </w:tc>
        <w:tc>
          <w:tcPr>
            <w:tcW w:w="1050" w:type="dxa"/>
            <w:vAlign w:val="bottom"/>
          </w:tcPr>
          <w:p w14:paraId="3D16E9F9" w14:textId="77777777" w:rsidR="009D755F" w:rsidRPr="00A50F32" w:rsidRDefault="009D755F" w:rsidP="00F647C8">
            <w:pPr>
              <w:autoSpaceDE w:val="0"/>
              <w:autoSpaceDN w:val="0"/>
              <w:adjustRightInd w:val="0"/>
              <w:ind w:right="20"/>
              <w:jc w:val="right"/>
              <w:rPr>
                <w:color w:val="000000"/>
                <w:sz w:val="20"/>
              </w:rPr>
            </w:pPr>
            <w:r w:rsidRPr="00A50F32">
              <w:rPr>
                <w:color w:val="000000"/>
                <w:sz w:val="20"/>
              </w:rPr>
              <w:t>4.00</w:t>
            </w:r>
          </w:p>
        </w:tc>
        <w:tc>
          <w:tcPr>
            <w:tcW w:w="3822" w:type="dxa"/>
            <w:vAlign w:val="bottom"/>
          </w:tcPr>
          <w:p w14:paraId="331AC16F" w14:textId="77777777" w:rsidR="009D755F" w:rsidRPr="00A50F32" w:rsidRDefault="009D755F" w:rsidP="00F647C8">
            <w:pPr>
              <w:autoSpaceDE w:val="0"/>
              <w:autoSpaceDN w:val="0"/>
              <w:adjustRightInd w:val="0"/>
              <w:ind w:right="20"/>
              <w:jc w:val="right"/>
              <w:rPr>
                <w:color w:val="000000"/>
                <w:sz w:val="20"/>
              </w:rPr>
            </w:pPr>
            <w:r w:rsidRPr="00A50F32">
              <w:rPr>
                <w:color w:val="000000"/>
                <w:sz w:val="20"/>
              </w:rPr>
              <w:t>17</w:t>
            </w:r>
          </w:p>
        </w:tc>
      </w:tr>
      <w:tr w:rsidR="009D755F" w:rsidRPr="00A50F32" w14:paraId="5A6C22DF" w14:textId="77777777" w:rsidTr="00EE1365">
        <w:trPr>
          <w:trHeight w:val="220"/>
        </w:trPr>
        <w:tc>
          <w:tcPr>
            <w:tcW w:w="9042" w:type="dxa"/>
            <w:gridSpan w:val="6"/>
            <w:vAlign w:val="center"/>
          </w:tcPr>
          <w:p w14:paraId="70B7E8D5" w14:textId="77777777" w:rsidR="009D755F" w:rsidRPr="00A50F32" w:rsidRDefault="009D755F" w:rsidP="00EE1365">
            <w:pPr>
              <w:autoSpaceDE w:val="0"/>
              <w:autoSpaceDN w:val="0"/>
              <w:adjustRightInd w:val="0"/>
              <w:jc w:val="center"/>
              <w:rPr>
                <w:color w:val="000000"/>
                <w:sz w:val="20"/>
              </w:rPr>
            </w:pPr>
            <w:r w:rsidRPr="00A50F32">
              <w:rPr>
                <w:color w:val="000000"/>
                <w:sz w:val="20"/>
              </w:rPr>
              <w:t>Augmented Dickey-Fuller results (parametric)</w:t>
            </w:r>
          </w:p>
        </w:tc>
      </w:tr>
      <w:tr w:rsidR="009D755F" w:rsidRPr="00A50F32" w14:paraId="5B4E354C" w14:textId="77777777" w:rsidTr="00EE1365">
        <w:trPr>
          <w:trHeight w:val="220"/>
        </w:trPr>
        <w:tc>
          <w:tcPr>
            <w:tcW w:w="1320" w:type="dxa"/>
            <w:vAlign w:val="bottom"/>
          </w:tcPr>
          <w:p w14:paraId="1048BB42" w14:textId="77777777" w:rsidR="009D755F" w:rsidRPr="00A50F32" w:rsidRDefault="009D755F" w:rsidP="00F647C8">
            <w:pPr>
              <w:autoSpaceDE w:val="0"/>
              <w:autoSpaceDN w:val="0"/>
              <w:adjustRightInd w:val="0"/>
              <w:jc w:val="center"/>
              <w:rPr>
                <w:color w:val="000000"/>
                <w:sz w:val="20"/>
              </w:rPr>
            </w:pPr>
            <w:r w:rsidRPr="00A50F32">
              <w:rPr>
                <w:color w:val="000000"/>
                <w:sz w:val="20"/>
              </w:rPr>
              <w:t>Cross ID</w:t>
            </w:r>
          </w:p>
        </w:tc>
        <w:tc>
          <w:tcPr>
            <w:tcW w:w="750" w:type="dxa"/>
            <w:vAlign w:val="bottom"/>
          </w:tcPr>
          <w:p w14:paraId="514490F1" w14:textId="77777777" w:rsidR="009D755F" w:rsidRPr="00A50F32" w:rsidRDefault="009D755F" w:rsidP="00F647C8">
            <w:pPr>
              <w:autoSpaceDE w:val="0"/>
              <w:autoSpaceDN w:val="0"/>
              <w:adjustRightInd w:val="0"/>
              <w:ind w:right="20"/>
              <w:jc w:val="right"/>
              <w:rPr>
                <w:color w:val="000000"/>
                <w:sz w:val="20"/>
              </w:rPr>
            </w:pPr>
            <w:r w:rsidRPr="00A50F32">
              <w:rPr>
                <w:color w:val="000000"/>
                <w:sz w:val="20"/>
              </w:rPr>
              <w:t>AR(1)</w:t>
            </w:r>
          </w:p>
        </w:tc>
        <w:tc>
          <w:tcPr>
            <w:tcW w:w="1050" w:type="dxa"/>
            <w:vAlign w:val="bottom"/>
          </w:tcPr>
          <w:p w14:paraId="4E794FB5" w14:textId="77777777" w:rsidR="009D755F" w:rsidRPr="00A50F32" w:rsidRDefault="009D755F" w:rsidP="00F647C8">
            <w:pPr>
              <w:autoSpaceDE w:val="0"/>
              <w:autoSpaceDN w:val="0"/>
              <w:adjustRightInd w:val="0"/>
              <w:ind w:right="20"/>
              <w:jc w:val="right"/>
              <w:rPr>
                <w:color w:val="000000"/>
                <w:sz w:val="20"/>
              </w:rPr>
            </w:pPr>
            <w:r w:rsidRPr="00A50F32">
              <w:rPr>
                <w:color w:val="000000"/>
                <w:sz w:val="20"/>
              </w:rPr>
              <w:t>Variance</w:t>
            </w:r>
          </w:p>
        </w:tc>
        <w:tc>
          <w:tcPr>
            <w:tcW w:w="1050" w:type="dxa"/>
            <w:vAlign w:val="bottom"/>
          </w:tcPr>
          <w:p w14:paraId="1EF3AAA6" w14:textId="77777777" w:rsidR="009D755F" w:rsidRPr="00A50F32" w:rsidRDefault="009D755F" w:rsidP="00F647C8">
            <w:pPr>
              <w:autoSpaceDE w:val="0"/>
              <w:autoSpaceDN w:val="0"/>
              <w:adjustRightInd w:val="0"/>
              <w:ind w:right="20"/>
              <w:jc w:val="right"/>
              <w:rPr>
                <w:color w:val="000000"/>
                <w:sz w:val="20"/>
              </w:rPr>
            </w:pPr>
            <w:r w:rsidRPr="00A50F32">
              <w:rPr>
                <w:color w:val="000000"/>
                <w:sz w:val="20"/>
              </w:rPr>
              <w:t>Lag</w:t>
            </w:r>
          </w:p>
        </w:tc>
        <w:tc>
          <w:tcPr>
            <w:tcW w:w="1050" w:type="dxa"/>
            <w:vAlign w:val="bottom"/>
          </w:tcPr>
          <w:p w14:paraId="04E65842" w14:textId="77777777" w:rsidR="009D755F" w:rsidRPr="00A50F32" w:rsidRDefault="009D755F" w:rsidP="00F647C8">
            <w:pPr>
              <w:autoSpaceDE w:val="0"/>
              <w:autoSpaceDN w:val="0"/>
              <w:adjustRightInd w:val="0"/>
              <w:ind w:right="20"/>
              <w:jc w:val="right"/>
              <w:rPr>
                <w:color w:val="000000"/>
                <w:sz w:val="20"/>
              </w:rPr>
            </w:pPr>
            <w:r w:rsidRPr="00A50F32">
              <w:rPr>
                <w:color w:val="000000"/>
                <w:sz w:val="20"/>
              </w:rPr>
              <w:t>Max lag</w:t>
            </w:r>
          </w:p>
        </w:tc>
        <w:tc>
          <w:tcPr>
            <w:tcW w:w="3822" w:type="dxa"/>
            <w:vAlign w:val="bottom"/>
          </w:tcPr>
          <w:p w14:paraId="13D48710" w14:textId="77777777" w:rsidR="009D755F" w:rsidRPr="00A50F32" w:rsidRDefault="009D755F" w:rsidP="00F647C8">
            <w:pPr>
              <w:autoSpaceDE w:val="0"/>
              <w:autoSpaceDN w:val="0"/>
              <w:adjustRightInd w:val="0"/>
              <w:ind w:right="20"/>
              <w:jc w:val="right"/>
              <w:rPr>
                <w:color w:val="000000"/>
                <w:sz w:val="20"/>
              </w:rPr>
            </w:pPr>
            <w:proofErr w:type="spellStart"/>
            <w:r w:rsidRPr="00A50F32">
              <w:rPr>
                <w:color w:val="000000"/>
                <w:sz w:val="20"/>
              </w:rPr>
              <w:t>Obs</w:t>
            </w:r>
            <w:proofErr w:type="spellEnd"/>
          </w:p>
        </w:tc>
      </w:tr>
      <w:tr w:rsidR="009D755F" w:rsidRPr="00A50F32" w14:paraId="5EFF26F3" w14:textId="77777777" w:rsidTr="00EE1365">
        <w:trPr>
          <w:trHeight w:val="220"/>
        </w:trPr>
        <w:tc>
          <w:tcPr>
            <w:tcW w:w="1320" w:type="dxa"/>
            <w:vAlign w:val="bottom"/>
          </w:tcPr>
          <w:p w14:paraId="625F7F32" w14:textId="77777777" w:rsidR="009D755F" w:rsidRPr="00A50F32" w:rsidRDefault="009D755F" w:rsidP="00F647C8">
            <w:pPr>
              <w:autoSpaceDE w:val="0"/>
              <w:autoSpaceDN w:val="0"/>
              <w:adjustRightInd w:val="0"/>
              <w:jc w:val="center"/>
              <w:rPr>
                <w:color w:val="000000"/>
                <w:sz w:val="20"/>
              </w:rPr>
            </w:pPr>
            <w:r w:rsidRPr="00A50F32">
              <w:rPr>
                <w:color w:val="000000"/>
                <w:sz w:val="20"/>
              </w:rPr>
              <w:t> 1</w:t>
            </w:r>
          </w:p>
        </w:tc>
        <w:tc>
          <w:tcPr>
            <w:tcW w:w="750" w:type="dxa"/>
            <w:vAlign w:val="bottom"/>
          </w:tcPr>
          <w:p w14:paraId="049F9229" w14:textId="77777777" w:rsidR="009D755F" w:rsidRPr="00A50F32" w:rsidRDefault="009D755F" w:rsidP="00F647C8">
            <w:pPr>
              <w:autoSpaceDE w:val="0"/>
              <w:autoSpaceDN w:val="0"/>
              <w:adjustRightInd w:val="0"/>
              <w:ind w:right="20"/>
              <w:jc w:val="right"/>
              <w:rPr>
                <w:color w:val="000000"/>
                <w:sz w:val="20"/>
              </w:rPr>
            </w:pPr>
            <w:r w:rsidRPr="00A50F32">
              <w:rPr>
                <w:color w:val="000000"/>
                <w:sz w:val="20"/>
              </w:rPr>
              <w:t>-1.371</w:t>
            </w:r>
          </w:p>
        </w:tc>
        <w:tc>
          <w:tcPr>
            <w:tcW w:w="1050" w:type="dxa"/>
            <w:vAlign w:val="bottom"/>
          </w:tcPr>
          <w:p w14:paraId="78B6DF12" w14:textId="77777777" w:rsidR="009D755F" w:rsidRPr="00A50F32" w:rsidRDefault="009D755F" w:rsidP="00F647C8">
            <w:pPr>
              <w:autoSpaceDE w:val="0"/>
              <w:autoSpaceDN w:val="0"/>
              <w:adjustRightInd w:val="0"/>
              <w:ind w:right="20"/>
              <w:jc w:val="right"/>
              <w:rPr>
                <w:color w:val="000000"/>
                <w:sz w:val="20"/>
              </w:rPr>
            </w:pPr>
            <w:r w:rsidRPr="00A50F32">
              <w:rPr>
                <w:color w:val="000000"/>
                <w:sz w:val="20"/>
              </w:rPr>
              <w:t>0.934348</w:t>
            </w:r>
          </w:p>
        </w:tc>
        <w:tc>
          <w:tcPr>
            <w:tcW w:w="1050" w:type="dxa"/>
            <w:vAlign w:val="bottom"/>
          </w:tcPr>
          <w:p w14:paraId="1A98ADE0" w14:textId="77777777" w:rsidR="009D755F" w:rsidRPr="00A50F32" w:rsidRDefault="009D755F" w:rsidP="00F647C8">
            <w:pPr>
              <w:autoSpaceDE w:val="0"/>
              <w:autoSpaceDN w:val="0"/>
              <w:adjustRightInd w:val="0"/>
              <w:ind w:right="20"/>
              <w:jc w:val="right"/>
              <w:rPr>
                <w:color w:val="000000"/>
                <w:sz w:val="20"/>
              </w:rPr>
            </w:pPr>
            <w:r w:rsidRPr="00A50F32">
              <w:rPr>
                <w:color w:val="000000"/>
                <w:sz w:val="20"/>
              </w:rPr>
              <w:t>1</w:t>
            </w:r>
          </w:p>
        </w:tc>
        <w:tc>
          <w:tcPr>
            <w:tcW w:w="1050" w:type="dxa"/>
            <w:vAlign w:val="bottom"/>
          </w:tcPr>
          <w:p w14:paraId="6E53396C" w14:textId="77777777" w:rsidR="009D755F" w:rsidRPr="00A50F32" w:rsidRDefault="009D755F" w:rsidP="00F647C8">
            <w:pPr>
              <w:autoSpaceDE w:val="0"/>
              <w:autoSpaceDN w:val="0"/>
              <w:adjustRightInd w:val="0"/>
              <w:ind w:right="20"/>
              <w:jc w:val="right"/>
              <w:rPr>
                <w:color w:val="000000"/>
                <w:sz w:val="20"/>
              </w:rPr>
            </w:pPr>
            <w:r w:rsidRPr="00A50F32">
              <w:rPr>
                <w:color w:val="000000"/>
                <w:sz w:val="20"/>
              </w:rPr>
              <w:t>2</w:t>
            </w:r>
          </w:p>
        </w:tc>
        <w:tc>
          <w:tcPr>
            <w:tcW w:w="3822" w:type="dxa"/>
            <w:vAlign w:val="bottom"/>
          </w:tcPr>
          <w:p w14:paraId="09CED647" w14:textId="77777777" w:rsidR="009D755F" w:rsidRPr="00A50F32" w:rsidRDefault="009D755F" w:rsidP="00F647C8">
            <w:pPr>
              <w:autoSpaceDE w:val="0"/>
              <w:autoSpaceDN w:val="0"/>
              <w:adjustRightInd w:val="0"/>
              <w:ind w:right="20"/>
              <w:jc w:val="right"/>
              <w:rPr>
                <w:color w:val="000000"/>
                <w:sz w:val="20"/>
              </w:rPr>
            </w:pPr>
            <w:r w:rsidRPr="00A50F32">
              <w:rPr>
                <w:color w:val="000000"/>
                <w:sz w:val="20"/>
              </w:rPr>
              <w:t>16</w:t>
            </w:r>
          </w:p>
        </w:tc>
      </w:tr>
      <w:tr w:rsidR="009D755F" w:rsidRPr="00A50F32" w14:paraId="4501784A" w14:textId="77777777" w:rsidTr="00EE1365">
        <w:trPr>
          <w:trHeight w:val="220"/>
        </w:trPr>
        <w:tc>
          <w:tcPr>
            <w:tcW w:w="1320" w:type="dxa"/>
            <w:vAlign w:val="bottom"/>
          </w:tcPr>
          <w:p w14:paraId="7D862B37" w14:textId="77777777" w:rsidR="009D755F" w:rsidRPr="00A50F32" w:rsidRDefault="009D755F" w:rsidP="00F647C8">
            <w:pPr>
              <w:autoSpaceDE w:val="0"/>
              <w:autoSpaceDN w:val="0"/>
              <w:adjustRightInd w:val="0"/>
              <w:jc w:val="center"/>
              <w:rPr>
                <w:color w:val="000000"/>
                <w:sz w:val="20"/>
              </w:rPr>
            </w:pPr>
            <w:r w:rsidRPr="00A50F32">
              <w:rPr>
                <w:color w:val="000000"/>
                <w:sz w:val="20"/>
              </w:rPr>
              <w:t> 2</w:t>
            </w:r>
          </w:p>
        </w:tc>
        <w:tc>
          <w:tcPr>
            <w:tcW w:w="750" w:type="dxa"/>
            <w:vAlign w:val="bottom"/>
          </w:tcPr>
          <w:p w14:paraId="1F34CF40" w14:textId="77777777" w:rsidR="009D755F" w:rsidRPr="00A50F32" w:rsidRDefault="009D755F" w:rsidP="00F647C8">
            <w:pPr>
              <w:autoSpaceDE w:val="0"/>
              <w:autoSpaceDN w:val="0"/>
              <w:adjustRightInd w:val="0"/>
              <w:ind w:right="20"/>
              <w:jc w:val="right"/>
              <w:rPr>
                <w:color w:val="000000"/>
                <w:sz w:val="20"/>
              </w:rPr>
            </w:pPr>
            <w:r w:rsidRPr="00A50F32">
              <w:rPr>
                <w:color w:val="000000"/>
                <w:sz w:val="20"/>
              </w:rPr>
              <w:t>-0.203</w:t>
            </w:r>
          </w:p>
        </w:tc>
        <w:tc>
          <w:tcPr>
            <w:tcW w:w="1050" w:type="dxa"/>
            <w:vAlign w:val="bottom"/>
          </w:tcPr>
          <w:p w14:paraId="47FF7DE0" w14:textId="77777777" w:rsidR="009D755F" w:rsidRPr="00A50F32" w:rsidRDefault="009D755F" w:rsidP="00F647C8">
            <w:pPr>
              <w:autoSpaceDE w:val="0"/>
              <w:autoSpaceDN w:val="0"/>
              <w:adjustRightInd w:val="0"/>
              <w:ind w:right="20"/>
              <w:jc w:val="right"/>
              <w:rPr>
                <w:color w:val="000000"/>
                <w:sz w:val="20"/>
              </w:rPr>
            </w:pPr>
            <w:r w:rsidRPr="00A50F32">
              <w:rPr>
                <w:color w:val="000000"/>
                <w:sz w:val="20"/>
              </w:rPr>
              <w:t>6.405906</w:t>
            </w:r>
          </w:p>
        </w:tc>
        <w:tc>
          <w:tcPr>
            <w:tcW w:w="1050" w:type="dxa"/>
            <w:vAlign w:val="bottom"/>
          </w:tcPr>
          <w:p w14:paraId="2F8CD9FC" w14:textId="77777777" w:rsidR="009D755F" w:rsidRPr="00A50F32" w:rsidRDefault="009D755F" w:rsidP="00F647C8">
            <w:pPr>
              <w:autoSpaceDE w:val="0"/>
              <w:autoSpaceDN w:val="0"/>
              <w:adjustRightInd w:val="0"/>
              <w:ind w:right="20"/>
              <w:jc w:val="right"/>
              <w:rPr>
                <w:color w:val="000000"/>
                <w:sz w:val="20"/>
              </w:rPr>
            </w:pPr>
            <w:r w:rsidRPr="00A50F32">
              <w:rPr>
                <w:color w:val="000000"/>
                <w:sz w:val="20"/>
              </w:rPr>
              <w:t>0</w:t>
            </w:r>
          </w:p>
        </w:tc>
        <w:tc>
          <w:tcPr>
            <w:tcW w:w="1050" w:type="dxa"/>
            <w:vAlign w:val="bottom"/>
          </w:tcPr>
          <w:p w14:paraId="499369B2" w14:textId="77777777" w:rsidR="009D755F" w:rsidRPr="00A50F32" w:rsidRDefault="009D755F" w:rsidP="00F647C8">
            <w:pPr>
              <w:autoSpaceDE w:val="0"/>
              <w:autoSpaceDN w:val="0"/>
              <w:adjustRightInd w:val="0"/>
              <w:ind w:right="20"/>
              <w:jc w:val="right"/>
              <w:rPr>
                <w:color w:val="000000"/>
                <w:sz w:val="20"/>
              </w:rPr>
            </w:pPr>
            <w:r w:rsidRPr="00A50F32">
              <w:rPr>
                <w:color w:val="000000"/>
                <w:sz w:val="20"/>
              </w:rPr>
              <w:t>2</w:t>
            </w:r>
          </w:p>
        </w:tc>
        <w:tc>
          <w:tcPr>
            <w:tcW w:w="3822" w:type="dxa"/>
            <w:vAlign w:val="bottom"/>
          </w:tcPr>
          <w:p w14:paraId="374AA0A4" w14:textId="77777777" w:rsidR="009D755F" w:rsidRPr="00A50F32" w:rsidRDefault="009D755F" w:rsidP="00F647C8">
            <w:pPr>
              <w:autoSpaceDE w:val="0"/>
              <w:autoSpaceDN w:val="0"/>
              <w:adjustRightInd w:val="0"/>
              <w:ind w:right="20"/>
              <w:jc w:val="right"/>
              <w:rPr>
                <w:color w:val="000000"/>
                <w:sz w:val="20"/>
              </w:rPr>
            </w:pPr>
            <w:r w:rsidRPr="00A50F32">
              <w:rPr>
                <w:color w:val="000000"/>
                <w:sz w:val="20"/>
              </w:rPr>
              <w:t>17</w:t>
            </w:r>
          </w:p>
        </w:tc>
      </w:tr>
      <w:tr w:rsidR="009D755F" w:rsidRPr="00A50F32" w14:paraId="26F04FF2" w14:textId="77777777" w:rsidTr="00EE1365">
        <w:trPr>
          <w:trHeight w:val="220"/>
        </w:trPr>
        <w:tc>
          <w:tcPr>
            <w:tcW w:w="1320" w:type="dxa"/>
            <w:vAlign w:val="bottom"/>
          </w:tcPr>
          <w:p w14:paraId="64707803" w14:textId="77777777" w:rsidR="009D755F" w:rsidRPr="00A50F32" w:rsidRDefault="009D755F" w:rsidP="00F647C8">
            <w:pPr>
              <w:autoSpaceDE w:val="0"/>
              <w:autoSpaceDN w:val="0"/>
              <w:adjustRightInd w:val="0"/>
              <w:jc w:val="center"/>
              <w:rPr>
                <w:color w:val="000000"/>
                <w:sz w:val="20"/>
              </w:rPr>
            </w:pPr>
            <w:r w:rsidRPr="00A50F32">
              <w:rPr>
                <w:color w:val="000000"/>
                <w:sz w:val="20"/>
              </w:rPr>
              <w:t> 3</w:t>
            </w:r>
          </w:p>
        </w:tc>
        <w:tc>
          <w:tcPr>
            <w:tcW w:w="750" w:type="dxa"/>
            <w:vAlign w:val="bottom"/>
          </w:tcPr>
          <w:p w14:paraId="49B8EFB8" w14:textId="77777777" w:rsidR="009D755F" w:rsidRPr="00A50F32" w:rsidRDefault="009D755F" w:rsidP="00F647C8">
            <w:pPr>
              <w:autoSpaceDE w:val="0"/>
              <w:autoSpaceDN w:val="0"/>
              <w:adjustRightInd w:val="0"/>
              <w:ind w:right="20"/>
              <w:jc w:val="right"/>
              <w:rPr>
                <w:color w:val="000000"/>
                <w:sz w:val="20"/>
              </w:rPr>
            </w:pPr>
            <w:r w:rsidRPr="00A50F32">
              <w:rPr>
                <w:color w:val="000000"/>
                <w:sz w:val="20"/>
              </w:rPr>
              <w:t>-0.300</w:t>
            </w:r>
          </w:p>
        </w:tc>
        <w:tc>
          <w:tcPr>
            <w:tcW w:w="1050" w:type="dxa"/>
            <w:vAlign w:val="bottom"/>
          </w:tcPr>
          <w:p w14:paraId="56D13D82" w14:textId="77777777" w:rsidR="009D755F" w:rsidRPr="00A50F32" w:rsidRDefault="009D755F" w:rsidP="00F647C8">
            <w:pPr>
              <w:autoSpaceDE w:val="0"/>
              <w:autoSpaceDN w:val="0"/>
              <w:adjustRightInd w:val="0"/>
              <w:ind w:right="20"/>
              <w:jc w:val="right"/>
              <w:rPr>
                <w:color w:val="000000"/>
                <w:sz w:val="20"/>
              </w:rPr>
            </w:pPr>
            <w:r w:rsidRPr="00A50F32">
              <w:rPr>
                <w:color w:val="000000"/>
                <w:sz w:val="20"/>
              </w:rPr>
              <w:t>8.041389</w:t>
            </w:r>
          </w:p>
        </w:tc>
        <w:tc>
          <w:tcPr>
            <w:tcW w:w="1050" w:type="dxa"/>
            <w:vAlign w:val="bottom"/>
          </w:tcPr>
          <w:p w14:paraId="343191FF" w14:textId="77777777" w:rsidR="009D755F" w:rsidRPr="00A50F32" w:rsidRDefault="009D755F" w:rsidP="00F647C8">
            <w:pPr>
              <w:autoSpaceDE w:val="0"/>
              <w:autoSpaceDN w:val="0"/>
              <w:adjustRightInd w:val="0"/>
              <w:ind w:right="20"/>
              <w:jc w:val="right"/>
              <w:rPr>
                <w:color w:val="000000"/>
                <w:sz w:val="20"/>
              </w:rPr>
            </w:pPr>
            <w:r w:rsidRPr="00A50F32">
              <w:rPr>
                <w:color w:val="000000"/>
                <w:sz w:val="20"/>
              </w:rPr>
              <w:t>0</w:t>
            </w:r>
          </w:p>
        </w:tc>
        <w:tc>
          <w:tcPr>
            <w:tcW w:w="1050" w:type="dxa"/>
            <w:vAlign w:val="bottom"/>
          </w:tcPr>
          <w:p w14:paraId="6CBAC172" w14:textId="77777777" w:rsidR="009D755F" w:rsidRPr="00A50F32" w:rsidRDefault="009D755F" w:rsidP="00F647C8">
            <w:pPr>
              <w:autoSpaceDE w:val="0"/>
              <w:autoSpaceDN w:val="0"/>
              <w:adjustRightInd w:val="0"/>
              <w:ind w:right="20"/>
              <w:jc w:val="right"/>
              <w:rPr>
                <w:color w:val="000000"/>
                <w:sz w:val="20"/>
              </w:rPr>
            </w:pPr>
            <w:r w:rsidRPr="00A50F32">
              <w:rPr>
                <w:color w:val="000000"/>
                <w:sz w:val="20"/>
              </w:rPr>
              <w:t>2</w:t>
            </w:r>
          </w:p>
        </w:tc>
        <w:tc>
          <w:tcPr>
            <w:tcW w:w="3822" w:type="dxa"/>
            <w:vAlign w:val="bottom"/>
          </w:tcPr>
          <w:p w14:paraId="539C1C23" w14:textId="77777777" w:rsidR="009D755F" w:rsidRPr="00A50F32" w:rsidRDefault="009D755F" w:rsidP="00F647C8">
            <w:pPr>
              <w:autoSpaceDE w:val="0"/>
              <w:autoSpaceDN w:val="0"/>
              <w:adjustRightInd w:val="0"/>
              <w:ind w:right="20"/>
              <w:jc w:val="right"/>
              <w:rPr>
                <w:color w:val="000000"/>
                <w:sz w:val="20"/>
              </w:rPr>
            </w:pPr>
            <w:r w:rsidRPr="00A50F32">
              <w:rPr>
                <w:color w:val="000000"/>
                <w:sz w:val="20"/>
              </w:rPr>
              <w:t>17</w:t>
            </w:r>
          </w:p>
        </w:tc>
      </w:tr>
      <w:tr w:rsidR="009D755F" w:rsidRPr="00A50F32" w14:paraId="4DBD22E2" w14:textId="77777777" w:rsidTr="00EE1365">
        <w:trPr>
          <w:trHeight w:val="220"/>
        </w:trPr>
        <w:tc>
          <w:tcPr>
            <w:tcW w:w="1320" w:type="dxa"/>
            <w:vAlign w:val="bottom"/>
          </w:tcPr>
          <w:p w14:paraId="6C37B999" w14:textId="77777777" w:rsidR="009D755F" w:rsidRPr="00A50F32" w:rsidRDefault="009D755F" w:rsidP="00F647C8">
            <w:pPr>
              <w:autoSpaceDE w:val="0"/>
              <w:autoSpaceDN w:val="0"/>
              <w:adjustRightInd w:val="0"/>
              <w:jc w:val="center"/>
              <w:rPr>
                <w:color w:val="000000"/>
                <w:sz w:val="20"/>
              </w:rPr>
            </w:pPr>
            <w:r w:rsidRPr="00A50F32">
              <w:rPr>
                <w:color w:val="000000"/>
                <w:sz w:val="20"/>
              </w:rPr>
              <w:t> 4</w:t>
            </w:r>
          </w:p>
        </w:tc>
        <w:tc>
          <w:tcPr>
            <w:tcW w:w="750" w:type="dxa"/>
            <w:vAlign w:val="bottom"/>
          </w:tcPr>
          <w:p w14:paraId="30D815C0" w14:textId="77777777" w:rsidR="009D755F" w:rsidRPr="00A50F32" w:rsidRDefault="009D755F" w:rsidP="00F647C8">
            <w:pPr>
              <w:autoSpaceDE w:val="0"/>
              <w:autoSpaceDN w:val="0"/>
              <w:adjustRightInd w:val="0"/>
              <w:ind w:right="20"/>
              <w:jc w:val="right"/>
              <w:rPr>
                <w:color w:val="000000"/>
                <w:sz w:val="20"/>
              </w:rPr>
            </w:pPr>
            <w:r w:rsidRPr="00A50F32">
              <w:rPr>
                <w:color w:val="000000"/>
                <w:sz w:val="20"/>
              </w:rPr>
              <w:t>-0.932</w:t>
            </w:r>
          </w:p>
        </w:tc>
        <w:tc>
          <w:tcPr>
            <w:tcW w:w="1050" w:type="dxa"/>
            <w:vAlign w:val="bottom"/>
          </w:tcPr>
          <w:p w14:paraId="6CC72144" w14:textId="77777777" w:rsidR="009D755F" w:rsidRPr="00A50F32" w:rsidRDefault="009D755F" w:rsidP="00F647C8">
            <w:pPr>
              <w:autoSpaceDE w:val="0"/>
              <w:autoSpaceDN w:val="0"/>
              <w:adjustRightInd w:val="0"/>
              <w:ind w:right="20"/>
              <w:jc w:val="right"/>
              <w:rPr>
                <w:color w:val="000000"/>
                <w:sz w:val="20"/>
              </w:rPr>
            </w:pPr>
            <w:r w:rsidRPr="00A50F32">
              <w:rPr>
                <w:color w:val="000000"/>
                <w:sz w:val="20"/>
              </w:rPr>
              <w:t>8.561395</w:t>
            </w:r>
          </w:p>
        </w:tc>
        <w:tc>
          <w:tcPr>
            <w:tcW w:w="1050" w:type="dxa"/>
            <w:vAlign w:val="bottom"/>
          </w:tcPr>
          <w:p w14:paraId="2E542896" w14:textId="77777777" w:rsidR="009D755F" w:rsidRPr="00A50F32" w:rsidRDefault="009D755F" w:rsidP="00F647C8">
            <w:pPr>
              <w:autoSpaceDE w:val="0"/>
              <w:autoSpaceDN w:val="0"/>
              <w:adjustRightInd w:val="0"/>
              <w:ind w:right="20"/>
              <w:jc w:val="right"/>
              <w:rPr>
                <w:color w:val="000000"/>
                <w:sz w:val="20"/>
              </w:rPr>
            </w:pPr>
            <w:r w:rsidRPr="00A50F32">
              <w:rPr>
                <w:color w:val="000000"/>
                <w:sz w:val="20"/>
              </w:rPr>
              <w:t>1</w:t>
            </w:r>
          </w:p>
        </w:tc>
        <w:tc>
          <w:tcPr>
            <w:tcW w:w="1050" w:type="dxa"/>
            <w:vAlign w:val="bottom"/>
          </w:tcPr>
          <w:p w14:paraId="6DA5D822" w14:textId="77777777" w:rsidR="009D755F" w:rsidRPr="00A50F32" w:rsidRDefault="009D755F" w:rsidP="00F647C8">
            <w:pPr>
              <w:autoSpaceDE w:val="0"/>
              <w:autoSpaceDN w:val="0"/>
              <w:adjustRightInd w:val="0"/>
              <w:ind w:right="20"/>
              <w:jc w:val="right"/>
              <w:rPr>
                <w:color w:val="000000"/>
                <w:sz w:val="20"/>
              </w:rPr>
            </w:pPr>
            <w:r w:rsidRPr="00A50F32">
              <w:rPr>
                <w:color w:val="000000"/>
                <w:sz w:val="20"/>
              </w:rPr>
              <w:t>2</w:t>
            </w:r>
          </w:p>
        </w:tc>
        <w:tc>
          <w:tcPr>
            <w:tcW w:w="3822" w:type="dxa"/>
            <w:vAlign w:val="bottom"/>
          </w:tcPr>
          <w:p w14:paraId="0E6181CC" w14:textId="77777777" w:rsidR="009D755F" w:rsidRPr="00A50F32" w:rsidRDefault="009D755F" w:rsidP="00F647C8">
            <w:pPr>
              <w:autoSpaceDE w:val="0"/>
              <w:autoSpaceDN w:val="0"/>
              <w:adjustRightInd w:val="0"/>
              <w:ind w:right="20"/>
              <w:jc w:val="right"/>
              <w:rPr>
                <w:color w:val="000000"/>
                <w:sz w:val="20"/>
              </w:rPr>
            </w:pPr>
            <w:r w:rsidRPr="00A50F32">
              <w:rPr>
                <w:color w:val="000000"/>
                <w:sz w:val="20"/>
              </w:rPr>
              <w:t>16</w:t>
            </w:r>
          </w:p>
        </w:tc>
      </w:tr>
      <w:tr w:rsidR="009D755F" w:rsidRPr="00A50F32" w14:paraId="1F4C28FA" w14:textId="77777777" w:rsidTr="00EE1365">
        <w:trPr>
          <w:trHeight w:val="220"/>
        </w:trPr>
        <w:tc>
          <w:tcPr>
            <w:tcW w:w="1320" w:type="dxa"/>
            <w:vAlign w:val="bottom"/>
          </w:tcPr>
          <w:p w14:paraId="6BF025A5" w14:textId="77777777" w:rsidR="009D755F" w:rsidRPr="00A50F32" w:rsidRDefault="009D755F" w:rsidP="00F647C8">
            <w:pPr>
              <w:autoSpaceDE w:val="0"/>
              <w:autoSpaceDN w:val="0"/>
              <w:adjustRightInd w:val="0"/>
              <w:jc w:val="center"/>
              <w:rPr>
                <w:color w:val="000000"/>
                <w:sz w:val="20"/>
              </w:rPr>
            </w:pPr>
            <w:r w:rsidRPr="00A50F32">
              <w:rPr>
                <w:color w:val="000000"/>
                <w:sz w:val="20"/>
              </w:rPr>
              <w:t> 5</w:t>
            </w:r>
          </w:p>
        </w:tc>
        <w:tc>
          <w:tcPr>
            <w:tcW w:w="750" w:type="dxa"/>
            <w:vAlign w:val="bottom"/>
          </w:tcPr>
          <w:p w14:paraId="76E11A35" w14:textId="77777777" w:rsidR="009D755F" w:rsidRPr="00A50F32" w:rsidRDefault="009D755F" w:rsidP="00F647C8">
            <w:pPr>
              <w:autoSpaceDE w:val="0"/>
              <w:autoSpaceDN w:val="0"/>
              <w:adjustRightInd w:val="0"/>
              <w:ind w:right="20"/>
              <w:jc w:val="right"/>
              <w:rPr>
                <w:color w:val="000000"/>
                <w:sz w:val="20"/>
              </w:rPr>
            </w:pPr>
            <w:r w:rsidRPr="00A50F32">
              <w:rPr>
                <w:color w:val="000000"/>
                <w:sz w:val="20"/>
              </w:rPr>
              <w:t>-0.231</w:t>
            </w:r>
          </w:p>
        </w:tc>
        <w:tc>
          <w:tcPr>
            <w:tcW w:w="1050" w:type="dxa"/>
            <w:vAlign w:val="bottom"/>
          </w:tcPr>
          <w:p w14:paraId="34B7596B" w14:textId="77777777" w:rsidR="009D755F" w:rsidRPr="00A50F32" w:rsidRDefault="009D755F" w:rsidP="00F647C8">
            <w:pPr>
              <w:autoSpaceDE w:val="0"/>
              <w:autoSpaceDN w:val="0"/>
              <w:adjustRightInd w:val="0"/>
              <w:ind w:right="20"/>
              <w:jc w:val="right"/>
              <w:rPr>
                <w:color w:val="000000"/>
                <w:sz w:val="20"/>
              </w:rPr>
            </w:pPr>
            <w:r w:rsidRPr="00A50F32">
              <w:rPr>
                <w:color w:val="000000"/>
                <w:sz w:val="20"/>
              </w:rPr>
              <w:t>4.949689</w:t>
            </w:r>
          </w:p>
        </w:tc>
        <w:tc>
          <w:tcPr>
            <w:tcW w:w="1050" w:type="dxa"/>
            <w:vAlign w:val="bottom"/>
          </w:tcPr>
          <w:p w14:paraId="78EE2294" w14:textId="77777777" w:rsidR="009D755F" w:rsidRPr="00A50F32" w:rsidRDefault="009D755F" w:rsidP="00F647C8">
            <w:pPr>
              <w:autoSpaceDE w:val="0"/>
              <w:autoSpaceDN w:val="0"/>
              <w:adjustRightInd w:val="0"/>
              <w:ind w:right="20"/>
              <w:jc w:val="right"/>
              <w:rPr>
                <w:color w:val="000000"/>
                <w:sz w:val="20"/>
              </w:rPr>
            </w:pPr>
            <w:r w:rsidRPr="00A50F32">
              <w:rPr>
                <w:color w:val="000000"/>
                <w:sz w:val="20"/>
              </w:rPr>
              <w:t>0</w:t>
            </w:r>
          </w:p>
        </w:tc>
        <w:tc>
          <w:tcPr>
            <w:tcW w:w="1050" w:type="dxa"/>
            <w:vAlign w:val="bottom"/>
          </w:tcPr>
          <w:p w14:paraId="62B17742" w14:textId="77777777" w:rsidR="009D755F" w:rsidRPr="00A50F32" w:rsidRDefault="009D755F" w:rsidP="00F647C8">
            <w:pPr>
              <w:autoSpaceDE w:val="0"/>
              <w:autoSpaceDN w:val="0"/>
              <w:adjustRightInd w:val="0"/>
              <w:ind w:right="20"/>
              <w:jc w:val="right"/>
              <w:rPr>
                <w:color w:val="000000"/>
                <w:sz w:val="20"/>
              </w:rPr>
            </w:pPr>
            <w:r w:rsidRPr="00A50F32">
              <w:rPr>
                <w:color w:val="000000"/>
                <w:sz w:val="20"/>
              </w:rPr>
              <w:t>2</w:t>
            </w:r>
          </w:p>
        </w:tc>
        <w:tc>
          <w:tcPr>
            <w:tcW w:w="3822" w:type="dxa"/>
            <w:vAlign w:val="bottom"/>
          </w:tcPr>
          <w:p w14:paraId="4D39039B" w14:textId="77777777" w:rsidR="009D755F" w:rsidRPr="00A50F32" w:rsidRDefault="009D755F" w:rsidP="00F647C8">
            <w:pPr>
              <w:autoSpaceDE w:val="0"/>
              <w:autoSpaceDN w:val="0"/>
              <w:adjustRightInd w:val="0"/>
              <w:ind w:right="20"/>
              <w:jc w:val="right"/>
              <w:rPr>
                <w:color w:val="000000"/>
                <w:sz w:val="20"/>
              </w:rPr>
            </w:pPr>
            <w:r w:rsidRPr="00A50F32">
              <w:rPr>
                <w:color w:val="000000"/>
                <w:sz w:val="20"/>
              </w:rPr>
              <w:t>17</w:t>
            </w:r>
          </w:p>
        </w:tc>
      </w:tr>
    </w:tbl>
    <w:p w14:paraId="3FA28F97" w14:textId="50008C13" w:rsidR="009D755F" w:rsidRPr="00A50F32" w:rsidRDefault="009D755F" w:rsidP="00EE1365">
      <w:pPr>
        <w:pStyle w:val="Heading2"/>
      </w:pPr>
      <w:r w:rsidRPr="00A50F32">
        <w:t>VECM E</w:t>
      </w:r>
      <w:r w:rsidR="00EE1365">
        <w:t>STIMATION</w:t>
      </w:r>
    </w:p>
    <w:p w14:paraId="5A6B7B2E" w14:textId="6F61AE52" w:rsidR="009D755F" w:rsidRPr="00444A2E" w:rsidRDefault="009D755F" w:rsidP="00EE1365">
      <w:pPr>
        <w:autoSpaceDE w:val="0"/>
        <w:autoSpaceDN w:val="0"/>
        <w:adjustRightInd w:val="0"/>
        <w:ind w:firstLine="284"/>
        <w:jc w:val="both"/>
        <w:rPr>
          <w:rStyle w:val="Emphasis"/>
        </w:rPr>
      </w:pPr>
      <w:r w:rsidRPr="00444A2E">
        <w:rPr>
          <w:rStyle w:val="Emphasis"/>
        </w:rPr>
        <w:t>The long-term VECM estimation results show that mobile phone ownership in ASEAN countries influences economic growth</w:t>
      </w:r>
      <w:r w:rsidR="00687007">
        <w:rPr>
          <w:rStyle w:val="Emphasis"/>
        </w:rPr>
        <w:t xml:space="preserve"> as seen in </w:t>
      </w:r>
      <w:r w:rsidR="00687007" w:rsidRPr="00687007">
        <w:rPr>
          <w:rStyle w:val="Emphasis"/>
          <w:b/>
          <w:bCs/>
        </w:rPr>
        <w:t>TABLE 6</w:t>
      </w:r>
      <w:r w:rsidRPr="00444A2E">
        <w:rPr>
          <w:rStyle w:val="Emphasis"/>
        </w:rPr>
        <w:t xml:space="preserve">. The costs of using intellectual property and the number of patents in the long term do not affect the economic growth of ASEAN countries. Mobile phone ownership significantly impacts the economic growth of ASEAN countries. Research has shown that increased mobile penetration leads to increased economic growth, with a one </w:t>
      </w:r>
      <w:r w:rsidR="0082600A" w:rsidRPr="00444A2E">
        <w:rPr>
          <w:rStyle w:val="Emphasis"/>
        </w:rPr>
        <w:t>percent</w:t>
      </w:r>
      <w:r w:rsidRPr="00444A2E">
        <w:rPr>
          <w:rStyle w:val="Emphasis"/>
        </w:rPr>
        <w:t xml:space="preserve"> increase in mobile penetration resulting in a 1.0-2.6 per cent increase in economic growth</w:t>
      </w:r>
      <w:r w:rsidR="00A95B7C" w:rsidRPr="00444A2E">
        <w:rPr>
          <w:rStyle w:val="Emphasis"/>
        </w:rPr>
        <w:t xml:space="preserve"> </w:t>
      </w:r>
      <w:r w:rsidR="00A95B7C" w:rsidRPr="00444A2E">
        <w:rPr>
          <w:rStyle w:val="Emphasis"/>
        </w:rPr>
        <w:fldChar w:fldCharType="begin"/>
      </w:r>
      <w:r w:rsidR="00A95B7C" w:rsidRPr="00444A2E">
        <w:rPr>
          <w:rStyle w:val="Emphasis"/>
        </w:rPr>
        <w:instrText xml:space="preserve"> ADDIN EN.CITE &lt;EndNote&gt;&lt;Cite&gt;&lt;Author&gt;Jing&lt;/Author&gt;&lt;Year&gt;2020&lt;/Year&gt;&lt;RecNum&gt;9&lt;/RecNum&gt;&lt;DisplayText&gt;[8]&lt;/DisplayText&gt;&lt;record&gt;&lt;rec-number&gt;9&lt;/rec-number&gt;&lt;foreign-keys&gt;&lt;key app="EN" db-id="dzdesfex4asa0gexvamvtvxszs955090fzex" timestamp="1729488839"&gt;9&lt;/key&gt;&lt;/foreign-keys&gt;&lt;ref-type name="Journal Article"&gt;17&lt;/ref-type&gt;&lt;contributors&gt;&lt;authors&gt;&lt;author&gt;Jing, Amy Huong Yong&lt;/author&gt;&lt;author&gt;Ab-Rahim, Rossazana&lt;/author&gt;&lt;/authors&gt;&lt;/contributors&gt;&lt;titles&gt;&lt;title&gt;Information and communication technology (ICT) and economic growth in ASEAN-5 countries&lt;/title&gt;&lt;secondary-title&gt;Journal of Public Administration and Governance&lt;/secondary-title&gt;&lt;/titles&gt;&lt;periodical&gt;&lt;full-title&gt;Journal of Public Administration and Governance&lt;/full-title&gt;&lt;/periodical&gt;&lt;pages&gt;20-33&lt;/pages&gt;&lt;volume&gt;10&lt;/volume&gt;&lt;number&gt;2&lt;/number&gt;&lt;dates&gt;&lt;year&gt;2020&lt;/year&gt;&lt;/dates&gt;&lt;publisher&gt;Macrothink Institute&lt;/publisher&gt;&lt;urls&gt;&lt;/urls&gt;&lt;/record&gt;&lt;/Cite&gt;&lt;/EndNote&gt;</w:instrText>
      </w:r>
      <w:r w:rsidR="00A95B7C" w:rsidRPr="00444A2E">
        <w:rPr>
          <w:rStyle w:val="Emphasis"/>
        </w:rPr>
        <w:fldChar w:fldCharType="separate"/>
      </w:r>
      <w:r w:rsidR="00A95B7C" w:rsidRPr="00444A2E">
        <w:rPr>
          <w:rStyle w:val="Emphasis"/>
        </w:rPr>
        <w:t>[8]</w:t>
      </w:r>
      <w:r w:rsidR="00A95B7C" w:rsidRPr="00444A2E">
        <w:rPr>
          <w:rStyle w:val="Emphasis"/>
        </w:rPr>
        <w:fldChar w:fldCharType="end"/>
      </w:r>
      <w:r w:rsidR="00A95B7C" w:rsidRPr="00444A2E">
        <w:rPr>
          <w:rStyle w:val="Emphasis"/>
        </w:rPr>
        <w:t xml:space="preserve">. </w:t>
      </w:r>
      <w:r w:rsidRPr="00444A2E">
        <w:rPr>
          <w:rStyle w:val="Emphasis"/>
        </w:rPr>
        <w:t>Mobile phone penetration is considered a critical factor in increasing economic growth, along with investment in human and physical capital</w:t>
      </w:r>
      <w:r w:rsidR="00A95B7C" w:rsidRPr="00444A2E">
        <w:rPr>
          <w:rStyle w:val="Emphasis"/>
        </w:rPr>
        <w:t xml:space="preserve"> </w:t>
      </w:r>
      <w:r w:rsidR="00A95B7C" w:rsidRPr="00444A2E">
        <w:rPr>
          <w:rStyle w:val="Emphasis"/>
        </w:rPr>
        <w:fldChar w:fldCharType="begin"/>
      </w:r>
      <w:r w:rsidR="00A95B7C" w:rsidRPr="00444A2E">
        <w:rPr>
          <w:rStyle w:val="Emphasis"/>
        </w:rPr>
        <w:instrText xml:space="preserve"> ADDIN EN.CITE &lt;EndNote&gt;&lt;Cite&gt;&lt;Author&gt;Thoyibah&lt;/Author&gt;&lt;Year&gt;2022&lt;/Year&gt;&lt;RecNum&gt;10&lt;/RecNum&gt;&lt;DisplayText&gt;[9]&lt;/DisplayText&gt;&lt;record&gt;&lt;rec-number&gt;10&lt;/rec-number&gt;&lt;foreign-keys&gt;&lt;key app="EN" db-id="dzdesfex4asa0gexvamvtvxszs955090fzex" timestamp="1729488891"&gt;10&lt;/key&gt;&lt;/foreign-keys&gt;&lt;ref-type name="Journal Article"&gt;17&lt;/ref-type&gt;&lt;contributors&gt;&lt;authors&gt;&lt;author&gt;Thoyibah, Qurrota A&amp;apos;yun Pramitha&lt;/author&gt;&lt;author&gt;Sugiharti, Lilik&lt;/author&gt;&lt;/authors&gt;&lt;/contributors&gt;&lt;titles&gt;&lt;title&gt;The Effect of telecommunication infrastructure on economic growth in the Six ASEAN Countries&lt;/title&gt;&lt;secondary-title&gt;Media Trend&lt;/secondary-title&gt;&lt;/titles&gt;&lt;periodical&gt;&lt;full-title&gt;Media Trend&lt;/full-title&gt;&lt;/periodical&gt;&lt;pages&gt;156-167&lt;/pages&gt;&lt;volume&gt;17&lt;/volume&gt;&lt;number&gt;1&lt;/number&gt;&lt;dates&gt;&lt;year&gt;2022&lt;/year&gt;&lt;/dates&gt;&lt;isbn&gt;2460-7649&lt;/isbn&gt;&lt;urls&gt;&lt;/urls&gt;&lt;/record&gt;&lt;/Cite&gt;&lt;/EndNote&gt;</w:instrText>
      </w:r>
      <w:r w:rsidR="00A95B7C" w:rsidRPr="00444A2E">
        <w:rPr>
          <w:rStyle w:val="Emphasis"/>
        </w:rPr>
        <w:fldChar w:fldCharType="separate"/>
      </w:r>
      <w:r w:rsidR="00A95B7C" w:rsidRPr="00444A2E">
        <w:rPr>
          <w:rStyle w:val="Emphasis"/>
        </w:rPr>
        <w:t>[9]</w:t>
      </w:r>
      <w:r w:rsidR="00A95B7C" w:rsidRPr="00444A2E">
        <w:rPr>
          <w:rStyle w:val="Emphasis"/>
        </w:rPr>
        <w:fldChar w:fldCharType="end"/>
      </w:r>
      <w:r w:rsidR="00A95B7C" w:rsidRPr="00444A2E">
        <w:rPr>
          <w:rStyle w:val="Emphasis"/>
        </w:rPr>
        <w:t>.</w:t>
      </w:r>
      <w:r w:rsidRPr="00444A2E">
        <w:rPr>
          <w:rStyle w:val="Emphasis"/>
        </w:rPr>
        <w:t xml:space="preserve"> Additionally, the embrace of the digital economy, including innovation and the use of ICT, has been found to improve a country's economic performance and GDP growth</w:t>
      </w:r>
      <w:r w:rsidR="00A95B7C" w:rsidRPr="00444A2E">
        <w:rPr>
          <w:rStyle w:val="Emphasis"/>
        </w:rPr>
        <w:t xml:space="preserve"> </w:t>
      </w:r>
      <w:r w:rsidR="00A95B7C" w:rsidRPr="00444A2E">
        <w:rPr>
          <w:rStyle w:val="Emphasis"/>
        </w:rPr>
        <w:fldChar w:fldCharType="begin"/>
      </w:r>
      <w:r w:rsidR="00A95B7C" w:rsidRPr="00444A2E">
        <w:rPr>
          <w:rStyle w:val="Emphasis"/>
        </w:rPr>
        <w:instrText xml:space="preserve"> ADDIN EN.CITE &lt;EndNote&gt;&lt;Cite&gt;&lt;Author&gt;Dutta&lt;/Author&gt;&lt;RecNum&gt;1&lt;/RecNum&gt;&lt;DisplayText&gt;[10]&lt;/DisplayText&gt;&lt;record&gt;&lt;rec-number&gt;1&lt;/rec-number&gt;&lt;foreign-keys&gt;&lt;key app="EN" db-id="2zvev9rz0frseoefpv6pstv6d9av9epa5rfe" timestamp="1729488990"&gt;1&lt;/key&gt;&lt;/foreign-keys&gt;&lt;ref-type name="Conference Proceedings"&gt;10&lt;/ref-type&gt;&lt;contributors&gt;&lt;authors&gt;&lt;author&gt;Dutta, Ujjal Protim&lt;/author&gt;&lt;author&gt;Gupta, Abhishek&lt;/author&gt;&lt;author&gt;Sengupta, Partha Pratim&lt;/author&gt;&lt;/authors&gt;&lt;/contributors&gt;&lt;titles&gt;&lt;title&gt;Exploring the nexus between mobile phone penetration and economic growth in 13 Asian countries: evidence from panel cointegration analysis&lt;/title&gt;&lt;alt-title&gt;Soft Computing and Signal Processing: Proceedings of ICSCSP 2018, Volume 2&lt;/alt-title&gt;&lt;/titles&gt;&lt;pages&gt;337-346&lt;/pages&gt;&lt;dates&gt;&lt;pub-dates&gt;&lt;date&gt;2019&lt;/date&gt;&lt;/pub-dates&gt;&lt;/dates&gt;&lt;publisher&gt;Springer&lt;/publisher&gt;&lt;isbn&gt;9811333920&lt;/isbn&gt;&lt;urls&gt;&lt;/urls&gt;&lt;/record&gt;&lt;/Cite&gt;&lt;/EndNote&gt;</w:instrText>
      </w:r>
      <w:r w:rsidR="00A95B7C" w:rsidRPr="00444A2E">
        <w:rPr>
          <w:rStyle w:val="Emphasis"/>
        </w:rPr>
        <w:fldChar w:fldCharType="separate"/>
      </w:r>
      <w:r w:rsidR="00A95B7C" w:rsidRPr="00444A2E">
        <w:rPr>
          <w:rStyle w:val="Emphasis"/>
        </w:rPr>
        <w:t>[10]</w:t>
      </w:r>
      <w:r w:rsidR="00A95B7C" w:rsidRPr="00444A2E">
        <w:rPr>
          <w:rStyle w:val="Emphasis"/>
        </w:rPr>
        <w:fldChar w:fldCharType="end"/>
      </w:r>
      <w:r w:rsidRPr="00444A2E">
        <w:rPr>
          <w:rStyle w:val="Emphasis"/>
        </w:rPr>
        <w:t xml:space="preserve">. </w:t>
      </w:r>
      <w:r w:rsidRPr="00444A2E">
        <w:rPr>
          <w:rStyle w:val="Emphasis"/>
        </w:rPr>
        <w:lastRenderedPageBreak/>
        <w:t>Therefore, the governments of ASEAN countries can increase their economic growth by exploiting the potential of mobile phone penetration and investing in ICT infrastructure</w:t>
      </w:r>
      <w:r w:rsidR="00A95B7C" w:rsidRPr="00444A2E">
        <w:rPr>
          <w:rStyle w:val="Emphasis"/>
        </w:rPr>
        <w:t xml:space="preserve"> </w:t>
      </w:r>
      <w:r w:rsidR="00A95B7C" w:rsidRPr="00444A2E">
        <w:rPr>
          <w:rStyle w:val="Emphasis"/>
        </w:rPr>
        <w:fldChar w:fldCharType="begin"/>
      </w:r>
      <w:r w:rsidR="00A95B7C" w:rsidRPr="00444A2E">
        <w:rPr>
          <w:rStyle w:val="Emphasis"/>
        </w:rPr>
        <w:instrText xml:space="preserve"> ADDIN EN.CITE &lt;EndNote&gt;&lt;Cite&gt;&lt;Author&gt;Lee&lt;/Author&gt;&lt;RecNum&gt;8&lt;/RecNum&gt;&lt;DisplayText&gt;[7]&lt;/DisplayText&gt;&lt;record&gt;&lt;rec-number&gt;8&lt;/rec-number&gt;&lt;foreign-keys&gt;&lt;key app="EN" db-id="dzdesfex4asa0gexvamvtvxszs955090fzex" timestamp="1729488784"&gt;8&lt;/key&gt;&lt;/foreign-keys&gt;&lt;ref-type name="Conference Proceedings"&gt;10&lt;/ref-type&gt;&lt;contributors&gt;&lt;authors&gt;&lt;author&gt;Lee, Hui Shan&lt;/author&gt;&lt;author&gt;Lee, Sin Yee&lt;/author&gt;&lt;author&gt;Har, Wai Mun&lt;/author&gt;&lt;author&gt;Low, Choon Wei&lt;/author&gt;&lt;/authors&gt;&lt;/contributors&gt;&lt;titles&gt;&lt;title&gt;Does Neo-Schumpeterian economics matter? An analysis of information and communication technology and international trade in ASEAN-5&lt;/title&gt;&lt;alt-title&gt;Proceedings of the 2019 2nd International Conference on E-Business, Information Management and Computer Science&lt;/alt-title&gt;&lt;/titles&gt;&lt;pages&gt;1-4&lt;/pages&gt;&lt;dates&gt;&lt;pub-dates&gt;&lt;date&gt;2019&lt;/date&gt;&lt;/pub-dates&gt;&lt;/dates&gt;&lt;urls&gt;&lt;/urls&gt;&lt;/record&gt;&lt;/Cite&gt;&lt;/EndNote&gt;</w:instrText>
      </w:r>
      <w:r w:rsidR="00A95B7C" w:rsidRPr="00444A2E">
        <w:rPr>
          <w:rStyle w:val="Emphasis"/>
        </w:rPr>
        <w:fldChar w:fldCharType="separate"/>
      </w:r>
      <w:r w:rsidR="00A95B7C" w:rsidRPr="00444A2E">
        <w:rPr>
          <w:rStyle w:val="Emphasis"/>
        </w:rPr>
        <w:t>[7]</w:t>
      </w:r>
      <w:r w:rsidR="00A95B7C" w:rsidRPr="00444A2E">
        <w:rPr>
          <w:rStyle w:val="Emphasis"/>
        </w:rPr>
        <w:fldChar w:fldCharType="end"/>
      </w:r>
      <w:r w:rsidR="00A95B7C" w:rsidRPr="00444A2E">
        <w:rPr>
          <w:rStyle w:val="Emphasis"/>
        </w:rPr>
        <w:t xml:space="preserve">. </w:t>
      </w:r>
    </w:p>
    <w:p w14:paraId="6861800E" w14:textId="36ADB467" w:rsidR="009D755F" w:rsidRPr="00EE1365" w:rsidRDefault="00444A2E" w:rsidP="00444A2E">
      <w:pPr>
        <w:pStyle w:val="TableCaption"/>
        <w:rPr>
          <w:b/>
        </w:rPr>
      </w:pPr>
      <w:r w:rsidRPr="00EE1365">
        <w:rPr>
          <w:b/>
          <w:color w:val="030303"/>
          <w:shd w:val="clear" w:color="auto" w:fill="FFFFFF"/>
        </w:rPr>
        <w:t xml:space="preserve">TABLE </w:t>
      </w:r>
      <w:r w:rsidR="009D755F" w:rsidRPr="00EE1365">
        <w:rPr>
          <w:b/>
          <w:color w:val="030303"/>
          <w:shd w:val="clear" w:color="auto" w:fill="FFFFFF"/>
        </w:rPr>
        <w:t xml:space="preserve">6. </w:t>
      </w:r>
      <w:r w:rsidR="009D755F" w:rsidRPr="00EE1365">
        <w:t>Vector Error Correction Estimates</w:t>
      </w:r>
    </w:p>
    <w:tbl>
      <w:tblPr>
        <w:tblW w:w="9019"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64"/>
        <w:gridCol w:w="1536"/>
        <w:gridCol w:w="1417"/>
        <w:gridCol w:w="1560"/>
        <w:gridCol w:w="1842"/>
      </w:tblGrid>
      <w:tr w:rsidR="009D755F" w:rsidRPr="00A50F32" w14:paraId="7A078DB6" w14:textId="77777777" w:rsidTr="00EE1365">
        <w:trPr>
          <w:trHeight w:val="220"/>
        </w:trPr>
        <w:tc>
          <w:tcPr>
            <w:tcW w:w="2664" w:type="dxa"/>
            <w:vAlign w:val="bottom"/>
          </w:tcPr>
          <w:p w14:paraId="2244F3D1" w14:textId="77777777" w:rsidR="009D755F" w:rsidRPr="00A50F32" w:rsidRDefault="009D755F" w:rsidP="00F647C8">
            <w:pPr>
              <w:autoSpaceDE w:val="0"/>
              <w:autoSpaceDN w:val="0"/>
              <w:adjustRightInd w:val="0"/>
              <w:jc w:val="center"/>
              <w:rPr>
                <w:color w:val="000000"/>
                <w:sz w:val="20"/>
              </w:rPr>
            </w:pPr>
            <w:r w:rsidRPr="00A50F32">
              <w:rPr>
                <w:color w:val="000000"/>
                <w:sz w:val="20"/>
              </w:rPr>
              <w:t>Cointegrating Eq: </w:t>
            </w:r>
          </w:p>
        </w:tc>
        <w:tc>
          <w:tcPr>
            <w:tcW w:w="1536" w:type="dxa"/>
            <w:vAlign w:val="bottom"/>
          </w:tcPr>
          <w:p w14:paraId="4A4A5073" w14:textId="77777777" w:rsidR="009D755F" w:rsidRPr="00A50F32" w:rsidRDefault="009D755F" w:rsidP="00F647C8">
            <w:pPr>
              <w:autoSpaceDE w:val="0"/>
              <w:autoSpaceDN w:val="0"/>
              <w:adjustRightInd w:val="0"/>
              <w:jc w:val="center"/>
              <w:rPr>
                <w:color w:val="000000"/>
                <w:sz w:val="20"/>
              </w:rPr>
            </w:pPr>
            <w:r w:rsidRPr="00A50F32">
              <w:rPr>
                <w:color w:val="000000"/>
                <w:sz w:val="20"/>
              </w:rPr>
              <w:t>CointEq1</w:t>
            </w:r>
          </w:p>
        </w:tc>
        <w:tc>
          <w:tcPr>
            <w:tcW w:w="1417" w:type="dxa"/>
            <w:vAlign w:val="bottom"/>
          </w:tcPr>
          <w:p w14:paraId="1FFD161C" w14:textId="77777777" w:rsidR="009D755F" w:rsidRPr="00A50F32" w:rsidRDefault="009D755F" w:rsidP="00F647C8">
            <w:pPr>
              <w:autoSpaceDE w:val="0"/>
              <w:autoSpaceDN w:val="0"/>
              <w:adjustRightInd w:val="0"/>
              <w:jc w:val="center"/>
              <w:rPr>
                <w:color w:val="000000"/>
                <w:sz w:val="20"/>
              </w:rPr>
            </w:pPr>
          </w:p>
        </w:tc>
        <w:tc>
          <w:tcPr>
            <w:tcW w:w="1560" w:type="dxa"/>
            <w:vAlign w:val="bottom"/>
          </w:tcPr>
          <w:p w14:paraId="4B45EAD7" w14:textId="77777777" w:rsidR="009D755F" w:rsidRPr="00A50F32" w:rsidRDefault="009D755F" w:rsidP="00F647C8">
            <w:pPr>
              <w:autoSpaceDE w:val="0"/>
              <w:autoSpaceDN w:val="0"/>
              <w:adjustRightInd w:val="0"/>
              <w:jc w:val="center"/>
              <w:rPr>
                <w:color w:val="000000"/>
                <w:sz w:val="20"/>
              </w:rPr>
            </w:pPr>
          </w:p>
        </w:tc>
        <w:tc>
          <w:tcPr>
            <w:tcW w:w="1842" w:type="dxa"/>
            <w:vAlign w:val="bottom"/>
          </w:tcPr>
          <w:p w14:paraId="544F1C8F" w14:textId="77777777" w:rsidR="009D755F" w:rsidRPr="00A50F32" w:rsidRDefault="009D755F" w:rsidP="00F647C8">
            <w:pPr>
              <w:autoSpaceDE w:val="0"/>
              <w:autoSpaceDN w:val="0"/>
              <w:adjustRightInd w:val="0"/>
              <w:jc w:val="center"/>
              <w:rPr>
                <w:color w:val="000000"/>
                <w:sz w:val="20"/>
              </w:rPr>
            </w:pPr>
          </w:p>
        </w:tc>
      </w:tr>
      <w:tr w:rsidR="009D755F" w:rsidRPr="00A50F32" w14:paraId="632EAB59" w14:textId="77777777" w:rsidTr="00EE1365">
        <w:trPr>
          <w:trHeight w:val="220"/>
        </w:trPr>
        <w:tc>
          <w:tcPr>
            <w:tcW w:w="2664" w:type="dxa"/>
            <w:vAlign w:val="bottom"/>
          </w:tcPr>
          <w:p w14:paraId="7C0006FF" w14:textId="77777777" w:rsidR="009D755F" w:rsidRPr="00A50F32" w:rsidRDefault="009D755F" w:rsidP="00F647C8">
            <w:pPr>
              <w:autoSpaceDE w:val="0"/>
              <w:autoSpaceDN w:val="0"/>
              <w:adjustRightInd w:val="0"/>
              <w:jc w:val="center"/>
              <w:rPr>
                <w:color w:val="000000"/>
                <w:sz w:val="20"/>
              </w:rPr>
            </w:pPr>
            <w:r w:rsidRPr="00A50F32">
              <w:rPr>
                <w:color w:val="000000"/>
                <w:sz w:val="20"/>
              </w:rPr>
              <w:t>EG(-1)</w:t>
            </w:r>
          </w:p>
        </w:tc>
        <w:tc>
          <w:tcPr>
            <w:tcW w:w="1536" w:type="dxa"/>
            <w:vAlign w:val="bottom"/>
          </w:tcPr>
          <w:p w14:paraId="281950E9" w14:textId="77777777" w:rsidR="009D755F" w:rsidRPr="00A50F32" w:rsidRDefault="009D755F" w:rsidP="00F647C8">
            <w:pPr>
              <w:autoSpaceDE w:val="0"/>
              <w:autoSpaceDN w:val="0"/>
              <w:adjustRightInd w:val="0"/>
              <w:jc w:val="center"/>
              <w:rPr>
                <w:color w:val="000000"/>
                <w:sz w:val="20"/>
              </w:rPr>
            </w:pPr>
            <w:r w:rsidRPr="00A50F32">
              <w:rPr>
                <w:color w:val="000000"/>
                <w:sz w:val="20"/>
              </w:rPr>
              <w:t> 1.000000</w:t>
            </w:r>
          </w:p>
        </w:tc>
        <w:tc>
          <w:tcPr>
            <w:tcW w:w="1417" w:type="dxa"/>
            <w:vAlign w:val="bottom"/>
          </w:tcPr>
          <w:p w14:paraId="6E41C040" w14:textId="77777777" w:rsidR="009D755F" w:rsidRPr="00A50F32" w:rsidRDefault="009D755F" w:rsidP="00F647C8">
            <w:pPr>
              <w:autoSpaceDE w:val="0"/>
              <w:autoSpaceDN w:val="0"/>
              <w:adjustRightInd w:val="0"/>
              <w:jc w:val="center"/>
              <w:rPr>
                <w:color w:val="000000"/>
                <w:sz w:val="20"/>
              </w:rPr>
            </w:pPr>
          </w:p>
        </w:tc>
        <w:tc>
          <w:tcPr>
            <w:tcW w:w="1560" w:type="dxa"/>
            <w:vAlign w:val="bottom"/>
          </w:tcPr>
          <w:p w14:paraId="6B794DA2" w14:textId="77777777" w:rsidR="009D755F" w:rsidRPr="00A50F32" w:rsidRDefault="009D755F" w:rsidP="00F647C8">
            <w:pPr>
              <w:autoSpaceDE w:val="0"/>
              <w:autoSpaceDN w:val="0"/>
              <w:adjustRightInd w:val="0"/>
              <w:jc w:val="center"/>
              <w:rPr>
                <w:color w:val="000000"/>
                <w:sz w:val="20"/>
              </w:rPr>
            </w:pPr>
          </w:p>
        </w:tc>
        <w:tc>
          <w:tcPr>
            <w:tcW w:w="1842" w:type="dxa"/>
            <w:vAlign w:val="bottom"/>
          </w:tcPr>
          <w:p w14:paraId="27A43FC2" w14:textId="77777777" w:rsidR="009D755F" w:rsidRPr="00A50F32" w:rsidRDefault="009D755F" w:rsidP="00F647C8">
            <w:pPr>
              <w:autoSpaceDE w:val="0"/>
              <w:autoSpaceDN w:val="0"/>
              <w:adjustRightInd w:val="0"/>
              <w:jc w:val="center"/>
              <w:rPr>
                <w:color w:val="000000"/>
                <w:sz w:val="20"/>
              </w:rPr>
            </w:pPr>
          </w:p>
        </w:tc>
      </w:tr>
      <w:tr w:rsidR="009D755F" w:rsidRPr="00A50F32" w14:paraId="24AA494D" w14:textId="77777777" w:rsidTr="00EE1365">
        <w:trPr>
          <w:trHeight w:val="220"/>
        </w:trPr>
        <w:tc>
          <w:tcPr>
            <w:tcW w:w="2664" w:type="dxa"/>
            <w:vAlign w:val="bottom"/>
          </w:tcPr>
          <w:p w14:paraId="52DCF2F6" w14:textId="77777777" w:rsidR="009D755F" w:rsidRPr="00A50F32" w:rsidRDefault="009D755F" w:rsidP="00F647C8">
            <w:pPr>
              <w:autoSpaceDE w:val="0"/>
              <w:autoSpaceDN w:val="0"/>
              <w:adjustRightInd w:val="0"/>
              <w:jc w:val="center"/>
              <w:rPr>
                <w:color w:val="000000"/>
                <w:sz w:val="20"/>
              </w:rPr>
            </w:pPr>
            <w:r w:rsidRPr="00A50F32">
              <w:rPr>
                <w:color w:val="000000"/>
                <w:sz w:val="20"/>
              </w:rPr>
              <w:t>MP(-1)</w:t>
            </w:r>
          </w:p>
        </w:tc>
        <w:tc>
          <w:tcPr>
            <w:tcW w:w="1536" w:type="dxa"/>
            <w:vAlign w:val="bottom"/>
          </w:tcPr>
          <w:p w14:paraId="01619F69" w14:textId="77777777" w:rsidR="009D755F" w:rsidRPr="00A50F32" w:rsidRDefault="009D755F" w:rsidP="00F647C8">
            <w:pPr>
              <w:autoSpaceDE w:val="0"/>
              <w:autoSpaceDN w:val="0"/>
              <w:adjustRightInd w:val="0"/>
              <w:jc w:val="center"/>
              <w:rPr>
                <w:color w:val="000000"/>
                <w:sz w:val="20"/>
              </w:rPr>
            </w:pPr>
            <w:r w:rsidRPr="00A50F32">
              <w:rPr>
                <w:color w:val="000000"/>
                <w:sz w:val="20"/>
              </w:rPr>
              <w:t> 0.095295</w:t>
            </w:r>
          </w:p>
        </w:tc>
        <w:tc>
          <w:tcPr>
            <w:tcW w:w="1417" w:type="dxa"/>
            <w:vAlign w:val="bottom"/>
          </w:tcPr>
          <w:p w14:paraId="192D4308" w14:textId="77777777" w:rsidR="009D755F" w:rsidRPr="00A50F32" w:rsidRDefault="009D755F" w:rsidP="00F647C8">
            <w:pPr>
              <w:autoSpaceDE w:val="0"/>
              <w:autoSpaceDN w:val="0"/>
              <w:adjustRightInd w:val="0"/>
              <w:jc w:val="center"/>
              <w:rPr>
                <w:color w:val="000000"/>
                <w:sz w:val="20"/>
              </w:rPr>
            </w:pPr>
          </w:p>
        </w:tc>
        <w:tc>
          <w:tcPr>
            <w:tcW w:w="1560" w:type="dxa"/>
            <w:vAlign w:val="bottom"/>
          </w:tcPr>
          <w:p w14:paraId="7871531C" w14:textId="77777777" w:rsidR="009D755F" w:rsidRPr="00A50F32" w:rsidRDefault="009D755F" w:rsidP="00F647C8">
            <w:pPr>
              <w:autoSpaceDE w:val="0"/>
              <w:autoSpaceDN w:val="0"/>
              <w:adjustRightInd w:val="0"/>
              <w:jc w:val="center"/>
              <w:rPr>
                <w:color w:val="000000"/>
                <w:sz w:val="20"/>
              </w:rPr>
            </w:pPr>
          </w:p>
        </w:tc>
        <w:tc>
          <w:tcPr>
            <w:tcW w:w="1842" w:type="dxa"/>
            <w:vAlign w:val="bottom"/>
          </w:tcPr>
          <w:p w14:paraId="2E8E5046" w14:textId="77777777" w:rsidR="009D755F" w:rsidRPr="00A50F32" w:rsidRDefault="009D755F" w:rsidP="00F647C8">
            <w:pPr>
              <w:autoSpaceDE w:val="0"/>
              <w:autoSpaceDN w:val="0"/>
              <w:adjustRightInd w:val="0"/>
              <w:jc w:val="center"/>
              <w:rPr>
                <w:color w:val="000000"/>
                <w:sz w:val="20"/>
              </w:rPr>
            </w:pPr>
          </w:p>
        </w:tc>
      </w:tr>
      <w:tr w:rsidR="009D755F" w:rsidRPr="00A50F32" w14:paraId="06CBF034" w14:textId="77777777" w:rsidTr="00EE1365">
        <w:trPr>
          <w:trHeight w:val="220"/>
        </w:trPr>
        <w:tc>
          <w:tcPr>
            <w:tcW w:w="2664" w:type="dxa"/>
            <w:vAlign w:val="bottom"/>
          </w:tcPr>
          <w:p w14:paraId="33CAC778" w14:textId="77777777" w:rsidR="009D755F" w:rsidRPr="00A50F32" w:rsidRDefault="009D755F" w:rsidP="00F647C8">
            <w:pPr>
              <w:autoSpaceDE w:val="0"/>
              <w:autoSpaceDN w:val="0"/>
              <w:adjustRightInd w:val="0"/>
              <w:jc w:val="center"/>
              <w:rPr>
                <w:color w:val="000000"/>
                <w:sz w:val="20"/>
              </w:rPr>
            </w:pPr>
          </w:p>
        </w:tc>
        <w:tc>
          <w:tcPr>
            <w:tcW w:w="1536" w:type="dxa"/>
            <w:vAlign w:val="bottom"/>
          </w:tcPr>
          <w:p w14:paraId="05531ECA" w14:textId="77777777" w:rsidR="009D755F" w:rsidRPr="00A50F32" w:rsidRDefault="009D755F" w:rsidP="00F647C8">
            <w:pPr>
              <w:autoSpaceDE w:val="0"/>
              <w:autoSpaceDN w:val="0"/>
              <w:adjustRightInd w:val="0"/>
              <w:jc w:val="center"/>
              <w:rPr>
                <w:color w:val="000000"/>
                <w:sz w:val="20"/>
              </w:rPr>
            </w:pPr>
            <w:r w:rsidRPr="00A50F32">
              <w:rPr>
                <w:color w:val="000000"/>
                <w:sz w:val="20"/>
              </w:rPr>
              <w:t> (0.02063)</w:t>
            </w:r>
          </w:p>
        </w:tc>
        <w:tc>
          <w:tcPr>
            <w:tcW w:w="1417" w:type="dxa"/>
            <w:vAlign w:val="bottom"/>
          </w:tcPr>
          <w:p w14:paraId="60D0D6D7" w14:textId="77777777" w:rsidR="009D755F" w:rsidRPr="00A50F32" w:rsidRDefault="009D755F" w:rsidP="00F647C8">
            <w:pPr>
              <w:autoSpaceDE w:val="0"/>
              <w:autoSpaceDN w:val="0"/>
              <w:adjustRightInd w:val="0"/>
              <w:jc w:val="center"/>
              <w:rPr>
                <w:color w:val="000000"/>
                <w:sz w:val="20"/>
              </w:rPr>
            </w:pPr>
          </w:p>
        </w:tc>
        <w:tc>
          <w:tcPr>
            <w:tcW w:w="1560" w:type="dxa"/>
            <w:vAlign w:val="bottom"/>
          </w:tcPr>
          <w:p w14:paraId="46CEDD6E" w14:textId="77777777" w:rsidR="009D755F" w:rsidRPr="00A50F32" w:rsidRDefault="009D755F" w:rsidP="00F647C8">
            <w:pPr>
              <w:autoSpaceDE w:val="0"/>
              <w:autoSpaceDN w:val="0"/>
              <w:adjustRightInd w:val="0"/>
              <w:jc w:val="center"/>
              <w:rPr>
                <w:color w:val="000000"/>
                <w:sz w:val="20"/>
              </w:rPr>
            </w:pPr>
          </w:p>
        </w:tc>
        <w:tc>
          <w:tcPr>
            <w:tcW w:w="1842" w:type="dxa"/>
            <w:vAlign w:val="bottom"/>
          </w:tcPr>
          <w:p w14:paraId="0911B150" w14:textId="77777777" w:rsidR="009D755F" w:rsidRPr="00A50F32" w:rsidRDefault="009D755F" w:rsidP="00F647C8">
            <w:pPr>
              <w:autoSpaceDE w:val="0"/>
              <w:autoSpaceDN w:val="0"/>
              <w:adjustRightInd w:val="0"/>
              <w:jc w:val="center"/>
              <w:rPr>
                <w:color w:val="000000"/>
                <w:sz w:val="20"/>
              </w:rPr>
            </w:pPr>
          </w:p>
        </w:tc>
      </w:tr>
      <w:tr w:rsidR="009D755F" w:rsidRPr="00A50F32" w14:paraId="0C9302E2" w14:textId="77777777" w:rsidTr="00EE1365">
        <w:trPr>
          <w:trHeight w:val="220"/>
        </w:trPr>
        <w:tc>
          <w:tcPr>
            <w:tcW w:w="2664" w:type="dxa"/>
            <w:vAlign w:val="bottom"/>
          </w:tcPr>
          <w:p w14:paraId="58CABFD3" w14:textId="77777777" w:rsidR="009D755F" w:rsidRPr="00A50F32" w:rsidRDefault="009D755F" w:rsidP="00F647C8">
            <w:pPr>
              <w:autoSpaceDE w:val="0"/>
              <w:autoSpaceDN w:val="0"/>
              <w:adjustRightInd w:val="0"/>
              <w:jc w:val="center"/>
              <w:rPr>
                <w:color w:val="000000"/>
                <w:sz w:val="20"/>
              </w:rPr>
            </w:pPr>
          </w:p>
        </w:tc>
        <w:tc>
          <w:tcPr>
            <w:tcW w:w="1536" w:type="dxa"/>
            <w:vAlign w:val="bottom"/>
          </w:tcPr>
          <w:p w14:paraId="752DDFAF" w14:textId="77777777" w:rsidR="009D755F" w:rsidRPr="00A50F32" w:rsidRDefault="009D755F" w:rsidP="00F647C8">
            <w:pPr>
              <w:autoSpaceDE w:val="0"/>
              <w:autoSpaceDN w:val="0"/>
              <w:adjustRightInd w:val="0"/>
              <w:jc w:val="center"/>
              <w:rPr>
                <w:color w:val="000000"/>
                <w:sz w:val="20"/>
              </w:rPr>
            </w:pPr>
            <w:r w:rsidRPr="00A50F32">
              <w:rPr>
                <w:color w:val="000000"/>
                <w:sz w:val="20"/>
              </w:rPr>
              <w:t>[ 4.61999]</w:t>
            </w:r>
          </w:p>
        </w:tc>
        <w:tc>
          <w:tcPr>
            <w:tcW w:w="1417" w:type="dxa"/>
            <w:vAlign w:val="bottom"/>
          </w:tcPr>
          <w:p w14:paraId="7BEB3B33" w14:textId="77777777" w:rsidR="009D755F" w:rsidRPr="00A50F32" w:rsidRDefault="009D755F" w:rsidP="00F647C8">
            <w:pPr>
              <w:autoSpaceDE w:val="0"/>
              <w:autoSpaceDN w:val="0"/>
              <w:adjustRightInd w:val="0"/>
              <w:jc w:val="center"/>
              <w:rPr>
                <w:color w:val="000000"/>
                <w:sz w:val="20"/>
              </w:rPr>
            </w:pPr>
          </w:p>
        </w:tc>
        <w:tc>
          <w:tcPr>
            <w:tcW w:w="1560" w:type="dxa"/>
            <w:vAlign w:val="bottom"/>
          </w:tcPr>
          <w:p w14:paraId="0A4B12D6" w14:textId="77777777" w:rsidR="009D755F" w:rsidRPr="00A50F32" w:rsidRDefault="009D755F" w:rsidP="00F647C8">
            <w:pPr>
              <w:autoSpaceDE w:val="0"/>
              <w:autoSpaceDN w:val="0"/>
              <w:adjustRightInd w:val="0"/>
              <w:jc w:val="center"/>
              <w:rPr>
                <w:color w:val="000000"/>
                <w:sz w:val="20"/>
              </w:rPr>
            </w:pPr>
          </w:p>
        </w:tc>
        <w:tc>
          <w:tcPr>
            <w:tcW w:w="1842" w:type="dxa"/>
            <w:vAlign w:val="bottom"/>
          </w:tcPr>
          <w:p w14:paraId="7D1E403B" w14:textId="77777777" w:rsidR="009D755F" w:rsidRPr="00A50F32" w:rsidRDefault="009D755F" w:rsidP="00F647C8">
            <w:pPr>
              <w:autoSpaceDE w:val="0"/>
              <w:autoSpaceDN w:val="0"/>
              <w:adjustRightInd w:val="0"/>
              <w:jc w:val="center"/>
              <w:rPr>
                <w:color w:val="000000"/>
                <w:sz w:val="20"/>
              </w:rPr>
            </w:pPr>
          </w:p>
        </w:tc>
      </w:tr>
      <w:tr w:rsidR="009D755F" w:rsidRPr="00A50F32" w14:paraId="4B41A676" w14:textId="77777777" w:rsidTr="00EE1365">
        <w:trPr>
          <w:trHeight w:val="220"/>
        </w:trPr>
        <w:tc>
          <w:tcPr>
            <w:tcW w:w="2664" w:type="dxa"/>
            <w:vAlign w:val="bottom"/>
          </w:tcPr>
          <w:p w14:paraId="7E445DFE" w14:textId="77777777" w:rsidR="009D755F" w:rsidRPr="00A50F32" w:rsidRDefault="009D755F" w:rsidP="00F647C8">
            <w:pPr>
              <w:autoSpaceDE w:val="0"/>
              <w:autoSpaceDN w:val="0"/>
              <w:adjustRightInd w:val="0"/>
              <w:jc w:val="center"/>
              <w:rPr>
                <w:color w:val="000000"/>
                <w:sz w:val="20"/>
              </w:rPr>
            </w:pPr>
            <w:r w:rsidRPr="00A50F32">
              <w:rPr>
                <w:color w:val="000000"/>
                <w:sz w:val="20"/>
              </w:rPr>
              <w:t>CI(-1)</w:t>
            </w:r>
          </w:p>
        </w:tc>
        <w:tc>
          <w:tcPr>
            <w:tcW w:w="1536" w:type="dxa"/>
            <w:vAlign w:val="bottom"/>
          </w:tcPr>
          <w:p w14:paraId="1FD6CD7D" w14:textId="77777777" w:rsidR="009D755F" w:rsidRPr="00A50F32" w:rsidRDefault="009D755F" w:rsidP="00F647C8">
            <w:pPr>
              <w:autoSpaceDE w:val="0"/>
              <w:autoSpaceDN w:val="0"/>
              <w:adjustRightInd w:val="0"/>
              <w:jc w:val="center"/>
              <w:rPr>
                <w:color w:val="000000"/>
                <w:sz w:val="20"/>
              </w:rPr>
            </w:pPr>
            <w:r w:rsidRPr="00A50F32">
              <w:rPr>
                <w:color w:val="000000"/>
                <w:sz w:val="20"/>
              </w:rPr>
              <w:t>-3.61E-12</w:t>
            </w:r>
          </w:p>
        </w:tc>
        <w:tc>
          <w:tcPr>
            <w:tcW w:w="1417" w:type="dxa"/>
            <w:vAlign w:val="bottom"/>
          </w:tcPr>
          <w:p w14:paraId="0E9603C3" w14:textId="77777777" w:rsidR="009D755F" w:rsidRPr="00A50F32" w:rsidRDefault="009D755F" w:rsidP="00F647C8">
            <w:pPr>
              <w:autoSpaceDE w:val="0"/>
              <w:autoSpaceDN w:val="0"/>
              <w:adjustRightInd w:val="0"/>
              <w:jc w:val="center"/>
              <w:rPr>
                <w:color w:val="000000"/>
                <w:sz w:val="20"/>
              </w:rPr>
            </w:pPr>
          </w:p>
        </w:tc>
        <w:tc>
          <w:tcPr>
            <w:tcW w:w="1560" w:type="dxa"/>
            <w:vAlign w:val="bottom"/>
          </w:tcPr>
          <w:p w14:paraId="2C1B1107" w14:textId="77777777" w:rsidR="009D755F" w:rsidRPr="00A50F32" w:rsidRDefault="009D755F" w:rsidP="00F647C8">
            <w:pPr>
              <w:autoSpaceDE w:val="0"/>
              <w:autoSpaceDN w:val="0"/>
              <w:adjustRightInd w:val="0"/>
              <w:jc w:val="center"/>
              <w:rPr>
                <w:color w:val="000000"/>
                <w:sz w:val="20"/>
              </w:rPr>
            </w:pPr>
          </w:p>
        </w:tc>
        <w:tc>
          <w:tcPr>
            <w:tcW w:w="1842" w:type="dxa"/>
            <w:vAlign w:val="bottom"/>
          </w:tcPr>
          <w:p w14:paraId="2569146F" w14:textId="77777777" w:rsidR="009D755F" w:rsidRPr="00A50F32" w:rsidRDefault="009D755F" w:rsidP="00F647C8">
            <w:pPr>
              <w:autoSpaceDE w:val="0"/>
              <w:autoSpaceDN w:val="0"/>
              <w:adjustRightInd w:val="0"/>
              <w:jc w:val="center"/>
              <w:rPr>
                <w:color w:val="000000"/>
                <w:sz w:val="20"/>
              </w:rPr>
            </w:pPr>
          </w:p>
        </w:tc>
      </w:tr>
      <w:tr w:rsidR="009D755F" w:rsidRPr="00A50F32" w14:paraId="5665775E" w14:textId="77777777" w:rsidTr="00EE1365">
        <w:trPr>
          <w:trHeight w:val="220"/>
        </w:trPr>
        <w:tc>
          <w:tcPr>
            <w:tcW w:w="2664" w:type="dxa"/>
            <w:vAlign w:val="bottom"/>
          </w:tcPr>
          <w:p w14:paraId="309BE94A" w14:textId="77777777" w:rsidR="009D755F" w:rsidRPr="00A50F32" w:rsidRDefault="009D755F" w:rsidP="00F647C8">
            <w:pPr>
              <w:autoSpaceDE w:val="0"/>
              <w:autoSpaceDN w:val="0"/>
              <w:adjustRightInd w:val="0"/>
              <w:jc w:val="center"/>
              <w:rPr>
                <w:color w:val="000000"/>
                <w:sz w:val="20"/>
              </w:rPr>
            </w:pPr>
          </w:p>
        </w:tc>
        <w:tc>
          <w:tcPr>
            <w:tcW w:w="1536" w:type="dxa"/>
            <w:vAlign w:val="bottom"/>
          </w:tcPr>
          <w:p w14:paraId="68518F5A" w14:textId="77777777" w:rsidR="009D755F" w:rsidRPr="00A50F32" w:rsidRDefault="009D755F" w:rsidP="00F647C8">
            <w:pPr>
              <w:autoSpaceDE w:val="0"/>
              <w:autoSpaceDN w:val="0"/>
              <w:adjustRightInd w:val="0"/>
              <w:jc w:val="center"/>
              <w:rPr>
                <w:color w:val="000000"/>
                <w:sz w:val="20"/>
              </w:rPr>
            </w:pPr>
            <w:r w:rsidRPr="00A50F32">
              <w:rPr>
                <w:color w:val="000000"/>
                <w:sz w:val="20"/>
              </w:rPr>
              <w:t> (9.5E-11)</w:t>
            </w:r>
          </w:p>
        </w:tc>
        <w:tc>
          <w:tcPr>
            <w:tcW w:w="1417" w:type="dxa"/>
            <w:vAlign w:val="bottom"/>
          </w:tcPr>
          <w:p w14:paraId="1BF556E0" w14:textId="77777777" w:rsidR="009D755F" w:rsidRPr="00A50F32" w:rsidRDefault="009D755F" w:rsidP="00F647C8">
            <w:pPr>
              <w:autoSpaceDE w:val="0"/>
              <w:autoSpaceDN w:val="0"/>
              <w:adjustRightInd w:val="0"/>
              <w:jc w:val="center"/>
              <w:rPr>
                <w:color w:val="000000"/>
                <w:sz w:val="20"/>
              </w:rPr>
            </w:pPr>
          </w:p>
        </w:tc>
        <w:tc>
          <w:tcPr>
            <w:tcW w:w="1560" w:type="dxa"/>
            <w:vAlign w:val="bottom"/>
          </w:tcPr>
          <w:p w14:paraId="2E12876C" w14:textId="77777777" w:rsidR="009D755F" w:rsidRPr="00A50F32" w:rsidRDefault="009D755F" w:rsidP="00F647C8">
            <w:pPr>
              <w:autoSpaceDE w:val="0"/>
              <w:autoSpaceDN w:val="0"/>
              <w:adjustRightInd w:val="0"/>
              <w:jc w:val="center"/>
              <w:rPr>
                <w:color w:val="000000"/>
                <w:sz w:val="20"/>
              </w:rPr>
            </w:pPr>
          </w:p>
        </w:tc>
        <w:tc>
          <w:tcPr>
            <w:tcW w:w="1842" w:type="dxa"/>
            <w:vAlign w:val="bottom"/>
          </w:tcPr>
          <w:p w14:paraId="17E20EFB" w14:textId="77777777" w:rsidR="009D755F" w:rsidRPr="00A50F32" w:rsidRDefault="009D755F" w:rsidP="00F647C8">
            <w:pPr>
              <w:autoSpaceDE w:val="0"/>
              <w:autoSpaceDN w:val="0"/>
              <w:adjustRightInd w:val="0"/>
              <w:jc w:val="center"/>
              <w:rPr>
                <w:color w:val="000000"/>
                <w:sz w:val="20"/>
              </w:rPr>
            </w:pPr>
          </w:p>
        </w:tc>
      </w:tr>
      <w:tr w:rsidR="009D755F" w:rsidRPr="00A50F32" w14:paraId="264A2B16" w14:textId="77777777" w:rsidTr="00EE1365">
        <w:trPr>
          <w:trHeight w:val="220"/>
        </w:trPr>
        <w:tc>
          <w:tcPr>
            <w:tcW w:w="2664" w:type="dxa"/>
            <w:vAlign w:val="bottom"/>
          </w:tcPr>
          <w:p w14:paraId="0DA1363B" w14:textId="77777777" w:rsidR="009D755F" w:rsidRPr="00A50F32" w:rsidRDefault="009D755F" w:rsidP="00F647C8">
            <w:pPr>
              <w:autoSpaceDE w:val="0"/>
              <w:autoSpaceDN w:val="0"/>
              <w:adjustRightInd w:val="0"/>
              <w:jc w:val="center"/>
              <w:rPr>
                <w:color w:val="000000"/>
                <w:sz w:val="20"/>
              </w:rPr>
            </w:pPr>
          </w:p>
        </w:tc>
        <w:tc>
          <w:tcPr>
            <w:tcW w:w="1536" w:type="dxa"/>
            <w:vAlign w:val="bottom"/>
          </w:tcPr>
          <w:p w14:paraId="7CAA2A2E" w14:textId="77777777" w:rsidR="009D755F" w:rsidRPr="00A50F32" w:rsidRDefault="009D755F" w:rsidP="00F647C8">
            <w:pPr>
              <w:autoSpaceDE w:val="0"/>
              <w:autoSpaceDN w:val="0"/>
              <w:adjustRightInd w:val="0"/>
              <w:jc w:val="center"/>
              <w:rPr>
                <w:color w:val="000000"/>
                <w:sz w:val="20"/>
              </w:rPr>
            </w:pPr>
            <w:r w:rsidRPr="00A50F32">
              <w:rPr>
                <w:color w:val="000000"/>
                <w:sz w:val="20"/>
              </w:rPr>
              <w:t>[-0.03803]</w:t>
            </w:r>
          </w:p>
        </w:tc>
        <w:tc>
          <w:tcPr>
            <w:tcW w:w="1417" w:type="dxa"/>
            <w:vAlign w:val="bottom"/>
          </w:tcPr>
          <w:p w14:paraId="2721221F" w14:textId="77777777" w:rsidR="009D755F" w:rsidRPr="00A50F32" w:rsidRDefault="009D755F" w:rsidP="00F647C8">
            <w:pPr>
              <w:autoSpaceDE w:val="0"/>
              <w:autoSpaceDN w:val="0"/>
              <w:adjustRightInd w:val="0"/>
              <w:jc w:val="center"/>
              <w:rPr>
                <w:color w:val="000000"/>
                <w:sz w:val="20"/>
              </w:rPr>
            </w:pPr>
          </w:p>
        </w:tc>
        <w:tc>
          <w:tcPr>
            <w:tcW w:w="1560" w:type="dxa"/>
            <w:vAlign w:val="bottom"/>
          </w:tcPr>
          <w:p w14:paraId="3D26B908" w14:textId="77777777" w:rsidR="009D755F" w:rsidRPr="00A50F32" w:rsidRDefault="009D755F" w:rsidP="00F647C8">
            <w:pPr>
              <w:autoSpaceDE w:val="0"/>
              <w:autoSpaceDN w:val="0"/>
              <w:adjustRightInd w:val="0"/>
              <w:jc w:val="center"/>
              <w:rPr>
                <w:color w:val="000000"/>
                <w:sz w:val="20"/>
              </w:rPr>
            </w:pPr>
          </w:p>
        </w:tc>
        <w:tc>
          <w:tcPr>
            <w:tcW w:w="1842" w:type="dxa"/>
            <w:vAlign w:val="bottom"/>
          </w:tcPr>
          <w:p w14:paraId="11954379" w14:textId="77777777" w:rsidR="009D755F" w:rsidRPr="00A50F32" w:rsidRDefault="009D755F" w:rsidP="00F647C8">
            <w:pPr>
              <w:autoSpaceDE w:val="0"/>
              <w:autoSpaceDN w:val="0"/>
              <w:adjustRightInd w:val="0"/>
              <w:jc w:val="center"/>
              <w:rPr>
                <w:color w:val="000000"/>
                <w:sz w:val="20"/>
              </w:rPr>
            </w:pPr>
          </w:p>
        </w:tc>
      </w:tr>
      <w:tr w:rsidR="009D755F" w:rsidRPr="00A50F32" w14:paraId="37878FEC" w14:textId="77777777" w:rsidTr="00EE1365">
        <w:trPr>
          <w:trHeight w:val="220"/>
        </w:trPr>
        <w:tc>
          <w:tcPr>
            <w:tcW w:w="2664" w:type="dxa"/>
            <w:vAlign w:val="bottom"/>
          </w:tcPr>
          <w:p w14:paraId="1921EAE6" w14:textId="77777777" w:rsidR="009D755F" w:rsidRPr="00A50F32" w:rsidRDefault="009D755F" w:rsidP="00F647C8">
            <w:pPr>
              <w:autoSpaceDE w:val="0"/>
              <w:autoSpaceDN w:val="0"/>
              <w:adjustRightInd w:val="0"/>
              <w:jc w:val="center"/>
              <w:rPr>
                <w:color w:val="000000"/>
                <w:sz w:val="20"/>
              </w:rPr>
            </w:pPr>
            <w:r w:rsidRPr="00A50F32">
              <w:rPr>
                <w:color w:val="000000"/>
                <w:sz w:val="20"/>
              </w:rPr>
              <w:t>IPR(-1)</w:t>
            </w:r>
          </w:p>
        </w:tc>
        <w:tc>
          <w:tcPr>
            <w:tcW w:w="1536" w:type="dxa"/>
            <w:vAlign w:val="bottom"/>
          </w:tcPr>
          <w:p w14:paraId="453D35DF" w14:textId="77777777" w:rsidR="009D755F" w:rsidRPr="00A50F32" w:rsidRDefault="009D755F" w:rsidP="00F647C8">
            <w:pPr>
              <w:autoSpaceDE w:val="0"/>
              <w:autoSpaceDN w:val="0"/>
              <w:adjustRightInd w:val="0"/>
              <w:jc w:val="center"/>
              <w:rPr>
                <w:color w:val="000000"/>
                <w:sz w:val="20"/>
              </w:rPr>
            </w:pPr>
            <w:r w:rsidRPr="00A50F32">
              <w:rPr>
                <w:color w:val="000000"/>
                <w:sz w:val="20"/>
              </w:rPr>
              <w:t> 0.000509</w:t>
            </w:r>
          </w:p>
        </w:tc>
        <w:tc>
          <w:tcPr>
            <w:tcW w:w="1417" w:type="dxa"/>
            <w:vAlign w:val="bottom"/>
          </w:tcPr>
          <w:p w14:paraId="58488E51" w14:textId="77777777" w:rsidR="009D755F" w:rsidRPr="00A50F32" w:rsidRDefault="009D755F" w:rsidP="00F647C8">
            <w:pPr>
              <w:autoSpaceDE w:val="0"/>
              <w:autoSpaceDN w:val="0"/>
              <w:adjustRightInd w:val="0"/>
              <w:jc w:val="center"/>
              <w:rPr>
                <w:color w:val="000000"/>
                <w:sz w:val="20"/>
              </w:rPr>
            </w:pPr>
          </w:p>
        </w:tc>
        <w:tc>
          <w:tcPr>
            <w:tcW w:w="1560" w:type="dxa"/>
            <w:vAlign w:val="bottom"/>
          </w:tcPr>
          <w:p w14:paraId="72889F40" w14:textId="77777777" w:rsidR="009D755F" w:rsidRPr="00A50F32" w:rsidRDefault="009D755F" w:rsidP="00F647C8">
            <w:pPr>
              <w:autoSpaceDE w:val="0"/>
              <w:autoSpaceDN w:val="0"/>
              <w:adjustRightInd w:val="0"/>
              <w:jc w:val="center"/>
              <w:rPr>
                <w:color w:val="000000"/>
                <w:sz w:val="20"/>
              </w:rPr>
            </w:pPr>
          </w:p>
        </w:tc>
        <w:tc>
          <w:tcPr>
            <w:tcW w:w="1842" w:type="dxa"/>
            <w:vAlign w:val="bottom"/>
          </w:tcPr>
          <w:p w14:paraId="7E5254AE" w14:textId="77777777" w:rsidR="009D755F" w:rsidRPr="00A50F32" w:rsidRDefault="009D755F" w:rsidP="00F647C8">
            <w:pPr>
              <w:autoSpaceDE w:val="0"/>
              <w:autoSpaceDN w:val="0"/>
              <w:adjustRightInd w:val="0"/>
              <w:jc w:val="center"/>
              <w:rPr>
                <w:color w:val="000000"/>
                <w:sz w:val="20"/>
              </w:rPr>
            </w:pPr>
          </w:p>
        </w:tc>
      </w:tr>
      <w:tr w:rsidR="009D755F" w:rsidRPr="00A50F32" w14:paraId="1B2BF147" w14:textId="77777777" w:rsidTr="00EE1365">
        <w:trPr>
          <w:trHeight w:val="220"/>
        </w:trPr>
        <w:tc>
          <w:tcPr>
            <w:tcW w:w="2664" w:type="dxa"/>
            <w:vAlign w:val="bottom"/>
          </w:tcPr>
          <w:p w14:paraId="66A91C2F" w14:textId="77777777" w:rsidR="009D755F" w:rsidRPr="00A50F32" w:rsidRDefault="009D755F" w:rsidP="00F647C8">
            <w:pPr>
              <w:autoSpaceDE w:val="0"/>
              <w:autoSpaceDN w:val="0"/>
              <w:adjustRightInd w:val="0"/>
              <w:jc w:val="center"/>
              <w:rPr>
                <w:color w:val="000000"/>
                <w:sz w:val="20"/>
              </w:rPr>
            </w:pPr>
          </w:p>
        </w:tc>
        <w:tc>
          <w:tcPr>
            <w:tcW w:w="1536" w:type="dxa"/>
            <w:vAlign w:val="bottom"/>
          </w:tcPr>
          <w:p w14:paraId="00AB33E9" w14:textId="77777777" w:rsidR="009D755F" w:rsidRPr="00A50F32" w:rsidRDefault="009D755F" w:rsidP="00F647C8">
            <w:pPr>
              <w:autoSpaceDE w:val="0"/>
              <w:autoSpaceDN w:val="0"/>
              <w:adjustRightInd w:val="0"/>
              <w:jc w:val="center"/>
              <w:rPr>
                <w:color w:val="000000"/>
                <w:sz w:val="20"/>
              </w:rPr>
            </w:pPr>
            <w:r w:rsidRPr="00A50F32">
              <w:rPr>
                <w:color w:val="000000"/>
                <w:sz w:val="20"/>
              </w:rPr>
              <w:t> (0.00163)</w:t>
            </w:r>
          </w:p>
        </w:tc>
        <w:tc>
          <w:tcPr>
            <w:tcW w:w="1417" w:type="dxa"/>
            <w:vAlign w:val="bottom"/>
          </w:tcPr>
          <w:p w14:paraId="42F31649" w14:textId="77777777" w:rsidR="009D755F" w:rsidRPr="00A50F32" w:rsidRDefault="009D755F" w:rsidP="00F647C8">
            <w:pPr>
              <w:autoSpaceDE w:val="0"/>
              <w:autoSpaceDN w:val="0"/>
              <w:adjustRightInd w:val="0"/>
              <w:jc w:val="center"/>
              <w:rPr>
                <w:color w:val="000000"/>
                <w:sz w:val="20"/>
              </w:rPr>
            </w:pPr>
          </w:p>
        </w:tc>
        <w:tc>
          <w:tcPr>
            <w:tcW w:w="1560" w:type="dxa"/>
            <w:vAlign w:val="bottom"/>
          </w:tcPr>
          <w:p w14:paraId="02AAC18C" w14:textId="77777777" w:rsidR="009D755F" w:rsidRPr="00A50F32" w:rsidRDefault="009D755F" w:rsidP="00F647C8">
            <w:pPr>
              <w:autoSpaceDE w:val="0"/>
              <w:autoSpaceDN w:val="0"/>
              <w:adjustRightInd w:val="0"/>
              <w:jc w:val="center"/>
              <w:rPr>
                <w:color w:val="000000"/>
                <w:sz w:val="20"/>
              </w:rPr>
            </w:pPr>
          </w:p>
        </w:tc>
        <w:tc>
          <w:tcPr>
            <w:tcW w:w="1842" w:type="dxa"/>
            <w:vAlign w:val="bottom"/>
          </w:tcPr>
          <w:p w14:paraId="6BCFBA53" w14:textId="77777777" w:rsidR="009D755F" w:rsidRPr="00A50F32" w:rsidRDefault="009D755F" w:rsidP="00F647C8">
            <w:pPr>
              <w:autoSpaceDE w:val="0"/>
              <w:autoSpaceDN w:val="0"/>
              <w:adjustRightInd w:val="0"/>
              <w:jc w:val="center"/>
              <w:rPr>
                <w:color w:val="000000"/>
                <w:sz w:val="20"/>
              </w:rPr>
            </w:pPr>
          </w:p>
        </w:tc>
      </w:tr>
      <w:tr w:rsidR="009D755F" w:rsidRPr="00A50F32" w14:paraId="74BDB615" w14:textId="77777777" w:rsidTr="00EE1365">
        <w:trPr>
          <w:trHeight w:val="220"/>
        </w:trPr>
        <w:tc>
          <w:tcPr>
            <w:tcW w:w="2664" w:type="dxa"/>
            <w:vAlign w:val="bottom"/>
          </w:tcPr>
          <w:p w14:paraId="7FD3E337" w14:textId="77777777" w:rsidR="009D755F" w:rsidRPr="00A50F32" w:rsidRDefault="009D755F" w:rsidP="00F647C8">
            <w:pPr>
              <w:autoSpaceDE w:val="0"/>
              <w:autoSpaceDN w:val="0"/>
              <w:adjustRightInd w:val="0"/>
              <w:jc w:val="center"/>
              <w:rPr>
                <w:color w:val="000000"/>
                <w:sz w:val="20"/>
              </w:rPr>
            </w:pPr>
          </w:p>
        </w:tc>
        <w:tc>
          <w:tcPr>
            <w:tcW w:w="1536" w:type="dxa"/>
            <w:vAlign w:val="bottom"/>
          </w:tcPr>
          <w:p w14:paraId="7EC0BE8C" w14:textId="77777777" w:rsidR="009D755F" w:rsidRPr="00A50F32" w:rsidRDefault="009D755F" w:rsidP="00F647C8">
            <w:pPr>
              <w:autoSpaceDE w:val="0"/>
              <w:autoSpaceDN w:val="0"/>
              <w:adjustRightInd w:val="0"/>
              <w:jc w:val="center"/>
              <w:rPr>
                <w:color w:val="000000"/>
                <w:sz w:val="20"/>
              </w:rPr>
            </w:pPr>
            <w:r w:rsidRPr="00A50F32">
              <w:rPr>
                <w:color w:val="000000"/>
                <w:sz w:val="20"/>
              </w:rPr>
              <w:t>[ 0.31238]</w:t>
            </w:r>
          </w:p>
        </w:tc>
        <w:tc>
          <w:tcPr>
            <w:tcW w:w="1417" w:type="dxa"/>
            <w:vAlign w:val="bottom"/>
          </w:tcPr>
          <w:p w14:paraId="435AED95" w14:textId="77777777" w:rsidR="009D755F" w:rsidRPr="00A50F32" w:rsidRDefault="009D755F" w:rsidP="00F647C8">
            <w:pPr>
              <w:autoSpaceDE w:val="0"/>
              <w:autoSpaceDN w:val="0"/>
              <w:adjustRightInd w:val="0"/>
              <w:jc w:val="center"/>
              <w:rPr>
                <w:color w:val="000000"/>
                <w:sz w:val="20"/>
              </w:rPr>
            </w:pPr>
          </w:p>
        </w:tc>
        <w:tc>
          <w:tcPr>
            <w:tcW w:w="1560" w:type="dxa"/>
            <w:vAlign w:val="bottom"/>
          </w:tcPr>
          <w:p w14:paraId="12593630" w14:textId="77777777" w:rsidR="009D755F" w:rsidRPr="00A50F32" w:rsidRDefault="009D755F" w:rsidP="00F647C8">
            <w:pPr>
              <w:autoSpaceDE w:val="0"/>
              <w:autoSpaceDN w:val="0"/>
              <w:adjustRightInd w:val="0"/>
              <w:jc w:val="center"/>
              <w:rPr>
                <w:color w:val="000000"/>
                <w:sz w:val="20"/>
              </w:rPr>
            </w:pPr>
          </w:p>
        </w:tc>
        <w:tc>
          <w:tcPr>
            <w:tcW w:w="1842" w:type="dxa"/>
            <w:vAlign w:val="bottom"/>
          </w:tcPr>
          <w:p w14:paraId="038086BD" w14:textId="77777777" w:rsidR="009D755F" w:rsidRPr="00A50F32" w:rsidRDefault="009D755F" w:rsidP="00F647C8">
            <w:pPr>
              <w:autoSpaceDE w:val="0"/>
              <w:autoSpaceDN w:val="0"/>
              <w:adjustRightInd w:val="0"/>
              <w:jc w:val="center"/>
              <w:rPr>
                <w:color w:val="000000"/>
                <w:sz w:val="20"/>
              </w:rPr>
            </w:pPr>
          </w:p>
        </w:tc>
      </w:tr>
      <w:tr w:rsidR="009D755F" w:rsidRPr="00A50F32" w14:paraId="416DE868" w14:textId="77777777" w:rsidTr="00EE1365">
        <w:trPr>
          <w:trHeight w:val="220"/>
        </w:trPr>
        <w:tc>
          <w:tcPr>
            <w:tcW w:w="2664" w:type="dxa"/>
            <w:vAlign w:val="bottom"/>
          </w:tcPr>
          <w:p w14:paraId="442E515A" w14:textId="77777777" w:rsidR="009D755F" w:rsidRPr="00A50F32" w:rsidRDefault="009D755F" w:rsidP="00F647C8">
            <w:pPr>
              <w:autoSpaceDE w:val="0"/>
              <w:autoSpaceDN w:val="0"/>
              <w:adjustRightInd w:val="0"/>
              <w:jc w:val="center"/>
              <w:rPr>
                <w:color w:val="000000"/>
                <w:sz w:val="20"/>
              </w:rPr>
            </w:pPr>
            <w:r w:rsidRPr="00A50F32">
              <w:rPr>
                <w:color w:val="000000"/>
                <w:sz w:val="20"/>
              </w:rPr>
              <w:t>C</w:t>
            </w:r>
          </w:p>
        </w:tc>
        <w:tc>
          <w:tcPr>
            <w:tcW w:w="1536" w:type="dxa"/>
            <w:vAlign w:val="bottom"/>
          </w:tcPr>
          <w:p w14:paraId="3FF3CD0D" w14:textId="77777777" w:rsidR="009D755F" w:rsidRPr="00A50F32" w:rsidRDefault="009D755F" w:rsidP="00F647C8">
            <w:pPr>
              <w:autoSpaceDE w:val="0"/>
              <w:autoSpaceDN w:val="0"/>
              <w:adjustRightInd w:val="0"/>
              <w:jc w:val="center"/>
              <w:rPr>
                <w:color w:val="000000"/>
                <w:sz w:val="20"/>
              </w:rPr>
            </w:pPr>
            <w:r w:rsidRPr="00A50F32">
              <w:rPr>
                <w:color w:val="000000"/>
                <w:sz w:val="20"/>
              </w:rPr>
              <w:t>-16.13858</w:t>
            </w:r>
          </w:p>
        </w:tc>
        <w:tc>
          <w:tcPr>
            <w:tcW w:w="1417" w:type="dxa"/>
            <w:vAlign w:val="bottom"/>
          </w:tcPr>
          <w:p w14:paraId="070E4005" w14:textId="77777777" w:rsidR="009D755F" w:rsidRPr="00A50F32" w:rsidRDefault="009D755F" w:rsidP="00F647C8">
            <w:pPr>
              <w:autoSpaceDE w:val="0"/>
              <w:autoSpaceDN w:val="0"/>
              <w:adjustRightInd w:val="0"/>
              <w:jc w:val="center"/>
              <w:rPr>
                <w:color w:val="000000"/>
                <w:sz w:val="20"/>
              </w:rPr>
            </w:pPr>
          </w:p>
        </w:tc>
        <w:tc>
          <w:tcPr>
            <w:tcW w:w="1560" w:type="dxa"/>
            <w:vAlign w:val="bottom"/>
          </w:tcPr>
          <w:p w14:paraId="48BAC08E" w14:textId="77777777" w:rsidR="009D755F" w:rsidRPr="00A50F32" w:rsidRDefault="009D755F" w:rsidP="00F647C8">
            <w:pPr>
              <w:autoSpaceDE w:val="0"/>
              <w:autoSpaceDN w:val="0"/>
              <w:adjustRightInd w:val="0"/>
              <w:jc w:val="center"/>
              <w:rPr>
                <w:color w:val="000000"/>
                <w:sz w:val="20"/>
              </w:rPr>
            </w:pPr>
          </w:p>
        </w:tc>
        <w:tc>
          <w:tcPr>
            <w:tcW w:w="1842" w:type="dxa"/>
            <w:vAlign w:val="bottom"/>
          </w:tcPr>
          <w:p w14:paraId="3F79DF07" w14:textId="77777777" w:rsidR="009D755F" w:rsidRPr="00A50F32" w:rsidRDefault="009D755F" w:rsidP="00F647C8">
            <w:pPr>
              <w:autoSpaceDE w:val="0"/>
              <w:autoSpaceDN w:val="0"/>
              <w:adjustRightInd w:val="0"/>
              <w:jc w:val="center"/>
              <w:rPr>
                <w:color w:val="000000"/>
                <w:sz w:val="20"/>
              </w:rPr>
            </w:pPr>
          </w:p>
        </w:tc>
      </w:tr>
      <w:tr w:rsidR="009D755F" w:rsidRPr="00A50F32" w14:paraId="09C3BD0A" w14:textId="77777777" w:rsidTr="00EE1365">
        <w:trPr>
          <w:trHeight w:val="220"/>
        </w:trPr>
        <w:tc>
          <w:tcPr>
            <w:tcW w:w="2664" w:type="dxa"/>
            <w:vAlign w:val="bottom"/>
          </w:tcPr>
          <w:p w14:paraId="761F029C" w14:textId="77777777" w:rsidR="009D755F" w:rsidRPr="00A50F32" w:rsidRDefault="009D755F" w:rsidP="00F647C8">
            <w:pPr>
              <w:autoSpaceDE w:val="0"/>
              <w:autoSpaceDN w:val="0"/>
              <w:adjustRightInd w:val="0"/>
              <w:jc w:val="center"/>
              <w:rPr>
                <w:color w:val="000000"/>
                <w:sz w:val="20"/>
              </w:rPr>
            </w:pPr>
            <w:r w:rsidRPr="00A50F32">
              <w:rPr>
                <w:color w:val="000000"/>
                <w:sz w:val="20"/>
              </w:rPr>
              <w:t>Error Correction:</w:t>
            </w:r>
          </w:p>
        </w:tc>
        <w:tc>
          <w:tcPr>
            <w:tcW w:w="1536" w:type="dxa"/>
            <w:vAlign w:val="bottom"/>
          </w:tcPr>
          <w:p w14:paraId="1EB420DF" w14:textId="77777777" w:rsidR="009D755F" w:rsidRPr="00A50F32" w:rsidRDefault="009D755F" w:rsidP="00F647C8">
            <w:pPr>
              <w:autoSpaceDE w:val="0"/>
              <w:autoSpaceDN w:val="0"/>
              <w:adjustRightInd w:val="0"/>
              <w:jc w:val="center"/>
              <w:rPr>
                <w:color w:val="000000"/>
                <w:sz w:val="20"/>
              </w:rPr>
            </w:pPr>
            <w:r w:rsidRPr="00A50F32">
              <w:rPr>
                <w:color w:val="000000"/>
                <w:sz w:val="20"/>
              </w:rPr>
              <w:t>D(EG)</w:t>
            </w:r>
          </w:p>
        </w:tc>
        <w:tc>
          <w:tcPr>
            <w:tcW w:w="1417" w:type="dxa"/>
            <w:vAlign w:val="bottom"/>
          </w:tcPr>
          <w:p w14:paraId="7F5DCAC6" w14:textId="77777777" w:rsidR="009D755F" w:rsidRPr="00A50F32" w:rsidRDefault="009D755F" w:rsidP="00F647C8">
            <w:pPr>
              <w:autoSpaceDE w:val="0"/>
              <w:autoSpaceDN w:val="0"/>
              <w:adjustRightInd w:val="0"/>
              <w:jc w:val="center"/>
              <w:rPr>
                <w:color w:val="000000"/>
                <w:sz w:val="20"/>
              </w:rPr>
            </w:pPr>
            <w:r w:rsidRPr="00A50F32">
              <w:rPr>
                <w:color w:val="000000"/>
                <w:sz w:val="20"/>
              </w:rPr>
              <w:t>D(MP)</w:t>
            </w:r>
          </w:p>
        </w:tc>
        <w:tc>
          <w:tcPr>
            <w:tcW w:w="1560" w:type="dxa"/>
            <w:vAlign w:val="bottom"/>
          </w:tcPr>
          <w:p w14:paraId="4C38FDDF" w14:textId="77777777" w:rsidR="009D755F" w:rsidRPr="00A50F32" w:rsidRDefault="009D755F" w:rsidP="00F647C8">
            <w:pPr>
              <w:autoSpaceDE w:val="0"/>
              <w:autoSpaceDN w:val="0"/>
              <w:adjustRightInd w:val="0"/>
              <w:jc w:val="center"/>
              <w:rPr>
                <w:color w:val="000000"/>
                <w:sz w:val="20"/>
              </w:rPr>
            </w:pPr>
            <w:r w:rsidRPr="00A50F32">
              <w:rPr>
                <w:color w:val="000000"/>
                <w:sz w:val="20"/>
              </w:rPr>
              <w:t>D(CI)</w:t>
            </w:r>
          </w:p>
        </w:tc>
        <w:tc>
          <w:tcPr>
            <w:tcW w:w="1842" w:type="dxa"/>
            <w:vAlign w:val="bottom"/>
          </w:tcPr>
          <w:p w14:paraId="41703C3D" w14:textId="77777777" w:rsidR="009D755F" w:rsidRPr="00A50F32" w:rsidRDefault="009D755F" w:rsidP="00F647C8">
            <w:pPr>
              <w:autoSpaceDE w:val="0"/>
              <w:autoSpaceDN w:val="0"/>
              <w:adjustRightInd w:val="0"/>
              <w:jc w:val="center"/>
              <w:rPr>
                <w:color w:val="000000"/>
                <w:sz w:val="20"/>
              </w:rPr>
            </w:pPr>
            <w:r w:rsidRPr="00A50F32">
              <w:rPr>
                <w:color w:val="000000"/>
                <w:sz w:val="20"/>
              </w:rPr>
              <w:t>D(IPR)</w:t>
            </w:r>
          </w:p>
        </w:tc>
      </w:tr>
      <w:tr w:rsidR="009D755F" w:rsidRPr="00A50F32" w14:paraId="45DA5EE1" w14:textId="77777777" w:rsidTr="00EE1365">
        <w:trPr>
          <w:trHeight w:val="220"/>
        </w:trPr>
        <w:tc>
          <w:tcPr>
            <w:tcW w:w="2664" w:type="dxa"/>
            <w:vAlign w:val="bottom"/>
          </w:tcPr>
          <w:p w14:paraId="409EAE26" w14:textId="77777777" w:rsidR="009D755F" w:rsidRPr="00A50F32" w:rsidRDefault="009D755F" w:rsidP="00F647C8">
            <w:pPr>
              <w:autoSpaceDE w:val="0"/>
              <w:autoSpaceDN w:val="0"/>
              <w:adjustRightInd w:val="0"/>
              <w:jc w:val="center"/>
              <w:rPr>
                <w:color w:val="000000"/>
                <w:sz w:val="20"/>
              </w:rPr>
            </w:pPr>
            <w:r w:rsidRPr="00A50F32">
              <w:rPr>
                <w:color w:val="000000"/>
                <w:sz w:val="20"/>
              </w:rPr>
              <w:t>CointEq1</w:t>
            </w:r>
          </w:p>
        </w:tc>
        <w:tc>
          <w:tcPr>
            <w:tcW w:w="1536" w:type="dxa"/>
            <w:vAlign w:val="bottom"/>
          </w:tcPr>
          <w:p w14:paraId="228BAE04" w14:textId="77777777" w:rsidR="009D755F" w:rsidRPr="00A50F32" w:rsidRDefault="009D755F" w:rsidP="00F647C8">
            <w:pPr>
              <w:autoSpaceDE w:val="0"/>
              <w:autoSpaceDN w:val="0"/>
              <w:adjustRightInd w:val="0"/>
              <w:jc w:val="center"/>
              <w:rPr>
                <w:color w:val="000000"/>
                <w:sz w:val="20"/>
              </w:rPr>
            </w:pPr>
            <w:r w:rsidRPr="00A50F32">
              <w:rPr>
                <w:color w:val="000000"/>
                <w:sz w:val="20"/>
              </w:rPr>
              <w:t>-0.435101</w:t>
            </w:r>
          </w:p>
        </w:tc>
        <w:tc>
          <w:tcPr>
            <w:tcW w:w="1417" w:type="dxa"/>
            <w:vAlign w:val="bottom"/>
          </w:tcPr>
          <w:p w14:paraId="639F8A7F" w14:textId="77777777" w:rsidR="009D755F" w:rsidRPr="00A50F32" w:rsidRDefault="009D755F" w:rsidP="00F647C8">
            <w:pPr>
              <w:autoSpaceDE w:val="0"/>
              <w:autoSpaceDN w:val="0"/>
              <w:adjustRightInd w:val="0"/>
              <w:jc w:val="center"/>
              <w:rPr>
                <w:color w:val="000000"/>
                <w:sz w:val="20"/>
              </w:rPr>
            </w:pPr>
            <w:r w:rsidRPr="00A50F32">
              <w:rPr>
                <w:color w:val="000000"/>
                <w:sz w:val="20"/>
              </w:rPr>
              <w:t>-1.652123</w:t>
            </w:r>
          </w:p>
        </w:tc>
        <w:tc>
          <w:tcPr>
            <w:tcW w:w="1560" w:type="dxa"/>
            <w:vAlign w:val="bottom"/>
          </w:tcPr>
          <w:p w14:paraId="7A910911" w14:textId="77777777" w:rsidR="009D755F" w:rsidRPr="00A50F32" w:rsidRDefault="009D755F" w:rsidP="00F647C8">
            <w:pPr>
              <w:autoSpaceDE w:val="0"/>
              <w:autoSpaceDN w:val="0"/>
              <w:adjustRightInd w:val="0"/>
              <w:jc w:val="center"/>
              <w:rPr>
                <w:color w:val="000000"/>
                <w:sz w:val="20"/>
              </w:rPr>
            </w:pPr>
            <w:r w:rsidRPr="00A50F32">
              <w:rPr>
                <w:color w:val="000000"/>
                <w:sz w:val="20"/>
              </w:rPr>
              <w:t>-16635382</w:t>
            </w:r>
          </w:p>
        </w:tc>
        <w:tc>
          <w:tcPr>
            <w:tcW w:w="1842" w:type="dxa"/>
            <w:vAlign w:val="bottom"/>
          </w:tcPr>
          <w:p w14:paraId="2915D6B3" w14:textId="77777777" w:rsidR="009D755F" w:rsidRPr="00A50F32" w:rsidRDefault="009D755F" w:rsidP="00F647C8">
            <w:pPr>
              <w:autoSpaceDE w:val="0"/>
              <w:autoSpaceDN w:val="0"/>
              <w:adjustRightInd w:val="0"/>
              <w:jc w:val="center"/>
              <w:rPr>
                <w:color w:val="000000"/>
                <w:sz w:val="20"/>
              </w:rPr>
            </w:pPr>
            <w:r w:rsidRPr="00A50F32">
              <w:rPr>
                <w:color w:val="000000"/>
                <w:sz w:val="20"/>
              </w:rPr>
              <w:t> 5.895944</w:t>
            </w:r>
          </w:p>
        </w:tc>
      </w:tr>
      <w:tr w:rsidR="009D755F" w:rsidRPr="00A50F32" w14:paraId="7559BF5C" w14:textId="77777777" w:rsidTr="00EE1365">
        <w:trPr>
          <w:trHeight w:val="220"/>
        </w:trPr>
        <w:tc>
          <w:tcPr>
            <w:tcW w:w="2664" w:type="dxa"/>
            <w:vAlign w:val="bottom"/>
          </w:tcPr>
          <w:p w14:paraId="6576AD03" w14:textId="77777777" w:rsidR="009D755F" w:rsidRPr="00A50F32" w:rsidRDefault="009D755F" w:rsidP="00F647C8">
            <w:pPr>
              <w:autoSpaceDE w:val="0"/>
              <w:autoSpaceDN w:val="0"/>
              <w:adjustRightInd w:val="0"/>
              <w:jc w:val="center"/>
              <w:rPr>
                <w:color w:val="000000"/>
                <w:sz w:val="20"/>
              </w:rPr>
            </w:pPr>
          </w:p>
        </w:tc>
        <w:tc>
          <w:tcPr>
            <w:tcW w:w="1536" w:type="dxa"/>
            <w:vAlign w:val="bottom"/>
          </w:tcPr>
          <w:p w14:paraId="14D82CAD" w14:textId="77777777" w:rsidR="009D755F" w:rsidRPr="00A50F32" w:rsidRDefault="009D755F" w:rsidP="00F647C8">
            <w:pPr>
              <w:autoSpaceDE w:val="0"/>
              <w:autoSpaceDN w:val="0"/>
              <w:adjustRightInd w:val="0"/>
              <w:jc w:val="center"/>
              <w:rPr>
                <w:color w:val="000000"/>
                <w:sz w:val="20"/>
              </w:rPr>
            </w:pPr>
            <w:r w:rsidRPr="00A50F32">
              <w:rPr>
                <w:color w:val="000000"/>
                <w:sz w:val="20"/>
              </w:rPr>
              <w:t> (0.13970)</w:t>
            </w:r>
          </w:p>
        </w:tc>
        <w:tc>
          <w:tcPr>
            <w:tcW w:w="1417" w:type="dxa"/>
            <w:vAlign w:val="bottom"/>
          </w:tcPr>
          <w:p w14:paraId="4436A17E" w14:textId="77777777" w:rsidR="009D755F" w:rsidRPr="00A50F32" w:rsidRDefault="009D755F" w:rsidP="00F647C8">
            <w:pPr>
              <w:autoSpaceDE w:val="0"/>
              <w:autoSpaceDN w:val="0"/>
              <w:adjustRightInd w:val="0"/>
              <w:jc w:val="center"/>
              <w:rPr>
                <w:color w:val="000000"/>
                <w:sz w:val="20"/>
              </w:rPr>
            </w:pPr>
            <w:r w:rsidRPr="00A50F32">
              <w:rPr>
                <w:color w:val="000000"/>
                <w:sz w:val="20"/>
              </w:rPr>
              <w:t> (0.33758)</w:t>
            </w:r>
          </w:p>
        </w:tc>
        <w:tc>
          <w:tcPr>
            <w:tcW w:w="1560" w:type="dxa"/>
            <w:vAlign w:val="bottom"/>
          </w:tcPr>
          <w:p w14:paraId="7EDE44E6" w14:textId="77777777" w:rsidR="009D755F" w:rsidRPr="00A50F32" w:rsidRDefault="009D755F" w:rsidP="00F647C8">
            <w:pPr>
              <w:autoSpaceDE w:val="0"/>
              <w:autoSpaceDN w:val="0"/>
              <w:adjustRightInd w:val="0"/>
              <w:jc w:val="center"/>
              <w:rPr>
                <w:color w:val="000000"/>
                <w:sz w:val="20"/>
              </w:rPr>
            </w:pPr>
            <w:r w:rsidRPr="00A50F32">
              <w:rPr>
                <w:color w:val="000000"/>
                <w:sz w:val="20"/>
              </w:rPr>
              <w:t> (4.1E+07)</w:t>
            </w:r>
          </w:p>
        </w:tc>
        <w:tc>
          <w:tcPr>
            <w:tcW w:w="1842" w:type="dxa"/>
            <w:vAlign w:val="bottom"/>
          </w:tcPr>
          <w:p w14:paraId="30061B80" w14:textId="77777777" w:rsidR="009D755F" w:rsidRPr="00A50F32" w:rsidRDefault="009D755F" w:rsidP="00F647C8">
            <w:pPr>
              <w:autoSpaceDE w:val="0"/>
              <w:autoSpaceDN w:val="0"/>
              <w:adjustRightInd w:val="0"/>
              <w:jc w:val="center"/>
              <w:rPr>
                <w:color w:val="000000"/>
                <w:sz w:val="20"/>
              </w:rPr>
            </w:pPr>
            <w:r w:rsidRPr="00A50F32">
              <w:rPr>
                <w:color w:val="000000"/>
                <w:sz w:val="20"/>
              </w:rPr>
              <w:t> (10.6606)</w:t>
            </w:r>
          </w:p>
        </w:tc>
      </w:tr>
      <w:tr w:rsidR="009D755F" w:rsidRPr="00A50F32" w14:paraId="08143D0F" w14:textId="77777777" w:rsidTr="00EE1365">
        <w:trPr>
          <w:trHeight w:val="220"/>
        </w:trPr>
        <w:tc>
          <w:tcPr>
            <w:tcW w:w="2664" w:type="dxa"/>
            <w:vAlign w:val="bottom"/>
          </w:tcPr>
          <w:p w14:paraId="0F0F1FAA" w14:textId="77777777" w:rsidR="009D755F" w:rsidRPr="00A50F32" w:rsidRDefault="009D755F" w:rsidP="00F647C8">
            <w:pPr>
              <w:autoSpaceDE w:val="0"/>
              <w:autoSpaceDN w:val="0"/>
              <w:adjustRightInd w:val="0"/>
              <w:jc w:val="center"/>
              <w:rPr>
                <w:color w:val="000000"/>
                <w:sz w:val="20"/>
              </w:rPr>
            </w:pPr>
          </w:p>
        </w:tc>
        <w:tc>
          <w:tcPr>
            <w:tcW w:w="1536" w:type="dxa"/>
            <w:vAlign w:val="bottom"/>
          </w:tcPr>
          <w:p w14:paraId="523E7E52" w14:textId="77777777" w:rsidR="009D755F" w:rsidRPr="00A50F32" w:rsidRDefault="009D755F" w:rsidP="00F647C8">
            <w:pPr>
              <w:autoSpaceDE w:val="0"/>
              <w:autoSpaceDN w:val="0"/>
              <w:adjustRightInd w:val="0"/>
              <w:jc w:val="center"/>
              <w:rPr>
                <w:color w:val="000000"/>
                <w:sz w:val="20"/>
              </w:rPr>
            </w:pPr>
            <w:r w:rsidRPr="00A50F32">
              <w:rPr>
                <w:color w:val="000000"/>
                <w:sz w:val="20"/>
              </w:rPr>
              <w:t>[-3.11457]</w:t>
            </w:r>
          </w:p>
        </w:tc>
        <w:tc>
          <w:tcPr>
            <w:tcW w:w="1417" w:type="dxa"/>
            <w:vAlign w:val="bottom"/>
          </w:tcPr>
          <w:p w14:paraId="4280E728" w14:textId="77777777" w:rsidR="009D755F" w:rsidRPr="00A50F32" w:rsidRDefault="009D755F" w:rsidP="00F647C8">
            <w:pPr>
              <w:autoSpaceDE w:val="0"/>
              <w:autoSpaceDN w:val="0"/>
              <w:adjustRightInd w:val="0"/>
              <w:jc w:val="center"/>
              <w:rPr>
                <w:color w:val="000000"/>
                <w:sz w:val="20"/>
              </w:rPr>
            </w:pPr>
            <w:r w:rsidRPr="00A50F32">
              <w:rPr>
                <w:color w:val="000000"/>
                <w:sz w:val="20"/>
              </w:rPr>
              <w:t>[-4.89396]</w:t>
            </w:r>
          </w:p>
        </w:tc>
        <w:tc>
          <w:tcPr>
            <w:tcW w:w="1560" w:type="dxa"/>
            <w:vAlign w:val="bottom"/>
          </w:tcPr>
          <w:p w14:paraId="6630BB6D" w14:textId="77777777" w:rsidR="009D755F" w:rsidRPr="00A50F32" w:rsidRDefault="009D755F" w:rsidP="00F647C8">
            <w:pPr>
              <w:autoSpaceDE w:val="0"/>
              <w:autoSpaceDN w:val="0"/>
              <w:adjustRightInd w:val="0"/>
              <w:jc w:val="center"/>
              <w:rPr>
                <w:color w:val="000000"/>
                <w:sz w:val="20"/>
              </w:rPr>
            </w:pPr>
            <w:r w:rsidRPr="00A50F32">
              <w:rPr>
                <w:color w:val="000000"/>
                <w:sz w:val="20"/>
              </w:rPr>
              <w:t>[-0.40621]</w:t>
            </w:r>
          </w:p>
        </w:tc>
        <w:tc>
          <w:tcPr>
            <w:tcW w:w="1842" w:type="dxa"/>
            <w:vAlign w:val="bottom"/>
          </w:tcPr>
          <w:p w14:paraId="769332E4" w14:textId="77777777" w:rsidR="009D755F" w:rsidRPr="00A50F32" w:rsidRDefault="009D755F" w:rsidP="00F647C8">
            <w:pPr>
              <w:autoSpaceDE w:val="0"/>
              <w:autoSpaceDN w:val="0"/>
              <w:adjustRightInd w:val="0"/>
              <w:jc w:val="center"/>
              <w:rPr>
                <w:color w:val="000000"/>
                <w:sz w:val="20"/>
              </w:rPr>
            </w:pPr>
            <w:r w:rsidRPr="00A50F32">
              <w:rPr>
                <w:color w:val="000000"/>
                <w:sz w:val="20"/>
              </w:rPr>
              <w:t>[ 0.55306]</w:t>
            </w:r>
          </w:p>
        </w:tc>
      </w:tr>
      <w:tr w:rsidR="009D755F" w:rsidRPr="00A50F32" w14:paraId="64CA5165" w14:textId="77777777" w:rsidTr="00EE1365">
        <w:trPr>
          <w:trHeight w:val="220"/>
        </w:trPr>
        <w:tc>
          <w:tcPr>
            <w:tcW w:w="2664" w:type="dxa"/>
            <w:vAlign w:val="bottom"/>
          </w:tcPr>
          <w:p w14:paraId="0B770F0A" w14:textId="77777777" w:rsidR="009D755F" w:rsidRPr="00A50F32" w:rsidRDefault="009D755F" w:rsidP="00F647C8">
            <w:pPr>
              <w:autoSpaceDE w:val="0"/>
              <w:autoSpaceDN w:val="0"/>
              <w:adjustRightInd w:val="0"/>
              <w:jc w:val="center"/>
              <w:rPr>
                <w:color w:val="000000"/>
                <w:sz w:val="20"/>
              </w:rPr>
            </w:pPr>
          </w:p>
        </w:tc>
        <w:tc>
          <w:tcPr>
            <w:tcW w:w="1536" w:type="dxa"/>
            <w:vAlign w:val="bottom"/>
          </w:tcPr>
          <w:p w14:paraId="7188BB03" w14:textId="77777777" w:rsidR="009D755F" w:rsidRPr="00A50F32" w:rsidRDefault="009D755F" w:rsidP="00F647C8">
            <w:pPr>
              <w:autoSpaceDE w:val="0"/>
              <w:autoSpaceDN w:val="0"/>
              <w:adjustRightInd w:val="0"/>
              <w:jc w:val="center"/>
              <w:rPr>
                <w:color w:val="000000"/>
                <w:sz w:val="20"/>
              </w:rPr>
            </w:pPr>
          </w:p>
        </w:tc>
        <w:tc>
          <w:tcPr>
            <w:tcW w:w="1417" w:type="dxa"/>
            <w:vAlign w:val="bottom"/>
          </w:tcPr>
          <w:p w14:paraId="257B4DC4" w14:textId="77777777" w:rsidR="009D755F" w:rsidRPr="00A50F32" w:rsidRDefault="009D755F" w:rsidP="00F647C8">
            <w:pPr>
              <w:autoSpaceDE w:val="0"/>
              <w:autoSpaceDN w:val="0"/>
              <w:adjustRightInd w:val="0"/>
              <w:jc w:val="center"/>
              <w:rPr>
                <w:color w:val="000000"/>
                <w:sz w:val="20"/>
              </w:rPr>
            </w:pPr>
          </w:p>
        </w:tc>
        <w:tc>
          <w:tcPr>
            <w:tcW w:w="1560" w:type="dxa"/>
            <w:vAlign w:val="bottom"/>
          </w:tcPr>
          <w:p w14:paraId="06630C6F" w14:textId="77777777" w:rsidR="009D755F" w:rsidRPr="00A50F32" w:rsidRDefault="009D755F" w:rsidP="00F647C8">
            <w:pPr>
              <w:autoSpaceDE w:val="0"/>
              <w:autoSpaceDN w:val="0"/>
              <w:adjustRightInd w:val="0"/>
              <w:jc w:val="center"/>
              <w:rPr>
                <w:color w:val="000000"/>
                <w:sz w:val="20"/>
              </w:rPr>
            </w:pPr>
          </w:p>
        </w:tc>
        <w:tc>
          <w:tcPr>
            <w:tcW w:w="1842" w:type="dxa"/>
            <w:vAlign w:val="bottom"/>
          </w:tcPr>
          <w:p w14:paraId="20E0A297" w14:textId="77777777" w:rsidR="009D755F" w:rsidRPr="00A50F32" w:rsidRDefault="009D755F" w:rsidP="00F647C8">
            <w:pPr>
              <w:autoSpaceDE w:val="0"/>
              <w:autoSpaceDN w:val="0"/>
              <w:adjustRightInd w:val="0"/>
              <w:jc w:val="center"/>
              <w:rPr>
                <w:color w:val="000000"/>
                <w:sz w:val="20"/>
              </w:rPr>
            </w:pPr>
          </w:p>
        </w:tc>
      </w:tr>
      <w:tr w:rsidR="009D755F" w:rsidRPr="00A50F32" w14:paraId="1951C6B5" w14:textId="77777777" w:rsidTr="00EE1365">
        <w:trPr>
          <w:trHeight w:val="220"/>
        </w:trPr>
        <w:tc>
          <w:tcPr>
            <w:tcW w:w="2664" w:type="dxa"/>
            <w:vAlign w:val="bottom"/>
          </w:tcPr>
          <w:p w14:paraId="40A18807" w14:textId="77777777" w:rsidR="009D755F" w:rsidRPr="00A50F32" w:rsidRDefault="009D755F" w:rsidP="00F647C8">
            <w:pPr>
              <w:autoSpaceDE w:val="0"/>
              <w:autoSpaceDN w:val="0"/>
              <w:adjustRightInd w:val="0"/>
              <w:jc w:val="center"/>
              <w:rPr>
                <w:color w:val="000000"/>
                <w:sz w:val="20"/>
              </w:rPr>
            </w:pPr>
            <w:r w:rsidRPr="00A50F32">
              <w:rPr>
                <w:color w:val="000000"/>
                <w:sz w:val="20"/>
              </w:rPr>
              <w:t>D(EG(-1))</w:t>
            </w:r>
          </w:p>
        </w:tc>
        <w:tc>
          <w:tcPr>
            <w:tcW w:w="1536" w:type="dxa"/>
            <w:vAlign w:val="bottom"/>
          </w:tcPr>
          <w:p w14:paraId="0FEC4372" w14:textId="77777777" w:rsidR="009D755F" w:rsidRPr="00A50F32" w:rsidRDefault="009D755F" w:rsidP="00F647C8">
            <w:pPr>
              <w:autoSpaceDE w:val="0"/>
              <w:autoSpaceDN w:val="0"/>
              <w:adjustRightInd w:val="0"/>
              <w:jc w:val="center"/>
              <w:rPr>
                <w:color w:val="000000"/>
                <w:sz w:val="20"/>
              </w:rPr>
            </w:pPr>
            <w:r w:rsidRPr="00A50F32">
              <w:rPr>
                <w:color w:val="000000"/>
                <w:sz w:val="20"/>
              </w:rPr>
              <w:t>-0.370815</w:t>
            </w:r>
          </w:p>
        </w:tc>
        <w:tc>
          <w:tcPr>
            <w:tcW w:w="1417" w:type="dxa"/>
            <w:vAlign w:val="bottom"/>
          </w:tcPr>
          <w:p w14:paraId="75E42A27" w14:textId="77777777" w:rsidR="009D755F" w:rsidRPr="00A50F32" w:rsidRDefault="009D755F" w:rsidP="00F647C8">
            <w:pPr>
              <w:autoSpaceDE w:val="0"/>
              <w:autoSpaceDN w:val="0"/>
              <w:adjustRightInd w:val="0"/>
              <w:jc w:val="center"/>
              <w:rPr>
                <w:color w:val="000000"/>
                <w:sz w:val="20"/>
              </w:rPr>
            </w:pPr>
            <w:r w:rsidRPr="00A50F32">
              <w:rPr>
                <w:color w:val="000000"/>
                <w:sz w:val="20"/>
              </w:rPr>
              <w:t> 1.181622</w:t>
            </w:r>
          </w:p>
        </w:tc>
        <w:tc>
          <w:tcPr>
            <w:tcW w:w="1560" w:type="dxa"/>
            <w:vAlign w:val="bottom"/>
          </w:tcPr>
          <w:p w14:paraId="4D320DC8" w14:textId="77777777" w:rsidR="009D755F" w:rsidRPr="00A50F32" w:rsidRDefault="009D755F" w:rsidP="00F647C8">
            <w:pPr>
              <w:autoSpaceDE w:val="0"/>
              <w:autoSpaceDN w:val="0"/>
              <w:adjustRightInd w:val="0"/>
              <w:jc w:val="center"/>
              <w:rPr>
                <w:color w:val="000000"/>
                <w:sz w:val="20"/>
              </w:rPr>
            </w:pPr>
            <w:r w:rsidRPr="00A50F32">
              <w:rPr>
                <w:color w:val="000000"/>
                <w:sz w:val="20"/>
              </w:rPr>
              <w:t> 48590712</w:t>
            </w:r>
          </w:p>
        </w:tc>
        <w:tc>
          <w:tcPr>
            <w:tcW w:w="1842" w:type="dxa"/>
            <w:vAlign w:val="bottom"/>
          </w:tcPr>
          <w:p w14:paraId="144795FD" w14:textId="77777777" w:rsidR="009D755F" w:rsidRPr="00A50F32" w:rsidRDefault="009D755F" w:rsidP="00F647C8">
            <w:pPr>
              <w:autoSpaceDE w:val="0"/>
              <w:autoSpaceDN w:val="0"/>
              <w:adjustRightInd w:val="0"/>
              <w:jc w:val="center"/>
              <w:rPr>
                <w:color w:val="000000"/>
                <w:sz w:val="20"/>
              </w:rPr>
            </w:pPr>
            <w:r w:rsidRPr="00A50F32">
              <w:rPr>
                <w:color w:val="000000"/>
                <w:sz w:val="20"/>
              </w:rPr>
              <w:t> 19.81268</w:t>
            </w:r>
          </w:p>
        </w:tc>
      </w:tr>
      <w:tr w:rsidR="009D755F" w:rsidRPr="00A50F32" w14:paraId="3AED610F" w14:textId="77777777" w:rsidTr="00EE1365">
        <w:trPr>
          <w:trHeight w:val="220"/>
        </w:trPr>
        <w:tc>
          <w:tcPr>
            <w:tcW w:w="2664" w:type="dxa"/>
            <w:vAlign w:val="bottom"/>
          </w:tcPr>
          <w:p w14:paraId="7140BF47" w14:textId="77777777" w:rsidR="009D755F" w:rsidRPr="00A50F32" w:rsidRDefault="009D755F" w:rsidP="00F647C8">
            <w:pPr>
              <w:autoSpaceDE w:val="0"/>
              <w:autoSpaceDN w:val="0"/>
              <w:adjustRightInd w:val="0"/>
              <w:jc w:val="center"/>
              <w:rPr>
                <w:color w:val="000000"/>
                <w:sz w:val="20"/>
              </w:rPr>
            </w:pPr>
          </w:p>
        </w:tc>
        <w:tc>
          <w:tcPr>
            <w:tcW w:w="1536" w:type="dxa"/>
            <w:vAlign w:val="bottom"/>
          </w:tcPr>
          <w:p w14:paraId="5BF70977" w14:textId="77777777" w:rsidR="009D755F" w:rsidRPr="00A50F32" w:rsidRDefault="009D755F" w:rsidP="00F647C8">
            <w:pPr>
              <w:autoSpaceDE w:val="0"/>
              <w:autoSpaceDN w:val="0"/>
              <w:adjustRightInd w:val="0"/>
              <w:jc w:val="center"/>
              <w:rPr>
                <w:color w:val="000000"/>
                <w:sz w:val="20"/>
              </w:rPr>
            </w:pPr>
            <w:r w:rsidRPr="00A50F32">
              <w:rPr>
                <w:color w:val="000000"/>
                <w:sz w:val="20"/>
              </w:rPr>
              <w:t> (0.16126)</w:t>
            </w:r>
          </w:p>
        </w:tc>
        <w:tc>
          <w:tcPr>
            <w:tcW w:w="1417" w:type="dxa"/>
            <w:vAlign w:val="bottom"/>
          </w:tcPr>
          <w:p w14:paraId="2F33120B" w14:textId="77777777" w:rsidR="009D755F" w:rsidRPr="00A50F32" w:rsidRDefault="009D755F" w:rsidP="00F647C8">
            <w:pPr>
              <w:autoSpaceDE w:val="0"/>
              <w:autoSpaceDN w:val="0"/>
              <w:adjustRightInd w:val="0"/>
              <w:jc w:val="center"/>
              <w:rPr>
                <w:color w:val="000000"/>
                <w:sz w:val="20"/>
              </w:rPr>
            </w:pPr>
            <w:r w:rsidRPr="00A50F32">
              <w:rPr>
                <w:color w:val="000000"/>
                <w:sz w:val="20"/>
              </w:rPr>
              <w:t> (0.38970)</w:t>
            </w:r>
          </w:p>
        </w:tc>
        <w:tc>
          <w:tcPr>
            <w:tcW w:w="1560" w:type="dxa"/>
            <w:vAlign w:val="bottom"/>
          </w:tcPr>
          <w:p w14:paraId="5547F47B" w14:textId="77777777" w:rsidR="009D755F" w:rsidRPr="00A50F32" w:rsidRDefault="009D755F" w:rsidP="00F647C8">
            <w:pPr>
              <w:autoSpaceDE w:val="0"/>
              <w:autoSpaceDN w:val="0"/>
              <w:adjustRightInd w:val="0"/>
              <w:jc w:val="center"/>
              <w:rPr>
                <w:color w:val="000000"/>
                <w:sz w:val="20"/>
              </w:rPr>
            </w:pPr>
            <w:r w:rsidRPr="00A50F32">
              <w:rPr>
                <w:color w:val="000000"/>
                <w:sz w:val="20"/>
              </w:rPr>
              <w:t> (4.7E+07)</w:t>
            </w:r>
          </w:p>
        </w:tc>
        <w:tc>
          <w:tcPr>
            <w:tcW w:w="1842" w:type="dxa"/>
            <w:vAlign w:val="bottom"/>
          </w:tcPr>
          <w:p w14:paraId="447AED46" w14:textId="77777777" w:rsidR="009D755F" w:rsidRPr="00A50F32" w:rsidRDefault="009D755F" w:rsidP="00F647C8">
            <w:pPr>
              <w:autoSpaceDE w:val="0"/>
              <w:autoSpaceDN w:val="0"/>
              <w:adjustRightInd w:val="0"/>
              <w:jc w:val="center"/>
              <w:rPr>
                <w:color w:val="000000"/>
                <w:sz w:val="20"/>
              </w:rPr>
            </w:pPr>
            <w:r w:rsidRPr="00A50F32">
              <w:rPr>
                <w:color w:val="000000"/>
                <w:sz w:val="20"/>
              </w:rPr>
              <w:t> (12.3064)</w:t>
            </w:r>
          </w:p>
        </w:tc>
      </w:tr>
      <w:tr w:rsidR="009D755F" w:rsidRPr="00A50F32" w14:paraId="0E9FAFA2" w14:textId="77777777" w:rsidTr="00EE1365">
        <w:trPr>
          <w:trHeight w:val="220"/>
        </w:trPr>
        <w:tc>
          <w:tcPr>
            <w:tcW w:w="2664" w:type="dxa"/>
            <w:vAlign w:val="bottom"/>
          </w:tcPr>
          <w:p w14:paraId="3FB152FE" w14:textId="77777777" w:rsidR="009D755F" w:rsidRPr="00A50F32" w:rsidRDefault="009D755F" w:rsidP="00F647C8">
            <w:pPr>
              <w:autoSpaceDE w:val="0"/>
              <w:autoSpaceDN w:val="0"/>
              <w:adjustRightInd w:val="0"/>
              <w:jc w:val="center"/>
              <w:rPr>
                <w:color w:val="000000"/>
                <w:sz w:val="20"/>
              </w:rPr>
            </w:pPr>
          </w:p>
        </w:tc>
        <w:tc>
          <w:tcPr>
            <w:tcW w:w="1536" w:type="dxa"/>
            <w:vAlign w:val="bottom"/>
          </w:tcPr>
          <w:p w14:paraId="10C9AC40" w14:textId="77777777" w:rsidR="009D755F" w:rsidRPr="00A50F32" w:rsidRDefault="009D755F" w:rsidP="00F647C8">
            <w:pPr>
              <w:autoSpaceDE w:val="0"/>
              <w:autoSpaceDN w:val="0"/>
              <w:adjustRightInd w:val="0"/>
              <w:jc w:val="center"/>
              <w:rPr>
                <w:color w:val="000000"/>
                <w:sz w:val="20"/>
              </w:rPr>
            </w:pPr>
            <w:r w:rsidRPr="00A50F32">
              <w:rPr>
                <w:color w:val="000000"/>
                <w:sz w:val="20"/>
              </w:rPr>
              <w:t>[-2.29942]</w:t>
            </w:r>
          </w:p>
        </w:tc>
        <w:tc>
          <w:tcPr>
            <w:tcW w:w="1417" w:type="dxa"/>
            <w:vAlign w:val="bottom"/>
          </w:tcPr>
          <w:p w14:paraId="23E1BBCA" w14:textId="77777777" w:rsidR="009D755F" w:rsidRPr="00A50F32" w:rsidRDefault="009D755F" w:rsidP="00F647C8">
            <w:pPr>
              <w:autoSpaceDE w:val="0"/>
              <w:autoSpaceDN w:val="0"/>
              <w:adjustRightInd w:val="0"/>
              <w:jc w:val="center"/>
              <w:rPr>
                <w:color w:val="000000"/>
                <w:sz w:val="20"/>
              </w:rPr>
            </w:pPr>
            <w:r w:rsidRPr="00A50F32">
              <w:rPr>
                <w:color w:val="000000"/>
                <w:sz w:val="20"/>
              </w:rPr>
              <w:t>[ 3.03214]</w:t>
            </w:r>
          </w:p>
        </w:tc>
        <w:tc>
          <w:tcPr>
            <w:tcW w:w="1560" w:type="dxa"/>
            <w:vAlign w:val="bottom"/>
          </w:tcPr>
          <w:p w14:paraId="25EDF220" w14:textId="77777777" w:rsidR="009D755F" w:rsidRPr="00A50F32" w:rsidRDefault="009D755F" w:rsidP="00F647C8">
            <w:pPr>
              <w:autoSpaceDE w:val="0"/>
              <w:autoSpaceDN w:val="0"/>
              <w:adjustRightInd w:val="0"/>
              <w:jc w:val="center"/>
              <w:rPr>
                <w:color w:val="000000"/>
                <w:sz w:val="20"/>
              </w:rPr>
            </w:pPr>
            <w:r w:rsidRPr="00A50F32">
              <w:rPr>
                <w:color w:val="000000"/>
                <w:sz w:val="20"/>
              </w:rPr>
              <w:t>[ 1.02783]</w:t>
            </w:r>
          </w:p>
        </w:tc>
        <w:tc>
          <w:tcPr>
            <w:tcW w:w="1842" w:type="dxa"/>
            <w:vAlign w:val="bottom"/>
          </w:tcPr>
          <w:p w14:paraId="346E82E1" w14:textId="77777777" w:rsidR="009D755F" w:rsidRPr="00A50F32" w:rsidRDefault="009D755F" w:rsidP="00F647C8">
            <w:pPr>
              <w:autoSpaceDE w:val="0"/>
              <w:autoSpaceDN w:val="0"/>
              <w:adjustRightInd w:val="0"/>
              <w:jc w:val="center"/>
              <w:rPr>
                <w:color w:val="000000"/>
                <w:sz w:val="20"/>
              </w:rPr>
            </w:pPr>
            <w:r w:rsidRPr="00A50F32">
              <w:rPr>
                <w:color w:val="000000"/>
                <w:sz w:val="20"/>
              </w:rPr>
              <w:t>[ 1.60995]</w:t>
            </w:r>
          </w:p>
        </w:tc>
      </w:tr>
      <w:tr w:rsidR="009D755F" w:rsidRPr="00A50F32" w14:paraId="4D7E3016" w14:textId="77777777" w:rsidTr="00EE1365">
        <w:trPr>
          <w:trHeight w:val="220"/>
        </w:trPr>
        <w:tc>
          <w:tcPr>
            <w:tcW w:w="2664" w:type="dxa"/>
            <w:vAlign w:val="bottom"/>
          </w:tcPr>
          <w:p w14:paraId="1F218EAE" w14:textId="77777777" w:rsidR="009D755F" w:rsidRPr="00A50F32" w:rsidRDefault="009D755F" w:rsidP="00F647C8">
            <w:pPr>
              <w:autoSpaceDE w:val="0"/>
              <w:autoSpaceDN w:val="0"/>
              <w:adjustRightInd w:val="0"/>
              <w:jc w:val="center"/>
              <w:rPr>
                <w:color w:val="000000"/>
                <w:sz w:val="20"/>
              </w:rPr>
            </w:pPr>
          </w:p>
        </w:tc>
        <w:tc>
          <w:tcPr>
            <w:tcW w:w="1536" w:type="dxa"/>
            <w:vAlign w:val="bottom"/>
          </w:tcPr>
          <w:p w14:paraId="656B5EDC" w14:textId="77777777" w:rsidR="009D755F" w:rsidRPr="00A50F32" w:rsidRDefault="009D755F" w:rsidP="00F647C8">
            <w:pPr>
              <w:autoSpaceDE w:val="0"/>
              <w:autoSpaceDN w:val="0"/>
              <w:adjustRightInd w:val="0"/>
              <w:jc w:val="center"/>
              <w:rPr>
                <w:color w:val="000000"/>
                <w:sz w:val="20"/>
              </w:rPr>
            </w:pPr>
          </w:p>
        </w:tc>
        <w:tc>
          <w:tcPr>
            <w:tcW w:w="1417" w:type="dxa"/>
            <w:vAlign w:val="bottom"/>
          </w:tcPr>
          <w:p w14:paraId="6322F9DB" w14:textId="77777777" w:rsidR="009D755F" w:rsidRPr="00A50F32" w:rsidRDefault="009D755F" w:rsidP="00F647C8">
            <w:pPr>
              <w:autoSpaceDE w:val="0"/>
              <w:autoSpaceDN w:val="0"/>
              <w:adjustRightInd w:val="0"/>
              <w:jc w:val="center"/>
              <w:rPr>
                <w:color w:val="000000"/>
                <w:sz w:val="20"/>
              </w:rPr>
            </w:pPr>
          </w:p>
        </w:tc>
        <w:tc>
          <w:tcPr>
            <w:tcW w:w="1560" w:type="dxa"/>
            <w:vAlign w:val="bottom"/>
          </w:tcPr>
          <w:p w14:paraId="4FD841E4" w14:textId="77777777" w:rsidR="009D755F" w:rsidRPr="00A50F32" w:rsidRDefault="009D755F" w:rsidP="00F647C8">
            <w:pPr>
              <w:autoSpaceDE w:val="0"/>
              <w:autoSpaceDN w:val="0"/>
              <w:adjustRightInd w:val="0"/>
              <w:jc w:val="center"/>
              <w:rPr>
                <w:color w:val="000000"/>
                <w:sz w:val="20"/>
              </w:rPr>
            </w:pPr>
          </w:p>
        </w:tc>
        <w:tc>
          <w:tcPr>
            <w:tcW w:w="1842" w:type="dxa"/>
            <w:vAlign w:val="bottom"/>
          </w:tcPr>
          <w:p w14:paraId="3664A0EB" w14:textId="77777777" w:rsidR="009D755F" w:rsidRPr="00A50F32" w:rsidRDefault="009D755F" w:rsidP="00F647C8">
            <w:pPr>
              <w:autoSpaceDE w:val="0"/>
              <w:autoSpaceDN w:val="0"/>
              <w:adjustRightInd w:val="0"/>
              <w:jc w:val="center"/>
              <w:rPr>
                <w:color w:val="000000"/>
                <w:sz w:val="20"/>
              </w:rPr>
            </w:pPr>
          </w:p>
        </w:tc>
      </w:tr>
      <w:tr w:rsidR="009D755F" w:rsidRPr="00A50F32" w14:paraId="2E91149C" w14:textId="77777777" w:rsidTr="00EE1365">
        <w:trPr>
          <w:trHeight w:val="220"/>
        </w:trPr>
        <w:tc>
          <w:tcPr>
            <w:tcW w:w="2664" w:type="dxa"/>
            <w:vAlign w:val="bottom"/>
          </w:tcPr>
          <w:p w14:paraId="7D07983A" w14:textId="77777777" w:rsidR="009D755F" w:rsidRPr="00A50F32" w:rsidRDefault="009D755F" w:rsidP="00F647C8">
            <w:pPr>
              <w:autoSpaceDE w:val="0"/>
              <w:autoSpaceDN w:val="0"/>
              <w:adjustRightInd w:val="0"/>
              <w:jc w:val="center"/>
              <w:rPr>
                <w:color w:val="000000"/>
                <w:sz w:val="20"/>
              </w:rPr>
            </w:pPr>
            <w:r w:rsidRPr="00A50F32">
              <w:rPr>
                <w:color w:val="000000"/>
                <w:sz w:val="20"/>
              </w:rPr>
              <w:t>D(EG(-2))</w:t>
            </w:r>
          </w:p>
        </w:tc>
        <w:tc>
          <w:tcPr>
            <w:tcW w:w="1536" w:type="dxa"/>
            <w:vAlign w:val="bottom"/>
          </w:tcPr>
          <w:p w14:paraId="2767D9EA" w14:textId="77777777" w:rsidR="009D755F" w:rsidRPr="00A50F32" w:rsidRDefault="009D755F" w:rsidP="00F647C8">
            <w:pPr>
              <w:autoSpaceDE w:val="0"/>
              <w:autoSpaceDN w:val="0"/>
              <w:adjustRightInd w:val="0"/>
              <w:jc w:val="center"/>
              <w:rPr>
                <w:color w:val="000000"/>
                <w:sz w:val="20"/>
              </w:rPr>
            </w:pPr>
            <w:r w:rsidRPr="00A50F32">
              <w:rPr>
                <w:color w:val="000000"/>
                <w:sz w:val="20"/>
              </w:rPr>
              <w:t>-0.261758</w:t>
            </w:r>
          </w:p>
        </w:tc>
        <w:tc>
          <w:tcPr>
            <w:tcW w:w="1417" w:type="dxa"/>
            <w:vAlign w:val="bottom"/>
          </w:tcPr>
          <w:p w14:paraId="561FAEC3" w14:textId="77777777" w:rsidR="009D755F" w:rsidRPr="00A50F32" w:rsidRDefault="009D755F" w:rsidP="00F647C8">
            <w:pPr>
              <w:autoSpaceDE w:val="0"/>
              <w:autoSpaceDN w:val="0"/>
              <w:adjustRightInd w:val="0"/>
              <w:jc w:val="center"/>
              <w:rPr>
                <w:color w:val="000000"/>
                <w:sz w:val="20"/>
              </w:rPr>
            </w:pPr>
            <w:r w:rsidRPr="00A50F32">
              <w:rPr>
                <w:color w:val="000000"/>
                <w:sz w:val="20"/>
              </w:rPr>
              <w:t> 0.523545</w:t>
            </w:r>
          </w:p>
        </w:tc>
        <w:tc>
          <w:tcPr>
            <w:tcW w:w="1560" w:type="dxa"/>
            <w:vAlign w:val="bottom"/>
          </w:tcPr>
          <w:p w14:paraId="188056FE" w14:textId="77777777" w:rsidR="009D755F" w:rsidRPr="00A50F32" w:rsidRDefault="009D755F" w:rsidP="00F647C8">
            <w:pPr>
              <w:autoSpaceDE w:val="0"/>
              <w:autoSpaceDN w:val="0"/>
              <w:adjustRightInd w:val="0"/>
              <w:jc w:val="center"/>
              <w:rPr>
                <w:color w:val="000000"/>
                <w:sz w:val="20"/>
              </w:rPr>
            </w:pPr>
            <w:r w:rsidRPr="00A50F32">
              <w:rPr>
                <w:color w:val="000000"/>
                <w:sz w:val="20"/>
              </w:rPr>
              <w:t> 17774374</w:t>
            </w:r>
          </w:p>
        </w:tc>
        <w:tc>
          <w:tcPr>
            <w:tcW w:w="1842" w:type="dxa"/>
            <w:vAlign w:val="bottom"/>
          </w:tcPr>
          <w:p w14:paraId="0E96142F" w14:textId="77777777" w:rsidR="009D755F" w:rsidRPr="00A50F32" w:rsidRDefault="009D755F" w:rsidP="00F647C8">
            <w:pPr>
              <w:autoSpaceDE w:val="0"/>
              <w:autoSpaceDN w:val="0"/>
              <w:adjustRightInd w:val="0"/>
              <w:jc w:val="center"/>
              <w:rPr>
                <w:color w:val="000000"/>
                <w:sz w:val="20"/>
              </w:rPr>
            </w:pPr>
            <w:r w:rsidRPr="00A50F32">
              <w:rPr>
                <w:color w:val="000000"/>
                <w:sz w:val="20"/>
              </w:rPr>
              <w:t> 2.432768</w:t>
            </w:r>
          </w:p>
        </w:tc>
      </w:tr>
      <w:tr w:rsidR="009D755F" w:rsidRPr="00A50F32" w14:paraId="061F2722" w14:textId="77777777" w:rsidTr="00EE1365">
        <w:trPr>
          <w:trHeight w:val="220"/>
        </w:trPr>
        <w:tc>
          <w:tcPr>
            <w:tcW w:w="2664" w:type="dxa"/>
            <w:vAlign w:val="bottom"/>
          </w:tcPr>
          <w:p w14:paraId="0ED06DBB" w14:textId="77777777" w:rsidR="009D755F" w:rsidRPr="00A50F32" w:rsidRDefault="009D755F" w:rsidP="00F647C8">
            <w:pPr>
              <w:autoSpaceDE w:val="0"/>
              <w:autoSpaceDN w:val="0"/>
              <w:adjustRightInd w:val="0"/>
              <w:jc w:val="center"/>
              <w:rPr>
                <w:color w:val="000000"/>
                <w:sz w:val="20"/>
              </w:rPr>
            </w:pPr>
          </w:p>
        </w:tc>
        <w:tc>
          <w:tcPr>
            <w:tcW w:w="1536" w:type="dxa"/>
            <w:vAlign w:val="bottom"/>
          </w:tcPr>
          <w:p w14:paraId="6D0E563A" w14:textId="77777777" w:rsidR="009D755F" w:rsidRPr="00A50F32" w:rsidRDefault="009D755F" w:rsidP="00F647C8">
            <w:pPr>
              <w:autoSpaceDE w:val="0"/>
              <w:autoSpaceDN w:val="0"/>
              <w:adjustRightInd w:val="0"/>
              <w:jc w:val="center"/>
              <w:rPr>
                <w:color w:val="000000"/>
                <w:sz w:val="20"/>
              </w:rPr>
            </w:pPr>
            <w:r w:rsidRPr="00A50F32">
              <w:rPr>
                <w:color w:val="000000"/>
                <w:sz w:val="20"/>
              </w:rPr>
              <w:t> (0.15252)</w:t>
            </w:r>
          </w:p>
        </w:tc>
        <w:tc>
          <w:tcPr>
            <w:tcW w:w="1417" w:type="dxa"/>
            <w:vAlign w:val="bottom"/>
          </w:tcPr>
          <w:p w14:paraId="5A0EF138" w14:textId="77777777" w:rsidR="009D755F" w:rsidRPr="00A50F32" w:rsidRDefault="009D755F" w:rsidP="00F647C8">
            <w:pPr>
              <w:autoSpaceDE w:val="0"/>
              <w:autoSpaceDN w:val="0"/>
              <w:adjustRightInd w:val="0"/>
              <w:jc w:val="center"/>
              <w:rPr>
                <w:color w:val="000000"/>
                <w:sz w:val="20"/>
              </w:rPr>
            </w:pPr>
            <w:r w:rsidRPr="00A50F32">
              <w:rPr>
                <w:color w:val="000000"/>
                <w:sz w:val="20"/>
              </w:rPr>
              <w:t> (0.36857)</w:t>
            </w:r>
          </w:p>
        </w:tc>
        <w:tc>
          <w:tcPr>
            <w:tcW w:w="1560" w:type="dxa"/>
            <w:vAlign w:val="bottom"/>
          </w:tcPr>
          <w:p w14:paraId="0A48DED1" w14:textId="77777777" w:rsidR="009D755F" w:rsidRPr="00A50F32" w:rsidRDefault="009D755F" w:rsidP="00F647C8">
            <w:pPr>
              <w:autoSpaceDE w:val="0"/>
              <w:autoSpaceDN w:val="0"/>
              <w:adjustRightInd w:val="0"/>
              <w:jc w:val="center"/>
              <w:rPr>
                <w:color w:val="000000"/>
                <w:sz w:val="20"/>
              </w:rPr>
            </w:pPr>
            <w:r w:rsidRPr="00A50F32">
              <w:rPr>
                <w:color w:val="000000"/>
                <w:sz w:val="20"/>
              </w:rPr>
              <w:t> (4.5E+07)</w:t>
            </w:r>
          </w:p>
        </w:tc>
        <w:tc>
          <w:tcPr>
            <w:tcW w:w="1842" w:type="dxa"/>
            <w:vAlign w:val="bottom"/>
          </w:tcPr>
          <w:p w14:paraId="2898B9DD" w14:textId="77777777" w:rsidR="009D755F" w:rsidRPr="00A50F32" w:rsidRDefault="009D755F" w:rsidP="00F647C8">
            <w:pPr>
              <w:autoSpaceDE w:val="0"/>
              <w:autoSpaceDN w:val="0"/>
              <w:adjustRightInd w:val="0"/>
              <w:jc w:val="center"/>
              <w:rPr>
                <w:color w:val="000000"/>
                <w:sz w:val="20"/>
              </w:rPr>
            </w:pPr>
            <w:r w:rsidRPr="00A50F32">
              <w:rPr>
                <w:color w:val="000000"/>
                <w:sz w:val="20"/>
              </w:rPr>
              <w:t> (11.6391)</w:t>
            </w:r>
          </w:p>
        </w:tc>
      </w:tr>
      <w:tr w:rsidR="009D755F" w:rsidRPr="00A50F32" w14:paraId="0641FDFB" w14:textId="77777777" w:rsidTr="00EE1365">
        <w:trPr>
          <w:trHeight w:val="220"/>
        </w:trPr>
        <w:tc>
          <w:tcPr>
            <w:tcW w:w="2664" w:type="dxa"/>
            <w:vAlign w:val="bottom"/>
          </w:tcPr>
          <w:p w14:paraId="742D00A4" w14:textId="77777777" w:rsidR="009D755F" w:rsidRPr="00A50F32" w:rsidRDefault="009D755F" w:rsidP="00F647C8">
            <w:pPr>
              <w:autoSpaceDE w:val="0"/>
              <w:autoSpaceDN w:val="0"/>
              <w:adjustRightInd w:val="0"/>
              <w:jc w:val="center"/>
              <w:rPr>
                <w:color w:val="000000"/>
                <w:sz w:val="20"/>
              </w:rPr>
            </w:pPr>
          </w:p>
        </w:tc>
        <w:tc>
          <w:tcPr>
            <w:tcW w:w="1536" w:type="dxa"/>
            <w:vAlign w:val="bottom"/>
          </w:tcPr>
          <w:p w14:paraId="7D7E83BE" w14:textId="77777777" w:rsidR="009D755F" w:rsidRPr="00A50F32" w:rsidRDefault="009D755F" w:rsidP="00F647C8">
            <w:pPr>
              <w:autoSpaceDE w:val="0"/>
              <w:autoSpaceDN w:val="0"/>
              <w:adjustRightInd w:val="0"/>
              <w:jc w:val="center"/>
              <w:rPr>
                <w:color w:val="000000"/>
                <w:sz w:val="20"/>
              </w:rPr>
            </w:pPr>
            <w:r w:rsidRPr="00A50F32">
              <w:rPr>
                <w:color w:val="000000"/>
                <w:sz w:val="20"/>
              </w:rPr>
              <w:t>[-1.71621]</w:t>
            </w:r>
          </w:p>
        </w:tc>
        <w:tc>
          <w:tcPr>
            <w:tcW w:w="1417" w:type="dxa"/>
            <w:vAlign w:val="bottom"/>
          </w:tcPr>
          <w:p w14:paraId="79910D13" w14:textId="77777777" w:rsidR="009D755F" w:rsidRPr="00A50F32" w:rsidRDefault="009D755F" w:rsidP="00F647C8">
            <w:pPr>
              <w:autoSpaceDE w:val="0"/>
              <w:autoSpaceDN w:val="0"/>
              <w:adjustRightInd w:val="0"/>
              <w:jc w:val="center"/>
              <w:rPr>
                <w:color w:val="000000"/>
                <w:sz w:val="20"/>
              </w:rPr>
            </w:pPr>
            <w:r w:rsidRPr="00A50F32">
              <w:rPr>
                <w:color w:val="000000"/>
                <w:sz w:val="20"/>
              </w:rPr>
              <w:t>[ 1.42048]</w:t>
            </w:r>
          </w:p>
        </w:tc>
        <w:tc>
          <w:tcPr>
            <w:tcW w:w="1560" w:type="dxa"/>
            <w:vAlign w:val="bottom"/>
          </w:tcPr>
          <w:p w14:paraId="4CAF9840" w14:textId="77777777" w:rsidR="009D755F" w:rsidRPr="00A50F32" w:rsidRDefault="009D755F" w:rsidP="00F647C8">
            <w:pPr>
              <w:autoSpaceDE w:val="0"/>
              <w:autoSpaceDN w:val="0"/>
              <w:adjustRightInd w:val="0"/>
              <w:jc w:val="center"/>
              <w:rPr>
                <w:color w:val="000000"/>
                <w:sz w:val="20"/>
              </w:rPr>
            </w:pPr>
            <w:r w:rsidRPr="00A50F32">
              <w:rPr>
                <w:color w:val="000000"/>
                <w:sz w:val="20"/>
              </w:rPr>
              <w:t>[ 0.39753]</w:t>
            </w:r>
          </w:p>
        </w:tc>
        <w:tc>
          <w:tcPr>
            <w:tcW w:w="1842" w:type="dxa"/>
            <w:vAlign w:val="bottom"/>
          </w:tcPr>
          <w:p w14:paraId="07709CF4" w14:textId="77777777" w:rsidR="009D755F" w:rsidRPr="00A50F32" w:rsidRDefault="009D755F" w:rsidP="00F647C8">
            <w:pPr>
              <w:autoSpaceDE w:val="0"/>
              <w:autoSpaceDN w:val="0"/>
              <w:adjustRightInd w:val="0"/>
              <w:jc w:val="center"/>
              <w:rPr>
                <w:color w:val="000000"/>
                <w:sz w:val="20"/>
              </w:rPr>
            </w:pPr>
            <w:r w:rsidRPr="00A50F32">
              <w:rPr>
                <w:color w:val="000000"/>
                <w:sz w:val="20"/>
              </w:rPr>
              <w:t>[ 0.20902]</w:t>
            </w:r>
          </w:p>
        </w:tc>
      </w:tr>
      <w:tr w:rsidR="009D755F" w:rsidRPr="00A50F32" w14:paraId="74F0B7D2" w14:textId="77777777" w:rsidTr="00EE1365">
        <w:trPr>
          <w:trHeight w:val="220"/>
        </w:trPr>
        <w:tc>
          <w:tcPr>
            <w:tcW w:w="2664" w:type="dxa"/>
            <w:vAlign w:val="bottom"/>
          </w:tcPr>
          <w:p w14:paraId="2CB948A6" w14:textId="77777777" w:rsidR="009D755F" w:rsidRPr="00A50F32" w:rsidRDefault="009D755F" w:rsidP="00F647C8">
            <w:pPr>
              <w:autoSpaceDE w:val="0"/>
              <w:autoSpaceDN w:val="0"/>
              <w:adjustRightInd w:val="0"/>
              <w:jc w:val="center"/>
              <w:rPr>
                <w:color w:val="000000"/>
                <w:sz w:val="20"/>
              </w:rPr>
            </w:pPr>
          </w:p>
        </w:tc>
        <w:tc>
          <w:tcPr>
            <w:tcW w:w="1536" w:type="dxa"/>
            <w:vAlign w:val="bottom"/>
          </w:tcPr>
          <w:p w14:paraId="5B24C033" w14:textId="77777777" w:rsidR="009D755F" w:rsidRPr="00A50F32" w:rsidRDefault="009D755F" w:rsidP="00F647C8">
            <w:pPr>
              <w:autoSpaceDE w:val="0"/>
              <w:autoSpaceDN w:val="0"/>
              <w:adjustRightInd w:val="0"/>
              <w:jc w:val="center"/>
              <w:rPr>
                <w:color w:val="000000"/>
                <w:sz w:val="20"/>
              </w:rPr>
            </w:pPr>
          </w:p>
        </w:tc>
        <w:tc>
          <w:tcPr>
            <w:tcW w:w="1417" w:type="dxa"/>
            <w:vAlign w:val="bottom"/>
          </w:tcPr>
          <w:p w14:paraId="2BEE51B3" w14:textId="77777777" w:rsidR="009D755F" w:rsidRPr="00A50F32" w:rsidRDefault="009D755F" w:rsidP="00F647C8">
            <w:pPr>
              <w:autoSpaceDE w:val="0"/>
              <w:autoSpaceDN w:val="0"/>
              <w:adjustRightInd w:val="0"/>
              <w:jc w:val="center"/>
              <w:rPr>
                <w:color w:val="000000"/>
                <w:sz w:val="20"/>
              </w:rPr>
            </w:pPr>
          </w:p>
        </w:tc>
        <w:tc>
          <w:tcPr>
            <w:tcW w:w="1560" w:type="dxa"/>
            <w:vAlign w:val="bottom"/>
          </w:tcPr>
          <w:p w14:paraId="70C10C74" w14:textId="77777777" w:rsidR="009D755F" w:rsidRPr="00A50F32" w:rsidRDefault="009D755F" w:rsidP="00F647C8">
            <w:pPr>
              <w:autoSpaceDE w:val="0"/>
              <w:autoSpaceDN w:val="0"/>
              <w:adjustRightInd w:val="0"/>
              <w:jc w:val="center"/>
              <w:rPr>
                <w:color w:val="000000"/>
                <w:sz w:val="20"/>
              </w:rPr>
            </w:pPr>
          </w:p>
        </w:tc>
        <w:tc>
          <w:tcPr>
            <w:tcW w:w="1842" w:type="dxa"/>
            <w:vAlign w:val="bottom"/>
          </w:tcPr>
          <w:p w14:paraId="3907A278" w14:textId="77777777" w:rsidR="009D755F" w:rsidRPr="00A50F32" w:rsidRDefault="009D755F" w:rsidP="00F647C8">
            <w:pPr>
              <w:autoSpaceDE w:val="0"/>
              <w:autoSpaceDN w:val="0"/>
              <w:adjustRightInd w:val="0"/>
              <w:jc w:val="center"/>
              <w:rPr>
                <w:color w:val="000000"/>
                <w:sz w:val="20"/>
              </w:rPr>
            </w:pPr>
          </w:p>
        </w:tc>
      </w:tr>
      <w:tr w:rsidR="009D755F" w:rsidRPr="00A50F32" w14:paraId="24DF1A20" w14:textId="77777777" w:rsidTr="00EE1365">
        <w:trPr>
          <w:trHeight w:val="220"/>
        </w:trPr>
        <w:tc>
          <w:tcPr>
            <w:tcW w:w="2664" w:type="dxa"/>
            <w:vAlign w:val="bottom"/>
          </w:tcPr>
          <w:p w14:paraId="51C8F883" w14:textId="77777777" w:rsidR="009D755F" w:rsidRPr="00A50F32" w:rsidRDefault="009D755F" w:rsidP="00F647C8">
            <w:pPr>
              <w:autoSpaceDE w:val="0"/>
              <w:autoSpaceDN w:val="0"/>
              <w:adjustRightInd w:val="0"/>
              <w:jc w:val="center"/>
              <w:rPr>
                <w:color w:val="000000"/>
                <w:sz w:val="20"/>
              </w:rPr>
            </w:pPr>
            <w:r w:rsidRPr="00A50F32">
              <w:rPr>
                <w:color w:val="000000"/>
                <w:sz w:val="20"/>
              </w:rPr>
              <w:t>D(MP(-1))</w:t>
            </w:r>
          </w:p>
        </w:tc>
        <w:tc>
          <w:tcPr>
            <w:tcW w:w="1536" w:type="dxa"/>
            <w:vAlign w:val="bottom"/>
          </w:tcPr>
          <w:p w14:paraId="25F291EF" w14:textId="77777777" w:rsidR="009D755F" w:rsidRPr="00A50F32" w:rsidRDefault="009D755F" w:rsidP="00F647C8">
            <w:pPr>
              <w:autoSpaceDE w:val="0"/>
              <w:autoSpaceDN w:val="0"/>
              <w:adjustRightInd w:val="0"/>
              <w:jc w:val="center"/>
              <w:rPr>
                <w:color w:val="000000"/>
                <w:sz w:val="20"/>
              </w:rPr>
            </w:pPr>
            <w:r w:rsidRPr="00A50F32">
              <w:rPr>
                <w:color w:val="000000"/>
                <w:sz w:val="20"/>
              </w:rPr>
              <w:t>-0.128369</w:t>
            </w:r>
          </w:p>
        </w:tc>
        <w:tc>
          <w:tcPr>
            <w:tcW w:w="1417" w:type="dxa"/>
            <w:vAlign w:val="bottom"/>
          </w:tcPr>
          <w:p w14:paraId="65D53738" w14:textId="77777777" w:rsidR="009D755F" w:rsidRPr="00A50F32" w:rsidRDefault="009D755F" w:rsidP="00F647C8">
            <w:pPr>
              <w:autoSpaceDE w:val="0"/>
              <w:autoSpaceDN w:val="0"/>
              <w:adjustRightInd w:val="0"/>
              <w:jc w:val="center"/>
              <w:rPr>
                <w:color w:val="000000"/>
                <w:sz w:val="20"/>
              </w:rPr>
            </w:pPr>
            <w:r w:rsidRPr="00A50F32">
              <w:rPr>
                <w:color w:val="000000"/>
                <w:sz w:val="20"/>
              </w:rPr>
              <w:t>-0.022446</w:t>
            </w:r>
          </w:p>
        </w:tc>
        <w:tc>
          <w:tcPr>
            <w:tcW w:w="1560" w:type="dxa"/>
            <w:vAlign w:val="bottom"/>
          </w:tcPr>
          <w:p w14:paraId="3FB43E6E" w14:textId="77777777" w:rsidR="009D755F" w:rsidRPr="00A50F32" w:rsidRDefault="009D755F" w:rsidP="00F647C8">
            <w:pPr>
              <w:autoSpaceDE w:val="0"/>
              <w:autoSpaceDN w:val="0"/>
              <w:adjustRightInd w:val="0"/>
              <w:jc w:val="center"/>
              <w:rPr>
                <w:color w:val="000000"/>
                <w:sz w:val="20"/>
              </w:rPr>
            </w:pPr>
            <w:r w:rsidRPr="00A50F32">
              <w:rPr>
                <w:color w:val="000000"/>
                <w:sz w:val="20"/>
              </w:rPr>
              <w:t>-7151498.</w:t>
            </w:r>
          </w:p>
        </w:tc>
        <w:tc>
          <w:tcPr>
            <w:tcW w:w="1842" w:type="dxa"/>
            <w:vAlign w:val="bottom"/>
          </w:tcPr>
          <w:p w14:paraId="00CBC8B3" w14:textId="77777777" w:rsidR="009D755F" w:rsidRPr="00A50F32" w:rsidRDefault="009D755F" w:rsidP="00F647C8">
            <w:pPr>
              <w:autoSpaceDE w:val="0"/>
              <w:autoSpaceDN w:val="0"/>
              <w:adjustRightInd w:val="0"/>
              <w:jc w:val="center"/>
              <w:rPr>
                <w:color w:val="000000"/>
                <w:sz w:val="20"/>
              </w:rPr>
            </w:pPr>
            <w:r w:rsidRPr="00A50F32">
              <w:rPr>
                <w:color w:val="000000"/>
                <w:sz w:val="20"/>
              </w:rPr>
              <w:t>-10.03689</w:t>
            </w:r>
          </w:p>
        </w:tc>
      </w:tr>
      <w:tr w:rsidR="009D755F" w:rsidRPr="00A50F32" w14:paraId="43D2CBE8" w14:textId="77777777" w:rsidTr="00EE1365">
        <w:trPr>
          <w:trHeight w:val="220"/>
        </w:trPr>
        <w:tc>
          <w:tcPr>
            <w:tcW w:w="2664" w:type="dxa"/>
            <w:vAlign w:val="bottom"/>
          </w:tcPr>
          <w:p w14:paraId="1DF9FFB7" w14:textId="77777777" w:rsidR="009D755F" w:rsidRPr="00A50F32" w:rsidRDefault="009D755F" w:rsidP="00F647C8">
            <w:pPr>
              <w:autoSpaceDE w:val="0"/>
              <w:autoSpaceDN w:val="0"/>
              <w:adjustRightInd w:val="0"/>
              <w:jc w:val="center"/>
              <w:rPr>
                <w:color w:val="000000"/>
                <w:sz w:val="20"/>
              </w:rPr>
            </w:pPr>
          </w:p>
        </w:tc>
        <w:tc>
          <w:tcPr>
            <w:tcW w:w="1536" w:type="dxa"/>
            <w:vAlign w:val="bottom"/>
          </w:tcPr>
          <w:p w14:paraId="1AD3D667" w14:textId="77777777" w:rsidR="009D755F" w:rsidRPr="00A50F32" w:rsidRDefault="009D755F" w:rsidP="00F647C8">
            <w:pPr>
              <w:autoSpaceDE w:val="0"/>
              <w:autoSpaceDN w:val="0"/>
              <w:adjustRightInd w:val="0"/>
              <w:jc w:val="center"/>
              <w:rPr>
                <w:color w:val="000000"/>
                <w:sz w:val="20"/>
              </w:rPr>
            </w:pPr>
            <w:r w:rsidRPr="00A50F32">
              <w:rPr>
                <w:color w:val="000000"/>
                <w:sz w:val="20"/>
              </w:rPr>
              <w:t> (0.04615)</w:t>
            </w:r>
          </w:p>
        </w:tc>
        <w:tc>
          <w:tcPr>
            <w:tcW w:w="1417" w:type="dxa"/>
            <w:vAlign w:val="bottom"/>
          </w:tcPr>
          <w:p w14:paraId="4BD4F11E" w14:textId="77777777" w:rsidR="009D755F" w:rsidRPr="00A50F32" w:rsidRDefault="009D755F" w:rsidP="00F647C8">
            <w:pPr>
              <w:autoSpaceDE w:val="0"/>
              <w:autoSpaceDN w:val="0"/>
              <w:adjustRightInd w:val="0"/>
              <w:jc w:val="center"/>
              <w:rPr>
                <w:color w:val="000000"/>
                <w:sz w:val="20"/>
              </w:rPr>
            </w:pPr>
            <w:r w:rsidRPr="00A50F32">
              <w:rPr>
                <w:color w:val="000000"/>
                <w:sz w:val="20"/>
              </w:rPr>
              <w:t> (0.11152)</w:t>
            </w:r>
          </w:p>
        </w:tc>
        <w:tc>
          <w:tcPr>
            <w:tcW w:w="1560" w:type="dxa"/>
            <w:vAlign w:val="bottom"/>
          </w:tcPr>
          <w:p w14:paraId="4332D6DD" w14:textId="77777777" w:rsidR="009D755F" w:rsidRPr="00A50F32" w:rsidRDefault="009D755F" w:rsidP="00F647C8">
            <w:pPr>
              <w:autoSpaceDE w:val="0"/>
              <w:autoSpaceDN w:val="0"/>
              <w:adjustRightInd w:val="0"/>
              <w:jc w:val="center"/>
              <w:rPr>
                <w:color w:val="000000"/>
                <w:sz w:val="20"/>
              </w:rPr>
            </w:pPr>
            <w:r w:rsidRPr="00A50F32">
              <w:rPr>
                <w:color w:val="000000"/>
                <w:sz w:val="20"/>
              </w:rPr>
              <w:t> (1.4E+07)</w:t>
            </w:r>
          </w:p>
        </w:tc>
        <w:tc>
          <w:tcPr>
            <w:tcW w:w="1842" w:type="dxa"/>
            <w:vAlign w:val="bottom"/>
          </w:tcPr>
          <w:p w14:paraId="1069BF0B" w14:textId="77777777" w:rsidR="009D755F" w:rsidRPr="00A50F32" w:rsidRDefault="009D755F" w:rsidP="00F647C8">
            <w:pPr>
              <w:autoSpaceDE w:val="0"/>
              <w:autoSpaceDN w:val="0"/>
              <w:adjustRightInd w:val="0"/>
              <w:jc w:val="center"/>
              <w:rPr>
                <w:color w:val="000000"/>
                <w:sz w:val="20"/>
              </w:rPr>
            </w:pPr>
            <w:r w:rsidRPr="00A50F32">
              <w:rPr>
                <w:color w:val="000000"/>
                <w:sz w:val="20"/>
              </w:rPr>
              <w:t> (3.52163)</w:t>
            </w:r>
          </w:p>
        </w:tc>
      </w:tr>
      <w:tr w:rsidR="009D755F" w:rsidRPr="00A50F32" w14:paraId="661C3FC0" w14:textId="77777777" w:rsidTr="00EE1365">
        <w:trPr>
          <w:trHeight w:val="220"/>
        </w:trPr>
        <w:tc>
          <w:tcPr>
            <w:tcW w:w="2664" w:type="dxa"/>
            <w:vAlign w:val="bottom"/>
          </w:tcPr>
          <w:p w14:paraId="08E564FE" w14:textId="77777777" w:rsidR="009D755F" w:rsidRPr="00A50F32" w:rsidRDefault="009D755F" w:rsidP="00F647C8">
            <w:pPr>
              <w:autoSpaceDE w:val="0"/>
              <w:autoSpaceDN w:val="0"/>
              <w:adjustRightInd w:val="0"/>
              <w:jc w:val="center"/>
              <w:rPr>
                <w:color w:val="000000"/>
                <w:sz w:val="20"/>
              </w:rPr>
            </w:pPr>
          </w:p>
        </w:tc>
        <w:tc>
          <w:tcPr>
            <w:tcW w:w="1536" w:type="dxa"/>
            <w:vAlign w:val="bottom"/>
          </w:tcPr>
          <w:p w14:paraId="6360125A" w14:textId="77777777" w:rsidR="009D755F" w:rsidRPr="00A50F32" w:rsidRDefault="009D755F" w:rsidP="00F647C8">
            <w:pPr>
              <w:autoSpaceDE w:val="0"/>
              <w:autoSpaceDN w:val="0"/>
              <w:adjustRightInd w:val="0"/>
              <w:jc w:val="center"/>
              <w:rPr>
                <w:color w:val="000000"/>
                <w:sz w:val="20"/>
              </w:rPr>
            </w:pPr>
            <w:r w:rsidRPr="00A50F32">
              <w:rPr>
                <w:color w:val="000000"/>
                <w:sz w:val="20"/>
              </w:rPr>
              <w:t>[-2.78169]</w:t>
            </w:r>
          </w:p>
        </w:tc>
        <w:tc>
          <w:tcPr>
            <w:tcW w:w="1417" w:type="dxa"/>
            <w:vAlign w:val="bottom"/>
          </w:tcPr>
          <w:p w14:paraId="77ACFBBB" w14:textId="77777777" w:rsidR="009D755F" w:rsidRPr="00A50F32" w:rsidRDefault="009D755F" w:rsidP="00F647C8">
            <w:pPr>
              <w:autoSpaceDE w:val="0"/>
              <w:autoSpaceDN w:val="0"/>
              <w:adjustRightInd w:val="0"/>
              <w:jc w:val="center"/>
              <w:rPr>
                <w:color w:val="000000"/>
                <w:sz w:val="20"/>
              </w:rPr>
            </w:pPr>
            <w:r w:rsidRPr="00A50F32">
              <w:rPr>
                <w:color w:val="000000"/>
                <w:sz w:val="20"/>
              </w:rPr>
              <w:t>[-0.20128]</w:t>
            </w:r>
          </w:p>
        </w:tc>
        <w:tc>
          <w:tcPr>
            <w:tcW w:w="1560" w:type="dxa"/>
            <w:vAlign w:val="bottom"/>
          </w:tcPr>
          <w:p w14:paraId="42422A7F" w14:textId="77777777" w:rsidR="009D755F" w:rsidRPr="00A50F32" w:rsidRDefault="009D755F" w:rsidP="00F647C8">
            <w:pPr>
              <w:autoSpaceDE w:val="0"/>
              <w:autoSpaceDN w:val="0"/>
              <w:adjustRightInd w:val="0"/>
              <w:jc w:val="center"/>
              <w:rPr>
                <w:color w:val="000000"/>
                <w:sz w:val="20"/>
              </w:rPr>
            </w:pPr>
            <w:r w:rsidRPr="00A50F32">
              <w:rPr>
                <w:color w:val="000000"/>
                <w:sz w:val="20"/>
              </w:rPr>
              <w:t>[-0.52863]</w:t>
            </w:r>
          </w:p>
        </w:tc>
        <w:tc>
          <w:tcPr>
            <w:tcW w:w="1842" w:type="dxa"/>
            <w:vAlign w:val="bottom"/>
          </w:tcPr>
          <w:p w14:paraId="7F6523D3" w14:textId="77777777" w:rsidR="009D755F" w:rsidRPr="00A50F32" w:rsidRDefault="009D755F" w:rsidP="00F647C8">
            <w:pPr>
              <w:autoSpaceDE w:val="0"/>
              <w:autoSpaceDN w:val="0"/>
              <w:adjustRightInd w:val="0"/>
              <w:jc w:val="center"/>
              <w:rPr>
                <w:color w:val="000000"/>
                <w:sz w:val="20"/>
              </w:rPr>
            </w:pPr>
            <w:r w:rsidRPr="00A50F32">
              <w:rPr>
                <w:color w:val="000000"/>
                <w:sz w:val="20"/>
              </w:rPr>
              <w:t>[-2.85007]</w:t>
            </w:r>
          </w:p>
        </w:tc>
      </w:tr>
      <w:tr w:rsidR="009D755F" w:rsidRPr="00A50F32" w14:paraId="7436ED24" w14:textId="77777777" w:rsidTr="00EE1365">
        <w:trPr>
          <w:trHeight w:val="220"/>
        </w:trPr>
        <w:tc>
          <w:tcPr>
            <w:tcW w:w="2664" w:type="dxa"/>
            <w:vAlign w:val="bottom"/>
          </w:tcPr>
          <w:p w14:paraId="64C68A61" w14:textId="77777777" w:rsidR="009D755F" w:rsidRPr="00A50F32" w:rsidRDefault="009D755F" w:rsidP="00F647C8">
            <w:pPr>
              <w:autoSpaceDE w:val="0"/>
              <w:autoSpaceDN w:val="0"/>
              <w:adjustRightInd w:val="0"/>
              <w:jc w:val="center"/>
              <w:rPr>
                <w:color w:val="000000"/>
                <w:sz w:val="20"/>
              </w:rPr>
            </w:pPr>
          </w:p>
        </w:tc>
        <w:tc>
          <w:tcPr>
            <w:tcW w:w="1536" w:type="dxa"/>
            <w:vAlign w:val="bottom"/>
          </w:tcPr>
          <w:p w14:paraId="2FB79F14" w14:textId="77777777" w:rsidR="009D755F" w:rsidRPr="00A50F32" w:rsidRDefault="009D755F" w:rsidP="00F647C8">
            <w:pPr>
              <w:autoSpaceDE w:val="0"/>
              <w:autoSpaceDN w:val="0"/>
              <w:adjustRightInd w:val="0"/>
              <w:jc w:val="center"/>
              <w:rPr>
                <w:color w:val="000000"/>
                <w:sz w:val="20"/>
              </w:rPr>
            </w:pPr>
          </w:p>
        </w:tc>
        <w:tc>
          <w:tcPr>
            <w:tcW w:w="1417" w:type="dxa"/>
            <w:vAlign w:val="bottom"/>
          </w:tcPr>
          <w:p w14:paraId="325E9510" w14:textId="77777777" w:rsidR="009D755F" w:rsidRPr="00A50F32" w:rsidRDefault="009D755F" w:rsidP="00F647C8">
            <w:pPr>
              <w:autoSpaceDE w:val="0"/>
              <w:autoSpaceDN w:val="0"/>
              <w:adjustRightInd w:val="0"/>
              <w:jc w:val="center"/>
              <w:rPr>
                <w:color w:val="000000"/>
                <w:sz w:val="20"/>
              </w:rPr>
            </w:pPr>
          </w:p>
        </w:tc>
        <w:tc>
          <w:tcPr>
            <w:tcW w:w="1560" w:type="dxa"/>
            <w:vAlign w:val="bottom"/>
          </w:tcPr>
          <w:p w14:paraId="718955A2" w14:textId="77777777" w:rsidR="009D755F" w:rsidRPr="00A50F32" w:rsidRDefault="009D755F" w:rsidP="00F647C8">
            <w:pPr>
              <w:autoSpaceDE w:val="0"/>
              <w:autoSpaceDN w:val="0"/>
              <w:adjustRightInd w:val="0"/>
              <w:jc w:val="center"/>
              <w:rPr>
                <w:color w:val="000000"/>
                <w:sz w:val="20"/>
              </w:rPr>
            </w:pPr>
          </w:p>
        </w:tc>
        <w:tc>
          <w:tcPr>
            <w:tcW w:w="1842" w:type="dxa"/>
            <w:vAlign w:val="bottom"/>
          </w:tcPr>
          <w:p w14:paraId="3CA72B5A" w14:textId="77777777" w:rsidR="009D755F" w:rsidRPr="00A50F32" w:rsidRDefault="009D755F" w:rsidP="00F647C8">
            <w:pPr>
              <w:autoSpaceDE w:val="0"/>
              <w:autoSpaceDN w:val="0"/>
              <w:adjustRightInd w:val="0"/>
              <w:jc w:val="center"/>
              <w:rPr>
                <w:color w:val="000000"/>
                <w:sz w:val="20"/>
              </w:rPr>
            </w:pPr>
          </w:p>
        </w:tc>
      </w:tr>
      <w:tr w:rsidR="009D755F" w:rsidRPr="00A50F32" w14:paraId="20574045" w14:textId="77777777" w:rsidTr="00EE1365">
        <w:trPr>
          <w:trHeight w:val="220"/>
        </w:trPr>
        <w:tc>
          <w:tcPr>
            <w:tcW w:w="2664" w:type="dxa"/>
            <w:vAlign w:val="bottom"/>
          </w:tcPr>
          <w:p w14:paraId="7A3468EC" w14:textId="77777777" w:rsidR="009D755F" w:rsidRPr="00A50F32" w:rsidRDefault="009D755F" w:rsidP="00F647C8">
            <w:pPr>
              <w:autoSpaceDE w:val="0"/>
              <w:autoSpaceDN w:val="0"/>
              <w:adjustRightInd w:val="0"/>
              <w:jc w:val="center"/>
              <w:rPr>
                <w:color w:val="000000"/>
                <w:sz w:val="20"/>
              </w:rPr>
            </w:pPr>
            <w:r w:rsidRPr="00A50F32">
              <w:rPr>
                <w:color w:val="000000"/>
                <w:sz w:val="20"/>
              </w:rPr>
              <w:t>D(MP(-2))</w:t>
            </w:r>
          </w:p>
        </w:tc>
        <w:tc>
          <w:tcPr>
            <w:tcW w:w="1536" w:type="dxa"/>
            <w:vAlign w:val="bottom"/>
          </w:tcPr>
          <w:p w14:paraId="47AA26D6" w14:textId="77777777" w:rsidR="009D755F" w:rsidRPr="00A50F32" w:rsidRDefault="009D755F" w:rsidP="00F647C8">
            <w:pPr>
              <w:autoSpaceDE w:val="0"/>
              <w:autoSpaceDN w:val="0"/>
              <w:adjustRightInd w:val="0"/>
              <w:jc w:val="center"/>
              <w:rPr>
                <w:color w:val="000000"/>
                <w:sz w:val="20"/>
              </w:rPr>
            </w:pPr>
            <w:r w:rsidRPr="00A50F32">
              <w:rPr>
                <w:color w:val="000000"/>
                <w:sz w:val="20"/>
              </w:rPr>
              <w:t> 0.043431</w:t>
            </w:r>
          </w:p>
        </w:tc>
        <w:tc>
          <w:tcPr>
            <w:tcW w:w="1417" w:type="dxa"/>
            <w:vAlign w:val="bottom"/>
          </w:tcPr>
          <w:p w14:paraId="65A0B861" w14:textId="77777777" w:rsidR="009D755F" w:rsidRPr="00A50F32" w:rsidRDefault="009D755F" w:rsidP="00F647C8">
            <w:pPr>
              <w:autoSpaceDE w:val="0"/>
              <w:autoSpaceDN w:val="0"/>
              <w:adjustRightInd w:val="0"/>
              <w:jc w:val="center"/>
              <w:rPr>
                <w:color w:val="000000"/>
                <w:sz w:val="20"/>
              </w:rPr>
            </w:pPr>
            <w:r w:rsidRPr="00A50F32">
              <w:rPr>
                <w:color w:val="000000"/>
                <w:sz w:val="20"/>
              </w:rPr>
              <w:t>-0.148689</w:t>
            </w:r>
          </w:p>
        </w:tc>
        <w:tc>
          <w:tcPr>
            <w:tcW w:w="1560" w:type="dxa"/>
            <w:vAlign w:val="bottom"/>
          </w:tcPr>
          <w:p w14:paraId="61CE5CDE" w14:textId="77777777" w:rsidR="009D755F" w:rsidRPr="00A50F32" w:rsidRDefault="009D755F" w:rsidP="00F647C8">
            <w:pPr>
              <w:autoSpaceDE w:val="0"/>
              <w:autoSpaceDN w:val="0"/>
              <w:adjustRightInd w:val="0"/>
              <w:jc w:val="center"/>
              <w:rPr>
                <w:color w:val="000000"/>
                <w:sz w:val="20"/>
              </w:rPr>
            </w:pPr>
            <w:r w:rsidRPr="00A50F32">
              <w:rPr>
                <w:color w:val="000000"/>
                <w:sz w:val="20"/>
              </w:rPr>
              <w:t> 11238344</w:t>
            </w:r>
          </w:p>
        </w:tc>
        <w:tc>
          <w:tcPr>
            <w:tcW w:w="1842" w:type="dxa"/>
            <w:vAlign w:val="bottom"/>
          </w:tcPr>
          <w:p w14:paraId="44CDA59D" w14:textId="77777777" w:rsidR="009D755F" w:rsidRPr="00A50F32" w:rsidRDefault="009D755F" w:rsidP="00F647C8">
            <w:pPr>
              <w:autoSpaceDE w:val="0"/>
              <w:autoSpaceDN w:val="0"/>
              <w:adjustRightInd w:val="0"/>
              <w:jc w:val="center"/>
              <w:rPr>
                <w:color w:val="000000"/>
                <w:sz w:val="20"/>
              </w:rPr>
            </w:pPr>
            <w:r w:rsidRPr="00A50F32">
              <w:rPr>
                <w:color w:val="000000"/>
                <w:sz w:val="20"/>
              </w:rPr>
              <w:t> 12.70399</w:t>
            </w:r>
          </w:p>
        </w:tc>
      </w:tr>
      <w:tr w:rsidR="009D755F" w:rsidRPr="00A50F32" w14:paraId="427A0CB7" w14:textId="77777777" w:rsidTr="00EE1365">
        <w:trPr>
          <w:trHeight w:val="220"/>
        </w:trPr>
        <w:tc>
          <w:tcPr>
            <w:tcW w:w="2664" w:type="dxa"/>
            <w:vAlign w:val="bottom"/>
          </w:tcPr>
          <w:p w14:paraId="4E494E70" w14:textId="77777777" w:rsidR="009D755F" w:rsidRPr="00A50F32" w:rsidRDefault="009D755F" w:rsidP="00F647C8">
            <w:pPr>
              <w:autoSpaceDE w:val="0"/>
              <w:autoSpaceDN w:val="0"/>
              <w:adjustRightInd w:val="0"/>
              <w:jc w:val="center"/>
              <w:rPr>
                <w:color w:val="000000"/>
                <w:sz w:val="20"/>
              </w:rPr>
            </w:pPr>
          </w:p>
        </w:tc>
        <w:tc>
          <w:tcPr>
            <w:tcW w:w="1536" w:type="dxa"/>
            <w:vAlign w:val="bottom"/>
          </w:tcPr>
          <w:p w14:paraId="6D530171" w14:textId="77777777" w:rsidR="009D755F" w:rsidRPr="00A50F32" w:rsidRDefault="009D755F" w:rsidP="00F647C8">
            <w:pPr>
              <w:autoSpaceDE w:val="0"/>
              <w:autoSpaceDN w:val="0"/>
              <w:adjustRightInd w:val="0"/>
              <w:jc w:val="center"/>
              <w:rPr>
                <w:color w:val="000000"/>
                <w:sz w:val="20"/>
              </w:rPr>
            </w:pPr>
            <w:r w:rsidRPr="00A50F32">
              <w:rPr>
                <w:color w:val="000000"/>
                <w:sz w:val="20"/>
              </w:rPr>
              <w:t> (0.05194)</w:t>
            </w:r>
          </w:p>
        </w:tc>
        <w:tc>
          <w:tcPr>
            <w:tcW w:w="1417" w:type="dxa"/>
            <w:vAlign w:val="bottom"/>
          </w:tcPr>
          <w:p w14:paraId="246B3554" w14:textId="77777777" w:rsidR="009D755F" w:rsidRPr="00A50F32" w:rsidRDefault="009D755F" w:rsidP="00F647C8">
            <w:pPr>
              <w:autoSpaceDE w:val="0"/>
              <w:autoSpaceDN w:val="0"/>
              <w:adjustRightInd w:val="0"/>
              <w:jc w:val="center"/>
              <w:rPr>
                <w:color w:val="000000"/>
                <w:sz w:val="20"/>
              </w:rPr>
            </w:pPr>
            <w:r w:rsidRPr="00A50F32">
              <w:rPr>
                <w:color w:val="000000"/>
                <w:sz w:val="20"/>
              </w:rPr>
              <w:t> (0.12552)</w:t>
            </w:r>
          </w:p>
        </w:tc>
        <w:tc>
          <w:tcPr>
            <w:tcW w:w="1560" w:type="dxa"/>
            <w:vAlign w:val="bottom"/>
          </w:tcPr>
          <w:p w14:paraId="3FE992EF" w14:textId="77777777" w:rsidR="009D755F" w:rsidRPr="00A50F32" w:rsidRDefault="009D755F" w:rsidP="00F647C8">
            <w:pPr>
              <w:autoSpaceDE w:val="0"/>
              <w:autoSpaceDN w:val="0"/>
              <w:adjustRightInd w:val="0"/>
              <w:jc w:val="center"/>
              <w:rPr>
                <w:color w:val="000000"/>
                <w:sz w:val="20"/>
              </w:rPr>
            </w:pPr>
            <w:r w:rsidRPr="00A50F32">
              <w:rPr>
                <w:color w:val="000000"/>
                <w:sz w:val="20"/>
              </w:rPr>
              <w:t> (1.5E+07)</w:t>
            </w:r>
          </w:p>
        </w:tc>
        <w:tc>
          <w:tcPr>
            <w:tcW w:w="1842" w:type="dxa"/>
            <w:vAlign w:val="bottom"/>
          </w:tcPr>
          <w:p w14:paraId="7EB6B63C" w14:textId="77777777" w:rsidR="009D755F" w:rsidRPr="00A50F32" w:rsidRDefault="009D755F" w:rsidP="00F647C8">
            <w:pPr>
              <w:autoSpaceDE w:val="0"/>
              <w:autoSpaceDN w:val="0"/>
              <w:adjustRightInd w:val="0"/>
              <w:jc w:val="center"/>
              <w:rPr>
                <w:color w:val="000000"/>
                <w:sz w:val="20"/>
              </w:rPr>
            </w:pPr>
            <w:r w:rsidRPr="00A50F32">
              <w:rPr>
                <w:color w:val="000000"/>
                <w:sz w:val="20"/>
              </w:rPr>
              <w:t> (3.96366)</w:t>
            </w:r>
          </w:p>
        </w:tc>
      </w:tr>
      <w:tr w:rsidR="009D755F" w:rsidRPr="00A50F32" w14:paraId="205CE7A5" w14:textId="77777777" w:rsidTr="00EE1365">
        <w:trPr>
          <w:trHeight w:val="220"/>
        </w:trPr>
        <w:tc>
          <w:tcPr>
            <w:tcW w:w="2664" w:type="dxa"/>
            <w:vAlign w:val="bottom"/>
          </w:tcPr>
          <w:p w14:paraId="5F469821" w14:textId="77777777" w:rsidR="009D755F" w:rsidRPr="00A50F32" w:rsidRDefault="009D755F" w:rsidP="00F647C8">
            <w:pPr>
              <w:autoSpaceDE w:val="0"/>
              <w:autoSpaceDN w:val="0"/>
              <w:adjustRightInd w:val="0"/>
              <w:jc w:val="center"/>
              <w:rPr>
                <w:color w:val="000000"/>
                <w:sz w:val="20"/>
              </w:rPr>
            </w:pPr>
          </w:p>
        </w:tc>
        <w:tc>
          <w:tcPr>
            <w:tcW w:w="1536" w:type="dxa"/>
            <w:vAlign w:val="bottom"/>
          </w:tcPr>
          <w:p w14:paraId="3247070D" w14:textId="77777777" w:rsidR="009D755F" w:rsidRPr="00A50F32" w:rsidRDefault="009D755F" w:rsidP="00F647C8">
            <w:pPr>
              <w:autoSpaceDE w:val="0"/>
              <w:autoSpaceDN w:val="0"/>
              <w:adjustRightInd w:val="0"/>
              <w:jc w:val="center"/>
              <w:rPr>
                <w:color w:val="000000"/>
                <w:sz w:val="20"/>
              </w:rPr>
            </w:pPr>
            <w:r w:rsidRPr="00A50F32">
              <w:rPr>
                <w:color w:val="000000"/>
                <w:sz w:val="20"/>
              </w:rPr>
              <w:t>[ 0.83618]</w:t>
            </w:r>
          </w:p>
        </w:tc>
        <w:tc>
          <w:tcPr>
            <w:tcW w:w="1417" w:type="dxa"/>
            <w:vAlign w:val="bottom"/>
          </w:tcPr>
          <w:p w14:paraId="69E64820" w14:textId="77777777" w:rsidR="009D755F" w:rsidRPr="00A50F32" w:rsidRDefault="009D755F" w:rsidP="00F647C8">
            <w:pPr>
              <w:autoSpaceDE w:val="0"/>
              <w:autoSpaceDN w:val="0"/>
              <w:adjustRightInd w:val="0"/>
              <w:jc w:val="center"/>
              <w:rPr>
                <w:color w:val="000000"/>
                <w:sz w:val="20"/>
              </w:rPr>
            </w:pPr>
            <w:r w:rsidRPr="00A50F32">
              <w:rPr>
                <w:color w:val="000000"/>
                <w:sz w:val="20"/>
              </w:rPr>
              <w:t>[-1.18463]</w:t>
            </w:r>
          </w:p>
        </w:tc>
        <w:tc>
          <w:tcPr>
            <w:tcW w:w="1560" w:type="dxa"/>
            <w:vAlign w:val="bottom"/>
          </w:tcPr>
          <w:p w14:paraId="4269DBA0" w14:textId="77777777" w:rsidR="009D755F" w:rsidRPr="00A50F32" w:rsidRDefault="009D755F" w:rsidP="00F647C8">
            <w:pPr>
              <w:autoSpaceDE w:val="0"/>
              <w:autoSpaceDN w:val="0"/>
              <w:adjustRightInd w:val="0"/>
              <w:jc w:val="center"/>
              <w:rPr>
                <w:color w:val="000000"/>
                <w:sz w:val="20"/>
              </w:rPr>
            </w:pPr>
            <w:r w:rsidRPr="00A50F32">
              <w:rPr>
                <w:color w:val="000000"/>
                <w:sz w:val="20"/>
              </w:rPr>
              <w:t>[ 0.73808]</w:t>
            </w:r>
          </w:p>
        </w:tc>
        <w:tc>
          <w:tcPr>
            <w:tcW w:w="1842" w:type="dxa"/>
            <w:vAlign w:val="bottom"/>
          </w:tcPr>
          <w:p w14:paraId="721B6775" w14:textId="77777777" w:rsidR="009D755F" w:rsidRPr="00A50F32" w:rsidRDefault="009D755F" w:rsidP="00F647C8">
            <w:pPr>
              <w:autoSpaceDE w:val="0"/>
              <w:autoSpaceDN w:val="0"/>
              <w:adjustRightInd w:val="0"/>
              <w:jc w:val="center"/>
              <w:rPr>
                <w:color w:val="000000"/>
                <w:sz w:val="20"/>
              </w:rPr>
            </w:pPr>
            <w:r w:rsidRPr="00A50F32">
              <w:rPr>
                <w:color w:val="000000"/>
                <w:sz w:val="20"/>
              </w:rPr>
              <w:t>[ 3.20511]</w:t>
            </w:r>
          </w:p>
        </w:tc>
      </w:tr>
      <w:tr w:rsidR="009D755F" w:rsidRPr="00A50F32" w14:paraId="5CB291DD" w14:textId="77777777" w:rsidTr="00EE1365">
        <w:trPr>
          <w:trHeight w:val="220"/>
        </w:trPr>
        <w:tc>
          <w:tcPr>
            <w:tcW w:w="2664" w:type="dxa"/>
            <w:vAlign w:val="bottom"/>
          </w:tcPr>
          <w:p w14:paraId="272F6D66" w14:textId="77777777" w:rsidR="009D755F" w:rsidRPr="00A50F32" w:rsidRDefault="009D755F" w:rsidP="00F647C8">
            <w:pPr>
              <w:autoSpaceDE w:val="0"/>
              <w:autoSpaceDN w:val="0"/>
              <w:adjustRightInd w:val="0"/>
              <w:jc w:val="center"/>
              <w:rPr>
                <w:color w:val="000000"/>
                <w:sz w:val="20"/>
              </w:rPr>
            </w:pPr>
          </w:p>
        </w:tc>
        <w:tc>
          <w:tcPr>
            <w:tcW w:w="1536" w:type="dxa"/>
            <w:vAlign w:val="bottom"/>
          </w:tcPr>
          <w:p w14:paraId="6184AE54" w14:textId="77777777" w:rsidR="009D755F" w:rsidRPr="00A50F32" w:rsidRDefault="009D755F" w:rsidP="00F647C8">
            <w:pPr>
              <w:autoSpaceDE w:val="0"/>
              <w:autoSpaceDN w:val="0"/>
              <w:adjustRightInd w:val="0"/>
              <w:jc w:val="center"/>
              <w:rPr>
                <w:color w:val="000000"/>
                <w:sz w:val="20"/>
              </w:rPr>
            </w:pPr>
          </w:p>
        </w:tc>
        <w:tc>
          <w:tcPr>
            <w:tcW w:w="1417" w:type="dxa"/>
            <w:vAlign w:val="bottom"/>
          </w:tcPr>
          <w:p w14:paraId="3A20C946" w14:textId="77777777" w:rsidR="009D755F" w:rsidRPr="00A50F32" w:rsidRDefault="009D755F" w:rsidP="00F647C8">
            <w:pPr>
              <w:autoSpaceDE w:val="0"/>
              <w:autoSpaceDN w:val="0"/>
              <w:adjustRightInd w:val="0"/>
              <w:jc w:val="center"/>
              <w:rPr>
                <w:color w:val="000000"/>
                <w:sz w:val="20"/>
              </w:rPr>
            </w:pPr>
          </w:p>
        </w:tc>
        <w:tc>
          <w:tcPr>
            <w:tcW w:w="1560" w:type="dxa"/>
            <w:vAlign w:val="bottom"/>
          </w:tcPr>
          <w:p w14:paraId="16D64678" w14:textId="77777777" w:rsidR="009D755F" w:rsidRPr="00A50F32" w:rsidRDefault="009D755F" w:rsidP="00F647C8">
            <w:pPr>
              <w:autoSpaceDE w:val="0"/>
              <w:autoSpaceDN w:val="0"/>
              <w:adjustRightInd w:val="0"/>
              <w:jc w:val="center"/>
              <w:rPr>
                <w:color w:val="000000"/>
                <w:sz w:val="20"/>
              </w:rPr>
            </w:pPr>
          </w:p>
        </w:tc>
        <w:tc>
          <w:tcPr>
            <w:tcW w:w="1842" w:type="dxa"/>
            <w:vAlign w:val="bottom"/>
          </w:tcPr>
          <w:p w14:paraId="355A1A60" w14:textId="77777777" w:rsidR="009D755F" w:rsidRPr="00A50F32" w:rsidRDefault="009D755F" w:rsidP="00F647C8">
            <w:pPr>
              <w:autoSpaceDE w:val="0"/>
              <w:autoSpaceDN w:val="0"/>
              <w:adjustRightInd w:val="0"/>
              <w:jc w:val="center"/>
              <w:rPr>
                <w:color w:val="000000"/>
                <w:sz w:val="20"/>
              </w:rPr>
            </w:pPr>
          </w:p>
        </w:tc>
      </w:tr>
      <w:tr w:rsidR="009D755F" w:rsidRPr="00A50F32" w14:paraId="6618CCA6" w14:textId="77777777" w:rsidTr="00EE1365">
        <w:trPr>
          <w:trHeight w:val="220"/>
        </w:trPr>
        <w:tc>
          <w:tcPr>
            <w:tcW w:w="2664" w:type="dxa"/>
            <w:vAlign w:val="bottom"/>
          </w:tcPr>
          <w:p w14:paraId="4992C5F1" w14:textId="77777777" w:rsidR="009D755F" w:rsidRPr="00A50F32" w:rsidRDefault="009D755F" w:rsidP="00F647C8">
            <w:pPr>
              <w:autoSpaceDE w:val="0"/>
              <w:autoSpaceDN w:val="0"/>
              <w:adjustRightInd w:val="0"/>
              <w:jc w:val="center"/>
              <w:rPr>
                <w:color w:val="000000"/>
                <w:sz w:val="20"/>
              </w:rPr>
            </w:pPr>
            <w:r w:rsidRPr="00A50F32">
              <w:rPr>
                <w:color w:val="000000"/>
                <w:sz w:val="20"/>
              </w:rPr>
              <w:t>D(CI(-1))</w:t>
            </w:r>
          </w:p>
        </w:tc>
        <w:tc>
          <w:tcPr>
            <w:tcW w:w="1536" w:type="dxa"/>
            <w:vAlign w:val="bottom"/>
          </w:tcPr>
          <w:p w14:paraId="1EC095A8" w14:textId="77777777" w:rsidR="009D755F" w:rsidRPr="00A50F32" w:rsidRDefault="009D755F" w:rsidP="00F647C8">
            <w:pPr>
              <w:autoSpaceDE w:val="0"/>
              <w:autoSpaceDN w:val="0"/>
              <w:adjustRightInd w:val="0"/>
              <w:jc w:val="center"/>
              <w:rPr>
                <w:color w:val="000000"/>
                <w:sz w:val="20"/>
              </w:rPr>
            </w:pPr>
            <w:r w:rsidRPr="00A50F32">
              <w:rPr>
                <w:color w:val="000000"/>
                <w:sz w:val="20"/>
              </w:rPr>
              <w:t>-2.32E-10</w:t>
            </w:r>
          </w:p>
        </w:tc>
        <w:tc>
          <w:tcPr>
            <w:tcW w:w="1417" w:type="dxa"/>
            <w:vAlign w:val="bottom"/>
          </w:tcPr>
          <w:p w14:paraId="5D39FF1C" w14:textId="77777777" w:rsidR="009D755F" w:rsidRPr="00A50F32" w:rsidRDefault="009D755F" w:rsidP="00F647C8">
            <w:pPr>
              <w:autoSpaceDE w:val="0"/>
              <w:autoSpaceDN w:val="0"/>
              <w:adjustRightInd w:val="0"/>
              <w:jc w:val="center"/>
              <w:rPr>
                <w:color w:val="000000"/>
                <w:sz w:val="20"/>
              </w:rPr>
            </w:pPr>
            <w:r w:rsidRPr="00A50F32">
              <w:rPr>
                <w:color w:val="000000"/>
                <w:sz w:val="20"/>
              </w:rPr>
              <w:t> 2.09E-09</w:t>
            </w:r>
          </w:p>
        </w:tc>
        <w:tc>
          <w:tcPr>
            <w:tcW w:w="1560" w:type="dxa"/>
            <w:vAlign w:val="bottom"/>
          </w:tcPr>
          <w:p w14:paraId="14FCAE0A" w14:textId="77777777" w:rsidR="009D755F" w:rsidRPr="00A50F32" w:rsidRDefault="009D755F" w:rsidP="00F647C8">
            <w:pPr>
              <w:autoSpaceDE w:val="0"/>
              <w:autoSpaceDN w:val="0"/>
              <w:adjustRightInd w:val="0"/>
              <w:jc w:val="center"/>
              <w:rPr>
                <w:color w:val="000000"/>
                <w:sz w:val="20"/>
              </w:rPr>
            </w:pPr>
            <w:r w:rsidRPr="00A50F32">
              <w:rPr>
                <w:color w:val="000000"/>
                <w:sz w:val="20"/>
              </w:rPr>
              <w:t> 0.243912</w:t>
            </w:r>
          </w:p>
        </w:tc>
        <w:tc>
          <w:tcPr>
            <w:tcW w:w="1842" w:type="dxa"/>
            <w:vAlign w:val="bottom"/>
          </w:tcPr>
          <w:p w14:paraId="3CAD7972" w14:textId="77777777" w:rsidR="009D755F" w:rsidRPr="00A50F32" w:rsidRDefault="009D755F" w:rsidP="00F647C8">
            <w:pPr>
              <w:autoSpaceDE w:val="0"/>
              <w:autoSpaceDN w:val="0"/>
              <w:adjustRightInd w:val="0"/>
              <w:jc w:val="center"/>
              <w:rPr>
                <w:color w:val="000000"/>
                <w:sz w:val="20"/>
              </w:rPr>
            </w:pPr>
            <w:r w:rsidRPr="00A50F32">
              <w:rPr>
                <w:color w:val="000000"/>
                <w:sz w:val="20"/>
              </w:rPr>
              <w:t>-3.05E-08</w:t>
            </w:r>
          </w:p>
        </w:tc>
      </w:tr>
      <w:tr w:rsidR="009D755F" w:rsidRPr="00A50F32" w14:paraId="4CF2B1F0" w14:textId="77777777" w:rsidTr="00EE1365">
        <w:trPr>
          <w:trHeight w:val="220"/>
        </w:trPr>
        <w:tc>
          <w:tcPr>
            <w:tcW w:w="2664" w:type="dxa"/>
            <w:vAlign w:val="bottom"/>
          </w:tcPr>
          <w:p w14:paraId="606FEC05" w14:textId="77777777" w:rsidR="009D755F" w:rsidRPr="00A50F32" w:rsidRDefault="009D755F" w:rsidP="00F647C8">
            <w:pPr>
              <w:autoSpaceDE w:val="0"/>
              <w:autoSpaceDN w:val="0"/>
              <w:adjustRightInd w:val="0"/>
              <w:jc w:val="center"/>
              <w:rPr>
                <w:color w:val="000000"/>
                <w:sz w:val="20"/>
              </w:rPr>
            </w:pPr>
          </w:p>
        </w:tc>
        <w:tc>
          <w:tcPr>
            <w:tcW w:w="1536" w:type="dxa"/>
            <w:vAlign w:val="bottom"/>
          </w:tcPr>
          <w:p w14:paraId="40BE755A" w14:textId="77777777" w:rsidR="009D755F" w:rsidRPr="00A50F32" w:rsidRDefault="009D755F" w:rsidP="00F647C8">
            <w:pPr>
              <w:autoSpaceDE w:val="0"/>
              <w:autoSpaceDN w:val="0"/>
              <w:adjustRightInd w:val="0"/>
              <w:jc w:val="center"/>
              <w:rPr>
                <w:color w:val="000000"/>
                <w:sz w:val="20"/>
              </w:rPr>
            </w:pPr>
            <w:r w:rsidRPr="00A50F32">
              <w:rPr>
                <w:color w:val="000000"/>
                <w:sz w:val="20"/>
              </w:rPr>
              <w:t> (4.5E-10)</w:t>
            </w:r>
          </w:p>
        </w:tc>
        <w:tc>
          <w:tcPr>
            <w:tcW w:w="1417" w:type="dxa"/>
            <w:vAlign w:val="bottom"/>
          </w:tcPr>
          <w:p w14:paraId="65A8C8FF" w14:textId="77777777" w:rsidR="009D755F" w:rsidRPr="00A50F32" w:rsidRDefault="009D755F" w:rsidP="00F647C8">
            <w:pPr>
              <w:autoSpaceDE w:val="0"/>
              <w:autoSpaceDN w:val="0"/>
              <w:adjustRightInd w:val="0"/>
              <w:jc w:val="center"/>
              <w:rPr>
                <w:color w:val="000000"/>
                <w:sz w:val="20"/>
              </w:rPr>
            </w:pPr>
            <w:r w:rsidRPr="00A50F32">
              <w:rPr>
                <w:color w:val="000000"/>
                <w:sz w:val="20"/>
              </w:rPr>
              <w:t> (1.1E-09)</w:t>
            </w:r>
          </w:p>
        </w:tc>
        <w:tc>
          <w:tcPr>
            <w:tcW w:w="1560" w:type="dxa"/>
            <w:vAlign w:val="bottom"/>
          </w:tcPr>
          <w:p w14:paraId="1733CD89" w14:textId="77777777" w:rsidR="009D755F" w:rsidRPr="00A50F32" w:rsidRDefault="009D755F" w:rsidP="00F647C8">
            <w:pPr>
              <w:autoSpaceDE w:val="0"/>
              <w:autoSpaceDN w:val="0"/>
              <w:adjustRightInd w:val="0"/>
              <w:jc w:val="center"/>
              <w:rPr>
                <w:color w:val="000000"/>
                <w:sz w:val="20"/>
              </w:rPr>
            </w:pPr>
            <w:r w:rsidRPr="00A50F32">
              <w:rPr>
                <w:color w:val="000000"/>
                <w:sz w:val="20"/>
              </w:rPr>
              <w:t> (0.13109)</w:t>
            </w:r>
          </w:p>
        </w:tc>
        <w:tc>
          <w:tcPr>
            <w:tcW w:w="1842" w:type="dxa"/>
            <w:vAlign w:val="bottom"/>
          </w:tcPr>
          <w:p w14:paraId="3960ADA7" w14:textId="77777777" w:rsidR="009D755F" w:rsidRPr="00A50F32" w:rsidRDefault="009D755F" w:rsidP="00F647C8">
            <w:pPr>
              <w:autoSpaceDE w:val="0"/>
              <w:autoSpaceDN w:val="0"/>
              <w:adjustRightInd w:val="0"/>
              <w:jc w:val="center"/>
              <w:rPr>
                <w:color w:val="000000"/>
                <w:sz w:val="20"/>
              </w:rPr>
            </w:pPr>
            <w:r w:rsidRPr="00A50F32">
              <w:rPr>
                <w:color w:val="000000"/>
                <w:sz w:val="20"/>
              </w:rPr>
              <w:t> (3.4E-08)</w:t>
            </w:r>
          </w:p>
        </w:tc>
      </w:tr>
      <w:tr w:rsidR="009D755F" w:rsidRPr="00A50F32" w14:paraId="4F9AF657" w14:textId="77777777" w:rsidTr="00EE1365">
        <w:trPr>
          <w:trHeight w:val="220"/>
        </w:trPr>
        <w:tc>
          <w:tcPr>
            <w:tcW w:w="2664" w:type="dxa"/>
            <w:vAlign w:val="bottom"/>
          </w:tcPr>
          <w:p w14:paraId="15A12EF7" w14:textId="77777777" w:rsidR="009D755F" w:rsidRPr="00A50F32" w:rsidRDefault="009D755F" w:rsidP="00F647C8">
            <w:pPr>
              <w:autoSpaceDE w:val="0"/>
              <w:autoSpaceDN w:val="0"/>
              <w:adjustRightInd w:val="0"/>
              <w:jc w:val="center"/>
              <w:rPr>
                <w:color w:val="000000"/>
                <w:sz w:val="20"/>
              </w:rPr>
            </w:pPr>
          </w:p>
        </w:tc>
        <w:tc>
          <w:tcPr>
            <w:tcW w:w="1536" w:type="dxa"/>
            <w:vAlign w:val="bottom"/>
          </w:tcPr>
          <w:p w14:paraId="639366FC" w14:textId="77777777" w:rsidR="009D755F" w:rsidRPr="00A50F32" w:rsidRDefault="009D755F" w:rsidP="00F647C8">
            <w:pPr>
              <w:autoSpaceDE w:val="0"/>
              <w:autoSpaceDN w:val="0"/>
              <w:adjustRightInd w:val="0"/>
              <w:jc w:val="center"/>
              <w:rPr>
                <w:color w:val="000000"/>
                <w:sz w:val="20"/>
              </w:rPr>
            </w:pPr>
            <w:r w:rsidRPr="00A50F32">
              <w:rPr>
                <w:color w:val="000000"/>
                <w:sz w:val="20"/>
              </w:rPr>
              <w:t>[-0.51947]</w:t>
            </w:r>
          </w:p>
        </w:tc>
        <w:tc>
          <w:tcPr>
            <w:tcW w:w="1417" w:type="dxa"/>
            <w:vAlign w:val="bottom"/>
          </w:tcPr>
          <w:p w14:paraId="28E2C6A9" w14:textId="77777777" w:rsidR="009D755F" w:rsidRPr="00A50F32" w:rsidRDefault="009D755F" w:rsidP="00F647C8">
            <w:pPr>
              <w:autoSpaceDE w:val="0"/>
              <w:autoSpaceDN w:val="0"/>
              <w:adjustRightInd w:val="0"/>
              <w:jc w:val="center"/>
              <w:rPr>
                <w:color w:val="000000"/>
                <w:sz w:val="20"/>
              </w:rPr>
            </w:pPr>
            <w:r w:rsidRPr="00A50F32">
              <w:rPr>
                <w:color w:val="000000"/>
                <w:sz w:val="20"/>
              </w:rPr>
              <w:t>[ 1.93208]</w:t>
            </w:r>
          </w:p>
        </w:tc>
        <w:tc>
          <w:tcPr>
            <w:tcW w:w="1560" w:type="dxa"/>
            <w:vAlign w:val="bottom"/>
          </w:tcPr>
          <w:p w14:paraId="1EEC1790" w14:textId="77777777" w:rsidR="009D755F" w:rsidRPr="00A50F32" w:rsidRDefault="009D755F" w:rsidP="00F647C8">
            <w:pPr>
              <w:autoSpaceDE w:val="0"/>
              <w:autoSpaceDN w:val="0"/>
              <w:adjustRightInd w:val="0"/>
              <w:jc w:val="center"/>
              <w:rPr>
                <w:color w:val="000000"/>
                <w:sz w:val="20"/>
              </w:rPr>
            </w:pPr>
            <w:r w:rsidRPr="00A50F32">
              <w:rPr>
                <w:color w:val="000000"/>
                <w:sz w:val="20"/>
              </w:rPr>
              <w:t>[ 1.86067]</w:t>
            </w:r>
          </w:p>
        </w:tc>
        <w:tc>
          <w:tcPr>
            <w:tcW w:w="1842" w:type="dxa"/>
            <w:vAlign w:val="bottom"/>
          </w:tcPr>
          <w:p w14:paraId="6250C4CE" w14:textId="77777777" w:rsidR="009D755F" w:rsidRPr="00A50F32" w:rsidRDefault="009D755F" w:rsidP="00F647C8">
            <w:pPr>
              <w:autoSpaceDE w:val="0"/>
              <w:autoSpaceDN w:val="0"/>
              <w:adjustRightInd w:val="0"/>
              <w:jc w:val="center"/>
              <w:rPr>
                <w:color w:val="000000"/>
                <w:sz w:val="20"/>
              </w:rPr>
            </w:pPr>
            <w:r w:rsidRPr="00A50F32">
              <w:rPr>
                <w:color w:val="000000"/>
                <w:sz w:val="20"/>
              </w:rPr>
              <w:t>[-0.89336]</w:t>
            </w:r>
          </w:p>
        </w:tc>
      </w:tr>
      <w:tr w:rsidR="009D755F" w:rsidRPr="00A50F32" w14:paraId="29968924" w14:textId="77777777" w:rsidTr="00EE1365">
        <w:trPr>
          <w:trHeight w:val="220"/>
        </w:trPr>
        <w:tc>
          <w:tcPr>
            <w:tcW w:w="2664" w:type="dxa"/>
            <w:vAlign w:val="bottom"/>
          </w:tcPr>
          <w:p w14:paraId="06E949D7" w14:textId="77777777" w:rsidR="009D755F" w:rsidRPr="00A50F32" w:rsidRDefault="009D755F" w:rsidP="00F647C8">
            <w:pPr>
              <w:autoSpaceDE w:val="0"/>
              <w:autoSpaceDN w:val="0"/>
              <w:adjustRightInd w:val="0"/>
              <w:jc w:val="center"/>
              <w:rPr>
                <w:color w:val="000000"/>
                <w:sz w:val="20"/>
              </w:rPr>
            </w:pPr>
          </w:p>
        </w:tc>
        <w:tc>
          <w:tcPr>
            <w:tcW w:w="1536" w:type="dxa"/>
            <w:vAlign w:val="bottom"/>
          </w:tcPr>
          <w:p w14:paraId="3EC2759A" w14:textId="77777777" w:rsidR="009D755F" w:rsidRPr="00A50F32" w:rsidRDefault="009D755F" w:rsidP="00F647C8">
            <w:pPr>
              <w:autoSpaceDE w:val="0"/>
              <w:autoSpaceDN w:val="0"/>
              <w:adjustRightInd w:val="0"/>
              <w:jc w:val="center"/>
              <w:rPr>
                <w:color w:val="000000"/>
                <w:sz w:val="20"/>
              </w:rPr>
            </w:pPr>
          </w:p>
        </w:tc>
        <w:tc>
          <w:tcPr>
            <w:tcW w:w="1417" w:type="dxa"/>
            <w:vAlign w:val="bottom"/>
          </w:tcPr>
          <w:p w14:paraId="45266D23" w14:textId="77777777" w:rsidR="009D755F" w:rsidRPr="00A50F32" w:rsidRDefault="009D755F" w:rsidP="00F647C8">
            <w:pPr>
              <w:autoSpaceDE w:val="0"/>
              <w:autoSpaceDN w:val="0"/>
              <w:adjustRightInd w:val="0"/>
              <w:jc w:val="center"/>
              <w:rPr>
                <w:color w:val="000000"/>
                <w:sz w:val="20"/>
              </w:rPr>
            </w:pPr>
          </w:p>
        </w:tc>
        <w:tc>
          <w:tcPr>
            <w:tcW w:w="1560" w:type="dxa"/>
            <w:vAlign w:val="bottom"/>
          </w:tcPr>
          <w:p w14:paraId="6E35A989" w14:textId="77777777" w:rsidR="009D755F" w:rsidRPr="00A50F32" w:rsidRDefault="009D755F" w:rsidP="00F647C8">
            <w:pPr>
              <w:autoSpaceDE w:val="0"/>
              <w:autoSpaceDN w:val="0"/>
              <w:adjustRightInd w:val="0"/>
              <w:jc w:val="center"/>
              <w:rPr>
                <w:color w:val="000000"/>
                <w:sz w:val="20"/>
              </w:rPr>
            </w:pPr>
          </w:p>
        </w:tc>
        <w:tc>
          <w:tcPr>
            <w:tcW w:w="1842" w:type="dxa"/>
            <w:vAlign w:val="bottom"/>
          </w:tcPr>
          <w:p w14:paraId="1BB5D419" w14:textId="77777777" w:rsidR="009D755F" w:rsidRPr="00A50F32" w:rsidRDefault="009D755F" w:rsidP="00F647C8">
            <w:pPr>
              <w:autoSpaceDE w:val="0"/>
              <w:autoSpaceDN w:val="0"/>
              <w:adjustRightInd w:val="0"/>
              <w:jc w:val="center"/>
              <w:rPr>
                <w:color w:val="000000"/>
                <w:sz w:val="20"/>
              </w:rPr>
            </w:pPr>
          </w:p>
        </w:tc>
      </w:tr>
      <w:tr w:rsidR="009D755F" w:rsidRPr="00A50F32" w14:paraId="443DF284" w14:textId="77777777" w:rsidTr="00EE1365">
        <w:trPr>
          <w:trHeight w:val="220"/>
        </w:trPr>
        <w:tc>
          <w:tcPr>
            <w:tcW w:w="2664" w:type="dxa"/>
            <w:vAlign w:val="bottom"/>
          </w:tcPr>
          <w:p w14:paraId="0F17FD8D" w14:textId="77777777" w:rsidR="009D755F" w:rsidRPr="00A50F32" w:rsidRDefault="009D755F" w:rsidP="00F647C8">
            <w:pPr>
              <w:autoSpaceDE w:val="0"/>
              <w:autoSpaceDN w:val="0"/>
              <w:adjustRightInd w:val="0"/>
              <w:jc w:val="center"/>
              <w:rPr>
                <w:color w:val="000000"/>
                <w:sz w:val="20"/>
              </w:rPr>
            </w:pPr>
            <w:r w:rsidRPr="00A50F32">
              <w:rPr>
                <w:color w:val="000000"/>
                <w:sz w:val="20"/>
              </w:rPr>
              <w:t>D(CI(-2))</w:t>
            </w:r>
          </w:p>
        </w:tc>
        <w:tc>
          <w:tcPr>
            <w:tcW w:w="1536" w:type="dxa"/>
            <w:vAlign w:val="bottom"/>
          </w:tcPr>
          <w:p w14:paraId="2666CB0A" w14:textId="77777777" w:rsidR="009D755F" w:rsidRPr="00A50F32" w:rsidRDefault="009D755F" w:rsidP="00F647C8">
            <w:pPr>
              <w:autoSpaceDE w:val="0"/>
              <w:autoSpaceDN w:val="0"/>
              <w:adjustRightInd w:val="0"/>
              <w:jc w:val="center"/>
              <w:rPr>
                <w:color w:val="000000"/>
                <w:sz w:val="20"/>
              </w:rPr>
            </w:pPr>
            <w:r w:rsidRPr="00A50F32">
              <w:rPr>
                <w:color w:val="000000"/>
                <w:sz w:val="20"/>
              </w:rPr>
              <w:t> 2.36E-10</w:t>
            </w:r>
          </w:p>
        </w:tc>
        <w:tc>
          <w:tcPr>
            <w:tcW w:w="1417" w:type="dxa"/>
            <w:vAlign w:val="bottom"/>
          </w:tcPr>
          <w:p w14:paraId="5087F6AE" w14:textId="77777777" w:rsidR="009D755F" w:rsidRPr="00A50F32" w:rsidRDefault="009D755F" w:rsidP="00F647C8">
            <w:pPr>
              <w:autoSpaceDE w:val="0"/>
              <w:autoSpaceDN w:val="0"/>
              <w:adjustRightInd w:val="0"/>
              <w:jc w:val="center"/>
              <w:rPr>
                <w:color w:val="000000"/>
                <w:sz w:val="20"/>
              </w:rPr>
            </w:pPr>
            <w:r w:rsidRPr="00A50F32">
              <w:rPr>
                <w:color w:val="000000"/>
                <w:sz w:val="20"/>
              </w:rPr>
              <w:t>-1.90E-10</w:t>
            </w:r>
          </w:p>
        </w:tc>
        <w:tc>
          <w:tcPr>
            <w:tcW w:w="1560" w:type="dxa"/>
            <w:vAlign w:val="bottom"/>
          </w:tcPr>
          <w:p w14:paraId="0B0F45F5" w14:textId="77777777" w:rsidR="009D755F" w:rsidRPr="00A50F32" w:rsidRDefault="009D755F" w:rsidP="00F647C8">
            <w:pPr>
              <w:autoSpaceDE w:val="0"/>
              <w:autoSpaceDN w:val="0"/>
              <w:adjustRightInd w:val="0"/>
              <w:jc w:val="center"/>
              <w:rPr>
                <w:color w:val="000000"/>
                <w:sz w:val="20"/>
              </w:rPr>
            </w:pPr>
            <w:r w:rsidRPr="00A50F32">
              <w:rPr>
                <w:color w:val="000000"/>
                <w:sz w:val="20"/>
              </w:rPr>
              <w:t> 0.134484</w:t>
            </w:r>
          </w:p>
        </w:tc>
        <w:tc>
          <w:tcPr>
            <w:tcW w:w="1842" w:type="dxa"/>
            <w:vAlign w:val="bottom"/>
          </w:tcPr>
          <w:p w14:paraId="63FB8C30" w14:textId="77777777" w:rsidR="009D755F" w:rsidRPr="00A50F32" w:rsidRDefault="009D755F" w:rsidP="00F647C8">
            <w:pPr>
              <w:autoSpaceDE w:val="0"/>
              <w:autoSpaceDN w:val="0"/>
              <w:adjustRightInd w:val="0"/>
              <w:jc w:val="center"/>
              <w:rPr>
                <w:color w:val="000000"/>
                <w:sz w:val="20"/>
              </w:rPr>
            </w:pPr>
            <w:r w:rsidRPr="00A50F32">
              <w:rPr>
                <w:color w:val="000000"/>
                <w:sz w:val="20"/>
              </w:rPr>
              <w:t> 1.98E-08</w:t>
            </w:r>
          </w:p>
        </w:tc>
      </w:tr>
      <w:tr w:rsidR="009D755F" w:rsidRPr="00A50F32" w14:paraId="7BD3E558" w14:textId="77777777" w:rsidTr="00EE1365">
        <w:trPr>
          <w:trHeight w:val="220"/>
        </w:trPr>
        <w:tc>
          <w:tcPr>
            <w:tcW w:w="2664" w:type="dxa"/>
            <w:vAlign w:val="bottom"/>
          </w:tcPr>
          <w:p w14:paraId="178D8D12" w14:textId="77777777" w:rsidR="009D755F" w:rsidRPr="00A50F32" w:rsidRDefault="009D755F" w:rsidP="00F647C8">
            <w:pPr>
              <w:autoSpaceDE w:val="0"/>
              <w:autoSpaceDN w:val="0"/>
              <w:adjustRightInd w:val="0"/>
              <w:jc w:val="center"/>
              <w:rPr>
                <w:color w:val="000000"/>
                <w:sz w:val="20"/>
              </w:rPr>
            </w:pPr>
          </w:p>
        </w:tc>
        <w:tc>
          <w:tcPr>
            <w:tcW w:w="1536" w:type="dxa"/>
            <w:vAlign w:val="bottom"/>
          </w:tcPr>
          <w:p w14:paraId="2C699A39" w14:textId="77777777" w:rsidR="009D755F" w:rsidRPr="00A50F32" w:rsidRDefault="009D755F" w:rsidP="00F647C8">
            <w:pPr>
              <w:autoSpaceDE w:val="0"/>
              <w:autoSpaceDN w:val="0"/>
              <w:adjustRightInd w:val="0"/>
              <w:jc w:val="center"/>
              <w:rPr>
                <w:color w:val="000000"/>
                <w:sz w:val="20"/>
              </w:rPr>
            </w:pPr>
            <w:r w:rsidRPr="00A50F32">
              <w:rPr>
                <w:color w:val="000000"/>
                <w:sz w:val="20"/>
              </w:rPr>
              <w:t> (4.5E-10)</w:t>
            </w:r>
          </w:p>
        </w:tc>
        <w:tc>
          <w:tcPr>
            <w:tcW w:w="1417" w:type="dxa"/>
            <w:vAlign w:val="bottom"/>
          </w:tcPr>
          <w:p w14:paraId="6A4E3666" w14:textId="77777777" w:rsidR="009D755F" w:rsidRPr="00A50F32" w:rsidRDefault="009D755F" w:rsidP="00F647C8">
            <w:pPr>
              <w:autoSpaceDE w:val="0"/>
              <w:autoSpaceDN w:val="0"/>
              <w:adjustRightInd w:val="0"/>
              <w:jc w:val="center"/>
              <w:rPr>
                <w:color w:val="000000"/>
                <w:sz w:val="20"/>
              </w:rPr>
            </w:pPr>
            <w:r w:rsidRPr="00A50F32">
              <w:rPr>
                <w:color w:val="000000"/>
                <w:sz w:val="20"/>
              </w:rPr>
              <w:t> (1.1E-09)</w:t>
            </w:r>
          </w:p>
        </w:tc>
        <w:tc>
          <w:tcPr>
            <w:tcW w:w="1560" w:type="dxa"/>
            <w:vAlign w:val="bottom"/>
          </w:tcPr>
          <w:p w14:paraId="5589E203" w14:textId="77777777" w:rsidR="009D755F" w:rsidRPr="00A50F32" w:rsidRDefault="009D755F" w:rsidP="00F647C8">
            <w:pPr>
              <w:autoSpaceDE w:val="0"/>
              <w:autoSpaceDN w:val="0"/>
              <w:adjustRightInd w:val="0"/>
              <w:jc w:val="center"/>
              <w:rPr>
                <w:color w:val="000000"/>
                <w:sz w:val="20"/>
              </w:rPr>
            </w:pPr>
            <w:r w:rsidRPr="00A50F32">
              <w:rPr>
                <w:color w:val="000000"/>
                <w:sz w:val="20"/>
              </w:rPr>
              <w:t> (0.13195)</w:t>
            </w:r>
          </w:p>
        </w:tc>
        <w:tc>
          <w:tcPr>
            <w:tcW w:w="1842" w:type="dxa"/>
            <w:vAlign w:val="bottom"/>
          </w:tcPr>
          <w:p w14:paraId="25B069B4" w14:textId="77777777" w:rsidR="009D755F" w:rsidRPr="00A50F32" w:rsidRDefault="009D755F" w:rsidP="00F647C8">
            <w:pPr>
              <w:autoSpaceDE w:val="0"/>
              <w:autoSpaceDN w:val="0"/>
              <w:adjustRightInd w:val="0"/>
              <w:jc w:val="center"/>
              <w:rPr>
                <w:color w:val="000000"/>
                <w:sz w:val="20"/>
              </w:rPr>
            </w:pPr>
            <w:r w:rsidRPr="00A50F32">
              <w:rPr>
                <w:color w:val="000000"/>
                <w:sz w:val="20"/>
              </w:rPr>
              <w:t> (3.4E-08)</w:t>
            </w:r>
          </w:p>
        </w:tc>
      </w:tr>
      <w:tr w:rsidR="009D755F" w:rsidRPr="00A50F32" w14:paraId="5CB49DB1" w14:textId="77777777" w:rsidTr="00EE1365">
        <w:trPr>
          <w:trHeight w:val="220"/>
        </w:trPr>
        <w:tc>
          <w:tcPr>
            <w:tcW w:w="2664" w:type="dxa"/>
            <w:vAlign w:val="bottom"/>
          </w:tcPr>
          <w:p w14:paraId="0B1261B3" w14:textId="77777777" w:rsidR="009D755F" w:rsidRPr="00A50F32" w:rsidRDefault="009D755F" w:rsidP="00F647C8">
            <w:pPr>
              <w:autoSpaceDE w:val="0"/>
              <w:autoSpaceDN w:val="0"/>
              <w:adjustRightInd w:val="0"/>
              <w:jc w:val="center"/>
              <w:rPr>
                <w:color w:val="000000"/>
                <w:sz w:val="20"/>
              </w:rPr>
            </w:pPr>
          </w:p>
        </w:tc>
        <w:tc>
          <w:tcPr>
            <w:tcW w:w="1536" w:type="dxa"/>
            <w:vAlign w:val="bottom"/>
          </w:tcPr>
          <w:p w14:paraId="5B3AC5E6" w14:textId="77777777" w:rsidR="009D755F" w:rsidRPr="00A50F32" w:rsidRDefault="009D755F" w:rsidP="00F647C8">
            <w:pPr>
              <w:autoSpaceDE w:val="0"/>
              <w:autoSpaceDN w:val="0"/>
              <w:adjustRightInd w:val="0"/>
              <w:jc w:val="center"/>
              <w:rPr>
                <w:color w:val="000000"/>
                <w:sz w:val="20"/>
              </w:rPr>
            </w:pPr>
            <w:r w:rsidRPr="00A50F32">
              <w:rPr>
                <w:color w:val="000000"/>
                <w:sz w:val="20"/>
              </w:rPr>
              <w:t>[ 0.52376]</w:t>
            </w:r>
          </w:p>
        </w:tc>
        <w:tc>
          <w:tcPr>
            <w:tcW w:w="1417" w:type="dxa"/>
            <w:vAlign w:val="bottom"/>
          </w:tcPr>
          <w:p w14:paraId="78C6F965" w14:textId="77777777" w:rsidR="009D755F" w:rsidRPr="00A50F32" w:rsidRDefault="009D755F" w:rsidP="00F647C8">
            <w:pPr>
              <w:autoSpaceDE w:val="0"/>
              <w:autoSpaceDN w:val="0"/>
              <w:adjustRightInd w:val="0"/>
              <w:jc w:val="center"/>
              <w:rPr>
                <w:color w:val="000000"/>
                <w:sz w:val="20"/>
              </w:rPr>
            </w:pPr>
            <w:r w:rsidRPr="00A50F32">
              <w:rPr>
                <w:color w:val="000000"/>
                <w:sz w:val="20"/>
              </w:rPr>
              <w:t>[-0.17461]</w:t>
            </w:r>
          </w:p>
        </w:tc>
        <w:tc>
          <w:tcPr>
            <w:tcW w:w="1560" w:type="dxa"/>
            <w:vAlign w:val="bottom"/>
          </w:tcPr>
          <w:p w14:paraId="045A86AA" w14:textId="77777777" w:rsidR="009D755F" w:rsidRPr="00A50F32" w:rsidRDefault="009D755F" w:rsidP="00F647C8">
            <w:pPr>
              <w:autoSpaceDE w:val="0"/>
              <w:autoSpaceDN w:val="0"/>
              <w:adjustRightInd w:val="0"/>
              <w:jc w:val="center"/>
              <w:rPr>
                <w:color w:val="000000"/>
                <w:sz w:val="20"/>
              </w:rPr>
            </w:pPr>
            <w:r w:rsidRPr="00A50F32">
              <w:rPr>
                <w:color w:val="000000"/>
                <w:sz w:val="20"/>
              </w:rPr>
              <w:t>[ 1.01922]</w:t>
            </w:r>
          </w:p>
        </w:tc>
        <w:tc>
          <w:tcPr>
            <w:tcW w:w="1842" w:type="dxa"/>
            <w:vAlign w:val="bottom"/>
          </w:tcPr>
          <w:p w14:paraId="1FECDBAF" w14:textId="77777777" w:rsidR="009D755F" w:rsidRPr="00A50F32" w:rsidRDefault="009D755F" w:rsidP="00F647C8">
            <w:pPr>
              <w:autoSpaceDE w:val="0"/>
              <w:autoSpaceDN w:val="0"/>
              <w:adjustRightInd w:val="0"/>
              <w:jc w:val="center"/>
              <w:rPr>
                <w:color w:val="000000"/>
                <w:sz w:val="20"/>
              </w:rPr>
            </w:pPr>
            <w:r w:rsidRPr="00A50F32">
              <w:rPr>
                <w:color w:val="000000"/>
                <w:sz w:val="20"/>
              </w:rPr>
              <w:t>[ 0.57745]</w:t>
            </w:r>
          </w:p>
        </w:tc>
      </w:tr>
      <w:tr w:rsidR="009D755F" w:rsidRPr="00A50F32" w14:paraId="0C63BADF" w14:textId="77777777" w:rsidTr="00EE1365">
        <w:trPr>
          <w:trHeight w:val="220"/>
        </w:trPr>
        <w:tc>
          <w:tcPr>
            <w:tcW w:w="2664" w:type="dxa"/>
            <w:vAlign w:val="bottom"/>
          </w:tcPr>
          <w:p w14:paraId="18127654" w14:textId="77777777" w:rsidR="009D755F" w:rsidRPr="00A50F32" w:rsidRDefault="009D755F" w:rsidP="00F647C8">
            <w:pPr>
              <w:autoSpaceDE w:val="0"/>
              <w:autoSpaceDN w:val="0"/>
              <w:adjustRightInd w:val="0"/>
              <w:jc w:val="center"/>
              <w:rPr>
                <w:color w:val="000000"/>
                <w:sz w:val="20"/>
              </w:rPr>
            </w:pPr>
          </w:p>
        </w:tc>
        <w:tc>
          <w:tcPr>
            <w:tcW w:w="1536" w:type="dxa"/>
            <w:vAlign w:val="bottom"/>
          </w:tcPr>
          <w:p w14:paraId="175244FE" w14:textId="77777777" w:rsidR="009D755F" w:rsidRPr="00A50F32" w:rsidRDefault="009D755F" w:rsidP="00F647C8">
            <w:pPr>
              <w:autoSpaceDE w:val="0"/>
              <w:autoSpaceDN w:val="0"/>
              <w:adjustRightInd w:val="0"/>
              <w:jc w:val="center"/>
              <w:rPr>
                <w:color w:val="000000"/>
                <w:sz w:val="20"/>
              </w:rPr>
            </w:pPr>
          </w:p>
        </w:tc>
        <w:tc>
          <w:tcPr>
            <w:tcW w:w="1417" w:type="dxa"/>
            <w:vAlign w:val="bottom"/>
          </w:tcPr>
          <w:p w14:paraId="4A2D7AE5" w14:textId="77777777" w:rsidR="009D755F" w:rsidRPr="00A50F32" w:rsidRDefault="009D755F" w:rsidP="00F647C8">
            <w:pPr>
              <w:autoSpaceDE w:val="0"/>
              <w:autoSpaceDN w:val="0"/>
              <w:adjustRightInd w:val="0"/>
              <w:jc w:val="center"/>
              <w:rPr>
                <w:color w:val="000000"/>
                <w:sz w:val="20"/>
              </w:rPr>
            </w:pPr>
          </w:p>
        </w:tc>
        <w:tc>
          <w:tcPr>
            <w:tcW w:w="1560" w:type="dxa"/>
            <w:vAlign w:val="bottom"/>
          </w:tcPr>
          <w:p w14:paraId="4DD08CFD" w14:textId="77777777" w:rsidR="009D755F" w:rsidRPr="00A50F32" w:rsidRDefault="009D755F" w:rsidP="00F647C8">
            <w:pPr>
              <w:autoSpaceDE w:val="0"/>
              <w:autoSpaceDN w:val="0"/>
              <w:adjustRightInd w:val="0"/>
              <w:jc w:val="center"/>
              <w:rPr>
                <w:color w:val="000000"/>
                <w:sz w:val="20"/>
              </w:rPr>
            </w:pPr>
          </w:p>
        </w:tc>
        <w:tc>
          <w:tcPr>
            <w:tcW w:w="1842" w:type="dxa"/>
            <w:vAlign w:val="bottom"/>
          </w:tcPr>
          <w:p w14:paraId="54BDB208" w14:textId="77777777" w:rsidR="009D755F" w:rsidRPr="00A50F32" w:rsidRDefault="009D755F" w:rsidP="00F647C8">
            <w:pPr>
              <w:autoSpaceDE w:val="0"/>
              <w:autoSpaceDN w:val="0"/>
              <w:adjustRightInd w:val="0"/>
              <w:jc w:val="center"/>
              <w:rPr>
                <w:color w:val="000000"/>
                <w:sz w:val="20"/>
              </w:rPr>
            </w:pPr>
          </w:p>
        </w:tc>
      </w:tr>
      <w:tr w:rsidR="009D755F" w:rsidRPr="00A50F32" w14:paraId="6B01C348" w14:textId="77777777" w:rsidTr="00EE1365">
        <w:trPr>
          <w:trHeight w:val="220"/>
        </w:trPr>
        <w:tc>
          <w:tcPr>
            <w:tcW w:w="2664" w:type="dxa"/>
            <w:vAlign w:val="bottom"/>
          </w:tcPr>
          <w:p w14:paraId="6904A7F2" w14:textId="77777777" w:rsidR="009D755F" w:rsidRPr="00A50F32" w:rsidRDefault="009D755F" w:rsidP="00F647C8">
            <w:pPr>
              <w:autoSpaceDE w:val="0"/>
              <w:autoSpaceDN w:val="0"/>
              <w:adjustRightInd w:val="0"/>
              <w:jc w:val="center"/>
              <w:rPr>
                <w:color w:val="000000"/>
                <w:sz w:val="20"/>
              </w:rPr>
            </w:pPr>
            <w:r w:rsidRPr="00A50F32">
              <w:rPr>
                <w:color w:val="000000"/>
                <w:sz w:val="20"/>
              </w:rPr>
              <w:t>D(IPR(-1))</w:t>
            </w:r>
          </w:p>
        </w:tc>
        <w:tc>
          <w:tcPr>
            <w:tcW w:w="1536" w:type="dxa"/>
            <w:vAlign w:val="bottom"/>
          </w:tcPr>
          <w:p w14:paraId="72ABCBD3" w14:textId="77777777" w:rsidR="009D755F" w:rsidRPr="00A50F32" w:rsidRDefault="009D755F" w:rsidP="00F647C8">
            <w:pPr>
              <w:autoSpaceDE w:val="0"/>
              <w:autoSpaceDN w:val="0"/>
              <w:adjustRightInd w:val="0"/>
              <w:jc w:val="center"/>
              <w:rPr>
                <w:color w:val="000000"/>
                <w:sz w:val="20"/>
              </w:rPr>
            </w:pPr>
            <w:r w:rsidRPr="00A50F32">
              <w:rPr>
                <w:color w:val="000000"/>
                <w:sz w:val="20"/>
              </w:rPr>
              <w:t> 0.000886</w:t>
            </w:r>
          </w:p>
        </w:tc>
        <w:tc>
          <w:tcPr>
            <w:tcW w:w="1417" w:type="dxa"/>
            <w:vAlign w:val="bottom"/>
          </w:tcPr>
          <w:p w14:paraId="43B7407C" w14:textId="77777777" w:rsidR="009D755F" w:rsidRPr="00A50F32" w:rsidRDefault="009D755F" w:rsidP="00F647C8">
            <w:pPr>
              <w:autoSpaceDE w:val="0"/>
              <w:autoSpaceDN w:val="0"/>
              <w:adjustRightInd w:val="0"/>
              <w:jc w:val="center"/>
              <w:rPr>
                <w:color w:val="000000"/>
                <w:sz w:val="20"/>
              </w:rPr>
            </w:pPr>
            <w:r w:rsidRPr="00A50F32">
              <w:rPr>
                <w:color w:val="000000"/>
                <w:sz w:val="20"/>
              </w:rPr>
              <w:t>-0.011005</w:t>
            </w:r>
          </w:p>
        </w:tc>
        <w:tc>
          <w:tcPr>
            <w:tcW w:w="1560" w:type="dxa"/>
            <w:vAlign w:val="bottom"/>
          </w:tcPr>
          <w:p w14:paraId="68319F00" w14:textId="77777777" w:rsidR="009D755F" w:rsidRPr="00A50F32" w:rsidRDefault="009D755F" w:rsidP="00F647C8">
            <w:pPr>
              <w:autoSpaceDE w:val="0"/>
              <w:autoSpaceDN w:val="0"/>
              <w:adjustRightInd w:val="0"/>
              <w:jc w:val="center"/>
              <w:rPr>
                <w:color w:val="000000"/>
                <w:sz w:val="20"/>
              </w:rPr>
            </w:pPr>
            <w:r w:rsidRPr="00A50F32">
              <w:rPr>
                <w:color w:val="000000"/>
                <w:sz w:val="20"/>
              </w:rPr>
              <w:t>-249511.8</w:t>
            </w:r>
          </w:p>
        </w:tc>
        <w:tc>
          <w:tcPr>
            <w:tcW w:w="1842" w:type="dxa"/>
            <w:vAlign w:val="bottom"/>
          </w:tcPr>
          <w:p w14:paraId="52ADA78E" w14:textId="77777777" w:rsidR="009D755F" w:rsidRPr="00A50F32" w:rsidRDefault="009D755F" w:rsidP="00F647C8">
            <w:pPr>
              <w:autoSpaceDE w:val="0"/>
              <w:autoSpaceDN w:val="0"/>
              <w:adjustRightInd w:val="0"/>
              <w:jc w:val="center"/>
              <w:rPr>
                <w:color w:val="000000"/>
                <w:sz w:val="20"/>
              </w:rPr>
            </w:pPr>
            <w:r w:rsidRPr="00A50F32">
              <w:rPr>
                <w:color w:val="000000"/>
                <w:sz w:val="20"/>
              </w:rPr>
              <w:t>-0.450396</w:t>
            </w:r>
          </w:p>
        </w:tc>
      </w:tr>
      <w:tr w:rsidR="009D755F" w:rsidRPr="00A50F32" w14:paraId="7DD5FC0B" w14:textId="77777777" w:rsidTr="00EE1365">
        <w:trPr>
          <w:trHeight w:val="220"/>
        </w:trPr>
        <w:tc>
          <w:tcPr>
            <w:tcW w:w="2664" w:type="dxa"/>
            <w:vAlign w:val="bottom"/>
          </w:tcPr>
          <w:p w14:paraId="3DAD930C" w14:textId="77777777" w:rsidR="009D755F" w:rsidRPr="00A50F32" w:rsidRDefault="009D755F" w:rsidP="00F647C8">
            <w:pPr>
              <w:autoSpaceDE w:val="0"/>
              <w:autoSpaceDN w:val="0"/>
              <w:adjustRightInd w:val="0"/>
              <w:jc w:val="center"/>
              <w:rPr>
                <w:color w:val="000000"/>
                <w:sz w:val="20"/>
              </w:rPr>
            </w:pPr>
          </w:p>
        </w:tc>
        <w:tc>
          <w:tcPr>
            <w:tcW w:w="1536" w:type="dxa"/>
            <w:vAlign w:val="bottom"/>
          </w:tcPr>
          <w:p w14:paraId="46EF10CB" w14:textId="77777777" w:rsidR="009D755F" w:rsidRPr="00A50F32" w:rsidRDefault="009D755F" w:rsidP="00F647C8">
            <w:pPr>
              <w:autoSpaceDE w:val="0"/>
              <w:autoSpaceDN w:val="0"/>
              <w:adjustRightInd w:val="0"/>
              <w:jc w:val="center"/>
              <w:rPr>
                <w:color w:val="000000"/>
                <w:sz w:val="20"/>
              </w:rPr>
            </w:pPr>
            <w:r w:rsidRPr="00A50F32">
              <w:rPr>
                <w:color w:val="000000"/>
                <w:sz w:val="20"/>
              </w:rPr>
              <w:t> (0.00181)</w:t>
            </w:r>
          </w:p>
        </w:tc>
        <w:tc>
          <w:tcPr>
            <w:tcW w:w="1417" w:type="dxa"/>
            <w:vAlign w:val="bottom"/>
          </w:tcPr>
          <w:p w14:paraId="5C6428FD" w14:textId="77777777" w:rsidR="009D755F" w:rsidRPr="00A50F32" w:rsidRDefault="009D755F" w:rsidP="00F647C8">
            <w:pPr>
              <w:autoSpaceDE w:val="0"/>
              <w:autoSpaceDN w:val="0"/>
              <w:adjustRightInd w:val="0"/>
              <w:jc w:val="center"/>
              <w:rPr>
                <w:color w:val="000000"/>
                <w:sz w:val="20"/>
              </w:rPr>
            </w:pPr>
            <w:r w:rsidRPr="00A50F32">
              <w:rPr>
                <w:color w:val="000000"/>
                <w:sz w:val="20"/>
              </w:rPr>
              <w:t> (0.00437)</w:t>
            </w:r>
          </w:p>
        </w:tc>
        <w:tc>
          <w:tcPr>
            <w:tcW w:w="1560" w:type="dxa"/>
            <w:vAlign w:val="bottom"/>
          </w:tcPr>
          <w:p w14:paraId="09856BAC" w14:textId="77777777" w:rsidR="009D755F" w:rsidRPr="00A50F32" w:rsidRDefault="009D755F" w:rsidP="00F647C8">
            <w:pPr>
              <w:autoSpaceDE w:val="0"/>
              <w:autoSpaceDN w:val="0"/>
              <w:adjustRightInd w:val="0"/>
              <w:jc w:val="center"/>
              <w:rPr>
                <w:color w:val="000000"/>
                <w:sz w:val="20"/>
              </w:rPr>
            </w:pPr>
            <w:r w:rsidRPr="00A50F32">
              <w:rPr>
                <w:color w:val="000000"/>
                <w:sz w:val="20"/>
              </w:rPr>
              <w:t> (530499.)</w:t>
            </w:r>
          </w:p>
        </w:tc>
        <w:tc>
          <w:tcPr>
            <w:tcW w:w="1842" w:type="dxa"/>
            <w:vAlign w:val="bottom"/>
          </w:tcPr>
          <w:p w14:paraId="5E805F54" w14:textId="77777777" w:rsidR="009D755F" w:rsidRPr="00A50F32" w:rsidRDefault="009D755F" w:rsidP="00F647C8">
            <w:pPr>
              <w:autoSpaceDE w:val="0"/>
              <w:autoSpaceDN w:val="0"/>
              <w:adjustRightInd w:val="0"/>
              <w:jc w:val="center"/>
              <w:rPr>
                <w:color w:val="000000"/>
                <w:sz w:val="20"/>
              </w:rPr>
            </w:pPr>
            <w:r w:rsidRPr="00A50F32">
              <w:rPr>
                <w:color w:val="000000"/>
                <w:sz w:val="20"/>
              </w:rPr>
              <w:t> (0.13810)</w:t>
            </w:r>
          </w:p>
        </w:tc>
      </w:tr>
      <w:tr w:rsidR="009D755F" w:rsidRPr="00A50F32" w14:paraId="10617CCA" w14:textId="77777777" w:rsidTr="00EE1365">
        <w:trPr>
          <w:trHeight w:val="220"/>
        </w:trPr>
        <w:tc>
          <w:tcPr>
            <w:tcW w:w="2664" w:type="dxa"/>
            <w:vAlign w:val="bottom"/>
          </w:tcPr>
          <w:p w14:paraId="15332CBB" w14:textId="77777777" w:rsidR="009D755F" w:rsidRPr="00A50F32" w:rsidRDefault="009D755F" w:rsidP="00F647C8">
            <w:pPr>
              <w:autoSpaceDE w:val="0"/>
              <w:autoSpaceDN w:val="0"/>
              <w:adjustRightInd w:val="0"/>
              <w:jc w:val="center"/>
              <w:rPr>
                <w:color w:val="000000"/>
                <w:sz w:val="20"/>
              </w:rPr>
            </w:pPr>
          </w:p>
        </w:tc>
        <w:tc>
          <w:tcPr>
            <w:tcW w:w="1536" w:type="dxa"/>
            <w:vAlign w:val="bottom"/>
          </w:tcPr>
          <w:p w14:paraId="6747C9CA" w14:textId="77777777" w:rsidR="009D755F" w:rsidRPr="00A50F32" w:rsidRDefault="009D755F" w:rsidP="00F647C8">
            <w:pPr>
              <w:autoSpaceDE w:val="0"/>
              <w:autoSpaceDN w:val="0"/>
              <w:adjustRightInd w:val="0"/>
              <w:jc w:val="center"/>
              <w:rPr>
                <w:color w:val="000000"/>
                <w:sz w:val="20"/>
              </w:rPr>
            </w:pPr>
            <w:r w:rsidRPr="00A50F32">
              <w:rPr>
                <w:color w:val="000000"/>
                <w:sz w:val="20"/>
              </w:rPr>
              <w:t>[ 0.48954]</w:t>
            </w:r>
          </w:p>
        </w:tc>
        <w:tc>
          <w:tcPr>
            <w:tcW w:w="1417" w:type="dxa"/>
            <w:vAlign w:val="bottom"/>
          </w:tcPr>
          <w:p w14:paraId="48152BA4" w14:textId="77777777" w:rsidR="009D755F" w:rsidRPr="00A50F32" w:rsidRDefault="009D755F" w:rsidP="00F647C8">
            <w:pPr>
              <w:autoSpaceDE w:val="0"/>
              <w:autoSpaceDN w:val="0"/>
              <w:adjustRightInd w:val="0"/>
              <w:jc w:val="center"/>
              <w:rPr>
                <w:color w:val="000000"/>
                <w:sz w:val="20"/>
              </w:rPr>
            </w:pPr>
            <w:r w:rsidRPr="00A50F32">
              <w:rPr>
                <w:color w:val="000000"/>
                <w:sz w:val="20"/>
              </w:rPr>
              <w:t>[-2.51662]</w:t>
            </w:r>
          </w:p>
        </w:tc>
        <w:tc>
          <w:tcPr>
            <w:tcW w:w="1560" w:type="dxa"/>
            <w:vAlign w:val="bottom"/>
          </w:tcPr>
          <w:p w14:paraId="6F380393" w14:textId="77777777" w:rsidR="009D755F" w:rsidRPr="00A50F32" w:rsidRDefault="009D755F" w:rsidP="00F647C8">
            <w:pPr>
              <w:autoSpaceDE w:val="0"/>
              <w:autoSpaceDN w:val="0"/>
              <w:adjustRightInd w:val="0"/>
              <w:jc w:val="center"/>
              <w:rPr>
                <w:color w:val="000000"/>
                <w:sz w:val="20"/>
              </w:rPr>
            </w:pPr>
            <w:r w:rsidRPr="00A50F32">
              <w:rPr>
                <w:color w:val="000000"/>
                <w:sz w:val="20"/>
              </w:rPr>
              <w:t>[-0.47033]</w:t>
            </w:r>
          </w:p>
        </w:tc>
        <w:tc>
          <w:tcPr>
            <w:tcW w:w="1842" w:type="dxa"/>
            <w:vAlign w:val="bottom"/>
          </w:tcPr>
          <w:p w14:paraId="52EE05CD" w14:textId="77777777" w:rsidR="009D755F" w:rsidRPr="00A50F32" w:rsidRDefault="009D755F" w:rsidP="00F647C8">
            <w:pPr>
              <w:autoSpaceDE w:val="0"/>
              <w:autoSpaceDN w:val="0"/>
              <w:adjustRightInd w:val="0"/>
              <w:jc w:val="center"/>
              <w:rPr>
                <w:color w:val="000000"/>
                <w:sz w:val="20"/>
              </w:rPr>
            </w:pPr>
            <w:r w:rsidRPr="00A50F32">
              <w:rPr>
                <w:color w:val="000000"/>
                <w:sz w:val="20"/>
              </w:rPr>
              <w:t>[-3.26148]</w:t>
            </w:r>
          </w:p>
        </w:tc>
      </w:tr>
      <w:tr w:rsidR="009D755F" w:rsidRPr="00A50F32" w14:paraId="3625EF93" w14:textId="77777777" w:rsidTr="00EE1365">
        <w:trPr>
          <w:trHeight w:val="220"/>
        </w:trPr>
        <w:tc>
          <w:tcPr>
            <w:tcW w:w="2664" w:type="dxa"/>
            <w:vAlign w:val="bottom"/>
          </w:tcPr>
          <w:p w14:paraId="06FD19C4" w14:textId="77777777" w:rsidR="009D755F" w:rsidRPr="00A50F32" w:rsidRDefault="009D755F" w:rsidP="00F647C8">
            <w:pPr>
              <w:autoSpaceDE w:val="0"/>
              <w:autoSpaceDN w:val="0"/>
              <w:adjustRightInd w:val="0"/>
              <w:jc w:val="center"/>
              <w:rPr>
                <w:color w:val="000000"/>
                <w:sz w:val="20"/>
              </w:rPr>
            </w:pPr>
          </w:p>
        </w:tc>
        <w:tc>
          <w:tcPr>
            <w:tcW w:w="1536" w:type="dxa"/>
            <w:vAlign w:val="bottom"/>
          </w:tcPr>
          <w:p w14:paraId="36D23983" w14:textId="77777777" w:rsidR="009D755F" w:rsidRPr="00A50F32" w:rsidRDefault="009D755F" w:rsidP="00F647C8">
            <w:pPr>
              <w:autoSpaceDE w:val="0"/>
              <w:autoSpaceDN w:val="0"/>
              <w:adjustRightInd w:val="0"/>
              <w:jc w:val="center"/>
              <w:rPr>
                <w:color w:val="000000"/>
                <w:sz w:val="20"/>
              </w:rPr>
            </w:pPr>
          </w:p>
        </w:tc>
        <w:tc>
          <w:tcPr>
            <w:tcW w:w="1417" w:type="dxa"/>
            <w:vAlign w:val="bottom"/>
          </w:tcPr>
          <w:p w14:paraId="39F5311B" w14:textId="77777777" w:rsidR="009D755F" w:rsidRPr="00A50F32" w:rsidRDefault="009D755F" w:rsidP="00F647C8">
            <w:pPr>
              <w:autoSpaceDE w:val="0"/>
              <w:autoSpaceDN w:val="0"/>
              <w:adjustRightInd w:val="0"/>
              <w:jc w:val="center"/>
              <w:rPr>
                <w:color w:val="000000"/>
                <w:sz w:val="20"/>
              </w:rPr>
            </w:pPr>
          </w:p>
        </w:tc>
        <w:tc>
          <w:tcPr>
            <w:tcW w:w="1560" w:type="dxa"/>
            <w:vAlign w:val="bottom"/>
          </w:tcPr>
          <w:p w14:paraId="0E699C79" w14:textId="77777777" w:rsidR="009D755F" w:rsidRPr="00A50F32" w:rsidRDefault="009D755F" w:rsidP="00F647C8">
            <w:pPr>
              <w:autoSpaceDE w:val="0"/>
              <w:autoSpaceDN w:val="0"/>
              <w:adjustRightInd w:val="0"/>
              <w:jc w:val="center"/>
              <w:rPr>
                <w:color w:val="000000"/>
                <w:sz w:val="20"/>
              </w:rPr>
            </w:pPr>
          </w:p>
        </w:tc>
        <w:tc>
          <w:tcPr>
            <w:tcW w:w="1842" w:type="dxa"/>
            <w:vAlign w:val="bottom"/>
          </w:tcPr>
          <w:p w14:paraId="04A48243" w14:textId="77777777" w:rsidR="009D755F" w:rsidRPr="00A50F32" w:rsidRDefault="009D755F" w:rsidP="00F647C8">
            <w:pPr>
              <w:autoSpaceDE w:val="0"/>
              <w:autoSpaceDN w:val="0"/>
              <w:adjustRightInd w:val="0"/>
              <w:jc w:val="center"/>
              <w:rPr>
                <w:color w:val="000000"/>
                <w:sz w:val="20"/>
              </w:rPr>
            </w:pPr>
          </w:p>
        </w:tc>
      </w:tr>
      <w:tr w:rsidR="009D755F" w:rsidRPr="00A50F32" w14:paraId="14194E73" w14:textId="77777777" w:rsidTr="00EE1365">
        <w:trPr>
          <w:trHeight w:val="220"/>
        </w:trPr>
        <w:tc>
          <w:tcPr>
            <w:tcW w:w="2664" w:type="dxa"/>
            <w:vAlign w:val="bottom"/>
          </w:tcPr>
          <w:p w14:paraId="6864ACD2" w14:textId="77777777" w:rsidR="009D755F" w:rsidRPr="00A50F32" w:rsidRDefault="009D755F" w:rsidP="00F647C8">
            <w:pPr>
              <w:autoSpaceDE w:val="0"/>
              <w:autoSpaceDN w:val="0"/>
              <w:adjustRightInd w:val="0"/>
              <w:jc w:val="center"/>
              <w:rPr>
                <w:color w:val="000000"/>
                <w:sz w:val="20"/>
              </w:rPr>
            </w:pPr>
            <w:r w:rsidRPr="00A50F32">
              <w:rPr>
                <w:color w:val="000000"/>
                <w:sz w:val="20"/>
              </w:rPr>
              <w:t>D(IPR(-2))</w:t>
            </w:r>
          </w:p>
        </w:tc>
        <w:tc>
          <w:tcPr>
            <w:tcW w:w="1536" w:type="dxa"/>
            <w:vAlign w:val="bottom"/>
          </w:tcPr>
          <w:p w14:paraId="7946ECFF" w14:textId="77777777" w:rsidR="009D755F" w:rsidRPr="00A50F32" w:rsidRDefault="009D755F" w:rsidP="00F647C8">
            <w:pPr>
              <w:autoSpaceDE w:val="0"/>
              <w:autoSpaceDN w:val="0"/>
              <w:adjustRightInd w:val="0"/>
              <w:jc w:val="center"/>
              <w:rPr>
                <w:color w:val="000000"/>
                <w:sz w:val="20"/>
              </w:rPr>
            </w:pPr>
            <w:r w:rsidRPr="00A50F32">
              <w:rPr>
                <w:color w:val="000000"/>
                <w:sz w:val="20"/>
              </w:rPr>
              <w:t> 0.000710</w:t>
            </w:r>
          </w:p>
        </w:tc>
        <w:tc>
          <w:tcPr>
            <w:tcW w:w="1417" w:type="dxa"/>
            <w:vAlign w:val="bottom"/>
          </w:tcPr>
          <w:p w14:paraId="30FEE461" w14:textId="77777777" w:rsidR="009D755F" w:rsidRPr="00A50F32" w:rsidRDefault="009D755F" w:rsidP="00F647C8">
            <w:pPr>
              <w:autoSpaceDE w:val="0"/>
              <w:autoSpaceDN w:val="0"/>
              <w:adjustRightInd w:val="0"/>
              <w:jc w:val="center"/>
              <w:rPr>
                <w:color w:val="000000"/>
                <w:sz w:val="20"/>
              </w:rPr>
            </w:pPr>
            <w:r w:rsidRPr="00A50F32">
              <w:rPr>
                <w:color w:val="000000"/>
                <w:sz w:val="20"/>
              </w:rPr>
              <w:t>-0.010031</w:t>
            </w:r>
          </w:p>
        </w:tc>
        <w:tc>
          <w:tcPr>
            <w:tcW w:w="1560" w:type="dxa"/>
            <w:vAlign w:val="bottom"/>
          </w:tcPr>
          <w:p w14:paraId="3D8C2CE3" w14:textId="77777777" w:rsidR="009D755F" w:rsidRPr="00A50F32" w:rsidRDefault="009D755F" w:rsidP="00F647C8">
            <w:pPr>
              <w:autoSpaceDE w:val="0"/>
              <w:autoSpaceDN w:val="0"/>
              <w:adjustRightInd w:val="0"/>
              <w:jc w:val="center"/>
              <w:rPr>
                <w:color w:val="000000"/>
                <w:sz w:val="20"/>
              </w:rPr>
            </w:pPr>
            <w:r w:rsidRPr="00A50F32">
              <w:rPr>
                <w:color w:val="000000"/>
                <w:sz w:val="20"/>
              </w:rPr>
              <w:t>-146412.6</w:t>
            </w:r>
          </w:p>
        </w:tc>
        <w:tc>
          <w:tcPr>
            <w:tcW w:w="1842" w:type="dxa"/>
            <w:vAlign w:val="bottom"/>
          </w:tcPr>
          <w:p w14:paraId="45A2DD87" w14:textId="77777777" w:rsidR="009D755F" w:rsidRPr="00A50F32" w:rsidRDefault="009D755F" w:rsidP="00F647C8">
            <w:pPr>
              <w:autoSpaceDE w:val="0"/>
              <w:autoSpaceDN w:val="0"/>
              <w:adjustRightInd w:val="0"/>
              <w:jc w:val="center"/>
              <w:rPr>
                <w:color w:val="000000"/>
                <w:sz w:val="20"/>
              </w:rPr>
            </w:pPr>
            <w:r w:rsidRPr="00A50F32">
              <w:rPr>
                <w:color w:val="000000"/>
                <w:sz w:val="20"/>
              </w:rPr>
              <w:t>-0.013603</w:t>
            </w:r>
          </w:p>
        </w:tc>
      </w:tr>
      <w:tr w:rsidR="009D755F" w:rsidRPr="00A50F32" w14:paraId="124C3380" w14:textId="77777777" w:rsidTr="00EE1365">
        <w:trPr>
          <w:trHeight w:val="220"/>
        </w:trPr>
        <w:tc>
          <w:tcPr>
            <w:tcW w:w="2664" w:type="dxa"/>
            <w:vAlign w:val="bottom"/>
          </w:tcPr>
          <w:p w14:paraId="29E3536B" w14:textId="77777777" w:rsidR="009D755F" w:rsidRPr="00A50F32" w:rsidRDefault="009D755F" w:rsidP="00F647C8">
            <w:pPr>
              <w:autoSpaceDE w:val="0"/>
              <w:autoSpaceDN w:val="0"/>
              <w:adjustRightInd w:val="0"/>
              <w:jc w:val="center"/>
              <w:rPr>
                <w:color w:val="000000"/>
                <w:sz w:val="20"/>
              </w:rPr>
            </w:pPr>
          </w:p>
        </w:tc>
        <w:tc>
          <w:tcPr>
            <w:tcW w:w="1536" w:type="dxa"/>
            <w:vAlign w:val="bottom"/>
          </w:tcPr>
          <w:p w14:paraId="1103E7D9" w14:textId="77777777" w:rsidR="009D755F" w:rsidRPr="00A50F32" w:rsidRDefault="009D755F" w:rsidP="00F647C8">
            <w:pPr>
              <w:autoSpaceDE w:val="0"/>
              <w:autoSpaceDN w:val="0"/>
              <w:adjustRightInd w:val="0"/>
              <w:jc w:val="center"/>
              <w:rPr>
                <w:color w:val="000000"/>
                <w:sz w:val="20"/>
              </w:rPr>
            </w:pPr>
            <w:r w:rsidRPr="00A50F32">
              <w:rPr>
                <w:color w:val="000000"/>
                <w:sz w:val="20"/>
              </w:rPr>
              <w:t> (0.00218)</w:t>
            </w:r>
          </w:p>
        </w:tc>
        <w:tc>
          <w:tcPr>
            <w:tcW w:w="1417" w:type="dxa"/>
            <w:vAlign w:val="bottom"/>
          </w:tcPr>
          <w:p w14:paraId="5DE2173E" w14:textId="77777777" w:rsidR="009D755F" w:rsidRPr="00A50F32" w:rsidRDefault="009D755F" w:rsidP="00F647C8">
            <w:pPr>
              <w:autoSpaceDE w:val="0"/>
              <w:autoSpaceDN w:val="0"/>
              <w:adjustRightInd w:val="0"/>
              <w:jc w:val="center"/>
              <w:rPr>
                <w:color w:val="000000"/>
                <w:sz w:val="20"/>
              </w:rPr>
            </w:pPr>
            <w:r w:rsidRPr="00A50F32">
              <w:rPr>
                <w:color w:val="000000"/>
                <w:sz w:val="20"/>
              </w:rPr>
              <w:t> (0.00527)</w:t>
            </w:r>
          </w:p>
        </w:tc>
        <w:tc>
          <w:tcPr>
            <w:tcW w:w="1560" w:type="dxa"/>
            <w:vAlign w:val="bottom"/>
          </w:tcPr>
          <w:p w14:paraId="45A29431" w14:textId="77777777" w:rsidR="009D755F" w:rsidRPr="00A50F32" w:rsidRDefault="009D755F" w:rsidP="00F647C8">
            <w:pPr>
              <w:autoSpaceDE w:val="0"/>
              <w:autoSpaceDN w:val="0"/>
              <w:adjustRightInd w:val="0"/>
              <w:jc w:val="center"/>
              <w:rPr>
                <w:color w:val="000000"/>
                <w:sz w:val="20"/>
              </w:rPr>
            </w:pPr>
            <w:r w:rsidRPr="00A50F32">
              <w:rPr>
                <w:color w:val="000000"/>
                <w:sz w:val="20"/>
              </w:rPr>
              <w:t> (639251.)</w:t>
            </w:r>
          </w:p>
        </w:tc>
        <w:tc>
          <w:tcPr>
            <w:tcW w:w="1842" w:type="dxa"/>
            <w:vAlign w:val="bottom"/>
          </w:tcPr>
          <w:p w14:paraId="091C0082" w14:textId="77777777" w:rsidR="009D755F" w:rsidRPr="00A50F32" w:rsidRDefault="009D755F" w:rsidP="00F647C8">
            <w:pPr>
              <w:autoSpaceDE w:val="0"/>
              <w:autoSpaceDN w:val="0"/>
              <w:adjustRightInd w:val="0"/>
              <w:jc w:val="center"/>
              <w:rPr>
                <w:color w:val="000000"/>
                <w:sz w:val="20"/>
              </w:rPr>
            </w:pPr>
            <w:r w:rsidRPr="00A50F32">
              <w:rPr>
                <w:color w:val="000000"/>
                <w:sz w:val="20"/>
              </w:rPr>
              <w:t> (0.16641)</w:t>
            </w:r>
          </w:p>
        </w:tc>
      </w:tr>
      <w:tr w:rsidR="009D755F" w:rsidRPr="00A50F32" w14:paraId="53ECC1A7" w14:textId="77777777" w:rsidTr="00EE1365">
        <w:trPr>
          <w:trHeight w:val="220"/>
        </w:trPr>
        <w:tc>
          <w:tcPr>
            <w:tcW w:w="2664" w:type="dxa"/>
            <w:vAlign w:val="bottom"/>
          </w:tcPr>
          <w:p w14:paraId="106078CA" w14:textId="77777777" w:rsidR="009D755F" w:rsidRPr="00A50F32" w:rsidRDefault="009D755F" w:rsidP="00F647C8">
            <w:pPr>
              <w:autoSpaceDE w:val="0"/>
              <w:autoSpaceDN w:val="0"/>
              <w:adjustRightInd w:val="0"/>
              <w:jc w:val="center"/>
              <w:rPr>
                <w:color w:val="000000"/>
                <w:sz w:val="20"/>
              </w:rPr>
            </w:pPr>
          </w:p>
        </w:tc>
        <w:tc>
          <w:tcPr>
            <w:tcW w:w="1536" w:type="dxa"/>
            <w:vAlign w:val="bottom"/>
          </w:tcPr>
          <w:p w14:paraId="60069534" w14:textId="77777777" w:rsidR="009D755F" w:rsidRPr="00A50F32" w:rsidRDefault="009D755F" w:rsidP="00F647C8">
            <w:pPr>
              <w:autoSpaceDE w:val="0"/>
              <w:autoSpaceDN w:val="0"/>
              <w:adjustRightInd w:val="0"/>
              <w:jc w:val="center"/>
              <w:rPr>
                <w:color w:val="000000"/>
                <w:sz w:val="20"/>
              </w:rPr>
            </w:pPr>
            <w:r w:rsidRPr="00A50F32">
              <w:rPr>
                <w:color w:val="000000"/>
                <w:sz w:val="20"/>
              </w:rPr>
              <w:t>[ 0.32540]</w:t>
            </w:r>
          </w:p>
        </w:tc>
        <w:tc>
          <w:tcPr>
            <w:tcW w:w="1417" w:type="dxa"/>
            <w:vAlign w:val="bottom"/>
          </w:tcPr>
          <w:p w14:paraId="7796D217" w14:textId="77777777" w:rsidR="009D755F" w:rsidRPr="00A50F32" w:rsidRDefault="009D755F" w:rsidP="00F647C8">
            <w:pPr>
              <w:autoSpaceDE w:val="0"/>
              <w:autoSpaceDN w:val="0"/>
              <w:adjustRightInd w:val="0"/>
              <w:jc w:val="center"/>
              <w:rPr>
                <w:color w:val="000000"/>
                <w:sz w:val="20"/>
              </w:rPr>
            </w:pPr>
            <w:r w:rsidRPr="00A50F32">
              <w:rPr>
                <w:color w:val="000000"/>
                <w:sz w:val="20"/>
              </w:rPr>
              <w:t>[-1.90360]</w:t>
            </w:r>
          </w:p>
        </w:tc>
        <w:tc>
          <w:tcPr>
            <w:tcW w:w="1560" w:type="dxa"/>
            <w:vAlign w:val="bottom"/>
          </w:tcPr>
          <w:p w14:paraId="7006B344" w14:textId="77777777" w:rsidR="009D755F" w:rsidRPr="00A50F32" w:rsidRDefault="009D755F" w:rsidP="00F647C8">
            <w:pPr>
              <w:autoSpaceDE w:val="0"/>
              <w:autoSpaceDN w:val="0"/>
              <w:adjustRightInd w:val="0"/>
              <w:jc w:val="center"/>
              <w:rPr>
                <w:color w:val="000000"/>
                <w:sz w:val="20"/>
              </w:rPr>
            </w:pPr>
            <w:r w:rsidRPr="00A50F32">
              <w:rPr>
                <w:color w:val="000000"/>
                <w:sz w:val="20"/>
              </w:rPr>
              <w:t>[-0.22904]</w:t>
            </w:r>
          </w:p>
        </w:tc>
        <w:tc>
          <w:tcPr>
            <w:tcW w:w="1842" w:type="dxa"/>
            <w:vAlign w:val="bottom"/>
          </w:tcPr>
          <w:p w14:paraId="4C181BBB" w14:textId="77777777" w:rsidR="009D755F" w:rsidRPr="00A50F32" w:rsidRDefault="009D755F" w:rsidP="00F647C8">
            <w:pPr>
              <w:autoSpaceDE w:val="0"/>
              <w:autoSpaceDN w:val="0"/>
              <w:adjustRightInd w:val="0"/>
              <w:jc w:val="center"/>
              <w:rPr>
                <w:color w:val="000000"/>
                <w:sz w:val="20"/>
              </w:rPr>
            </w:pPr>
            <w:r w:rsidRPr="00A50F32">
              <w:rPr>
                <w:color w:val="000000"/>
                <w:sz w:val="20"/>
              </w:rPr>
              <w:t>[-0.08174]</w:t>
            </w:r>
          </w:p>
        </w:tc>
      </w:tr>
      <w:tr w:rsidR="009D755F" w:rsidRPr="00A50F32" w14:paraId="693F0060" w14:textId="77777777" w:rsidTr="00EE1365">
        <w:trPr>
          <w:trHeight w:val="220"/>
        </w:trPr>
        <w:tc>
          <w:tcPr>
            <w:tcW w:w="2664" w:type="dxa"/>
            <w:vAlign w:val="bottom"/>
          </w:tcPr>
          <w:p w14:paraId="3CCE1303" w14:textId="77777777" w:rsidR="009D755F" w:rsidRPr="00A50F32" w:rsidRDefault="009D755F" w:rsidP="00F647C8">
            <w:pPr>
              <w:autoSpaceDE w:val="0"/>
              <w:autoSpaceDN w:val="0"/>
              <w:adjustRightInd w:val="0"/>
              <w:jc w:val="center"/>
              <w:rPr>
                <w:color w:val="000000"/>
                <w:sz w:val="20"/>
              </w:rPr>
            </w:pPr>
          </w:p>
        </w:tc>
        <w:tc>
          <w:tcPr>
            <w:tcW w:w="1536" w:type="dxa"/>
            <w:vAlign w:val="bottom"/>
          </w:tcPr>
          <w:p w14:paraId="48BC30C8" w14:textId="77777777" w:rsidR="009D755F" w:rsidRPr="00A50F32" w:rsidRDefault="009D755F" w:rsidP="00F647C8">
            <w:pPr>
              <w:autoSpaceDE w:val="0"/>
              <w:autoSpaceDN w:val="0"/>
              <w:adjustRightInd w:val="0"/>
              <w:jc w:val="center"/>
              <w:rPr>
                <w:color w:val="000000"/>
                <w:sz w:val="20"/>
              </w:rPr>
            </w:pPr>
          </w:p>
        </w:tc>
        <w:tc>
          <w:tcPr>
            <w:tcW w:w="1417" w:type="dxa"/>
            <w:vAlign w:val="bottom"/>
          </w:tcPr>
          <w:p w14:paraId="76A84890" w14:textId="77777777" w:rsidR="009D755F" w:rsidRPr="00A50F32" w:rsidRDefault="009D755F" w:rsidP="00F647C8">
            <w:pPr>
              <w:autoSpaceDE w:val="0"/>
              <w:autoSpaceDN w:val="0"/>
              <w:adjustRightInd w:val="0"/>
              <w:jc w:val="center"/>
              <w:rPr>
                <w:color w:val="000000"/>
                <w:sz w:val="20"/>
              </w:rPr>
            </w:pPr>
          </w:p>
        </w:tc>
        <w:tc>
          <w:tcPr>
            <w:tcW w:w="1560" w:type="dxa"/>
            <w:vAlign w:val="bottom"/>
          </w:tcPr>
          <w:p w14:paraId="30F4A956" w14:textId="77777777" w:rsidR="009D755F" w:rsidRPr="00A50F32" w:rsidRDefault="009D755F" w:rsidP="00F647C8">
            <w:pPr>
              <w:autoSpaceDE w:val="0"/>
              <w:autoSpaceDN w:val="0"/>
              <w:adjustRightInd w:val="0"/>
              <w:jc w:val="center"/>
              <w:rPr>
                <w:color w:val="000000"/>
                <w:sz w:val="20"/>
              </w:rPr>
            </w:pPr>
          </w:p>
        </w:tc>
        <w:tc>
          <w:tcPr>
            <w:tcW w:w="1842" w:type="dxa"/>
            <w:vAlign w:val="bottom"/>
          </w:tcPr>
          <w:p w14:paraId="351106CF" w14:textId="77777777" w:rsidR="009D755F" w:rsidRPr="00A50F32" w:rsidRDefault="009D755F" w:rsidP="00F647C8">
            <w:pPr>
              <w:autoSpaceDE w:val="0"/>
              <w:autoSpaceDN w:val="0"/>
              <w:adjustRightInd w:val="0"/>
              <w:jc w:val="center"/>
              <w:rPr>
                <w:color w:val="000000"/>
                <w:sz w:val="20"/>
              </w:rPr>
            </w:pPr>
          </w:p>
        </w:tc>
      </w:tr>
      <w:tr w:rsidR="009D755F" w:rsidRPr="00A50F32" w14:paraId="2B12941F" w14:textId="77777777" w:rsidTr="00EE1365">
        <w:trPr>
          <w:trHeight w:val="220"/>
        </w:trPr>
        <w:tc>
          <w:tcPr>
            <w:tcW w:w="2664" w:type="dxa"/>
            <w:vAlign w:val="bottom"/>
          </w:tcPr>
          <w:p w14:paraId="30FE4029" w14:textId="77777777" w:rsidR="009D755F" w:rsidRPr="00A50F32" w:rsidRDefault="009D755F" w:rsidP="00F647C8">
            <w:pPr>
              <w:autoSpaceDE w:val="0"/>
              <w:autoSpaceDN w:val="0"/>
              <w:adjustRightInd w:val="0"/>
              <w:jc w:val="center"/>
              <w:rPr>
                <w:color w:val="000000"/>
                <w:sz w:val="20"/>
              </w:rPr>
            </w:pPr>
            <w:r w:rsidRPr="00A50F32">
              <w:rPr>
                <w:color w:val="000000"/>
                <w:sz w:val="20"/>
              </w:rPr>
              <w:t>C</w:t>
            </w:r>
          </w:p>
        </w:tc>
        <w:tc>
          <w:tcPr>
            <w:tcW w:w="1536" w:type="dxa"/>
            <w:vAlign w:val="bottom"/>
          </w:tcPr>
          <w:p w14:paraId="24F04435" w14:textId="77777777" w:rsidR="009D755F" w:rsidRPr="00A50F32" w:rsidRDefault="009D755F" w:rsidP="00F647C8">
            <w:pPr>
              <w:autoSpaceDE w:val="0"/>
              <w:autoSpaceDN w:val="0"/>
              <w:adjustRightInd w:val="0"/>
              <w:jc w:val="center"/>
              <w:rPr>
                <w:color w:val="000000"/>
                <w:sz w:val="20"/>
              </w:rPr>
            </w:pPr>
            <w:r w:rsidRPr="00A50F32">
              <w:rPr>
                <w:color w:val="000000"/>
                <w:sz w:val="20"/>
              </w:rPr>
              <w:t>-0.091485</w:t>
            </w:r>
          </w:p>
        </w:tc>
        <w:tc>
          <w:tcPr>
            <w:tcW w:w="1417" w:type="dxa"/>
            <w:vAlign w:val="bottom"/>
          </w:tcPr>
          <w:p w14:paraId="30755A87" w14:textId="77777777" w:rsidR="009D755F" w:rsidRPr="00A50F32" w:rsidRDefault="009D755F" w:rsidP="00F647C8">
            <w:pPr>
              <w:autoSpaceDE w:val="0"/>
              <w:autoSpaceDN w:val="0"/>
              <w:adjustRightInd w:val="0"/>
              <w:jc w:val="center"/>
              <w:rPr>
                <w:color w:val="000000"/>
                <w:sz w:val="20"/>
              </w:rPr>
            </w:pPr>
            <w:r w:rsidRPr="00A50F32">
              <w:rPr>
                <w:color w:val="000000"/>
                <w:sz w:val="20"/>
              </w:rPr>
              <w:t> 8.501507</w:t>
            </w:r>
          </w:p>
        </w:tc>
        <w:tc>
          <w:tcPr>
            <w:tcW w:w="1560" w:type="dxa"/>
            <w:vAlign w:val="bottom"/>
          </w:tcPr>
          <w:p w14:paraId="211ECC81" w14:textId="77777777" w:rsidR="009D755F" w:rsidRPr="00A50F32" w:rsidRDefault="009D755F" w:rsidP="00F647C8">
            <w:pPr>
              <w:autoSpaceDE w:val="0"/>
              <w:autoSpaceDN w:val="0"/>
              <w:adjustRightInd w:val="0"/>
              <w:jc w:val="center"/>
              <w:rPr>
                <w:color w:val="000000"/>
                <w:sz w:val="20"/>
              </w:rPr>
            </w:pPr>
            <w:r w:rsidRPr="00A50F32">
              <w:rPr>
                <w:color w:val="000000"/>
                <w:sz w:val="20"/>
              </w:rPr>
              <w:t> 1.38E+08</w:t>
            </w:r>
          </w:p>
        </w:tc>
        <w:tc>
          <w:tcPr>
            <w:tcW w:w="1842" w:type="dxa"/>
            <w:vAlign w:val="bottom"/>
          </w:tcPr>
          <w:p w14:paraId="35983413" w14:textId="77777777" w:rsidR="009D755F" w:rsidRPr="00A50F32" w:rsidRDefault="009D755F" w:rsidP="00F647C8">
            <w:pPr>
              <w:autoSpaceDE w:val="0"/>
              <w:autoSpaceDN w:val="0"/>
              <w:adjustRightInd w:val="0"/>
              <w:jc w:val="center"/>
              <w:rPr>
                <w:color w:val="000000"/>
                <w:sz w:val="20"/>
              </w:rPr>
            </w:pPr>
            <w:r w:rsidRPr="00A50F32">
              <w:rPr>
                <w:color w:val="000000"/>
                <w:sz w:val="20"/>
              </w:rPr>
              <w:t> 44.00679</w:t>
            </w:r>
          </w:p>
        </w:tc>
      </w:tr>
      <w:tr w:rsidR="009D755F" w:rsidRPr="00A50F32" w14:paraId="1E6ED7D5" w14:textId="77777777" w:rsidTr="00EE1365">
        <w:trPr>
          <w:trHeight w:val="220"/>
        </w:trPr>
        <w:tc>
          <w:tcPr>
            <w:tcW w:w="2664" w:type="dxa"/>
            <w:vAlign w:val="bottom"/>
          </w:tcPr>
          <w:p w14:paraId="02C92D3A" w14:textId="77777777" w:rsidR="009D755F" w:rsidRPr="00A50F32" w:rsidRDefault="009D755F" w:rsidP="00F647C8">
            <w:pPr>
              <w:autoSpaceDE w:val="0"/>
              <w:autoSpaceDN w:val="0"/>
              <w:adjustRightInd w:val="0"/>
              <w:jc w:val="center"/>
              <w:rPr>
                <w:color w:val="000000"/>
                <w:sz w:val="20"/>
              </w:rPr>
            </w:pPr>
          </w:p>
        </w:tc>
        <w:tc>
          <w:tcPr>
            <w:tcW w:w="1536" w:type="dxa"/>
            <w:vAlign w:val="bottom"/>
          </w:tcPr>
          <w:p w14:paraId="7AD8B3E1" w14:textId="77777777" w:rsidR="009D755F" w:rsidRPr="00A50F32" w:rsidRDefault="009D755F" w:rsidP="00F647C8">
            <w:pPr>
              <w:autoSpaceDE w:val="0"/>
              <w:autoSpaceDN w:val="0"/>
              <w:adjustRightInd w:val="0"/>
              <w:jc w:val="center"/>
              <w:rPr>
                <w:color w:val="000000"/>
                <w:sz w:val="20"/>
              </w:rPr>
            </w:pPr>
            <w:r w:rsidRPr="00A50F32">
              <w:rPr>
                <w:color w:val="000000"/>
                <w:sz w:val="20"/>
              </w:rPr>
              <w:t> (0.61975)</w:t>
            </w:r>
          </w:p>
        </w:tc>
        <w:tc>
          <w:tcPr>
            <w:tcW w:w="1417" w:type="dxa"/>
            <w:vAlign w:val="bottom"/>
          </w:tcPr>
          <w:p w14:paraId="6679A637" w14:textId="77777777" w:rsidR="009D755F" w:rsidRPr="00A50F32" w:rsidRDefault="009D755F" w:rsidP="00F647C8">
            <w:pPr>
              <w:autoSpaceDE w:val="0"/>
              <w:autoSpaceDN w:val="0"/>
              <w:adjustRightInd w:val="0"/>
              <w:jc w:val="center"/>
              <w:rPr>
                <w:color w:val="000000"/>
                <w:sz w:val="20"/>
              </w:rPr>
            </w:pPr>
            <w:r w:rsidRPr="00A50F32">
              <w:rPr>
                <w:color w:val="000000"/>
                <w:sz w:val="20"/>
              </w:rPr>
              <w:t> (1.49763)</w:t>
            </w:r>
          </w:p>
        </w:tc>
        <w:tc>
          <w:tcPr>
            <w:tcW w:w="1560" w:type="dxa"/>
            <w:vAlign w:val="bottom"/>
          </w:tcPr>
          <w:p w14:paraId="63EA76E7" w14:textId="77777777" w:rsidR="009D755F" w:rsidRPr="00A50F32" w:rsidRDefault="009D755F" w:rsidP="00F647C8">
            <w:pPr>
              <w:autoSpaceDE w:val="0"/>
              <w:autoSpaceDN w:val="0"/>
              <w:adjustRightInd w:val="0"/>
              <w:jc w:val="center"/>
              <w:rPr>
                <w:color w:val="000000"/>
                <w:sz w:val="20"/>
              </w:rPr>
            </w:pPr>
            <w:r w:rsidRPr="00A50F32">
              <w:rPr>
                <w:color w:val="000000"/>
                <w:sz w:val="20"/>
              </w:rPr>
              <w:t> (1.8E+08)</w:t>
            </w:r>
          </w:p>
        </w:tc>
        <w:tc>
          <w:tcPr>
            <w:tcW w:w="1842" w:type="dxa"/>
            <w:vAlign w:val="bottom"/>
          </w:tcPr>
          <w:p w14:paraId="34E05D7A" w14:textId="77777777" w:rsidR="009D755F" w:rsidRPr="00A50F32" w:rsidRDefault="009D755F" w:rsidP="00F647C8">
            <w:pPr>
              <w:autoSpaceDE w:val="0"/>
              <w:autoSpaceDN w:val="0"/>
              <w:adjustRightInd w:val="0"/>
              <w:jc w:val="center"/>
              <w:rPr>
                <w:color w:val="000000"/>
                <w:sz w:val="20"/>
              </w:rPr>
            </w:pPr>
            <w:r w:rsidRPr="00A50F32">
              <w:rPr>
                <w:color w:val="000000"/>
                <w:sz w:val="20"/>
              </w:rPr>
              <w:t> (47.2938)</w:t>
            </w:r>
          </w:p>
        </w:tc>
      </w:tr>
      <w:tr w:rsidR="009D755F" w:rsidRPr="00A50F32" w14:paraId="111CBE68" w14:textId="77777777" w:rsidTr="00EE1365">
        <w:trPr>
          <w:trHeight w:val="220"/>
        </w:trPr>
        <w:tc>
          <w:tcPr>
            <w:tcW w:w="2664" w:type="dxa"/>
            <w:vAlign w:val="bottom"/>
          </w:tcPr>
          <w:p w14:paraId="1D5AB6EF" w14:textId="77777777" w:rsidR="009D755F" w:rsidRPr="00A50F32" w:rsidRDefault="009D755F" w:rsidP="00F647C8">
            <w:pPr>
              <w:autoSpaceDE w:val="0"/>
              <w:autoSpaceDN w:val="0"/>
              <w:adjustRightInd w:val="0"/>
              <w:jc w:val="center"/>
              <w:rPr>
                <w:color w:val="000000"/>
                <w:sz w:val="20"/>
              </w:rPr>
            </w:pPr>
          </w:p>
        </w:tc>
        <w:tc>
          <w:tcPr>
            <w:tcW w:w="1536" w:type="dxa"/>
            <w:vAlign w:val="bottom"/>
          </w:tcPr>
          <w:p w14:paraId="3C28BD46" w14:textId="77777777" w:rsidR="009D755F" w:rsidRPr="00A50F32" w:rsidRDefault="009D755F" w:rsidP="00F647C8">
            <w:pPr>
              <w:autoSpaceDE w:val="0"/>
              <w:autoSpaceDN w:val="0"/>
              <w:adjustRightInd w:val="0"/>
              <w:jc w:val="center"/>
              <w:rPr>
                <w:color w:val="000000"/>
                <w:sz w:val="20"/>
              </w:rPr>
            </w:pPr>
            <w:r w:rsidRPr="00A50F32">
              <w:rPr>
                <w:color w:val="000000"/>
                <w:sz w:val="20"/>
              </w:rPr>
              <w:t>[-0.14762]</w:t>
            </w:r>
          </w:p>
        </w:tc>
        <w:tc>
          <w:tcPr>
            <w:tcW w:w="1417" w:type="dxa"/>
            <w:vAlign w:val="bottom"/>
          </w:tcPr>
          <w:p w14:paraId="01F20717" w14:textId="77777777" w:rsidR="009D755F" w:rsidRPr="00A50F32" w:rsidRDefault="009D755F" w:rsidP="00F647C8">
            <w:pPr>
              <w:autoSpaceDE w:val="0"/>
              <w:autoSpaceDN w:val="0"/>
              <w:adjustRightInd w:val="0"/>
              <w:jc w:val="center"/>
              <w:rPr>
                <w:color w:val="000000"/>
                <w:sz w:val="20"/>
              </w:rPr>
            </w:pPr>
            <w:r w:rsidRPr="00A50F32">
              <w:rPr>
                <w:color w:val="000000"/>
                <w:sz w:val="20"/>
              </w:rPr>
              <w:t>[ 5.67665]</w:t>
            </w:r>
          </w:p>
        </w:tc>
        <w:tc>
          <w:tcPr>
            <w:tcW w:w="1560" w:type="dxa"/>
            <w:vAlign w:val="bottom"/>
          </w:tcPr>
          <w:p w14:paraId="3D06BCF8" w14:textId="77777777" w:rsidR="009D755F" w:rsidRPr="00A50F32" w:rsidRDefault="009D755F" w:rsidP="00F647C8">
            <w:pPr>
              <w:autoSpaceDE w:val="0"/>
              <w:autoSpaceDN w:val="0"/>
              <w:adjustRightInd w:val="0"/>
              <w:jc w:val="center"/>
              <w:rPr>
                <w:color w:val="000000"/>
                <w:sz w:val="20"/>
              </w:rPr>
            </w:pPr>
            <w:r w:rsidRPr="00A50F32">
              <w:rPr>
                <w:color w:val="000000"/>
                <w:sz w:val="20"/>
              </w:rPr>
              <w:t>[ 0.75811]</w:t>
            </w:r>
          </w:p>
        </w:tc>
        <w:tc>
          <w:tcPr>
            <w:tcW w:w="1842" w:type="dxa"/>
            <w:vAlign w:val="bottom"/>
          </w:tcPr>
          <w:p w14:paraId="468C581A" w14:textId="77777777" w:rsidR="009D755F" w:rsidRPr="00A50F32" w:rsidRDefault="009D755F" w:rsidP="00F647C8">
            <w:pPr>
              <w:autoSpaceDE w:val="0"/>
              <w:autoSpaceDN w:val="0"/>
              <w:adjustRightInd w:val="0"/>
              <w:jc w:val="center"/>
              <w:rPr>
                <w:color w:val="000000"/>
                <w:sz w:val="20"/>
              </w:rPr>
            </w:pPr>
            <w:r w:rsidRPr="00A50F32">
              <w:rPr>
                <w:color w:val="000000"/>
                <w:sz w:val="20"/>
              </w:rPr>
              <w:t>[ 0.93050]</w:t>
            </w:r>
          </w:p>
        </w:tc>
      </w:tr>
      <w:tr w:rsidR="009D755F" w:rsidRPr="00A50F32" w14:paraId="12D9E101" w14:textId="77777777" w:rsidTr="00EE1365">
        <w:trPr>
          <w:trHeight w:val="220"/>
        </w:trPr>
        <w:tc>
          <w:tcPr>
            <w:tcW w:w="2664" w:type="dxa"/>
            <w:vAlign w:val="bottom"/>
          </w:tcPr>
          <w:p w14:paraId="1D89C809" w14:textId="77777777" w:rsidR="009D755F" w:rsidRPr="00A50F32" w:rsidRDefault="009D755F" w:rsidP="00F647C8">
            <w:pPr>
              <w:autoSpaceDE w:val="0"/>
              <w:autoSpaceDN w:val="0"/>
              <w:adjustRightInd w:val="0"/>
              <w:rPr>
                <w:color w:val="000000"/>
                <w:sz w:val="20"/>
              </w:rPr>
            </w:pPr>
            <w:r w:rsidRPr="00A50F32">
              <w:rPr>
                <w:color w:val="000000"/>
                <w:sz w:val="20"/>
              </w:rPr>
              <w:t>R-squared</w:t>
            </w:r>
          </w:p>
        </w:tc>
        <w:tc>
          <w:tcPr>
            <w:tcW w:w="1536" w:type="dxa"/>
            <w:vAlign w:val="bottom"/>
          </w:tcPr>
          <w:p w14:paraId="49CBC2D5" w14:textId="77777777" w:rsidR="009D755F" w:rsidRPr="00A50F32" w:rsidRDefault="009D755F" w:rsidP="00F647C8">
            <w:pPr>
              <w:autoSpaceDE w:val="0"/>
              <w:autoSpaceDN w:val="0"/>
              <w:adjustRightInd w:val="0"/>
              <w:jc w:val="center"/>
              <w:rPr>
                <w:color w:val="000000"/>
                <w:sz w:val="20"/>
              </w:rPr>
            </w:pPr>
            <w:r w:rsidRPr="00A50F32">
              <w:rPr>
                <w:color w:val="000000"/>
                <w:sz w:val="20"/>
              </w:rPr>
              <w:t> 0.549283</w:t>
            </w:r>
          </w:p>
        </w:tc>
        <w:tc>
          <w:tcPr>
            <w:tcW w:w="1417" w:type="dxa"/>
            <w:vAlign w:val="bottom"/>
          </w:tcPr>
          <w:p w14:paraId="28FE3CBF" w14:textId="77777777" w:rsidR="009D755F" w:rsidRPr="00A50F32" w:rsidRDefault="009D755F" w:rsidP="00F647C8">
            <w:pPr>
              <w:autoSpaceDE w:val="0"/>
              <w:autoSpaceDN w:val="0"/>
              <w:adjustRightInd w:val="0"/>
              <w:jc w:val="center"/>
              <w:rPr>
                <w:color w:val="000000"/>
                <w:sz w:val="20"/>
              </w:rPr>
            </w:pPr>
            <w:r w:rsidRPr="00A50F32">
              <w:rPr>
                <w:color w:val="000000"/>
                <w:sz w:val="20"/>
              </w:rPr>
              <w:t> 0.369161</w:t>
            </w:r>
          </w:p>
        </w:tc>
        <w:tc>
          <w:tcPr>
            <w:tcW w:w="1560" w:type="dxa"/>
            <w:vAlign w:val="bottom"/>
          </w:tcPr>
          <w:p w14:paraId="3C6D3D49" w14:textId="77777777" w:rsidR="009D755F" w:rsidRPr="00A50F32" w:rsidRDefault="009D755F" w:rsidP="00F647C8">
            <w:pPr>
              <w:autoSpaceDE w:val="0"/>
              <w:autoSpaceDN w:val="0"/>
              <w:adjustRightInd w:val="0"/>
              <w:jc w:val="center"/>
              <w:rPr>
                <w:color w:val="000000"/>
                <w:sz w:val="20"/>
              </w:rPr>
            </w:pPr>
            <w:r w:rsidRPr="00A50F32">
              <w:rPr>
                <w:color w:val="000000"/>
                <w:sz w:val="20"/>
              </w:rPr>
              <w:t> 0.123937</w:t>
            </w:r>
          </w:p>
        </w:tc>
        <w:tc>
          <w:tcPr>
            <w:tcW w:w="1842" w:type="dxa"/>
            <w:vAlign w:val="bottom"/>
          </w:tcPr>
          <w:p w14:paraId="45D4E173" w14:textId="77777777" w:rsidR="009D755F" w:rsidRPr="00A50F32" w:rsidRDefault="009D755F" w:rsidP="00F647C8">
            <w:pPr>
              <w:autoSpaceDE w:val="0"/>
              <w:autoSpaceDN w:val="0"/>
              <w:adjustRightInd w:val="0"/>
              <w:jc w:val="center"/>
              <w:rPr>
                <w:color w:val="000000"/>
                <w:sz w:val="20"/>
              </w:rPr>
            </w:pPr>
            <w:r w:rsidRPr="00A50F32">
              <w:rPr>
                <w:color w:val="000000"/>
                <w:sz w:val="20"/>
              </w:rPr>
              <w:t> 0.506600</w:t>
            </w:r>
          </w:p>
        </w:tc>
      </w:tr>
      <w:tr w:rsidR="009D755F" w:rsidRPr="00A50F32" w14:paraId="21DF1755" w14:textId="77777777" w:rsidTr="00EE1365">
        <w:trPr>
          <w:trHeight w:val="220"/>
        </w:trPr>
        <w:tc>
          <w:tcPr>
            <w:tcW w:w="2664" w:type="dxa"/>
            <w:vAlign w:val="bottom"/>
          </w:tcPr>
          <w:p w14:paraId="4B99B03D" w14:textId="77777777" w:rsidR="009D755F" w:rsidRPr="00A50F32" w:rsidRDefault="009D755F" w:rsidP="00F647C8">
            <w:pPr>
              <w:autoSpaceDE w:val="0"/>
              <w:autoSpaceDN w:val="0"/>
              <w:adjustRightInd w:val="0"/>
              <w:rPr>
                <w:color w:val="000000"/>
                <w:sz w:val="20"/>
              </w:rPr>
            </w:pPr>
            <w:r w:rsidRPr="00A50F32">
              <w:rPr>
                <w:color w:val="000000"/>
                <w:sz w:val="20"/>
              </w:rPr>
              <w:t>Adj. R-squared</w:t>
            </w:r>
          </w:p>
        </w:tc>
        <w:tc>
          <w:tcPr>
            <w:tcW w:w="1536" w:type="dxa"/>
            <w:vAlign w:val="bottom"/>
          </w:tcPr>
          <w:p w14:paraId="620AFBEF" w14:textId="77777777" w:rsidR="009D755F" w:rsidRPr="00A50F32" w:rsidRDefault="009D755F" w:rsidP="00F647C8">
            <w:pPr>
              <w:autoSpaceDE w:val="0"/>
              <w:autoSpaceDN w:val="0"/>
              <w:adjustRightInd w:val="0"/>
              <w:jc w:val="center"/>
              <w:rPr>
                <w:color w:val="000000"/>
                <w:sz w:val="20"/>
              </w:rPr>
            </w:pPr>
            <w:r w:rsidRPr="00A50F32">
              <w:rPr>
                <w:color w:val="000000"/>
                <w:sz w:val="20"/>
              </w:rPr>
              <w:t> 0.486877</w:t>
            </w:r>
          </w:p>
        </w:tc>
        <w:tc>
          <w:tcPr>
            <w:tcW w:w="1417" w:type="dxa"/>
            <w:vAlign w:val="bottom"/>
          </w:tcPr>
          <w:p w14:paraId="5A6FEF9E" w14:textId="77777777" w:rsidR="009D755F" w:rsidRPr="00A50F32" w:rsidRDefault="009D755F" w:rsidP="00F647C8">
            <w:pPr>
              <w:autoSpaceDE w:val="0"/>
              <w:autoSpaceDN w:val="0"/>
              <w:adjustRightInd w:val="0"/>
              <w:jc w:val="center"/>
              <w:rPr>
                <w:color w:val="000000"/>
                <w:sz w:val="20"/>
              </w:rPr>
            </w:pPr>
            <w:r w:rsidRPr="00A50F32">
              <w:rPr>
                <w:color w:val="000000"/>
                <w:sz w:val="20"/>
              </w:rPr>
              <w:t> 0.281814</w:t>
            </w:r>
          </w:p>
        </w:tc>
        <w:tc>
          <w:tcPr>
            <w:tcW w:w="1560" w:type="dxa"/>
            <w:vAlign w:val="bottom"/>
          </w:tcPr>
          <w:p w14:paraId="13485A8A" w14:textId="77777777" w:rsidR="009D755F" w:rsidRPr="00A50F32" w:rsidRDefault="009D755F" w:rsidP="00F647C8">
            <w:pPr>
              <w:autoSpaceDE w:val="0"/>
              <w:autoSpaceDN w:val="0"/>
              <w:adjustRightInd w:val="0"/>
              <w:jc w:val="center"/>
              <w:rPr>
                <w:color w:val="000000"/>
                <w:sz w:val="20"/>
              </w:rPr>
            </w:pPr>
            <w:r w:rsidRPr="00A50F32">
              <w:rPr>
                <w:color w:val="000000"/>
                <w:sz w:val="20"/>
              </w:rPr>
              <w:t> 0.002637</w:t>
            </w:r>
          </w:p>
        </w:tc>
        <w:tc>
          <w:tcPr>
            <w:tcW w:w="1842" w:type="dxa"/>
            <w:vAlign w:val="bottom"/>
          </w:tcPr>
          <w:p w14:paraId="59C62750" w14:textId="77777777" w:rsidR="009D755F" w:rsidRPr="00A50F32" w:rsidRDefault="009D755F" w:rsidP="00F647C8">
            <w:pPr>
              <w:autoSpaceDE w:val="0"/>
              <w:autoSpaceDN w:val="0"/>
              <w:adjustRightInd w:val="0"/>
              <w:jc w:val="center"/>
              <w:rPr>
                <w:color w:val="000000"/>
                <w:sz w:val="20"/>
              </w:rPr>
            </w:pPr>
            <w:r w:rsidRPr="00A50F32">
              <w:rPr>
                <w:color w:val="000000"/>
                <w:sz w:val="20"/>
              </w:rPr>
              <w:t> 0.438283</w:t>
            </w:r>
          </w:p>
        </w:tc>
      </w:tr>
      <w:tr w:rsidR="009D755F" w:rsidRPr="00A50F32" w14:paraId="3E5793FB" w14:textId="77777777" w:rsidTr="00EE1365">
        <w:trPr>
          <w:trHeight w:val="220"/>
        </w:trPr>
        <w:tc>
          <w:tcPr>
            <w:tcW w:w="2664" w:type="dxa"/>
            <w:vAlign w:val="bottom"/>
          </w:tcPr>
          <w:p w14:paraId="068EE79B" w14:textId="77777777" w:rsidR="009D755F" w:rsidRPr="00A50F32" w:rsidRDefault="009D755F" w:rsidP="00F647C8">
            <w:pPr>
              <w:autoSpaceDE w:val="0"/>
              <w:autoSpaceDN w:val="0"/>
              <w:adjustRightInd w:val="0"/>
              <w:rPr>
                <w:color w:val="000000"/>
                <w:sz w:val="20"/>
              </w:rPr>
            </w:pPr>
            <w:r w:rsidRPr="00A50F32">
              <w:rPr>
                <w:color w:val="000000"/>
                <w:sz w:val="20"/>
              </w:rPr>
              <w:t>Sum sq. resides</w:t>
            </w:r>
          </w:p>
        </w:tc>
        <w:tc>
          <w:tcPr>
            <w:tcW w:w="1536" w:type="dxa"/>
            <w:vAlign w:val="bottom"/>
          </w:tcPr>
          <w:p w14:paraId="3357E2FA" w14:textId="77777777" w:rsidR="009D755F" w:rsidRPr="00A50F32" w:rsidRDefault="009D755F" w:rsidP="00F647C8">
            <w:pPr>
              <w:autoSpaceDE w:val="0"/>
              <w:autoSpaceDN w:val="0"/>
              <w:adjustRightInd w:val="0"/>
              <w:jc w:val="center"/>
              <w:rPr>
                <w:color w:val="000000"/>
                <w:sz w:val="20"/>
              </w:rPr>
            </w:pPr>
            <w:r w:rsidRPr="00A50F32">
              <w:rPr>
                <w:color w:val="000000"/>
                <w:sz w:val="20"/>
              </w:rPr>
              <w:t> 814.9556</w:t>
            </w:r>
          </w:p>
        </w:tc>
        <w:tc>
          <w:tcPr>
            <w:tcW w:w="1417" w:type="dxa"/>
            <w:vAlign w:val="bottom"/>
          </w:tcPr>
          <w:p w14:paraId="4DAB571A" w14:textId="77777777" w:rsidR="009D755F" w:rsidRPr="00A50F32" w:rsidRDefault="009D755F" w:rsidP="00F647C8">
            <w:pPr>
              <w:autoSpaceDE w:val="0"/>
              <w:autoSpaceDN w:val="0"/>
              <w:adjustRightInd w:val="0"/>
              <w:jc w:val="center"/>
              <w:rPr>
                <w:color w:val="000000"/>
                <w:sz w:val="20"/>
              </w:rPr>
            </w:pPr>
            <w:r w:rsidRPr="00A50F32">
              <w:rPr>
                <w:color w:val="000000"/>
                <w:sz w:val="20"/>
              </w:rPr>
              <w:t> 4758.995</w:t>
            </w:r>
          </w:p>
        </w:tc>
        <w:tc>
          <w:tcPr>
            <w:tcW w:w="1560" w:type="dxa"/>
            <w:vAlign w:val="bottom"/>
          </w:tcPr>
          <w:p w14:paraId="413968D2" w14:textId="77777777" w:rsidR="009D755F" w:rsidRPr="00A50F32" w:rsidRDefault="009D755F" w:rsidP="00F647C8">
            <w:pPr>
              <w:autoSpaceDE w:val="0"/>
              <w:autoSpaceDN w:val="0"/>
              <w:adjustRightInd w:val="0"/>
              <w:jc w:val="center"/>
              <w:rPr>
                <w:color w:val="000000"/>
                <w:sz w:val="20"/>
              </w:rPr>
            </w:pPr>
            <w:r w:rsidRPr="00A50F32">
              <w:rPr>
                <w:color w:val="000000"/>
                <w:sz w:val="20"/>
              </w:rPr>
              <w:t> 7.00E+19</w:t>
            </w:r>
          </w:p>
        </w:tc>
        <w:tc>
          <w:tcPr>
            <w:tcW w:w="1842" w:type="dxa"/>
            <w:vAlign w:val="bottom"/>
          </w:tcPr>
          <w:p w14:paraId="52771B1A" w14:textId="77777777" w:rsidR="009D755F" w:rsidRPr="00A50F32" w:rsidRDefault="009D755F" w:rsidP="00F647C8">
            <w:pPr>
              <w:autoSpaceDE w:val="0"/>
              <w:autoSpaceDN w:val="0"/>
              <w:adjustRightInd w:val="0"/>
              <w:jc w:val="center"/>
              <w:rPr>
                <w:color w:val="000000"/>
                <w:sz w:val="20"/>
              </w:rPr>
            </w:pPr>
            <w:r w:rsidRPr="00A50F32">
              <w:rPr>
                <w:color w:val="000000"/>
                <w:sz w:val="20"/>
              </w:rPr>
              <w:t> 4745869.</w:t>
            </w:r>
          </w:p>
        </w:tc>
      </w:tr>
      <w:tr w:rsidR="009D755F" w:rsidRPr="00A50F32" w14:paraId="08114944" w14:textId="77777777" w:rsidTr="00EE1365">
        <w:trPr>
          <w:trHeight w:val="220"/>
        </w:trPr>
        <w:tc>
          <w:tcPr>
            <w:tcW w:w="2664" w:type="dxa"/>
            <w:vAlign w:val="bottom"/>
          </w:tcPr>
          <w:p w14:paraId="40D4CE5D" w14:textId="77777777" w:rsidR="009D755F" w:rsidRPr="00A50F32" w:rsidRDefault="009D755F" w:rsidP="00F647C8">
            <w:pPr>
              <w:autoSpaceDE w:val="0"/>
              <w:autoSpaceDN w:val="0"/>
              <w:adjustRightInd w:val="0"/>
              <w:rPr>
                <w:color w:val="000000"/>
                <w:sz w:val="20"/>
              </w:rPr>
            </w:pPr>
            <w:r w:rsidRPr="00A50F32">
              <w:rPr>
                <w:color w:val="000000"/>
                <w:sz w:val="20"/>
              </w:rPr>
              <w:t>S.E. equation</w:t>
            </w:r>
          </w:p>
        </w:tc>
        <w:tc>
          <w:tcPr>
            <w:tcW w:w="1536" w:type="dxa"/>
            <w:vAlign w:val="bottom"/>
          </w:tcPr>
          <w:p w14:paraId="3EFD98E2" w14:textId="77777777" w:rsidR="009D755F" w:rsidRPr="00A50F32" w:rsidRDefault="009D755F" w:rsidP="00F647C8">
            <w:pPr>
              <w:autoSpaceDE w:val="0"/>
              <w:autoSpaceDN w:val="0"/>
              <w:adjustRightInd w:val="0"/>
              <w:jc w:val="center"/>
              <w:rPr>
                <w:color w:val="000000"/>
                <w:sz w:val="20"/>
              </w:rPr>
            </w:pPr>
            <w:r w:rsidRPr="00A50F32">
              <w:rPr>
                <w:color w:val="000000"/>
                <w:sz w:val="20"/>
              </w:rPr>
              <w:t> 3.540873</w:t>
            </w:r>
          </w:p>
        </w:tc>
        <w:tc>
          <w:tcPr>
            <w:tcW w:w="1417" w:type="dxa"/>
            <w:vAlign w:val="bottom"/>
          </w:tcPr>
          <w:p w14:paraId="21DEDA70" w14:textId="77777777" w:rsidR="009D755F" w:rsidRPr="00A50F32" w:rsidRDefault="009D755F" w:rsidP="00F647C8">
            <w:pPr>
              <w:autoSpaceDE w:val="0"/>
              <w:autoSpaceDN w:val="0"/>
              <w:adjustRightInd w:val="0"/>
              <w:jc w:val="center"/>
              <w:rPr>
                <w:color w:val="000000"/>
                <w:sz w:val="20"/>
              </w:rPr>
            </w:pPr>
            <w:r w:rsidRPr="00A50F32">
              <w:rPr>
                <w:color w:val="000000"/>
                <w:sz w:val="20"/>
              </w:rPr>
              <w:t> 8.556594</w:t>
            </w:r>
          </w:p>
        </w:tc>
        <w:tc>
          <w:tcPr>
            <w:tcW w:w="1560" w:type="dxa"/>
            <w:vAlign w:val="bottom"/>
          </w:tcPr>
          <w:p w14:paraId="7D6EC756" w14:textId="77777777" w:rsidR="009D755F" w:rsidRPr="00A50F32" w:rsidRDefault="009D755F" w:rsidP="00F647C8">
            <w:pPr>
              <w:autoSpaceDE w:val="0"/>
              <w:autoSpaceDN w:val="0"/>
              <w:adjustRightInd w:val="0"/>
              <w:jc w:val="center"/>
              <w:rPr>
                <w:color w:val="000000"/>
                <w:sz w:val="20"/>
              </w:rPr>
            </w:pPr>
            <w:r w:rsidRPr="00A50F32">
              <w:rPr>
                <w:color w:val="000000"/>
                <w:sz w:val="20"/>
              </w:rPr>
              <w:t> 1.04E+09</w:t>
            </w:r>
          </w:p>
        </w:tc>
        <w:tc>
          <w:tcPr>
            <w:tcW w:w="1842" w:type="dxa"/>
            <w:vAlign w:val="bottom"/>
          </w:tcPr>
          <w:p w14:paraId="1DE2277B" w14:textId="77777777" w:rsidR="009D755F" w:rsidRPr="00A50F32" w:rsidRDefault="009D755F" w:rsidP="00F647C8">
            <w:pPr>
              <w:autoSpaceDE w:val="0"/>
              <w:autoSpaceDN w:val="0"/>
              <w:adjustRightInd w:val="0"/>
              <w:jc w:val="center"/>
              <w:rPr>
                <w:color w:val="000000"/>
                <w:sz w:val="20"/>
              </w:rPr>
            </w:pPr>
            <w:r w:rsidRPr="00A50F32">
              <w:rPr>
                <w:color w:val="000000"/>
                <w:sz w:val="20"/>
              </w:rPr>
              <w:t> 270.2099</w:t>
            </w:r>
          </w:p>
        </w:tc>
      </w:tr>
      <w:tr w:rsidR="009D755F" w:rsidRPr="00A50F32" w14:paraId="464AD938" w14:textId="77777777" w:rsidTr="00EE1365">
        <w:trPr>
          <w:trHeight w:val="220"/>
        </w:trPr>
        <w:tc>
          <w:tcPr>
            <w:tcW w:w="2664" w:type="dxa"/>
            <w:vAlign w:val="bottom"/>
          </w:tcPr>
          <w:p w14:paraId="1A34764B" w14:textId="77777777" w:rsidR="009D755F" w:rsidRPr="00A50F32" w:rsidRDefault="009D755F" w:rsidP="00F647C8">
            <w:pPr>
              <w:autoSpaceDE w:val="0"/>
              <w:autoSpaceDN w:val="0"/>
              <w:adjustRightInd w:val="0"/>
              <w:rPr>
                <w:color w:val="000000"/>
                <w:sz w:val="20"/>
              </w:rPr>
            </w:pPr>
            <w:r w:rsidRPr="00A50F32">
              <w:rPr>
                <w:color w:val="000000"/>
                <w:sz w:val="20"/>
              </w:rPr>
              <w:t>F-statistic</w:t>
            </w:r>
          </w:p>
        </w:tc>
        <w:tc>
          <w:tcPr>
            <w:tcW w:w="1536" w:type="dxa"/>
            <w:vAlign w:val="bottom"/>
          </w:tcPr>
          <w:p w14:paraId="69AAE4C0" w14:textId="77777777" w:rsidR="009D755F" w:rsidRPr="00A50F32" w:rsidRDefault="009D755F" w:rsidP="00F647C8">
            <w:pPr>
              <w:autoSpaceDE w:val="0"/>
              <w:autoSpaceDN w:val="0"/>
              <w:adjustRightInd w:val="0"/>
              <w:jc w:val="center"/>
              <w:rPr>
                <w:color w:val="000000"/>
                <w:sz w:val="20"/>
              </w:rPr>
            </w:pPr>
            <w:r w:rsidRPr="00A50F32">
              <w:rPr>
                <w:color w:val="000000"/>
                <w:sz w:val="20"/>
              </w:rPr>
              <w:t> 8.801647</w:t>
            </w:r>
          </w:p>
        </w:tc>
        <w:tc>
          <w:tcPr>
            <w:tcW w:w="1417" w:type="dxa"/>
            <w:vAlign w:val="bottom"/>
          </w:tcPr>
          <w:p w14:paraId="5C167ADB" w14:textId="77777777" w:rsidR="009D755F" w:rsidRPr="00A50F32" w:rsidRDefault="009D755F" w:rsidP="00F647C8">
            <w:pPr>
              <w:autoSpaceDE w:val="0"/>
              <w:autoSpaceDN w:val="0"/>
              <w:adjustRightInd w:val="0"/>
              <w:jc w:val="center"/>
              <w:rPr>
                <w:color w:val="000000"/>
                <w:sz w:val="20"/>
              </w:rPr>
            </w:pPr>
            <w:r w:rsidRPr="00A50F32">
              <w:rPr>
                <w:color w:val="000000"/>
                <w:sz w:val="20"/>
              </w:rPr>
              <w:t> 4.226382</w:t>
            </w:r>
          </w:p>
        </w:tc>
        <w:tc>
          <w:tcPr>
            <w:tcW w:w="1560" w:type="dxa"/>
            <w:vAlign w:val="bottom"/>
          </w:tcPr>
          <w:p w14:paraId="65740CFB" w14:textId="77777777" w:rsidR="009D755F" w:rsidRPr="00A50F32" w:rsidRDefault="009D755F" w:rsidP="00F647C8">
            <w:pPr>
              <w:autoSpaceDE w:val="0"/>
              <w:autoSpaceDN w:val="0"/>
              <w:adjustRightInd w:val="0"/>
              <w:jc w:val="center"/>
              <w:rPr>
                <w:color w:val="000000"/>
                <w:sz w:val="20"/>
              </w:rPr>
            </w:pPr>
            <w:r w:rsidRPr="00A50F32">
              <w:rPr>
                <w:color w:val="000000"/>
                <w:sz w:val="20"/>
              </w:rPr>
              <w:t> 1.021735</w:t>
            </w:r>
          </w:p>
        </w:tc>
        <w:tc>
          <w:tcPr>
            <w:tcW w:w="1842" w:type="dxa"/>
            <w:vAlign w:val="bottom"/>
          </w:tcPr>
          <w:p w14:paraId="3022E8D4" w14:textId="77777777" w:rsidR="009D755F" w:rsidRPr="00A50F32" w:rsidRDefault="009D755F" w:rsidP="00F647C8">
            <w:pPr>
              <w:autoSpaceDE w:val="0"/>
              <w:autoSpaceDN w:val="0"/>
              <w:adjustRightInd w:val="0"/>
              <w:jc w:val="center"/>
              <w:rPr>
                <w:color w:val="000000"/>
                <w:sz w:val="20"/>
              </w:rPr>
            </w:pPr>
            <w:r w:rsidRPr="00A50F32">
              <w:rPr>
                <w:color w:val="000000"/>
                <w:sz w:val="20"/>
              </w:rPr>
              <w:t> 7.415429</w:t>
            </w:r>
          </w:p>
        </w:tc>
      </w:tr>
      <w:tr w:rsidR="009D755F" w:rsidRPr="00A50F32" w14:paraId="344B9B2D" w14:textId="77777777" w:rsidTr="00EE1365">
        <w:trPr>
          <w:trHeight w:val="220"/>
        </w:trPr>
        <w:tc>
          <w:tcPr>
            <w:tcW w:w="2664" w:type="dxa"/>
            <w:vAlign w:val="bottom"/>
          </w:tcPr>
          <w:p w14:paraId="407C08C5" w14:textId="77777777" w:rsidR="009D755F" w:rsidRPr="00A50F32" w:rsidRDefault="009D755F" w:rsidP="00F647C8">
            <w:pPr>
              <w:autoSpaceDE w:val="0"/>
              <w:autoSpaceDN w:val="0"/>
              <w:adjustRightInd w:val="0"/>
              <w:rPr>
                <w:color w:val="000000"/>
                <w:sz w:val="20"/>
              </w:rPr>
            </w:pPr>
            <w:r w:rsidRPr="00A50F32">
              <w:rPr>
                <w:color w:val="000000"/>
                <w:sz w:val="20"/>
              </w:rPr>
              <w:t>Log-likelihood</w:t>
            </w:r>
          </w:p>
        </w:tc>
        <w:tc>
          <w:tcPr>
            <w:tcW w:w="1536" w:type="dxa"/>
            <w:vAlign w:val="bottom"/>
          </w:tcPr>
          <w:p w14:paraId="716935B8" w14:textId="77777777" w:rsidR="009D755F" w:rsidRPr="00A50F32" w:rsidRDefault="009D755F" w:rsidP="00F647C8">
            <w:pPr>
              <w:autoSpaceDE w:val="0"/>
              <w:autoSpaceDN w:val="0"/>
              <w:adjustRightInd w:val="0"/>
              <w:jc w:val="center"/>
              <w:rPr>
                <w:color w:val="000000"/>
                <w:sz w:val="20"/>
              </w:rPr>
            </w:pPr>
            <w:r w:rsidRPr="00A50F32">
              <w:rPr>
                <w:color w:val="000000"/>
                <w:sz w:val="20"/>
              </w:rPr>
              <w:t>-195.8821</w:t>
            </w:r>
          </w:p>
        </w:tc>
        <w:tc>
          <w:tcPr>
            <w:tcW w:w="1417" w:type="dxa"/>
            <w:vAlign w:val="bottom"/>
          </w:tcPr>
          <w:p w14:paraId="6C3ED0F9" w14:textId="77777777" w:rsidR="009D755F" w:rsidRPr="00A50F32" w:rsidRDefault="009D755F" w:rsidP="00F647C8">
            <w:pPr>
              <w:autoSpaceDE w:val="0"/>
              <w:autoSpaceDN w:val="0"/>
              <w:adjustRightInd w:val="0"/>
              <w:jc w:val="center"/>
              <w:rPr>
                <w:color w:val="000000"/>
                <w:sz w:val="20"/>
              </w:rPr>
            </w:pPr>
            <w:r w:rsidRPr="00A50F32">
              <w:rPr>
                <w:color w:val="000000"/>
                <w:sz w:val="20"/>
              </w:rPr>
              <w:t>-262.0568</w:t>
            </w:r>
          </w:p>
        </w:tc>
        <w:tc>
          <w:tcPr>
            <w:tcW w:w="1560" w:type="dxa"/>
            <w:vAlign w:val="bottom"/>
          </w:tcPr>
          <w:p w14:paraId="40E3C77C" w14:textId="77777777" w:rsidR="009D755F" w:rsidRPr="00A50F32" w:rsidRDefault="009D755F" w:rsidP="00F647C8">
            <w:pPr>
              <w:autoSpaceDE w:val="0"/>
              <w:autoSpaceDN w:val="0"/>
              <w:adjustRightInd w:val="0"/>
              <w:jc w:val="center"/>
              <w:rPr>
                <w:color w:val="000000"/>
                <w:sz w:val="20"/>
              </w:rPr>
            </w:pPr>
            <w:r w:rsidRPr="00A50F32">
              <w:rPr>
                <w:color w:val="000000"/>
                <w:sz w:val="20"/>
              </w:rPr>
              <w:t>-1658.098</w:t>
            </w:r>
          </w:p>
        </w:tc>
        <w:tc>
          <w:tcPr>
            <w:tcW w:w="1842" w:type="dxa"/>
            <w:vAlign w:val="bottom"/>
          </w:tcPr>
          <w:p w14:paraId="7D68B097" w14:textId="77777777" w:rsidR="009D755F" w:rsidRPr="00A50F32" w:rsidRDefault="009D755F" w:rsidP="00F647C8">
            <w:pPr>
              <w:autoSpaceDE w:val="0"/>
              <w:autoSpaceDN w:val="0"/>
              <w:adjustRightInd w:val="0"/>
              <w:jc w:val="center"/>
              <w:rPr>
                <w:color w:val="000000"/>
                <w:sz w:val="20"/>
              </w:rPr>
            </w:pPr>
            <w:r w:rsidRPr="00A50F32">
              <w:rPr>
                <w:color w:val="000000"/>
                <w:sz w:val="20"/>
              </w:rPr>
              <w:t>-520.9940</w:t>
            </w:r>
          </w:p>
        </w:tc>
      </w:tr>
      <w:tr w:rsidR="009D755F" w:rsidRPr="00A50F32" w14:paraId="76993D5F" w14:textId="77777777" w:rsidTr="00EE1365">
        <w:trPr>
          <w:trHeight w:val="220"/>
        </w:trPr>
        <w:tc>
          <w:tcPr>
            <w:tcW w:w="2664" w:type="dxa"/>
            <w:vAlign w:val="bottom"/>
          </w:tcPr>
          <w:p w14:paraId="538CCCD0" w14:textId="77777777" w:rsidR="009D755F" w:rsidRPr="00A50F32" w:rsidRDefault="009D755F" w:rsidP="00F647C8">
            <w:pPr>
              <w:autoSpaceDE w:val="0"/>
              <w:autoSpaceDN w:val="0"/>
              <w:adjustRightInd w:val="0"/>
              <w:rPr>
                <w:color w:val="000000"/>
                <w:sz w:val="20"/>
              </w:rPr>
            </w:pPr>
            <w:r w:rsidRPr="00A50F32">
              <w:rPr>
                <w:color w:val="000000"/>
                <w:sz w:val="20"/>
              </w:rPr>
              <w:t>Akaike AIC</w:t>
            </w:r>
          </w:p>
        </w:tc>
        <w:tc>
          <w:tcPr>
            <w:tcW w:w="1536" w:type="dxa"/>
            <w:vAlign w:val="bottom"/>
          </w:tcPr>
          <w:p w14:paraId="5B9A1BA1" w14:textId="77777777" w:rsidR="009D755F" w:rsidRPr="00A50F32" w:rsidRDefault="009D755F" w:rsidP="00F647C8">
            <w:pPr>
              <w:autoSpaceDE w:val="0"/>
              <w:autoSpaceDN w:val="0"/>
              <w:adjustRightInd w:val="0"/>
              <w:jc w:val="center"/>
              <w:rPr>
                <w:color w:val="000000"/>
                <w:sz w:val="20"/>
              </w:rPr>
            </w:pPr>
            <w:r w:rsidRPr="00A50F32">
              <w:rPr>
                <w:color w:val="000000"/>
                <w:sz w:val="20"/>
              </w:rPr>
              <w:t> 5.490189</w:t>
            </w:r>
          </w:p>
        </w:tc>
        <w:tc>
          <w:tcPr>
            <w:tcW w:w="1417" w:type="dxa"/>
            <w:vAlign w:val="bottom"/>
          </w:tcPr>
          <w:p w14:paraId="4222E80C" w14:textId="77777777" w:rsidR="009D755F" w:rsidRPr="00A50F32" w:rsidRDefault="009D755F" w:rsidP="00F647C8">
            <w:pPr>
              <w:autoSpaceDE w:val="0"/>
              <w:autoSpaceDN w:val="0"/>
              <w:adjustRightInd w:val="0"/>
              <w:jc w:val="center"/>
              <w:rPr>
                <w:color w:val="000000"/>
                <w:sz w:val="20"/>
              </w:rPr>
            </w:pPr>
            <w:r w:rsidRPr="00A50F32">
              <w:rPr>
                <w:color w:val="000000"/>
                <w:sz w:val="20"/>
              </w:rPr>
              <w:t> 7.254847</w:t>
            </w:r>
          </w:p>
        </w:tc>
        <w:tc>
          <w:tcPr>
            <w:tcW w:w="1560" w:type="dxa"/>
            <w:vAlign w:val="bottom"/>
          </w:tcPr>
          <w:p w14:paraId="502CF82A" w14:textId="77777777" w:rsidR="009D755F" w:rsidRPr="00A50F32" w:rsidRDefault="009D755F" w:rsidP="00F647C8">
            <w:pPr>
              <w:autoSpaceDE w:val="0"/>
              <w:autoSpaceDN w:val="0"/>
              <w:adjustRightInd w:val="0"/>
              <w:jc w:val="center"/>
              <w:rPr>
                <w:color w:val="000000"/>
                <w:sz w:val="20"/>
              </w:rPr>
            </w:pPr>
            <w:r w:rsidRPr="00A50F32">
              <w:rPr>
                <w:color w:val="000000"/>
                <w:sz w:val="20"/>
              </w:rPr>
              <w:t> 44.48260</w:t>
            </w:r>
          </w:p>
        </w:tc>
        <w:tc>
          <w:tcPr>
            <w:tcW w:w="1842" w:type="dxa"/>
            <w:vAlign w:val="bottom"/>
          </w:tcPr>
          <w:p w14:paraId="68393AFF" w14:textId="77777777" w:rsidR="009D755F" w:rsidRPr="00A50F32" w:rsidRDefault="009D755F" w:rsidP="00F647C8">
            <w:pPr>
              <w:autoSpaceDE w:val="0"/>
              <w:autoSpaceDN w:val="0"/>
              <w:adjustRightInd w:val="0"/>
              <w:jc w:val="center"/>
              <w:rPr>
                <w:color w:val="000000"/>
                <w:sz w:val="20"/>
              </w:rPr>
            </w:pPr>
            <w:r w:rsidRPr="00A50F32">
              <w:rPr>
                <w:color w:val="000000"/>
                <w:sz w:val="20"/>
              </w:rPr>
              <w:t> 14.15984</w:t>
            </w:r>
          </w:p>
        </w:tc>
      </w:tr>
      <w:tr w:rsidR="009D755F" w:rsidRPr="00A50F32" w14:paraId="7233252E" w14:textId="77777777" w:rsidTr="00EE1365">
        <w:trPr>
          <w:trHeight w:val="220"/>
        </w:trPr>
        <w:tc>
          <w:tcPr>
            <w:tcW w:w="2664" w:type="dxa"/>
            <w:vAlign w:val="bottom"/>
          </w:tcPr>
          <w:p w14:paraId="6FD46590" w14:textId="77777777" w:rsidR="009D755F" w:rsidRPr="00A50F32" w:rsidRDefault="009D755F" w:rsidP="00F647C8">
            <w:pPr>
              <w:autoSpaceDE w:val="0"/>
              <w:autoSpaceDN w:val="0"/>
              <w:adjustRightInd w:val="0"/>
              <w:rPr>
                <w:color w:val="000000"/>
                <w:sz w:val="20"/>
              </w:rPr>
            </w:pPr>
            <w:r w:rsidRPr="00A50F32">
              <w:rPr>
                <w:color w:val="000000"/>
                <w:sz w:val="20"/>
              </w:rPr>
              <w:t>Schwarz SC</w:t>
            </w:r>
          </w:p>
        </w:tc>
        <w:tc>
          <w:tcPr>
            <w:tcW w:w="1536" w:type="dxa"/>
            <w:vAlign w:val="bottom"/>
          </w:tcPr>
          <w:p w14:paraId="42492F7C" w14:textId="77777777" w:rsidR="009D755F" w:rsidRPr="00A50F32" w:rsidRDefault="009D755F" w:rsidP="00F647C8">
            <w:pPr>
              <w:autoSpaceDE w:val="0"/>
              <w:autoSpaceDN w:val="0"/>
              <w:adjustRightInd w:val="0"/>
              <w:jc w:val="center"/>
              <w:rPr>
                <w:color w:val="000000"/>
                <w:sz w:val="20"/>
              </w:rPr>
            </w:pPr>
            <w:r w:rsidRPr="00A50F32">
              <w:rPr>
                <w:color w:val="000000"/>
                <w:sz w:val="20"/>
              </w:rPr>
              <w:t> 5.799188</w:t>
            </w:r>
          </w:p>
        </w:tc>
        <w:tc>
          <w:tcPr>
            <w:tcW w:w="1417" w:type="dxa"/>
            <w:vAlign w:val="bottom"/>
          </w:tcPr>
          <w:p w14:paraId="0CAF90BA" w14:textId="77777777" w:rsidR="009D755F" w:rsidRPr="00A50F32" w:rsidRDefault="009D755F" w:rsidP="00F647C8">
            <w:pPr>
              <w:autoSpaceDE w:val="0"/>
              <w:autoSpaceDN w:val="0"/>
              <w:adjustRightInd w:val="0"/>
              <w:jc w:val="center"/>
              <w:rPr>
                <w:color w:val="000000"/>
                <w:sz w:val="20"/>
              </w:rPr>
            </w:pPr>
            <w:r w:rsidRPr="00A50F32">
              <w:rPr>
                <w:color w:val="000000"/>
                <w:sz w:val="20"/>
              </w:rPr>
              <w:t> 7.563846</w:t>
            </w:r>
          </w:p>
        </w:tc>
        <w:tc>
          <w:tcPr>
            <w:tcW w:w="1560" w:type="dxa"/>
            <w:vAlign w:val="bottom"/>
          </w:tcPr>
          <w:p w14:paraId="464FD988" w14:textId="77777777" w:rsidR="009D755F" w:rsidRPr="00A50F32" w:rsidRDefault="009D755F" w:rsidP="00F647C8">
            <w:pPr>
              <w:autoSpaceDE w:val="0"/>
              <w:autoSpaceDN w:val="0"/>
              <w:adjustRightInd w:val="0"/>
              <w:jc w:val="center"/>
              <w:rPr>
                <w:color w:val="000000"/>
                <w:sz w:val="20"/>
              </w:rPr>
            </w:pPr>
            <w:r w:rsidRPr="00A50F32">
              <w:rPr>
                <w:color w:val="000000"/>
                <w:sz w:val="20"/>
              </w:rPr>
              <w:t> 44.79160</w:t>
            </w:r>
          </w:p>
        </w:tc>
        <w:tc>
          <w:tcPr>
            <w:tcW w:w="1842" w:type="dxa"/>
            <w:vAlign w:val="bottom"/>
          </w:tcPr>
          <w:p w14:paraId="00590576" w14:textId="77777777" w:rsidR="009D755F" w:rsidRPr="00A50F32" w:rsidRDefault="009D755F" w:rsidP="00F647C8">
            <w:pPr>
              <w:autoSpaceDE w:val="0"/>
              <w:autoSpaceDN w:val="0"/>
              <w:adjustRightInd w:val="0"/>
              <w:jc w:val="center"/>
              <w:rPr>
                <w:color w:val="000000"/>
                <w:sz w:val="20"/>
              </w:rPr>
            </w:pPr>
            <w:r w:rsidRPr="00A50F32">
              <w:rPr>
                <w:color w:val="000000"/>
                <w:sz w:val="20"/>
              </w:rPr>
              <w:t> 14.46884</w:t>
            </w:r>
          </w:p>
        </w:tc>
      </w:tr>
      <w:tr w:rsidR="009D755F" w:rsidRPr="00A50F32" w14:paraId="5A330CDD" w14:textId="77777777" w:rsidTr="00EE1365">
        <w:trPr>
          <w:trHeight w:val="220"/>
        </w:trPr>
        <w:tc>
          <w:tcPr>
            <w:tcW w:w="2664" w:type="dxa"/>
            <w:vAlign w:val="bottom"/>
          </w:tcPr>
          <w:p w14:paraId="2F264116" w14:textId="77777777" w:rsidR="009D755F" w:rsidRPr="00A50F32" w:rsidRDefault="009D755F" w:rsidP="00F647C8">
            <w:pPr>
              <w:autoSpaceDE w:val="0"/>
              <w:autoSpaceDN w:val="0"/>
              <w:adjustRightInd w:val="0"/>
              <w:rPr>
                <w:color w:val="000000"/>
                <w:sz w:val="20"/>
              </w:rPr>
            </w:pPr>
            <w:r w:rsidRPr="00A50F32">
              <w:rPr>
                <w:color w:val="000000"/>
                <w:sz w:val="20"/>
              </w:rPr>
              <w:t>Mean dependent</w:t>
            </w:r>
          </w:p>
        </w:tc>
        <w:tc>
          <w:tcPr>
            <w:tcW w:w="1536" w:type="dxa"/>
            <w:vAlign w:val="bottom"/>
          </w:tcPr>
          <w:p w14:paraId="699BB617" w14:textId="77777777" w:rsidR="009D755F" w:rsidRPr="00A50F32" w:rsidRDefault="009D755F" w:rsidP="00F647C8">
            <w:pPr>
              <w:autoSpaceDE w:val="0"/>
              <w:autoSpaceDN w:val="0"/>
              <w:adjustRightInd w:val="0"/>
              <w:jc w:val="center"/>
              <w:rPr>
                <w:color w:val="000000"/>
                <w:sz w:val="20"/>
              </w:rPr>
            </w:pPr>
            <w:r w:rsidRPr="00A50F32">
              <w:rPr>
                <w:color w:val="000000"/>
                <w:sz w:val="20"/>
              </w:rPr>
              <w:t>-0.097333</w:t>
            </w:r>
          </w:p>
        </w:tc>
        <w:tc>
          <w:tcPr>
            <w:tcW w:w="1417" w:type="dxa"/>
            <w:vAlign w:val="bottom"/>
          </w:tcPr>
          <w:p w14:paraId="15A58D0A" w14:textId="77777777" w:rsidR="009D755F" w:rsidRPr="00A50F32" w:rsidRDefault="009D755F" w:rsidP="00F647C8">
            <w:pPr>
              <w:autoSpaceDE w:val="0"/>
              <w:autoSpaceDN w:val="0"/>
              <w:adjustRightInd w:val="0"/>
              <w:jc w:val="center"/>
              <w:rPr>
                <w:color w:val="000000"/>
                <w:sz w:val="20"/>
              </w:rPr>
            </w:pPr>
            <w:r w:rsidRPr="00A50F32">
              <w:rPr>
                <w:color w:val="000000"/>
                <w:sz w:val="20"/>
              </w:rPr>
              <w:t> 5.559867</w:t>
            </w:r>
          </w:p>
        </w:tc>
        <w:tc>
          <w:tcPr>
            <w:tcW w:w="1560" w:type="dxa"/>
            <w:vAlign w:val="bottom"/>
          </w:tcPr>
          <w:p w14:paraId="0B2075B4" w14:textId="77777777" w:rsidR="009D755F" w:rsidRPr="00A50F32" w:rsidRDefault="009D755F" w:rsidP="00F647C8">
            <w:pPr>
              <w:autoSpaceDE w:val="0"/>
              <w:autoSpaceDN w:val="0"/>
              <w:adjustRightInd w:val="0"/>
              <w:jc w:val="center"/>
              <w:rPr>
                <w:color w:val="000000"/>
                <w:sz w:val="20"/>
              </w:rPr>
            </w:pPr>
            <w:r w:rsidRPr="00A50F32">
              <w:rPr>
                <w:color w:val="000000"/>
                <w:sz w:val="20"/>
              </w:rPr>
              <w:t> 1.72E+08</w:t>
            </w:r>
          </w:p>
        </w:tc>
        <w:tc>
          <w:tcPr>
            <w:tcW w:w="1842" w:type="dxa"/>
            <w:vAlign w:val="bottom"/>
          </w:tcPr>
          <w:p w14:paraId="77502F49" w14:textId="77777777" w:rsidR="009D755F" w:rsidRPr="00A50F32" w:rsidRDefault="009D755F" w:rsidP="00F647C8">
            <w:pPr>
              <w:autoSpaceDE w:val="0"/>
              <w:autoSpaceDN w:val="0"/>
              <w:adjustRightInd w:val="0"/>
              <w:jc w:val="center"/>
              <w:rPr>
                <w:color w:val="000000"/>
                <w:sz w:val="20"/>
              </w:rPr>
            </w:pPr>
            <w:r w:rsidRPr="00A50F32">
              <w:rPr>
                <w:color w:val="000000"/>
                <w:sz w:val="20"/>
              </w:rPr>
              <w:t> 39.37333</w:t>
            </w:r>
          </w:p>
        </w:tc>
      </w:tr>
      <w:tr w:rsidR="009D755F" w:rsidRPr="00A50F32" w14:paraId="393B8B10" w14:textId="77777777" w:rsidTr="00EE1365">
        <w:trPr>
          <w:trHeight w:val="220"/>
        </w:trPr>
        <w:tc>
          <w:tcPr>
            <w:tcW w:w="2664" w:type="dxa"/>
            <w:vAlign w:val="bottom"/>
          </w:tcPr>
          <w:p w14:paraId="7381522C" w14:textId="77777777" w:rsidR="009D755F" w:rsidRPr="00A50F32" w:rsidRDefault="009D755F" w:rsidP="00F647C8">
            <w:pPr>
              <w:autoSpaceDE w:val="0"/>
              <w:autoSpaceDN w:val="0"/>
              <w:adjustRightInd w:val="0"/>
              <w:rPr>
                <w:color w:val="000000"/>
                <w:sz w:val="20"/>
              </w:rPr>
            </w:pPr>
            <w:r w:rsidRPr="00A50F32">
              <w:rPr>
                <w:color w:val="000000"/>
                <w:sz w:val="20"/>
              </w:rPr>
              <w:t>S.D. dependent</w:t>
            </w:r>
          </w:p>
        </w:tc>
        <w:tc>
          <w:tcPr>
            <w:tcW w:w="1536" w:type="dxa"/>
            <w:vAlign w:val="bottom"/>
          </w:tcPr>
          <w:p w14:paraId="433A64A9" w14:textId="77777777" w:rsidR="009D755F" w:rsidRPr="00A50F32" w:rsidRDefault="009D755F" w:rsidP="00F647C8">
            <w:pPr>
              <w:autoSpaceDE w:val="0"/>
              <w:autoSpaceDN w:val="0"/>
              <w:adjustRightInd w:val="0"/>
              <w:jc w:val="center"/>
              <w:rPr>
                <w:color w:val="000000"/>
                <w:sz w:val="20"/>
              </w:rPr>
            </w:pPr>
            <w:r w:rsidRPr="00A50F32">
              <w:rPr>
                <w:color w:val="000000"/>
                <w:sz w:val="20"/>
              </w:rPr>
              <w:t> 4.943100</w:t>
            </w:r>
          </w:p>
        </w:tc>
        <w:tc>
          <w:tcPr>
            <w:tcW w:w="1417" w:type="dxa"/>
            <w:vAlign w:val="bottom"/>
          </w:tcPr>
          <w:p w14:paraId="323478D8" w14:textId="77777777" w:rsidR="009D755F" w:rsidRPr="00A50F32" w:rsidRDefault="009D755F" w:rsidP="00F647C8">
            <w:pPr>
              <w:autoSpaceDE w:val="0"/>
              <w:autoSpaceDN w:val="0"/>
              <w:adjustRightInd w:val="0"/>
              <w:jc w:val="center"/>
              <w:rPr>
                <w:color w:val="000000"/>
                <w:sz w:val="20"/>
              </w:rPr>
            </w:pPr>
            <w:r w:rsidRPr="00A50F32">
              <w:rPr>
                <w:color w:val="000000"/>
                <w:sz w:val="20"/>
              </w:rPr>
              <w:t> 10.09677</w:t>
            </w:r>
          </w:p>
        </w:tc>
        <w:tc>
          <w:tcPr>
            <w:tcW w:w="1560" w:type="dxa"/>
            <w:vAlign w:val="bottom"/>
          </w:tcPr>
          <w:p w14:paraId="220CBAF5" w14:textId="77777777" w:rsidR="009D755F" w:rsidRPr="00A50F32" w:rsidRDefault="009D755F" w:rsidP="00F647C8">
            <w:pPr>
              <w:autoSpaceDE w:val="0"/>
              <w:autoSpaceDN w:val="0"/>
              <w:adjustRightInd w:val="0"/>
              <w:jc w:val="center"/>
              <w:rPr>
                <w:color w:val="000000"/>
                <w:sz w:val="20"/>
              </w:rPr>
            </w:pPr>
            <w:r w:rsidRPr="00A50F32">
              <w:rPr>
                <w:color w:val="000000"/>
                <w:sz w:val="20"/>
              </w:rPr>
              <w:t> 1.04E+09</w:t>
            </w:r>
          </w:p>
        </w:tc>
        <w:tc>
          <w:tcPr>
            <w:tcW w:w="1842" w:type="dxa"/>
            <w:vAlign w:val="bottom"/>
          </w:tcPr>
          <w:p w14:paraId="5D6CFD3A" w14:textId="77777777" w:rsidR="009D755F" w:rsidRPr="00A50F32" w:rsidRDefault="009D755F" w:rsidP="00F647C8">
            <w:pPr>
              <w:autoSpaceDE w:val="0"/>
              <w:autoSpaceDN w:val="0"/>
              <w:adjustRightInd w:val="0"/>
              <w:jc w:val="center"/>
              <w:rPr>
                <w:color w:val="000000"/>
                <w:sz w:val="20"/>
              </w:rPr>
            </w:pPr>
            <w:r w:rsidRPr="00A50F32">
              <w:rPr>
                <w:color w:val="000000"/>
                <w:sz w:val="20"/>
              </w:rPr>
              <w:t> 360.5307</w:t>
            </w:r>
          </w:p>
        </w:tc>
      </w:tr>
      <w:tr w:rsidR="009D755F" w:rsidRPr="00A50F32" w14:paraId="7EAD2C75" w14:textId="77777777" w:rsidTr="00EE1365">
        <w:trPr>
          <w:trHeight w:val="220"/>
        </w:trPr>
        <w:tc>
          <w:tcPr>
            <w:tcW w:w="4200" w:type="dxa"/>
            <w:gridSpan w:val="2"/>
            <w:vAlign w:val="bottom"/>
          </w:tcPr>
          <w:p w14:paraId="0BC93555" w14:textId="77777777" w:rsidR="009D755F" w:rsidRPr="00A50F32" w:rsidRDefault="009D755F" w:rsidP="00F647C8">
            <w:pPr>
              <w:autoSpaceDE w:val="0"/>
              <w:autoSpaceDN w:val="0"/>
              <w:adjustRightInd w:val="0"/>
              <w:rPr>
                <w:color w:val="000000"/>
                <w:sz w:val="20"/>
              </w:rPr>
            </w:pPr>
            <w:r w:rsidRPr="00A50F32">
              <w:rPr>
                <w:color w:val="000000"/>
                <w:sz w:val="20"/>
              </w:rPr>
              <w:t>Determinant resid covariance (of adj.)</w:t>
            </w:r>
          </w:p>
        </w:tc>
        <w:tc>
          <w:tcPr>
            <w:tcW w:w="1417" w:type="dxa"/>
            <w:vAlign w:val="bottom"/>
          </w:tcPr>
          <w:p w14:paraId="410FC3DD" w14:textId="77777777" w:rsidR="009D755F" w:rsidRPr="00A50F32" w:rsidRDefault="009D755F" w:rsidP="00F647C8">
            <w:pPr>
              <w:autoSpaceDE w:val="0"/>
              <w:autoSpaceDN w:val="0"/>
              <w:adjustRightInd w:val="0"/>
              <w:jc w:val="center"/>
              <w:rPr>
                <w:color w:val="000000"/>
                <w:sz w:val="20"/>
              </w:rPr>
            </w:pPr>
            <w:r w:rsidRPr="00A50F32">
              <w:rPr>
                <w:color w:val="000000"/>
                <w:sz w:val="20"/>
              </w:rPr>
              <w:t> 5.25E+25</w:t>
            </w:r>
          </w:p>
        </w:tc>
        <w:tc>
          <w:tcPr>
            <w:tcW w:w="1560" w:type="dxa"/>
            <w:vAlign w:val="bottom"/>
          </w:tcPr>
          <w:p w14:paraId="14D9C1CA" w14:textId="77777777" w:rsidR="009D755F" w:rsidRPr="00A50F32" w:rsidRDefault="009D755F" w:rsidP="00F647C8">
            <w:pPr>
              <w:autoSpaceDE w:val="0"/>
              <w:autoSpaceDN w:val="0"/>
              <w:adjustRightInd w:val="0"/>
              <w:jc w:val="center"/>
              <w:rPr>
                <w:color w:val="000000"/>
                <w:sz w:val="20"/>
              </w:rPr>
            </w:pPr>
          </w:p>
        </w:tc>
        <w:tc>
          <w:tcPr>
            <w:tcW w:w="1842" w:type="dxa"/>
            <w:vAlign w:val="bottom"/>
          </w:tcPr>
          <w:p w14:paraId="00EC2752" w14:textId="77777777" w:rsidR="009D755F" w:rsidRPr="00A50F32" w:rsidRDefault="009D755F" w:rsidP="00F647C8">
            <w:pPr>
              <w:autoSpaceDE w:val="0"/>
              <w:autoSpaceDN w:val="0"/>
              <w:adjustRightInd w:val="0"/>
              <w:jc w:val="center"/>
              <w:rPr>
                <w:color w:val="000000"/>
                <w:sz w:val="20"/>
              </w:rPr>
            </w:pPr>
          </w:p>
        </w:tc>
      </w:tr>
      <w:tr w:rsidR="009D755F" w:rsidRPr="00A50F32" w14:paraId="41BB0DF2" w14:textId="77777777" w:rsidTr="00EE1365">
        <w:trPr>
          <w:trHeight w:val="220"/>
        </w:trPr>
        <w:tc>
          <w:tcPr>
            <w:tcW w:w="4200" w:type="dxa"/>
            <w:gridSpan w:val="2"/>
            <w:vAlign w:val="bottom"/>
          </w:tcPr>
          <w:p w14:paraId="548F8322" w14:textId="77777777" w:rsidR="009D755F" w:rsidRPr="00A50F32" w:rsidRDefault="009D755F" w:rsidP="00F647C8">
            <w:pPr>
              <w:autoSpaceDE w:val="0"/>
              <w:autoSpaceDN w:val="0"/>
              <w:adjustRightInd w:val="0"/>
              <w:rPr>
                <w:color w:val="000000"/>
                <w:sz w:val="20"/>
              </w:rPr>
            </w:pPr>
            <w:r w:rsidRPr="00A50F32">
              <w:rPr>
                <w:color w:val="000000"/>
                <w:sz w:val="20"/>
              </w:rPr>
              <w:t>Determinant resid covariance</w:t>
            </w:r>
          </w:p>
        </w:tc>
        <w:tc>
          <w:tcPr>
            <w:tcW w:w="1417" w:type="dxa"/>
            <w:vAlign w:val="bottom"/>
          </w:tcPr>
          <w:p w14:paraId="20A693AF" w14:textId="77777777" w:rsidR="009D755F" w:rsidRPr="00A50F32" w:rsidRDefault="009D755F" w:rsidP="00F647C8">
            <w:pPr>
              <w:autoSpaceDE w:val="0"/>
              <w:autoSpaceDN w:val="0"/>
              <w:adjustRightInd w:val="0"/>
              <w:jc w:val="center"/>
              <w:rPr>
                <w:color w:val="000000"/>
                <w:sz w:val="20"/>
              </w:rPr>
            </w:pPr>
            <w:r w:rsidRPr="00A50F32">
              <w:rPr>
                <w:color w:val="000000"/>
                <w:sz w:val="20"/>
              </w:rPr>
              <w:t> 2.96E+25</w:t>
            </w:r>
          </w:p>
        </w:tc>
        <w:tc>
          <w:tcPr>
            <w:tcW w:w="1560" w:type="dxa"/>
            <w:vAlign w:val="bottom"/>
          </w:tcPr>
          <w:p w14:paraId="317C5C5E" w14:textId="77777777" w:rsidR="009D755F" w:rsidRPr="00A50F32" w:rsidRDefault="009D755F" w:rsidP="00F647C8">
            <w:pPr>
              <w:autoSpaceDE w:val="0"/>
              <w:autoSpaceDN w:val="0"/>
              <w:adjustRightInd w:val="0"/>
              <w:jc w:val="center"/>
              <w:rPr>
                <w:color w:val="000000"/>
                <w:sz w:val="20"/>
              </w:rPr>
            </w:pPr>
          </w:p>
        </w:tc>
        <w:tc>
          <w:tcPr>
            <w:tcW w:w="1842" w:type="dxa"/>
            <w:vAlign w:val="bottom"/>
          </w:tcPr>
          <w:p w14:paraId="0AF05A0B" w14:textId="77777777" w:rsidR="009D755F" w:rsidRPr="00A50F32" w:rsidRDefault="009D755F" w:rsidP="00F647C8">
            <w:pPr>
              <w:autoSpaceDE w:val="0"/>
              <w:autoSpaceDN w:val="0"/>
              <w:adjustRightInd w:val="0"/>
              <w:jc w:val="center"/>
              <w:rPr>
                <w:color w:val="000000"/>
                <w:sz w:val="20"/>
              </w:rPr>
            </w:pPr>
          </w:p>
        </w:tc>
      </w:tr>
      <w:tr w:rsidR="009D755F" w:rsidRPr="00A50F32" w14:paraId="6E5F0FEF" w14:textId="77777777" w:rsidTr="00EE1365">
        <w:trPr>
          <w:trHeight w:val="220"/>
        </w:trPr>
        <w:tc>
          <w:tcPr>
            <w:tcW w:w="4200" w:type="dxa"/>
            <w:gridSpan w:val="2"/>
            <w:vAlign w:val="bottom"/>
          </w:tcPr>
          <w:p w14:paraId="4012CE5D" w14:textId="77777777" w:rsidR="009D755F" w:rsidRPr="00A50F32" w:rsidRDefault="009D755F" w:rsidP="00F647C8">
            <w:pPr>
              <w:autoSpaceDE w:val="0"/>
              <w:autoSpaceDN w:val="0"/>
              <w:adjustRightInd w:val="0"/>
              <w:rPr>
                <w:color w:val="000000"/>
                <w:sz w:val="20"/>
              </w:rPr>
            </w:pPr>
            <w:r w:rsidRPr="00A50F32">
              <w:rPr>
                <w:color w:val="000000"/>
                <w:sz w:val="20"/>
              </w:rPr>
              <w:t>Log-likelihood</w:t>
            </w:r>
          </w:p>
        </w:tc>
        <w:tc>
          <w:tcPr>
            <w:tcW w:w="1417" w:type="dxa"/>
            <w:vAlign w:val="bottom"/>
          </w:tcPr>
          <w:p w14:paraId="2C838A45" w14:textId="77777777" w:rsidR="009D755F" w:rsidRPr="00A50F32" w:rsidRDefault="009D755F" w:rsidP="00F647C8">
            <w:pPr>
              <w:autoSpaceDE w:val="0"/>
              <w:autoSpaceDN w:val="0"/>
              <w:adjustRightInd w:val="0"/>
              <w:jc w:val="center"/>
              <w:rPr>
                <w:color w:val="000000"/>
                <w:sz w:val="20"/>
              </w:rPr>
            </w:pPr>
            <w:r w:rsidRPr="00A50F32">
              <w:rPr>
                <w:color w:val="000000"/>
                <w:sz w:val="20"/>
              </w:rPr>
              <w:t>-2625.056</w:t>
            </w:r>
          </w:p>
        </w:tc>
        <w:tc>
          <w:tcPr>
            <w:tcW w:w="1560" w:type="dxa"/>
            <w:vAlign w:val="bottom"/>
          </w:tcPr>
          <w:p w14:paraId="4D5C53A7" w14:textId="77777777" w:rsidR="009D755F" w:rsidRPr="00A50F32" w:rsidRDefault="009D755F" w:rsidP="00F647C8">
            <w:pPr>
              <w:autoSpaceDE w:val="0"/>
              <w:autoSpaceDN w:val="0"/>
              <w:adjustRightInd w:val="0"/>
              <w:jc w:val="center"/>
              <w:rPr>
                <w:color w:val="000000"/>
                <w:sz w:val="20"/>
              </w:rPr>
            </w:pPr>
          </w:p>
        </w:tc>
        <w:tc>
          <w:tcPr>
            <w:tcW w:w="1842" w:type="dxa"/>
            <w:vAlign w:val="bottom"/>
          </w:tcPr>
          <w:p w14:paraId="6A021EA8" w14:textId="77777777" w:rsidR="009D755F" w:rsidRPr="00A50F32" w:rsidRDefault="009D755F" w:rsidP="00F647C8">
            <w:pPr>
              <w:autoSpaceDE w:val="0"/>
              <w:autoSpaceDN w:val="0"/>
              <w:adjustRightInd w:val="0"/>
              <w:jc w:val="center"/>
              <w:rPr>
                <w:color w:val="000000"/>
                <w:sz w:val="20"/>
              </w:rPr>
            </w:pPr>
          </w:p>
        </w:tc>
      </w:tr>
      <w:tr w:rsidR="009D755F" w:rsidRPr="00A50F32" w14:paraId="414DF413" w14:textId="77777777" w:rsidTr="00EE1365">
        <w:trPr>
          <w:trHeight w:val="220"/>
        </w:trPr>
        <w:tc>
          <w:tcPr>
            <w:tcW w:w="4200" w:type="dxa"/>
            <w:gridSpan w:val="2"/>
            <w:vAlign w:val="bottom"/>
          </w:tcPr>
          <w:p w14:paraId="4FF33C29" w14:textId="77777777" w:rsidR="009D755F" w:rsidRPr="00A50F32" w:rsidRDefault="009D755F" w:rsidP="00F647C8">
            <w:pPr>
              <w:autoSpaceDE w:val="0"/>
              <w:autoSpaceDN w:val="0"/>
              <w:adjustRightInd w:val="0"/>
              <w:rPr>
                <w:color w:val="000000"/>
                <w:sz w:val="20"/>
              </w:rPr>
            </w:pPr>
            <w:r w:rsidRPr="00A50F32">
              <w:rPr>
                <w:color w:val="000000"/>
                <w:sz w:val="20"/>
              </w:rPr>
              <w:t>Akaike information criterion</w:t>
            </w:r>
          </w:p>
        </w:tc>
        <w:tc>
          <w:tcPr>
            <w:tcW w:w="1417" w:type="dxa"/>
            <w:vAlign w:val="bottom"/>
          </w:tcPr>
          <w:p w14:paraId="4157BFF2" w14:textId="77777777" w:rsidR="009D755F" w:rsidRPr="00A50F32" w:rsidRDefault="009D755F" w:rsidP="00F647C8">
            <w:pPr>
              <w:autoSpaceDE w:val="0"/>
              <w:autoSpaceDN w:val="0"/>
              <w:adjustRightInd w:val="0"/>
              <w:jc w:val="center"/>
              <w:rPr>
                <w:color w:val="000000"/>
                <w:sz w:val="20"/>
              </w:rPr>
            </w:pPr>
            <w:r w:rsidRPr="00A50F32">
              <w:rPr>
                <w:color w:val="000000"/>
                <w:sz w:val="20"/>
              </w:rPr>
              <w:t> 71.17482</w:t>
            </w:r>
          </w:p>
        </w:tc>
        <w:tc>
          <w:tcPr>
            <w:tcW w:w="1560" w:type="dxa"/>
            <w:vAlign w:val="bottom"/>
          </w:tcPr>
          <w:p w14:paraId="5E6B7297" w14:textId="77777777" w:rsidR="009D755F" w:rsidRPr="00A50F32" w:rsidRDefault="009D755F" w:rsidP="00F647C8">
            <w:pPr>
              <w:autoSpaceDE w:val="0"/>
              <w:autoSpaceDN w:val="0"/>
              <w:adjustRightInd w:val="0"/>
              <w:jc w:val="center"/>
              <w:rPr>
                <w:color w:val="000000"/>
                <w:sz w:val="20"/>
              </w:rPr>
            </w:pPr>
          </w:p>
        </w:tc>
        <w:tc>
          <w:tcPr>
            <w:tcW w:w="1842" w:type="dxa"/>
            <w:vAlign w:val="bottom"/>
          </w:tcPr>
          <w:p w14:paraId="5B17F63A" w14:textId="77777777" w:rsidR="009D755F" w:rsidRPr="00A50F32" w:rsidRDefault="009D755F" w:rsidP="00F647C8">
            <w:pPr>
              <w:autoSpaceDE w:val="0"/>
              <w:autoSpaceDN w:val="0"/>
              <w:adjustRightInd w:val="0"/>
              <w:jc w:val="center"/>
              <w:rPr>
                <w:color w:val="000000"/>
                <w:sz w:val="20"/>
              </w:rPr>
            </w:pPr>
          </w:p>
        </w:tc>
      </w:tr>
      <w:tr w:rsidR="009D755F" w:rsidRPr="00A50F32" w14:paraId="246AA1C6" w14:textId="77777777" w:rsidTr="00EE1365">
        <w:trPr>
          <w:trHeight w:val="220"/>
        </w:trPr>
        <w:tc>
          <w:tcPr>
            <w:tcW w:w="4200" w:type="dxa"/>
            <w:gridSpan w:val="2"/>
            <w:vAlign w:val="bottom"/>
          </w:tcPr>
          <w:p w14:paraId="6699510B" w14:textId="77777777" w:rsidR="009D755F" w:rsidRPr="00A50F32" w:rsidRDefault="009D755F" w:rsidP="00F647C8">
            <w:pPr>
              <w:autoSpaceDE w:val="0"/>
              <w:autoSpaceDN w:val="0"/>
              <w:adjustRightInd w:val="0"/>
              <w:rPr>
                <w:color w:val="000000"/>
                <w:sz w:val="20"/>
              </w:rPr>
            </w:pPr>
            <w:r w:rsidRPr="00A50F32">
              <w:rPr>
                <w:color w:val="000000"/>
                <w:sz w:val="20"/>
              </w:rPr>
              <w:t>Schwarz criterion</w:t>
            </w:r>
          </w:p>
        </w:tc>
        <w:tc>
          <w:tcPr>
            <w:tcW w:w="1417" w:type="dxa"/>
            <w:vAlign w:val="bottom"/>
          </w:tcPr>
          <w:p w14:paraId="22C71287" w14:textId="77777777" w:rsidR="009D755F" w:rsidRPr="00A50F32" w:rsidRDefault="009D755F" w:rsidP="00F647C8">
            <w:pPr>
              <w:autoSpaceDE w:val="0"/>
              <w:autoSpaceDN w:val="0"/>
              <w:adjustRightInd w:val="0"/>
              <w:jc w:val="center"/>
              <w:rPr>
                <w:color w:val="000000"/>
                <w:sz w:val="20"/>
              </w:rPr>
            </w:pPr>
            <w:r w:rsidRPr="00A50F32">
              <w:rPr>
                <w:color w:val="000000"/>
                <w:sz w:val="20"/>
              </w:rPr>
              <w:t> 72.53441</w:t>
            </w:r>
          </w:p>
        </w:tc>
        <w:tc>
          <w:tcPr>
            <w:tcW w:w="1560" w:type="dxa"/>
            <w:vAlign w:val="bottom"/>
          </w:tcPr>
          <w:p w14:paraId="4A1E7E5D" w14:textId="77777777" w:rsidR="009D755F" w:rsidRPr="00A50F32" w:rsidRDefault="009D755F" w:rsidP="00F647C8">
            <w:pPr>
              <w:autoSpaceDE w:val="0"/>
              <w:autoSpaceDN w:val="0"/>
              <w:adjustRightInd w:val="0"/>
              <w:jc w:val="center"/>
              <w:rPr>
                <w:color w:val="000000"/>
                <w:sz w:val="20"/>
              </w:rPr>
            </w:pPr>
          </w:p>
        </w:tc>
        <w:tc>
          <w:tcPr>
            <w:tcW w:w="1842" w:type="dxa"/>
            <w:vAlign w:val="bottom"/>
          </w:tcPr>
          <w:p w14:paraId="0EE28DE7" w14:textId="77777777" w:rsidR="009D755F" w:rsidRPr="00A50F32" w:rsidRDefault="009D755F" w:rsidP="00F647C8">
            <w:pPr>
              <w:autoSpaceDE w:val="0"/>
              <w:autoSpaceDN w:val="0"/>
              <w:adjustRightInd w:val="0"/>
              <w:jc w:val="center"/>
              <w:rPr>
                <w:color w:val="000000"/>
                <w:sz w:val="20"/>
              </w:rPr>
            </w:pPr>
          </w:p>
        </w:tc>
      </w:tr>
      <w:tr w:rsidR="009D755F" w:rsidRPr="00A50F32" w14:paraId="43E7CB51" w14:textId="77777777" w:rsidTr="00EE1365">
        <w:trPr>
          <w:trHeight w:val="220"/>
        </w:trPr>
        <w:tc>
          <w:tcPr>
            <w:tcW w:w="4200" w:type="dxa"/>
            <w:gridSpan w:val="2"/>
            <w:vAlign w:val="bottom"/>
          </w:tcPr>
          <w:p w14:paraId="29CCEE04" w14:textId="77777777" w:rsidR="009D755F" w:rsidRPr="00A50F32" w:rsidRDefault="009D755F" w:rsidP="00F647C8">
            <w:pPr>
              <w:autoSpaceDE w:val="0"/>
              <w:autoSpaceDN w:val="0"/>
              <w:adjustRightInd w:val="0"/>
              <w:rPr>
                <w:color w:val="000000"/>
                <w:sz w:val="20"/>
              </w:rPr>
            </w:pPr>
            <w:r w:rsidRPr="00A50F32">
              <w:rPr>
                <w:color w:val="000000"/>
                <w:sz w:val="20"/>
              </w:rPr>
              <w:t>Number of coefficients</w:t>
            </w:r>
          </w:p>
        </w:tc>
        <w:tc>
          <w:tcPr>
            <w:tcW w:w="1417" w:type="dxa"/>
            <w:vAlign w:val="bottom"/>
          </w:tcPr>
          <w:p w14:paraId="35D3D510" w14:textId="77777777" w:rsidR="009D755F" w:rsidRPr="00A50F32" w:rsidRDefault="009D755F" w:rsidP="00F647C8">
            <w:pPr>
              <w:autoSpaceDE w:val="0"/>
              <w:autoSpaceDN w:val="0"/>
              <w:adjustRightInd w:val="0"/>
              <w:jc w:val="center"/>
              <w:rPr>
                <w:color w:val="000000"/>
                <w:sz w:val="20"/>
              </w:rPr>
            </w:pPr>
            <w:r w:rsidRPr="00A50F32">
              <w:rPr>
                <w:color w:val="000000"/>
                <w:sz w:val="20"/>
              </w:rPr>
              <w:t> 44</w:t>
            </w:r>
          </w:p>
        </w:tc>
        <w:tc>
          <w:tcPr>
            <w:tcW w:w="1560" w:type="dxa"/>
            <w:vAlign w:val="bottom"/>
          </w:tcPr>
          <w:p w14:paraId="1AA196D7" w14:textId="77777777" w:rsidR="009D755F" w:rsidRPr="00A50F32" w:rsidRDefault="009D755F" w:rsidP="00F647C8">
            <w:pPr>
              <w:autoSpaceDE w:val="0"/>
              <w:autoSpaceDN w:val="0"/>
              <w:adjustRightInd w:val="0"/>
              <w:jc w:val="center"/>
              <w:rPr>
                <w:color w:val="000000"/>
                <w:sz w:val="20"/>
              </w:rPr>
            </w:pPr>
          </w:p>
        </w:tc>
        <w:tc>
          <w:tcPr>
            <w:tcW w:w="1842" w:type="dxa"/>
            <w:vAlign w:val="bottom"/>
          </w:tcPr>
          <w:p w14:paraId="44246948" w14:textId="77777777" w:rsidR="009D755F" w:rsidRPr="00A50F32" w:rsidRDefault="009D755F" w:rsidP="00F647C8">
            <w:pPr>
              <w:autoSpaceDE w:val="0"/>
              <w:autoSpaceDN w:val="0"/>
              <w:adjustRightInd w:val="0"/>
              <w:jc w:val="center"/>
              <w:rPr>
                <w:color w:val="000000"/>
                <w:sz w:val="20"/>
              </w:rPr>
            </w:pPr>
          </w:p>
        </w:tc>
      </w:tr>
    </w:tbl>
    <w:p w14:paraId="54C765E4" w14:textId="77777777" w:rsidR="009D755F" w:rsidRPr="00444A2E" w:rsidRDefault="009D755F" w:rsidP="00EB3132">
      <w:pPr>
        <w:spacing w:before="120"/>
        <w:ind w:firstLine="284"/>
        <w:jc w:val="both"/>
        <w:rPr>
          <w:rStyle w:val="Emphasis"/>
        </w:rPr>
      </w:pPr>
      <w:r w:rsidRPr="00444A2E">
        <w:rPr>
          <w:rStyle w:val="Emphasis"/>
        </w:rPr>
        <w:t>Meanwhile, in the short term, in this research, economic growth at lag two and mobile phone ownership at lag one can influence the economic growth of ASEAN countries. At the same time, the cost of using intellectual property and the number of patents do not affect the economic growth of ASEAN countries.</w:t>
      </w:r>
    </w:p>
    <w:p w14:paraId="009CBB71" w14:textId="77777777" w:rsidR="009D755F" w:rsidRPr="00444A2E" w:rsidRDefault="009D755F" w:rsidP="009D755F">
      <w:pPr>
        <w:ind w:firstLine="284"/>
        <w:jc w:val="both"/>
        <w:rPr>
          <w:rStyle w:val="Emphasis"/>
        </w:rPr>
      </w:pPr>
      <w:r w:rsidRPr="00444A2E">
        <w:rPr>
          <w:rStyle w:val="Emphasis"/>
        </w:rPr>
        <w:t>Mobile phone ownership in ASEAN in the short term is influenced by economic growth in Lag 2; the cost of using intellectual property influences Lag 1, while the number of patents influences Lags 1 and 2</w:t>
      </w:r>
    </w:p>
    <w:p w14:paraId="17CF88D6" w14:textId="77777777" w:rsidR="009D755F" w:rsidRPr="00444A2E" w:rsidRDefault="009D755F" w:rsidP="009D755F">
      <w:pPr>
        <w:ind w:firstLine="284"/>
        <w:jc w:val="both"/>
        <w:rPr>
          <w:rStyle w:val="Emphasis"/>
        </w:rPr>
      </w:pPr>
      <w:r w:rsidRPr="00444A2E">
        <w:rPr>
          <w:rStyle w:val="Emphasis"/>
        </w:rPr>
        <w:t>The costs of using intellectual property in the short term in ASEAN countries are not influenced by economic growth, mobile phone ownership, or the number of patents. The number of patents in ASEAN in the short term is influenced by mobile phone ownership and the variable itself at lag 2</w:t>
      </w:r>
    </w:p>
    <w:p w14:paraId="0FC148B9" w14:textId="53973CE1" w:rsidR="009D755F" w:rsidRPr="00A50F32" w:rsidRDefault="00EE1365" w:rsidP="00EE1365">
      <w:pPr>
        <w:pStyle w:val="Heading2"/>
      </w:pPr>
      <w:r>
        <w:t>IMPULS RESPON FUNCTION</w:t>
      </w:r>
    </w:p>
    <w:p w14:paraId="050F8B0F" w14:textId="28BCF2AF" w:rsidR="009D755F" w:rsidRPr="00444A2E" w:rsidRDefault="009D755F" w:rsidP="00EE1365">
      <w:pPr>
        <w:ind w:firstLine="284"/>
        <w:jc w:val="both"/>
        <w:rPr>
          <w:rStyle w:val="Emphasis"/>
        </w:rPr>
      </w:pPr>
      <w:r w:rsidRPr="00444A2E">
        <w:rPr>
          <w:rStyle w:val="Emphasis"/>
        </w:rPr>
        <w:t>The impulse response function is shown by economic growth when there is a shock to mobile phone ownership, the cost of using intellectual property, and the number of patents fluctuates from the first year to the eighth year. After the eighth year, economic growth showed fluctuating movements in the fourteenth year.</w:t>
      </w:r>
      <w:r w:rsidR="00CF1F16" w:rsidRPr="00444A2E">
        <w:rPr>
          <w:rStyle w:val="Emphasis"/>
        </w:rPr>
        <w:t xml:space="preserve"> This is shown by the figure response of EG to innovations</w:t>
      </w:r>
      <w:r w:rsidR="0082600A" w:rsidRPr="00444A2E">
        <w:rPr>
          <w:rStyle w:val="Emphasis"/>
        </w:rPr>
        <w:t>.</w:t>
      </w:r>
    </w:p>
    <w:p w14:paraId="40566FDD" w14:textId="74DA018C" w:rsidR="009D755F" w:rsidRPr="00444A2E" w:rsidRDefault="009D755F" w:rsidP="00EE1365">
      <w:pPr>
        <w:ind w:firstLine="284"/>
        <w:jc w:val="both"/>
        <w:rPr>
          <w:rStyle w:val="Emphasis"/>
        </w:rPr>
      </w:pPr>
      <w:r w:rsidRPr="00444A2E">
        <w:rPr>
          <w:rStyle w:val="Emphasis"/>
        </w:rPr>
        <w:t>The response caused by economic growth, the cost of using mobile phones, and the number of patents to mobile phone ownership tends to decrease until the first year, then stagnates in the fifth to fourteenth years.</w:t>
      </w:r>
      <w:r w:rsidR="00CF1F16" w:rsidRPr="00444A2E">
        <w:rPr>
          <w:rStyle w:val="Emphasis"/>
        </w:rPr>
        <w:t xml:space="preserve"> This is shown by the figure response of MP to innovations</w:t>
      </w:r>
      <w:r w:rsidR="0082600A" w:rsidRPr="00444A2E">
        <w:rPr>
          <w:rStyle w:val="Emphasis"/>
        </w:rPr>
        <w:t>.</w:t>
      </w:r>
    </w:p>
    <w:p w14:paraId="4F0E5653" w14:textId="21C67390" w:rsidR="009D755F" w:rsidRPr="00444A2E" w:rsidRDefault="009D755F" w:rsidP="00EE1365">
      <w:pPr>
        <w:ind w:firstLine="284"/>
        <w:jc w:val="both"/>
        <w:rPr>
          <w:rStyle w:val="Emphasis"/>
        </w:rPr>
      </w:pPr>
      <w:r w:rsidRPr="00444A2E">
        <w:rPr>
          <w:rStyle w:val="Emphasis"/>
        </w:rPr>
        <w:t>Meanwhile, the response generated by the cost of using intellectual property rights when there are fluctuations in economic growth, mobile phone ownership, and the number of patents from the first year to the last year has little impact and tends to show no fluctuating movements.</w:t>
      </w:r>
      <w:r w:rsidR="00CF1F16" w:rsidRPr="00444A2E">
        <w:rPr>
          <w:rStyle w:val="Emphasis"/>
        </w:rPr>
        <w:t xml:space="preserve"> This is shown by the figure response of CI to innovations</w:t>
      </w:r>
      <w:r w:rsidR="0082600A" w:rsidRPr="00444A2E">
        <w:rPr>
          <w:rStyle w:val="Emphasis"/>
        </w:rPr>
        <w:t>.</w:t>
      </w:r>
    </w:p>
    <w:p w14:paraId="741298FF" w14:textId="7BCE7DDB" w:rsidR="009D755F" w:rsidRPr="00444A2E" w:rsidRDefault="009D755F" w:rsidP="00EE1365">
      <w:pPr>
        <w:ind w:firstLine="284"/>
        <w:jc w:val="both"/>
        <w:rPr>
          <w:rStyle w:val="Emphasis"/>
        </w:rPr>
      </w:pPr>
      <w:r w:rsidRPr="00444A2E">
        <w:rPr>
          <w:rStyle w:val="Emphasis"/>
        </w:rPr>
        <w:t>Meanwhile, when there was a shock to economic growth, mobile phone ownership, and the cost of using intellectual property, the number of patents fluctuated quite a bit in the early years until the eighth year, then returned to stability until the fourteenth year.</w:t>
      </w:r>
      <w:r w:rsidR="00CF1F16" w:rsidRPr="00444A2E">
        <w:rPr>
          <w:rStyle w:val="Emphasis"/>
        </w:rPr>
        <w:t xml:space="preserve"> This is shown by the </w:t>
      </w:r>
      <w:r w:rsidR="00687007" w:rsidRPr="00687007">
        <w:rPr>
          <w:rStyle w:val="Emphasis"/>
          <w:b/>
          <w:bCs/>
        </w:rPr>
        <w:t>FIGURE 2</w:t>
      </w:r>
      <w:r w:rsidR="00687007">
        <w:rPr>
          <w:rStyle w:val="Emphasis"/>
        </w:rPr>
        <w:t>,</w:t>
      </w:r>
      <w:r w:rsidR="00CF1F16" w:rsidRPr="00444A2E">
        <w:rPr>
          <w:rStyle w:val="Emphasis"/>
        </w:rPr>
        <w:t xml:space="preserve"> response of IPR to innovations</w:t>
      </w:r>
      <w:r w:rsidR="0082600A" w:rsidRPr="00444A2E">
        <w:rPr>
          <w:rStyle w:val="Emphasis"/>
        </w:rPr>
        <w:t>.</w:t>
      </w:r>
    </w:p>
    <w:p w14:paraId="5BB9BE8F" w14:textId="77777777" w:rsidR="009D755F" w:rsidRPr="00A50F32" w:rsidRDefault="009D755F" w:rsidP="009D755F">
      <w:pPr>
        <w:jc w:val="both"/>
        <w:rPr>
          <w:color w:val="030303"/>
          <w:sz w:val="20"/>
          <w:shd w:val="clear" w:color="auto" w:fill="FFFFFF"/>
        </w:rPr>
      </w:pPr>
    </w:p>
    <w:p w14:paraId="7FD05175" w14:textId="77777777" w:rsidR="009D755F" w:rsidRDefault="009D755F" w:rsidP="009D755F">
      <w:pPr>
        <w:jc w:val="both"/>
        <w:rPr>
          <w:sz w:val="20"/>
        </w:rPr>
      </w:pPr>
      <w:r w:rsidRPr="00A50F32">
        <w:rPr>
          <w:sz w:val="20"/>
        </w:rPr>
        <w:object w:dxaOrig="10221" w:dyaOrig="7110" w14:anchorId="5C6369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35pt;height:301.95pt" o:ole="">
            <v:imagedata r:id="rId11" o:title=""/>
          </v:shape>
          <o:OLEObject Type="Embed" ProgID="EViews.Workfile.2" ShapeID="_x0000_i1025" DrawAspect="Content" ObjectID="_1792296506" r:id="rId12"/>
        </w:object>
      </w:r>
    </w:p>
    <w:p w14:paraId="6FD277A1" w14:textId="5466358A" w:rsidR="00EE1365" w:rsidRPr="00EE1365" w:rsidRDefault="00444A2E" w:rsidP="00444A2E">
      <w:pPr>
        <w:pStyle w:val="FigureCaption"/>
        <w:rPr>
          <w:shd w:val="clear" w:color="auto" w:fill="FFFFFF"/>
        </w:rPr>
      </w:pPr>
      <w:r w:rsidRPr="00EE1365">
        <w:rPr>
          <w:b/>
          <w:shd w:val="clear" w:color="auto" w:fill="FFFFFF"/>
        </w:rPr>
        <w:t xml:space="preserve">FIGURE </w:t>
      </w:r>
      <w:r w:rsidR="00EE1365" w:rsidRPr="00EE1365">
        <w:rPr>
          <w:b/>
          <w:shd w:val="clear" w:color="auto" w:fill="FFFFFF"/>
        </w:rPr>
        <w:t xml:space="preserve">2. </w:t>
      </w:r>
      <w:proofErr w:type="spellStart"/>
      <w:r w:rsidR="00EE1365" w:rsidRPr="00EE1365">
        <w:rPr>
          <w:shd w:val="clear" w:color="auto" w:fill="FFFFFF"/>
        </w:rPr>
        <w:t>Impuls</w:t>
      </w:r>
      <w:proofErr w:type="spellEnd"/>
      <w:r w:rsidR="00EE1365" w:rsidRPr="00EE1365">
        <w:rPr>
          <w:shd w:val="clear" w:color="auto" w:fill="FFFFFF"/>
        </w:rPr>
        <w:t xml:space="preserve"> </w:t>
      </w:r>
      <w:proofErr w:type="spellStart"/>
      <w:r w:rsidR="00EE1365" w:rsidRPr="00EE1365">
        <w:rPr>
          <w:shd w:val="clear" w:color="auto" w:fill="FFFFFF"/>
        </w:rPr>
        <w:t>Respons</w:t>
      </w:r>
      <w:proofErr w:type="spellEnd"/>
      <w:r w:rsidR="00EE1365" w:rsidRPr="00EE1365">
        <w:rPr>
          <w:shd w:val="clear" w:color="auto" w:fill="FFFFFF"/>
        </w:rPr>
        <w:t xml:space="preserve"> Function</w:t>
      </w:r>
    </w:p>
    <w:p w14:paraId="042A8F92" w14:textId="77777777" w:rsidR="00EE1365" w:rsidRPr="00EE1365" w:rsidRDefault="00EE1365" w:rsidP="009D755F">
      <w:pPr>
        <w:jc w:val="both"/>
        <w:rPr>
          <w:sz w:val="20"/>
        </w:rPr>
      </w:pPr>
    </w:p>
    <w:p w14:paraId="75D1E9B7" w14:textId="14EFABE3" w:rsidR="009D755F" w:rsidRPr="00A50F32" w:rsidRDefault="00EE1365" w:rsidP="00EE1365">
      <w:pPr>
        <w:pStyle w:val="Heading2"/>
      </w:pPr>
      <w:r>
        <w:t>VARIANCE DECOMPOSITION</w:t>
      </w:r>
    </w:p>
    <w:p w14:paraId="11000732" w14:textId="69F436FD" w:rsidR="009D755F" w:rsidRPr="00444A2E" w:rsidRDefault="009D755F" w:rsidP="00EE1365">
      <w:pPr>
        <w:spacing w:after="240"/>
        <w:ind w:firstLine="284"/>
        <w:jc w:val="both"/>
        <w:rPr>
          <w:rStyle w:val="Emphasis"/>
        </w:rPr>
      </w:pPr>
      <w:r w:rsidRPr="00444A2E">
        <w:rPr>
          <w:rStyle w:val="Emphasis"/>
        </w:rPr>
        <w:t>The economic growth of ASEAN's five regional countries over 14 periods can be seen to be influenced by the variables themselves; then, in the following period, mobile phone ownership contributed to the economic growth of ASEAN countries. Thus, mobile phone ownership contributes to economic growth in ASEAN countries 5. Mobile phone penetration has a positive effect on economic growth in ASEAN countries</w:t>
      </w:r>
      <w:r w:rsidR="00A95B7C" w:rsidRPr="00444A2E">
        <w:rPr>
          <w:rStyle w:val="Emphasis"/>
        </w:rPr>
        <w:t xml:space="preserve"> </w:t>
      </w:r>
      <w:r w:rsidR="00A95B7C" w:rsidRPr="00444A2E">
        <w:rPr>
          <w:rStyle w:val="Emphasis"/>
        </w:rPr>
        <w:fldChar w:fldCharType="begin"/>
      </w:r>
      <w:r w:rsidR="00A95B7C" w:rsidRPr="00444A2E">
        <w:rPr>
          <w:rStyle w:val="Emphasis"/>
        </w:rPr>
        <w:instrText xml:space="preserve"> ADDIN EN.CITE &lt;EndNote&gt;&lt;Cite&gt;&lt;Author&gt;Thoyibah&lt;/Author&gt;&lt;Year&gt;2022&lt;/Year&gt;&lt;RecNum&gt;10&lt;/RecNum&gt;&lt;DisplayText&gt;[9, 16]&lt;/DisplayText&gt;&lt;record&gt;&lt;rec-number&gt;10&lt;/rec-number&gt;&lt;foreign-keys&gt;&lt;key app="EN" db-id="dzdesfex4asa0gexvamvtvxszs955090fzex" timestamp="1729488891"&gt;10&lt;/key&gt;&lt;/foreign-keys&gt;&lt;ref-type name="Journal Article"&gt;17&lt;/ref-type&gt;&lt;contributors&gt;&lt;authors&gt;&lt;author&gt;Thoyibah, Qurrota A&amp;apos;yun Pramitha&lt;/author&gt;&lt;author&gt;Sugiharti, Lilik&lt;/author&gt;&lt;/authors&gt;&lt;/contributors&gt;&lt;titles&gt;&lt;title&gt;The Effect of telecommunication infrastructure on economic growth in the Six ASEAN Countries&lt;/title&gt;&lt;secondary-title&gt;Media Trend&lt;/secondary-title&gt;&lt;/titles&gt;&lt;periodical&gt;&lt;full-title&gt;Media Trend&lt;/full-title&gt;&lt;/periodical&gt;&lt;pages&gt;156-167&lt;/pages&gt;&lt;volume&gt;17&lt;/volume&gt;&lt;number&gt;1&lt;/number&gt;&lt;dates&gt;&lt;year&gt;2022&lt;/year&gt;&lt;/dates&gt;&lt;isbn&gt;2460-7649&lt;/isbn&gt;&lt;urls&gt;&lt;/urls&gt;&lt;/record&gt;&lt;/Cite&gt;&lt;Cite&gt;&lt;Author&gt;Nipo&lt;/Author&gt;&lt;Year&gt;2022&lt;/Year&gt;&lt;RecNum&gt;7&lt;/RecNum&gt;&lt;record&gt;&lt;rec-number&gt;7&lt;/rec-number&gt;&lt;foreign-keys&gt;&lt;key app="EN" db-id="2zvev9rz0frseoefpv6pstv6d9av9epa5rfe" timestamp="1729489621"&gt;7&lt;/key&gt;&lt;/foreign-keys&gt;&lt;ref-type name="Journal Article"&gt;17&lt;/ref-type&gt;&lt;contributors&gt;&lt;authors&gt;&lt;author&gt;Nipo, Debbra Toria&lt;/author&gt;&lt;author&gt;Lily, Jaratin&lt;/author&gt;&lt;author&gt;Idris, Sidah&lt;/author&gt;&lt;author&gt;Pinjaman, Saizal&lt;/author&gt;&lt;author&gt;Bujang, Imbarine&lt;/author&gt;&lt;/authors&gt;&lt;/contributors&gt;&lt;titles&gt;&lt;title&gt;Information and Communication Technology (ICT) on Economic Growth in Asia: A Panel Data Analysis&lt;/title&gt;&lt;secondary-title&gt;International Journal of Business and Management&lt;/secondary-title&gt;&lt;/titles&gt;&lt;periodical&gt;&lt;full-title&gt;International Journal of Business and Management&lt;/full-title&gt;&lt;/periodical&gt;&lt;pages&gt;18-23&lt;/pages&gt;&lt;volume&gt;17&lt;/volume&gt;&lt;number&gt;12&lt;/number&gt;&lt;dates&gt;&lt;year&gt;2022&lt;/year&gt;&lt;/dates&gt;&lt;urls&gt;&lt;/urls&gt;&lt;/record&gt;&lt;/Cite&gt;&lt;/EndNote&gt;</w:instrText>
      </w:r>
      <w:r w:rsidR="00A95B7C" w:rsidRPr="00444A2E">
        <w:rPr>
          <w:rStyle w:val="Emphasis"/>
        </w:rPr>
        <w:fldChar w:fldCharType="separate"/>
      </w:r>
      <w:r w:rsidR="00A95B7C" w:rsidRPr="00444A2E">
        <w:rPr>
          <w:rStyle w:val="Emphasis"/>
        </w:rPr>
        <w:t>[9, 16]</w:t>
      </w:r>
      <w:r w:rsidR="00A95B7C" w:rsidRPr="00444A2E">
        <w:rPr>
          <w:rStyle w:val="Emphasis"/>
        </w:rPr>
        <w:fldChar w:fldCharType="end"/>
      </w:r>
      <w:r w:rsidR="00AD2909" w:rsidRPr="00444A2E">
        <w:rPr>
          <w:rStyle w:val="Emphasis"/>
        </w:rPr>
        <w:t>.</w:t>
      </w:r>
      <w:r w:rsidRPr="00444A2E">
        <w:rPr>
          <w:rStyle w:val="Emphasis"/>
        </w:rPr>
        <w:t xml:space="preserve"> Research has shown that the use of mobile phones and other information and communications technologies (ICT) can contribute to economic development and innovation, improve decision-making, and create demand for goods and services</w:t>
      </w:r>
      <w:r w:rsidR="00AD2909" w:rsidRPr="00444A2E">
        <w:rPr>
          <w:rStyle w:val="Emphasis"/>
        </w:rPr>
        <w:t xml:space="preserve"> </w:t>
      </w:r>
      <w:r w:rsidR="00AD2909" w:rsidRPr="00444A2E">
        <w:rPr>
          <w:rStyle w:val="Emphasis"/>
        </w:rPr>
        <w:fldChar w:fldCharType="begin"/>
      </w:r>
      <w:r w:rsidR="00AD2909" w:rsidRPr="00444A2E">
        <w:rPr>
          <w:rStyle w:val="Emphasis"/>
        </w:rPr>
        <w:instrText xml:space="preserve"> ADDIN EN.CITE &lt;EndNote&gt;&lt;Cite&gt;&lt;Author&gt;Das&lt;/Author&gt;&lt;Year&gt;2016&lt;/Year&gt;&lt;RecNum&gt;8&lt;/RecNum&gt;&lt;DisplayText&gt;[17]&lt;/DisplayText&gt;&lt;record&gt;&lt;rec-number&gt;8&lt;/rec-number&gt;&lt;foreign-keys&gt;&lt;key app="EN" db-id="2zvev9rz0frseoefpv6pstv6d9av9epa5rfe" timestamp="1729489678"&gt;8&lt;/key&gt;&lt;/foreign-keys&gt;&lt;ref-type name="Book Section"&gt;5&lt;/ref-type&gt;&lt;contributors&gt;&lt;authors&gt;&lt;author&gt;Das, Anupam&lt;/author&gt;&lt;author&gt;Khan, Syeed&lt;/author&gt;&lt;author&gt;Chowdhury, Murshed&lt;/author&gt;&lt;/authors&gt;&lt;/contributors&gt;&lt;titles&gt;&lt;title&gt;Effects of ICT development on economic growth in emerging Asian countries&lt;/title&gt;&lt;secondary-title&gt;ICTs in Developing Countries: Research, Practices and Policy Implications&lt;/secondary-title&gt;&lt;/titles&gt;&lt;pages&gt;141-159&lt;/pages&gt;&lt;dates&gt;&lt;year&gt;2016&lt;/year&gt;&lt;/dates&gt;&lt;publisher&gt;Springer&lt;/publisher&gt;&lt;urls&gt;&lt;/urls&gt;&lt;/record&gt;&lt;/Cite&gt;&lt;/EndNote&gt;</w:instrText>
      </w:r>
      <w:r w:rsidR="00AD2909" w:rsidRPr="00444A2E">
        <w:rPr>
          <w:rStyle w:val="Emphasis"/>
        </w:rPr>
        <w:fldChar w:fldCharType="separate"/>
      </w:r>
      <w:r w:rsidR="00AD2909" w:rsidRPr="00444A2E">
        <w:rPr>
          <w:rStyle w:val="Emphasis"/>
        </w:rPr>
        <w:t>[17]</w:t>
      </w:r>
      <w:r w:rsidR="00AD2909" w:rsidRPr="00444A2E">
        <w:rPr>
          <w:rStyle w:val="Emphasis"/>
        </w:rPr>
        <w:fldChar w:fldCharType="end"/>
      </w:r>
      <w:r w:rsidR="00AD2909" w:rsidRPr="00444A2E">
        <w:rPr>
          <w:rStyle w:val="Emphasis"/>
        </w:rPr>
        <w:t>.</w:t>
      </w:r>
      <w:r w:rsidRPr="00444A2E">
        <w:rPr>
          <w:rStyle w:val="Emphasis"/>
        </w:rPr>
        <w:t xml:space="preserve"> In particular, a cointegration relationship between mobile phone penetration and economic growth has been found in Asian countries</w:t>
      </w:r>
      <w:r w:rsidR="00A95B7C" w:rsidRPr="00444A2E">
        <w:rPr>
          <w:rStyle w:val="Emphasis"/>
        </w:rPr>
        <w:t xml:space="preserve"> </w:t>
      </w:r>
      <w:r w:rsidR="00A95B7C" w:rsidRPr="00444A2E">
        <w:rPr>
          <w:rStyle w:val="Emphasis"/>
        </w:rPr>
        <w:fldChar w:fldCharType="begin"/>
      </w:r>
      <w:r w:rsidR="00A95B7C" w:rsidRPr="00444A2E">
        <w:rPr>
          <w:rStyle w:val="Emphasis"/>
        </w:rPr>
        <w:instrText xml:space="preserve"> ADDIN EN.CITE &lt;EndNote&gt;&lt;Cite&gt;&lt;Author&gt;Dutta&lt;/Author&gt;&lt;RecNum&gt;1&lt;/RecNum&gt;&lt;DisplayText&gt;[10]&lt;/DisplayText&gt;&lt;record&gt;&lt;rec-number&gt;1&lt;/rec-number&gt;&lt;foreign-keys&gt;&lt;key app="EN" db-id="2zvev9rz0frseoefpv6pstv6d9av9epa5rfe" timestamp="1729488990"&gt;1&lt;/key&gt;&lt;/foreign-keys&gt;&lt;ref-type name="Conference Proceedings"&gt;10&lt;/ref-type&gt;&lt;contributors&gt;&lt;authors&gt;&lt;author&gt;Dutta, Ujjal Protim&lt;/author&gt;&lt;author&gt;Gupta, Abhishek&lt;/author&gt;&lt;author&gt;Sengupta, Partha Pratim&lt;/author&gt;&lt;/authors&gt;&lt;/contributors&gt;&lt;titles&gt;&lt;title&gt;Exploring the nexus between mobile phone penetration and economic growth in 13 Asian countries: evidence from panel cointegration analysis&lt;/title&gt;&lt;alt-title&gt;Soft Computing and Signal Processing: Proceedings of ICSCSP 2018, Volume 2&lt;/alt-title&gt;&lt;/titles&gt;&lt;pages&gt;337-346&lt;/pages&gt;&lt;dates&gt;&lt;pub-dates&gt;&lt;date&gt;2019&lt;/date&gt;&lt;/pub-dates&gt;&lt;/dates&gt;&lt;publisher&gt;Springer&lt;/publisher&gt;&lt;isbn&gt;9811333920&lt;/isbn&gt;&lt;urls&gt;&lt;/urls&gt;&lt;/record&gt;&lt;/Cite&gt;&lt;/EndNote&gt;</w:instrText>
      </w:r>
      <w:r w:rsidR="00A95B7C" w:rsidRPr="00444A2E">
        <w:rPr>
          <w:rStyle w:val="Emphasis"/>
        </w:rPr>
        <w:fldChar w:fldCharType="separate"/>
      </w:r>
      <w:r w:rsidR="00A95B7C" w:rsidRPr="00444A2E">
        <w:rPr>
          <w:rStyle w:val="Emphasis"/>
        </w:rPr>
        <w:t>[10]</w:t>
      </w:r>
      <w:r w:rsidR="00A95B7C" w:rsidRPr="00444A2E">
        <w:rPr>
          <w:rStyle w:val="Emphasis"/>
        </w:rPr>
        <w:fldChar w:fldCharType="end"/>
      </w:r>
      <w:r w:rsidRPr="00444A2E">
        <w:rPr>
          <w:rStyle w:val="Emphasis"/>
        </w:rPr>
        <w:t>. Additionally, the study reveals that high-income Asian countries have achieved significant economic development through high Internet penetration, while middle-income countries have also begun to benefit from ICT</w:t>
      </w:r>
      <w:r w:rsidR="00AD2909" w:rsidRPr="00444A2E">
        <w:rPr>
          <w:rStyle w:val="Emphasis"/>
        </w:rPr>
        <w:t xml:space="preserve"> </w:t>
      </w:r>
      <w:r w:rsidR="00AD2909" w:rsidRPr="00444A2E">
        <w:rPr>
          <w:rStyle w:val="Emphasis"/>
        </w:rPr>
        <w:fldChar w:fldCharType="begin"/>
      </w:r>
      <w:r w:rsidR="00AD2909" w:rsidRPr="00444A2E">
        <w:rPr>
          <w:rStyle w:val="Emphasis"/>
        </w:rPr>
        <w:instrText xml:space="preserve"> ADDIN EN.CITE &lt;EndNote&gt;&lt;Cite&gt;&lt;Author&gt;Kurniawati&lt;/Author&gt;&lt;Year&gt;2022&lt;/Year&gt;&lt;RecNum&gt;9&lt;/RecNum&gt;&lt;DisplayText&gt;[18]&lt;/DisplayText&gt;&lt;record&gt;&lt;rec-number&gt;9&lt;/rec-number&gt;&lt;foreign-keys&gt;&lt;key app="EN" db-id="2zvev9rz0frseoefpv6pstv6d9av9epa5rfe" timestamp="1729489739"&gt;9&lt;/key&gt;&lt;/foreign-keys&gt;&lt;ref-type name="Journal Article"&gt;17&lt;/ref-type&gt;&lt;contributors&gt;&lt;authors&gt;&lt;author&gt;Kurniawati, Meta Ayu&lt;/author&gt;&lt;/authors&gt;&lt;/contributors&gt;&lt;titles&gt;&lt;title&gt;Analysis of the impact of information communication technology on economic growth: empirical evidence from Asian countries&lt;/title&gt;&lt;secondary-title&gt;Journal of Asian Business and Economic Studies&lt;/secondary-title&gt;&lt;/titles&gt;&lt;periodical&gt;&lt;full-title&gt;Journal of Asian Business and Economic Studies&lt;/full-title&gt;&lt;/periodical&gt;&lt;pages&gt;2-18&lt;/pages&gt;&lt;volume&gt;29&lt;/volume&gt;&lt;number&gt;1&lt;/number&gt;&lt;dates&gt;&lt;year&gt;2022&lt;/year&gt;&lt;/dates&gt;&lt;publisher&gt;Emerald Publishing Limited&lt;/publisher&gt;&lt;isbn&gt;2515-964X&lt;/isbn&gt;&lt;urls&gt;&lt;/urls&gt;&lt;/record&gt;&lt;/Cite&gt;&lt;/EndNote&gt;</w:instrText>
      </w:r>
      <w:r w:rsidR="00AD2909" w:rsidRPr="00444A2E">
        <w:rPr>
          <w:rStyle w:val="Emphasis"/>
        </w:rPr>
        <w:fldChar w:fldCharType="separate"/>
      </w:r>
      <w:r w:rsidR="00AD2909" w:rsidRPr="00444A2E">
        <w:rPr>
          <w:rStyle w:val="Emphasis"/>
        </w:rPr>
        <w:t>[18]</w:t>
      </w:r>
      <w:r w:rsidR="00AD2909" w:rsidRPr="00444A2E">
        <w:rPr>
          <w:rStyle w:val="Emphasis"/>
        </w:rPr>
        <w:fldChar w:fldCharType="end"/>
      </w:r>
      <w:r w:rsidR="00AD2909" w:rsidRPr="00444A2E">
        <w:rPr>
          <w:rStyle w:val="Emphasis"/>
        </w:rPr>
        <w:t>.</w:t>
      </w:r>
      <w:r w:rsidRPr="00444A2E">
        <w:rPr>
          <w:rStyle w:val="Emphasis"/>
        </w:rPr>
        <w:t xml:space="preserve"> Therefore, policymakers should focus on building better quality ICT services and infrastructure to support economic growth in middle-income Asian countries]. Overall, mobile phone penetration positively impacts economic growth in ASEAN countries, and governments can increase their economic growth by exploiting the potential of mobile phone penetration</w:t>
      </w:r>
      <w:r w:rsidR="00687007">
        <w:rPr>
          <w:rStyle w:val="Emphasis"/>
        </w:rPr>
        <w:t xml:space="preserve">, see </w:t>
      </w:r>
      <w:r w:rsidR="00687007" w:rsidRPr="00687007">
        <w:rPr>
          <w:rStyle w:val="Emphasis"/>
          <w:b/>
          <w:bCs/>
        </w:rPr>
        <w:t>FIGURE 3</w:t>
      </w:r>
      <w:r w:rsidRPr="00444A2E">
        <w:rPr>
          <w:rStyle w:val="Emphasis"/>
        </w:rPr>
        <w:t>.</w:t>
      </w:r>
    </w:p>
    <w:p w14:paraId="0A029975" w14:textId="77777777" w:rsidR="009D755F" w:rsidRDefault="009D755F" w:rsidP="009D755F">
      <w:pPr>
        <w:jc w:val="both"/>
        <w:rPr>
          <w:sz w:val="20"/>
        </w:rPr>
      </w:pPr>
      <w:r w:rsidRPr="00A50F32">
        <w:rPr>
          <w:sz w:val="20"/>
        </w:rPr>
        <w:object w:dxaOrig="10100" w:dyaOrig="7620" w14:anchorId="6CE03A2A">
          <v:shape id="_x0000_i1026" type="#_x0000_t75" style="width:451.35pt;height:339.6pt" o:ole="">
            <v:imagedata r:id="rId13" o:title=""/>
          </v:shape>
          <o:OLEObject Type="Embed" ProgID="EViews.Workfile.2" ShapeID="_x0000_i1026" DrawAspect="Content" ObjectID="_1792296507" r:id="rId14"/>
        </w:object>
      </w:r>
    </w:p>
    <w:p w14:paraId="4EE3D779" w14:textId="2734EC89" w:rsidR="00EE1365" w:rsidRPr="00EE1365" w:rsidRDefault="00444A2E" w:rsidP="00444A2E">
      <w:pPr>
        <w:pStyle w:val="FigureCaption"/>
        <w:rPr>
          <w:b/>
          <w:shd w:val="clear" w:color="auto" w:fill="FFFFFF"/>
        </w:rPr>
      </w:pPr>
      <w:r w:rsidRPr="00EE1365">
        <w:rPr>
          <w:b/>
          <w:shd w:val="clear" w:color="auto" w:fill="FFFFFF"/>
        </w:rPr>
        <w:t xml:space="preserve">FIGURE </w:t>
      </w:r>
      <w:r w:rsidR="00EE1365" w:rsidRPr="00EE1365">
        <w:rPr>
          <w:b/>
          <w:shd w:val="clear" w:color="auto" w:fill="FFFFFF"/>
        </w:rPr>
        <w:t xml:space="preserve">3. </w:t>
      </w:r>
      <w:r w:rsidR="00EE1365" w:rsidRPr="00EE1365">
        <w:rPr>
          <w:shd w:val="clear" w:color="auto" w:fill="FFFFFF"/>
        </w:rPr>
        <w:t>Variance Decomposition</w:t>
      </w:r>
    </w:p>
    <w:p w14:paraId="20C5D986" w14:textId="3DC96029" w:rsidR="009D755F" w:rsidRPr="00444A2E" w:rsidRDefault="009D755F" w:rsidP="00EE1365">
      <w:pPr>
        <w:spacing w:before="120"/>
        <w:ind w:firstLine="284"/>
        <w:jc w:val="both"/>
        <w:rPr>
          <w:rStyle w:val="Emphasis"/>
        </w:rPr>
      </w:pPr>
      <w:r w:rsidRPr="00444A2E">
        <w:rPr>
          <w:rStyle w:val="Emphasis"/>
        </w:rPr>
        <w:t xml:space="preserve">Mobile phone ownership in ASEAN 5 countries is greatly influenced by economic growth in a country. A country's higher economic growth level will increase mobile phone ownership among the public. The increase in cellphone ownership still needs to be related to its use, whether for productive activities or only to </w:t>
      </w:r>
      <w:r w:rsidR="0082600A" w:rsidRPr="00444A2E">
        <w:rPr>
          <w:rStyle w:val="Emphasis"/>
        </w:rPr>
        <w:t>fulfill</w:t>
      </w:r>
      <w:r w:rsidRPr="00444A2E">
        <w:rPr>
          <w:rStyle w:val="Emphasis"/>
        </w:rPr>
        <w:t xml:space="preserve"> consumer needs. The benefits of having a mobile phone in ASEAN are mainly used for consumption rather than productivity for economic growth</w:t>
      </w:r>
      <w:r w:rsidR="00AD2909" w:rsidRPr="00444A2E">
        <w:rPr>
          <w:rStyle w:val="Emphasis"/>
        </w:rPr>
        <w:t xml:space="preserve"> </w:t>
      </w:r>
      <w:r w:rsidR="00AD2909" w:rsidRPr="00444A2E">
        <w:rPr>
          <w:rStyle w:val="Emphasis"/>
        </w:rPr>
        <w:fldChar w:fldCharType="begin"/>
      </w:r>
      <w:r w:rsidR="00AD2909" w:rsidRPr="00444A2E">
        <w:rPr>
          <w:rStyle w:val="Emphasis"/>
        </w:rPr>
        <w:instrText xml:space="preserve"> ADDIN EN.CITE &lt;EndNote&gt;&lt;Cite&gt;&lt;Author&gt;Lim&lt;/Author&gt;&lt;Year&gt;2017&lt;/Year&gt;&lt;RecNum&gt;10&lt;/RecNum&gt;&lt;DisplayText&gt;[19]&lt;/DisplayText&gt;&lt;record&gt;&lt;rec-number&gt;10&lt;/rec-number&gt;&lt;foreign-keys&gt;&lt;key app="EN" db-id="2zvev9rz0frseoefpv6pstv6d9av9epa5rfe" timestamp="1729489822"&gt;10&lt;/key&gt;&lt;/foreign-keys&gt;&lt;ref-type name="Journal Article"&gt;17&lt;/ref-type&gt;&lt;contributors&gt;&lt;authors&gt;&lt;author&gt;Lim, Yvonne A. L.&lt;/author&gt;&lt;author&gt;Nissapatorn, Veeranoot&lt;/author&gt;&lt;/authors&gt;&lt;/contributors&gt;&lt;titles&gt;&lt;title&gt;Transmission of waterborne parasites in the Association of Southeast Asian Nations (ASEAN): Overview and direction forward&lt;/title&gt;&lt;secondary-title&gt;Food and Waterborne Parasitology&lt;/secondary-title&gt;&lt;/titles&gt;&lt;periodical&gt;&lt;full-title&gt;Food and Waterborne Parasitology&lt;/full-title&gt;&lt;/periodical&gt;&lt;pages&gt;75-83&lt;/pages&gt;&lt;volume&gt;8&lt;/volume&gt;&lt;dates&gt;&lt;year&gt;2017&lt;/year&gt;&lt;/dates&gt;&lt;publisher&gt;Elsevier&lt;/publisher&gt;&lt;isbn&gt;2405-6766&lt;/isbn&gt;&lt;urls&gt;&lt;/urls&gt;&lt;/record&gt;&lt;/Cite&gt;&lt;/EndNote&gt;</w:instrText>
      </w:r>
      <w:r w:rsidR="00AD2909" w:rsidRPr="00444A2E">
        <w:rPr>
          <w:rStyle w:val="Emphasis"/>
        </w:rPr>
        <w:fldChar w:fldCharType="separate"/>
      </w:r>
      <w:r w:rsidR="00AD2909" w:rsidRPr="00444A2E">
        <w:rPr>
          <w:rStyle w:val="Emphasis"/>
        </w:rPr>
        <w:t>[19]</w:t>
      </w:r>
      <w:r w:rsidR="00AD2909" w:rsidRPr="00444A2E">
        <w:rPr>
          <w:rStyle w:val="Emphasis"/>
        </w:rPr>
        <w:fldChar w:fldCharType="end"/>
      </w:r>
      <w:r w:rsidR="00AD2909" w:rsidRPr="00444A2E">
        <w:rPr>
          <w:rStyle w:val="Emphasis"/>
        </w:rPr>
        <w:t>.</w:t>
      </w:r>
      <w:r w:rsidRPr="00444A2E">
        <w:rPr>
          <w:rStyle w:val="Emphasis"/>
        </w:rPr>
        <w:t xml:space="preserve"> Studies show that while Information and Communication Technology (ICT) has a vital role in enhancing economic growth in ASEAN countries, it is not the main factor that causally motivates economic expansion</w:t>
      </w:r>
      <w:r w:rsidR="00AD2909" w:rsidRPr="00444A2E">
        <w:rPr>
          <w:rStyle w:val="Emphasis"/>
        </w:rPr>
        <w:t xml:space="preserve"> </w:t>
      </w:r>
      <w:r w:rsidR="00AD2909" w:rsidRPr="00444A2E">
        <w:rPr>
          <w:rStyle w:val="Emphasis"/>
        </w:rPr>
        <w:fldChar w:fldCharType="begin"/>
      </w:r>
      <w:r w:rsidR="00AD2909" w:rsidRPr="00444A2E">
        <w:rPr>
          <w:rStyle w:val="Emphasis"/>
        </w:rPr>
        <w:instrText xml:space="preserve"> ADDIN EN.CITE &lt;EndNote&gt;&lt;Cite&gt;&lt;Author&gt;Thoyibah&lt;/Author&gt;&lt;Year&gt;2022&lt;/Year&gt;&lt;RecNum&gt;10&lt;/RecNum&gt;&lt;DisplayText&gt;[9]&lt;/DisplayText&gt;&lt;record&gt;&lt;rec-number&gt;10&lt;/rec-number&gt;&lt;foreign-keys&gt;&lt;key app="EN" db-id="dzdesfex4asa0gexvamvtvxszs955090fzex" timestamp="1729488891"&gt;10&lt;/key&gt;&lt;/foreign-keys&gt;&lt;ref-type name="Journal Article"&gt;17&lt;/ref-type&gt;&lt;contributors&gt;&lt;authors&gt;&lt;author&gt;Thoyibah, Qurrota A&amp;apos;yun Pramitha&lt;/author&gt;&lt;author&gt;Sugiharti, Lilik&lt;/author&gt;&lt;/authors&gt;&lt;/contributors&gt;&lt;titles&gt;&lt;title&gt;The Effect of telecommunication infrastructure on economic growth in the Six ASEAN Countries&lt;/title&gt;&lt;secondary-title&gt;Media Trend&lt;/secondary-title&gt;&lt;/titles&gt;&lt;periodical&gt;&lt;full-title&gt;Media Trend&lt;/full-title&gt;&lt;/periodical&gt;&lt;pages&gt;156-167&lt;/pages&gt;&lt;volume&gt;17&lt;/volume&gt;&lt;number&gt;1&lt;/number&gt;&lt;dates&gt;&lt;year&gt;2022&lt;/year&gt;&lt;/dates&gt;&lt;isbn&gt;2460-7649&lt;/isbn&gt;&lt;urls&gt;&lt;/urls&gt;&lt;/record&gt;&lt;/Cite&gt;&lt;/EndNote&gt;</w:instrText>
      </w:r>
      <w:r w:rsidR="00AD2909" w:rsidRPr="00444A2E">
        <w:rPr>
          <w:rStyle w:val="Emphasis"/>
        </w:rPr>
        <w:fldChar w:fldCharType="separate"/>
      </w:r>
      <w:r w:rsidR="00AD2909" w:rsidRPr="00444A2E">
        <w:rPr>
          <w:rStyle w:val="Emphasis"/>
        </w:rPr>
        <w:t>[9]</w:t>
      </w:r>
      <w:r w:rsidR="00AD2909" w:rsidRPr="00444A2E">
        <w:rPr>
          <w:rStyle w:val="Emphasis"/>
        </w:rPr>
        <w:fldChar w:fldCharType="end"/>
      </w:r>
      <w:r w:rsidR="00AD2909" w:rsidRPr="00444A2E">
        <w:rPr>
          <w:rStyle w:val="Emphasis"/>
        </w:rPr>
        <w:t>.</w:t>
      </w:r>
    </w:p>
    <w:p w14:paraId="318F5619" w14:textId="613544F5" w:rsidR="00EA50A7" w:rsidRPr="00444A2E" w:rsidRDefault="009D755F" w:rsidP="00EE1365">
      <w:pPr>
        <w:ind w:firstLine="284"/>
        <w:jc w:val="both"/>
        <w:rPr>
          <w:rStyle w:val="Emphasis"/>
          <w:rFonts w:eastAsia="Calibri"/>
        </w:rPr>
      </w:pPr>
      <w:r w:rsidRPr="00444A2E">
        <w:rPr>
          <w:rStyle w:val="Emphasis"/>
        </w:rPr>
        <w:t>The costs of intellectual use are influenced by the variables themselves and are influenced by economic growth. Intellectual property rights (IPR) can influence economic growth in the ASEAN region. IPR protection can encourage economic growth through technology transfer and positive spillovers, leading to increased productivity and technological innovation</w:t>
      </w:r>
      <w:r w:rsidR="00AD2909" w:rsidRPr="00444A2E">
        <w:rPr>
          <w:rStyle w:val="Emphasis"/>
        </w:rPr>
        <w:t xml:space="preserve"> </w:t>
      </w:r>
      <w:r w:rsidR="00AD2909" w:rsidRPr="00444A2E">
        <w:rPr>
          <w:rStyle w:val="Emphasis"/>
        </w:rPr>
        <w:fldChar w:fldCharType="begin"/>
      </w:r>
      <w:r w:rsidR="00AD2909" w:rsidRPr="00444A2E">
        <w:rPr>
          <w:rStyle w:val="Emphasis"/>
        </w:rPr>
        <w:instrText xml:space="preserve"> ADDIN EN.CITE &lt;EndNote&gt;&lt;Cite&gt;&lt;Author&gt;Yang&lt;/Author&gt;&lt;Year&gt;2022&lt;/Year&gt;&lt;RecNum&gt;1&lt;/RecNum&gt;&lt;DisplayText&gt;[20]&lt;/DisplayText&gt;&lt;record&gt;&lt;rec-number&gt;1&lt;/rec-number&gt;&lt;foreign-keys&gt;&lt;key app="EN" db-id="sfp0rxef12a5zve5z2spvds9zpaze0vtpde2" timestamp="1729489917"&gt;1&lt;/key&gt;&lt;/foreign-keys&gt;&lt;ref-type name="Journal Article"&gt;17&lt;/ref-type&gt;&lt;contributors&gt;&lt;authors&gt;&lt;author&gt;Yang, Xiran&lt;/author&gt;&lt;author&gt;Qi, Yong&lt;/author&gt;&lt;/authors&gt;&lt;/contributors&gt;&lt;titles&gt;&lt;title&gt;Simulation of intellectual property management on evolution driving of regional economic growth&lt;/title&gt;&lt;secondary-title&gt;Applied Sciences&lt;/secondary-title&gt;&lt;/titles&gt;&lt;periodical&gt;&lt;full-title&gt;Applied Sciences&lt;/full-title&gt;&lt;/periodical&gt;&lt;pages&gt;9011&lt;/pages&gt;&lt;volume&gt;12&lt;/volume&gt;&lt;number&gt;18&lt;/number&gt;&lt;dates&gt;&lt;year&gt;2022&lt;/year&gt;&lt;/dates&gt;&lt;publisher&gt;MDPI&lt;/publisher&gt;&lt;isbn&gt;2076-3417&lt;/isbn&gt;&lt;urls&gt;&lt;/urls&gt;&lt;/record&gt;&lt;/Cite&gt;&lt;/EndNote&gt;</w:instrText>
      </w:r>
      <w:r w:rsidR="00AD2909" w:rsidRPr="00444A2E">
        <w:rPr>
          <w:rStyle w:val="Emphasis"/>
        </w:rPr>
        <w:fldChar w:fldCharType="separate"/>
      </w:r>
      <w:r w:rsidR="00AD2909" w:rsidRPr="00444A2E">
        <w:rPr>
          <w:rStyle w:val="Emphasis"/>
        </w:rPr>
        <w:t>[20]</w:t>
      </w:r>
      <w:r w:rsidR="00AD2909" w:rsidRPr="00444A2E">
        <w:rPr>
          <w:rStyle w:val="Emphasis"/>
        </w:rPr>
        <w:fldChar w:fldCharType="end"/>
      </w:r>
      <w:r w:rsidR="00AD2909" w:rsidRPr="00444A2E">
        <w:rPr>
          <w:rStyle w:val="Emphasis"/>
        </w:rPr>
        <w:t>.</w:t>
      </w:r>
      <w:r w:rsidRPr="00444A2E">
        <w:rPr>
          <w:rStyle w:val="Emphasis"/>
        </w:rPr>
        <w:t xml:space="preserve"> Additionally, stricter enforcement of intellectual property laws has been found to have a positive relationship with economic growth</w:t>
      </w:r>
      <w:r w:rsidR="00AD2909" w:rsidRPr="00444A2E">
        <w:rPr>
          <w:rStyle w:val="Emphasis"/>
        </w:rPr>
        <w:t xml:space="preserve"> </w:t>
      </w:r>
      <w:r w:rsidR="00AD2909" w:rsidRPr="00444A2E">
        <w:rPr>
          <w:rStyle w:val="Emphasis"/>
        </w:rPr>
        <w:fldChar w:fldCharType="begin"/>
      </w:r>
      <w:r w:rsidR="00AD2909" w:rsidRPr="00444A2E">
        <w:rPr>
          <w:rStyle w:val="Emphasis"/>
        </w:rPr>
        <w:instrText xml:space="preserve"> ADDIN EN.CITE &lt;EndNote&gt;&lt;Cite&gt;&lt;Author&gt;Janjua&lt;/Author&gt;&lt;Year&gt;2007&lt;/Year&gt;&lt;RecNum&gt;2&lt;/RecNum&gt;&lt;DisplayText&gt;[21, 22]&lt;/DisplayText&gt;&lt;record&gt;&lt;rec-number&gt;2&lt;/rec-number&gt;&lt;foreign-keys&gt;&lt;key app="EN" db-id="sfp0rxef12a5zve5z2spvds9zpaze0vtpde2" timestamp="1729489971"&gt;2&lt;/key&gt;&lt;/foreign-keys&gt;&lt;ref-type name="Journal Article"&gt;17&lt;/ref-type&gt;&lt;contributors&gt;&lt;authors&gt;&lt;author&gt;Janjua, Pervez Zamurrad&lt;/author&gt;&lt;author&gt;Samad, Ghulam&lt;/author&gt;&lt;/authors&gt;&lt;/contributors&gt;&lt;titles&gt;&lt;title&gt;Intellectual property rights and economic growth: The case of middle income developing countries&lt;/title&gt;&lt;secondary-title&gt;The Pakistan Development Review&lt;/secondary-title&gt;&lt;/titles&gt;&lt;periodical&gt;&lt;full-title&gt;The Pakistan Development Review&lt;/full-title&gt;&lt;/periodical&gt;&lt;pages&gt;711-722&lt;/pages&gt;&lt;dates&gt;&lt;year&gt;2007&lt;/year&gt;&lt;/dates&gt;&lt;publisher&gt;JSTOR&lt;/publisher&gt;&lt;isbn&gt;0030-9729&lt;/isbn&gt;&lt;urls&gt;&lt;/urls&gt;&lt;/record&gt;&lt;/Cite&gt;&lt;Cite&gt;&lt;Author&gt;Antons&lt;/Author&gt;&lt;Year&gt;2023&lt;/Year&gt;&lt;RecNum&gt;3&lt;/RecNum&gt;&lt;record&gt;&lt;rec-number&gt;3&lt;/rec-number&gt;&lt;foreign-keys&gt;&lt;key app="EN" db-id="sfp0rxef12a5zve5z2spvds9zpaze0vtpde2" timestamp="1729490054"&gt;3&lt;/key&gt;&lt;/foreign-keys&gt;&lt;ref-type name="Book Section"&gt;5&lt;/ref-type&gt;&lt;contributors&gt;&lt;authors&gt;&lt;author&gt;Antons, Christoph&lt;/author&gt;&lt;author&gt;Blakeney, Michael&lt;/author&gt;&lt;/authors&gt;&lt;/contributors&gt;&lt;titles&gt;&lt;title&gt;Intellectual property, creativity and innovation in ASEAN&lt;/title&gt;&lt;secondary-title&gt;Intellectual Property Law in South East Asia&lt;/secondary-title&gt;&lt;/titles&gt;&lt;pages&gt;1-16&lt;/pages&gt;&lt;dates&gt;&lt;year&gt;2023&lt;/year&gt;&lt;/dates&gt;&lt;publisher&gt;Edward Elgar Publishing&lt;/publisher&gt;&lt;isbn&gt;1035308398&lt;/isbn&gt;&lt;urls&gt;&lt;/urls&gt;&lt;/record&gt;&lt;/Cite&gt;&lt;/EndNote&gt;</w:instrText>
      </w:r>
      <w:r w:rsidR="00AD2909" w:rsidRPr="00444A2E">
        <w:rPr>
          <w:rStyle w:val="Emphasis"/>
        </w:rPr>
        <w:fldChar w:fldCharType="separate"/>
      </w:r>
      <w:r w:rsidR="00AD2909" w:rsidRPr="00444A2E">
        <w:rPr>
          <w:rStyle w:val="Emphasis"/>
        </w:rPr>
        <w:t>[21, 22]</w:t>
      </w:r>
      <w:r w:rsidR="00AD2909" w:rsidRPr="00444A2E">
        <w:rPr>
          <w:rStyle w:val="Emphasis"/>
        </w:rPr>
        <w:fldChar w:fldCharType="end"/>
      </w:r>
      <w:r w:rsidRPr="00444A2E">
        <w:rPr>
          <w:rStyle w:val="Emphasis"/>
        </w:rPr>
        <w:t>. The costs of using intellectual property in the ASEAN region are likely to be influenced by economic growth and the implementation and enforcement of intellectual property laws and regulations.</w:t>
      </w:r>
      <w:r w:rsidR="00EA50A7" w:rsidRPr="00444A2E">
        <w:rPr>
          <w:rStyle w:val="Emphasis"/>
          <w:rFonts w:eastAsia="Calibri"/>
        </w:rPr>
        <w:tab/>
      </w:r>
    </w:p>
    <w:p w14:paraId="488462FA" w14:textId="0E1A7B8B" w:rsidR="00EA50A7" w:rsidRPr="00A50F32" w:rsidRDefault="00EA50A7" w:rsidP="009A7BC2">
      <w:pPr>
        <w:pStyle w:val="Heading1"/>
        <w:rPr>
          <w:color w:val="FF0000"/>
          <w:sz w:val="20"/>
        </w:rPr>
      </w:pPr>
      <w:r w:rsidRPr="00A50F32">
        <w:t>CONCLUSIONS</w:t>
      </w:r>
    </w:p>
    <w:p w14:paraId="69A8AAB9" w14:textId="51E05C43" w:rsidR="00EA50A7" w:rsidRPr="00444A2E" w:rsidRDefault="009D755F" w:rsidP="00CA3BBC">
      <w:pPr>
        <w:pStyle w:val="Paragraphnumbered"/>
        <w:numPr>
          <w:ilvl w:val="0"/>
          <w:numId w:val="0"/>
        </w:numPr>
        <w:ind w:firstLine="284"/>
        <w:rPr>
          <w:rStyle w:val="Emphasis"/>
        </w:rPr>
      </w:pPr>
      <w:r w:rsidRPr="00444A2E">
        <w:rPr>
          <w:rStyle w:val="Emphasis"/>
        </w:rPr>
        <w:t>Ownership of mobile phones in ASEAN in the long term or short term can influence economic growth. Meanwhile, the costs of using intellectual property and the number of patents have yet to be able to contribute to the economic growth of ASEAN countries in the long and short term. Using mobile phones with reasonably high intensity, whether used for productive or consumptive activities, significantly influences the economic growth of ASEAN countries. However, the impact on intellectual property reflected in the cost of use and the amount of patented intellectual property has not been able to contribute maximally to the country's economic growth in ASEAN.</w:t>
      </w:r>
    </w:p>
    <w:p w14:paraId="53C33439" w14:textId="72521DAF" w:rsidR="00F647C8" w:rsidRPr="00AD2909" w:rsidRDefault="00EA50A7" w:rsidP="00AD2909">
      <w:pPr>
        <w:pStyle w:val="Heading1"/>
      </w:pPr>
      <w:r w:rsidRPr="00A50F32">
        <w:lastRenderedPageBreak/>
        <w:t>References</w:t>
      </w:r>
    </w:p>
    <w:p w14:paraId="62B3CBF5" w14:textId="77777777" w:rsidR="00AD2909" w:rsidRPr="00AD2909" w:rsidRDefault="00F647C8" w:rsidP="00453D2C">
      <w:pPr>
        <w:pStyle w:val="EndNoteBibliography"/>
        <w:ind w:left="714" w:hanging="357"/>
      </w:pPr>
      <w:r w:rsidRPr="00AD2909">
        <w:rPr>
          <w:rFonts w:eastAsia="Calibri"/>
        </w:rPr>
        <w:fldChar w:fldCharType="begin"/>
      </w:r>
      <w:r w:rsidRPr="00AD2909">
        <w:rPr>
          <w:rFonts w:eastAsia="Calibri"/>
        </w:rPr>
        <w:instrText xml:space="preserve"> ADDIN EN.REFLIST </w:instrText>
      </w:r>
      <w:r w:rsidRPr="00AD2909">
        <w:rPr>
          <w:rFonts w:eastAsia="Calibri"/>
        </w:rPr>
        <w:fldChar w:fldCharType="separate"/>
      </w:r>
      <w:r w:rsidR="00AD2909" w:rsidRPr="00AD2909">
        <w:t>1.</w:t>
      </w:r>
      <w:r w:rsidR="00AD2909" w:rsidRPr="00AD2909">
        <w:tab/>
        <w:t>Araji, S.M. and H. Mohtadi, Natural resources, incentives and human capital: reinterpreting the curse. Middle East Development Journal, 2018. 10(1): p. 1-30.</w:t>
      </w:r>
    </w:p>
    <w:p w14:paraId="5D5FF7C4" w14:textId="77777777" w:rsidR="00AD2909" w:rsidRPr="00AD2909" w:rsidRDefault="00AD2909" w:rsidP="00453D2C">
      <w:pPr>
        <w:pStyle w:val="EndNoteBibliography"/>
        <w:ind w:left="714" w:hanging="357"/>
      </w:pPr>
      <w:r w:rsidRPr="00AD2909">
        <w:t>2.</w:t>
      </w:r>
      <w:r w:rsidRPr="00AD2909">
        <w:tab/>
        <w:t>Karp, L.S. and M. Chen, Environmental indices for the Chinese grain sector. Available at SSRN 293691, 2001.</w:t>
      </w:r>
    </w:p>
    <w:p w14:paraId="34D36A86" w14:textId="77777777" w:rsidR="00AD2909" w:rsidRPr="00AD2909" w:rsidRDefault="00AD2909" w:rsidP="00453D2C">
      <w:pPr>
        <w:pStyle w:val="EndNoteBibliography"/>
        <w:ind w:left="714" w:hanging="357"/>
      </w:pPr>
      <w:r w:rsidRPr="00AD2909">
        <w:t>3.</w:t>
      </w:r>
      <w:r w:rsidRPr="00AD2909">
        <w:tab/>
        <w:t>Naeruz, M., et al. The impact of economic growth on technological developments, emoneys and fluctuations interest rates and exchange rates in Indonesia. EDP Sciences.</w:t>
      </w:r>
    </w:p>
    <w:p w14:paraId="1D9BA8E6" w14:textId="77777777" w:rsidR="00AD2909" w:rsidRPr="00AD2909" w:rsidRDefault="00AD2909" w:rsidP="00453D2C">
      <w:pPr>
        <w:pStyle w:val="EndNoteBibliography"/>
        <w:ind w:left="714" w:hanging="357"/>
      </w:pPr>
      <w:r w:rsidRPr="00AD2909">
        <w:t>4.</w:t>
      </w:r>
      <w:r w:rsidRPr="00AD2909">
        <w:tab/>
        <w:t>Yılmaz, E.G., S.İ. Bıyıklı, and C. Demir, Impacts of Technology on Economic Growth: With Difference Between Tourism Countries and Industry Countries Aspect Based on Extended Solow Growth Model. Scientific Papers of the University of Pardubice. Series D, Faculty of Economics &amp; Administration, 2023. 31(1).</w:t>
      </w:r>
    </w:p>
    <w:p w14:paraId="4ECEB021" w14:textId="77777777" w:rsidR="00AD2909" w:rsidRPr="00AD2909" w:rsidRDefault="00AD2909" w:rsidP="00453D2C">
      <w:pPr>
        <w:pStyle w:val="EndNoteBibliography"/>
        <w:ind w:left="714" w:hanging="357"/>
      </w:pPr>
      <w:r w:rsidRPr="00AD2909">
        <w:t>5.</w:t>
      </w:r>
      <w:r w:rsidRPr="00AD2909">
        <w:tab/>
        <w:t>Jammeh, I.Y., The effect of technological innovation on economic growth: Evidence from ECOWAS countries. International Journal of Social Sciences Perspectives, 2022. 11(1): p. 1-10.</w:t>
      </w:r>
    </w:p>
    <w:p w14:paraId="2E54A235" w14:textId="77777777" w:rsidR="00AD2909" w:rsidRPr="00AD2909" w:rsidRDefault="00AD2909" w:rsidP="00453D2C">
      <w:pPr>
        <w:pStyle w:val="EndNoteBibliography"/>
        <w:ind w:left="714" w:hanging="357"/>
      </w:pPr>
      <w:r w:rsidRPr="00AD2909">
        <w:t>6.</w:t>
      </w:r>
      <w:r w:rsidRPr="00AD2909">
        <w:tab/>
        <w:t>Jin-Xiu, Z. An Empirical Study on the Impact of Technological Innovation on Economic Growth—Taking Shandong Province as an Example. Atlantis Press.</w:t>
      </w:r>
    </w:p>
    <w:p w14:paraId="4209B8AD" w14:textId="77777777" w:rsidR="00AD2909" w:rsidRPr="00AD2909" w:rsidRDefault="00AD2909" w:rsidP="00453D2C">
      <w:pPr>
        <w:pStyle w:val="EndNoteBibliography"/>
        <w:ind w:left="714" w:hanging="357"/>
      </w:pPr>
      <w:r w:rsidRPr="00AD2909">
        <w:t>7.</w:t>
      </w:r>
      <w:r w:rsidRPr="00AD2909">
        <w:tab/>
        <w:t>Lee, H.S., et al. Does Neo-Schumpeterian economics matter? An analysis of information and communication technology and international trade in ASEAN-5.</w:t>
      </w:r>
    </w:p>
    <w:p w14:paraId="69CED3EE" w14:textId="77777777" w:rsidR="00AD2909" w:rsidRPr="00AD2909" w:rsidRDefault="00AD2909" w:rsidP="00453D2C">
      <w:pPr>
        <w:pStyle w:val="EndNoteBibliography"/>
        <w:ind w:left="714" w:hanging="357"/>
      </w:pPr>
      <w:r w:rsidRPr="00AD2909">
        <w:t>8.</w:t>
      </w:r>
      <w:r w:rsidRPr="00AD2909">
        <w:tab/>
        <w:t>Jing, A.H.Y. and R. Ab-Rahim, Information and communication technology (ICT) and economic growth in ASEAN-5 countries. Journal of Public Administration and Governance, 2020. 10(2): p. 20-33.</w:t>
      </w:r>
    </w:p>
    <w:p w14:paraId="2FEA92AB" w14:textId="77777777" w:rsidR="00AD2909" w:rsidRPr="00AD2909" w:rsidRDefault="00AD2909" w:rsidP="00453D2C">
      <w:pPr>
        <w:pStyle w:val="EndNoteBibliography"/>
        <w:ind w:left="714" w:hanging="357"/>
      </w:pPr>
      <w:r w:rsidRPr="00AD2909">
        <w:t>9.</w:t>
      </w:r>
      <w:r w:rsidRPr="00AD2909">
        <w:tab/>
        <w:t>Thoyibah, Q.A.y.P. and L. Sugiharti, The Effect of telecommunication infrastructure on economic growth in the Six ASEAN Countries. Media Trend, 2022. 17(1): p. 156-167.</w:t>
      </w:r>
    </w:p>
    <w:p w14:paraId="16E6FC9C" w14:textId="77777777" w:rsidR="00AD2909" w:rsidRPr="00AD2909" w:rsidRDefault="00AD2909" w:rsidP="00453D2C">
      <w:pPr>
        <w:pStyle w:val="EndNoteBibliography"/>
        <w:ind w:left="714" w:hanging="357"/>
      </w:pPr>
      <w:r w:rsidRPr="00AD2909">
        <w:t>10.</w:t>
      </w:r>
      <w:r w:rsidRPr="00AD2909">
        <w:tab/>
        <w:t>Dutta, U.P., A. Gupta, and P.P. Sengupta. Exploring the nexus between mobile phone penetration and economic growth in 13 Asian countries: evidence from panel cointegration analysis. Springer.</w:t>
      </w:r>
    </w:p>
    <w:p w14:paraId="5BEC2830" w14:textId="77777777" w:rsidR="00AD2909" w:rsidRPr="00AD2909" w:rsidRDefault="00AD2909" w:rsidP="00453D2C">
      <w:pPr>
        <w:pStyle w:val="EndNoteBibliography"/>
        <w:ind w:left="714" w:hanging="357"/>
      </w:pPr>
      <w:r w:rsidRPr="00AD2909">
        <w:t>11.</w:t>
      </w:r>
      <w:r w:rsidRPr="00AD2909">
        <w:tab/>
        <w:t>Tran, L.Q.T. and M.T. Nguyen, Digital Economy: A Comparative Study in ASEAN. Theory, Methodology, Practice-Review of Business and Management, 2022. 18(02): p. 83-92.</w:t>
      </w:r>
    </w:p>
    <w:p w14:paraId="081CDA95" w14:textId="77777777" w:rsidR="00AD2909" w:rsidRPr="00AD2909" w:rsidRDefault="00AD2909" w:rsidP="00453D2C">
      <w:pPr>
        <w:pStyle w:val="EndNoteBibliography"/>
        <w:ind w:left="714" w:hanging="357"/>
      </w:pPr>
      <w:r w:rsidRPr="00AD2909">
        <w:t>12.</w:t>
      </w:r>
      <w:r w:rsidRPr="00AD2909">
        <w:tab/>
        <w:t>Prihastomo, Y. and A.A. Ningtyas. Mobile Intellectual Property Marketplace Model for Commercialization of Intellectual Property Rights. IEEE.</w:t>
      </w:r>
    </w:p>
    <w:p w14:paraId="24ED914D" w14:textId="77777777" w:rsidR="00AD2909" w:rsidRPr="00AD2909" w:rsidRDefault="00AD2909" w:rsidP="00453D2C">
      <w:pPr>
        <w:pStyle w:val="EndNoteBibliography"/>
        <w:ind w:left="714" w:hanging="357"/>
      </w:pPr>
      <w:r w:rsidRPr="00AD2909">
        <w:t>13.</w:t>
      </w:r>
      <w:r w:rsidRPr="00AD2909">
        <w:tab/>
        <w:t>Lu, B.-Y., et al., EXPLORATION OF MOBILE MARKET: POPULATION DISTRIBUTION AND EMOTIONAL BEHAVIOR CHANGES IN SOUTHEAST AND SOUTH ASIAN COUNTRIES. International Journal of Neuropsychopharmacology, 2022. 25(Supplement_1): p. A100-A101.</w:t>
      </w:r>
    </w:p>
    <w:p w14:paraId="1EF27F6A" w14:textId="77777777" w:rsidR="00AD2909" w:rsidRPr="00AD2909" w:rsidRDefault="00AD2909" w:rsidP="00453D2C">
      <w:pPr>
        <w:pStyle w:val="EndNoteBibliography"/>
        <w:ind w:left="714" w:hanging="357"/>
      </w:pPr>
      <w:r w:rsidRPr="00AD2909">
        <w:t>14.</w:t>
      </w:r>
      <w:r w:rsidRPr="00AD2909">
        <w:tab/>
        <w:t>Lim, H.Y.-F., The battle against digital copyright infringements in ASEAN, in Intellectual Property Law in South East Asia. 2023, Edward Elgar Publishing. p. 297-317.</w:t>
      </w:r>
    </w:p>
    <w:p w14:paraId="1A0B4D58" w14:textId="77777777" w:rsidR="00AD2909" w:rsidRPr="00AD2909" w:rsidRDefault="00AD2909" w:rsidP="00453D2C">
      <w:pPr>
        <w:pStyle w:val="EndNoteBibliography"/>
        <w:ind w:left="714" w:hanging="357"/>
      </w:pPr>
      <w:r w:rsidRPr="00AD2909">
        <w:t>15.</w:t>
      </w:r>
      <w:r w:rsidRPr="00AD2909">
        <w:tab/>
        <w:t>Antons, C. and M. Blakeney, Intellectual property, farmers' rights and agriculture in the ASEAN countries, in Intellectual Property Law in South East Asia. 2023, Edward Elgar Publishing. p. 318-357.</w:t>
      </w:r>
    </w:p>
    <w:p w14:paraId="22BBA84E" w14:textId="77777777" w:rsidR="00AD2909" w:rsidRPr="00AD2909" w:rsidRDefault="00AD2909" w:rsidP="00453D2C">
      <w:pPr>
        <w:pStyle w:val="EndNoteBibliography"/>
        <w:ind w:left="714" w:hanging="357"/>
      </w:pPr>
      <w:r w:rsidRPr="00AD2909">
        <w:t>16.</w:t>
      </w:r>
      <w:r w:rsidRPr="00AD2909">
        <w:tab/>
        <w:t>Nipo, D.T., et al., Information and Communication Technology (ICT) on Economic Growth in Asia: A Panel Data Analysis. International Journal of Business and Management, 2022. 17(12): p. 18-23.</w:t>
      </w:r>
    </w:p>
    <w:p w14:paraId="1B18B9C5" w14:textId="77777777" w:rsidR="00AD2909" w:rsidRPr="00AD2909" w:rsidRDefault="00AD2909" w:rsidP="00453D2C">
      <w:pPr>
        <w:pStyle w:val="EndNoteBibliography"/>
        <w:ind w:left="714" w:hanging="357"/>
      </w:pPr>
      <w:r w:rsidRPr="00AD2909">
        <w:t>17.</w:t>
      </w:r>
      <w:r w:rsidRPr="00AD2909">
        <w:tab/>
        <w:t>Das, A., S. Khan, and M. Chowdhury, Effects of ICT development on economic growth in emerging Asian countries, in ICTs in Developing Countries: Research, Practices and Policy Implications. 2016, Springer. p. 141-159.</w:t>
      </w:r>
    </w:p>
    <w:p w14:paraId="7CFEA646" w14:textId="77777777" w:rsidR="00AD2909" w:rsidRPr="00AD2909" w:rsidRDefault="00AD2909" w:rsidP="00453D2C">
      <w:pPr>
        <w:pStyle w:val="EndNoteBibliography"/>
        <w:ind w:left="714" w:hanging="357"/>
      </w:pPr>
      <w:r w:rsidRPr="00AD2909">
        <w:t>18.</w:t>
      </w:r>
      <w:r w:rsidRPr="00AD2909">
        <w:tab/>
        <w:t>Kurniawati, M.A., Analysis of the impact of information communication technology on economic growth: empirical evidence from Asian countries. Journal of Asian Business and Economic Studies, 2022. 29(1): p. 2-18.</w:t>
      </w:r>
    </w:p>
    <w:p w14:paraId="0D52AEBB" w14:textId="77777777" w:rsidR="00AD2909" w:rsidRPr="00AD2909" w:rsidRDefault="00AD2909" w:rsidP="00453D2C">
      <w:pPr>
        <w:pStyle w:val="EndNoteBibliography"/>
        <w:ind w:left="714" w:hanging="357"/>
      </w:pPr>
      <w:r w:rsidRPr="00AD2909">
        <w:t>19.</w:t>
      </w:r>
      <w:r w:rsidRPr="00AD2909">
        <w:tab/>
        <w:t>Lim, Y.A.L. and V. Nissapatorn, Transmission of waterborne parasites in the Association of Southeast Asian Nations (ASEAN): Overview and direction forward. Food and Waterborne Parasitology, 2017. 8: p. 75-83.</w:t>
      </w:r>
    </w:p>
    <w:p w14:paraId="55EF6A20" w14:textId="77777777" w:rsidR="00AD2909" w:rsidRPr="00AD2909" w:rsidRDefault="00AD2909" w:rsidP="00453D2C">
      <w:pPr>
        <w:pStyle w:val="EndNoteBibliography"/>
        <w:ind w:left="714" w:hanging="357"/>
      </w:pPr>
      <w:r w:rsidRPr="00AD2909">
        <w:t>20.</w:t>
      </w:r>
      <w:r w:rsidRPr="00AD2909">
        <w:tab/>
        <w:t>Yang, X. and Y. Qi, Simulation of intellectual property management on evolution driving of regional economic growth. Applied Sciences, 2022. 12(18): p. 9011.</w:t>
      </w:r>
    </w:p>
    <w:p w14:paraId="5CE36FDA" w14:textId="77777777" w:rsidR="00AD2909" w:rsidRPr="00AD2909" w:rsidRDefault="00AD2909" w:rsidP="00453D2C">
      <w:pPr>
        <w:pStyle w:val="EndNoteBibliography"/>
        <w:ind w:left="714" w:hanging="357"/>
      </w:pPr>
      <w:r w:rsidRPr="00AD2909">
        <w:t>21.</w:t>
      </w:r>
      <w:r w:rsidRPr="00AD2909">
        <w:tab/>
        <w:t>Janjua, P.Z. and G. Samad, Intellectual property rights and economic growth: The case of middle income developing countries. The Pakistan Development Review, 2007: p. 711-722.</w:t>
      </w:r>
    </w:p>
    <w:p w14:paraId="3065958F" w14:textId="77777777" w:rsidR="00AD2909" w:rsidRPr="00AD2909" w:rsidRDefault="00AD2909" w:rsidP="00453D2C">
      <w:pPr>
        <w:pStyle w:val="EndNoteBibliography"/>
        <w:ind w:left="714" w:hanging="357"/>
      </w:pPr>
      <w:r w:rsidRPr="00AD2909">
        <w:t>22.</w:t>
      </w:r>
      <w:r w:rsidRPr="00AD2909">
        <w:tab/>
        <w:t>Antons, C. and M. Blakeney, Intellectual property, creativity and innovation in ASEAN, in Intellectual Property Law in South East Asia. 2023, Edward Elgar Publishing. p. 1-16.</w:t>
      </w:r>
    </w:p>
    <w:p w14:paraId="7E85C954" w14:textId="66A3AE60" w:rsidR="00BF6F61" w:rsidRPr="00A50F32" w:rsidRDefault="00F647C8" w:rsidP="00453D2C">
      <w:pPr>
        <w:pStyle w:val="Reference"/>
        <w:numPr>
          <w:ilvl w:val="0"/>
          <w:numId w:val="0"/>
        </w:numPr>
        <w:ind w:left="714" w:hanging="357"/>
        <w:rPr>
          <w:rFonts w:eastAsia="Calibri"/>
        </w:rPr>
      </w:pPr>
      <w:r w:rsidRPr="00AD2909">
        <w:rPr>
          <w:rFonts w:eastAsia="Calibri"/>
        </w:rPr>
        <w:fldChar w:fldCharType="end"/>
      </w:r>
    </w:p>
    <w:sectPr w:rsidR="00BF6F61" w:rsidRPr="00A50F32" w:rsidSect="00A10F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iriam">
    <w:charset w:val="B1"/>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53C4B"/>
    <w:multiLevelType w:val="hybridMultilevel"/>
    <w:tmpl w:val="A28E8B60"/>
    <w:lvl w:ilvl="0" w:tplc="6D9C9C12">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1CB6625"/>
    <w:multiLevelType w:val="hybridMultilevel"/>
    <w:tmpl w:val="96DA91DA"/>
    <w:lvl w:ilvl="0" w:tplc="473A08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BB5A6D"/>
    <w:multiLevelType w:val="hybridMultilevel"/>
    <w:tmpl w:val="7A966AA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9CA0820"/>
    <w:multiLevelType w:val="hybridMultilevel"/>
    <w:tmpl w:val="CCF2F9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5F26DA"/>
    <w:multiLevelType w:val="hybridMultilevel"/>
    <w:tmpl w:val="7FDA5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4C4866"/>
    <w:multiLevelType w:val="hybridMultilevel"/>
    <w:tmpl w:val="53EA95C2"/>
    <w:lvl w:ilvl="0" w:tplc="A6F45C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B46A7F"/>
    <w:multiLevelType w:val="hybridMultilevel"/>
    <w:tmpl w:val="4474A270"/>
    <w:lvl w:ilvl="0" w:tplc="5D4EE718">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8C31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B4E5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4CF5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A263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72EE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FE90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B6C3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A411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5D9281B"/>
    <w:multiLevelType w:val="hybridMultilevel"/>
    <w:tmpl w:val="FD58C74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6DE4A90"/>
    <w:multiLevelType w:val="hybridMultilevel"/>
    <w:tmpl w:val="A12A782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BDA0192"/>
    <w:multiLevelType w:val="hybridMultilevel"/>
    <w:tmpl w:val="9986233C"/>
    <w:lvl w:ilvl="0" w:tplc="78ACBA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455CC8"/>
    <w:multiLevelType w:val="hybridMultilevel"/>
    <w:tmpl w:val="9CAE25F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36517F71"/>
    <w:multiLevelType w:val="hybridMultilevel"/>
    <w:tmpl w:val="6062FB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631626"/>
    <w:multiLevelType w:val="hybridMultilevel"/>
    <w:tmpl w:val="62E8DAF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EDC490C"/>
    <w:multiLevelType w:val="hybridMultilevel"/>
    <w:tmpl w:val="B2F04282"/>
    <w:lvl w:ilvl="0" w:tplc="6778C7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F4E56DE"/>
    <w:multiLevelType w:val="hybridMultilevel"/>
    <w:tmpl w:val="A202AB6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F7521F8"/>
    <w:multiLevelType w:val="hybridMultilevel"/>
    <w:tmpl w:val="C7D4AF7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FD22AD1"/>
    <w:multiLevelType w:val="hybridMultilevel"/>
    <w:tmpl w:val="EAF6A110"/>
    <w:lvl w:ilvl="0" w:tplc="69C6519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984C46"/>
    <w:multiLevelType w:val="hybridMultilevel"/>
    <w:tmpl w:val="1396C830"/>
    <w:lvl w:ilvl="0" w:tplc="6D9C9C12">
      <w:start w:val="2"/>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496437E4"/>
    <w:multiLevelType w:val="multilevel"/>
    <w:tmpl w:val="B4B296F4"/>
    <w:lvl w:ilvl="0">
      <w:start w:val="1"/>
      <w:numFmt w:val="decimal"/>
      <w:lvlText w:val="%1."/>
      <w:lvlJc w:val="left"/>
      <w:pPr>
        <w:ind w:left="720" w:hanging="360"/>
      </w:p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BF4071D"/>
    <w:multiLevelType w:val="hybridMultilevel"/>
    <w:tmpl w:val="A2041E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4B4EAB"/>
    <w:multiLevelType w:val="hybridMultilevel"/>
    <w:tmpl w:val="5A284C06"/>
    <w:lvl w:ilvl="0" w:tplc="9B1CFF72">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3" w15:restartNumberingAfterBreak="0">
    <w:nsid w:val="51C705E9"/>
    <w:multiLevelType w:val="hybridMultilevel"/>
    <w:tmpl w:val="77D6DC24"/>
    <w:lvl w:ilvl="0" w:tplc="A4340A60">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4" w15:restartNumberingAfterBreak="0">
    <w:nsid w:val="534F3697"/>
    <w:multiLevelType w:val="hybridMultilevel"/>
    <w:tmpl w:val="E51CF936"/>
    <w:lvl w:ilvl="0" w:tplc="1CCC2CE6">
      <w:start w:val="1"/>
      <w:numFmt w:val="decimal"/>
      <w:lvlText w:val="%1."/>
      <w:lvlJc w:val="left"/>
      <w:pPr>
        <w:tabs>
          <w:tab w:val="num" w:pos="720"/>
        </w:tabs>
        <w:ind w:left="720" w:hanging="360"/>
      </w:pPr>
    </w:lvl>
    <w:lvl w:ilvl="1" w:tplc="FEF24FA4" w:tentative="1">
      <w:start w:val="1"/>
      <w:numFmt w:val="decimal"/>
      <w:lvlText w:val="%2."/>
      <w:lvlJc w:val="left"/>
      <w:pPr>
        <w:tabs>
          <w:tab w:val="num" w:pos="1440"/>
        </w:tabs>
        <w:ind w:left="1440" w:hanging="360"/>
      </w:pPr>
    </w:lvl>
    <w:lvl w:ilvl="2" w:tplc="94ECADBE" w:tentative="1">
      <w:start w:val="1"/>
      <w:numFmt w:val="decimal"/>
      <w:lvlText w:val="%3."/>
      <w:lvlJc w:val="left"/>
      <w:pPr>
        <w:tabs>
          <w:tab w:val="num" w:pos="2160"/>
        </w:tabs>
        <w:ind w:left="2160" w:hanging="360"/>
      </w:pPr>
    </w:lvl>
    <w:lvl w:ilvl="3" w:tplc="E1A2A7A2" w:tentative="1">
      <w:start w:val="1"/>
      <w:numFmt w:val="decimal"/>
      <w:lvlText w:val="%4."/>
      <w:lvlJc w:val="left"/>
      <w:pPr>
        <w:tabs>
          <w:tab w:val="num" w:pos="2880"/>
        </w:tabs>
        <w:ind w:left="2880" w:hanging="360"/>
      </w:pPr>
    </w:lvl>
    <w:lvl w:ilvl="4" w:tplc="94AAEA5A" w:tentative="1">
      <w:start w:val="1"/>
      <w:numFmt w:val="decimal"/>
      <w:lvlText w:val="%5."/>
      <w:lvlJc w:val="left"/>
      <w:pPr>
        <w:tabs>
          <w:tab w:val="num" w:pos="3600"/>
        </w:tabs>
        <w:ind w:left="3600" w:hanging="360"/>
      </w:pPr>
    </w:lvl>
    <w:lvl w:ilvl="5" w:tplc="129410F2" w:tentative="1">
      <w:start w:val="1"/>
      <w:numFmt w:val="decimal"/>
      <w:lvlText w:val="%6."/>
      <w:lvlJc w:val="left"/>
      <w:pPr>
        <w:tabs>
          <w:tab w:val="num" w:pos="4320"/>
        </w:tabs>
        <w:ind w:left="4320" w:hanging="360"/>
      </w:pPr>
    </w:lvl>
    <w:lvl w:ilvl="6" w:tplc="5B5EBB68" w:tentative="1">
      <w:start w:val="1"/>
      <w:numFmt w:val="decimal"/>
      <w:lvlText w:val="%7."/>
      <w:lvlJc w:val="left"/>
      <w:pPr>
        <w:tabs>
          <w:tab w:val="num" w:pos="5040"/>
        </w:tabs>
        <w:ind w:left="5040" w:hanging="360"/>
      </w:pPr>
    </w:lvl>
    <w:lvl w:ilvl="7" w:tplc="257415EA" w:tentative="1">
      <w:start w:val="1"/>
      <w:numFmt w:val="decimal"/>
      <w:lvlText w:val="%8."/>
      <w:lvlJc w:val="left"/>
      <w:pPr>
        <w:tabs>
          <w:tab w:val="num" w:pos="5760"/>
        </w:tabs>
        <w:ind w:left="5760" w:hanging="360"/>
      </w:pPr>
    </w:lvl>
    <w:lvl w:ilvl="8" w:tplc="F3AA4686" w:tentative="1">
      <w:start w:val="1"/>
      <w:numFmt w:val="decimal"/>
      <w:lvlText w:val="%9."/>
      <w:lvlJc w:val="left"/>
      <w:pPr>
        <w:tabs>
          <w:tab w:val="num" w:pos="6480"/>
        </w:tabs>
        <w:ind w:left="6480" w:hanging="360"/>
      </w:pPr>
    </w:lvl>
  </w:abstractNum>
  <w:abstractNum w:abstractNumId="25" w15:restartNumberingAfterBreak="0">
    <w:nsid w:val="55BA18CF"/>
    <w:multiLevelType w:val="hybridMultilevel"/>
    <w:tmpl w:val="E730DC48"/>
    <w:lvl w:ilvl="0" w:tplc="75B2A3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6385C19"/>
    <w:multiLevelType w:val="hybridMultilevel"/>
    <w:tmpl w:val="3712373A"/>
    <w:lvl w:ilvl="0" w:tplc="EABE03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C9C13E0"/>
    <w:multiLevelType w:val="hybridMultilevel"/>
    <w:tmpl w:val="3B9E9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CC68FF"/>
    <w:multiLevelType w:val="hybridMultilevel"/>
    <w:tmpl w:val="BFBAD9A4"/>
    <w:lvl w:ilvl="0" w:tplc="1AEEA056">
      <w:start w:val="1"/>
      <w:numFmt w:val="lowerLetter"/>
      <w:lvlText w:val="%1."/>
      <w:lvlJc w:val="left"/>
      <w:pPr>
        <w:ind w:left="1170" w:hanging="450"/>
      </w:pPr>
      <w:rPr>
        <w:rFonts w:ascii="Times New Roman" w:eastAsia="Times New Roman"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9" w15:restartNumberingAfterBreak="0">
    <w:nsid w:val="6961053C"/>
    <w:multiLevelType w:val="hybridMultilevel"/>
    <w:tmpl w:val="50A6712E"/>
    <w:lvl w:ilvl="0" w:tplc="D0468A98">
      <w:start w:val="1"/>
      <w:numFmt w:val="lowerLetter"/>
      <w:lvlText w:val="%1."/>
      <w:lvlJc w:val="left"/>
      <w:pPr>
        <w:ind w:left="644" w:hanging="360"/>
      </w:pPr>
      <w:rPr>
        <w:rFonts w:hint="default"/>
        <w:i w:val="0"/>
        <w:color w:val="333333"/>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69A94DAF"/>
    <w:multiLevelType w:val="hybridMultilevel"/>
    <w:tmpl w:val="EE78F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3F2661"/>
    <w:multiLevelType w:val="hybridMultilevel"/>
    <w:tmpl w:val="04489C52"/>
    <w:lvl w:ilvl="0" w:tplc="3FAAED52">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6F0154FC"/>
    <w:multiLevelType w:val="hybridMultilevel"/>
    <w:tmpl w:val="392E12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0F73E0"/>
    <w:multiLevelType w:val="hybridMultilevel"/>
    <w:tmpl w:val="ADE84F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2C5989"/>
    <w:multiLevelType w:val="hybridMultilevel"/>
    <w:tmpl w:val="8410D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194282"/>
    <w:multiLevelType w:val="hybridMultilevel"/>
    <w:tmpl w:val="C254A91E"/>
    <w:lvl w:ilvl="0" w:tplc="0A1AC130">
      <w:start w:val="1"/>
      <w:numFmt w:val="lowerLetter"/>
      <w:lvlText w:val="%1)"/>
      <w:lvlJc w:val="left"/>
      <w:pPr>
        <w:ind w:left="600" w:hanging="360"/>
      </w:pPr>
      <w:rPr>
        <w:rFonts w:hint="default"/>
        <w:color w:val="auto"/>
      </w:rPr>
    </w:lvl>
    <w:lvl w:ilvl="1" w:tplc="04210019" w:tentative="1">
      <w:start w:val="1"/>
      <w:numFmt w:val="lowerLetter"/>
      <w:lvlText w:val="%2."/>
      <w:lvlJc w:val="left"/>
      <w:pPr>
        <w:ind w:left="1320" w:hanging="360"/>
      </w:pPr>
    </w:lvl>
    <w:lvl w:ilvl="2" w:tplc="0421001B" w:tentative="1">
      <w:start w:val="1"/>
      <w:numFmt w:val="lowerRoman"/>
      <w:lvlText w:val="%3."/>
      <w:lvlJc w:val="right"/>
      <w:pPr>
        <w:ind w:left="2040" w:hanging="180"/>
      </w:pPr>
    </w:lvl>
    <w:lvl w:ilvl="3" w:tplc="0421000F" w:tentative="1">
      <w:start w:val="1"/>
      <w:numFmt w:val="decimal"/>
      <w:lvlText w:val="%4."/>
      <w:lvlJc w:val="left"/>
      <w:pPr>
        <w:ind w:left="2760" w:hanging="360"/>
      </w:pPr>
    </w:lvl>
    <w:lvl w:ilvl="4" w:tplc="04210019" w:tentative="1">
      <w:start w:val="1"/>
      <w:numFmt w:val="lowerLetter"/>
      <w:lvlText w:val="%5."/>
      <w:lvlJc w:val="left"/>
      <w:pPr>
        <w:ind w:left="3480" w:hanging="360"/>
      </w:pPr>
    </w:lvl>
    <w:lvl w:ilvl="5" w:tplc="0421001B" w:tentative="1">
      <w:start w:val="1"/>
      <w:numFmt w:val="lowerRoman"/>
      <w:lvlText w:val="%6."/>
      <w:lvlJc w:val="right"/>
      <w:pPr>
        <w:ind w:left="4200" w:hanging="180"/>
      </w:pPr>
    </w:lvl>
    <w:lvl w:ilvl="6" w:tplc="0421000F" w:tentative="1">
      <w:start w:val="1"/>
      <w:numFmt w:val="decimal"/>
      <w:lvlText w:val="%7."/>
      <w:lvlJc w:val="left"/>
      <w:pPr>
        <w:ind w:left="4920" w:hanging="360"/>
      </w:pPr>
    </w:lvl>
    <w:lvl w:ilvl="7" w:tplc="04210019" w:tentative="1">
      <w:start w:val="1"/>
      <w:numFmt w:val="lowerLetter"/>
      <w:lvlText w:val="%8."/>
      <w:lvlJc w:val="left"/>
      <w:pPr>
        <w:ind w:left="5640" w:hanging="360"/>
      </w:pPr>
    </w:lvl>
    <w:lvl w:ilvl="8" w:tplc="0421001B" w:tentative="1">
      <w:start w:val="1"/>
      <w:numFmt w:val="lowerRoman"/>
      <w:lvlText w:val="%9."/>
      <w:lvlJc w:val="right"/>
      <w:pPr>
        <w:ind w:left="6360" w:hanging="180"/>
      </w:pPr>
    </w:lvl>
  </w:abstractNum>
  <w:abstractNum w:abstractNumId="36" w15:restartNumberingAfterBreak="0">
    <w:nsid w:val="74721692"/>
    <w:multiLevelType w:val="singleLevel"/>
    <w:tmpl w:val="8BC68E6C"/>
    <w:lvl w:ilvl="0">
      <w:start w:val="1"/>
      <w:numFmt w:val="decimal"/>
      <w:pStyle w:val="Paragraphnumbered"/>
      <w:lvlText w:val="%1."/>
      <w:lvlJc w:val="left"/>
      <w:pPr>
        <w:ind w:left="644" w:hanging="360"/>
      </w:pPr>
      <w:rPr>
        <w:rFonts w:hint="default"/>
      </w:rPr>
    </w:lvl>
  </w:abstractNum>
  <w:abstractNum w:abstractNumId="37" w15:restartNumberingAfterBreak="0">
    <w:nsid w:val="7FFB1DB0"/>
    <w:multiLevelType w:val="hybridMultilevel"/>
    <w:tmpl w:val="3FCA961E"/>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97082361">
    <w:abstractNumId w:val="6"/>
  </w:num>
  <w:num w:numId="2" w16cid:durableId="1205214685">
    <w:abstractNumId w:val="4"/>
  </w:num>
  <w:num w:numId="3" w16cid:durableId="1459647612">
    <w:abstractNumId w:val="11"/>
  </w:num>
  <w:num w:numId="4" w16cid:durableId="1727558196">
    <w:abstractNumId w:val="36"/>
  </w:num>
  <w:num w:numId="5" w16cid:durableId="103809348">
    <w:abstractNumId w:val="13"/>
  </w:num>
  <w:num w:numId="6" w16cid:durableId="1085958159">
    <w:abstractNumId w:val="29"/>
  </w:num>
  <w:num w:numId="7" w16cid:durableId="1398741653">
    <w:abstractNumId w:val="2"/>
  </w:num>
  <w:num w:numId="8" w16cid:durableId="1263033085">
    <w:abstractNumId w:val="35"/>
  </w:num>
  <w:num w:numId="9" w16cid:durableId="697632350">
    <w:abstractNumId w:val="14"/>
  </w:num>
  <w:num w:numId="10" w16cid:durableId="596868382">
    <w:abstractNumId w:val="23"/>
  </w:num>
  <w:num w:numId="11" w16cid:durableId="1230267230">
    <w:abstractNumId w:val="28"/>
  </w:num>
  <w:num w:numId="12" w16cid:durableId="641230099">
    <w:abstractNumId w:val="8"/>
  </w:num>
  <w:num w:numId="13" w16cid:durableId="2095320294">
    <w:abstractNumId w:val="17"/>
  </w:num>
  <w:num w:numId="14" w16cid:durableId="1721828407">
    <w:abstractNumId w:val="7"/>
  </w:num>
  <w:num w:numId="15" w16cid:durableId="1870803059">
    <w:abstractNumId w:val="12"/>
  </w:num>
  <w:num w:numId="16" w16cid:durableId="1845506578">
    <w:abstractNumId w:val="3"/>
  </w:num>
  <w:num w:numId="17" w16cid:durableId="938221473">
    <w:abstractNumId w:val="18"/>
  </w:num>
  <w:num w:numId="18" w16cid:durableId="15280582">
    <w:abstractNumId w:val="15"/>
  </w:num>
  <w:num w:numId="19" w16cid:durableId="790855210">
    <w:abstractNumId w:val="27"/>
  </w:num>
  <w:num w:numId="20" w16cid:durableId="1889411644">
    <w:abstractNumId w:val="21"/>
  </w:num>
  <w:num w:numId="21" w16cid:durableId="1581479256">
    <w:abstractNumId w:val="32"/>
  </w:num>
  <w:num w:numId="22" w16cid:durableId="1629585167">
    <w:abstractNumId w:val="24"/>
  </w:num>
  <w:num w:numId="23" w16cid:durableId="1841000798">
    <w:abstractNumId w:val="5"/>
  </w:num>
  <w:num w:numId="24" w16cid:durableId="711541762">
    <w:abstractNumId w:val="9"/>
  </w:num>
  <w:num w:numId="25" w16cid:durableId="1960144370">
    <w:abstractNumId w:val="16"/>
  </w:num>
  <w:num w:numId="26" w16cid:durableId="1612317015">
    <w:abstractNumId w:val="22"/>
  </w:num>
  <w:num w:numId="27" w16cid:durableId="779570712">
    <w:abstractNumId w:val="10"/>
  </w:num>
  <w:num w:numId="28" w16cid:durableId="590164739">
    <w:abstractNumId w:val="37"/>
  </w:num>
  <w:num w:numId="29" w16cid:durableId="909460200">
    <w:abstractNumId w:val="20"/>
  </w:num>
  <w:num w:numId="30" w16cid:durableId="1680811893">
    <w:abstractNumId w:val="30"/>
  </w:num>
  <w:num w:numId="31" w16cid:durableId="456022479">
    <w:abstractNumId w:val="34"/>
  </w:num>
  <w:num w:numId="32" w16cid:durableId="149518856">
    <w:abstractNumId w:val="33"/>
  </w:num>
  <w:num w:numId="33" w16cid:durableId="221061288">
    <w:abstractNumId w:val="26"/>
  </w:num>
  <w:num w:numId="34" w16cid:durableId="1374306558">
    <w:abstractNumId w:val="25"/>
  </w:num>
  <w:num w:numId="35" w16cid:durableId="2073770443">
    <w:abstractNumId w:val="1"/>
  </w:num>
  <w:num w:numId="36" w16cid:durableId="1181892956">
    <w:abstractNumId w:val="19"/>
  </w:num>
  <w:num w:numId="37" w16cid:durableId="2003780169">
    <w:abstractNumId w:val="0"/>
  </w:num>
  <w:num w:numId="38" w16cid:durableId="147464040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zvev9rz0frseoefpv6pstv6d9av9epa5rfe&quot;&gt;My EndNote Library&lt;record-ids&gt;&lt;item&gt;1&lt;/item&gt;&lt;item&gt;2&lt;/item&gt;&lt;item&gt;3&lt;/item&gt;&lt;item&gt;4&lt;/item&gt;&lt;item&gt;5&lt;/item&gt;&lt;item&gt;6&lt;/item&gt;&lt;item&gt;7&lt;/item&gt;&lt;item&gt;8&lt;/item&gt;&lt;item&gt;9&lt;/item&gt;&lt;item&gt;10&lt;/item&gt;&lt;/record-ids&gt;&lt;/item&gt;&lt;item db-id=&quot;dzdesfex4asa0gexvamvtvxszs955090fzex&quot;&gt;My EndNote Library&lt;record-ids&gt;&lt;item&gt;2&lt;/item&gt;&lt;item&gt;3&lt;/item&gt;&lt;item&gt;4&lt;/item&gt;&lt;item&gt;5&lt;/item&gt;&lt;item&gt;6&lt;/item&gt;&lt;item&gt;7&lt;/item&gt;&lt;item&gt;8&lt;/item&gt;&lt;item&gt;9&lt;/item&gt;&lt;item&gt;10&lt;/item&gt;&lt;/record-ids&gt;&lt;/item&gt;&lt;item db-id=&quot;sfp0rxef12a5zve5z2spvds9zpaze0vtpde2&quot;&gt;My EndNote Library&lt;record-ids&gt;&lt;item&gt;1&lt;/item&gt;&lt;item&gt;2&lt;/item&gt;&lt;item&gt;3&lt;/item&gt;&lt;/record-ids&gt;&lt;/item&gt;&lt;/Libraries&gt;"/>
  </w:docVars>
  <w:rsids>
    <w:rsidRoot w:val="00EA50A7"/>
    <w:rsid w:val="0001007B"/>
    <w:rsid w:val="000442BF"/>
    <w:rsid w:val="00052AE0"/>
    <w:rsid w:val="00053169"/>
    <w:rsid w:val="00053198"/>
    <w:rsid w:val="00075A9B"/>
    <w:rsid w:val="000C4C41"/>
    <w:rsid w:val="000F1554"/>
    <w:rsid w:val="000F1D3A"/>
    <w:rsid w:val="000F6769"/>
    <w:rsid w:val="001403BE"/>
    <w:rsid w:val="001656F5"/>
    <w:rsid w:val="0017487D"/>
    <w:rsid w:val="001B1CF1"/>
    <w:rsid w:val="001B4656"/>
    <w:rsid w:val="001B50EC"/>
    <w:rsid w:val="002424DD"/>
    <w:rsid w:val="00294220"/>
    <w:rsid w:val="002B7DA8"/>
    <w:rsid w:val="002C69DA"/>
    <w:rsid w:val="00300407"/>
    <w:rsid w:val="00323753"/>
    <w:rsid w:val="00345A86"/>
    <w:rsid w:val="00346886"/>
    <w:rsid w:val="00352007"/>
    <w:rsid w:val="00366DB0"/>
    <w:rsid w:val="00373F31"/>
    <w:rsid w:val="003C0355"/>
    <w:rsid w:val="003E0ED5"/>
    <w:rsid w:val="00427C79"/>
    <w:rsid w:val="00444A2E"/>
    <w:rsid w:val="00453D2C"/>
    <w:rsid w:val="00483823"/>
    <w:rsid w:val="004D1B67"/>
    <w:rsid w:val="004F0FE1"/>
    <w:rsid w:val="004F659E"/>
    <w:rsid w:val="005079FC"/>
    <w:rsid w:val="00511881"/>
    <w:rsid w:val="00517755"/>
    <w:rsid w:val="00523BA3"/>
    <w:rsid w:val="00525C15"/>
    <w:rsid w:val="005649A6"/>
    <w:rsid w:val="0058436D"/>
    <w:rsid w:val="005A240E"/>
    <w:rsid w:val="005C2B16"/>
    <w:rsid w:val="005D571B"/>
    <w:rsid w:val="005E0C4C"/>
    <w:rsid w:val="00687007"/>
    <w:rsid w:val="006C4020"/>
    <w:rsid w:val="006F6357"/>
    <w:rsid w:val="00701D17"/>
    <w:rsid w:val="007279A9"/>
    <w:rsid w:val="0078043D"/>
    <w:rsid w:val="00784F94"/>
    <w:rsid w:val="007B0D2E"/>
    <w:rsid w:val="007B730D"/>
    <w:rsid w:val="007B7914"/>
    <w:rsid w:val="0082600A"/>
    <w:rsid w:val="00852515"/>
    <w:rsid w:val="008B1275"/>
    <w:rsid w:val="008C3B35"/>
    <w:rsid w:val="008C53E3"/>
    <w:rsid w:val="008D6ED3"/>
    <w:rsid w:val="009008AB"/>
    <w:rsid w:val="00901460"/>
    <w:rsid w:val="00911F68"/>
    <w:rsid w:val="009175C6"/>
    <w:rsid w:val="00971E8B"/>
    <w:rsid w:val="0098356F"/>
    <w:rsid w:val="00991411"/>
    <w:rsid w:val="009A7BC2"/>
    <w:rsid w:val="009D755F"/>
    <w:rsid w:val="009F3359"/>
    <w:rsid w:val="00A10F65"/>
    <w:rsid w:val="00A50F32"/>
    <w:rsid w:val="00A5576E"/>
    <w:rsid w:val="00A95B7C"/>
    <w:rsid w:val="00AA3156"/>
    <w:rsid w:val="00AC5C22"/>
    <w:rsid w:val="00AD0697"/>
    <w:rsid w:val="00AD2909"/>
    <w:rsid w:val="00AF572E"/>
    <w:rsid w:val="00B10665"/>
    <w:rsid w:val="00B11341"/>
    <w:rsid w:val="00B45A8C"/>
    <w:rsid w:val="00B56FCD"/>
    <w:rsid w:val="00B6146E"/>
    <w:rsid w:val="00BF6F61"/>
    <w:rsid w:val="00C15386"/>
    <w:rsid w:val="00C77C75"/>
    <w:rsid w:val="00C90568"/>
    <w:rsid w:val="00CA3BBC"/>
    <w:rsid w:val="00CB1FE9"/>
    <w:rsid w:val="00CF1F16"/>
    <w:rsid w:val="00D2657D"/>
    <w:rsid w:val="00D412B6"/>
    <w:rsid w:val="00D67413"/>
    <w:rsid w:val="00DA6D7D"/>
    <w:rsid w:val="00DF7FEA"/>
    <w:rsid w:val="00E31332"/>
    <w:rsid w:val="00EA50A7"/>
    <w:rsid w:val="00EB3132"/>
    <w:rsid w:val="00EC02EB"/>
    <w:rsid w:val="00EE1365"/>
    <w:rsid w:val="00EF41A8"/>
    <w:rsid w:val="00F05A2C"/>
    <w:rsid w:val="00F162DE"/>
    <w:rsid w:val="00F46E75"/>
    <w:rsid w:val="00F63DA8"/>
    <w:rsid w:val="00F647C8"/>
    <w:rsid w:val="00F8468D"/>
    <w:rsid w:val="00FF5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01A451"/>
  <w15:docId w15:val="{0D4BFCF4-E0BE-482C-B5DA-B8D3D0FC4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84F94"/>
    <w:pPr>
      <w:spacing w:after="0" w:line="240" w:lineRule="auto"/>
    </w:pPr>
    <w:rPr>
      <w:rFonts w:ascii="Times New Roman" w:eastAsia="Times New Roman" w:hAnsi="Times New Roman" w:cs="Times New Roman"/>
      <w:sz w:val="24"/>
      <w:szCs w:val="20"/>
    </w:rPr>
  </w:style>
  <w:style w:type="paragraph" w:styleId="Heading1">
    <w:name w:val="heading 1"/>
    <w:basedOn w:val="Normal"/>
    <w:next w:val="Paragraph"/>
    <w:link w:val="Heading1Char"/>
    <w:uiPriority w:val="9"/>
    <w:qFormat/>
    <w:rsid w:val="00784F94"/>
    <w:pPr>
      <w:keepNext/>
      <w:spacing w:before="240" w:after="240"/>
      <w:jc w:val="center"/>
      <w:outlineLvl w:val="0"/>
    </w:pPr>
    <w:rPr>
      <w:b/>
      <w:caps/>
    </w:rPr>
  </w:style>
  <w:style w:type="paragraph" w:styleId="Heading2">
    <w:name w:val="heading 2"/>
    <w:basedOn w:val="Normal"/>
    <w:next w:val="Paragraph"/>
    <w:link w:val="Heading2Char"/>
    <w:uiPriority w:val="9"/>
    <w:qFormat/>
    <w:rsid w:val="00EE1365"/>
    <w:pPr>
      <w:keepNext/>
      <w:spacing w:before="240" w:after="240"/>
      <w:jc w:val="center"/>
      <w:outlineLvl w:val="1"/>
    </w:pPr>
    <w:rPr>
      <w:b/>
      <w:shd w:val="clear" w:color="auto" w:fill="FFFFFF"/>
    </w:rPr>
  </w:style>
  <w:style w:type="paragraph" w:styleId="Heading3">
    <w:name w:val="heading 3"/>
    <w:basedOn w:val="Normal"/>
    <w:next w:val="Normal"/>
    <w:link w:val="Heading3Char"/>
    <w:qFormat/>
    <w:rsid w:val="00784F94"/>
    <w:pPr>
      <w:keepNext/>
      <w:spacing w:before="240" w:after="240"/>
      <w:jc w:val="center"/>
      <w:outlineLvl w:val="2"/>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50A7"/>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uiPriority w:val="9"/>
    <w:rsid w:val="00EE1365"/>
    <w:rPr>
      <w:rFonts w:ascii="Times New Roman" w:eastAsia="Times New Roman" w:hAnsi="Times New Roman" w:cs="Times New Roman"/>
      <w:b/>
      <w:sz w:val="24"/>
      <w:szCs w:val="20"/>
    </w:rPr>
  </w:style>
  <w:style w:type="paragraph" w:customStyle="1" w:styleId="Abstract">
    <w:name w:val="Abstract"/>
    <w:basedOn w:val="Normal"/>
    <w:next w:val="Heading1"/>
    <w:rsid w:val="00784F94"/>
    <w:pPr>
      <w:spacing w:before="360" w:after="360"/>
      <w:ind w:left="289" w:right="289"/>
      <w:jc w:val="both"/>
    </w:pPr>
    <w:rPr>
      <w:sz w:val="18"/>
    </w:rPr>
  </w:style>
  <w:style w:type="paragraph" w:customStyle="1" w:styleId="AuthorAffiliation">
    <w:name w:val="Author Affiliation"/>
    <w:basedOn w:val="Normal"/>
    <w:rsid w:val="00784F94"/>
    <w:pPr>
      <w:jc w:val="center"/>
    </w:pPr>
    <w:rPr>
      <w:i/>
      <w:sz w:val="20"/>
    </w:rPr>
  </w:style>
  <w:style w:type="paragraph" w:customStyle="1" w:styleId="AuthorEmail">
    <w:name w:val="Author Email"/>
    <w:basedOn w:val="Normal"/>
    <w:qFormat/>
    <w:rsid w:val="00784F94"/>
    <w:pPr>
      <w:jc w:val="center"/>
    </w:pPr>
    <w:rPr>
      <w:sz w:val="20"/>
    </w:rPr>
  </w:style>
  <w:style w:type="paragraph" w:customStyle="1" w:styleId="AuthorName">
    <w:name w:val="Author Name"/>
    <w:basedOn w:val="Normal"/>
    <w:next w:val="AuthorAffiliation"/>
    <w:rsid w:val="00784F94"/>
    <w:pPr>
      <w:spacing w:before="360" w:after="360"/>
      <w:jc w:val="center"/>
    </w:pPr>
    <w:rPr>
      <w:sz w:val="28"/>
    </w:rPr>
  </w:style>
  <w:style w:type="paragraph" w:styleId="BalloonText">
    <w:name w:val="Balloon Text"/>
    <w:basedOn w:val="Normal"/>
    <w:link w:val="BalloonTextChar"/>
    <w:uiPriority w:val="99"/>
    <w:rsid w:val="00784F94"/>
    <w:rPr>
      <w:rFonts w:ascii="Tahoma" w:hAnsi="Tahoma" w:cs="Tahoma"/>
      <w:sz w:val="16"/>
      <w:szCs w:val="16"/>
    </w:rPr>
  </w:style>
  <w:style w:type="character" w:customStyle="1" w:styleId="BalloonTextChar">
    <w:name w:val="Balloon Text Char"/>
    <w:basedOn w:val="DefaultParagraphFont"/>
    <w:link w:val="BalloonText"/>
    <w:uiPriority w:val="99"/>
    <w:rsid w:val="00784F94"/>
    <w:rPr>
      <w:rFonts w:ascii="Tahoma" w:eastAsia="Times New Roman" w:hAnsi="Tahoma" w:cs="Tahoma"/>
      <w:sz w:val="16"/>
      <w:szCs w:val="16"/>
    </w:rPr>
  </w:style>
  <w:style w:type="character" w:styleId="Emphasis">
    <w:name w:val="Emphasis"/>
    <w:basedOn w:val="DefaultParagraphFont"/>
    <w:uiPriority w:val="20"/>
    <w:qFormat/>
    <w:rsid w:val="00701D17"/>
    <w:rPr>
      <w:rFonts w:ascii="Times New Roman" w:hAnsi="Times New Roman"/>
      <w:color w:val="333333"/>
      <w:sz w:val="20"/>
    </w:rPr>
  </w:style>
  <w:style w:type="paragraph" w:customStyle="1" w:styleId="Paragraph">
    <w:name w:val="Paragraph"/>
    <w:basedOn w:val="Normal"/>
    <w:rsid w:val="00784F94"/>
    <w:pPr>
      <w:ind w:firstLine="284"/>
      <w:jc w:val="both"/>
    </w:pPr>
    <w:rPr>
      <w:sz w:val="20"/>
    </w:rPr>
  </w:style>
  <w:style w:type="paragraph" w:customStyle="1" w:styleId="Equation">
    <w:name w:val="Equation"/>
    <w:basedOn w:val="Paragraph"/>
    <w:rsid w:val="00784F94"/>
    <w:pPr>
      <w:tabs>
        <w:tab w:val="center" w:pos="4320"/>
        <w:tab w:val="right" w:pos="9242"/>
      </w:tabs>
      <w:ind w:firstLine="0"/>
      <w:jc w:val="center"/>
    </w:pPr>
  </w:style>
  <w:style w:type="paragraph" w:customStyle="1" w:styleId="Figure">
    <w:name w:val="Figure"/>
    <w:basedOn w:val="Paragraph"/>
    <w:rsid w:val="00784F94"/>
    <w:pPr>
      <w:keepNext/>
      <w:ind w:firstLine="0"/>
      <w:jc w:val="center"/>
    </w:pPr>
  </w:style>
  <w:style w:type="paragraph" w:customStyle="1" w:styleId="FigureCaption">
    <w:name w:val="Figure Caption"/>
    <w:next w:val="Paragraph"/>
    <w:rsid w:val="00784F94"/>
    <w:pPr>
      <w:spacing w:before="120" w:after="0" w:line="240" w:lineRule="auto"/>
      <w:jc w:val="center"/>
    </w:pPr>
    <w:rPr>
      <w:rFonts w:ascii="Times New Roman" w:eastAsia="Times New Roman" w:hAnsi="Times New Roman" w:cs="Times New Roman"/>
      <w:sz w:val="18"/>
      <w:szCs w:val="20"/>
    </w:rPr>
  </w:style>
  <w:style w:type="character" w:styleId="FootnoteReference">
    <w:name w:val="footnote reference"/>
    <w:uiPriority w:val="99"/>
    <w:semiHidden/>
    <w:rsid w:val="00784F94"/>
    <w:rPr>
      <w:vertAlign w:val="superscript"/>
    </w:rPr>
  </w:style>
  <w:style w:type="paragraph" w:styleId="FootnoteText">
    <w:name w:val="footnote text"/>
    <w:basedOn w:val="Normal"/>
    <w:link w:val="FootnoteTextChar"/>
    <w:uiPriority w:val="99"/>
    <w:semiHidden/>
    <w:rsid w:val="00784F94"/>
    <w:rPr>
      <w:sz w:val="16"/>
    </w:rPr>
  </w:style>
  <w:style w:type="character" w:customStyle="1" w:styleId="FootnoteTextChar">
    <w:name w:val="Footnote Text Char"/>
    <w:basedOn w:val="DefaultParagraphFont"/>
    <w:link w:val="FootnoteText"/>
    <w:uiPriority w:val="99"/>
    <w:semiHidden/>
    <w:rsid w:val="00784F94"/>
    <w:rPr>
      <w:rFonts w:ascii="Times New Roman" w:eastAsia="Times New Roman" w:hAnsi="Times New Roman" w:cs="Times New Roman"/>
      <w:sz w:val="16"/>
      <w:szCs w:val="20"/>
    </w:rPr>
  </w:style>
  <w:style w:type="character" w:customStyle="1" w:styleId="Heading3Char">
    <w:name w:val="Heading 3 Char"/>
    <w:basedOn w:val="DefaultParagraphFont"/>
    <w:link w:val="Heading3"/>
    <w:rsid w:val="00784F94"/>
    <w:rPr>
      <w:rFonts w:ascii="Times New Roman" w:eastAsia="Times New Roman" w:hAnsi="Times New Roman" w:cs="Times New Roman"/>
      <w:i/>
      <w:sz w:val="20"/>
      <w:szCs w:val="20"/>
    </w:rPr>
  </w:style>
  <w:style w:type="character" w:styleId="Hyperlink">
    <w:name w:val="Hyperlink"/>
    <w:uiPriority w:val="99"/>
    <w:rsid w:val="00784F94"/>
    <w:rPr>
      <w:color w:val="0000FF"/>
      <w:u w:val="single"/>
    </w:rPr>
  </w:style>
  <w:style w:type="paragraph" w:styleId="NormalWeb">
    <w:name w:val="Normal (Web)"/>
    <w:basedOn w:val="Normal"/>
    <w:uiPriority w:val="99"/>
    <w:unhideWhenUsed/>
    <w:rsid w:val="00784F94"/>
    <w:pPr>
      <w:spacing w:before="100" w:beforeAutospacing="1" w:after="100" w:afterAutospacing="1"/>
    </w:pPr>
    <w:rPr>
      <w:szCs w:val="24"/>
      <w:lang w:val="en-GB" w:eastAsia="en-GB"/>
    </w:rPr>
  </w:style>
  <w:style w:type="paragraph" w:customStyle="1" w:styleId="PaperTitle">
    <w:name w:val="Paper Title"/>
    <w:basedOn w:val="Normal"/>
    <w:next w:val="AuthorName"/>
    <w:rsid w:val="00784F94"/>
    <w:pPr>
      <w:spacing w:before="1200"/>
      <w:jc w:val="center"/>
    </w:pPr>
    <w:rPr>
      <w:b/>
      <w:sz w:val="36"/>
    </w:rPr>
  </w:style>
  <w:style w:type="paragraph" w:customStyle="1" w:styleId="Paragraphbulleted">
    <w:name w:val="Paragraph (bulleted)"/>
    <w:basedOn w:val="Paragraph"/>
    <w:rsid w:val="00784F94"/>
    <w:pPr>
      <w:numPr>
        <w:numId w:val="3"/>
      </w:numPr>
    </w:pPr>
  </w:style>
  <w:style w:type="paragraph" w:customStyle="1" w:styleId="Paragraphnumbered">
    <w:name w:val="Paragraph (numbered)"/>
    <w:rsid w:val="00784F94"/>
    <w:pPr>
      <w:numPr>
        <w:numId w:val="4"/>
      </w:numPr>
      <w:spacing w:after="0" w:line="240" w:lineRule="auto"/>
      <w:jc w:val="both"/>
    </w:pPr>
    <w:rPr>
      <w:rFonts w:ascii="Times New Roman" w:eastAsia="Times New Roman" w:hAnsi="Times New Roman" w:cs="Times New Roman"/>
      <w:sz w:val="20"/>
      <w:szCs w:val="20"/>
    </w:rPr>
  </w:style>
  <w:style w:type="paragraph" w:customStyle="1" w:styleId="Reference">
    <w:name w:val="Reference"/>
    <w:basedOn w:val="Paragraph"/>
    <w:rsid w:val="00784F94"/>
    <w:pPr>
      <w:numPr>
        <w:numId w:val="5"/>
      </w:numPr>
    </w:pPr>
  </w:style>
  <w:style w:type="character" w:styleId="Strong">
    <w:name w:val="Strong"/>
    <w:basedOn w:val="DefaultParagraphFont"/>
    <w:uiPriority w:val="22"/>
    <w:qFormat/>
    <w:rsid w:val="00784F94"/>
    <w:rPr>
      <w:b/>
      <w:bCs/>
    </w:rPr>
  </w:style>
  <w:style w:type="paragraph" w:customStyle="1" w:styleId="TableCaption">
    <w:name w:val="Table Caption"/>
    <w:basedOn w:val="FigureCaption"/>
    <w:qFormat/>
    <w:rsid w:val="00784F94"/>
    <w:rPr>
      <w:szCs w:val="18"/>
    </w:rPr>
  </w:style>
  <w:style w:type="table" w:styleId="TableGrid">
    <w:name w:val="Table Grid"/>
    <w:basedOn w:val="TableNormal"/>
    <w:uiPriority w:val="39"/>
    <w:rsid w:val="00784F9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UnresolvedMention1">
    <w:name w:val="Unresolved Mention1"/>
    <w:basedOn w:val="DefaultParagraphFont"/>
    <w:uiPriority w:val="99"/>
    <w:semiHidden/>
    <w:unhideWhenUsed/>
    <w:rsid w:val="00B6146E"/>
    <w:rPr>
      <w:color w:val="605E5C"/>
      <w:shd w:val="clear" w:color="auto" w:fill="E1DFDD"/>
    </w:rPr>
  </w:style>
  <w:style w:type="paragraph" w:styleId="ListParagraph">
    <w:name w:val="List Paragraph"/>
    <w:basedOn w:val="Normal"/>
    <w:uiPriority w:val="34"/>
    <w:qFormat/>
    <w:rsid w:val="009D755F"/>
    <w:pPr>
      <w:spacing w:after="200" w:line="276" w:lineRule="auto"/>
      <w:ind w:left="720"/>
      <w:contextualSpacing/>
    </w:pPr>
    <w:rPr>
      <w:rFonts w:ascii="Calibri" w:eastAsia="Calibri" w:hAnsi="Calibri"/>
      <w:sz w:val="22"/>
      <w:szCs w:val="22"/>
    </w:rPr>
  </w:style>
  <w:style w:type="character" w:styleId="PlaceholderText">
    <w:name w:val="Placeholder Text"/>
    <w:basedOn w:val="DefaultParagraphFont"/>
    <w:uiPriority w:val="99"/>
    <w:semiHidden/>
    <w:rsid w:val="009D755F"/>
    <w:rPr>
      <w:color w:val="666666"/>
    </w:rPr>
  </w:style>
  <w:style w:type="paragraph" w:styleId="EndnoteText">
    <w:name w:val="endnote text"/>
    <w:basedOn w:val="Normal"/>
    <w:link w:val="EndnoteTextChar"/>
    <w:uiPriority w:val="99"/>
    <w:semiHidden/>
    <w:unhideWhenUsed/>
    <w:rsid w:val="009D755F"/>
    <w:rPr>
      <w:rFonts w:asciiTheme="minorHAnsi" w:eastAsiaTheme="minorHAnsi" w:hAnsiTheme="minorHAnsi" w:cstheme="minorBidi"/>
      <w:kern w:val="2"/>
      <w:sz w:val="20"/>
      <w:lang w:val="en-ID"/>
      <w14:ligatures w14:val="standardContextual"/>
    </w:rPr>
  </w:style>
  <w:style w:type="character" w:customStyle="1" w:styleId="EndnoteTextChar">
    <w:name w:val="Endnote Text Char"/>
    <w:basedOn w:val="DefaultParagraphFont"/>
    <w:link w:val="EndnoteText"/>
    <w:uiPriority w:val="99"/>
    <w:semiHidden/>
    <w:rsid w:val="009D755F"/>
    <w:rPr>
      <w:kern w:val="2"/>
      <w:sz w:val="20"/>
      <w:szCs w:val="20"/>
      <w:lang w:val="en-ID"/>
      <w14:ligatures w14:val="standardContextual"/>
    </w:rPr>
  </w:style>
  <w:style w:type="character" w:styleId="EndnoteReference">
    <w:name w:val="endnote reference"/>
    <w:basedOn w:val="DefaultParagraphFont"/>
    <w:uiPriority w:val="99"/>
    <w:semiHidden/>
    <w:unhideWhenUsed/>
    <w:rsid w:val="009D755F"/>
    <w:rPr>
      <w:vertAlign w:val="superscript"/>
    </w:rPr>
  </w:style>
  <w:style w:type="paragraph" w:styleId="Header">
    <w:name w:val="header"/>
    <w:basedOn w:val="Normal"/>
    <w:link w:val="HeaderChar"/>
    <w:uiPriority w:val="99"/>
    <w:unhideWhenUsed/>
    <w:rsid w:val="009D755F"/>
    <w:pPr>
      <w:tabs>
        <w:tab w:val="center" w:pos="4680"/>
        <w:tab w:val="right" w:pos="9360"/>
      </w:tabs>
    </w:pPr>
    <w:rPr>
      <w:rFonts w:ascii="Calibri" w:eastAsia="Calibri" w:hAnsi="Calibri"/>
      <w:sz w:val="22"/>
      <w:szCs w:val="22"/>
    </w:rPr>
  </w:style>
  <w:style w:type="character" w:customStyle="1" w:styleId="HeaderChar">
    <w:name w:val="Header Char"/>
    <w:basedOn w:val="DefaultParagraphFont"/>
    <w:link w:val="Header"/>
    <w:uiPriority w:val="99"/>
    <w:rsid w:val="009D755F"/>
    <w:rPr>
      <w:rFonts w:ascii="Calibri" w:eastAsia="Calibri" w:hAnsi="Calibri" w:cs="Times New Roman"/>
    </w:rPr>
  </w:style>
  <w:style w:type="paragraph" w:styleId="Footer">
    <w:name w:val="footer"/>
    <w:basedOn w:val="Normal"/>
    <w:link w:val="FooterChar"/>
    <w:uiPriority w:val="99"/>
    <w:unhideWhenUsed/>
    <w:rsid w:val="009D755F"/>
    <w:pPr>
      <w:tabs>
        <w:tab w:val="center" w:pos="4680"/>
        <w:tab w:val="right" w:pos="9360"/>
      </w:tabs>
    </w:pPr>
    <w:rPr>
      <w:rFonts w:ascii="Calibri" w:eastAsia="Calibri" w:hAnsi="Calibri"/>
      <w:sz w:val="22"/>
      <w:szCs w:val="22"/>
    </w:rPr>
  </w:style>
  <w:style w:type="character" w:customStyle="1" w:styleId="FooterChar">
    <w:name w:val="Footer Char"/>
    <w:basedOn w:val="DefaultParagraphFont"/>
    <w:link w:val="Footer"/>
    <w:uiPriority w:val="99"/>
    <w:rsid w:val="009D755F"/>
    <w:rPr>
      <w:rFonts w:ascii="Calibri" w:eastAsia="Calibri" w:hAnsi="Calibri" w:cs="Times New Roman"/>
    </w:rPr>
  </w:style>
  <w:style w:type="paragraph" w:customStyle="1" w:styleId="Els-footnote">
    <w:name w:val="Els-footnote"/>
    <w:rsid w:val="009D755F"/>
    <w:pPr>
      <w:keepLines/>
      <w:widowControl w:val="0"/>
      <w:spacing w:after="0" w:line="200" w:lineRule="exact"/>
      <w:ind w:firstLine="245"/>
      <w:jc w:val="both"/>
    </w:pPr>
    <w:rPr>
      <w:rFonts w:ascii="Times New Roman" w:eastAsia="SimSun" w:hAnsi="Times New Roman" w:cs="Times New Roman"/>
      <w:sz w:val="16"/>
      <w:szCs w:val="20"/>
    </w:rPr>
  </w:style>
  <w:style w:type="paragraph" w:styleId="BodyTextIndent">
    <w:name w:val="Body Text Indent"/>
    <w:basedOn w:val="Normal"/>
    <w:link w:val="BodyTextIndentChar"/>
    <w:rsid w:val="009D755F"/>
    <w:pPr>
      <w:ind w:firstLine="360"/>
      <w:jc w:val="both"/>
    </w:pPr>
    <w:rPr>
      <w:sz w:val="18"/>
    </w:rPr>
  </w:style>
  <w:style w:type="character" w:customStyle="1" w:styleId="BodyTextIndentChar">
    <w:name w:val="Body Text Indent Char"/>
    <w:basedOn w:val="DefaultParagraphFont"/>
    <w:link w:val="BodyTextIndent"/>
    <w:rsid w:val="009D755F"/>
    <w:rPr>
      <w:rFonts w:ascii="Times New Roman" w:eastAsia="Times New Roman" w:hAnsi="Times New Roman" w:cs="Times New Roman"/>
      <w:sz w:val="18"/>
      <w:szCs w:val="20"/>
    </w:rPr>
  </w:style>
  <w:style w:type="paragraph" w:customStyle="1" w:styleId="Els-caption">
    <w:name w:val="Els-caption"/>
    <w:rsid w:val="009D755F"/>
    <w:pPr>
      <w:keepLines/>
      <w:spacing w:before="200" w:after="240" w:line="200" w:lineRule="exact"/>
    </w:pPr>
    <w:rPr>
      <w:rFonts w:ascii="Times New Roman" w:eastAsia="SimSun" w:hAnsi="Times New Roman" w:cs="Times New Roman"/>
      <w:sz w:val="16"/>
      <w:szCs w:val="20"/>
    </w:rPr>
  </w:style>
  <w:style w:type="paragraph" w:customStyle="1" w:styleId="Els-table-text">
    <w:name w:val="Els-table-text"/>
    <w:rsid w:val="009D755F"/>
    <w:pPr>
      <w:spacing w:after="80" w:line="200" w:lineRule="exact"/>
    </w:pPr>
    <w:rPr>
      <w:rFonts w:ascii="Times New Roman" w:eastAsia="SimSun" w:hAnsi="Times New Roman" w:cs="Times New Roman"/>
      <w:sz w:val="16"/>
      <w:szCs w:val="20"/>
    </w:rPr>
  </w:style>
  <w:style w:type="paragraph" w:styleId="Caption">
    <w:name w:val="caption"/>
    <w:basedOn w:val="Normal"/>
    <w:next w:val="Normal"/>
    <w:qFormat/>
    <w:rsid w:val="009D755F"/>
    <w:pPr>
      <w:spacing w:after="80"/>
      <w:jc w:val="center"/>
    </w:pPr>
    <w:rPr>
      <w:rFonts w:cs="Miriam"/>
      <w:b/>
      <w:bCs/>
      <w:sz w:val="18"/>
      <w:szCs w:val="18"/>
      <w:lang w:eastAsia="en-AU"/>
    </w:rPr>
  </w:style>
  <w:style w:type="paragraph" w:customStyle="1" w:styleId="Els-Abstract-text">
    <w:name w:val="Els-Abstract-text"/>
    <w:next w:val="Normal"/>
    <w:rsid w:val="009D755F"/>
    <w:pPr>
      <w:spacing w:after="0" w:line="220" w:lineRule="exact"/>
      <w:jc w:val="both"/>
    </w:pPr>
    <w:rPr>
      <w:rFonts w:ascii="Times New Roman" w:eastAsia="SimSun" w:hAnsi="Times New Roman" w:cs="Times New Roman"/>
      <w:sz w:val="18"/>
      <w:szCs w:val="20"/>
    </w:rPr>
  </w:style>
  <w:style w:type="paragraph" w:styleId="HTMLPreformatted">
    <w:name w:val="HTML Preformatted"/>
    <w:basedOn w:val="Normal"/>
    <w:link w:val="HTMLPreformattedChar"/>
    <w:uiPriority w:val="99"/>
    <w:unhideWhenUsed/>
    <w:rsid w:val="009D7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id-ID" w:eastAsia="id-ID"/>
    </w:rPr>
  </w:style>
  <w:style w:type="character" w:customStyle="1" w:styleId="HTMLPreformattedChar">
    <w:name w:val="HTML Preformatted Char"/>
    <w:basedOn w:val="DefaultParagraphFont"/>
    <w:link w:val="HTMLPreformatted"/>
    <w:uiPriority w:val="99"/>
    <w:rsid w:val="009D755F"/>
    <w:rPr>
      <w:rFonts w:ascii="Courier New" w:eastAsia="Times New Roman" w:hAnsi="Courier New" w:cs="Courier New"/>
      <w:sz w:val="20"/>
      <w:szCs w:val="20"/>
      <w:lang w:val="id-ID" w:eastAsia="id-ID"/>
    </w:rPr>
  </w:style>
  <w:style w:type="table" w:styleId="GridTable6Colorful-Accent1">
    <w:name w:val="Grid Table 6 Colorful Accent 1"/>
    <w:basedOn w:val="TableNormal"/>
    <w:uiPriority w:val="51"/>
    <w:rsid w:val="009D755F"/>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GridLight">
    <w:name w:val="Grid Table Light"/>
    <w:basedOn w:val="TableNormal"/>
    <w:uiPriority w:val="40"/>
    <w:rsid w:val="009D755F"/>
    <w:pPr>
      <w:spacing w:after="0" w:line="240" w:lineRule="auto"/>
    </w:pPr>
    <w:rPr>
      <w:lang w:val="id-ID"/>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01">
    <w:name w:val="fontstyle01"/>
    <w:basedOn w:val="DefaultParagraphFont"/>
    <w:rsid w:val="009D755F"/>
    <w:rPr>
      <w:rFonts w:ascii="Arial" w:hAnsi="Arial" w:cs="Arial" w:hint="default"/>
      <w:b w:val="0"/>
      <w:bCs w:val="0"/>
      <w:i w:val="0"/>
      <w:iCs w:val="0"/>
      <w:color w:val="000000"/>
      <w:sz w:val="24"/>
      <w:szCs w:val="24"/>
    </w:rPr>
  </w:style>
  <w:style w:type="paragraph" w:styleId="TOCHeading">
    <w:name w:val="TOC Heading"/>
    <w:basedOn w:val="Heading1"/>
    <w:next w:val="Normal"/>
    <w:uiPriority w:val="39"/>
    <w:unhideWhenUsed/>
    <w:qFormat/>
    <w:rsid w:val="009D755F"/>
    <w:pPr>
      <w:keepLines/>
      <w:spacing w:after="0" w:line="259" w:lineRule="auto"/>
      <w:jc w:val="left"/>
      <w:outlineLvl w:val="9"/>
    </w:pPr>
    <w:rPr>
      <w:rFonts w:asciiTheme="majorHAnsi" w:eastAsiaTheme="majorEastAsia" w:hAnsiTheme="majorHAnsi" w:cstheme="majorBidi"/>
      <w:b w:val="0"/>
      <w:caps w:val="0"/>
      <w:color w:val="2F5496" w:themeColor="accent1" w:themeShade="BF"/>
      <w:sz w:val="32"/>
      <w:szCs w:val="32"/>
    </w:rPr>
  </w:style>
  <w:style w:type="paragraph" w:styleId="TOC1">
    <w:name w:val="toc 1"/>
    <w:basedOn w:val="Normal"/>
    <w:next w:val="Normal"/>
    <w:autoRedefine/>
    <w:uiPriority w:val="39"/>
    <w:unhideWhenUsed/>
    <w:rsid w:val="009D755F"/>
    <w:pPr>
      <w:spacing w:after="100" w:line="259" w:lineRule="auto"/>
    </w:pPr>
    <w:rPr>
      <w:rFonts w:asciiTheme="minorHAnsi" w:eastAsiaTheme="minorHAnsi" w:hAnsiTheme="minorHAnsi" w:cstheme="minorBidi"/>
      <w:sz w:val="22"/>
      <w:szCs w:val="22"/>
      <w:lang w:val="en-ID"/>
    </w:rPr>
  </w:style>
  <w:style w:type="paragraph" w:styleId="TOC2">
    <w:name w:val="toc 2"/>
    <w:basedOn w:val="Normal"/>
    <w:next w:val="Normal"/>
    <w:autoRedefine/>
    <w:uiPriority w:val="39"/>
    <w:unhideWhenUsed/>
    <w:rsid w:val="009D755F"/>
    <w:pPr>
      <w:spacing w:after="100" w:line="259" w:lineRule="auto"/>
      <w:ind w:left="220"/>
    </w:pPr>
    <w:rPr>
      <w:rFonts w:asciiTheme="minorHAnsi" w:eastAsiaTheme="minorHAnsi" w:hAnsiTheme="minorHAnsi" w:cstheme="minorBidi"/>
      <w:sz w:val="22"/>
      <w:szCs w:val="22"/>
      <w:lang w:val="en-ID"/>
    </w:rPr>
  </w:style>
  <w:style w:type="paragraph" w:styleId="Title">
    <w:name w:val="Title"/>
    <w:basedOn w:val="Normal"/>
    <w:next w:val="Normal"/>
    <w:link w:val="TitleChar"/>
    <w:uiPriority w:val="10"/>
    <w:qFormat/>
    <w:rsid w:val="009D755F"/>
    <w:pPr>
      <w:keepNext/>
      <w:keepLines/>
      <w:spacing w:before="480" w:after="120" w:line="259" w:lineRule="auto"/>
    </w:pPr>
    <w:rPr>
      <w:rFonts w:ascii="Calibri" w:eastAsia="Calibri" w:hAnsi="Calibri" w:cs="Calibri"/>
      <w:b/>
      <w:sz w:val="72"/>
      <w:szCs w:val="72"/>
      <w:lang w:eastAsia="id-ID"/>
    </w:rPr>
  </w:style>
  <w:style w:type="character" w:customStyle="1" w:styleId="TitleChar">
    <w:name w:val="Title Char"/>
    <w:basedOn w:val="DefaultParagraphFont"/>
    <w:link w:val="Title"/>
    <w:uiPriority w:val="10"/>
    <w:rsid w:val="009D755F"/>
    <w:rPr>
      <w:rFonts w:ascii="Calibri" w:eastAsia="Calibri" w:hAnsi="Calibri" w:cs="Calibri"/>
      <w:b/>
      <w:sz w:val="72"/>
      <w:szCs w:val="72"/>
      <w:lang w:eastAsia="id-ID"/>
    </w:rPr>
  </w:style>
  <w:style w:type="character" w:styleId="FollowedHyperlink">
    <w:name w:val="FollowedHyperlink"/>
    <w:basedOn w:val="DefaultParagraphFont"/>
    <w:uiPriority w:val="99"/>
    <w:semiHidden/>
    <w:unhideWhenUsed/>
    <w:rsid w:val="0058436D"/>
    <w:rPr>
      <w:color w:val="954F72" w:themeColor="followedHyperlink"/>
      <w:u w:val="single"/>
    </w:rPr>
  </w:style>
  <w:style w:type="paragraph" w:customStyle="1" w:styleId="EndNoteBibliographyTitle">
    <w:name w:val="EndNote Bibliography Title"/>
    <w:basedOn w:val="Normal"/>
    <w:link w:val="EndNoteBibliographyTitleChar"/>
    <w:rsid w:val="00F647C8"/>
    <w:pPr>
      <w:jc w:val="center"/>
    </w:pPr>
    <w:rPr>
      <w:noProof/>
      <w:sz w:val="20"/>
    </w:rPr>
  </w:style>
  <w:style w:type="character" w:customStyle="1" w:styleId="EndNoteBibliographyTitleChar">
    <w:name w:val="EndNote Bibliography Title Char"/>
    <w:basedOn w:val="DefaultParagraphFont"/>
    <w:link w:val="EndNoteBibliographyTitle"/>
    <w:rsid w:val="00F647C8"/>
    <w:rPr>
      <w:rFonts w:ascii="Times New Roman" w:eastAsia="Times New Roman" w:hAnsi="Times New Roman" w:cs="Times New Roman"/>
      <w:noProof/>
      <w:sz w:val="20"/>
      <w:szCs w:val="20"/>
    </w:rPr>
  </w:style>
  <w:style w:type="paragraph" w:customStyle="1" w:styleId="EndNoteBibliography">
    <w:name w:val="EndNote Bibliography"/>
    <w:basedOn w:val="Normal"/>
    <w:link w:val="EndNoteBibliographyChar"/>
    <w:rsid w:val="00F647C8"/>
    <w:pPr>
      <w:jc w:val="both"/>
    </w:pPr>
    <w:rPr>
      <w:noProof/>
      <w:sz w:val="20"/>
    </w:rPr>
  </w:style>
  <w:style w:type="character" w:customStyle="1" w:styleId="EndNoteBibliographyChar">
    <w:name w:val="EndNote Bibliography Char"/>
    <w:basedOn w:val="DefaultParagraphFont"/>
    <w:link w:val="EndNoteBibliography"/>
    <w:rsid w:val="00F647C8"/>
    <w:rPr>
      <w:rFonts w:ascii="Times New Roman" w:eastAsia="Times New Roman" w:hAnsi="Times New Roman" w:cs="Times New Roman"/>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2593353">
      <w:bodyDiv w:val="1"/>
      <w:marLeft w:val="0"/>
      <w:marRight w:val="0"/>
      <w:marTop w:val="0"/>
      <w:marBottom w:val="0"/>
      <w:divBdr>
        <w:top w:val="none" w:sz="0" w:space="0" w:color="auto"/>
        <w:left w:val="none" w:sz="0" w:space="0" w:color="auto"/>
        <w:bottom w:val="none" w:sz="0" w:space="0" w:color="auto"/>
        <w:right w:val="none" w:sz="0" w:space="0" w:color="auto"/>
      </w:divBdr>
      <w:divsChild>
        <w:div w:id="1458722705">
          <w:marLeft w:val="640"/>
          <w:marRight w:val="0"/>
          <w:marTop w:val="0"/>
          <w:marBottom w:val="0"/>
          <w:divBdr>
            <w:top w:val="none" w:sz="0" w:space="0" w:color="auto"/>
            <w:left w:val="none" w:sz="0" w:space="0" w:color="auto"/>
            <w:bottom w:val="none" w:sz="0" w:space="0" w:color="auto"/>
            <w:right w:val="none" w:sz="0" w:space="0" w:color="auto"/>
          </w:divBdr>
        </w:div>
        <w:div w:id="1227034041">
          <w:marLeft w:val="640"/>
          <w:marRight w:val="0"/>
          <w:marTop w:val="0"/>
          <w:marBottom w:val="0"/>
          <w:divBdr>
            <w:top w:val="none" w:sz="0" w:space="0" w:color="auto"/>
            <w:left w:val="none" w:sz="0" w:space="0" w:color="auto"/>
            <w:bottom w:val="none" w:sz="0" w:space="0" w:color="auto"/>
            <w:right w:val="none" w:sz="0" w:space="0" w:color="auto"/>
          </w:divBdr>
        </w:div>
        <w:div w:id="564415138">
          <w:marLeft w:val="640"/>
          <w:marRight w:val="0"/>
          <w:marTop w:val="0"/>
          <w:marBottom w:val="0"/>
          <w:divBdr>
            <w:top w:val="none" w:sz="0" w:space="0" w:color="auto"/>
            <w:left w:val="none" w:sz="0" w:space="0" w:color="auto"/>
            <w:bottom w:val="none" w:sz="0" w:space="0" w:color="auto"/>
            <w:right w:val="none" w:sz="0" w:space="0" w:color="auto"/>
          </w:divBdr>
        </w:div>
        <w:div w:id="1100565046">
          <w:marLeft w:val="640"/>
          <w:marRight w:val="0"/>
          <w:marTop w:val="0"/>
          <w:marBottom w:val="0"/>
          <w:divBdr>
            <w:top w:val="none" w:sz="0" w:space="0" w:color="auto"/>
            <w:left w:val="none" w:sz="0" w:space="0" w:color="auto"/>
            <w:bottom w:val="none" w:sz="0" w:space="0" w:color="auto"/>
            <w:right w:val="none" w:sz="0" w:space="0" w:color="auto"/>
          </w:divBdr>
        </w:div>
        <w:div w:id="325404224">
          <w:marLeft w:val="640"/>
          <w:marRight w:val="0"/>
          <w:marTop w:val="0"/>
          <w:marBottom w:val="0"/>
          <w:divBdr>
            <w:top w:val="none" w:sz="0" w:space="0" w:color="auto"/>
            <w:left w:val="none" w:sz="0" w:space="0" w:color="auto"/>
            <w:bottom w:val="none" w:sz="0" w:space="0" w:color="auto"/>
            <w:right w:val="none" w:sz="0" w:space="0" w:color="auto"/>
          </w:divBdr>
        </w:div>
        <w:div w:id="65152255">
          <w:marLeft w:val="640"/>
          <w:marRight w:val="0"/>
          <w:marTop w:val="0"/>
          <w:marBottom w:val="0"/>
          <w:divBdr>
            <w:top w:val="none" w:sz="0" w:space="0" w:color="auto"/>
            <w:left w:val="none" w:sz="0" w:space="0" w:color="auto"/>
            <w:bottom w:val="none" w:sz="0" w:space="0" w:color="auto"/>
            <w:right w:val="none" w:sz="0" w:space="0" w:color="auto"/>
          </w:divBdr>
        </w:div>
        <w:div w:id="2074892961">
          <w:marLeft w:val="640"/>
          <w:marRight w:val="0"/>
          <w:marTop w:val="0"/>
          <w:marBottom w:val="0"/>
          <w:divBdr>
            <w:top w:val="none" w:sz="0" w:space="0" w:color="auto"/>
            <w:left w:val="none" w:sz="0" w:space="0" w:color="auto"/>
            <w:bottom w:val="none" w:sz="0" w:space="0" w:color="auto"/>
            <w:right w:val="none" w:sz="0" w:space="0" w:color="auto"/>
          </w:divBdr>
        </w:div>
        <w:div w:id="983388022">
          <w:marLeft w:val="640"/>
          <w:marRight w:val="0"/>
          <w:marTop w:val="0"/>
          <w:marBottom w:val="0"/>
          <w:divBdr>
            <w:top w:val="none" w:sz="0" w:space="0" w:color="auto"/>
            <w:left w:val="none" w:sz="0" w:space="0" w:color="auto"/>
            <w:bottom w:val="none" w:sz="0" w:space="0" w:color="auto"/>
            <w:right w:val="none" w:sz="0" w:space="0" w:color="auto"/>
          </w:divBdr>
        </w:div>
        <w:div w:id="314382867">
          <w:marLeft w:val="640"/>
          <w:marRight w:val="0"/>
          <w:marTop w:val="0"/>
          <w:marBottom w:val="0"/>
          <w:divBdr>
            <w:top w:val="none" w:sz="0" w:space="0" w:color="auto"/>
            <w:left w:val="none" w:sz="0" w:space="0" w:color="auto"/>
            <w:bottom w:val="none" w:sz="0" w:space="0" w:color="auto"/>
            <w:right w:val="none" w:sz="0" w:space="0" w:color="auto"/>
          </w:divBdr>
        </w:div>
        <w:div w:id="1099565977">
          <w:marLeft w:val="640"/>
          <w:marRight w:val="0"/>
          <w:marTop w:val="0"/>
          <w:marBottom w:val="0"/>
          <w:divBdr>
            <w:top w:val="none" w:sz="0" w:space="0" w:color="auto"/>
            <w:left w:val="none" w:sz="0" w:space="0" w:color="auto"/>
            <w:bottom w:val="none" w:sz="0" w:space="0" w:color="auto"/>
            <w:right w:val="none" w:sz="0" w:space="0" w:color="auto"/>
          </w:divBdr>
        </w:div>
        <w:div w:id="1296833221">
          <w:marLeft w:val="640"/>
          <w:marRight w:val="0"/>
          <w:marTop w:val="0"/>
          <w:marBottom w:val="0"/>
          <w:divBdr>
            <w:top w:val="none" w:sz="0" w:space="0" w:color="auto"/>
            <w:left w:val="none" w:sz="0" w:space="0" w:color="auto"/>
            <w:bottom w:val="none" w:sz="0" w:space="0" w:color="auto"/>
            <w:right w:val="none" w:sz="0" w:space="0" w:color="auto"/>
          </w:divBdr>
        </w:div>
        <w:div w:id="2440372">
          <w:marLeft w:val="640"/>
          <w:marRight w:val="0"/>
          <w:marTop w:val="0"/>
          <w:marBottom w:val="0"/>
          <w:divBdr>
            <w:top w:val="none" w:sz="0" w:space="0" w:color="auto"/>
            <w:left w:val="none" w:sz="0" w:space="0" w:color="auto"/>
            <w:bottom w:val="none" w:sz="0" w:space="0" w:color="auto"/>
            <w:right w:val="none" w:sz="0" w:space="0" w:color="auto"/>
          </w:divBdr>
        </w:div>
        <w:div w:id="233929145">
          <w:marLeft w:val="640"/>
          <w:marRight w:val="0"/>
          <w:marTop w:val="0"/>
          <w:marBottom w:val="0"/>
          <w:divBdr>
            <w:top w:val="none" w:sz="0" w:space="0" w:color="auto"/>
            <w:left w:val="none" w:sz="0" w:space="0" w:color="auto"/>
            <w:bottom w:val="none" w:sz="0" w:space="0" w:color="auto"/>
            <w:right w:val="none" w:sz="0" w:space="0" w:color="auto"/>
          </w:divBdr>
        </w:div>
        <w:div w:id="235169576">
          <w:marLeft w:val="640"/>
          <w:marRight w:val="0"/>
          <w:marTop w:val="0"/>
          <w:marBottom w:val="0"/>
          <w:divBdr>
            <w:top w:val="none" w:sz="0" w:space="0" w:color="auto"/>
            <w:left w:val="none" w:sz="0" w:space="0" w:color="auto"/>
            <w:bottom w:val="none" w:sz="0" w:space="0" w:color="auto"/>
            <w:right w:val="none" w:sz="0" w:space="0" w:color="auto"/>
          </w:divBdr>
        </w:div>
        <w:div w:id="1057438932">
          <w:marLeft w:val="640"/>
          <w:marRight w:val="0"/>
          <w:marTop w:val="0"/>
          <w:marBottom w:val="0"/>
          <w:divBdr>
            <w:top w:val="none" w:sz="0" w:space="0" w:color="auto"/>
            <w:left w:val="none" w:sz="0" w:space="0" w:color="auto"/>
            <w:bottom w:val="none" w:sz="0" w:space="0" w:color="auto"/>
            <w:right w:val="none" w:sz="0" w:space="0" w:color="auto"/>
          </w:divBdr>
        </w:div>
        <w:div w:id="1092436995">
          <w:marLeft w:val="640"/>
          <w:marRight w:val="0"/>
          <w:marTop w:val="0"/>
          <w:marBottom w:val="0"/>
          <w:divBdr>
            <w:top w:val="none" w:sz="0" w:space="0" w:color="auto"/>
            <w:left w:val="none" w:sz="0" w:space="0" w:color="auto"/>
            <w:bottom w:val="none" w:sz="0" w:space="0" w:color="auto"/>
            <w:right w:val="none" w:sz="0" w:space="0" w:color="auto"/>
          </w:divBdr>
        </w:div>
        <w:div w:id="1985232214">
          <w:marLeft w:val="640"/>
          <w:marRight w:val="0"/>
          <w:marTop w:val="0"/>
          <w:marBottom w:val="0"/>
          <w:divBdr>
            <w:top w:val="none" w:sz="0" w:space="0" w:color="auto"/>
            <w:left w:val="none" w:sz="0" w:space="0" w:color="auto"/>
            <w:bottom w:val="none" w:sz="0" w:space="0" w:color="auto"/>
            <w:right w:val="none" w:sz="0" w:space="0" w:color="auto"/>
          </w:divBdr>
        </w:div>
        <w:div w:id="807212427">
          <w:marLeft w:val="640"/>
          <w:marRight w:val="0"/>
          <w:marTop w:val="0"/>
          <w:marBottom w:val="0"/>
          <w:divBdr>
            <w:top w:val="none" w:sz="0" w:space="0" w:color="auto"/>
            <w:left w:val="none" w:sz="0" w:space="0" w:color="auto"/>
            <w:bottom w:val="none" w:sz="0" w:space="0" w:color="auto"/>
            <w:right w:val="none" w:sz="0" w:space="0" w:color="auto"/>
          </w:divBdr>
        </w:div>
        <w:div w:id="536310121">
          <w:marLeft w:val="640"/>
          <w:marRight w:val="0"/>
          <w:marTop w:val="0"/>
          <w:marBottom w:val="0"/>
          <w:divBdr>
            <w:top w:val="none" w:sz="0" w:space="0" w:color="auto"/>
            <w:left w:val="none" w:sz="0" w:space="0" w:color="auto"/>
            <w:bottom w:val="none" w:sz="0" w:space="0" w:color="auto"/>
            <w:right w:val="none" w:sz="0" w:space="0" w:color="auto"/>
          </w:divBdr>
        </w:div>
        <w:div w:id="1180392797">
          <w:marLeft w:val="640"/>
          <w:marRight w:val="0"/>
          <w:marTop w:val="0"/>
          <w:marBottom w:val="0"/>
          <w:divBdr>
            <w:top w:val="none" w:sz="0" w:space="0" w:color="auto"/>
            <w:left w:val="none" w:sz="0" w:space="0" w:color="auto"/>
            <w:bottom w:val="none" w:sz="0" w:space="0" w:color="auto"/>
            <w:right w:val="none" w:sz="0" w:space="0" w:color="auto"/>
          </w:divBdr>
        </w:div>
        <w:div w:id="1705861953">
          <w:marLeft w:val="640"/>
          <w:marRight w:val="0"/>
          <w:marTop w:val="0"/>
          <w:marBottom w:val="0"/>
          <w:divBdr>
            <w:top w:val="none" w:sz="0" w:space="0" w:color="auto"/>
            <w:left w:val="none" w:sz="0" w:space="0" w:color="auto"/>
            <w:bottom w:val="none" w:sz="0" w:space="0" w:color="auto"/>
            <w:right w:val="none" w:sz="0" w:space="0" w:color="auto"/>
          </w:divBdr>
        </w:div>
        <w:div w:id="362635413">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hyuhidayat@umm.ac.id" TargetMode="External"/><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hyperlink" Target="mailto:rahmadhidayat@umm.ac.id" TargetMode="External"/><Relationship Id="rId12"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khoirulfuddin@umm.ac.id" TargetMode="Externa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zainalarifin@umm.ac.id" TargetMode="Externa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B660549-E72C-40A1-8BA7-2B6604321626}">
  <we:reference id="wa104382081" version="1.55.1.0" store="en-US" storeType="OMEX"/>
  <we:alternateReferences>
    <we:reference id="wa104382081" version="1.55.1.0" store="" storeType="OMEX"/>
  </we:alternateReferences>
  <we:properties>
    <we:property name="MENDELEY_CITATIONS" value="[{&quot;citationID&quot;:&quot;MENDELEY_CITATION_1aa6114b-edaa-4630-9227-7b1dc6c53d19&quot;,&quot;properties&quot;:{&quot;noteIndex&quot;:0},&quot;isEdited&quot;:false,&quot;manualOverride&quot;:{&quot;isManuallyOverridden&quot;:false,&quot;citeprocText&quot;:&quot;[1]&quot;,&quot;manualOverrideText&quot;:&quot;&quot;},&quot;citationTag&quot;:&quot;MENDELEY_CITATION_v3_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&quot;,&quot;citationItems&quot;:[{&quot;id&quot;:&quot;3ca3b794-2ac6-371a-882a-753e173ef4a7&quot;,&quot;itemData&quot;:{&quot;type&quot;:&quot;article-journal&quot;,&quot;id&quot;:&quot;3ca3b794-2ac6-371a-882a-753e173ef4a7&quot;,&quot;title&quot;:&quot;Natural resources, incentives and human capital: reinterpreting the curse*&quot;,&quot;author&quot;:[{&quot;family&quot;:&quot;Araji&quot;,&quot;given&quot;:&quot;Salim M.&quot;,&quot;parse-names&quot;:false,&quot;dropping-particle&quot;:&quot;&quot;,&quot;non-dropping-particle&quot;:&quot;&quot;},{&quot;family&quot;:&quot;Mohtadi&quot;,&quot;given&quot;:&quot;Hamid&quot;,&quot;parse-names&quot;:false,&quot;dropping-particle&quot;:&quot;&quot;,&quot;non-dropping-particle&quot;:&quot;&quot;}],&quot;container-title&quot;:&quot;Middle East Development Journal&quot;,&quot;container-title-short&quot;:&quot;Middle East Dev J&quot;,&quot;DOI&quot;:&quot;10.1080/17938120.2018.1443992&quot;,&quot;ISSN&quot;:&quot;17938120&quot;,&quot;issued&quot;:{&quot;date-parts&quot;:[[2018]]},&quot;abstract&quot;:&quot;We show that natural resource rents when distributed as lump-sum transfers to individuals distort the incentive to invest in tertiary education. Developing an overlapping generations model for the case of natural resource rents we show that if transfers from natural resource wealth occur when a country's technology level is marginal, the chance that the country will be caught in a low-level equilibrium trap is high. Using data for 46 countries for which data are available over time, we find strong empirical support for the model in both dynamic panel estimates and cross-sectional estimates.&quot;,&quot;issue&quot;:&quot;1&quot;,&quot;volume&quot;:&quot;10&quot;},&quot;isTemporary&quot;:false}]},{&quot;citationID&quot;:&quot;MENDELEY_CITATION_1d6bf7ea-08a4-48bb-b102-209bec7189ff&quot;,&quot;properties&quot;:{&quot;noteIndex&quot;:0},&quot;isEdited&quot;:false,&quot;manualOverride&quot;:{&quot;isManuallyOverridden&quot;:false,&quot;citeprocText&quot;:&quot;[2]&quot;,&quot;manualOverrideText&quot;:&quot;&quot;},&quot;citationTag&quot;:&quot;MENDELEY_CITATION_v3_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&quot;,&quot;citationItems&quot;:[{&quot;id&quot;:&quot;4cb6872e-9440-3bb9-b4e1-df37622ede17&quot;,&quot;itemData&quot;:{&quot;type&quot;:&quot;article-journal&quot;,&quot;id&quot;:&quot;4cb6872e-9440-3bb9-b4e1-df37622ede17&quot;,&quot;title&quot;:&quot;Environmental Indices for the Chinese Grain Sector&quot;,&quot;author&quot;:[{&quot;family&quot;:&quot;Karp&quot;,&quot;given&quot;:&quot;Larry S.&quot;,&quot;parse-names&quot;:false,&quot;dropping-particle&quot;:&quot;&quot;,&quot;non-dropping-particle&quot;:&quot;&quot;},{&quot;family&quot;:&quot;Chen&quot;,&quot;given&quot;:&quot;Ming NMI1&quot;,&quot;parse-names&quot;:false,&quot;dropping-particle&quot;:&quot;&quot;,&quot;non-dropping-particle&quot;:&quot;&quot;}],&quot;container-title&quot;:&quot;SSRN Electronic Journal&quot;,&quot;DOI&quot;:&quot;10.2139/ssrn.293691&quot;,&quot;issued&quot;:{&quot;date-parts&quot;:[[2005]]},&quot;abstract&quot;:&quot;Increased population pressure and political decisions have led to more intensive agricultural practices in China. As in other regions of the world, these practices can damage natural capital. We use the Kalman filter and Chinese panel data to estimate an index of environmental productivity (natural capital), together with the parameters of environmental dynamics and the production function. These estimates show that intensive practices are likely to have had persistent, substantial, and statistically significant negative effects on productivity. Ignoring these effects can cause substantial misallocation of resources. The results illustrate the possibility of estimating sectoral environmental indices using data commonly available.&quot;,&quot;container-title-short&quot;:&quot;&quot;},&quot;isTemporary&quot;:false}]},{&quot;citationID&quot;:&quot;MENDELEY_CITATION_e811dae8-f377-4c66-98fe-cb80d9d2e241&quot;,&quot;properties&quot;:{&quot;noteIndex&quot;:0},&quot;isEdited&quot;:false,&quot;manualOverride&quot;:{&quot;isManuallyOverridden&quot;:false,&quot;citeprocText&quot;:&quot;[3]&quot;,&quot;manualOverrideText&quot;:&quot;&quot;},&quot;citationTag&quot;:&quot;MENDELEY_CITATION_v3_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&quot;,&quot;citationItems&quot;:[{&quot;id&quot;:&quot;e3776414-5b0c-3fce-b3c4-d60790fde228&quot;,&quot;itemData&quot;:{&quot;type&quot;:&quot;paper-conference&quot;,&quot;id&quot;:&quot;e3776414-5b0c-3fce-b3c4-d60790fde228&quot;,&quot;title&quot;:&quot;The impact of economic growth on technological developments, emoneys and fluctuations interest rates and exchange rates in Indonesia&quot;,&quot;author&quot;:[{&quot;family&quot;:&quot;Naeruz&quot;,&quot;given&quot;:&quot;Milla&quot;,&quot;parse-names&quot;:false,&quot;dropping-particle&quot;:&quot;&quot;,&quot;non-dropping-particle&quot;:&quot;&quot;},{&quot;family&quot;:&quot;Afiffudin&quot;,&quot;given&quot;:&quot;Syaad&quot;,&quot;parse-names&quot;:false,&quot;dropping-particle&quot;:&quot;&quot;,&quot;non-dropping-particle&quot;:&quot;&quot;},{&quot;family&quot;:&quot;Ruslan&quot;,&quot;given&quot;:&quot;Dede&quot;,&quot;parse-names&quot;:false,&quot;dropping-particle&quot;:&quot;&quot;,&quot;non-dropping-particle&quot;:&quot;&quot;},{&quot;family&quot;:&quot;Syafii&quot;,&quot;given&quot;:&quot;Muhammad&quot;,&quot;parse-names&quot;:false,&quot;dropping-particle&quot;:&quot;&quot;,&quot;non-dropping-particle&quot;:&quot;&quot;}],&quot;container-title&quot;:&quot;E3S Web of Conferences&quot;,&quot;DOI&quot;:&quot;10.1051/e3sconf/202233905008&quot;,&quot;ISSN&quot;:&quot;22671242&quot;,&quot;issued&quot;:{&quot;date-parts&quot;:[[2022]]},&quot;abstract&quot;:&quot;Technological developments have an impact on the payment system, namely Electronic Money moved very fast in 2018 and 2019, in 2018 it was 50.3% of the money in circulation and economic growth increased by 5.4% even though the interest rate in that year was at 6%. This means that some Indonesians have started to make changes to the payment system. Changes in digitalization in the financial sector, especially with new fundamental changes in the behavior of people's lives from the social and economic fields. The concept of Financial Technology is very good in the formation of digital financial infrastructure based on sustainable technological innovations that are considered effective in financial markets, including for small and medium-sized companies, this article focuses on three factors that affect economic growth, namely capital, labor, and technological developments. This study uses secondary time series data for the 2004-2019 quarter using Multiple Regression (OLS/One Least Square) and processed using the eviews 10 application. This study aims to determine the impact of technology on economic growth. And the results show that Emoney has a negative and significant effect on economic growth, interest rates and exchange rates have a negative effect on economic growth, and technology has a positive effect on economic growth.&quot;,&quot;volume&quot;:&quot;339&quot;,&quot;container-title-short&quot;:&quot;&quot;},&quot;isTemporary&quot;:false}]},{&quot;citationID&quot;:&quot;MENDELEY_CITATION_92f1b5c7-49ff-45a4-bb25-4e68becc00c6&quot;,&quot;properties&quot;:{&quot;noteIndex&quot;:0},&quot;isEdited&quot;:false,&quot;manualOverride&quot;:{&quot;isManuallyOverridden&quot;:false,&quot;citeprocText&quot;:&quot;[4]&quot;,&quot;manualOverrideText&quot;:&quot;&quot;},&quot;citationTag&quot;:&quot;MENDELEY_CITATION_v3_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&quot;,&quot;citationItems&quot;:[{&quot;id&quot;:&quot;02fdb70f-9340-3a8e-945d-fb38fa171bbe&quot;,&quot;itemData&quot;:{&quot;type&quot;:&quot;article-journal&quot;,&quot;id&quot;:&quot;02fdb70f-9340-3a8e-945d-fb38fa171bbe&quot;,&quot;title&quot;:&quot;Impacts of Technology on Economic Growth: With Difference Between Tourism Countries and Industry Countries Aspect Based on Extended Solow Growth Model&quot;,&quot;author&quot;:[{&quot;family&quot;:&quot;Yılmaz&quot;,&quot;given&quot;:&quot;Ebru Gül&quot;,&quot;parse-names&quot;:false,&quot;dropping-particle&quot;:&quot;&quot;,&quot;non-dropping-particle&quot;:&quot;&quot;},{&quot;family&quot;:&quot;Bıyıklı&quot;,&quot;given&quot;:&quot;Süreyya İmre&quot;,&quot;parse-names&quot;:false,&quot;dropping-particle&quot;:&quot;&quot;,&quot;non-dropping-particle&quot;:&quot;&quot;},{&quot;family&quot;:&quot;Demir&quot;,&quot;given&quot;:&quot;Ceren&quot;,&quot;parse-names&quot;:false,&quot;dropping-particle&quot;:&quot;&quot;,&quot;non-dropping-particle&quot;:&quot;&quot;}],&quot;container-title&quot;:&quot;Scientific Papers of the University of Pardubice, Series D: Faculty of Economics and Administration&quot;,&quot;DOI&quot;:&quot;10.46585/sp31011663&quot;,&quot;ISSN&quot;:&quot;18048048&quot;,&quot;issued&quot;:{&quot;date-parts&quot;:[[2023]]},&quot;abstract&quot;:&quot;The effects of technology on economic growth and development have been an area that many economists have focused on, especially since the post-World War II period. Technology itself has been taken as an external factor by Solow (1957) for economic growth whereby later is accepted as an internal factor by Romer (1986) and Lucas (1988). This study aims to analyze the differing technological impact on economic growth between countries with a high share of tourism in their gross domestic product and countries with a high share of the industry by setting a model based on Solow Growth Model. Another aim of the study is to determine the direction of the net effect of technology for the determined country groups. In such a way that, by increasing productivity, technology is the most important factor in solving the world’s scarce resources problem. However, it also causes social and economic problems by creating negative externalities such as environmental pollution and global warming. The primary motivation of this paper is to fulfill the area that can not be met in the literature about the specific difference in technology’s effect on economic growth between industry and tourism countries. In addition, to set the impact differences and clarify the net effect of technology, two different country groups have been defined consisting of 30 tourism countries and 30 industrialized countries. The same growth model was imposed in which capital, labor, tourism income, trade openness, and middle and high-technology export level as independent variables for both groups. GMM-Generalized Method of Moment estimator was applied, and it is surprisingly concluded that technology has a negative impact on both country groups’ economic growth. This paper fulfills the area that can not be met in the literature about the specific difference in technology’s effect on economic growth between industry and tourism countries.&quot;,&quot;issue&quot;:&quot;1&quot;,&quot;volume&quot;:&quot;31&quot;,&quot;container-title-short&quot;:&quot;&quot;},&quot;isTemporary&quot;:false}]},{&quot;citationID&quot;:&quot;MENDELEY_CITATION_07a5a6a1-caed-4531-b2b0-a2138b7ae07e&quot;,&quot;properties&quot;:{&quot;noteIndex&quot;:0},&quot;isEdited&quot;:false,&quot;manualOverride&quot;:{&quot;isManuallyOverridden&quot;:false,&quot;citeprocText&quot;:&quot;[5]&quot;,&quot;manualOverrideText&quot;:&quot;&quot;},&quot;citationTag&quot;:&quot;MENDELEY_CITATION_v3_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&quot;,&quot;citationItems&quot;:[{&quot;id&quot;:&quot;f73bdf65-0a87-3d1d-858b-123b4722cefb&quot;,&quot;itemData&quot;:{&quot;type&quot;:&quot;article-journal&quot;,&quot;id&quot;:&quot;f73bdf65-0a87-3d1d-858b-123b4722cefb&quot;,&quot;title&quot;:&quot;The Effect of Technological Innovation on Economic Growth: Evidence from ECOWAS Countries&quot;,&quot;author&quot;:[{&quot;family&quot;:&quot;Jammeh&quot;,&quot;given&quot;:&quot;Ismaila Y&quot;,&quot;parse-names&quot;:false,&quot;dropping-particle&quot;:&quot;&quot;,&quot;non-dropping-particle&quot;:&quot;&quot;}],&quot;container-title&quot;:&quot;International Journal of Social Sciences Perspectives&quot;,&quot;DOI&quot;:&quot;10.33094/ijssp.v11i1.610&quot;,&quot;issued&quot;:{&quot;date-parts&quot;:[[2022]]},&quot;abstract&quot;:&quot;This study examines the impact of technological innovation on economic growth in the Economic Community of West African States (ECOWAS) from 2008 to 2020, which are lacking behind in terms of their innovation activities. Technological Innovation has a crucial impact on improving the productivity of human and physical capital which will translate to higher economic growth. Given the importance of technological innovation to economic growth, this study empirically investigates the effect of technological innovation on economic growth in these countries and examines how the improvement in human capital, foreign direct investment, institutions, physical capital and annual population growth can stimulate economic growth. The study employed a panel model with a fixed effect, two-ways and time random effect estimation method which helps to observe the heterogeneities in these countries. The study found that technological innovation has a negative impact on economic growth in these countries which is due to its poor institutions and the inability of their governments to formulate and implement policies that will promote human capital development that will produce meaningful technological innovation and/or effectively utilize existing ones.&quot;,&quot;issue&quot;:&quot;1&quot;,&quot;volume&quot;:&quot;11&quot;,&quot;container-title-short&quot;:&quot;&quot;},&quot;isTemporary&quot;:false}]},{&quot;citationID&quot;:&quot;MENDELEY_CITATION_a3c42a43-e6fa-42be-b8aa-3591d9958b6e&quot;,&quot;properties&quot;:{&quot;noteIndex&quot;:0},&quot;isEdited&quot;:false,&quot;manualOverride&quot;:{&quot;isManuallyOverridden&quot;:false,&quot;citeprocText&quot;:&quot;[6]&quot;,&quot;manualOverrideText&quot;:&quot;&quot;},&quot;citationTag&quot;:&quot;MENDELEY_CITATION_v3_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&quot;,&quot;citationItems&quot;:[{&quot;id&quot;:&quot;2ee817f2-0d94-3252-ad5d-e7aacea672d7&quot;,&quot;itemData&quot;:{&quot;type&quot;:&quot;paper-conference&quot;,&quot;id&quot;:&quot;2ee817f2-0d94-3252-ad5d-e7aacea672d7&quot;,&quot;title&quot;:&quot;An Empirical Study on the Impact of Technological Innovation on Economic Growth—Taking Shandong Province as an Example&quot;,&quot;author&quot;:[{&quot;family&quot;:&quot;ZHAO&quot;,&quot;given&quot;:&quot;Jin-Xiu&quot;,&quot;parse-names&quot;:false,&quot;dropping-particle&quot;:&quot;&quot;,&quot;non-dropping-particle&quot;:&quot;&quot;}],&quot;DOI&quot;:&quot;10.2991/sschd-18.2019.82&quot;,&quot;issued&quot;:{&quot;date-parts&quot;:[[2019]]},&quot;abstract&quot;:&quot;Innovation is one of the most important resources for the competition of the firms in the economical environment. In this paper, the impact of strategy innovation on technological innovation is discussed on the foundation of the analysis of measure dimensions. By using survey questionnaire and in-depth interviews in 120 high-tech enterprises, empirical study is carried on applying structural equation modeling (SEM) to analyze the influencing path and the fit degrees. The results show that strategy innovation and technological innovation have significant, direct, and positive impacts on each other. And some managerial implications are proposed about adopting the relationship to promote the successful implementation of innovation for the firms.&quot;,&quot;container-title-short&quot;:&quot;&quot;},&quot;isTemporary&quot;:false}]},{&quot;citationID&quot;:&quot;MENDELEY_CITATION_f218e24e-5a40-41fa-93ef-be6bd2832678&quot;,&quot;properties&quot;:{&quot;noteIndex&quot;:0},&quot;isEdited&quot;:false,&quot;manualOverride&quot;:{&quot;isManuallyOverridden&quot;:false,&quot;citeprocText&quot;:&quot;[7], [8], [9]&quot;,&quot;manualOverrideText&quot;:&quot;&quot;},&quot;citationTag&quot;:&quot;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&quot;,&quot;citationItems&quot;:[{&quot;id&quot;:&quot;d77eb088-1e6f-3732-8fe0-cca39127a209&quot;,&quot;itemData&quot;:{&quot;type&quot;:&quot;paper-conference&quot;,&quot;id&quot;:&quot;d77eb088-1e6f-3732-8fe0-cca39127a209&quot;,&quot;title&quot;:&quot;Does Neo-Schumpeterian Economics Matter? An Analysis of Information and Communication Technology and International Trade in ASEAN-5&quot;,&quot;author&quot;:[{&quot;family&quot;:&quot;Lee&quot;,&quot;given&quot;:&quot;Hui Shan&quot;,&quot;parse-names&quot;:false,&quot;dropping-particle&quot;:&quot;&quot;,&quot;non-dropping-particle&quot;:&quot;&quot;},{&quot;family&quot;:&quot;Lee&quot;,&quot;given&quot;:&quot;Sin Yee&quot;,&quot;parse-names&quot;:false,&quot;dropping-particle&quot;:&quot;&quot;,&quot;non-dropping-particle&quot;:&quot;&quot;},{&quot;family&quot;:&quot;Har&quot;,&quot;given&quot;:&quot;Wai Mun&quot;,&quot;parse-names&quot;:false,&quot;dropping-particle&quot;:&quot;&quot;,&quot;non-dropping-particle&quot;:&quot;&quot;},{&quot;family&quot;:&quot;Low&quot;,&quot;given&quot;:&quot;Choon Wei&quot;,&quot;parse-names&quot;:false,&quot;dropping-particle&quot;:&quot;&quot;,&quot;non-dropping-particle&quot;:&quot;&quot;}],&quot;container-title&quot;:&quot;Proceedings of the 2019 2nd International Conference on E-Business, Information Management and Computer Science&quot;,&quot;issued&quot;:{&quot;date-parts&quot;:[[2020]]},&quot;abstract&quot;:&quot;In an innovative economy, technology change is the heart of economic growth. Trade is central to economic growth that creates a global trading system that is more open and reliable for all. The diffusion of information and communication technologies (ICT) has made the process of trading become faster and cheaper. ICT has intensely influenced the global economy and its usage has been connected to marketplace transformation and more robust international trade.The rise of technology intensity around the globe has increased competition for trade in the ASEAN-5 economies. Do ICT facilitate the exchange of products and services between individuals, businesses and groups to enhance the trade in ASEAN-5? The objective of this study is to examine the impacts of broadband, internet, telephone and mobile use on trade flows in ASEAN-5 using panel regression models for year 2000-2018. The findings suggest that broadband, telephone and mobile use serve as complementary roles to the internet usage to enhance trade activities.The study also shows that the dominant technology driver isinternet. This study demonstrates that Neo-Schumpeterian Economics is important to explain technology as an important element determining the characteristics of international trade flows and growth in ASEAN-5. To improve the trade activities in ASEAN-5, encouragement on ICT use across individuals, firms and public administrations should be supported to stimulate international trade.&quot;,&quot;container-title-short&quot;:&quot;&quot;},&quot;isTemporary&quot;:false},{&quot;id&quot;:&quot;dbd99bfe-9b66-356a-bd2d-a56b381008f7&quot;,&quot;itemData&quot;:{&quot;type&quot;:&quot;article-journal&quot;,&quot;id&quot;:&quot;dbd99bfe-9b66-356a-bd2d-a56b381008f7&quot;,&quot;title&quot;:&quot;Information and Communication Technology (ICT) and Economic Growth in ASEAN-5 Countries&quot;,&quot;author&quot;:[{&quot;family&quot;:&quot;Yong Jing&quot;,&quot;given&quot;:&quot;Amy Huong&quot;,&quot;parse-names&quot;:false,&quot;dropping-particle&quot;:&quot;&quot;,&quot;non-dropping-particle&quot;:&quot;&quot;},{&quot;family&quot;:&quot;Ab-Rahim&quot;,&quot;given&quot;:&quot;Rossazana&quot;,&quot;parse-names&quot;:false,&quot;dropping-particle&quot;:&quot;&quot;,&quot;non-dropping-particle&quot;:&quot;&quot;}],&quot;container-title&quot;:&quot;Journal of Public Administration and Governance&quot;,&quot;DOI&quot;:&quot;10.5296/jpag.v10i2.16589&quot;,&quot;issued&quot;:{&quot;date-parts&quot;:[[2020]]},&quot;abstract&quot;:&quot;Digital economy generally refers to a digital technology-based economy. The embrace of digital economy is transforming a nation's economic growth. Countries blessed with successful digitisation will improve their economic performance; hence, it could increase country's GDP growth. In this respect, ASEAN-5 countries becoming a major economic force driver in Asia as well as to the global growth. The goal of this research is therefore to investigate the relationship between ICT and economic growth in the ASEAN-5 countries over the 2003 to 2018 study period. Using static and dynamic panel data estimation, results shows that fixed telephone line subscription has the greatest impact on ICT on economic growth. The findings suggest countries shall focus on the innovation of ICT especially on the mobile-cellular telephone subscription and fixed telephone line subscription to achieve economic growth. Investments in ICT infrastructure foster co-operation in ICT technology as well as advancing ICT particularly on the rise in jobs in the ICT sector, transforming government services into digital form to enhance economic growth in the country.&quot;,&quot;issue&quot;:&quot;2&quot;,&quot;volume&quot;:&quot;10&quot;,&quot;container-title-short&quot;:&quot;&quot;},&quot;isTemporary&quot;:false},{&quot;id&quot;:&quot;6a695bfc-9f91-3e6f-83e2-9cf36193e315&quot;,&quot;itemData&quot;:{&quot;type&quot;:&quot;article-journal&quot;,&quot;id&quot;:&quot;6a695bfc-9f91-3e6f-83e2-9cf36193e315&quot;,&quot;title&quot;:&quot;The Effect of Telecommunication Infrastructure on Economic Growth in the Six ASEAN Countries&quot;,&quot;author&quot;:[{&quot;family&quot;:&quot;Thoyibah&quot;,&quot;given&quot;:&quot;Qurrota A'yun Pramitha&quot;,&quot;parse-names&quot;:false,&quot;dropping-particle&quot;:&quot;&quot;,&quot;non-dropping-particle&quot;:&quot;&quot;},{&quot;family&quot;:&quot;Sugiharti&quot;,&quot;given&quot;:&quot;Lilik&quot;,&quot;parse-names&quot;:false,&quot;dropping-particle&quot;:&quot;&quot;,&quot;non-dropping-particle&quot;:&quot;&quot;}],&quot;container-title&quot;:&quot;Media Trend&quot;,&quot;DOI&quot;:&quot;10.21107/mediatrend.v17i1.13640&quot;,&quot;ISSN&quot;:&quot;1858-1307&quot;,&quot;issued&quot;:{&quot;date-parts&quot;:[[2022]]},&quot;abstract&quot;:&quot;Information and Communication Technology (ICT) as a facilitator of information between the government and the public by increasing network access and broadband services. Digital technology in ASEAN is worth up to US$625 billion by 2030 (8 percent of ASEAN's annual GDP), which can be derived from increased efficiency, new products and services, etc. According to the World Bank (2015), the use of digital technology contributes to economic growth. This study aims to analyze the effect of Individual Internet Users Percentage, Mobile Cellular Subscriptions (Per 100 Persons), Fixed Broadband Subscriptions (Per 100 Persons), Government Expenditures and Labor on GDP Per Capita in six ASEAN Countries in 2011-2019. The type of data used in this research is secondary data from the World Bank which is processed by panel data regression method.The results show that simultaneously the input of the Neo-Classical growth theory is capital through telecommunications infrastructure which consists of the Percentage of Individual Internet Users, Mobile Cellular Subscriptions (Per 100 people), Fixed Broadband Subscriptions (Per 100 People), Government Expenditures and Labor have an effect significantly to economic growth in the six ASEAN countries. While partially all exogenous variables also show a significant effect on the endogenous variables of economic growth with varying values. Telecommunication infrastructure based on the indicators of Individual Internet User Percentage, Fixed Broadband Subscriptions (Per 100 Persons), Government Expenditures has a positive significance on economic growth. Surprising results on telecommunications infrastructure with indicators Mobile Cellular Subscriptions (Per 100 people) is a significant negative effect on economic growth. Labor shows that there is no effect but positive significance on economic growth.&quot;,&quot;issue&quot;:&quot;1&quot;,&quot;volume&quot;:&quot;17&quot;,&quot;container-title-short&quot;:&quot;&quot;},&quot;isTemporary&quot;:false}]},{&quot;citationID&quot;:&quot;MENDELEY_CITATION_3d452ba8-ca61-4adb-beab-1719e66c71f6&quot;,&quot;properties&quot;:{&quot;noteIndex&quot;:0},&quot;isEdited&quot;:false,&quot;manualOverride&quot;:{&quot;isManuallyOverridden&quot;:false,&quot;citeprocText&quot;:&quot;[10]&quot;,&quot;manualOverrideText&quot;:&quot;&quot;},&quot;citationTag&quot;:&quot;MENDELEY_CITATION_v3_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&quot;,&quot;citationItems&quot;:[{&quot;id&quot;:&quot;3debd106-2474-3717-8abe-1127faae719e&quot;,&quot;itemData&quot;:{&quot;type&quot;:&quot;paper-conference&quot;,&quot;id&quot;:&quot;3debd106-2474-3717-8abe-1127faae719e&quot;,&quot;title&quot;:&quot;Exploring the nexus between mobile phone penetration and economic growth in 13 Asian countries: Evidence from panel cointegration analysis&quot;,&quot;author&quot;:[{&quot;family&quot;:&quot;Dutta&quot;,&quot;given&quot;:&quot;Ujjal Protim&quot;,&quot;parse-names&quot;:false,&quot;dropping-particle&quot;:&quot;&quot;,&quot;non-dropping-particle&quot;:&quot;&quot;},{&quot;family&quot;:&quot;Gupta&quot;,&quot;given&quot;:&quot;Abhishek&quot;,&quot;parse-names&quot;:false,&quot;dropping-particle&quot;:&quot;&quot;,&quot;non-dropping-particle&quot;:&quot;&quot;},{&quot;family&quot;:&quot;Sengupta&quot;,&quot;given&quot;:&quot;Partha Pratim&quot;,&quot;parse-names&quot;:false,&quot;dropping-particle&quot;:&quot;&quot;,&quot;non-dropping-particle&quot;:&quot;&quot;}],&quot;container-title&quot;:&quot;Advances in Intelligent Systems and Computing&quot;,&quot;DOI&quot;:&quot;10.1007/978-981-13-3393-4_35&quot;,&quot;ISSN&quot;:&quot;21945357&quot;,&quot;issued&quot;:{&quot;date-parts&quot;:[[2019]]},&quot;abstract&quot;:&quot;This study endeavours to examine the nexus between mobile phone penetration and economic growth for 13 Asian nations over the period of 1990–2016. To attain this objective, we have initially employed LLC and IPS panel unit root tests to investigate whether the variables are stationary or not. Having found a same order of integration for each of the variables, we applied Pedroni’s panel cointegration method to investigate the cointegrating relationship between the variables. The outcome of the study reveals the presence of a cointegrating relationship between the variables. Accordingly, we applied FMOLS and DOLS estimators to estimate the mobile penetration retention coefficient. The results of both methods confirmed the significant effect of mobile phone penetration on economic growth. Thus, besides investment in human and physical capital, governments of these countries can enhance their economic growth by harnessing the potential of mobile phone penetration.&quot;,&quot;volume&quot;:&quot;898&quot;,&quot;container-title-short&quot;:&quot;&quot;},&quot;isTemporary&quot;:false}]},{&quot;citationID&quot;:&quot;MENDELEY_CITATION_7ad85e59-9ae1-48a2-b237-8f6036d88867&quot;,&quot;properties&quot;:{&quot;noteIndex&quot;:0},&quot;isEdited&quot;:false,&quot;manualOverride&quot;:{&quot;isManuallyOverridden&quot;:false,&quot;citeprocText&quot;:&quot;[11]&quot;,&quot;manualOverrideText&quot;:&quot;&quot;},&quot;citationTag&quot;:&quot;MENDELEY_CITATION_v3_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&quot;,&quot;citationItems&quot;:[{&quot;id&quot;:&quot;cc54f2cf-8e70-3cad-8022-a01a80b67857&quot;,&quot;itemData&quot;:{&quot;type&quot;:&quot;article-journal&quot;,&quot;id&quot;:&quot;cc54f2cf-8e70-3cad-8022-a01a80b67857&quot;,&quot;title&quot;:&quot;Digital Economy: A Comparative Study in ASEAN&quot;,&quot;author&quot;:[{&quot;family&quot;:&quot;Tran&quot;,&quot;given&quot;:&quot;Lam Quynh Trang&quot;,&quot;parse-names&quot;:false,&quot;dropping-particle&quot;:&quot;&quot;,&quot;non-dropping-particle&quot;:&quot;&quot;},{&quot;family&quot;:&quot;Phan&quot;,&quot;given&quot;:&quot;Dai Thich&quot;,&quot;parse-names&quot;:false,&quot;dropping-particle&quot;:&quot;&quot;,&quot;non-dropping-particle&quot;:&quot;&quot;},{&quot;family&quot;:&quot;Nguyen&quot;,&quot;given&quot;:&quot;Manh Tuan&quot;,&quot;parse-names&quot;:false,&quot;dropping-particle&quot;:&quot;&quot;,&quot;non-dropping-particle&quot;:&quot;&quot;}],&quot;container-title&quot;:&quot;Theory, Methodology, Practice&quot;,&quot;DOI&quot;:&quot;10.18096/tmp.2022.02.05&quot;,&quot;ISSN&quot;:&quot;15893413&quot;,&quot;issued&quot;:{&quot;date-parts&quot;:[[2022]]},&quot;abstract&quot;:&quot;The Association of Southeast Asian Nations (ASEAN) is an area with the rapid adoption of technology, the growth of internet and mobile phone users, region-wide digital initiatives to increase connectivity between markets, and the drastic acceleration of digitalization across practically all aspects of the economy. Currently, especially in the Covid-19 pandemic period, the digital economy is a key factor driving the growth of the region's economy. Based on the Networked Readiness Index (NRI), the study will analyze and compare the differences between ASEAN countries in terms of the digital economy. The purpose of the study is to understand the strengths and weaknesses of each country, thereby giving an overview of the potential of ASEAN countries in the period of digital economy readiness. The study results clearly show the digital economy gap and many differences in terms of the people pillar across countries. Singapore and Malaysia are among the top digital economies in the region; however, only Thailand made substantial progress from 2019–2021. Although ranked the lowest in the digital economy, Lao PDR and Cambodia have many positive improvements. Although ASEAN countries have strengths in digital technology, applying digital technology toward sustainable development is still a challenge for most countries in the region.&quot;,&quot;issue&quot;:&quot;2&quot;,&quot;volume&quot;:&quot;18&quot;,&quot;container-title-short&quot;:&quot;&quot;},&quot;isTemporary&quot;:false}]},{&quot;citationID&quot;:&quot;MENDELEY_CITATION_283f63e7-9fa3-488e-9941-9d8505ad98a1&quot;,&quot;properties&quot;:{&quot;noteIndex&quot;:0},&quot;isEdited&quot;:false,&quot;manualOverride&quot;:{&quot;isManuallyOverridden&quot;:false,&quot;citeprocText&quot;:&quot;[12]&quot;,&quot;manualOverrideText&quot;:&quot;&quot;},&quot;citationTag&quot;:&quot;MENDELEY_CITATION_v3_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&quot;,&quot;citationItems&quot;:[{&quot;id&quot;:&quot;c8ec0985-6e53-34b5-a116-30d032dc026d&quot;,&quot;itemData&quot;:{&quot;type&quot;:&quot;paper-conference&quot;,&quot;id&quot;:&quot;c8ec0985-6e53-34b5-a116-30d032dc026d&quot;,&quot;title&quot;:&quot;Mobile Intellectual Property Marketplace Model for Commercialization of Intellectual Property Rights&quot;,&quot;author&quot;:[{&quot;family&quot;:&quot;Prihastomo&quot;,&quot;given&quot;:&quot;Yoga&quot;,&quot;parse-names&quot;:false,&quot;dropping-particle&quot;:&quot;&quot;,&quot;non-dropping-particle&quot;:&quot;&quot;},{&quot;family&quot;:&quot;Ningtyas&quot;,&quot;given&quot;:&quot;Anisa Aurum&quot;,&quot;parse-names&quot;:false,&quot;dropping-particle&quot;:&quot;&quot;,&quot;non-dropping-particle&quot;:&quot;&quot;}],&quot;container-title&quot;:&quot;2022 IEEE Creative Communication and Innovative Technology, ICCIT 2022&quot;,&quot;DOI&quot;:&quot;10.1109/ICCIT55355.2022.10118835&quot;,&quot;issued&quot;:{&quot;date-parts&quot;:[[2022]]},&quot;abstract&quot;:&quot;This study discusses the development of the intellectual property (IP) marketplace model based on mobile location-aware computing. Referring to statistics released by the Directorate General of Intellectual Property, there has been a growth in the number of intellectual property rights (IPR) applications in recent years, even during the Covid-19 pandemic. On the other hand, after IPR protection, the commercialization of IPR is one of the pillars of the IP system. Nevertheless, research institutions such as LIPI/BRIN indicate that the potential for commercializing IPR is still low. Furthermore, the opportunity is that cellular networks have covered almost all parts of Indonesia, and there has been significant growth in smartphone users. The method utilized in this research is prototyping. This research results from an IP marketplace model based on mobile location-aware computing in Indonesia. Using the smartphone user's location, contextual IPR information from the user's location related to IPR will enter their smartphone. The experimental results indicate that the application can display a list of IPR information according to the smartphone user's location. Furthermore, the search feature can forage IPR listing information based on user queries.&quot;,&quot;container-title-short&quot;:&quot;&quot;},&quot;isTemporary&quot;:false}]},{&quot;citationID&quot;:&quot;MENDELEY_CITATION_8ac5c6ce-695c-4cb4-8597-0f5cc7b0c42a&quot;,&quot;properties&quot;:{&quot;noteIndex&quot;:0},&quot;isEdited&quot;:false,&quot;manualOverride&quot;:{&quot;isManuallyOverridden&quot;:false,&quot;citeprocText&quot;:&quot;[13]&quot;,&quot;manualOverrideText&quot;:&quot;&quot;},&quot;citationTag&quot;:&quot;MENDELEY_CITATION_v3_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&quot;,&quot;citationItems&quot;:[{&quot;id&quot;:&quot;212679c3-710c-3a36-ad09-c5471db43d2f&quot;,&quot;itemData&quot;:{&quot;type&quot;:&quot;article-journal&quot;,&quot;id&quot;:&quot;212679c3-710c-3a36-ad09-c5471db43d2f&quot;,&quot;title&quot;:&quot;EXPLORATION OF MOBILE MARKET: POPULATION DISTRIBUTION AND EMOTIONAL BEHAVIOR CHANGES IN SOUTHEAST AND SOUTH ASIAN COUNTRIES&quot;,&quot;author&quot;:[{&quot;family&quot;:&quot;Lu&quot;,&quot;given&quot;:&quot;Bing-Yuh&quot;,&quot;parse-names&quot;:false,&quot;dropping-particle&quot;:&quot;&quot;,&quot;non-dropping-particle&quot;:&quot;&quot;},{&quot;family&quot;:&quot;Han&quot;,&quot;given&quot;:&quot;Tien-&quot;,&quot;parse-names&quot;:false,&quot;dropping-particle&quot;:&quot;&quot;,&quot;non-dropping-particle&quot;:&quot;Der&quot;},{&quot;family&quot;:&quot;Liu&quot;,&quot;given&quot;:&quot;Mei&quot;,&quot;parse-names&quot;:false,&quot;dropping-particle&quot;:&quot;&quot;,&quot;non-dropping-particle&quot;:&quot;&quot;},{&quot;family&quot;:&quot;Wu&quot;,&quot;given&quot;:&quot;Rushan&quot;,&quot;parse-names&quot;:false,&quot;dropping-particle&quot;:&quot;&quot;,&quot;non-dropping-particle&quot;:&quot;&quot;},{&quot;family&quot;:&quot;He&quot;,&quot;given&quot;:&quot;Juhui&quot;,&quot;parse-names&quot;:false,&quot;dropping-particle&quot;:&quot;&quot;,&quot;non-dropping-particle&quot;:&quot;&quot;},{&quot;family&quot;:&quot;Lin&quot;,&quot;given&quot;:&quot;Pao-An&quot;,&quot;parse-names&quot;:false,&quot;dropping-particle&quot;:&quot;&quot;,&quot;non-dropping-particle&quot;:&quot;&quot;}],&quot;container-title&quot;:&quot;International Journal of Neuropsychopharmacology&quot;,&quot;DOI&quot;:&quot;10.1093/ijnp/pyac032.136&quot;,&quot;ISSN&quot;:&quot;1461-1457&quot;,&quot;issued&quot;:{&quot;date-parts&quot;:[[2022]]},&quot;issue&quot;:&quot;Supplement_1&quot;,&quot;volume&quot;:&quot;25&quot;,&quot;container-title-short&quot;:&quot;&quot;},&quot;isTemporary&quot;:false}]},{&quot;citationID&quot;:&quot;MENDELEY_CITATION_be513d4d-4a47-428a-83c1-c67e9add4068&quot;,&quot;properties&quot;:{&quot;noteIndex&quot;:0},&quot;isEdited&quot;:false,&quot;manualOverride&quot;:{&quot;isManuallyOverridden&quot;:false,&quot;citeprocText&quot;:&quot;[14]&quot;,&quot;manualOverrideText&quot;:&quot;&quot;},&quot;citationTag&quot;:&quot;MENDELEY_CITATION_v3_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&quot;,&quot;citationItems&quot;:[{&quot;id&quot;:&quot;2c7082f1-eae1-36b3-8ff1-41566ad509bd&quot;,&quot;itemData&quot;:{&quot;type&quot;:&quot;chapter&quot;,&quot;id&quot;:&quot;2c7082f1-eae1-36b3-8ff1-41566ad509bd&quot;,&quot;title&quot;:&quot;The battle against digital copyright infringements in ASEAN&quot;,&quot;author&quot;:[{&quot;family&quot;:&quot;Lim&quot;,&quot;given&quot;:&quot;Hannah Yee Fen&quot;,&quot;parse-names&quot;:false,&quot;dropping-particle&quot;:&quot;&quot;,&quot;non-dropping-particle&quot;:&quot;&quot;}],&quot;container-title&quot;:&quot;Intellectual Property Law in South East Asia&quot;,&quot;issued&quot;:{&quot;date-parts&quot;:[[2023]]},&quot;container-title-short&quot;:&quot;&quot;},&quot;isTemporary&quot;:false}]},{&quot;citationID&quot;:&quot;MENDELEY_CITATION_70603f47-036b-470a-a846-6fdabcca62cc&quot;,&quot;properties&quot;:{&quot;noteIndex&quot;:0},&quot;isEdited&quot;:false,&quot;manualOverride&quot;:{&quot;isManuallyOverridden&quot;:false,&quot;citeprocText&quot;:&quot;[15]&quot;,&quot;manualOverrideText&quot;:&quot;&quot;},&quot;citationTag&quot;:&quot;MENDELEY_CITATION_v3_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&quot;,&quot;citationItems&quot;:[{&quot;id&quot;:&quot;85549165-ec95-3202-8e0e-f2578d948398&quot;,&quot;itemData&quot;:{&quot;type&quot;:&quot;chapter&quot;,&quot;id&quot;:&quot;85549165-ec95-3202-8e0e-f2578d948398&quot;,&quot;title&quot;:&quot;Intellectual property, farmers' rights and agriculture in the ASEAN countries&quot;,&quot;author&quot;:[{&quot;family&quot;:&quot;Antons&quot;,&quot;given&quot;:&quot;Christoph&quot;,&quot;parse-names&quot;:false,&quot;dropping-particle&quot;:&quot;&quot;,&quot;non-dropping-particle&quot;:&quot;&quot;},{&quot;family&quot;:&quot;Blakeney&quot;,&quot;given&quot;:&quot;Michael&quot;,&quot;parse-names&quot;:false,&quot;dropping-particle&quot;:&quot;&quot;,&quot;non-dropping-particle&quot;:&quot;&quot;}],&quot;container-title&quot;:&quot;Intellectual Property Law in South East Asia&quot;,&quot;DOI&quot;:&quot;10.4337/9781035308392.00017&quot;,&quot;issued&quot;:{&quot;date-parts&quot;:[[2023]]},&quot;container-title-short&quot;:&quot;&quot;},&quot;isTemporary&quot;:false}]},{&quot;citationID&quot;:&quot;MENDELEY_CITATION_4ebb0b41-cc86-4031-af68-93d8dc8d829e&quot;,&quot;properties&quot;:{&quot;noteIndex&quot;:0},&quot;isEdited&quot;:false,&quot;manualOverride&quot;:{&quot;isManuallyOverridden&quot;:false,&quot;citeprocText&quot;:&quot;[8]&quot;,&quot;manualOverrideText&quot;:&quot;&quot;},&quot;citationTag&quot;:&quot;MENDELEY_CITATION_v3_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&quot;,&quot;citationItems&quot;:[{&quot;id&quot;:&quot;dbd99bfe-9b66-356a-bd2d-a56b381008f7&quot;,&quot;itemData&quot;:{&quot;type&quot;:&quot;article-journal&quot;,&quot;id&quot;:&quot;dbd99bfe-9b66-356a-bd2d-a56b381008f7&quot;,&quot;title&quot;:&quot;Information and Communication Technology (ICT) and Economic Growth in ASEAN-5 Countries&quot;,&quot;author&quot;:[{&quot;family&quot;:&quot;Yong Jing&quot;,&quot;given&quot;:&quot;Amy Huong&quot;,&quot;parse-names&quot;:false,&quot;dropping-particle&quot;:&quot;&quot;,&quot;non-dropping-particle&quot;:&quot;&quot;},{&quot;family&quot;:&quot;Ab-Rahim&quot;,&quot;given&quot;:&quot;Rossazana&quot;,&quot;parse-names&quot;:false,&quot;dropping-particle&quot;:&quot;&quot;,&quot;non-dropping-particle&quot;:&quot;&quot;}],&quot;container-title&quot;:&quot;Journal of Public Administration and Governance&quot;,&quot;DOI&quot;:&quot;10.5296/jpag.v10i2.16589&quot;,&quot;issued&quot;:{&quot;date-parts&quot;:[[2020]]},&quot;abstract&quot;:&quot;Digital economy generally refers to a digital technology-based economy. The embrace of digital economy is transforming a nation's economic growth. Countries blessed with successful digitisation will improve their economic performance; hence, it could increase country's GDP growth. In this respect, ASEAN-5 countries becoming a major economic force driver in Asia as well as to the global growth. The goal of this research is therefore to investigate the relationship between ICT and economic growth in the ASEAN-5 countries over the 2003 to 2018 study period. Using static and dynamic panel data estimation, results shows that fixed telephone line subscription has the greatest impact on ICT on economic growth. The findings suggest countries shall focus on the innovation of ICT especially on the mobile-cellular telephone subscription and fixed telephone line subscription to achieve economic growth. Investments in ICT infrastructure foster co-operation in ICT technology as well as advancing ICT particularly on the rise in jobs in the ICT sector, transforming government services into digital form to enhance economic growth in the country.&quot;,&quot;issue&quot;:&quot;2&quot;,&quot;volume&quot;:&quot;10&quot;,&quot;container-title-short&quot;:&quot;&quot;},&quot;isTemporary&quot;:false}]},{&quot;citationID&quot;:&quot;MENDELEY_CITATION_469ed3fc-ba04-4371-8a2d-019bf89a689f&quot;,&quot;properties&quot;:{&quot;noteIndex&quot;:0},&quot;isEdited&quot;:false,&quot;manualOverride&quot;:{&quot;isManuallyOverridden&quot;:false,&quot;citeprocText&quot;:&quot;[9]&quot;,&quot;manualOverrideText&quot;:&quot;&quot;},&quot;citationTag&quot;:&quot;MENDELEY_CITATION_v3_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&quot;,&quot;citationItems&quot;:[{&quot;id&quot;:&quot;6a695bfc-9f91-3e6f-83e2-9cf36193e315&quot;,&quot;itemData&quot;:{&quot;type&quot;:&quot;article-journal&quot;,&quot;id&quot;:&quot;6a695bfc-9f91-3e6f-83e2-9cf36193e315&quot;,&quot;title&quot;:&quot;The Effect of Telecommunication Infrastructure on Economic Growth in the Six ASEAN Countries&quot;,&quot;author&quot;:[{&quot;family&quot;:&quot;Thoyibah&quot;,&quot;given&quot;:&quot;Qurrota A'yun Pramitha&quot;,&quot;parse-names&quot;:false,&quot;dropping-particle&quot;:&quot;&quot;,&quot;non-dropping-particle&quot;:&quot;&quot;},{&quot;family&quot;:&quot;Sugiharti&quot;,&quot;given&quot;:&quot;Lilik&quot;,&quot;parse-names&quot;:false,&quot;dropping-particle&quot;:&quot;&quot;,&quot;non-dropping-particle&quot;:&quot;&quot;}],&quot;container-title&quot;:&quot;Media Trend&quot;,&quot;DOI&quot;:&quot;10.21107/mediatrend.v17i1.13640&quot;,&quot;ISSN&quot;:&quot;1858-1307&quot;,&quot;issued&quot;:{&quot;date-parts&quot;:[[2022]]},&quot;abstract&quot;:&quot;Information and Communication Technology (ICT) as a facilitator of information between the government and the public by increasing network access and broadband services. Digital technology in ASEAN is worth up to US$625 billion by 2030 (8 percent of ASEAN's annual GDP), which can be derived from increased efficiency, new products and services, etc. According to the World Bank (2015), the use of digital technology contributes to economic growth. This study aims to analyze the effect of Individual Internet Users Percentage, Mobile Cellular Subscriptions (Per 100 Persons), Fixed Broadband Subscriptions (Per 100 Persons), Government Expenditures and Labor on GDP Per Capita in six ASEAN Countries in 2011-2019. The type of data used in this research is secondary data from the World Bank which is processed by panel data regression method.The results show that simultaneously the input of the Neo-Classical growth theory is capital through telecommunications infrastructure which consists of the Percentage of Individual Internet Users, Mobile Cellular Subscriptions (Per 100 people), Fixed Broadband Subscriptions (Per 100 People), Government Expenditures and Labor have an effect significantly to economic growth in the six ASEAN countries. While partially all exogenous variables also show a significant effect on the endogenous variables of economic growth with varying values. Telecommunication infrastructure based on the indicators of Individual Internet User Percentage, Fixed Broadband Subscriptions (Per 100 Persons), Government Expenditures has a positive significance on economic growth. Surprising results on telecommunications infrastructure with indicators Mobile Cellular Subscriptions (Per 100 people) is a significant negative effect on economic growth. Labor shows that there is no effect but positive significance on economic growth.&quot;,&quot;issue&quot;:&quot;1&quot;,&quot;volume&quot;:&quot;17&quot;,&quot;container-title-short&quot;:&quot;&quot;},&quot;isTemporary&quot;:false}]},{&quot;citationID&quot;:&quot;MENDELEY_CITATION_331d5462-c04a-494d-bfc0-fa7781efbad5&quot;,&quot;properties&quot;:{&quot;noteIndex&quot;:0},&quot;isEdited&quot;:false,&quot;manualOverride&quot;:{&quot;isManuallyOverridden&quot;:false,&quot;citeprocText&quot;:&quot;[10]&quot;,&quot;manualOverrideText&quot;:&quot;&quot;},&quot;citationTag&quot;:&quot;MENDELEY_CITATION_v3_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&quot;,&quot;citationItems&quot;:[{&quot;id&quot;:&quot;3debd106-2474-3717-8abe-1127faae719e&quot;,&quot;itemData&quot;:{&quot;type&quot;:&quot;paper-conference&quot;,&quot;id&quot;:&quot;3debd106-2474-3717-8abe-1127faae719e&quot;,&quot;title&quot;:&quot;Exploring the nexus between mobile phone penetration and economic growth in 13 Asian countries: Evidence from panel cointegration analysis&quot;,&quot;author&quot;:[{&quot;family&quot;:&quot;Dutta&quot;,&quot;given&quot;:&quot;Ujjal Protim&quot;,&quot;parse-names&quot;:false,&quot;dropping-particle&quot;:&quot;&quot;,&quot;non-dropping-particle&quot;:&quot;&quot;},{&quot;family&quot;:&quot;Gupta&quot;,&quot;given&quot;:&quot;Abhishek&quot;,&quot;parse-names&quot;:false,&quot;dropping-particle&quot;:&quot;&quot;,&quot;non-dropping-particle&quot;:&quot;&quot;},{&quot;family&quot;:&quot;Sengupta&quot;,&quot;given&quot;:&quot;Partha Pratim&quot;,&quot;parse-names&quot;:false,&quot;dropping-particle&quot;:&quot;&quot;,&quot;non-dropping-particle&quot;:&quot;&quot;}],&quot;container-title&quot;:&quot;Advances in Intelligent Systems and Computing&quot;,&quot;DOI&quot;:&quot;10.1007/978-981-13-3393-4_35&quot;,&quot;ISSN&quot;:&quot;21945357&quot;,&quot;issued&quot;:{&quot;date-parts&quot;:[[2019]]},&quot;abstract&quot;:&quot;This study endeavours to examine the nexus between mobile phone penetration and economic growth for 13 Asian nations over the period of 1990–2016. To attain this objective, we have initially employed LLC and IPS panel unit root tests to investigate whether the variables are stationary or not. Having found a same order of integration for each of the variables, we applied Pedroni’s panel cointegration method to investigate the cointegrating relationship between the variables. The outcome of the study reveals the presence of a cointegrating relationship between the variables. Accordingly, we applied FMOLS and DOLS estimators to estimate the mobile penetration retention coefficient. The results of both methods confirmed the significant effect of mobile phone penetration on economic growth. Thus, besides investment in human and physical capital, governments of these countries can enhance their economic growth by harnessing the potential of mobile phone penetration.&quot;,&quot;volume&quot;:&quot;898&quot;,&quot;container-title-short&quot;:&quot;&quot;},&quot;isTemporary&quot;:false}]},{&quot;citationID&quot;:&quot;MENDELEY_CITATION_520f44d9-fbbd-48a6-adc0-c69413b83a54&quot;,&quot;properties&quot;:{&quot;noteIndex&quot;:0},&quot;isEdited&quot;:false,&quot;manualOverride&quot;:{&quot;isManuallyOverridden&quot;:false,&quot;citeprocText&quot;:&quot;[7]&quot;,&quot;manualOverrideText&quot;:&quot;&quot;},&quot;citationTag&quot;:&quot;MENDELEY_CITATION_v3_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&quot;,&quot;citationItems&quot;:[{&quot;id&quot;:&quot;d77eb088-1e6f-3732-8fe0-cca39127a209&quot;,&quot;itemData&quot;:{&quot;type&quot;:&quot;paper-conference&quot;,&quot;id&quot;:&quot;d77eb088-1e6f-3732-8fe0-cca39127a209&quot;,&quot;title&quot;:&quot;Does Neo-Schumpeterian Economics Matter? An Analysis of Information and Communication Technology and International Trade in ASEAN-5&quot;,&quot;author&quot;:[{&quot;family&quot;:&quot;Lee&quot;,&quot;given&quot;:&quot;Hui Shan&quot;,&quot;parse-names&quot;:false,&quot;dropping-particle&quot;:&quot;&quot;,&quot;non-dropping-particle&quot;:&quot;&quot;},{&quot;family&quot;:&quot;Lee&quot;,&quot;given&quot;:&quot;Sin Yee&quot;,&quot;parse-names&quot;:false,&quot;dropping-particle&quot;:&quot;&quot;,&quot;non-dropping-particle&quot;:&quot;&quot;},{&quot;family&quot;:&quot;Har&quot;,&quot;given&quot;:&quot;Wai Mun&quot;,&quot;parse-names&quot;:false,&quot;dropping-particle&quot;:&quot;&quot;,&quot;non-dropping-particle&quot;:&quot;&quot;},{&quot;family&quot;:&quot;Low&quot;,&quot;given&quot;:&quot;Choon Wei&quot;,&quot;parse-names&quot;:false,&quot;dropping-particle&quot;:&quot;&quot;,&quot;non-dropping-particle&quot;:&quot;&quot;}],&quot;container-title&quot;:&quot;Proceedings of the 2019 2nd International Conference on E-Business, Information Management and Computer Science&quot;,&quot;issued&quot;:{&quot;date-parts&quot;:[[2020]]},&quot;abstract&quot;:&quot;In an innovative economy, technology change is the heart of economic growth. Trade is central to economic growth that creates a global trading system that is more open and reliable for all. The diffusion of information and communication technologies (ICT) has made the process of trading become faster and cheaper. ICT has intensely influenced the global economy and its usage has been connected to marketplace transformation and more robust international trade.The rise of technology intensity around the globe has increased competition for trade in the ASEAN-5 economies. Do ICT facilitate the exchange of products and services between individuals, businesses and groups to enhance the trade in ASEAN-5? The objective of this study is to examine the impacts of broadband, internet, telephone and mobile use on trade flows in ASEAN-5 using panel regression models for year 2000-2018. The findings suggest that broadband, telephone and mobile use serve as complementary roles to the internet usage to enhance trade activities.The study also shows that the dominant technology driver isinternet. This study demonstrates that Neo-Schumpeterian Economics is important to explain technology as an important element determining the characteristics of international trade flows and growth in ASEAN-5. To improve the trade activities in ASEAN-5, encouragement on ICT use across individuals, firms and public administrations should be supported to stimulate international trade.&quot;,&quot;container-title-short&quot;:&quot;&quot;},&quot;isTemporary&quot;:false}]},{&quot;citationID&quot;:&quot;MENDELEY_CITATION_591db586-212a-4480-969c-6bbc95f709c2&quot;,&quot;properties&quot;:{&quot;noteIndex&quot;:0},&quot;isEdited&quot;:false,&quot;manualOverride&quot;:{&quot;isManuallyOverridden&quot;:false,&quot;citeprocText&quot;:&quot;[9], [16]&quot;,&quot;manualOverrideText&quot;:&quot;&quot;},&quot;citationTag&quot;:&quot;MENDELEY_CITATION_v3_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&quot;,&quot;citationItems&quot;:[{&quot;id&quot;:&quot;f08108e9-aa04-36d7-aaa2-fe00d168d6e7&quot;,&quot;itemData&quot;:{&quot;type&quot;:&quot;article-journal&quot;,&quot;id&quot;:&quot;f08108e9-aa04-36d7-aaa2-fe00d168d6e7&quot;,&quot;title&quot;:&quot;Information and Communication Technology (ICT) on Economic Growth in Asia: A Panel Data Analysis&quot;,&quot;author&quot;:[{&quot;family&quot;:&quot;Toria Nipo&quot;,&quot;given&quot;:&quot;Debbra&quot;,&quot;parse-names&quot;:false,&quot;dropping-particle&quot;:&quot;&quot;,&quot;non-dropping-particle&quot;:&quot;&quot;},{&quot;family&quot;:&quot;Lily&quot;,&quot;given&quot;:&quot;Jaratin&quot;,&quot;parse-names&quot;:false,&quot;dropping-particle&quot;:&quot;&quot;,&quot;non-dropping-particle&quot;:&quot;&quot;},{&quot;family&quot;:&quot;Idris&quot;,&quot;given&quot;:&quot;Sidah&quot;,&quot;parse-names&quot;:false,&quot;dropping-particle&quot;:&quot;&quot;,&quot;non-dropping-particle&quot;:&quot;&quot;},{&quot;family&quot;:&quot;Pinjaman&quot;,&quot;given&quot;:&quot;Saizal&quot;,&quot;parse-names&quot;:false,&quot;dropping-particle&quot;:&quot;&quot;,&quot;non-dropping-particle&quot;:&quot;&quot;},{&quot;family&quot;:&quot;Bujang&quot;,&quot;given&quot;:&quot;Imbarine&quot;,&quot;parse-names&quot;:false,&quot;dropping-particle&quot;:&quot;&quot;,&quot;non-dropping-particle&quot;:&quot;&quot;}],&quot;container-title&quot;:&quot;International Journal of Business and Management&quot;,&quot;DOI&quot;:&quot;10.5539/ijbm.v17n12p18&quot;,&quot;ISSN&quot;:&quot;1833-3850&quot;,&quot;issued&quot;:{&quot;date-parts&quot;:[[2022]]},&quot;abstract&quot;:&quot;Information and communication technology (ICT) plays an increasingly important role in driving economic growth and sustainability. Asia, being the most heterogenous region in terms of ICT development, consist of both most connected and least connected countries based on the global ICT Development Index 2017. Therefore, this study investigates the impact of ICT on economic growth for 20 Asian countries from year 2000 to 2020. Using the robust panel Fixed Effect model and Panel Feasible Generalized Least Squares method, findings revealed that fixed telephone subscriptions, mobile cellular subscriptions and Internet users are the ICT variables that have significant and positive effects on economic growth in Asia. Fixed telephone subscriptions however, emerged insignificant which could be due to its high cost and low practicality relative to other forms of ICT. Findings from this study benefit related parties such as firms and policymakers by encouraging adoption and usage of mobile phones and the Internet through provision of adequate infrastructure and affordable ICT services.&quot;,&quot;issue&quot;:&quot;12&quot;,&quot;volume&quot;:&quot;17&quot;,&quot;container-title-short&quot;:&quot;&quot;},&quot;isTemporary&quot;:false},{&quot;id&quot;:&quot;6a695bfc-9f91-3e6f-83e2-9cf36193e315&quot;,&quot;itemData&quot;:{&quot;type&quot;:&quot;article-journal&quot;,&quot;id&quot;:&quot;6a695bfc-9f91-3e6f-83e2-9cf36193e315&quot;,&quot;title&quot;:&quot;The Effect of Telecommunication Infrastructure on Economic Growth in the Six ASEAN Countries&quot;,&quot;author&quot;:[{&quot;family&quot;:&quot;Thoyibah&quot;,&quot;given&quot;:&quot;Qurrota A'yun Pramitha&quot;,&quot;parse-names&quot;:false,&quot;dropping-particle&quot;:&quot;&quot;,&quot;non-dropping-particle&quot;:&quot;&quot;},{&quot;family&quot;:&quot;Sugiharti&quot;,&quot;given&quot;:&quot;Lilik&quot;,&quot;parse-names&quot;:false,&quot;dropping-particle&quot;:&quot;&quot;,&quot;non-dropping-particle&quot;:&quot;&quot;}],&quot;container-title&quot;:&quot;Media Trend&quot;,&quot;DOI&quot;:&quot;10.21107/mediatrend.v17i1.13640&quot;,&quot;ISSN&quot;:&quot;1858-1307&quot;,&quot;issued&quot;:{&quot;date-parts&quot;:[[2022]]},&quot;abstract&quot;:&quot;Information and Communication Technology (ICT) as a facilitator of information between the government and the public by increasing network access and broadband services. Digital technology in ASEAN is worth up to US$625 billion by 2030 (8 percent of ASEAN's annual GDP), which can be derived from increased efficiency, new products and services, etc. According to the World Bank (2015), the use of digital technology contributes to economic growth. This study aims to analyze the effect of Individual Internet Users Percentage, Mobile Cellular Subscriptions (Per 100 Persons), Fixed Broadband Subscriptions (Per 100 Persons), Government Expenditures and Labor on GDP Per Capita in six ASEAN Countries in 2011-2019. The type of data used in this research is secondary data from the World Bank which is processed by panel data regression method.The results show that simultaneously the input of the Neo-Classical growth theory is capital through telecommunications infrastructure which consists of the Percentage of Individual Internet Users, Mobile Cellular Subscriptions (Per 100 people), Fixed Broadband Subscriptions (Per 100 People), Government Expenditures and Labor have an effect significantly to economic growth in the six ASEAN countries. While partially all exogenous variables also show a significant effect on the endogenous variables of economic growth with varying values. Telecommunication infrastructure based on the indicators of Individual Internet User Percentage, Fixed Broadband Subscriptions (Per 100 Persons), Government Expenditures has a positive significance on economic growth. Surprising results on telecommunications infrastructure with indicators Mobile Cellular Subscriptions (Per 100 people) is a significant negative effect on economic growth. Labor shows that there is no effect but positive significance on economic growth.&quot;,&quot;issue&quot;:&quot;1&quot;,&quot;volume&quot;:&quot;17&quot;,&quot;container-title-short&quot;:&quot;&quot;},&quot;isTemporary&quot;:false}]},{&quot;citationID&quot;:&quot;MENDELEY_CITATION_95f00de3-fd3f-4485-b36a-74d595269076&quot;,&quot;properties&quot;:{&quot;noteIndex&quot;:0},&quot;isEdited&quot;:false,&quot;manualOverride&quot;:{&quot;isManuallyOverridden&quot;:false,&quot;citeprocText&quot;:&quot;[17]&quot;,&quot;manualOverrideText&quot;:&quot;&quot;},&quot;citationTag&quot;:&quot;MENDELEY_CITATION_v3_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&quot;,&quot;citationItems&quot;:[{&quot;id&quot;:&quot;35288c30-0542-347b-bfd4-7615e3b37a21&quot;,&quot;itemData&quot;:{&quot;type&quot;:&quot;chapter&quot;,&quot;id&quot;:&quot;35288c30-0542-347b-bfd4-7615e3b37a21&quot;,&quot;title&quot;:&quot;Effects of ICT development on economic growth in emerging Asian countries&quot;,&quot;author&quot;:[{&quot;family&quot;:&quot;Das&quot;,&quot;given&quot;:&quot;Anupam&quot;,&quot;parse-names&quot;:false,&quot;dropping-particle&quot;:&quot;&quot;,&quot;non-dropping-particle&quot;:&quot;&quot;},{&quot;family&quot;:&quot;Khan&quot;,&quot;given&quot;:&quot;Syeed&quot;,&quot;parse-names&quot;:false,&quot;dropping-particle&quot;:&quot;&quot;,&quot;non-dropping-particle&quot;:&quot;&quot;},{&quot;family&quot;:&quot;Chowdhury&quot;,&quot;given&quot;:&quot;Murshed&quot;,&quot;parse-names&quot;:false,&quot;dropping-particle&quot;:&quot;&quot;,&quot;non-dropping-particle&quot;:&quot;&quot;}],&quot;container-title&quot;:&quot;ICTs in Developing Countries: Research, Practices and Policy Implications&quot;,&quot;DOI&quot;:&quot;10.1057/9781137469502_9&quot;,&quot;issued&quot;:{&quot;date-parts&quot;:[[2016]]},&quot;abstract&quot;:&quot;One of the prominent characteristics of well-performing developing economies is the large-scale economy-wide diffusion of information and communication technologies (ICT). ICT diffusion, through increased Internet and mobile cellular phone subscriptions, can positively affect economic growth (Sassi &amp; Goaied, 2013; Khayyat et al., 2014; Shahiduzzaman &amp; Alam, 2014) in three different ways. First, it can assist economy-wide technology diffusion and innovation. Second, it can improve the quality of decision making by economic agents. And finally, it can raise the output level by creating demand for goods and services and by lowering costs of production (Vu, 2011). Waverman et al. (2005) argued that an average of 10 additional mobile phones per 100 people would increase per capita GDP growth by approximately 0.59 percent in the low income countries. Although the development of ICT infrastructure has been a major challenge, there is a considerable rise in the number of Internet and mobile users in many developing countries in Asia. The number of mobile subscriptions in most of these countries has gone up from a mere 0 to 50 per 100 inhabitants from 2000 to 2012. In few cases such as China, India and Sri Lanka, these numbers are as high as 80.76, 69.92 and 91.63, respectively (ITU, 2014). Interestingly, the number of mobile subscriptions in many Asian countries such as Indonesia, Korea, Malaysia, Philippines, Singapore and Thailand exceeds their respective total population.&quot;,&quot;container-title-short&quot;:&quot;&quot;},&quot;isTemporary&quot;:false}]},{&quot;citationID&quot;:&quot;MENDELEY_CITATION_6f64fec7-6d70-45ee-8ebd-4db30af6214c&quot;,&quot;properties&quot;:{&quot;noteIndex&quot;:0},&quot;isEdited&quot;:false,&quot;manualOverride&quot;:{&quot;isManuallyOverridden&quot;:false,&quot;citeprocText&quot;:&quot;[10]&quot;,&quot;manualOverrideText&quot;:&quot;&quot;},&quot;citationTag&quot;:&quot;MENDELEY_CITATION_v3_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&quot;,&quot;citationItems&quot;:[{&quot;id&quot;:&quot;3debd106-2474-3717-8abe-1127faae719e&quot;,&quot;itemData&quot;:{&quot;type&quot;:&quot;paper-conference&quot;,&quot;id&quot;:&quot;3debd106-2474-3717-8abe-1127faae719e&quot;,&quot;title&quot;:&quot;Exploring the nexus between mobile phone penetration and economic growth in 13 Asian countries: Evidence from panel cointegration analysis&quot;,&quot;author&quot;:[{&quot;family&quot;:&quot;Dutta&quot;,&quot;given&quot;:&quot;Ujjal Protim&quot;,&quot;parse-names&quot;:false,&quot;dropping-particle&quot;:&quot;&quot;,&quot;non-dropping-particle&quot;:&quot;&quot;},{&quot;family&quot;:&quot;Gupta&quot;,&quot;given&quot;:&quot;Abhishek&quot;,&quot;parse-names&quot;:false,&quot;dropping-particle&quot;:&quot;&quot;,&quot;non-dropping-particle&quot;:&quot;&quot;},{&quot;family&quot;:&quot;Sengupta&quot;,&quot;given&quot;:&quot;Partha Pratim&quot;,&quot;parse-names&quot;:false,&quot;dropping-particle&quot;:&quot;&quot;,&quot;non-dropping-particle&quot;:&quot;&quot;}],&quot;container-title&quot;:&quot;Advances in Intelligent Systems and Computing&quot;,&quot;DOI&quot;:&quot;10.1007/978-981-13-3393-4_35&quot;,&quot;ISSN&quot;:&quot;21945357&quot;,&quot;issued&quot;:{&quot;date-parts&quot;:[[2019]]},&quot;abstract&quot;:&quot;This study endeavours to examine the nexus between mobile phone penetration and economic growth for 13 Asian nations over the period of 1990–2016. To attain this objective, we have initially employed LLC and IPS panel unit root tests to investigate whether the variables are stationary or not. Having found a same order of integration for each of the variables, we applied Pedroni’s panel cointegration method to investigate the cointegrating relationship between the variables. The outcome of the study reveals the presence of a cointegrating relationship between the variables. Accordingly, we applied FMOLS and DOLS estimators to estimate the mobile penetration retention coefficient. The results of both methods confirmed the significant effect of mobile phone penetration on economic growth. Thus, besides investment in human and physical capital, governments of these countries can enhance their economic growth by harnessing the potential of mobile phone penetration.&quot;,&quot;volume&quot;:&quot;898&quot;,&quot;container-title-short&quot;:&quot;&quot;},&quot;isTemporary&quot;:false}]},{&quot;citationID&quot;:&quot;MENDELEY_CITATION_f6038243-2c00-47e6-9cfd-9983e1edc79d&quot;,&quot;properties&quot;:{&quot;noteIndex&quot;:0},&quot;isEdited&quot;:false,&quot;manualOverride&quot;:{&quot;isManuallyOverridden&quot;:false,&quot;citeprocText&quot;:&quot;[18]&quot;,&quot;manualOverrideText&quot;:&quot;&quot;},&quot;citationTag&quot;:&quot;MENDELEY_CITATION_v3_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&quot;,&quot;citationItems&quot;:[{&quot;id&quot;:&quot;df2c82b0-83cb-310b-ba11-bd50114b5d98&quot;,&quot;itemData&quot;:{&quot;type&quot;:&quot;article-journal&quot;,&quot;id&quot;:&quot;df2c82b0-83cb-310b-ba11-bd50114b5d98&quot;,&quot;title&quot;:&quot;Analysis of the impact of information communication technology on economic growth: empirical evidence from Asian countries&quot;,&quot;author&quot;:[{&quot;family&quot;:&quot;Kurniawati&quot;,&quot;given&quot;:&quot;Meta Ayu&quot;,&quot;parse-names&quot;:false,&quot;dropping-particle&quot;:&quot;&quot;,&quot;non-dropping-particle&quot;:&quot;&quot;}],&quot;container-title&quot;:&quot;Journal of Asian Business and Economic Studies&quot;,&quot;DOI&quot;:&quot;10.1108/jabes-07-2020-0082&quot;,&quot;ISSN&quot;:&quot;2515-964X&quot;,&quot;issued&quot;:{&quot;date-parts&quot;:[[2022]]},&quot;abstract&quot;:&quot;Purpose This study examines the causal relationship between information communication technology (ICT) and economic growth in high-income and middle-income Asian countries. Design/methodology/approach This study utilises a high-quality data from 25 Asian countries from 2000 to 2018. This study presents the robustness results by employing panel cointegration and estimation procedures to account for the endogeneity and cross-sectional dependence issues. Findings The results illustrate that high-income Asian countries have achieved positive and significant economic development from high Internet penetration. Additionally, the middle-income countries have started to benefit from ICT Internet. The findings show that the telephone line and mobile phone penetration is highly capable of promoting economic growth in middle-income Asian countries. Practical implications In high-income Asia countries, an appropriate ICT infrastructure policy will support feasible ICT penetration, which may drive the processes of economic development and innovation that contribute to economic growth. Moreover, in middle-income Asian countries, the establishment of better-quality ICT service and infrastructure is more critical. Policymakers should accommodate sufficient support to establish the ICT infrastructure and expand ICT penetration. Originality/value This study reveals that high-income Asian countries have been more proactive and effective than middle-income countries in embracing ICT to foster economic growth. Examining the case of high-income and middle-income Asian countries provides comprehensive insight for policymakers regarding the relevance of ICT in boosting economic growth through the advantages of technology expansion.&quot;,&quot;issue&quot;:&quot;1&quot;,&quot;volume&quot;:&quot;29&quot;,&quot;container-title-short&quot;:&quot;&quot;},&quot;isTemporary&quot;:false}]},{&quot;citationID&quot;:&quot;MENDELEY_CITATION_33c4f8e2-b908-4f47-b188-b8ff01379799&quot;,&quot;properties&quot;:{&quot;noteIndex&quot;:0},&quot;isEdited&quot;:false,&quot;manualOverride&quot;:{&quot;isManuallyOverridden&quot;:false,&quot;citeprocText&quot;:&quot;[19]&quot;,&quot;manualOverrideText&quot;:&quot;&quot;},&quot;citationTag&quot;:&quot;MENDELEY_CITATION_v3_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&quot;,&quot;citationItems&quot;:[{&quot;id&quot;:&quot;f73e422c-2c29-3ef5-ab02-e04bf412fe59&quot;,&quot;itemData&quot;:{&quot;type&quot;:&quot;article&quot;,&quot;id&quot;:&quot;f73e422c-2c29-3ef5-ab02-e04bf412fe59&quot;,&quot;title&quot;:&quot;Transmission of waterborne parasites in the Association of Southeast Asian Nations (ASEAN): Overview and direction forward&quot;,&quot;author&quot;:[{&quot;family&quot;:&quot;Lim&quot;,&quot;given&quot;:&quot;Yvonne A.L.&quot;,&quot;parse-names&quot;:false,&quot;dropping-particle&quot;:&quot;&quot;,&quot;non-dropping-particle&quot;:&quot;&quot;},{&quot;family&quot;:&quot;Nissapatorn&quot;,&quot;given&quot;:&quot;Veeranoot&quot;,&quot;parse-names&quot;:false,&quot;dropping-particle&quot;:&quot;&quot;,&quot;non-dropping-particle&quot;:&quot;&quot;}],&quot;container-title&quot;:&quot;Food and Waterborne Parasitology&quot;,&quot;container-title-short&quot;:&quot;Food Waterborne Parasitol&quot;,&quot;DOI&quot;:&quot;10.1016/j.fawpar.2017.08.001&quot;,&quot;ISSN&quot;:&quot;24056766&quot;,&quot;issued&quot;:{&quot;date-parts&quot;:[[2017]]},&quot;abstract&quot;:&quot;Most of the global outbreaks of waterborne parasitic protozoa have been reported in regions with established surveillance and reporting systems such as Australia, Europe, New Zealand, and North America. Given that only an estimated 1% of these outbreaks have occurred in Asia, it is evident that there is a paucity of information from this region where organised mechanisms of documentation of parasitic infections or waterborne outbreaks are lacking. This review attempts to provide an overview of the available data and studies on waterborne parasite occurrences among the Association of Southeast Asian Nations (ASEAN) which comprises of the ten member states (i.e., Brunei Darussalam, Cambodia, Indonesia, Lao People's Democratic Republic (PDR), Malaysia, Myanmar, the Philippines, Singapore, Thailand, and Vietnam) with the aims of identifying some directions on how to progress.&quot;,&quot;volume&quot;:&quot;8-9&quot;},&quot;isTemporary&quot;:false}]},{&quot;citationID&quot;:&quot;MENDELEY_CITATION_cf59ab34-47d2-4a9d-ab3b-d7527dee959c&quot;,&quot;properties&quot;:{&quot;noteIndex&quot;:0},&quot;isEdited&quot;:false,&quot;manualOverride&quot;:{&quot;isManuallyOverridden&quot;:false,&quot;citeprocText&quot;:&quot;[9]&quot;,&quot;manualOverrideText&quot;:&quot;&quot;},&quot;citationTag&quot;:&quot;MENDELEY_CITATION_v3_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&quot;,&quot;citationItems&quot;:[{&quot;id&quot;:&quot;6a695bfc-9f91-3e6f-83e2-9cf36193e315&quot;,&quot;itemData&quot;:{&quot;type&quot;:&quot;article-journal&quot;,&quot;id&quot;:&quot;6a695bfc-9f91-3e6f-83e2-9cf36193e315&quot;,&quot;title&quot;:&quot;The Effect of Telecommunication Infrastructure on Economic Growth in the Six ASEAN Countries&quot;,&quot;author&quot;:[{&quot;family&quot;:&quot;Thoyibah&quot;,&quot;given&quot;:&quot;Qurrota A'yun Pramitha&quot;,&quot;parse-names&quot;:false,&quot;dropping-particle&quot;:&quot;&quot;,&quot;non-dropping-particle&quot;:&quot;&quot;},{&quot;family&quot;:&quot;Sugiharti&quot;,&quot;given&quot;:&quot;Lilik&quot;,&quot;parse-names&quot;:false,&quot;dropping-particle&quot;:&quot;&quot;,&quot;non-dropping-particle&quot;:&quot;&quot;}],&quot;container-title&quot;:&quot;Media Trend&quot;,&quot;DOI&quot;:&quot;10.21107/mediatrend.v17i1.13640&quot;,&quot;ISSN&quot;:&quot;1858-1307&quot;,&quot;issued&quot;:{&quot;date-parts&quot;:[[2022]]},&quot;abstract&quot;:&quot;Information and Communication Technology (ICT) as a facilitator of information between the government and the public by increasing network access and broadband services. Digital technology in ASEAN is worth up to US$625 billion by 2030 (8 percent of ASEAN's annual GDP), which can be derived from increased efficiency, new products and services, etc. According to the World Bank (2015), the use of digital technology contributes to economic growth. This study aims to analyze the effect of Individual Internet Users Percentage, Mobile Cellular Subscriptions (Per 100 Persons), Fixed Broadband Subscriptions (Per 100 Persons), Government Expenditures and Labor on GDP Per Capita in six ASEAN Countries in 2011-2019. The type of data used in this research is secondary data from the World Bank which is processed by panel data regression method.The results show that simultaneously the input of the Neo-Classical growth theory is capital through telecommunications infrastructure which consists of the Percentage of Individual Internet Users, Mobile Cellular Subscriptions (Per 100 people), Fixed Broadband Subscriptions (Per 100 People), Government Expenditures and Labor have an effect significantly to economic growth in the six ASEAN countries. While partially all exogenous variables also show a significant effect on the endogenous variables of economic growth with varying values. Telecommunication infrastructure based on the indicators of Individual Internet User Percentage, Fixed Broadband Subscriptions (Per 100 Persons), Government Expenditures has a positive significance on economic growth. Surprising results on telecommunications infrastructure with indicators Mobile Cellular Subscriptions (Per 100 people) is a significant negative effect on economic growth. Labor shows that there is no effect but positive significance on economic growth.&quot;,&quot;issue&quot;:&quot;1&quot;,&quot;volume&quot;:&quot;17&quot;,&quot;container-title-short&quot;:&quot;&quot;},&quot;isTemporary&quot;:false}]},{&quot;citationID&quot;:&quot;MENDELEY_CITATION_0d133a44-1c09-4d60-a2a8-35d4a897f177&quot;,&quot;properties&quot;:{&quot;noteIndex&quot;:0},&quot;isEdited&quot;:false,&quot;manualOverride&quot;:{&quot;isManuallyOverridden&quot;:false,&quot;citeprocText&quot;:&quot;[20]&quot;,&quot;manualOverrideText&quot;:&quot;&quot;},&quot;citationTag&quot;:&quot;MENDELEY_CITATION_v3_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&quot;,&quot;citationItems&quot;:[{&quot;id&quot;:&quot;5b42ccb8-c6f7-3242-92ba-946e299ec96a&quot;,&quot;itemData&quot;:{&quot;type&quot;:&quot;article-journal&quot;,&quot;id&quot;:&quot;5b42ccb8-c6f7-3242-92ba-946e299ec96a&quot;,&quot;title&quot;:&quot;Simulation of Intellectual Property Management on Evolution Driving of Regional Economic Growth&quot;,&quot;author&quot;:[{&quot;family&quot;:&quot;Yang&quot;,&quot;given&quot;:&quot;Xiran&quot;,&quot;parse-names&quot;:false,&quot;dropping-particle&quot;:&quot;&quot;,&quot;non-dropping-particle&quot;:&quot;&quot;},{&quot;family&quot;:&quot;Qi&quot;,&quot;given&quot;:&quot;Yong&quot;,&quot;parse-names&quot;:false,&quot;dropping-particle&quot;:&quot;&quot;,&quot;non-dropping-particle&quot;:&quot;&quot;}],&quot;container-title&quot;:&quot;Applied Sciences (Switzerland)&quot;,&quot;DOI&quot;:&quot;10.3390/app12189011&quot;,&quot;ISSN&quot;:&quot;20763417&quot;,&quot;issued&quot;:{&quot;date-parts&quot;:[[2022]]},&quot;abstract&quot;:&quot;The input, application, and transformation of intellectual property can significantly promote the economic development of a region, but the path and operation mechanism of intellectual property management on regional economic growth are not very clear. System dynamics theory was used to analyze the driving force and resistance of intellectual property management from macro to micro. With the help of system dynamics theory, equations were constructed to simulate the process path and force from intellectual property management to regional economic growth, and sensitivity analysis was used to find sensitive influencing factors in the system. The following conclusions were drawn: (1) intellectual property affects regional economic growth from the macro level, such as intellectual property investment, policies, and the construction of rules and regulations; (2) enterprises, whether in the industry, universities and research institutes, or in this system, are the main body to create innovative benefits and ultimately promote regional economic growth; (3) the continuous investment of intellectual property resources and the driving force of enterprise innovation are all sensitive factors of this system. The government should give full play to its functions and strengthen the management of intellectual property in order to enable the regional economy to obtain high quality development. Through the study of the cooperation between the subjects in the process of intellectual property management activities, the integration and allocation process of factors and resources has been researched, and revealing the action process and dynamic change process of technological innovation activities on economic growth also have been revealed.&quot;,&quot;issue&quot;:&quot;18&quot;,&quot;volume&quot;:&quot;12&quot;,&quot;container-title-short&quot;:&quot;&quot;},&quot;isTemporary&quot;:false}]},{&quot;citationID&quot;:&quot;MENDELEY_CITATION_85baea57-c835-48e3-a341-4124c9f17d75&quot;,&quot;properties&quot;:{&quot;noteIndex&quot;:0},&quot;isEdited&quot;:false,&quot;manualOverride&quot;:{&quot;isManuallyOverridden&quot;:false,&quot;citeprocText&quot;:&quot;[21], [22]&quot;,&quot;manualOverrideText&quot;:&quot;&quot;},&quot;citationTag&quot;:&quot;MENDELEY_CITATION_v3_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&quot;,&quot;citationItems&quot;:[{&quot;id&quot;:&quot;a6c15910-534f-37ef-8a0a-811635723fa6&quot;,&quot;itemData&quot;:{&quot;type&quot;:&quot;paper-conference&quot;,&quot;id&quot;:&quot;a6c15910-534f-37ef-8a0a-811635723fa6&quot;,&quot;title&quot;:&quot;Intellectual property rights and economic growth: The case of middle income developing countries&quot;,&quot;author&quot;:[{&quot;family&quot;:&quot;Janjua&quot;,&quot;given&quot;:&quot;Pervez Zamurrad&quot;,&quot;parse-names&quot;:false,&quot;dropping-particle&quot;:&quot;&quot;,&quot;non-dropping-particle&quot;:&quot;&quot;},{&quot;family&quot;:&quot;Samad&quot;,&quot;given&quot;:&quot;Ghulam&quot;,&quot;parse-names&quot;:false,&quot;dropping-particle&quot;:&quot;&quot;,&quot;non-dropping-particle&quot;:&quot;&quot;}],&quot;container-title&quot;:&quot;Pakistan Development Review&quot;,&quot;container-title-short&quot;:&quot;Pak Dev Rev&quot;,&quot;DOI&quot;:&quot;10.30541/v46i4iipp.711-722&quot;,&quot;ISSN&quot;:&quot;00309729&quot;,&quot;issued&quot;:{&quot;date-parts&quot;:[[2007]]},&quot;abstract&quot;:&quot;Neoclassical growth theory emphasises the role of intellectual property rights (IPRs) in the economic growth process through different channels like international trade, foreign direct investment (FDI), licencing, and research and development (R &amp; D). We estimated the impact of IPRs protection on economic growth for a panel of ten middle-income developing countries, using pooled least square estimation techniques by applying both fixed and random effect models, and both unbalanced data from 1960-2005 and balanced data from 1970-2005. Both fixed and random effect models do not support the positive link between IPRs and economic growth. This suggests that although IPRs protection stimulates economic growth, yet these developing countries are at the transitional stage of their economic development and the cost of innovation is higher than the cost of imitation. This means that these middle-income developing economies are not well-prepared to accept this challenge at the present stage of economic and infrastructural development. © The Pakistan Development Review.&quot;,&quot;issue&quot;:&quot;4&quot;,&quot;volume&quot;:&quot;46&quot;},&quot;isTemporary&quot;:false},{&quot;id&quot;:&quot;62dda89b-f4d7-3b8e-a354-66cb3a3599a1&quot;,&quot;itemData&quot;:{&quot;type&quot;:&quot;chapter&quot;,&quot;id&quot;:&quot;62dda89b-f4d7-3b8e-a354-66cb3a3599a1&quot;,&quot;title&quot;:&quot;Intellectual property, creativity and innovation in ASEAN&quot;,&quot;author&quot;:[{&quot;family&quot;:&quot;Antons&quot;,&quot;given&quot;:&quot;Christoph&quot;,&quot;parse-names&quot;:false,&quot;dropping-particle&quot;:&quot;&quot;,&quot;non-dropping-particle&quot;:&quot;&quot;},{&quot;family&quot;:&quot;Blakeney&quot;,&quot;given&quot;:&quot;Michael&quot;,&quot;parse-names&quot;:false,&quot;dropping-particle&quot;:&quot;&quot;,&quot;non-dropping-particle&quot;:&quot;&quot;}],&quot;container-title&quot;:&quot;Intellectual Property Law in South East Asia&quot;,&quot;DOI&quot;:&quot;10.4337/9781035308392.00005&quot;,&quot;issued&quot;:{&quot;date-parts&quot;:[[2023]]},&quot;container-title-short&quot;:&quot;&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C0768-75AB-42BD-9770-7F8BBC4FD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917</TotalTime>
  <Pages>11</Pages>
  <Words>8338</Words>
  <Characters>47532</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Yosapaht Sumantri</dc:creator>
  <cp:lastModifiedBy>Hp</cp:lastModifiedBy>
  <cp:revision>55</cp:revision>
  <cp:lastPrinted>2019-11-26T03:45:00Z</cp:lastPrinted>
  <dcterms:created xsi:type="dcterms:W3CDTF">2019-09-25T01:30:00Z</dcterms:created>
  <dcterms:modified xsi:type="dcterms:W3CDTF">2024-11-05T00:21:00Z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ade44f586a5478a34e709ae6353d1986926dc4240099f582a8a7de8e7fbed7e6</vt:lpwstr>
  </property>
</Properties>
</file>