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E2756" w14:textId="66BE732A" w:rsidR="002117E2" w:rsidRDefault="00DF4AB2" w:rsidP="00D61911">
      <w:pPr>
        <w:pStyle w:val="PaperTitle"/>
        <w:rPr>
          <w:szCs w:val="24"/>
        </w:rPr>
      </w:pPr>
      <w:r w:rsidRPr="00DF4AB2">
        <w:t xml:space="preserve">Enhancing Time Series </w:t>
      </w:r>
      <w:r w:rsidR="00027C0B">
        <w:t>Predicting</w:t>
      </w:r>
      <w:r w:rsidRPr="00DF4AB2">
        <w:t>: An Analytical Comparison of LSTM, Random Forest, and Hybrid Models for Predicting BRI Stock Prices</w:t>
      </w:r>
    </w:p>
    <w:p w14:paraId="5197FF3C" w14:textId="72B88BA0" w:rsidR="002117E2" w:rsidRDefault="00B407B8" w:rsidP="00D61911">
      <w:pPr>
        <w:pStyle w:val="AuthorName"/>
        <w:rPr>
          <w:b/>
        </w:rPr>
      </w:pPr>
      <w:r>
        <w:t>Brina Miftahurrohmah</w:t>
      </w:r>
      <w:proofErr w:type="gramStart"/>
      <w:r>
        <w:rPr>
          <w:vertAlign w:val="superscript"/>
        </w:rPr>
        <w:t>1,a</w:t>
      </w:r>
      <w:proofErr w:type="gramEnd"/>
      <w:r>
        <w:rPr>
          <w:vertAlign w:val="superscript"/>
        </w:rPr>
        <w:t>)</w:t>
      </w:r>
      <w:r>
        <w:t xml:space="preserve">, </w:t>
      </w:r>
      <w:proofErr w:type="spellStart"/>
      <w:r w:rsidR="006473EE">
        <w:t>Taufiqotul</w:t>
      </w:r>
      <w:proofErr w:type="spellEnd"/>
      <w:r w:rsidR="006473EE">
        <w:t xml:space="preserve"> Bariyah</w:t>
      </w:r>
      <w:r w:rsidR="006473EE">
        <w:rPr>
          <w:vertAlign w:val="superscript"/>
        </w:rPr>
        <w:t>2,</w:t>
      </w:r>
      <w:r w:rsidR="006473EE">
        <w:rPr>
          <w:vertAlign w:val="superscript"/>
        </w:rPr>
        <w:t>b</w:t>
      </w:r>
      <w:r w:rsidR="006473EE">
        <w:rPr>
          <w:vertAlign w:val="superscript"/>
        </w:rPr>
        <w:t>)</w:t>
      </w:r>
      <w:r w:rsidR="006473EE">
        <w:t>,</w:t>
      </w:r>
      <w:r w:rsidR="006473EE">
        <w:rPr>
          <w:vertAlign w:val="superscript"/>
        </w:rPr>
        <w:t xml:space="preserve"> </w:t>
      </w:r>
      <w:r>
        <w:t>Catur Wulandari</w:t>
      </w:r>
      <w:r w:rsidR="00D61911">
        <w:rPr>
          <w:vertAlign w:val="superscript"/>
        </w:rPr>
        <w:t>1,</w:t>
      </w:r>
      <w:r w:rsidR="006473EE">
        <w:rPr>
          <w:vertAlign w:val="superscript"/>
        </w:rPr>
        <w:t>c</w:t>
      </w:r>
      <w:r>
        <w:rPr>
          <w:vertAlign w:val="superscript"/>
        </w:rPr>
        <w:t>)</w:t>
      </w:r>
      <w:r>
        <w:t xml:space="preserve">, </w:t>
      </w:r>
      <w:r w:rsidR="000F16BC" w:rsidRPr="000F16BC">
        <w:t xml:space="preserve">Grandys </w:t>
      </w:r>
      <w:proofErr w:type="spellStart"/>
      <w:r w:rsidR="000F16BC" w:rsidRPr="000F16BC">
        <w:t>Frieska</w:t>
      </w:r>
      <w:proofErr w:type="spellEnd"/>
      <w:r w:rsidR="000F16BC" w:rsidRPr="000F16BC">
        <w:t xml:space="preserve"> Prassida</w:t>
      </w:r>
      <w:r w:rsidR="00D61911">
        <w:rPr>
          <w:vertAlign w:val="superscript"/>
        </w:rPr>
        <w:t>1,</w:t>
      </w:r>
      <w:r w:rsidR="006473EE">
        <w:rPr>
          <w:vertAlign w:val="superscript"/>
        </w:rPr>
        <w:t>d</w:t>
      </w:r>
      <w:r>
        <w:rPr>
          <w:vertAlign w:val="superscript"/>
        </w:rPr>
        <w:t>)</w:t>
      </w:r>
      <w:r>
        <w:t xml:space="preserve">, </w:t>
      </w:r>
      <w:r w:rsidR="006473EE">
        <w:t xml:space="preserve">and </w:t>
      </w:r>
      <w:r w:rsidR="000F16BC" w:rsidRPr="000F16BC">
        <w:t xml:space="preserve">Ardhi </w:t>
      </w:r>
      <w:proofErr w:type="spellStart"/>
      <w:r w:rsidR="000F16BC" w:rsidRPr="000F16BC">
        <w:t>Dwi</w:t>
      </w:r>
      <w:proofErr w:type="spellEnd"/>
      <w:r w:rsidR="000F16BC" w:rsidRPr="000F16BC">
        <w:t xml:space="preserve"> Firmansyah</w:t>
      </w:r>
      <w:r w:rsidR="00D61911">
        <w:rPr>
          <w:vertAlign w:val="superscript"/>
        </w:rPr>
        <w:t>1,</w:t>
      </w:r>
      <w:r w:rsidR="006473EE">
        <w:rPr>
          <w:vertAlign w:val="superscript"/>
        </w:rPr>
        <w:t>e</w:t>
      </w:r>
      <w:r>
        <w:rPr>
          <w:vertAlign w:val="superscript"/>
        </w:rPr>
        <w:t>)</w:t>
      </w:r>
      <w:r w:rsidR="006F6E11">
        <w:t xml:space="preserve"> </w:t>
      </w:r>
    </w:p>
    <w:p w14:paraId="4F277757" w14:textId="0B858695" w:rsidR="002117E2" w:rsidRDefault="005944DD" w:rsidP="005944DD">
      <w:pPr>
        <w:pStyle w:val="AuthorAffiliation"/>
      </w:pPr>
      <w:r>
        <w:rPr>
          <w:vertAlign w:val="superscript"/>
        </w:rPr>
        <w:t>1</w:t>
      </w:r>
      <w:r>
        <w:t xml:space="preserve">Department of </w:t>
      </w:r>
      <w:r w:rsidR="000F16BC">
        <w:t>Information System</w:t>
      </w:r>
      <w:r>
        <w:t xml:space="preserve">, Universitas </w:t>
      </w:r>
      <w:proofErr w:type="spellStart"/>
      <w:r w:rsidR="000F16BC">
        <w:t>Internasional</w:t>
      </w:r>
      <w:proofErr w:type="spellEnd"/>
      <w:r w:rsidR="000F16BC">
        <w:t xml:space="preserve"> Semen Indonesia</w:t>
      </w:r>
      <w:r>
        <w:t xml:space="preserve">, </w:t>
      </w:r>
      <w:r w:rsidR="000F16BC">
        <w:t>Gresik</w:t>
      </w:r>
      <w:r>
        <w:t xml:space="preserve">, </w:t>
      </w:r>
      <w:r w:rsidR="000F16BC">
        <w:t>Indonesia</w:t>
      </w:r>
      <w:r>
        <w:t xml:space="preserve"> </w:t>
      </w:r>
    </w:p>
    <w:p w14:paraId="381A1694" w14:textId="43198D36" w:rsidR="002117E2" w:rsidRDefault="005944DD" w:rsidP="005944DD">
      <w:pPr>
        <w:pStyle w:val="AuthorAffiliation"/>
      </w:pPr>
      <w:r>
        <w:rPr>
          <w:vertAlign w:val="superscript"/>
        </w:rPr>
        <w:t>2</w:t>
      </w:r>
      <w:r>
        <w:t xml:space="preserve">Department of </w:t>
      </w:r>
      <w:r w:rsidR="000F16BC">
        <w:t>Informatics</w:t>
      </w:r>
      <w:r>
        <w:t xml:space="preserve">, Universitas </w:t>
      </w:r>
      <w:proofErr w:type="spellStart"/>
      <w:r w:rsidR="000F16BC">
        <w:t>Internasional</w:t>
      </w:r>
      <w:proofErr w:type="spellEnd"/>
      <w:r w:rsidR="000F16BC">
        <w:t xml:space="preserve"> Semen Indonesia, Gresik, Indonesia</w:t>
      </w:r>
    </w:p>
    <w:p w14:paraId="5BE0FAAA" w14:textId="77777777" w:rsidR="002117E2" w:rsidRDefault="002117E2">
      <w:pPr>
        <w:pBdr>
          <w:top w:val="nil"/>
          <w:left w:val="nil"/>
          <w:bottom w:val="nil"/>
          <w:right w:val="nil"/>
          <w:between w:val="nil"/>
        </w:pBdr>
        <w:jc w:val="center"/>
        <w:rPr>
          <w:i/>
          <w:color w:val="000000"/>
          <w:sz w:val="20"/>
        </w:rPr>
      </w:pPr>
    </w:p>
    <w:p w14:paraId="60FD2FDC" w14:textId="6BA6613E" w:rsidR="002117E2" w:rsidRDefault="005944DD" w:rsidP="005944DD">
      <w:pPr>
        <w:pStyle w:val="AuthorEmail"/>
        <w:rPr>
          <w:highlight w:val="white"/>
        </w:rPr>
      </w:pPr>
      <w:r>
        <w:rPr>
          <w:highlight w:val="white"/>
          <w:vertAlign w:val="superscript"/>
        </w:rPr>
        <w:t xml:space="preserve">a) </w:t>
      </w:r>
      <w:r>
        <w:rPr>
          <w:highlight w:val="white"/>
        </w:rPr>
        <w:t xml:space="preserve">Corresponding author: </w:t>
      </w:r>
      <w:hyperlink r:id="rId7">
        <w:r w:rsidR="000F16BC">
          <w:rPr>
            <w:highlight w:val="white"/>
          </w:rPr>
          <w:t>brina.miftahurrohmah</w:t>
        </w:r>
        <w:r>
          <w:rPr>
            <w:highlight w:val="white"/>
          </w:rPr>
          <w:t>@</w:t>
        </w:r>
        <w:r w:rsidR="000F16BC">
          <w:rPr>
            <w:highlight w:val="white"/>
          </w:rPr>
          <w:t>uisi.ac.id</w:t>
        </w:r>
      </w:hyperlink>
    </w:p>
    <w:p w14:paraId="6F2EB205" w14:textId="334F618F" w:rsidR="002117E2" w:rsidRDefault="00D61911" w:rsidP="005944DD">
      <w:pPr>
        <w:pStyle w:val="AuthorEmail"/>
      </w:pPr>
      <w:r>
        <w:rPr>
          <w:vertAlign w:val="superscript"/>
        </w:rPr>
        <w:t>b)</w:t>
      </w:r>
      <w:r w:rsidR="005944DD">
        <w:rPr>
          <w:vertAlign w:val="superscript"/>
        </w:rPr>
        <w:t xml:space="preserve"> </w:t>
      </w:r>
      <w:r w:rsidR="006473EE">
        <w:t>taufiqotul</w:t>
      </w:r>
      <w:r w:rsidR="006473EE" w:rsidRPr="000F16BC">
        <w:t>.</w:t>
      </w:r>
      <w:r w:rsidR="006473EE">
        <w:t>bariyah</w:t>
      </w:r>
      <w:r w:rsidR="006473EE" w:rsidRPr="000F16BC">
        <w:t>@uisi.ac.id</w:t>
      </w:r>
      <w:r w:rsidR="006473EE">
        <w:t xml:space="preserve"> </w:t>
      </w:r>
    </w:p>
    <w:p w14:paraId="3DBEF9BA" w14:textId="327F8CB2" w:rsidR="000F16BC" w:rsidRDefault="00D61911" w:rsidP="005944DD">
      <w:pPr>
        <w:pStyle w:val="AuthorEmail"/>
      </w:pPr>
      <w:r>
        <w:rPr>
          <w:vertAlign w:val="superscript"/>
        </w:rPr>
        <w:t>c</w:t>
      </w:r>
      <w:r w:rsidR="000F16BC">
        <w:rPr>
          <w:vertAlign w:val="superscript"/>
        </w:rPr>
        <w:t>)</w:t>
      </w:r>
      <w:r w:rsidR="005944DD">
        <w:rPr>
          <w:vertAlign w:val="superscript"/>
        </w:rPr>
        <w:t xml:space="preserve"> </w:t>
      </w:r>
      <w:r w:rsidR="006473EE">
        <w:t>catur</w:t>
      </w:r>
      <w:r w:rsidR="006473EE" w:rsidRPr="000F16BC">
        <w:t>.</w:t>
      </w:r>
      <w:r w:rsidR="006473EE">
        <w:t>wulandari</w:t>
      </w:r>
      <w:r w:rsidR="006473EE" w:rsidRPr="000F16BC">
        <w:t>@uisi.ac.id</w:t>
      </w:r>
      <w:r w:rsidR="006473EE">
        <w:t xml:space="preserve"> </w:t>
      </w:r>
    </w:p>
    <w:p w14:paraId="690B3A8C" w14:textId="664C67B7" w:rsidR="000F16BC" w:rsidRDefault="00D61911" w:rsidP="005944DD">
      <w:pPr>
        <w:pStyle w:val="AuthorEmail"/>
      </w:pPr>
      <w:r>
        <w:rPr>
          <w:vertAlign w:val="superscript"/>
        </w:rPr>
        <w:t>d</w:t>
      </w:r>
      <w:r w:rsidR="000F16BC">
        <w:rPr>
          <w:vertAlign w:val="superscript"/>
        </w:rPr>
        <w:t>)</w:t>
      </w:r>
      <w:r w:rsidR="005944DD">
        <w:rPr>
          <w:vertAlign w:val="superscript"/>
        </w:rPr>
        <w:t xml:space="preserve"> </w:t>
      </w:r>
      <w:r w:rsidR="006473EE">
        <w:t>grandys</w:t>
      </w:r>
      <w:r w:rsidR="006473EE" w:rsidRPr="000F16BC">
        <w:t>.</w:t>
      </w:r>
      <w:r w:rsidR="006473EE">
        <w:t>prassida</w:t>
      </w:r>
      <w:r w:rsidR="006473EE" w:rsidRPr="000F16BC">
        <w:t>@uisi.ac.id</w:t>
      </w:r>
      <w:r w:rsidR="006473EE">
        <w:t xml:space="preserve"> </w:t>
      </w:r>
    </w:p>
    <w:p w14:paraId="4A9E6474" w14:textId="1C33B90A" w:rsidR="00D61911" w:rsidRPr="00D61911" w:rsidRDefault="00D61911" w:rsidP="005944DD">
      <w:pPr>
        <w:pStyle w:val="AuthorEmail"/>
      </w:pPr>
      <w:r>
        <w:rPr>
          <w:vertAlign w:val="superscript"/>
        </w:rPr>
        <w:t>e)</w:t>
      </w:r>
      <w:r w:rsidR="005944DD">
        <w:rPr>
          <w:vertAlign w:val="superscript"/>
        </w:rPr>
        <w:t xml:space="preserve"> </w:t>
      </w:r>
      <w:hyperlink r:id="rId8" w:history="1">
        <w:r w:rsidR="006473EE" w:rsidRPr="005944DD">
          <w:t>ardhi.firmansyah@uisi.ac.id</w:t>
        </w:r>
      </w:hyperlink>
    </w:p>
    <w:p w14:paraId="6D706B84" w14:textId="4F8FE7F0" w:rsidR="002117E2" w:rsidRDefault="005944DD" w:rsidP="005B456E">
      <w:pPr>
        <w:pStyle w:val="Abstract"/>
        <w:rPr>
          <w:color w:val="333333"/>
        </w:rPr>
      </w:pPr>
      <w:r w:rsidRPr="005B456E">
        <w:rPr>
          <w:b/>
          <w:bCs/>
        </w:rPr>
        <w:t>Abstract.</w:t>
      </w:r>
      <w:r>
        <w:t xml:space="preserve">  </w:t>
      </w:r>
      <w:r w:rsidR="0072165C" w:rsidRPr="005B456E">
        <w:rPr>
          <w:rStyle w:val="Emphasis"/>
          <w:szCs w:val="18"/>
        </w:rPr>
        <w:t>Accurately predicting stock price fluctuations is crucial for understanding BRI (BBRI) stock trends from January 2020 to July 2024. This study evaluates the effectiveness of Long Short-Term Memory (LSTM) and Random Forest models, as well as hybrid approaches. The analysis involves developing LSTM models with one and two hidden layers alongside Random Forest and hybrid models. The results indicate that the LSTM model with two hidden layers and Adam's optimization method (learning rate 0.01, epoch 200, batch size 64) delivers the highest accuracy, achieving an RMSE of 97.84, MAPE of 1.45%, and MAD of 76.12. In contrast, Random Forest and hybrid models show lower performance and less accuracy in predicting stock prices.</w:t>
      </w:r>
      <w:r>
        <w:rPr>
          <w:color w:val="333333"/>
        </w:rPr>
        <w:t xml:space="preserve"> </w:t>
      </w:r>
    </w:p>
    <w:p w14:paraId="0CD990FB" w14:textId="3FDA8DBB" w:rsidR="002117E2" w:rsidRDefault="005944DD" w:rsidP="005B456E">
      <w:pPr>
        <w:pStyle w:val="Abstract"/>
      </w:pPr>
      <w:r>
        <w:rPr>
          <w:b/>
        </w:rPr>
        <w:t xml:space="preserve">Keywords: </w:t>
      </w:r>
      <w:r w:rsidR="002104DA">
        <w:t>LSTM</w:t>
      </w:r>
      <w:r>
        <w:t xml:space="preserve">, </w:t>
      </w:r>
      <w:r w:rsidR="002104DA">
        <w:t>Random Forest, Hybrid</w:t>
      </w:r>
      <w:r>
        <w:t xml:space="preserve"> </w:t>
      </w:r>
    </w:p>
    <w:p w14:paraId="119BA190" w14:textId="77777777" w:rsidR="002117E2" w:rsidRDefault="005944DD">
      <w:pPr>
        <w:pStyle w:val="Heading1"/>
      </w:pPr>
      <w:r>
        <w:t>INTRODUCTION</w:t>
      </w:r>
    </w:p>
    <w:p w14:paraId="3E062792" w14:textId="0C4DE574" w:rsidR="00722F4B" w:rsidRPr="005944DD" w:rsidRDefault="00722F4B" w:rsidP="005944DD">
      <w:pPr>
        <w:pStyle w:val="Paragraph"/>
        <w:rPr>
          <w:rStyle w:val="Emphasis"/>
        </w:rPr>
      </w:pPr>
      <w:r w:rsidRPr="005944DD">
        <w:rPr>
          <w:rStyle w:val="Emphasis"/>
        </w:rPr>
        <w:t>As one of the most active and complicated elements in the global financial system, the stock market is characterized by high volatility, large transaction volumes, and complexity of information to be analyzed</w:t>
      </w:r>
      <w:r w:rsidR="001B7693" w:rsidRPr="005944DD">
        <w:rPr>
          <w:rStyle w:val="Emphasis"/>
        </w:rPr>
        <w:t xml:space="preserve"> </w:t>
      </w:r>
      <w:r w:rsidR="001B7693" w:rsidRPr="005944DD">
        <w:rPr>
          <w:rStyle w:val="Emphasis"/>
        </w:rPr>
        <w:fldChar w:fldCharType="begin"/>
      </w:r>
      <w:r w:rsidR="001B7693" w:rsidRPr="005944DD">
        <w:rPr>
          <w:rStyle w:val="Emphasis"/>
        </w:rPr>
        <w:instrText xml:space="preserve"> ADDIN EN.CITE &lt;EndNote&gt;&lt;Cite&gt;&lt;Author&gt;Raddant&lt;/Author&gt;&lt;Year&gt;2021&lt;/Year&gt;&lt;RecNum&gt;1&lt;/RecNum&gt;&lt;DisplayText&gt;[1]&lt;/DisplayText&gt;&lt;record&gt;&lt;rec-number&gt;1&lt;/rec-number&gt;&lt;foreign-keys&gt;&lt;key app="EN" db-id="tdperv2zy2zsv1ew5fwvpt2lzf5x9sse92pa" timestamp="1728278660"&gt;1&lt;/key&gt;&lt;/foreign-keys&gt;&lt;ref-type name="Journal Article"&gt;17&lt;/ref-type&gt;&lt;contributors&gt;&lt;authors&gt;&lt;author&gt;Raddant, Matthias&lt;/author&gt;&lt;author&gt;Kenett, Dror Y.&lt;/author&gt;&lt;/authors&gt;&lt;/contributors&gt;&lt;titles&gt;&lt;title&gt;Interconnectedness in the global financial market&lt;/title&gt;&lt;secondary-title&gt;Journal of International Money and Finance&lt;/secondary-title&gt;&lt;/titles&gt;&lt;periodical&gt;&lt;full-title&gt;Journal of International Money and Finance&lt;/full-title&gt;&lt;/periodical&gt;&lt;pages&gt;102280&lt;/pages&gt;&lt;volume&gt;110&lt;/volume&gt;&lt;dates&gt;&lt;year&gt;2021&lt;/year&gt;&lt;/dates&gt;&lt;publisher&gt;Elsevier&lt;/publisher&gt;&lt;isbn&gt;0261-5606&lt;/isbn&gt;&lt;urls&gt;&lt;/urls&gt;&lt;/record&gt;&lt;/Cite&gt;&lt;/EndNote&gt;</w:instrText>
      </w:r>
      <w:r w:rsidR="001B7693" w:rsidRPr="005944DD">
        <w:rPr>
          <w:rStyle w:val="Emphasis"/>
        </w:rPr>
        <w:fldChar w:fldCharType="separate"/>
      </w:r>
      <w:r w:rsidR="001B7693" w:rsidRPr="005944DD">
        <w:rPr>
          <w:rStyle w:val="Emphasis"/>
        </w:rPr>
        <w:t>[1]</w:t>
      </w:r>
      <w:r w:rsidR="001B7693" w:rsidRPr="005944DD">
        <w:rPr>
          <w:rStyle w:val="Emphasis"/>
        </w:rPr>
        <w:fldChar w:fldCharType="end"/>
      </w:r>
      <w:r w:rsidR="001B7693" w:rsidRPr="005944DD">
        <w:rPr>
          <w:rStyle w:val="Emphasis"/>
        </w:rPr>
        <w:t xml:space="preserve"> </w:t>
      </w:r>
      <w:r w:rsidR="001B7693" w:rsidRPr="005944DD">
        <w:rPr>
          <w:rStyle w:val="Emphasis"/>
        </w:rPr>
        <w:fldChar w:fldCharType="begin"/>
      </w:r>
      <w:r w:rsidR="001B7693" w:rsidRPr="005944DD">
        <w:rPr>
          <w:rStyle w:val="Emphasis"/>
        </w:rPr>
        <w:instrText xml:space="preserve"> ADDIN EN.CITE &lt;EndNote&gt;&lt;Cite&gt;&lt;Author&gt;Han&lt;/Author&gt;&lt;Year&gt;2019&lt;/Year&gt;&lt;RecNum&gt;2&lt;/RecNum&gt;&lt;DisplayText&gt;[2]&lt;/DisplayText&gt;&lt;record&gt;&lt;rec-number&gt;2&lt;/rec-number&gt;&lt;foreign-keys&gt;&lt;key app="EN" db-id="tdperv2zy2zsv1ew5fwvpt2lzf5x9sse92pa" timestamp="1728278771"&gt;2&lt;/key&gt;&lt;/foreign-keys&gt;&lt;ref-type name="Journal Article"&gt;17&lt;/ref-type&gt;&lt;contributors&gt;&lt;authors&gt;&lt;author&gt;Han, Dong&lt;/author&gt;&lt;/authors&gt;&lt;/contributors&gt;&lt;titles&gt;&lt;title&gt;Network analysis of the Chinese stock market during the turbulence of 2015–2016 using log-returns, volumes and mutual information&lt;/title&gt;&lt;secondary-title&gt;Physica A: Statistical Mechanics and its Applications&lt;/secondary-title&gt;&lt;/titles&gt;&lt;periodical&gt;&lt;full-title&gt;Physica A: Statistical Mechanics and its Applications&lt;/full-title&gt;&lt;/periodical&gt;&lt;pages&gt;1091-1109&lt;/pages&gt;&lt;volume&gt;523&lt;/volume&gt;&lt;dates&gt;&lt;year&gt;2019&lt;/year&gt;&lt;/dates&gt;&lt;publisher&gt;Elsevier&lt;/publisher&gt;&lt;isbn&gt;0378-4371&lt;/isbn&gt;&lt;urls&gt;&lt;/urls&gt;&lt;/record&gt;&lt;/Cite&gt;&lt;/EndNote&gt;</w:instrText>
      </w:r>
      <w:r w:rsidR="001B7693" w:rsidRPr="005944DD">
        <w:rPr>
          <w:rStyle w:val="Emphasis"/>
        </w:rPr>
        <w:fldChar w:fldCharType="separate"/>
      </w:r>
      <w:r w:rsidR="001B7693" w:rsidRPr="005944DD">
        <w:rPr>
          <w:rStyle w:val="Emphasis"/>
        </w:rPr>
        <w:t>[2]</w:t>
      </w:r>
      <w:r w:rsidR="001B7693" w:rsidRPr="005944DD">
        <w:rPr>
          <w:rStyle w:val="Emphasis"/>
        </w:rPr>
        <w:fldChar w:fldCharType="end"/>
      </w:r>
      <w:r w:rsidR="001B7693" w:rsidRPr="005944DD">
        <w:rPr>
          <w:rStyle w:val="Emphasis"/>
        </w:rPr>
        <w:t xml:space="preserve"> </w:t>
      </w:r>
      <w:r w:rsidR="001B7693" w:rsidRPr="005944DD">
        <w:rPr>
          <w:rStyle w:val="Emphasis"/>
        </w:rPr>
        <w:fldChar w:fldCharType="begin"/>
      </w:r>
      <w:r w:rsidR="001B7693" w:rsidRPr="005944DD">
        <w:rPr>
          <w:rStyle w:val="Emphasis"/>
        </w:rPr>
        <w:instrText xml:space="preserve"> ADDIN EN.CITE &lt;EndNote&gt;&lt;Cite&gt;&lt;Author&gt;Han&lt;/Author&gt;&lt;Year&gt;2024&lt;/Year&gt;&lt;RecNum&gt;3&lt;/RecNum&gt;&lt;DisplayText&gt;[3]&lt;/DisplayText&gt;&lt;record&gt;&lt;rec-number&gt;3&lt;/rec-number&gt;&lt;foreign-keys&gt;&lt;key app="EN" db-id="tdperv2zy2zsv1ew5fwvpt2lzf5x9sse92pa" timestamp="1728278813"&gt;3&lt;/key&gt;&lt;/foreign-keys&gt;&lt;ref-type name="Journal Article"&gt;17&lt;/ref-type&gt;&lt;contributors&gt;&lt;authors&gt;&lt;author&gt;Han, Henry&lt;/author&gt;&lt;author&gt;Forrest, Jeffrey Yi-Lin&lt;/author&gt;&lt;author&gt;Wang, Jiacun&lt;/author&gt;&lt;author&gt;Yuan, Shuining&lt;/author&gt;&lt;author&gt;Han, Fei&lt;/author&gt;&lt;author&gt;Li, Diane&lt;/author&gt;&lt;/authors&gt;&lt;/contributors&gt;&lt;titles&gt;&lt;title&gt;Explainable machine learning for high frequency trading dynamics discovery&lt;/title&gt;&lt;secondary-title&gt;Information Sciences&lt;/secondary-title&gt;&lt;/titles&gt;&lt;periodical&gt;&lt;full-title&gt;Information Sciences&lt;/full-title&gt;&lt;/periodical&gt;&lt;pages&gt;121286&lt;/pages&gt;&lt;volume&gt;684&lt;/volume&gt;&lt;dates&gt;&lt;year&gt;2024&lt;/year&gt;&lt;/dates&gt;&lt;publisher&gt;Elsevier&lt;/publisher&gt;&lt;isbn&gt;0020-0255&lt;/isbn&gt;&lt;urls&gt;&lt;/urls&gt;&lt;/record&gt;&lt;/Cite&gt;&lt;/EndNote&gt;</w:instrText>
      </w:r>
      <w:r w:rsidR="001B7693" w:rsidRPr="005944DD">
        <w:rPr>
          <w:rStyle w:val="Emphasis"/>
        </w:rPr>
        <w:fldChar w:fldCharType="separate"/>
      </w:r>
      <w:r w:rsidR="001B7693" w:rsidRPr="005944DD">
        <w:rPr>
          <w:rStyle w:val="Emphasis"/>
        </w:rPr>
        <w:t>[3]</w:t>
      </w:r>
      <w:r w:rsidR="001B7693" w:rsidRPr="005944DD">
        <w:rPr>
          <w:rStyle w:val="Emphasis"/>
        </w:rPr>
        <w:fldChar w:fldCharType="end"/>
      </w:r>
      <w:r w:rsidRPr="005944DD">
        <w:rPr>
          <w:rStyle w:val="Emphasis"/>
        </w:rPr>
        <w:t>. High volatility, caused by a variety of factors, including economic and political uncertainty, contributes to substantial risk for investors</w:t>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&lt;EndNote&gt;&lt;Cite&gt;&lt;Author&gt;Shi&lt;/Author&gt;&lt;Year&gt;2023&lt;/Year&gt;&lt;RecNum&gt;4&lt;/RecNum&gt;&lt;DisplayText&gt;[4]&lt;/DisplayText&gt;&lt;record&gt;&lt;rec-number&gt;4&lt;/rec-number&gt;&lt;foreign-keys&gt;&lt;key app="EN" db-id="tdperv2zy2zsv1ew5fwvpt2lzf5x9sse92pa" timestamp="1728278854"&gt;4&lt;/key&gt;&lt;/foreign-keys&gt;&lt;ref-type name="Journal Article"&gt;17&lt;/ref-type&gt;&lt;contributors&gt;&lt;authors&gt;&lt;author&gt;Shi, Yujie&lt;/author&gt;&lt;author&gt;Wang, Liming&lt;/author&gt;&lt;/authors&gt;&lt;/contributors&gt;&lt;titles&gt;&lt;title&gt;Comparing the impact of Chinese and US economic policy uncertainty on the volatility of major global stock markets&lt;/title&gt;&lt;secondary-title&gt;Global Finance Journal&lt;/secondary-title&gt;&lt;/titles&gt;&lt;periodical&gt;&lt;full-title&gt;Global Finance Journal&lt;/full-title&gt;&lt;/periodical&gt;&lt;pages&gt;100860&lt;/pages&gt;&lt;volume&gt;57&lt;/volume&gt;&lt;dates&gt;&lt;year&gt;2023&lt;/year&gt;&lt;/dates&gt;&lt;publisher&gt;Elsevier&lt;/publisher&gt;&lt;isbn&gt;1044-0283&lt;/isbn&gt;&lt;urls&gt;&lt;/urls&gt;&lt;/record&gt;&lt;/Cite&gt;&lt;/EndNote&gt;</w:instrText>
      </w:r>
      <w:r w:rsidR="0066184C" w:rsidRPr="005944DD">
        <w:rPr>
          <w:rStyle w:val="Emphasis"/>
        </w:rPr>
        <w:fldChar w:fldCharType="separate"/>
      </w:r>
      <w:r w:rsidR="0066184C" w:rsidRPr="005944DD">
        <w:rPr>
          <w:rStyle w:val="Emphasis"/>
        </w:rPr>
        <w:t>[4]</w:t>
      </w:r>
      <w:r w:rsidR="0066184C" w:rsidRPr="005944DD">
        <w:rPr>
          <w:rStyle w:val="Emphasis"/>
        </w:rPr>
        <w:fldChar w:fldCharType="end"/>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&lt;EndNote&gt;&lt;Cite&gt;&lt;Author&gt;Li&lt;/Author&gt;&lt;Year&gt;2024&lt;/Year&gt;&lt;RecNum&gt;5&lt;/RecNum&gt;&lt;DisplayText&gt;[5]&lt;/DisplayText&gt;&lt;record&gt;&lt;rec-number&gt;5&lt;/rec-number&gt;&lt;foreign-keys&gt;&lt;key app="EN" db-id="tdperv2zy2zsv1ew5fwvpt2lzf5x9sse92pa" timestamp="1728278890"&gt;5&lt;/key&gt;&lt;/foreign-keys&gt;&lt;ref-type name="Journal Article"&gt;17&lt;/ref-type&gt;&lt;contributors&gt;&lt;authors&gt;&lt;author&gt;Li, Rong&lt;/author&gt;&lt;author&gt;Tang, Guangyuan&lt;/author&gt;&lt;author&gt;Hong, Chen&lt;/author&gt;&lt;author&gt;Li, Sufang&lt;/author&gt;&lt;author&gt;Li, Bingting&lt;/author&gt;&lt;author&gt;Xiang, Shujian&lt;/author&gt;&lt;/authors&gt;&lt;/contributors&gt;&lt;titles&gt;&lt;title&gt;A study on economic policy uncertainty, geopolitical risk and stock market spillovers in BRICS countries&lt;/title&gt;&lt;secondary-title&gt;The North American Journal of Economics and Finance&lt;/secondary-title&gt;&lt;/titles&gt;&lt;periodical&gt;&lt;full-title&gt;The North American Journal of Economics and Finance&lt;/full-title&gt;&lt;/periodical&gt;&lt;pages&gt;102189&lt;/pages&gt;&lt;volume&gt;73&lt;/volume&gt;&lt;dates&gt;&lt;year&gt;2024&lt;/year&gt;&lt;/dates&gt;&lt;publisher&gt;Elsevier&lt;/publisher&gt;&lt;isbn&gt;1062-9408&lt;/isbn&gt;&lt;urls&gt;&lt;/urls&gt;&lt;/record&gt;&lt;/Cite&gt;&lt;/EndNote&gt;</w:instrText>
      </w:r>
      <w:r w:rsidR="0066184C" w:rsidRPr="005944DD">
        <w:rPr>
          <w:rStyle w:val="Emphasis"/>
        </w:rPr>
        <w:fldChar w:fldCharType="separate"/>
      </w:r>
      <w:r w:rsidR="0066184C" w:rsidRPr="005944DD">
        <w:rPr>
          <w:rStyle w:val="Emphasis"/>
        </w:rPr>
        <w:t>[5]</w:t>
      </w:r>
      <w:r w:rsidR="0066184C" w:rsidRPr="005944DD">
        <w:rPr>
          <w:rStyle w:val="Emphasis"/>
        </w:rPr>
        <w:fldChar w:fldCharType="end"/>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&lt;EndNote&gt;&lt;Cite&gt;&lt;Author&gt;Hu&lt;/Author&gt;&lt;Year&gt;2024&lt;/Year&gt;&lt;RecNum&gt;6&lt;/RecNum&gt;&lt;DisplayText&gt;[6]&lt;/DisplayText&gt;&lt;record&gt;&lt;rec-number&gt;6&lt;/rec-number&gt;&lt;foreign-keys&gt;&lt;key app="EN" db-id="tdperv2zy2zsv1ew5fwvpt2lzf5x9sse92pa" timestamp="1728278935"&gt;6&lt;/key&gt;&lt;/foreign-keys&gt;&lt;ref-type name="Journal Article"&gt;17&lt;/ref-type&gt;&lt;contributors&gt;&lt;authors&gt;&lt;author&gt;Hu, Zinan&lt;/author&gt;&lt;author&gt;Borjigin, Sumuya&lt;/author&gt;&lt;/authors&gt;&lt;/contributors&gt;&lt;titles&gt;&lt;title&gt;The amplifying role of geopolitical Risks, economic policy Uncertainty, and climate risks on Energy-Stock market volatility spillover across economic cycles&lt;/title&gt;&lt;secondary-title&gt;The North American Journal of Economics and Finance&lt;/secondary-title&gt;&lt;/titles&gt;&lt;periodical&gt;&lt;full-title&gt;The North American Journal of Economics and Finance&lt;/full-title&gt;&lt;/periodical&gt;&lt;pages&gt;102114&lt;/pages&gt;&lt;volume&gt;71&lt;/volume&gt;&lt;dates&gt;&lt;year&gt;2024&lt;/year&gt;&lt;/dates&gt;&lt;publisher&gt;Elsevier&lt;/publisher&gt;&lt;isbn&gt;1062-9408&lt;/isbn&gt;&lt;urls&gt;&lt;/urls&gt;&lt;/record&gt;&lt;/Cite&gt;&lt;/EndNote&gt;</w:instrText>
      </w:r>
      <w:r w:rsidR="0066184C" w:rsidRPr="005944DD">
        <w:rPr>
          <w:rStyle w:val="Emphasis"/>
        </w:rPr>
        <w:fldChar w:fldCharType="separate"/>
      </w:r>
      <w:r w:rsidR="0066184C" w:rsidRPr="005944DD">
        <w:rPr>
          <w:rStyle w:val="Emphasis"/>
        </w:rPr>
        <w:t>[6]</w:t>
      </w:r>
      <w:r w:rsidR="0066184C" w:rsidRPr="005944DD">
        <w:rPr>
          <w:rStyle w:val="Emphasis"/>
        </w:rPr>
        <w:fldChar w:fldCharType="end"/>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&lt;EndNote&gt;&lt;Cite&gt;&lt;Author&gt;Wang&lt;/Author&gt;&lt;Year&gt;2024&lt;/Year&gt;&lt;RecNum&gt;7&lt;/RecNum&gt;&lt;DisplayText&gt;[7]&lt;/DisplayText&gt;&lt;record&gt;&lt;rec-number&gt;7&lt;/rec-number&gt;&lt;foreign-keys&gt;&lt;key app="EN" db-id="tdperv2zy2zsv1ew5fwvpt2lzf5x9sse92pa" timestamp="1728278968"&gt;7&lt;/key&gt;&lt;/foreign-keys&gt;&lt;ref-type name="Journal Article"&gt;17&lt;/ref-type&gt;&lt;contributors&gt;&lt;authors&gt;&lt;author&gt;Wang, Zhuqing&lt;/author&gt;&lt;author&gt;Wang, Xinyu&lt;/author&gt;&lt;author&gt;Cheng, Qiuying&lt;/author&gt;&lt;author&gt;Shi, Song&lt;/author&gt;&lt;/authors&gt;&lt;/contributors&gt;&lt;titles&gt;&lt;title&gt;Heterogeneous impact of economic and political uncertainty on green bond volatility: Evidence from the MRS-GARCH-MIDAS-Skewed T model&lt;/title&gt;&lt;secondary-title&gt;International Review of Financial Analysis&lt;/secondary-title&gt;&lt;/titles&gt;&lt;periodical&gt;&lt;full-title&gt;International Review of Financial Analysis&lt;/full-title&gt;&lt;/periodical&gt;&lt;pages&gt;103461&lt;/pages&gt;&lt;volume&gt;95&lt;/volume&gt;&lt;dates&gt;&lt;year&gt;2024&lt;/year&gt;&lt;/dates&gt;&lt;publisher&gt;Elsevier&lt;/publisher&gt;&lt;isbn&gt;1057-5219&lt;/isbn&gt;&lt;urls&gt;&lt;/urls&gt;&lt;/record&gt;&lt;/Cite&gt;&lt;/EndNote&gt;</w:instrText>
      </w:r>
      <w:r w:rsidR="0066184C" w:rsidRPr="005944DD">
        <w:rPr>
          <w:rStyle w:val="Emphasis"/>
        </w:rPr>
        <w:fldChar w:fldCharType="separate"/>
      </w:r>
      <w:r w:rsidR="0066184C" w:rsidRPr="005944DD">
        <w:rPr>
          <w:rStyle w:val="Emphasis"/>
        </w:rPr>
        <w:t>[7]</w:t>
      </w:r>
      <w:r w:rsidR="0066184C" w:rsidRPr="005944DD">
        <w:rPr>
          <w:rStyle w:val="Emphasis"/>
        </w:rPr>
        <w:fldChar w:fldCharType="end"/>
      </w:r>
      <w:r w:rsidR="003248C9" w:rsidRPr="005944DD">
        <w:rPr>
          <w:rStyle w:val="Emphasis"/>
        </w:rPr>
        <w:t xml:space="preserve">. </w:t>
      </w:r>
      <w:r w:rsidRPr="005944DD">
        <w:rPr>
          <w:rStyle w:val="Emphasis"/>
        </w:rPr>
        <w:t>Large transaction volumes reflect a high level of market activity</w:t>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&lt;EndNote&gt;&lt;Cite&gt;&lt;Author&gt;Christiana&lt;/Author&gt;&lt;Year&gt;2016&lt;/Year&gt;&lt;RecNum&gt;8&lt;/RecNum&gt;&lt;DisplayText&gt;[8]&lt;/DisplayText&gt;&lt;record&gt;&lt;rec-number&gt;8&lt;/rec-number&gt;&lt;foreign-keys&gt;&lt;key app="EN" db-id="tdperv2zy2zsv1ew5fwvpt2lzf5x9sse92pa" timestamp="1728279009"&gt;8&lt;/key&gt;&lt;/foreign-keys&gt;&lt;ref-type name="Journal Article"&gt;17&lt;/ref-type&gt;&lt;contributors&gt;&lt;authors&gt;&lt;author&gt;Christiana, Amanda Melissa&lt;/author&gt;&lt;author&gt;Setiana, Eva&lt;/author&gt;&lt;author&gt;Mamduch, Mamduch&lt;/author&gt;&lt;/authors&gt;&lt;/contributors&gt;&lt;titles&gt;&lt;title&gt;The empirical relationship between stock return and trading volume based on stock market cycles&lt;/title&gt;&lt;secondary-title&gt;The Indonesian Capital Market Review&lt;/secondary-title&gt;&lt;/titles&gt;&lt;periodical&gt;&lt;full-title&gt;The Indonesian Capital Market Review&lt;/full-title&gt;&lt;/periodical&gt;&lt;pages&gt;5&lt;/pages&gt;&lt;volume&gt;8&lt;/volume&gt;&lt;number&gt;1&lt;/number&gt;&lt;dates&gt;&lt;year&gt;2016&lt;/year&gt;&lt;/dates&gt;&lt;isbn&gt;2356-3818&lt;/isbn&gt;&lt;urls&gt;&lt;/urls&gt;&lt;/record&gt;&lt;/Cite&gt;&lt;/EndNote&gt;</w:instrText>
      </w:r>
      <w:r w:rsidR="0066184C" w:rsidRPr="005944DD">
        <w:rPr>
          <w:rStyle w:val="Emphasis"/>
        </w:rPr>
        <w:fldChar w:fldCharType="separate"/>
      </w:r>
      <w:r w:rsidR="0066184C" w:rsidRPr="005944DD">
        <w:rPr>
          <w:rStyle w:val="Emphasis"/>
        </w:rPr>
        <w:t>[8]</w:t>
      </w:r>
      <w:r w:rsidR="0066184C" w:rsidRPr="005944DD">
        <w:rPr>
          <w:rStyle w:val="Emphasis"/>
        </w:rPr>
        <w:fldChar w:fldCharType="end"/>
      </w:r>
      <w:r w:rsidR="0066184C" w:rsidRPr="005944DD">
        <w:rPr>
          <w:rStyle w:val="Emphasis"/>
        </w:rPr>
        <w:t xml:space="preserve"> </w:t>
      </w:r>
      <w:r w:rsidR="0066184C" w:rsidRPr="005944DD">
        <w:rPr>
          <w:rStyle w:val="Emphasis"/>
        </w:rPr>
        <w:fldChar w:fldCharType="begin"/>
      </w:r>
      <w:r w:rsidR="0066184C" w:rsidRPr="005944DD">
        <w:rPr>
          <w:rStyle w:val="Emphasis"/>
        </w:rPr>
        <w:instrText xml:space="preserve"> ADDIN EN.CITE &lt;EndNote&gt;&lt;Cite&gt;&lt;Author&gt;Koubaa&lt;/Author&gt;&lt;Year&gt;2019&lt;/Year&gt;&lt;RecNum&gt;9&lt;/RecNum&gt;&lt;DisplayText&gt;[9]&lt;/DisplayText&gt;&lt;record&gt;&lt;rec-number&gt;9&lt;/rec-number&gt;&lt;foreign-keys&gt;&lt;key app="EN" db-id="tdperv2zy2zsv1ew5fwvpt2lzf5x9sse92pa" timestamp="1728279038"&gt;9&lt;/key&gt;&lt;/foreign-keys&gt;&lt;ref-type name="Journal Article"&gt;17&lt;/ref-type&gt;&lt;contributors&gt;&lt;authors&gt;&lt;author&gt;Koubaa, Yosra&lt;/author&gt;&lt;author&gt;Slim, Skander&lt;/author&gt;&lt;/authors&gt;&lt;/contributors&gt;&lt;titles&gt;&lt;title&gt;The relationship between trading activity and stock market volatility: Does the volume threshold matter?&lt;/title&gt;&lt;secondary-title&gt;Economic Modelling&lt;/secondary-title&gt;&lt;/titles&gt;&lt;periodical&gt;&lt;full-title&gt;Economic Modelling&lt;/full-title&gt;&lt;/periodical&gt;&lt;pages&gt;168-184&lt;/pages&gt;&lt;volume&gt;82&lt;/volume&gt;&lt;dates&gt;&lt;year&gt;2019&lt;/year&gt;&lt;/dates&gt;&lt;publisher&gt;Elsevier&lt;/publisher&gt;&lt;isbn&gt;0264-9993&lt;/isbn&gt;&lt;urls&gt;&lt;/urls&gt;&lt;/record&gt;&lt;/Cite&gt;&lt;/EndNote&gt;</w:instrText>
      </w:r>
      <w:r w:rsidR="0066184C" w:rsidRPr="005944DD">
        <w:rPr>
          <w:rStyle w:val="Emphasis"/>
        </w:rPr>
        <w:fldChar w:fldCharType="separate"/>
      </w:r>
      <w:r w:rsidR="0066184C" w:rsidRPr="005944DD">
        <w:rPr>
          <w:rStyle w:val="Emphasis"/>
        </w:rPr>
        <w:t>[9]</w:t>
      </w:r>
      <w:r w:rsidR="0066184C" w:rsidRPr="005944DD">
        <w:rPr>
          <w:rStyle w:val="Emphasis"/>
        </w:rPr>
        <w:fldChar w:fldCharType="end"/>
      </w:r>
      <w:r w:rsidRPr="005944DD">
        <w:rPr>
          <w:rStyle w:val="Emphasis"/>
        </w:rPr>
        <w:t>, while information complexity includes different types of data to consider, such as company financial reports, economic news, and market analysis</w:t>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&lt;EndNote&gt;&lt;Cite&gt;&lt;Author&gt;Mayapada&lt;/Author&gt;&lt;Year&gt;2024&lt;/Year&gt;&lt;RecNum&gt;10&lt;/RecNum&gt;&lt;DisplayText&gt;[10]&lt;/DisplayText&gt;&lt;record&gt;&lt;rec-number&gt;10&lt;/rec-number&gt;&lt;foreign-keys&gt;&lt;key app="EN" db-id="tdperv2zy2zsv1ew5fwvpt2lzf5x9sse92pa" timestamp="1728279076"&gt;10&lt;/key&gt;&lt;/foreign-keys&gt;&lt;ref-type name="Journal Article"&gt;17&lt;/ref-type&gt;&lt;contributors&gt;&lt;authors&gt;&lt;author&gt;Mayapada, Arung Gihna&lt;/author&gt;&lt;author&gt;Biswas, Pallab Kumar&lt;/author&gt;&lt;author&gt;Roberts, Helen&lt;/author&gt;&lt;/authors&gt;&lt;/contributors&gt;&lt;titles&gt;&lt;title&gt;Financial reporting timeliness and its determinants in UK charities&lt;/title&gt;&lt;secondary-title&gt;Advances in accounting&lt;/secondary-title&gt;&lt;/titles&gt;&lt;periodical&gt;&lt;full-title&gt;Advances in accounting&lt;/full-title&gt;&lt;/periodical&gt;&lt;pages&gt;100733&lt;/pages&gt;&lt;volume&gt;65&lt;/volume&gt;&lt;dates&gt;&lt;year&gt;2024&lt;/year&gt;&lt;/dates&gt;&lt;publisher&gt;Elsevier&lt;/publisher&gt;&lt;isbn&gt;0882-6110&lt;/isbn&gt;&lt;urls&gt;&lt;/urls&gt;&lt;/record&gt;&lt;/Cite&gt;&lt;/EndNote&gt;</w:instrText>
      </w:r>
      <w:r w:rsidR="00C86610" w:rsidRPr="005944DD">
        <w:rPr>
          <w:rStyle w:val="Emphasis"/>
        </w:rPr>
        <w:fldChar w:fldCharType="separate"/>
      </w:r>
      <w:r w:rsidR="00C86610" w:rsidRPr="005944DD">
        <w:rPr>
          <w:rStyle w:val="Emphasis"/>
        </w:rPr>
        <w:t>[10]</w:t>
      </w:r>
      <w:r w:rsidR="00C86610" w:rsidRPr="005944DD">
        <w:rPr>
          <w:rStyle w:val="Emphasis"/>
        </w:rPr>
        <w:fldChar w:fldCharType="end"/>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&lt;EndNote&gt;&lt;Cite&gt;&lt;Author&gt;Wang&lt;/Author&gt;&lt;Year&gt;2024&lt;/Year&gt;&lt;RecNum&gt;11&lt;/RecNum&gt;&lt;DisplayText&gt;[11]&lt;/DisplayText&gt;&lt;record&gt;&lt;rec-number&gt;11&lt;/rec-number&gt;&lt;foreign-keys&gt;&lt;key app="EN" db-id="tdperv2zy2zsv1ew5fwvpt2lzf5x9sse92pa" timestamp="1728279113"&gt;11&lt;/key&gt;&lt;/foreign-keys&gt;&lt;ref-type name="Journal Article"&gt;17&lt;/ref-type&gt;&lt;contributors&gt;&lt;authors&gt;&lt;author&gt;Wang, Ruizhe&lt;/author&gt;&lt;author&gt;Chua, Wai Fong&lt;/author&gt;&lt;author&gt;Simnett, Roger&lt;/author&gt;&lt;author&gt;Zhou, Shan&lt;/author&gt;&lt;/authors&gt;&lt;/contributors&gt;&lt;titles&gt;&lt;title&gt;Is greater connectivity of financial and non-financial information in annual reports valued by market participants?&lt;/title&gt;&lt;secondary-title&gt;The British Accounting Review&lt;/secondary-title&gt;&lt;/titles&gt;&lt;periodical&gt;&lt;full-title&gt;The British Accounting Review&lt;/full-title&gt;&lt;/periodical&gt;&lt;pages&gt;101407&lt;/pages&gt;&lt;volume&gt;56&lt;/volume&gt;&lt;number&gt;6&lt;/number&gt;&lt;dates&gt;&lt;year&gt;2024&lt;/year&gt;&lt;/dates&gt;&lt;publisher&gt;Elsevier&lt;/publisher&gt;&lt;isbn&gt;0890-8389&lt;/isbn&gt;&lt;urls&gt;&lt;/urls&gt;&lt;/record&gt;&lt;/Cite&gt;&lt;/EndNote&gt;</w:instrText>
      </w:r>
      <w:r w:rsidR="00C86610" w:rsidRPr="005944DD">
        <w:rPr>
          <w:rStyle w:val="Emphasis"/>
        </w:rPr>
        <w:fldChar w:fldCharType="separate"/>
      </w:r>
      <w:r w:rsidR="00C86610" w:rsidRPr="005944DD">
        <w:rPr>
          <w:rStyle w:val="Emphasis"/>
        </w:rPr>
        <w:t>[11]</w:t>
      </w:r>
      <w:r w:rsidR="00C86610" w:rsidRPr="005944DD">
        <w:rPr>
          <w:rStyle w:val="Emphasis"/>
        </w:rPr>
        <w:fldChar w:fldCharType="end"/>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&lt;EndNote&gt;&lt;Cite&gt;&lt;Author&gt;Ashtiani&lt;/Author&gt;&lt;Year&gt;2023&lt;/Year&gt;&lt;RecNum&gt;12&lt;/RecNum&gt;&lt;DisplayText&gt;[12]&lt;/DisplayText&gt;&lt;record&gt;&lt;rec-number&gt;12&lt;/rec-number&gt;&lt;foreign-keys&gt;&lt;key app="EN" db-id="tdperv2zy2zsv1ew5fwvpt2lzf5x9sse92pa" timestamp="1728279187"&gt;12&lt;/key&gt;&lt;/foreign-keys&gt;&lt;ref-type name="Journal Article"&gt;17&lt;/ref-type&gt;&lt;contributors&gt;&lt;authors&gt;&lt;author&gt;Ashtiani, Matin N.&lt;/author&gt;&lt;author&gt;Raahemi, Bijan&lt;/author&gt;&lt;/authors&gt;&lt;/contributors&gt;&lt;titles&gt;&lt;title&gt;News-based intelligent prediction of financial markets using text mining and machine learning: A systematic literature review&lt;/title&gt;&lt;secondary-title&gt;Expert Systems with Applications&lt;/secondary-title&gt;&lt;/titles&gt;&lt;periodical&gt;&lt;full-title&gt;Expert Systems with Applications&lt;/full-title&gt;&lt;/periodical&gt;&lt;pages&gt;119509&lt;/pages&gt;&lt;volume&gt;217&lt;/volume&gt;&lt;dates&gt;&lt;year&gt;2023&lt;/year&gt;&lt;/dates&gt;&lt;publisher&gt;Elsevier&lt;/publisher&gt;&lt;isbn&gt;0957-4174&lt;/isbn&gt;&lt;urls&gt;&lt;/urls&gt;&lt;/record&gt;&lt;/Cite&gt;&lt;/EndNote&gt;</w:instrText>
      </w:r>
      <w:r w:rsidR="00C86610" w:rsidRPr="005944DD">
        <w:rPr>
          <w:rStyle w:val="Emphasis"/>
        </w:rPr>
        <w:fldChar w:fldCharType="separate"/>
      </w:r>
      <w:r w:rsidR="00C86610" w:rsidRPr="005944DD">
        <w:rPr>
          <w:rStyle w:val="Emphasis"/>
        </w:rPr>
        <w:t>[12]</w:t>
      </w:r>
      <w:r w:rsidR="00C86610" w:rsidRPr="005944DD">
        <w:rPr>
          <w:rStyle w:val="Emphasis"/>
        </w:rPr>
        <w:fldChar w:fldCharType="end"/>
      </w:r>
      <w:r w:rsidRPr="005944DD">
        <w:rPr>
          <w:rStyle w:val="Emphasis"/>
        </w:rPr>
        <w:t>. Sharp price fluctuations are influenced by external factors, such as monetary policy and interest rate changes, as well as by the diversity of products traded, including stocks, bonds, and derivative instruments</w:t>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&lt;EndNote&gt;&lt;Cite&gt;&lt;Author&gt;Schrank&lt;/Author&gt;&lt;Year&gt;2024&lt;/Year&gt;&lt;RecNum&gt;13&lt;/RecNum&gt;&lt;DisplayText&gt;[13]&lt;/DisplayText&gt;&lt;record&gt;&lt;rec-number&gt;13&lt;/rec-number&gt;&lt;foreign-keys&gt;&lt;key app="EN" db-id="tdperv2zy2zsv1ew5fwvpt2lzf5x9sse92pa" timestamp="1728279229"&gt;13&lt;/key&gt;&lt;/foreign-keys&gt;&lt;ref-type name="Journal Article"&gt;17&lt;/ref-type&gt;&lt;contributors&gt;&lt;authors&gt;&lt;author&gt;Schrank, Johannes&lt;/author&gt;&lt;/authors&gt;&lt;/contributors&gt;&lt;titles&gt;&lt;title&gt;The impact of a crisis on monetary policy’s influence on financial markets: Evidence from the COVID-19 pandemic&lt;/title&gt;&lt;secondary-title&gt;Cogent Economics &amp;amp; Finance&lt;/secondary-title&gt;&lt;/titles&gt;&lt;periodical&gt;&lt;full-title&gt;Cogent Economics &amp;amp; Finance&lt;/full-title&gt;&lt;/periodical&gt;&lt;pages&gt;2322874&lt;/pages&gt;&lt;volume&gt;12&lt;/volume&gt;&lt;number&gt;1&lt;/number&gt;&lt;dates&gt;&lt;year&gt;2024&lt;/year&gt;&lt;/dates&gt;&lt;publisher&gt;Taylor &amp;amp; Francis&lt;/publisher&gt;&lt;isbn&gt;2332-2039&lt;/isbn&gt;&lt;urls&gt;&lt;/urls&gt;&lt;/record&gt;&lt;/Cite&gt;&lt;/EndNote&gt;</w:instrText>
      </w:r>
      <w:r w:rsidR="00C86610" w:rsidRPr="005944DD">
        <w:rPr>
          <w:rStyle w:val="Emphasis"/>
        </w:rPr>
        <w:fldChar w:fldCharType="separate"/>
      </w:r>
      <w:r w:rsidR="00C86610" w:rsidRPr="005944DD">
        <w:rPr>
          <w:rStyle w:val="Emphasis"/>
        </w:rPr>
        <w:t>[13]</w:t>
      </w:r>
      <w:r w:rsidR="00C86610" w:rsidRPr="005944DD">
        <w:rPr>
          <w:rStyle w:val="Emphasis"/>
        </w:rPr>
        <w:fldChar w:fldCharType="end"/>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&lt;EndNote&gt;&lt;Cite&gt;&lt;Author&gt;Ashraf&lt;/Author&gt;&lt;Year&gt;2023&lt;/Year&gt;&lt;RecNum&gt;14&lt;/RecNum&gt;&lt;DisplayText&gt;[14]&lt;/DisplayText&gt;&lt;record&gt;&lt;rec-number&gt;14&lt;/rec-number&gt;&lt;foreign-keys&gt;&lt;key app="EN" db-id="tdperv2zy2zsv1ew5fwvpt2lzf5x9sse92pa" timestamp="1728279272"&gt;14&lt;/key&gt;&lt;/foreign-keys&gt;&lt;ref-type name="Journal Article"&gt;17&lt;/ref-type&gt;&lt;contributors&gt;&lt;authors&gt;&lt;author&gt;Ashraf, Sumaira&lt;/author&gt;&lt;author&gt;de Almeida, António Manuel Martins&lt;/author&gt;&lt;author&gt;Naz, Iram&lt;/author&gt;&lt;author&gt;Latief, Rashid&lt;/author&gt;&lt;/authors&gt;&lt;/contributors&gt;&lt;titles&gt;&lt;title&gt;Diversification of the Islamic stock market, Bitcoin, and Bullions in response to the Russia-Ukraine conflict and the COVID-19 outbreak&lt;/title&gt;&lt;secondary-title&gt;Heliyon&lt;/secondary-title&gt;&lt;/titles&gt;&lt;periodical&gt;&lt;full-title&gt;Heliyon&lt;/full-title&gt;&lt;/periodical&gt;&lt;pages&gt;e19023&lt;/pages&gt;&lt;volume&gt;9&lt;/volume&gt;&lt;number&gt;8&lt;/number&gt;&lt;dates&gt;&lt;year&gt;2023&lt;/year&gt;&lt;/dates&gt;&lt;publisher&gt;Elsevier&lt;/publisher&gt;&lt;isbn&gt;2405-8440&lt;/isbn&gt;&lt;urls&gt;&lt;/urls&gt;&lt;/record&gt;&lt;/Cite&gt;&lt;/EndNote&gt;</w:instrText>
      </w:r>
      <w:r w:rsidR="00C86610" w:rsidRPr="005944DD">
        <w:rPr>
          <w:rStyle w:val="Emphasis"/>
        </w:rPr>
        <w:fldChar w:fldCharType="separate"/>
      </w:r>
      <w:r w:rsidR="00C86610" w:rsidRPr="005944DD">
        <w:rPr>
          <w:rStyle w:val="Emphasis"/>
        </w:rPr>
        <w:t>[14]</w:t>
      </w:r>
      <w:r w:rsidR="00C86610" w:rsidRPr="005944DD">
        <w:rPr>
          <w:rStyle w:val="Emphasis"/>
        </w:rPr>
        <w:fldChar w:fldCharType="end"/>
      </w:r>
      <w:r w:rsidR="00C86610" w:rsidRPr="005944DD">
        <w:rPr>
          <w:rStyle w:val="Emphasis"/>
        </w:rPr>
        <w:t xml:space="preserve"> </w:t>
      </w:r>
      <w:r w:rsidR="00C86610" w:rsidRPr="005944DD">
        <w:rPr>
          <w:rStyle w:val="Emphasis"/>
        </w:rPr>
        <w:fldChar w:fldCharType="begin"/>
      </w:r>
      <w:r w:rsidR="00C86610" w:rsidRPr="005944DD">
        <w:rPr>
          <w:rStyle w:val="Emphasis"/>
        </w:rPr>
        <w:instrText xml:space="preserve"> ADDIN EN.CITE &lt;EndNote&gt;&lt;Cite&gt;&lt;Author&gt;Lyu&lt;/Author&gt;&lt;Year&gt;2024&lt;/Year&gt;&lt;RecNum&gt;15&lt;/RecNum&gt;&lt;DisplayText&gt;[15]&lt;/DisplayText&gt;&lt;record&gt;&lt;rec-number&gt;15&lt;/rec-number&gt;&lt;foreign-keys&gt;&lt;key app="EN" db-id="tdperv2zy2zsv1ew5fwvpt2lzf5x9sse92pa" timestamp="1728279371"&gt;15&lt;/key&gt;&lt;/foreign-keys&gt;&lt;ref-type name="Journal Article"&gt;17&lt;/ref-type&gt;&lt;contributors&gt;&lt;authors&gt;&lt;author&gt;Lyu, Xiaoyi&lt;/author&gt;&lt;author&gt;Hu, Hao&lt;/author&gt;&lt;/authors&gt;&lt;/contributors&gt;&lt;titles&gt;&lt;title&gt;The dynamic impact of monetary policy on stock market liquidity&lt;/title&gt;&lt;secondary-title&gt;Economic Analysis and Policy&lt;/secondary-title&gt;&lt;/titles&gt;&lt;periodical&gt;&lt;full-title&gt;Economic Analysis and Policy&lt;/full-title&gt;&lt;/periodical&gt;&lt;pages&gt;388-405&lt;/pages&gt;&lt;volume&gt;81&lt;/volume&gt;&lt;dates&gt;&lt;year&gt;2024&lt;/year&gt;&lt;/dates&gt;&lt;publisher&gt;Elsevier&lt;/publisher&gt;&lt;isbn&gt;0313-5926&lt;/isbn&gt;&lt;urls&gt;&lt;/urls&gt;&lt;/record&gt;&lt;/Cite&gt;&lt;/EndNote&gt;</w:instrText>
      </w:r>
      <w:r w:rsidR="00C86610" w:rsidRPr="005944DD">
        <w:rPr>
          <w:rStyle w:val="Emphasis"/>
        </w:rPr>
        <w:fldChar w:fldCharType="separate"/>
      </w:r>
      <w:r w:rsidR="00C86610" w:rsidRPr="005944DD">
        <w:rPr>
          <w:rStyle w:val="Emphasis"/>
        </w:rPr>
        <w:t>[15]</w:t>
      </w:r>
      <w:r w:rsidR="00C86610" w:rsidRPr="005944DD">
        <w:rPr>
          <w:rStyle w:val="Emphasis"/>
        </w:rPr>
        <w:fldChar w:fldCharType="end"/>
      </w:r>
      <w:r w:rsidRPr="005944DD">
        <w:rPr>
          <w:rStyle w:val="Emphasis"/>
        </w:rPr>
        <w:t>. All these factors interact to create a highly dynamic and complex market. The characteristics of fast and volatile stock price movements demand accurate and reliable forecasting methods to assist investors and analysts in making informed investment decisions</w:t>
      </w:r>
      <w:r w:rsidR="00160F1F" w:rsidRPr="005944DD">
        <w:rPr>
          <w:rStyle w:val="Emphasis"/>
        </w:rPr>
        <w:t xml:space="preserve"> </w:t>
      </w:r>
      <w:r w:rsidR="00160F1F" w:rsidRPr="005944DD">
        <w:rPr>
          <w:rStyle w:val="Emphasis"/>
        </w:rPr>
        <w:fldChar w:fldCharType="begin"/>
      </w:r>
      <w:r w:rsidR="00160F1F" w:rsidRPr="005944DD">
        <w:rPr>
          <w:rStyle w:val="Emphasis"/>
        </w:rPr>
        <w:instrText xml:space="preserve"> ADDIN EN.CITE &lt;EndNote&gt;&lt;Cite&gt;&lt;Author&gt;Zhao&lt;/Author&gt;&lt;Year&gt;2023&lt;/Year&gt;&lt;RecNum&gt;16&lt;/RecNum&gt;&lt;DisplayText&gt;[16]&lt;/DisplayText&gt;&lt;record&gt;&lt;rec-number&gt;16&lt;/rec-number&gt;&lt;foreign-keys&gt;&lt;key app="EN" db-id="tdperv2zy2zsv1ew5fwvpt2lzf5x9sse92pa" timestamp="1728279411"&gt;16&lt;/key&gt;&lt;/foreign-keys&gt;&lt;ref-type name="Journal Article"&gt;17&lt;/ref-type&gt;&lt;contributors&gt;&lt;authors&gt;&lt;author&gt;Zhao, Chuanjun&lt;/author&gt;&lt;author&gt;Wu, Meiling&lt;/author&gt;&lt;author&gt;Liu, Jingfeng&lt;/author&gt;&lt;author&gt;Duan, Zening&lt;/author&gt;&lt;author&gt;Shen, Lihua&lt;/author&gt;&lt;author&gt;Shangguan, Xuekui&lt;/author&gt;&lt;author&gt;Liu, Donghang&lt;/author&gt;&lt;author&gt;Wang, Yanjie&lt;/author&gt;&lt;/authors&gt;&lt;/contributors&gt;&lt;titles&gt;&lt;title&gt;Progress and prospects of data-driven stock price forecasting research&lt;/title&gt;&lt;secondary-title&gt;International Journal of Cognitive Computing in Engineering&lt;/secondary-title&gt;&lt;/titles&gt;&lt;periodical&gt;&lt;full-title&gt;International Journal of Cognitive Computing in Engineering&lt;/full-title&gt;&lt;/periodical&gt;&lt;pages&gt;100-108&lt;/pages&gt;&lt;volume&gt;4&lt;/volume&gt;&lt;dates&gt;&lt;year&gt;2023&lt;/year&gt;&lt;/dates&gt;&lt;publisher&gt;Elsevier&lt;/publisher&gt;&lt;isbn&gt;2666-3074&lt;/isbn&gt;&lt;urls&gt;&lt;/urls&gt;&lt;/record&gt;&lt;/Cite&gt;&lt;/EndNote&gt;</w:instrText>
      </w:r>
      <w:r w:rsidR="00160F1F" w:rsidRPr="005944DD">
        <w:rPr>
          <w:rStyle w:val="Emphasis"/>
        </w:rPr>
        <w:fldChar w:fldCharType="separate"/>
      </w:r>
      <w:r w:rsidR="00160F1F" w:rsidRPr="005944DD">
        <w:rPr>
          <w:rStyle w:val="Emphasis"/>
        </w:rPr>
        <w:t>[16]</w:t>
      </w:r>
      <w:r w:rsidR="00160F1F" w:rsidRPr="005944DD">
        <w:rPr>
          <w:rStyle w:val="Emphasis"/>
        </w:rPr>
        <w:fldChar w:fldCharType="end"/>
      </w:r>
      <w:r w:rsidR="009247C1" w:rsidRPr="005944DD">
        <w:rPr>
          <w:rStyle w:val="Emphasis"/>
        </w:rPr>
        <w:t xml:space="preserve"> </w:t>
      </w:r>
      <w:r w:rsidR="009247C1" w:rsidRPr="005944DD">
        <w:rPr>
          <w:rStyle w:val="Emphasis"/>
        </w:rPr>
        <w:fldChar w:fldCharType="begin"/>
      </w:r>
      <w:r w:rsidR="009247C1" w:rsidRPr="005944DD">
        <w:rPr>
          <w:rStyle w:val="Emphasis"/>
        </w:rPr>
        <w:instrText xml:space="preserve"> ADDIN EN.CITE &lt;EndNote&gt;&lt;Cite&gt;&lt;Author&gt;Pagliaro&lt;/Author&gt;&lt;Year&gt;2023&lt;/Year&gt;&lt;RecNum&gt;17&lt;/RecNum&gt;&lt;DisplayText&gt;[17]&lt;/DisplayText&gt;&lt;record&gt;&lt;rec-number&gt;17&lt;/rec-number&gt;&lt;foreign-keys&gt;&lt;key app="EN" db-id="tdperv2zy2zsv1ew5fwvpt2lzf5x9sse92pa" timestamp="1728279443"&gt;17&lt;/key&gt;&lt;/foreign-keys&gt;&lt;ref-type name="Journal Article"&gt;17&lt;/ref-type&gt;&lt;contributors&gt;&lt;authors&gt;&lt;author&gt;Pagliaro, Antonio&lt;/author&gt;&lt;/authors&gt;&lt;/contributors&gt;&lt;titles&gt;&lt;title&gt;Forecasting significant stock market price changes using machine learning: extra trees classifier leads&lt;/title&gt;&lt;secondary-title&gt;Electronics&lt;/secondary-title&gt;&lt;/titles&gt;&lt;periodical&gt;&lt;full-title&gt;Electronics&lt;/full-title&gt;&lt;/periodical&gt;&lt;pages&gt;4551&lt;/pages&gt;&lt;volume&gt;12&lt;/volume&gt;&lt;number&gt;21&lt;/number&gt;&lt;dates&gt;&lt;year&gt;2023&lt;/year&gt;&lt;/dates&gt;&lt;publisher&gt;MDPI&lt;/publisher&gt;&lt;isbn&gt;2079-9292&lt;/isbn&gt;&lt;urls&gt;&lt;/urls&gt;&lt;/record&gt;&lt;/Cite&gt;&lt;/EndNote&gt;</w:instrText>
      </w:r>
      <w:r w:rsidR="009247C1" w:rsidRPr="005944DD">
        <w:rPr>
          <w:rStyle w:val="Emphasis"/>
        </w:rPr>
        <w:fldChar w:fldCharType="separate"/>
      </w:r>
      <w:r w:rsidR="009247C1" w:rsidRPr="005944DD">
        <w:rPr>
          <w:rStyle w:val="Emphasis"/>
        </w:rPr>
        <w:t>[17]</w:t>
      </w:r>
      <w:r w:rsidR="009247C1" w:rsidRPr="005944DD">
        <w:rPr>
          <w:rStyle w:val="Emphasis"/>
        </w:rPr>
        <w:fldChar w:fldCharType="end"/>
      </w:r>
      <w:r w:rsidR="009247C1" w:rsidRPr="005944DD">
        <w:rPr>
          <w:rStyle w:val="Emphasis"/>
        </w:rPr>
        <w:t xml:space="preserve"> </w:t>
      </w:r>
      <w:r w:rsidR="009247C1" w:rsidRPr="005944DD">
        <w:rPr>
          <w:rStyle w:val="Emphasis"/>
        </w:rPr>
        <w:fldChar w:fldCharType="begin"/>
      </w:r>
      <w:r w:rsidR="009247C1" w:rsidRPr="005944DD">
        <w:rPr>
          <w:rStyle w:val="Emphasis"/>
        </w:rPr>
        <w:instrText xml:space="preserve"> ADDIN EN.CITE &lt;EndNote&gt;&lt;Cite&gt;&lt;Author&gt;Gandhmal&lt;/Author&gt;&lt;Year&gt;2019&lt;/Year&gt;&lt;RecNum&gt;18&lt;/RecNum&gt;&lt;DisplayText&gt;[18]&lt;/DisplayText&gt;&lt;record&gt;&lt;rec-number&gt;18&lt;/rec-number&gt;&lt;foreign-keys&gt;&lt;key app="EN" db-id="tdperv2zy2zsv1ew5fwvpt2lzf5x9sse92pa" timestamp="1728279479"&gt;18&lt;/key&gt;&lt;/foreign-keys&gt;&lt;ref-type name="Journal Article"&gt;17&lt;/ref-type&gt;&lt;contributors&gt;&lt;authors&gt;&lt;author&gt;Gandhmal, Dattatray P.&lt;/author&gt;&lt;author&gt;Kumar, Kannan&lt;/author&gt;&lt;/authors&gt;&lt;/contributors&gt;&lt;titles&gt;&lt;title&gt;Systematic analysis and review of stock market prediction techniques&lt;/title&gt;&lt;secondary-title&gt;Computer Science Review&lt;/secondary-title&gt;&lt;/titles&gt;&lt;periodical&gt;&lt;full-title&gt;Computer Science Review&lt;/full-title&gt;&lt;/periodical&gt;&lt;pages&gt;100190&lt;/pages&gt;&lt;volume&gt;34&lt;/volume&gt;&lt;dates&gt;&lt;year&gt;2019&lt;/year&gt;&lt;/dates&gt;&lt;publisher&gt;Elsevier&lt;/publisher&gt;&lt;isbn&gt;1574-0137&lt;/isbn&gt;&lt;urls&gt;&lt;/urls&gt;&lt;/record&gt;&lt;/Cite&gt;&lt;/EndNote&gt;</w:instrText>
      </w:r>
      <w:r w:rsidR="009247C1" w:rsidRPr="005944DD">
        <w:rPr>
          <w:rStyle w:val="Emphasis"/>
        </w:rPr>
        <w:fldChar w:fldCharType="separate"/>
      </w:r>
      <w:r w:rsidR="009247C1" w:rsidRPr="005944DD">
        <w:rPr>
          <w:rStyle w:val="Emphasis"/>
        </w:rPr>
        <w:t>[18]</w:t>
      </w:r>
      <w:r w:rsidR="009247C1" w:rsidRPr="005944DD">
        <w:rPr>
          <w:rStyle w:val="Emphasis"/>
        </w:rPr>
        <w:fldChar w:fldCharType="end"/>
      </w:r>
      <w:r w:rsidR="009247C1" w:rsidRPr="005944DD">
        <w:rPr>
          <w:rStyle w:val="Emphasis"/>
        </w:rPr>
        <w:t xml:space="preserve"> </w:t>
      </w:r>
      <w:r w:rsidR="009247C1" w:rsidRPr="005944DD">
        <w:rPr>
          <w:rStyle w:val="Emphasis"/>
        </w:rPr>
        <w:fldChar w:fldCharType="begin"/>
      </w:r>
      <w:r w:rsidR="009247C1" w:rsidRPr="005944DD">
        <w:rPr>
          <w:rStyle w:val="Emphasis"/>
        </w:rPr>
        <w:instrText xml:space="preserve"> ADDIN EN.CITE &lt;EndNote&gt;&lt;Cite&gt;&lt;Author&gt;Sonkavde&lt;/Author&gt;&lt;Year&gt;2023&lt;/Year&gt;&lt;RecNum&gt;19&lt;/RecNum&gt;&lt;DisplayText&gt;[19]&lt;/DisplayText&gt;&lt;record&gt;&lt;rec-number&gt;19&lt;/rec-number&gt;&lt;foreign-keys&gt;&lt;key app="EN" db-id="tdperv2zy2zsv1ew5fwvpt2lzf5x9sse92pa" timestamp="1728279531"&gt;19&lt;/key&gt;&lt;/foreign-keys&gt;&lt;ref-type name="Journal Article"&gt;17&lt;/ref-type&gt;&lt;contributors&gt;&lt;authors&gt;&lt;author&gt;Sonkavde, Gaurang&lt;/author&gt;&lt;author&gt;Dharrao, Deepak Sudhakar&lt;/author&gt;&lt;author&gt;Bongale, Anupkumar M.&lt;/author&gt;&lt;author&gt;Deokate, Sarika T.&lt;/author&gt;&lt;author&gt;Doreswamy, Deepak&lt;/author&gt;&lt;author&gt;Bhat, Subraya Krishna&lt;/author&gt;&lt;/authors&gt;&lt;/contributors&gt;&lt;titles&gt;&lt;title&gt;Forecasting stock market prices using machine learning and deep learning models: A systematic review, performance analysis and discussion of implications&lt;/title&gt;&lt;secondary-title&gt;International Journal of Financial Studies&lt;/secondary-title&gt;&lt;/titles&gt;&lt;periodical&gt;&lt;full-title&gt;International Journal of Financial Studies&lt;/full-title&gt;&lt;/periodical&gt;&lt;pages&gt;94&lt;/pages&gt;&lt;volume&gt;11&lt;/volume&gt;&lt;number&gt;3&lt;/number&gt;&lt;dates&gt;&lt;year&gt;2023&lt;/year&gt;&lt;/dates&gt;&lt;publisher&gt;MDPI&lt;/publisher&gt;&lt;isbn&gt;2227-7072&lt;/isbn&gt;&lt;urls&gt;&lt;/urls&gt;&lt;/record&gt;&lt;/Cite&gt;&lt;/EndNote&gt;</w:instrText>
      </w:r>
      <w:r w:rsidR="009247C1" w:rsidRPr="005944DD">
        <w:rPr>
          <w:rStyle w:val="Emphasis"/>
        </w:rPr>
        <w:fldChar w:fldCharType="separate"/>
      </w:r>
      <w:r w:rsidR="009247C1" w:rsidRPr="005944DD">
        <w:rPr>
          <w:rStyle w:val="Emphasis"/>
        </w:rPr>
        <w:t>[19]</w:t>
      </w:r>
      <w:r w:rsidR="009247C1" w:rsidRPr="005944DD">
        <w:rPr>
          <w:rStyle w:val="Emphasis"/>
        </w:rPr>
        <w:fldChar w:fldCharType="end"/>
      </w:r>
      <w:r w:rsidRPr="005944DD">
        <w:rPr>
          <w:rStyle w:val="Emphasis"/>
        </w:rPr>
        <w:t xml:space="preserve">. The stock analysis of PT Bank Rakyat Indonesia (Persero) </w:t>
      </w:r>
      <w:proofErr w:type="spellStart"/>
      <w:r w:rsidRPr="005944DD">
        <w:rPr>
          <w:rStyle w:val="Emphasis"/>
        </w:rPr>
        <w:t>Tbk</w:t>
      </w:r>
      <w:proofErr w:type="spellEnd"/>
      <w:r w:rsidRPr="005944DD">
        <w:rPr>
          <w:rStyle w:val="Emphasis"/>
        </w:rPr>
        <w:t xml:space="preserve"> (BBRI) is particularly important due to significant global and regional recognition, such as a </w:t>
      </w:r>
      <w:r w:rsidR="003248C9" w:rsidRPr="005944DD">
        <w:rPr>
          <w:rStyle w:val="Emphasis"/>
        </w:rPr>
        <w:t>110-world</w:t>
      </w:r>
      <w:r w:rsidRPr="005944DD">
        <w:rPr>
          <w:rStyle w:val="Emphasis"/>
        </w:rPr>
        <w:t xml:space="preserve"> ranking and awards from Forbes and Fortune. Despite a declining share price, BBRI continues demonstrating profit growth and financial stability, making it crucial for investment analysis and future performance assessment. Effective forecasting helps investors determine the right time to buy or sell BBRI shares and supports market stability by providing better insight into potential future price movements.</w:t>
      </w:r>
    </w:p>
    <w:p w14:paraId="65066D40" w14:textId="77777777" w:rsidR="002117E2" w:rsidRPr="005B456E" w:rsidRDefault="002117E2">
      <w:pPr>
        <w:pBdr>
          <w:top w:val="nil"/>
          <w:left w:val="nil"/>
          <w:bottom w:val="nil"/>
          <w:right w:val="nil"/>
          <w:between w:val="nil"/>
        </w:pBdr>
        <w:ind w:firstLine="284"/>
        <w:jc w:val="both"/>
        <w:rPr>
          <w:rStyle w:val="Emphasis"/>
        </w:rPr>
      </w:pPr>
    </w:p>
    <w:p w14:paraId="6E4E15E4" w14:textId="3F38D243" w:rsidR="006564E4" w:rsidRPr="005944DD" w:rsidRDefault="0014254F" w:rsidP="005B456E">
      <w:pPr>
        <w:pBdr>
          <w:top w:val="nil"/>
          <w:left w:val="nil"/>
          <w:bottom w:val="nil"/>
          <w:right w:val="nil"/>
          <w:between w:val="nil"/>
        </w:pBdr>
        <w:ind w:firstLine="284"/>
        <w:jc w:val="both"/>
        <w:rPr>
          <w:rStyle w:val="Emphasis"/>
          <w:sz w:val="20"/>
        </w:rPr>
      </w:pPr>
      <w:r w:rsidRPr="005944DD">
        <w:rPr>
          <w:rStyle w:val="Emphasis"/>
          <w:sz w:val="20"/>
        </w:rPr>
        <w:lastRenderedPageBreak/>
        <w:t>In recent years, advanced analysis methods such as Long Short-Term Memory (LSTM) and Random Forest have shown great potential in predicting complex time series data, including stock prices. LSTM, an artificial neural network, is specifically designed to handle long-term dependencies in sequential data, making it highly effective in analyzing complex and non-linear temporal patterns in stock price data</w:t>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&lt;EndNote&gt;&lt;Cite&gt;&lt;Author&gt;Gülmez&lt;/Author&gt;&lt;Year&gt;2023&lt;/Year&gt;&lt;RecNum&gt;20&lt;/RecNum&gt;&lt;DisplayText&gt;[20]&lt;/DisplayText&gt;&lt;record&gt;&lt;rec-number&gt;20&lt;/rec-number&gt;&lt;foreign-keys&gt;&lt;key app="EN" db-id="tdperv2zy2zsv1ew5fwvpt2lzf5x9sse92pa" timestamp="1728279595"&gt;20&lt;/key&gt;&lt;/foreign-keys&gt;&lt;ref-type name="Journal Article"&gt;17&lt;/ref-type&gt;&lt;contributors&gt;&lt;authors&gt;&lt;author&gt;Gülmez, Burak&lt;/author&gt;&lt;/authors&gt;&lt;/contributors&gt;&lt;titles&gt;&lt;title&gt;Stock price prediction with optimized deep LSTM network with artificial rabbits optimization algorithm&lt;/title&gt;&lt;secondary-title&gt;Expert Systems with Applications&lt;/secondary-title&gt;&lt;/titles&gt;&lt;periodical&gt;&lt;full-title&gt;Expert Systems with Applications&lt;/full-title&gt;&lt;/periodical&gt;&lt;pages&gt;120346&lt;/pages&gt;&lt;volume&gt;227&lt;/volume&gt;&lt;dates&gt;&lt;year&gt;2023&lt;/year&gt;&lt;/dates&gt;&lt;publisher&gt;Elsevier&lt;/publisher&gt;&lt;isbn&gt;0957-4174&lt;/isbn&gt;&lt;urls&gt;&lt;/urls&gt;&lt;/record&gt;&lt;/Cite&gt;&lt;/EndNote&gt;</w:instrText>
      </w:r>
      <w:r w:rsidR="009247C1" w:rsidRPr="005944DD">
        <w:rPr>
          <w:rStyle w:val="Emphasis"/>
          <w:sz w:val="20"/>
        </w:rPr>
        <w:fldChar w:fldCharType="separate"/>
      </w:r>
      <w:r w:rsidR="009247C1" w:rsidRPr="005944DD">
        <w:rPr>
          <w:rStyle w:val="Emphasis"/>
          <w:noProof/>
          <w:sz w:val="20"/>
        </w:rPr>
        <w:t>[20]</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&lt;EndNote&gt;&lt;Cite&gt;&lt;Author&gt;Yadav&lt;/Author&gt;&lt;Year&gt;2024&lt;/Year&gt;&lt;RecNum&gt;21&lt;/RecNum&gt;&lt;DisplayText&gt;[21]&lt;/DisplayText&gt;&lt;record&gt;&lt;rec-number&gt;21&lt;/rec-number&gt;&lt;foreign-keys&gt;&lt;key app="EN" db-id="tdperv2zy2zsv1ew5fwvpt2lzf5x9sse92pa" timestamp="1728279633"&gt;21&lt;/key&gt;&lt;/foreign-keys&gt;&lt;ref-type name="Journal Article"&gt;17&lt;/ref-type&gt;&lt;contributors&gt;&lt;authors&gt;&lt;author&gt;Yadav, Abhay Kumar&lt;/author&gt;&lt;author&gt;Vishwakarma, Virendra P.&lt;/author&gt;&lt;/authors&gt;&lt;/contributors&gt;&lt;titles&gt;&lt;title&gt;An Integrated Blockchain Based Real Time Stock Price Prediction Model by CNN, Bi LSTM and AM&lt;/title&gt;&lt;secondary-title&gt;Procedia Computer Science&lt;/secondary-title&gt;&lt;/titles&gt;&lt;periodical&gt;&lt;full-title&gt;Procedia Computer Science&lt;/full-title&gt;&lt;/periodical&gt;&lt;pages&gt;2630-2640&lt;/pages&gt;&lt;volume&gt;235&lt;/volume&gt;&lt;dates&gt;&lt;year&gt;2024&lt;/year&gt;&lt;/dates&gt;&lt;publisher&gt;Elsevier&lt;/publisher&gt;&lt;isbn&gt;1877-0509&lt;/isbn&gt;&lt;urls&gt;&lt;/urls&gt;&lt;/record&gt;&lt;/Cite&gt;&lt;/EndNote&gt;</w:instrText>
      </w:r>
      <w:r w:rsidR="009247C1" w:rsidRPr="005944DD">
        <w:rPr>
          <w:rStyle w:val="Emphasis"/>
          <w:sz w:val="20"/>
        </w:rPr>
        <w:fldChar w:fldCharType="separate"/>
      </w:r>
      <w:r w:rsidR="009247C1" w:rsidRPr="005944DD">
        <w:rPr>
          <w:rStyle w:val="Emphasis"/>
          <w:noProof/>
          <w:sz w:val="20"/>
        </w:rPr>
        <w:t>[21]</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&lt;EndNote&gt;&lt;Cite&gt;&lt;Author&gt;Salim&lt;/Author&gt;&lt;Year&gt;2024&lt;/Year&gt;&lt;RecNum&gt;22&lt;/RecNum&gt;&lt;DisplayText&gt;[22]&lt;/DisplayText&gt;&lt;record&gt;&lt;rec-number&gt;22&lt;/rec-number&gt;&lt;foreign-keys&gt;&lt;key app="EN" db-id="tdperv2zy2zsv1ew5fwvpt2lzf5x9sse92pa" timestamp="1728279677"&gt;22&lt;/key&gt;&lt;/foreign-keys&gt;&lt;ref-type name="Journal Article"&gt;17&lt;/ref-type&gt;&lt;contributors&gt;&lt;authors&gt;&lt;author&gt;Salim, Margustin&lt;/author&gt;&lt;author&gt;Djunaidy, Arif&lt;/author&gt;&lt;/authors&gt;&lt;/contributors&gt;&lt;titles&gt;&lt;title&gt;Development of a CNN-LSTM Approach with Images as Time-Series Data Representation for Predicting Gold Prices&lt;/title&gt;&lt;secondary-title&gt;Procedia Computer Science&lt;/secondary-title&gt;&lt;/titles&gt;&lt;periodical&gt;&lt;full-title&gt;Procedia Computer Science&lt;/full-title&gt;&lt;/periodical&gt;&lt;pages&gt;333-340&lt;/pages&gt;&lt;volume&gt;234&lt;/volume&gt;&lt;dates&gt;&lt;year&gt;2024&lt;/year&gt;&lt;/dates&gt;&lt;publisher&gt;Elsevier&lt;/publisher&gt;&lt;isbn&gt;1877-0509&lt;/isbn&gt;&lt;urls&gt;&lt;/urls&gt;&lt;/record&gt;&lt;/Cite&gt;&lt;/EndNote&gt;</w:instrText>
      </w:r>
      <w:r w:rsidR="009247C1" w:rsidRPr="005944DD">
        <w:rPr>
          <w:rStyle w:val="Emphasis"/>
          <w:sz w:val="20"/>
        </w:rPr>
        <w:fldChar w:fldCharType="separate"/>
      </w:r>
      <w:r w:rsidR="009247C1" w:rsidRPr="005944DD">
        <w:rPr>
          <w:rStyle w:val="Emphasis"/>
          <w:noProof/>
          <w:sz w:val="20"/>
        </w:rPr>
        <w:t>[22]</w:t>
      </w:r>
      <w:r w:rsidR="009247C1" w:rsidRPr="005944DD">
        <w:rPr>
          <w:rStyle w:val="Emphasis"/>
          <w:sz w:val="20"/>
        </w:rPr>
        <w:fldChar w:fldCharType="end"/>
      </w:r>
      <w:r w:rsidR="006564E4" w:rsidRPr="005944DD">
        <w:rPr>
          <w:rStyle w:val="Emphasis"/>
          <w:sz w:val="20"/>
        </w:rPr>
        <w:t>. The advantage of LSTM lies in its ability to process long-term preserved information through sophisticated gating mechanisms, thus capturing undetectable patterns by other methods. On the other hand, as an ensemble learning method, Random Forest operates by building various decision trees that combine their results to provide more stable and accurate predictions. By reducing the risk of overfitting and improving prediction accuracy, Random Forest has been proven effective in various data analysis applications</w:t>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&lt;EndNote&gt;&lt;Cite&gt;&lt;Author&gt;Simonetti&lt;/Author&gt;&lt;Year&gt;2024&lt;/Year&gt;&lt;RecNum&gt;23&lt;/RecNum&gt;&lt;DisplayText&gt;[23]&lt;/DisplayText&gt;&lt;record&gt;&lt;rec-number&gt;23&lt;/rec-number&gt;&lt;foreign-keys&gt;&lt;key app="EN" db-id="tdperv2zy2zsv1ew5fwvpt2lzf5x9sse92pa" timestamp="1728279711"&gt;23&lt;/key&gt;&lt;/foreign-keys&gt;&lt;ref-type name="Journal Article"&gt;17&lt;/ref-type&gt;&lt;contributors&gt;&lt;authors&gt;&lt;author&gt;Simonetti, Irene&lt;/author&gt;&lt;author&gt;Lubello, Claudio&lt;/author&gt;&lt;author&gt;Cappietti, Lorenzo&lt;/author&gt;&lt;/authors&gt;&lt;/contributors&gt;&lt;titles&gt;&lt;title&gt;On the use of hydrodynamic modelling and random forest classifiers for the prediction of hypoxia in coastal lagoons&lt;/title&gt;&lt;secondary-title&gt;Science of The Total Environment&lt;/secondary-title&gt;&lt;/titles&gt;&lt;periodical&gt;&lt;full-title&gt;Science of The Total Environment&lt;/full-title&gt;&lt;/periodical&gt;&lt;pages&gt;175424&lt;/pages&gt;&lt;volume&gt;951&lt;/volume&gt;&lt;dates&gt;&lt;year&gt;2024&lt;/year&gt;&lt;/dates&gt;&lt;publisher&gt;Elsevier&lt;/publisher&gt;&lt;isbn&gt;0048-9697&lt;/isbn&gt;&lt;urls&gt;&lt;/urls&gt;&lt;/record&gt;&lt;/Cite&gt;&lt;/EndNote&gt;</w:instrText>
      </w:r>
      <w:r w:rsidR="009247C1" w:rsidRPr="005944DD">
        <w:rPr>
          <w:rStyle w:val="Emphasis"/>
          <w:sz w:val="20"/>
        </w:rPr>
        <w:fldChar w:fldCharType="separate"/>
      </w:r>
      <w:r w:rsidR="009247C1" w:rsidRPr="005944DD">
        <w:rPr>
          <w:rStyle w:val="Emphasis"/>
          <w:noProof/>
          <w:sz w:val="20"/>
        </w:rPr>
        <w:t>[23]</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&lt;EndNote&gt;&lt;Cite&gt;&lt;Author&gt;Shebl&lt;/Author&gt;&lt;Year&gt;2024&lt;/Year&gt;&lt;RecNum&gt;24&lt;/RecNum&gt;&lt;DisplayText&gt;[24]&lt;/DisplayText&gt;&lt;record&gt;&lt;rec-number&gt;24&lt;/rec-number&gt;&lt;foreign-keys&gt;&lt;key app="EN" db-id="tdperv2zy2zsv1ew5fwvpt2lzf5x9sse92pa" timestamp="1728279740"&gt;24&lt;/key&gt;&lt;/foreign-keys&gt;&lt;ref-type name="Journal Article"&gt;17&lt;/ref-type&gt;&lt;contributors&gt;&lt;authors&gt;&lt;author&gt;Shebl, Ali&lt;/author&gt;&lt;author&gt;Abriha, Dávid&lt;/author&gt;&lt;author&gt;Dawoud, Maher&lt;/author&gt;&lt;author&gt;Ali, Mosaad Ali Hussein&lt;/author&gt;&lt;author&gt;Csámer, Árpád&lt;/author&gt;&lt;/authors&gt;&lt;/contributors&gt;&lt;titles&gt;&lt;title&gt;PRISMA vs. Landsat 9 in lithological mapping− a K-fold Cross-Validation implementation with Random Forest&lt;/title&gt;&lt;secondary-title&gt;The Egyptian Journal of Remote Sensing and Space Sciences&lt;/secondary-title&gt;&lt;/titles&gt;&lt;periodical&gt;&lt;full-title&gt;The Egyptian Journal of Remote Sensing and Space Sciences&lt;/full-title&gt;&lt;/periodical&gt;&lt;pages&gt;577-596&lt;/pages&gt;&lt;volume&gt;27&lt;/volume&gt;&lt;number&gt;3&lt;/number&gt;&lt;dates&gt;&lt;year&gt;2024&lt;/year&gt;&lt;/dates&gt;&lt;publisher&gt;Elsevier&lt;/publisher&gt;&lt;isbn&gt;1110-9823&lt;/isbn&gt;&lt;urls&gt;&lt;/urls&gt;&lt;/record&gt;&lt;/Cite&gt;&lt;/EndNote&gt;</w:instrText>
      </w:r>
      <w:r w:rsidR="009247C1" w:rsidRPr="005944DD">
        <w:rPr>
          <w:rStyle w:val="Emphasis"/>
          <w:sz w:val="20"/>
        </w:rPr>
        <w:fldChar w:fldCharType="separate"/>
      </w:r>
      <w:r w:rsidR="009247C1" w:rsidRPr="005944DD">
        <w:rPr>
          <w:rStyle w:val="Emphasis"/>
          <w:noProof/>
          <w:sz w:val="20"/>
        </w:rPr>
        <w:t>[24]</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&lt;EndNote&gt;&lt;Cite&gt;&lt;Author&gt;Pasquarella&lt;/Author&gt;&lt;Year&gt;2023&lt;/Year&gt;&lt;RecNum&gt;25&lt;/RecNum&gt;&lt;DisplayText&gt;[25]&lt;/DisplayText&gt;&lt;record&gt;&lt;rec-number&gt;25&lt;/rec-number&gt;&lt;foreign-keys&gt;&lt;key app="EN" db-id="tdperv2zy2zsv1ew5fwvpt2lzf5x9sse92pa" timestamp="1728279770"&gt;25&lt;/key&gt;&lt;/foreign-keys&gt;&lt;ref-type name="Journal Article"&gt;17&lt;/ref-type&gt;&lt;contributors&gt;&lt;authors&gt;&lt;author&gt;Pasquarella, Valerie J.&lt;/author&gt;&lt;author&gt;Morreale, Luca L.&lt;/author&gt;&lt;author&gt;Brown, Christopher F.&lt;/author&gt;&lt;author&gt;Kilbride, John B.&lt;/author&gt;&lt;author&gt;Thompson, Jonathan R.&lt;/author&gt;&lt;/authors&gt;&lt;/contributors&gt;&lt;titles&gt;&lt;title&gt;Not-so-random forests: Comparing voting and decision tree ensembles for characterizing partial harvest events&lt;/title&gt;&lt;secondary-title&gt;International Journal of Applied Earth Observation and Geoinformation&lt;/secondary-title&gt;&lt;/titles&gt;&lt;periodical&gt;&lt;full-title&gt;International Journal of Applied Earth Observation and Geoinformation&lt;/full-title&gt;&lt;/periodical&gt;&lt;pages&gt;103561&lt;/pages&gt;&lt;volume&gt;125&lt;/volume&gt;&lt;dates&gt;&lt;year&gt;2023&lt;/year&gt;&lt;/dates&gt;&lt;publisher&gt;Elsevier&lt;/publisher&gt;&lt;isbn&gt;1569-8432&lt;/isbn&gt;&lt;urls&gt;&lt;/urls&gt;&lt;/record&gt;&lt;/Cite&gt;&lt;/EndNote&gt;</w:instrText>
      </w:r>
      <w:r w:rsidR="009247C1" w:rsidRPr="005944DD">
        <w:rPr>
          <w:rStyle w:val="Emphasis"/>
          <w:sz w:val="20"/>
        </w:rPr>
        <w:fldChar w:fldCharType="separate"/>
      </w:r>
      <w:r w:rsidR="009247C1" w:rsidRPr="005944DD">
        <w:rPr>
          <w:rStyle w:val="Emphasis"/>
          <w:noProof/>
          <w:sz w:val="20"/>
        </w:rPr>
        <w:t>[25]</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&lt;EndNote&gt;&lt;Cite&gt;&lt;Author&gt;Haydar&lt;/Author&gt;&lt;Year&gt;2024&lt;/Year&gt;&lt;RecNum&gt;26&lt;/RecNum&gt;&lt;DisplayText&gt;[26]&lt;/DisplayText&gt;&lt;record&gt;&lt;rec-number&gt;26&lt;/rec-number&gt;&lt;foreign-keys&gt;&lt;key app="EN" db-id="tdperv2zy2zsv1ew5fwvpt2lzf5x9sse92pa" timestamp="1728279813"&gt;26&lt;/key&gt;&lt;/foreign-keys&gt;&lt;ref-type name="Journal Article"&gt;17&lt;/ref-type&gt;&lt;contributors&gt;&lt;authors&gt;&lt;author&gt;Haydar, Mafrid&lt;/author&gt;&lt;author&gt;Sadia, Halima&lt;/author&gt;&lt;author&gt;Hossain, Md Tanvir&lt;/author&gt;&lt;/authors&gt;&lt;/contributors&gt;&lt;titles&gt;&lt;title&gt;Data driven forest fire susceptibility mapping in Bangladesh&lt;/title&gt;&lt;secondary-title&gt;Ecological Indicators&lt;/secondary-title&gt;&lt;/titles&gt;&lt;periodical&gt;&lt;full-title&gt;Ecological Indicators&lt;/full-title&gt;&lt;/periodical&gt;&lt;pages&gt;112264&lt;/pages&gt;&lt;volume&gt;166&lt;/volume&gt;&lt;dates&gt;&lt;year&gt;2024&lt;/year&gt;&lt;/dates&gt;&lt;publisher&gt;Elsevier&lt;/publisher&gt;&lt;isbn&gt;1470-160X&lt;/isbn&gt;&lt;urls&gt;&lt;/urls&gt;&lt;/record&gt;&lt;/Cite&gt;&lt;/EndNote&gt;</w:instrText>
      </w:r>
      <w:r w:rsidR="009247C1" w:rsidRPr="005944DD">
        <w:rPr>
          <w:rStyle w:val="Emphasis"/>
          <w:sz w:val="20"/>
        </w:rPr>
        <w:fldChar w:fldCharType="separate"/>
      </w:r>
      <w:r w:rsidR="009247C1" w:rsidRPr="005944DD">
        <w:rPr>
          <w:rStyle w:val="Emphasis"/>
          <w:noProof/>
          <w:sz w:val="20"/>
        </w:rPr>
        <w:t>[26]</w:t>
      </w:r>
      <w:r w:rsidR="009247C1" w:rsidRPr="005944DD">
        <w:rPr>
          <w:rStyle w:val="Emphasis"/>
          <w:sz w:val="20"/>
        </w:rPr>
        <w:fldChar w:fldCharType="end"/>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&lt;EndNote&gt;&lt;Cite&gt;&lt;Author&gt;Silva&lt;/Author&gt;&lt;Year&gt;2023&lt;/Year&gt;&lt;RecNum&gt;27&lt;/RecNum&gt;&lt;DisplayText&gt;[27]&lt;/DisplayText&gt;&lt;record&gt;&lt;rec-number&gt;27&lt;/rec-number&gt;&lt;foreign-keys&gt;&lt;key app="EN" db-id="tdperv2zy2zsv1ew5fwvpt2lzf5x9sse92pa" timestamp="1728279853"&gt;27&lt;/key&gt;&lt;/foreign-keys&gt;&lt;ref-type name="Journal Article"&gt;17&lt;/ref-type&gt;&lt;contributors&gt;&lt;authors&gt;&lt;author&gt;Silva, João Vasco&lt;/author&gt;&lt;author&gt;van Heerwaarden, Joost&lt;/author&gt;&lt;author&gt;Reidsma, Pytrik&lt;/author&gt;&lt;author&gt;Laborte, Alice G.&lt;/author&gt;&lt;author&gt;Tesfaye, Kindie&lt;/author&gt;&lt;author&gt;van Ittersum, Martin K.&lt;/author&gt;&lt;/authors&gt;&lt;/contributors&gt;&lt;titles&gt;&lt;title&gt;Big data, small explanatory and predictive power: Lessons from random forest modeling of on-farm yield variability and implications for data-driven agronomy&lt;/title&gt;&lt;secondary-title&gt;Field Crops Research&lt;/secondary-title&gt;&lt;/titles&gt;&lt;periodical&gt;&lt;full-title&gt;Field Crops Research&lt;/full-title&gt;&lt;/periodical&gt;&lt;pages&gt;109063&lt;/pages&gt;&lt;volume&gt;302&lt;/volume&gt;&lt;dates&gt;&lt;year&gt;2023&lt;/year&gt;&lt;/dates&gt;&lt;publisher&gt;Elsevier&lt;/publisher&gt;&lt;isbn&gt;0378-4290&lt;/isbn&gt;&lt;urls&gt;&lt;/urls&gt;&lt;/record&gt;&lt;/Cite&gt;&lt;/EndNote&gt;</w:instrText>
      </w:r>
      <w:r w:rsidR="009247C1" w:rsidRPr="005944DD">
        <w:rPr>
          <w:rStyle w:val="Emphasis"/>
          <w:sz w:val="20"/>
        </w:rPr>
        <w:fldChar w:fldCharType="separate"/>
      </w:r>
      <w:r w:rsidR="009247C1" w:rsidRPr="005944DD">
        <w:rPr>
          <w:rStyle w:val="Emphasis"/>
          <w:noProof/>
          <w:sz w:val="20"/>
        </w:rPr>
        <w:t>[27]</w:t>
      </w:r>
      <w:r w:rsidR="009247C1" w:rsidRPr="005944DD">
        <w:rPr>
          <w:rStyle w:val="Emphasis"/>
          <w:sz w:val="20"/>
        </w:rPr>
        <w:fldChar w:fldCharType="end"/>
      </w:r>
      <w:r w:rsidR="006564E4" w:rsidRPr="005944DD">
        <w:rPr>
          <w:rStyle w:val="Emphasis"/>
          <w:sz w:val="20"/>
        </w:rPr>
        <w:t>.</w:t>
      </w:r>
      <w:r w:rsidRPr="005944DD">
        <w:rPr>
          <w:rStyle w:val="Emphasis"/>
          <w:sz w:val="20"/>
        </w:rPr>
        <w:t xml:space="preserve"> </w:t>
      </w:r>
      <w:r w:rsidR="006564E4" w:rsidRPr="005944DD">
        <w:rPr>
          <w:rStyle w:val="Emphasis"/>
          <w:sz w:val="20"/>
        </w:rPr>
        <w:t xml:space="preserve">Combining these two methods in a hybrid model offers significant potential for improving stock price prediction accuracy. </w:t>
      </w:r>
      <w:r w:rsidRPr="005944DD">
        <w:rPr>
          <w:rStyle w:val="Emphasis"/>
          <w:sz w:val="20"/>
        </w:rPr>
        <w:t>Hybrid models that combine LSTM with random forest capitalize on each method's strengths: LSTM handles long-term temporal data, and random forest reduces variability and improves prediction accuracy. By integrating the ability of LSTM to identify complex patterns and Random Forest to mitigate model variability, this approach can provide more accurate and reliable results in predicting stock prices</w:t>
      </w:r>
      <w:r w:rsidR="006564E4" w:rsidRPr="005944DD">
        <w:rPr>
          <w:rStyle w:val="Emphasis"/>
          <w:sz w:val="20"/>
        </w:rPr>
        <w:t>. Recent research shows that this hybrid model not only overcomes the weaknesses of a single model but also offers a more robust solution in stock data analysis</w:t>
      </w:r>
      <w:r w:rsidR="009247C1" w:rsidRPr="005944DD">
        <w:rPr>
          <w:rStyle w:val="Emphasis"/>
          <w:sz w:val="20"/>
        </w:rPr>
        <w:t xml:space="preserve"> </w:t>
      </w:r>
      <w:r w:rsidR="009247C1" w:rsidRPr="005944DD">
        <w:rPr>
          <w:rStyle w:val="Emphasis"/>
          <w:sz w:val="20"/>
        </w:rPr>
        <w:fldChar w:fldCharType="begin"/>
      </w:r>
      <w:r w:rsidR="009247C1" w:rsidRPr="005944DD">
        <w:rPr>
          <w:rStyle w:val="Emphasis"/>
          <w:sz w:val="20"/>
        </w:rPr>
        <w:instrText xml:space="preserve"> ADDIN EN.CITE &lt;EndNote&gt;&lt;Cite&gt;&lt;Author&gt;Kamara&lt;/Author&gt;&lt;Year&gt;2022&lt;/Year&gt;&lt;RecNum&gt;28&lt;/RecNum&gt;&lt;DisplayText&gt;[28]&lt;/DisplayText&gt;&lt;record&gt;&lt;rec-number&gt;28&lt;/rec-number&gt;&lt;foreign-keys&gt;&lt;key app="EN" db-id="tdperv2zy2zsv1ew5fwvpt2lzf5x9sse92pa" timestamp="1728279928"&gt;28&lt;/key&gt;&lt;/foreign-keys&gt;&lt;ref-type name="Journal Article"&gt;17&lt;/ref-type&gt;&lt;contributors&gt;&lt;authors&gt;&lt;author&gt;Kamara, Amadu Fullah&lt;/author&gt;&lt;author&gt;Chen, Enhong&lt;/author&gt;&lt;author&gt;Pan, Zhen&lt;/author&gt;&lt;/authors&gt;&lt;/contributors&gt;&lt;titles&gt;&lt;title&gt;An ensemble of a boosted hybrid of deep learning models and technical analysis for forecasting stock prices&lt;/title&gt;&lt;secondary-title&gt;Information Sciences&lt;/secondary-title&gt;&lt;/titles&gt;&lt;periodical&gt;&lt;full-title&gt;Information Sciences&lt;/full-title&gt;&lt;/periodical&gt;&lt;pages&gt;1-19&lt;/pages&gt;&lt;volume&gt;594&lt;/volume&gt;&lt;dates&gt;&lt;year&gt;2022&lt;/year&gt;&lt;/dates&gt;&lt;publisher&gt;Elsevier&lt;/publisher&gt;&lt;isbn&gt;0020-0255&lt;/isbn&gt;&lt;urls&gt;&lt;/urls&gt;&lt;/record&gt;&lt;/Cite&gt;&lt;/EndNote&gt;</w:instrText>
      </w:r>
      <w:r w:rsidR="009247C1" w:rsidRPr="005944DD">
        <w:rPr>
          <w:rStyle w:val="Emphasis"/>
          <w:sz w:val="20"/>
        </w:rPr>
        <w:fldChar w:fldCharType="separate"/>
      </w:r>
      <w:r w:rsidR="009247C1" w:rsidRPr="005944DD">
        <w:rPr>
          <w:rStyle w:val="Emphasis"/>
          <w:noProof/>
          <w:sz w:val="20"/>
        </w:rPr>
        <w:t>[28]</w:t>
      </w:r>
      <w:r w:rsidR="009247C1" w:rsidRPr="005944DD">
        <w:rPr>
          <w:rStyle w:val="Emphasis"/>
          <w:sz w:val="20"/>
        </w:rPr>
        <w:fldChar w:fldCharType="end"/>
      </w:r>
      <w:r w:rsidR="009247C1" w:rsidRPr="005944DD">
        <w:rPr>
          <w:rStyle w:val="Emphasis"/>
          <w:sz w:val="20"/>
        </w:rPr>
        <w:t xml:space="preserve"> </w:t>
      </w:r>
      <w:r w:rsidR="00347FC0" w:rsidRPr="005944DD">
        <w:rPr>
          <w:rStyle w:val="Emphasis"/>
          <w:sz w:val="20"/>
        </w:rPr>
        <w:fldChar w:fldCharType="begin"/>
      </w:r>
      <w:r w:rsidR="00347FC0" w:rsidRPr="005944DD">
        <w:rPr>
          <w:rStyle w:val="Emphasis"/>
          <w:sz w:val="20"/>
        </w:rPr>
        <w:instrText xml:space="preserve"> ADDIN EN.CITE &lt;EndNote&gt;&lt;Cite&gt;&lt;Author&gt;Kuo&lt;/Author&gt;&lt;Year&gt;2024&lt;/Year&gt;&lt;RecNum&gt;29&lt;/RecNum&gt;&lt;DisplayText&gt;[29]&lt;/DisplayText&gt;&lt;record&gt;&lt;rec-number&gt;29&lt;/rec-number&gt;&lt;foreign-keys&gt;&lt;key app="EN" db-id="tdperv2zy2zsv1ew5fwvpt2lzf5x9sse92pa" timestamp="1728279966"&gt;29&lt;/key&gt;&lt;/foreign-keys&gt;&lt;ref-type name="Journal Article"&gt;17&lt;/ref-type&gt;&lt;contributors&gt;&lt;authors&gt;&lt;author&gt;Kuo, R. J.&lt;/author&gt;&lt;author&gt;Chiu, Tzu-Hsuan&lt;/author&gt;&lt;/authors&gt;&lt;/contributors&gt;&lt;titles&gt;&lt;title&gt;Hybrid of jellyfish and particle swarm optimization algorithm-based support vector machine for stock market trend prediction&lt;/title&gt;&lt;secondary-title&gt;Applied Soft Computing&lt;/secondary-title&gt;&lt;/titles&gt;&lt;periodical&gt;&lt;full-title&gt;Applied Soft Computing&lt;/full-title&gt;&lt;/periodical&gt;&lt;pages&gt;111394&lt;/pages&gt;&lt;volume&gt;154&lt;/volume&gt;&lt;dates&gt;&lt;year&gt;2024&lt;/year&gt;&lt;/dates&gt;&lt;publisher&gt;Elsevier&lt;/publisher&gt;&lt;isbn&gt;1568-4946&lt;/isbn&gt;&lt;urls&gt;&lt;/urls&gt;&lt;/record&gt;&lt;/Cite&gt;&lt;/EndNote&gt;</w:instrText>
      </w:r>
      <w:r w:rsidR="00347FC0" w:rsidRPr="005944DD">
        <w:rPr>
          <w:rStyle w:val="Emphasis"/>
          <w:sz w:val="20"/>
        </w:rPr>
        <w:fldChar w:fldCharType="separate"/>
      </w:r>
      <w:r w:rsidR="00347FC0" w:rsidRPr="005944DD">
        <w:rPr>
          <w:rStyle w:val="Emphasis"/>
          <w:noProof/>
          <w:sz w:val="20"/>
        </w:rPr>
        <w:t>[29]</w:t>
      </w:r>
      <w:r w:rsidR="00347FC0" w:rsidRPr="005944DD">
        <w:rPr>
          <w:rStyle w:val="Emphasis"/>
          <w:sz w:val="20"/>
        </w:rPr>
        <w:fldChar w:fldCharType="end"/>
      </w:r>
      <w:r w:rsidR="00347FC0" w:rsidRPr="005944DD">
        <w:rPr>
          <w:rStyle w:val="Emphasis"/>
          <w:sz w:val="20"/>
        </w:rPr>
        <w:t xml:space="preserve"> </w:t>
      </w:r>
      <w:r w:rsidR="00347FC0" w:rsidRPr="005944DD">
        <w:rPr>
          <w:rStyle w:val="Emphasis"/>
          <w:sz w:val="20"/>
        </w:rPr>
        <w:fldChar w:fldCharType="begin"/>
      </w:r>
      <w:r w:rsidR="00347FC0" w:rsidRPr="005944DD">
        <w:rPr>
          <w:rStyle w:val="Emphasis"/>
          <w:sz w:val="20"/>
        </w:rPr>
        <w:instrText xml:space="preserve"> ADDIN EN.CITE &lt;EndNote&gt;&lt;Cite&gt;&lt;Author&gt;Pietukhov&lt;/Author&gt;&lt;Year&gt;2023&lt;/Year&gt;&lt;RecNum&gt;30&lt;/RecNum&gt;&lt;DisplayText&gt;[30]&lt;/DisplayText&gt;&lt;record&gt;&lt;rec-number&gt;30&lt;/rec-number&gt;&lt;foreign-keys&gt;&lt;key app="EN" db-id="tdperv2zy2zsv1ew5fwvpt2lzf5x9sse92pa" timestamp="1728279998"&gt;30&lt;/key&gt;&lt;/foreign-keys&gt;&lt;ref-type name="Journal Article"&gt;17&lt;/ref-type&gt;&lt;contributors&gt;&lt;authors&gt;&lt;author&gt;Pietukhov, Rostyslav&lt;/author&gt;&lt;author&gt;Ahtamad, Mujthaba&lt;/author&gt;&lt;author&gt;Faraji-Niri, Mona&lt;/author&gt;&lt;author&gt;El-Said, Tarek&lt;/author&gt;&lt;/authors&gt;&lt;/contributors&gt;&lt;titles&gt;&lt;title&gt;A hybrid forecasting model with logistic regression and neural networks for improving key performance indicators in supply chains&lt;/title&gt;&lt;secondary-title&gt;Supply Chain Analytics&lt;/secondary-title&gt;&lt;/titles&gt;&lt;periodical&gt;&lt;full-title&gt;Supply Chain Analytics&lt;/full-title&gt;&lt;/periodical&gt;&lt;pages&gt;100041&lt;/pages&gt;&lt;volume&gt;4&lt;/volume&gt;&lt;dates&gt;&lt;year&gt;2023&lt;/year&gt;&lt;/dates&gt;&lt;publisher&gt;Elsevier&lt;/publisher&gt;&lt;isbn&gt;2949-8635&lt;/isbn&gt;&lt;urls&gt;&lt;/urls&gt;&lt;/record&gt;&lt;/Cite&gt;&lt;/EndNote&gt;</w:instrText>
      </w:r>
      <w:r w:rsidR="00347FC0" w:rsidRPr="005944DD">
        <w:rPr>
          <w:rStyle w:val="Emphasis"/>
          <w:sz w:val="20"/>
        </w:rPr>
        <w:fldChar w:fldCharType="separate"/>
      </w:r>
      <w:r w:rsidR="00347FC0" w:rsidRPr="005944DD">
        <w:rPr>
          <w:rStyle w:val="Emphasis"/>
          <w:noProof/>
          <w:sz w:val="20"/>
        </w:rPr>
        <w:t>[30]</w:t>
      </w:r>
      <w:r w:rsidR="00347FC0" w:rsidRPr="005944DD">
        <w:rPr>
          <w:rStyle w:val="Emphasis"/>
          <w:sz w:val="20"/>
        </w:rPr>
        <w:fldChar w:fldCharType="end"/>
      </w:r>
      <w:r w:rsidR="00347FC0" w:rsidRPr="005944DD">
        <w:rPr>
          <w:rStyle w:val="Emphasis"/>
          <w:sz w:val="20"/>
        </w:rPr>
        <w:t xml:space="preserve"> </w:t>
      </w:r>
      <w:r w:rsidR="00347FC0" w:rsidRPr="005944DD">
        <w:rPr>
          <w:rStyle w:val="Emphasis"/>
          <w:sz w:val="20"/>
        </w:rPr>
        <w:fldChar w:fldCharType="begin"/>
      </w:r>
      <w:r w:rsidR="00347FC0" w:rsidRPr="005944DD">
        <w:rPr>
          <w:rStyle w:val="Emphasis"/>
          <w:sz w:val="20"/>
        </w:rPr>
        <w:instrText xml:space="preserve"> ADDIN EN.CITE &lt;EndNote&gt;&lt;Cite&gt;&lt;Author&gt;Chen&lt;/Author&gt;&lt;Year&gt;2023&lt;/Year&gt;&lt;RecNum&gt;31&lt;/RecNum&gt;&lt;DisplayText&gt;[31]&lt;/DisplayText&gt;&lt;record&gt;&lt;rec-number&gt;31&lt;/rec-number&gt;&lt;foreign-keys&gt;&lt;key app="EN" db-id="tdperv2zy2zsv1ew5fwvpt2lzf5x9sse92pa" timestamp="1728280044"&gt;31&lt;/key&gt;&lt;/foreign-keys&gt;&lt;ref-type name="Journal Article"&gt;17&lt;/ref-type&gt;&lt;contributors&gt;&lt;authors&gt;&lt;author&gt;Chen, Weisi&lt;/author&gt;&lt;author&gt;Hussain, Walayat&lt;/author&gt;&lt;author&gt;Cauteruccio, Francesco&lt;/author&gt;&lt;author&gt;Zhang, Xu&lt;/author&gt;&lt;/authors&gt;&lt;/contributors&gt;&lt;titles&gt;&lt;title&gt;Deep Learning for Financial Time Series Prediction: A State-of-the-Art Review of Standalone and Hybrid Models&lt;/title&gt;&lt;secondary-title&gt;CMES-Computer Modeling in Engineering and Sciences&lt;/secondary-title&gt;&lt;/titles&gt;&lt;periodical&gt;&lt;full-title&gt;CMES-Computer Modeling in Engineering and Sciences&lt;/full-title&gt;&lt;/periodical&gt;&lt;pages&gt;187-224&lt;/pages&gt;&lt;volume&gt;139&lt;/volume&gt;&lt;number&gt;1&lt;/number&gt;&lt;dates&gt;&lt;year&gt;2023&lt;/year&gt;&lt;/dates&gt;&lt;publisher&gt;Tech Science Press&lt;/publisher&gt;&lt;isbn&gt;1526-1492&lt;/isbn&gt;&lt;urls&gt;&lt;/urls&gt;&lt;/record&gt;&lt;/Cite&gt;&lt;/EndNote&gt;</w:instrText>
      </w:r>
      <w:r w:rsidR="00347FC0" w:rsidRPr="005944DD">
        <w:rPr>
          <w:rStyle w:val="Emphasis"/>
          <w:sz w:val="20"/>
        </w:rPr>
        <w:fldChar w:fldCharType="separate"/>
      </w:r>
      <w:r w:rsidR="00347FC0" w:rsidRPr="005944DD">
        <w:rPr>
          <w:rStyle w:val="Emphasis"/>
          <w:noProof/>
          <w:sz w:val="20"/>
        </w:rPr>
        <w:t>[31]</w:t>
      </w:r>
      <w:r w:rsidR="00347FC0" w:rsidRPr="005944DD">
        <w:rPr>
          <w:rStyle w:val="Emphasis"/>
          <w:sz w:val="20"/>
        </w:rPr>
        <w:fldChar w:fldCharType="end"/>
      </w:r>
      <w:r w:rsidR="00347FC0" w:rsidRPr="005944DD">
        <w:rPr>
          <w:rStyle w:val="Emphasis"/>
          <w:sz w:val="20"/>
        </w:rPr>
        <w:t xml:space="preserve"> </w:t>
      </w:r>
      <w:r w:rsidR="00347FC0" w:rsidRPr="005944DD">
        <w:rPr>
          <w:rStyle w:val="Emphasis"/>
          <w:sz w:val="20"/>
        </w:rPr>
        <w:fldChar w:fldCharType="begin"/>
      </w:r>
      <w:r w:rsidR="00347FC0" w:rsidRPr="005944DD">
        <w:rPr>
          <w:rStyle w:val="Emphasis"/>
          <w:sz w:val="20"/>
        </w:rPr>
        <w:instrText xml:space="preserve"> ADDIN EN.CITE &lt;EndNote&gt;&lt;Cite&gt;&lt;Author&gt;Labib&lt;/Author&gt;&lt;Year&gt;2021&lt;/Year&gt;&lt;RecNum&gt;32&lt;/RecNum&gt;&lt;DisplayText&gt;[32]&lt;/DisplayText&gt;&lt;record&gt;&lt;rec-number&gt;32&lt;/rec-number&gt;&lt;foreign-keys&gt;&lt;key app="EN" db-id="tdperv2zy2zsv1ew5fwvpt2lzf5x9sse92pa" timestamp="1728367911"&gt;32&lt;/key&gt;&lt;/foreign-keys&gt;&lt;ref-type name="Journal Article"&gt;17&lt;/ref-type&gt;&lt;contributors&gt;&lt;authors&gt;&lt;author&gt;Labib, Ashraf&lt;/author&gt;&lt;/authors&gt;&lt;/contributors&gt;&lt;titles&gt;&lt;title&gt;Towards a new approach for managing pandemics: Hybrid resilience and bowtie modelling&lt;/title&gt;&lt;secondary-title&gt;Safety Science&lt;/secondary-title&gt;&lt;/titles&gt;&lt;periodical&gt;&lt;full-title&gt;Safety Science&lt;/full-title&gt;&lt;/periodical&gt;&lt;pages&gt;105274&lt;/pages&gt;&lt;volume&gt;139&lt;/volume&gt;&lt;dates&gt;&lt;year&gt;2021&lt;/year&gt;&lt;/dates&gt;&lt;publisher&gt;Elsevier&lt;/publisher&gt;&lt;isbn&gt;0925-7535&lt;/isbn&gt;&lt;urls&gt;&lt;/urls&gt;&lt;/record&gt;&lt;/Cite&gt;&lt;/EndNote&gt;</w:instrText>
      </w:r>
      <w:r w:rsidR="00347FC0" w:rsidRPr="005944DD">
        <w:rPr>
          <w:rStyle w:val="Emphasis"/>
          <w:sz w:val="20"/>
        </w:rPr>
        <w:fldChar w:fldCharType="separate"/>
      </w:r>
      <w:r w:rsidR="00347FC0" w:rsidRPr="005944DD">
        <w:rPr>
          <w:rStyle w:val="Emphasis"/>
          <w:noProof/>
          <w:sz w:val="20"/>
        </w:rPr>
        <w:t>[32]</w:t>
      </w:r>
      <w:r w:rsidR="00347FC0" w:rsidRPr="005944DD">
        <w:rPr>
          <w:rStyle w:val="Emphasis"/>
          <w:sz w:val="20"/>
        </w:rPr>
        <w:fldChar w:fldCharType="end"/>
      </w:r>
      <w:r w:rsidR="006564E4" w:rsidRPr="005944DD">
        <w:rPr>
          <w:rStyle w:val="Emphasis"/>
          <w:sz w:val="20"/>
        </w:rPr>
        <w:t>.</w:t>
      </w:r>
    </w:p>
    <w:p w14:paraId="22B2D9A6" w14:textId="7F4E497E" w:rsidR="004A6439" w:rsidRPr="005944DD" w:rsidRDefault="006564E4" w:rsidP="004A6439">
      <w:pPr>
        <w:pBdr>
          <w:top w:val="nil"/>
          <w:left w:val="nil"/>
          <w:bottom w:val="nil"/>
          <w:right w:val="nil"/>
          <w:between w:val="nil"/>
        </w:pBdr>
        <w:ind w:firstLine="284"/>
        <w:jc w:val="both"/>
        <w:rPr>
          <w:rStyle w:val="Emphasis"/>
          <w:sz w:val="20"/>
        </w:rPr>
      </w:pPr>
      <w:r w:rsidRPr="005944DD">
        <w:rPr>
          <w:rStyle w:val="Emphasis"/>
          <w:sz w:val="20"/>
        </w:rPr>
        <w:t>Given the advantages offered by both methods, this research aims to explore the application of the hybrid LSTM and Random Forest models in the context of BRI (BBRI) stock price prediction. This research will compare the effectiveness of both methods separately and evaluate how their combination can create synergies that improve prediction accuracy. By focusing on combining the strength of LSTM in capturing deep temporal patterns and Random Forest's ability to minimize model uncertainty, this study aims to find the most effective approach for the Indonesian stock market. Hopefully, the findings from this study will provide valuable insights that can be used to formulate more informed and strategic investment strategies and improve understanding of how best to utilize analytics technology in the context of the stock market.</w:t>
      </w:r>
    </w:p>
    <w:p w14:paraId="79FE3F0E" w14:textId="77777777" w:rsidR="002117E2" w:rsidRDefault="005944DD">
      <w:pPr>
        <w:pStyle w:val="Heading1"/>
        <w:rPr>
          <w:color w:val="FF0000"/>
        </w:rPr>
      </w:pPr>
      <w:r>
        <w:t>METHODS</w:t>
      </w:r>
    </w:p>
    <w:p w14:paraId="0C27C0A4" w14:textId="70AB02AE" w:rsidR="00B534C9" w:rsidRPr="005944DD" w:rsidRDefault="008A45D1" w:rsidP="00CA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sz w:val="20"/>
        </w:rPr>
      </w:pPr>
      <w:r w:rsidRPr="005944DD">
        <w:rPr>
          <w:rStyle w:val="Emphasis"/>
          <w:sz w:val="20"/>
        </w:rPr>
        <w:t>This study evaluated the effectiveness of various models in predicting BRI's stock price through a comprehensive methodology. The process involved collecting and pre-processing data, developing LSTM models with one and two hidden layers, testing Random Forest models, and exploring hybrid approaches (RF-LSTM and LSTM-RF). Model performance was assessed using RMSE, MAPE, and MAD metrics to compare the strengths and weaknesses of each approach</w:t>
      </w:r>
      <w:r w:rsidR="009F0250" w:rsidRPr="005944DD">
        <w:rPr>
          <w:rStyle w:val="Emphasis"/>
          <w:sz w:val="20"/>
        </w:rPr>
        <w:t>.</w:t>
      </w:r>
      <w:r w:rsidR="00CA0EC6" w:rsidRPr="005944DD">
        <w:rPr>
          <w:rStyle w:val="Emphasis"/>
          <w:sz w:val="20"/>
        </w:rPr>
        <w:t xml:space="preserve"> Below are the steps for this research:</w:t>
      </w:r>
    </w:p>
    <w:p w14:paraId="247BD88F" w14:textId="77777777" w:rsidR="00B534C9" w:rsidRDefault="00B53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p>
    <w:p w14:paraId="27FCA2C3" w14:textId="70AF3417" w:rsidR="00E434DA" w:rsidRPr="00E434DA" w:rsidRDefault="009F0250" w:rsidP="005B456E">
      <w:pPr>
        <w:pStyle w:val="Heading2"/>
      </w:pPr>
      <w:r w:rsidRPr="009F0250">
        <w:t>Data Collection</w:t>
      </w:r>
    </w:p>
    <w:p w14:paraId="7374F131" w14:textId="3785628A" w:rsidR="00ED78F3" w:rsidRPr="005944DD" w:rsidRDefault="005B456E" w:rsidP="005B456E">
      <w:pPr>
        <w:pStyle w:val="ListParagraph"/>
        <w:tabs>
          <w:tab w:val="left" w:pos="28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Style w:val="Emphasis"/>
          <w:sz w:val="20"/>
        </w:rPr>
      </w:pPr>
      <w:r w:rsidRPr="005944DD">
        <w:rPr>
          <w:color w:val="333333"/>
          <w:sz w:val="20"/>
        </w:rPr>
        <w:tab/>
      </w:r>
      <w:r w:rsidR="0014254F" w:rsidRPr="005944DD">
        <w:rPr>
          <w:rStyle w:val="Emphasis"/>
          <w:sz w:val="20"/>
        </w:rPr>
        <w:t>The dataset comprises the daily closing prices of BRI (BBRI) shares, sourced from the website https://finance.yahoo.com/quote/BBRI.JK/.</w:t>
      </w:r>
      <w:r w:rsidR="009F0250" w:rsidRPr="005944DD">
        <w:rPr>
          <w:rStyle w:val="Emphasis"/>
          <w:sz w:val="20"/>
        </w:rPr>
        <w:t xml:space="preserve"> The data period used is from January 2, 2020, when the COVID-19 issue began to emerge, to July 31, 2024. The collection process involves examining the data to identify and remove outliers and correct any errors.</w:t>
      </w:r>
    </w:p>
    <w:p w14:paraId="67D71117" w14:textId="77777777" w:rsidR="00E434DA" w:rsidRPr="00ED78F3" w:rsidRDefault="00E434DA" w:rsidP="00E434DA">
      <w:pPr>
        <w:pStyle w:val="ListParagraph"/>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color w:val="333333"/>
          <w:sz w:val="20"/>
        </w:rPr>
      </w:pPr>
    </w:p>
    <w:p w14:paraId="7C038D81" w14:textId="4EAAEEB5" w:rsidR="00E434DA" w:rsidRPr="00E434DA" w:rsidRDefault="009F0250" w:rsidP="005B456E">
      <w:pPr>
        <w:pStyle w:val="Heading2"/>
      </w:pPr>
      <w:r w:rsidRPr="009F0250">
        <w:t>Data Pre-processing</w:t>
      </w:r>
    </w:p>
    <w:p w14:paraId="2D58AAC3" w14:textId="53640F90" w:rsidR="00ED78F3" w:rsidRPr="005944DD" w:rsidRDefault="0014254F" w:rsidP="005B456E">
      <w:pPr>
        <w:pStyle w:val="ListParagraph"/>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Style w:val="Emphasis"/>
          <w:sz w:val="20"/>
        </w:rPr>
      </w:pPr>
      <w:r w:rsidRPr="005944DD">
        <w:rPr>
          <w:rStyle w:val="Emphasis"/>
          <w:sz w:val="20"/>
        </w:rPr>
        <w:t>Normalization is performed using the Min-Max Scaling technique to standardize variable scales. The dataset is subsequently divided into a training set and a testing set, where the training set is utilized for model development, and the testing set is employed for evaluating model performance.</w:t>
      </w:r>
      <w:r w:rsidR="009F0250" w:rsidRPr="005944DD">
        <w:rPr>
          <w:rStyle w:val="Emphasis"/>
          <w:sz w:val="20"/>
        </w:rPr>
        <w:t xml:space="preserve"> A time series technique with lag generation is applied to prepare the data in a format suitable for the LSTM model. This study uses a lag of 10-time steps of historical data, meaning that ten independent variables are formed. The choice of 10-time steps was based on preliminary experiments that showed that using more than ten lags did not significantly improve the model's prediction accuracy. Using more lags slowed down the training process. Therefore, a 10-time step is considered optimal to balance model performance and the efficiency of the training process.</w:t>
      </w:r>
    </w:p>
    <w:p w14:paraId="5F8521B7" w14:textId="77777777" w:rsidR="00E434DA" w:rsidRDefault="00E434DA" w:rsidP="00E434DA">
      <w:pPr>
        <w:pStyle w:val="ListParagraph"/>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color w:val="333333"/>
          <w:sz w:val="20"/>
        </w:rPr>
      </w:pPr>
    </w:p>
    <w:p w14:paraId="736FC16B" w14:textId="754935C9" w:rsidR="00E434DA" w:rsidRPr="00E434DA" w:rsidRDefault="00915C9E" w:rsidP="005B456E">
      <w:pPr>
        <w:pStyle w:val="Heading2"/>
      </w:pPr>
      <w:r w:rsidRPr="00915C9E">
        <w:lastRenderedPageBreak/>
        <w:t xml:space="preserve">LSTM </w:t>
      </w:r>
      <w:r w:rsidR="0014254F">
        <w:t xml:space="preserve">and </w:t>
      </w:r>
      <w:r w:rsidR="0014254F" w:rsidRPr="00915C9E">
        <w:t xml:space="preserve">Random Forest </w:t>
      </w:r>
      <w:r w:rsidRPr="00915C9E">
        <w:t>Model Development</w:t>
      </w:r>
    </w:p>
    <w:p w14:paraId="620C0F6A" w14:textId="37B46908" w:rsidR="002117E2" w:rsidRPr="005944DD" w:rsidRDefault="00915C9E" w:rsidP="00761BAE">
      <w:pPr>
        <w:pStyle w:val="ListParagraph"/>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Style w:val="Emphasis"/>
          <w:sz w:val="20"/>
        </w:rPr>
      </w:pPr>
      <w:r w:rsidRPr="005944DD">
        <w:rPr>
          <w:rStyle w:val="Emphasis"/>
          <w:sz w:val="20"/>
        </w:rPr>
        <w:t xml:space="preserve">LSTM models were developed with one and two-hidden layer configurations to capture the temporal dependency of stock prices. Hyperparameter settings, including number of epochs, batch size, learning rate, and optimizer type (Adam, SGD, </w:t>
      </w:r>
      <w:proofErr w:type="spellStart"/>
      <w:r w:rsidRPr="005944DD">
        <w:rPr>
          <w:rStyle w:val="Emphasis"/>
          <w:sz w:val="20"/>
        </w:rPr>
        <w:t>Adamax</w:t>
      </w:r>
      <w:proofErr w:type="spellEnd"/>
      <w:r w:rsidRPr="005944DD">
        <w:rPr>
          <w:rStyle w:val="Emphasis"/>
          <w:sz w:val="20"/>
        </w:rPr>
        <w:t xml:space="preserve">, </w:t>
      </w:r>
      <w:proofErr w:type="spellStart"/>
      <w:r w:rsidRPr="005944DD">
        <w:rPr>
          <w:rStyle w:val="Emphasis"/>
          <w:sz w:val="20"/>
        </w:rPr>
        <w:t>Adagrad</w:t>
      </w:r>
      <w:proofErr w:type="spellEnd"/>
      <w:r w:rsidRPr="005944DD">
        <w:rPr>
          <w:rStyle w:val="Emphasis"/>
          <w:sz w:val="20"/>
        </w:rPr>
        <w:t xml:space="preserve">, and RMSprop), were performed to determine the optimal configuration. The model implementation uses deep learning libraries such as TensorFlow or </w:t>
      </w:r>
      <w:proofErr w:type="spellStart"/>
      <w:r w:rsidRPr="005944DD">
        <w:rPr>
          <w:rStyle w:val="Emphasis"/>
          <w:sz w:val="20"/>
        </w:rPr>
        <w:t>PyTorch</w:t>
      </w:r>
      <w:proofErr w:type="spellEnd"/>
      <w:r w:rsidRPr="005944DD">
        <w:rPr>
          <w:rStyle w:val="Emphasis"/>
          <w:sz w:val="20"/>
        </w:rPr>
        <w:t xml:space="preserve"> in Python, with evaluation based on its ability to reflect actual stock price fluctuations. In the LSTM model with two hidden layers, each layer uses 50 neurons. The alternative hyperparameters used in this modelling are shown in </w:t>
      </w:r>
      <w:r w:rsidR="000F16BC" w:rsidRPr="005944DD">
        <w:rPr>
          <w:rStyle w:val="Emphasis"/>
          <w:b/>
          <w:bCs/>
          <w:sz w:val="20"/>
        </w:rPr>
        <w:t>TABLE 1</w:t>
      </w:r>
      <w:r w:rsidRPr="005944DD">
        <w:rPr>
          <w:rStyle w:val="Emphasis"/>
          <w:b/>
          <w:bCs/>
          <w:sz w:val="20"/>
        </w:rPr>
        <w:t>.</w:t>
      </w:r>
    </w:p>
    <w:p w14:paraId="71ED43E5" w14:textId="77777777" w:rsidR="0014254F" w:rsidRDefault="0014254F" w:rsidP="0014254F">
      <w:pPr>
        <w:pStyle w:val="ListParagraph"/>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color w:val="333333"/>
          <w:sz w:val="20"/>
        </w:rPr>
      </w:pPr>
    </w:p>
    <w:p w14:paraId="39CE64EB" w14:textId="5D91DD3E" w:rsidR="00392BD4" w:rsidRPr="00777FD3" w:rsidRDefault="00392BD4" w:rsidP="005B456E">
      <w:pPr>
        <w:pStyle w:val="TableCaption"/>
        <w:rPr>
          <w:i/>
          <w:iCs/>
        </w:rPr>
      </w:pPr>
      <w:r w:rsidRPr="00777FD3">
        <w:rPr>
          <w:b/>
          <w:bCs/>
        </w:rPr>
        <w:t>T</w:t>
      </w:r>
      <w:r w:rsidR="00777FD3" w:rsidRPr="00777FD3">
        <w:rPr>
          <w:b/>
          <w:bCs/>
        </w:rPr>
        <w:t>ABLE</w:t>
      </w:r>
      <w:r w:rsidRPr="00777FD3">
        <w:rPr>
          <w:b/>
          <w:bCs/>
        </w:rPr>
        <w:t xml:space="preserve"> </w:t>
      </w:r>
      <w:r w:rsidRPr="00777FD3">
        <w:rPr>
          <w:b/>
          <w:bCs/>
          <w:i/>
          <w:iCs/>
        </w:rPr>
        <w:fldChar w:fldCharType="begin"/>
      </w:r>
      <w:r w:rsidRPr="00777FD3">
        <w:rPr>
          <w:b/>
          <w:bCs/>
        </w:rPr>
        <w:instrText xml:space="preserve"> SEQ Table \* ARABIC </w:instrText>
      </w:r>
      <w:r w:rsidRPr="00777FD3">
        <w:rPr>
          <w:b/>
          <w:bCs/>
          <w:i/>
          <w:iCs/>
        </w:rPr>
        <w:fldChar w:fldCharType="separate"/>
      </w:r>
      <w:r w:rsidR="00F4692F">
        <w:rPr>
          <w:b/>
          <w:bCs/>
          <w:noProof/>
        </w:rPr>
        <w:t>1</w:t>
      </w:r>
      <w:r w:rsidRPr="00777FD3">
        <w:rPr>
          <w:b/>
          <w:bCs/>
          <w:i/>
          <w:iCs/>
        </w:rPr>
        <w:fldChar w:fldCharType="end"/>
      </w:r>
      <w:r w:rsidRPr="00777FD3">
        <w:rPr>
          <w:b/>
          <w:bCs/>
        </w:rPr>
        <w:t>.</w:t>
      </w:r>
      <w:r w:rsidRPr="00777FD3">
        <w:t xml:space="preserve"> Alternative Hyperparameters for LSTM</w:t>
      </w:r>
    </w:p>
    <w:tbl>
      <w:tblPr>
        <w:tblStyle w:val="a"/>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09"/>
        <w:gridCol w:w="2835"/>
      </w:tblGrid>
      <w:tr w:rsidR="002117E2" w14:paraId="5447F478" w14:textId="77777777" w:rsidTr="006D06E0">
        <w:trPr>
          <w:jc w:val="center"/>
        </w:trPr>
        <w:tc>
          <w:tcPr>
            <w:tcW w:w="1809" w:type="dxa"/>
          </w:tcPr>
          <w:p w14:paraId="4FC30F8D" w14:textId="77777777" w:rsidR="002117E2" w:rsidRPr="006D06E0" w:rsidRDefault="005944DD" w:rsidP="006D06E0">
            <w:pPr>
              <w:pBdr>
                <w:top w:val="nil"/>
                <w:left w:val="nil"/>
                <w:bottom w:val="nil"/>
                <w:right w:val="nil"/>
                <w:between w:val="nil"/>
              </w:pBdr>
              <w:jc w:val="center"/>
              <w:rPr>
                <w:b/>
                <w:bCs/>
                <w:color w:val="000000"/>
              </w:rPr>
            </w:pPr>
            <w:r w:rsidRPr="006D06E0">
              <w:rPr>
                <w:b/>
                <w:bCs/>
                <w:color w:val="000000"/>
              </w:rPr>
              <w:t>Hyperparameter</w:t>
            </w:r>
          </w:p>
        </w:tc>
        <w:tc>
          <w:tcPr>
            <w:tcW w:w="2835" w:type="dxa"/>
          </w:tcPr>
          <w:p w14:paraId="09386A05" w14:textId="77777777" w:rsidR="002117E2" w:rsidRPr="006D06E0" w:rsidRDefault="005944DD" w:rsidP="006D06E0">
            <w:pPr>
              <w:pBdr>
                <w:top w:val="nil"/>
                <w:left w:val="nil"/>
                <w:bottom w:val="nil"/>
                <w:right w:val="nil"/>
                <w:between w:val="nil"/>
              </w:pBdr>
              <w:jc w:val="center"/>
              <w:rPr>
                <w:b/>
                <w:bCs/>
                <w:color w:val="000000"/>
              </w:rPr>
            </w:pPr>
            <w:proofErr w:type="spellStart"/>
            <w:r w:rsidRPr="006D06E0">
              <w:rPr>
                <w:b/>
                <w:bCs/>
                <w:color w:val="000000"/>
              </w:rPr>
              <w:t>Alernatives</w:t>
            </w:r>
            <w:proofErr w:type="spellEnd"/>
          </w:p>
        </w:tc>
      </w:tr>
      <w:tr w:rsidR="002117E2" w14:paraId="3FC12BD6" w14:textId="77777777" w:rsidTr="006D06E0">
        <w:trPr>
          <w:jc w:val="center"/>
        </w:trPr>
        <w:tc>
          <w:tcPr>
            <w:tcW w:w="1809" w:type="dxa"/>
          </w:tcPr>
          <w:p w14:paraId="677A7157" w14:textId="77777777" w:rsidR="002117E2" w:rsidRDefault="005944DD">
            <w:pPr>
              <w:pBdr>
                <w:top w:val="nil"/>
                <w:left w:val="nil"/>
                <w:bottom w:val="nil"/>
                <w:right w:val="nil"/>
                <w:between w:val="nil"/>
              </w:pBdr>
              <w:jc w:val="both"/>
              <w:rPr>
                <w:color w:val="000000"/>
              </w:rPr>
            </w:pPr>
            <w:r>
              <w:rPr>
                <w:color w:val="000000"/>
              </w:rPr>
              <w:t>Neurons</w:t>
            </w:r>
          </w:p>
        </w:tc>
        <w:tc>
          <w:tcPr>
            <w:tcW w:w="2835" w:type="dxa"/>
          </w:tcPr>
          <w:p w14:paraId="5F5AF6F6" w14:textId="6B914E74" w:rsidR="002117E2" w:rsidRDefault="005944DD">
            <w:pPr>
              <w:pBdr>
                <w:top w:val="nil"/>
                <w:left w:val="nil"/>
                <w:bottom w:val="nil"/>
                <w:right w:val="nil"/>
                <w:between w:val="nil"/>
              </w:pBdr>
              <w:jc w:val="both"/>
              <w:rPr>
                <w:color w:val="000000"/>
              </w:rPr>
            </w:pPr>
            <w:r>
              <w:rPr>
                <w:color w:val="000000"/>
              </w:rPr>
              <w:t>50</w:t>
            </w:r>
          </w:p>
        </w:tc>
      </w:tr>
      <w:tr w:rsidR="002117E2" w14:paraId="4839AAF2" w14:textId="77777777" w:rsidTr="006D06E0">
        <w:trPr>
          <w:jc w:val="center"/>
        </w:trPr>
        <w:tc>
          <w:tcPr>
            <w:tcW w:w="1809" w:type="dxa"/>
          </w:tcPr>
          <w:p w14:paraId="70BB7CDE" w14:textId="77777777" w:rsidR="002117E2" w:rsidRDefault="005944DD">
            <w:pPr>
              <w:pBdr>
                <w:top w:val="nil"/>
                <w:left w:val="nil"/>
                <w:bottom w:val="nil"/>
                <w:right w:val="nil"/>
                <w:between w:val="nil"/>
              </w:pBdr>
              <w:jc w:val="both"/>
              <w:rPr>
                <w:color w:val="000000"/>
              </w:rPr>
            </w:pPr>
            <w:proofErr w:type="spellStart"/>
            <w:r>
              <w:rPr>
                <w:color w:val="000000"/>
              </w:rPr>
              <w:t>Droupout</w:t>
            </w:r>
            <w:proofErr w:type="spellEnd"/>
            <w:r>
              <w:rPr>
                <w:color w:val="000000"/>
              </w:rPr>
              <w:t xml:space="preserve"> rate</w:t>
            </w:r>
          </w:p>
        </w:tc>
        <w:tc>
          <w:tcPr>
            <w:tcW w:w="2835" w:type="dxa"/>
          </w:tcPr>
          <w:p w14:paraId="63B23F77" w14:textId="407B9D12" w:rsidR="002117E2" w:rsidRDefault="005944DD">
            <w:pPr>
              <w:pBdr>
                <w:top w:val="nil"/>
                <w:left w:val="nil"/>
                <w:bottom w:val="nil"/>
                <w:right w:val="nil"/>
                <w:between w:val="nil"/>
              </w:pBdr>
              <w:jc w:val="both"/>
              <w:rPr>
                <w:color w:val="000000"/>
              </w:rPr>
            </w:pPr>
            <w:r>
              <w:rPr>
                <w:color w:val="000000"/>
              </w:rPr>
              <w:t>0.2</w:t>
            </w:r>
          </w:p>
        </w:tc>
      </w:tr>
      <w:tr w:rsidR="002117E2" w14:paraId="3D392945" w14:textId="77777777" w:rsidTr="006D06E0">
        <w:trPr>
          <w:jc w:val="center"/>
        </w:trPr>
        <w:tc>
          <w:tcPr>
            <w:tcW w:w="1809" w:type="dxa"/>
          </w:tcPr>
          <w:p w14:paraId="675FE346" w14:textId="77777777" w:rsidR="002117E2" w:rsidRDefault="005944DD">
            <w:pPr>
              <w:pBdr>
                <w:top w:val="nil"/>
                <w:left w:val="nil"/>
                <w:bottom w:val="nil"/>
                <w:right w:val="nil"/>
                <w:between w:val="nil"/>
              </w:pBdr>
              <w:jc w:val="both"/>
              <w:rPr>
                <w:color w:val="000000"/>
              </w:rPr>
            </w:pPr>
            <w:r>
              <w:rPr>
                <w:color w:val="000000"/>
              </w:rPr>
              <w:t>Learning rate</w:t>
            </w:r>
          </w:p>
        </w:tc>
        <w:tc>
          <w:tcPr>
            <w:tcW w:w="2835" w:type="dxa"/>
          </w:tcPr>
          <w:p w14:paraId="649EDAB4" w14:textId="77777777" w:rsidR="002117E2" w:rsidRDefault="005944DD">
            <w:pPr>
              <w:pBdr>
                <w:top w:val="nil"/>
                <w:left w:val="nil"/>
                <w:bottom w:val="nil"/>
                <w:right w:val="nil"/>
                <w:between w:val="nil"/>
              </w:pBdr>
              <w:jc w:val="both"/>
              <w:rPr>
                <w:color w:val="000000"/>
              </w:rPr>
            </w:pPr>
            <w:r>
              <w:rPr>
                <w:color w:val="000000"/>
              </w:rPr>
              <w:t>0.001, 0.01, 0.1</w:t>
            </w:r>
          </w:p>
        </w:tc>
      </w:tr>
      <w:tr w:rsidR="002117E2" w14:paraId="5A641F48" w14:textId="77777777" w:rsidTr="006D06E0">
        <w:trPr>
          <w:jc w:val="center"/>
        </w:trPr>
        <w:tc>
          <w:tcPr>
            <w:tcW w:w="1809" w:type="dxa"/>
          </w:tcPr>
          <w:p w14:paraId="54F11BE6" w14:textId="77777777" w:rsidR="002117E2" w:rsidRDefault="005944DD">
            <w:pPr>
              <w:pBdr>
                <w:top w:val="nil"/>
                <w:left w:val="nil"/>
                <w:bottom w:val="nil"/>
                <w:right w:val="nil"/>
                <w:between w:val="nil"/>
              </w:pBdr>
              <w:jc w:val="both"/>
              <w:rPr>
                <w:color w:val="000000"/>
              </w:rPr>
            </w:pPr>
            <w:r>
              <w:rPr>
                <w:color w:val="000000"/>
              </w:rPr>
              <w:t>Batch size</w:t>
            </w:r>
          </w:p>
        </w:tc>
        <w:tc>
          <w:tcPr>
            <w:tcW w:w="2835" w:type="dxa"/>
          </w:tcPr>
          <w:p w14:paraId="40C82C9B" w14:textId="44F4E248" w:rsidR="002117E2" w:rsidRDefault="005944DD">
            <w:pPr>
              <w:pBdr>
                <w:top w:val="nil"/>
                <w:left w:val="nil"/>
                <w:bottom w:val="nil"/>
                <w:right w:val="nil"/>
                <w:between w:val="nil"/>
              </w:pBdr>
              <w:jc w:val="both"/>
              <w:rPr>
                <w:color w:val="000000"/>
              </w:rPr>
            </w:pPr>
            <w:r>
              <w:rPr>
                <w:color w:val="000000"/>
              </w:rPr>
              <w:t>32</w:t>
            </w:r>
            <w:r w:rsidR="00D03F06">
              <w:rPr>
                <w:color w:val="000000"/>
              </w:rPr>
              <w:t>, 64</w:t>
            </w:r>
          </w:p>
        </w:tc>
      </w:tr>
      <w:tr w:rsidR="002117E2" w14:paraId="7848854C" w14:textId="77777777" w:rsidTr="006D06E0">
        <w:trPr>
          <w:jc w:val="center"/>
        </w:trPr>
        <w:tc>
          <w:tcPr>
            <w:tcW w:w="1809" w:type="dxa"/>
          </w:tcPr>
          <w:p w14:paraId="4E10F95A" w14:textId="77777777" w:rsidR="002117E2" w:rsidRDefault="005944DD">
            <w:pPr>
              <w:pBdr>
                <w:top w:val="nil"/>
                <w:left w:val="nil"/>
                <w:bottom w:val="nil"/>
                <w:right w:val="nil"/>
                <w:between w:val="nil"/>
              </w:pBdr>
              <w:jc w:val="both"/>
              <w:rPr>
                <w:color w:val="000000"/>
              </w:rPr>
            </w:pPr>
            <w:r>
              <w:rPr>
                <w:color w:val="000000"/>
              </w:rPr>
              <w:t>Epochs</w:t>
            </w:r>
          </w:p>
        </w:tc>
        <w:tc>
          <w:tcPr>
            <w:tcW w:w="2835" w:type="dxa"/>
          </w:tcPr>
          <w:p w14:paraId="7C3AD69F" w14:textId="2DE53B09" w:rsidR="002117E2" w:rsidRDefault="00BA63FC">
            <w:pPr>
              <w:pBdr>
                <w:top w:val="nil"/>
                <w:left w:val="nil"/>
                <w:bottom w:val="nil"/>
                <w:right w:val="nil"/>
                <w:between w:val="nil"/>
              </w:pBdr>
              <w:jc w:val="both"/>
              <w:rPr>
                <w:color w:val="000000"/>
              </w:rPr>
            </w:pPr>
            <w:r w:rsidRPr="00BA63FC">
              <w:rPr>
                <w:color w:val="000000"/>
              </w:rPr>
              <w:t>50, 100, 150, 200</w:t>
            </w:r>
          </w:p>
        </w:tc>
      </w:tr>
    </w:tbl>
    <w:p w14:paraId="112EB869" w14:textId="77777777" w:rsidR="002117E2" w:rsidRDefault="00211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p>
    <w:p w14:paraId="40B581BD" w14:textId="77777777" w:rsidR="00915C9E" w:rsidRPr="005944DD" w:rsidRDefault="00915C9E" w:rsidP="0076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sz w:val="20"/>
        </w:rPr>
      </w:pPr>
      <w:r w:rsidRPr="005944DD">
        <w:rPr>
          <w:rStyle w:val="Emphasis"/>
          <w:sz w:val="20"/>
        </w:rPr>
        <w:t>The Random Forest model was developed to compare its performance with the LSTM model. Parameters such as tree depth, number of trees (n estimators), and splitting criteria were optimized to improve prediction accuracy. The model was implemented using the scikit-learn library in Python, focusing on its ability to capture sharp and significant stock price trends.</w:t>
      </w:r>
    </w:p>
    <w:p w14:paraId="0E3F11AB" w14:textId="77777777" w:rsidR="00915C9E" w:rsidRPr="00915C9E" w:rsidRDefault="00915C9E" w:rsidP="00915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p>
    <w:p w14:paraId="24959714" w14:textId="12108B76" w:rsidR="00915C9E" w:rsidRPr="00915C9E" w:rsidRDefault="00915C9E" w:rsidP="00761BAE">
      <w:pPr>
        <w:pStyle w:val="Heading2"/>
      </w:pPr>
      <w:r w:rsidRPr="00915C9E">
        <w:t>Hybrid Model Implementation</w:t>
      </w:r>
    </w:p>
    <w:p w14:paraId="19D19875" w14:textId="77777777" w:rsidR="00915C9E" w:rsidRPr="005944DD" w:rsidRDefault="00915C9E" w:rsidP="0076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sz w:val="20"/>
        </w:rPr>
      </w:pPr>
      <w:r w:rsidRPr="005944DD">
        <w:rPr>
          <w:rStyle w:val="Emphasis"/>
          <w:sz w:val="20"/>
        </w:rPr>
        <w:t>The hybrid approaches tested include RF-LSTM and LSTM-RF, which aim to explore the potential for improving prediction accuracy. In the RF-LSTM approach, the prediction results from Random Forest are used as input features for the LSTM model, while in the LSTM-RF approach, the prediction results from LSTM are used as input for the Random Forest model. The purpose of this approach is to utilize both models' power to capture various aspects of stock price movements.</w:t>
      </w:r>
    </w:p>
    <w:p w14:paraId="18D29134" w14:textId="77777777" w:rsidR="00915C9E" w:rsidRPr="00915C9E" w:rsidRDefault="00915C9E" w:rsidP="00915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p>
    <w:p w14:paraId="6119436B" w14:textId="473E9AE2" w:rsidR="00915C9E" w:rsidRPr="00915C9E" w:rsidRDefault="00915C9E" w:rsidP="00761BAE">
      <w:pPr>
        <w:pStyle w:val="Heading2"/>
      </w:pPr>
      <w:r w:rsidRPr="00915C9E">
        <w:t>Model Evaluation</w:t>
      </w:r>
    </w:p>
    <w:p w14:paraId="0C6CCD36" w14:textId="5FB64DDC" w:rsidR="002117E2" w:rsidRPr="005944DD" w:rsidRDefault="00915C9E" w:rsidP="0076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sz w:val="20"/>
        </w:rPr>
      </w:pPr>
      <w:r w:rsidRPr="005944DD">
        <w:rPr>
          <w:rStyle w:val="Emphasis"/>
          <w:sz w:val="20"/>
        </w:rPr>
        <w:t>Evaluation is done using key metrics: Root Mean Square Error (RMSE), Mean Absolute Percentage Error (MAPE), and Mean Absolute Deviation (MAD). These metrics were chosen to provide a comprehensive picture of the accuracy and precision of the model's predictions. The evaluation is performed on both the training and test sets to assess the model's ability to generalize the predicted results.</w:t>
      </w:r>
      <w:r w:rsidRPr="005944DD">
        <w:rPr>
          <w:rStyle w:val="Emphasis"/>
          <w:sz w:val="20"/>
        </w:rPr>
        <w:tab/>
      </w:r>
    </w:p>
    <w:p w14:paraId="4509588C" w14:textId="77777777" w:rsidR="002117E2" w:rsidRDefault="005944DD">
      <w:pPr>
        <w:pStyle w:val="Heading1"/>
      </w:pPr>
      <w:r>
        <w:t>RESULTS AND DISCUSSION</w:t>
      </w:r>
    </w:p>
    <w:p w14:paraId="32BB96CD" w14:textId="137D46DD" w:rsidR="0014254F" w:rsidRPr="005944DD" w:rsidRDefault="00B36BEC" w:rsidP="00761BAE">
      <w:pPr>
        <w:pBdr>
          <w:top w:val="nil"/>
          <w:left w:val="nil"/>
          <w:bottom w:val="nil"/>
          <w:right w:val="nil"/>
          <w:between w:val="nil"/>
        </w:pBdr>
        <w:ind w:firstLine="284"/>
        <w:jc w:val="both"/>
        <w:rPr>
          <w:rStyle w:val="Emphasis"/>
          <w:sz w:val="20"/>
        </w:rPr>
      </w:pPr>
      <w:r w:rsidRPr="005944DD">
        <w:rPr>
          <w:rStyle w:val="Emphasis"/>
          <w:sz w:val="20"/>
        </w:rPr>
        <w:t xml:space="preserve">LSTM modelling is applied using one and two hidden layers. The analysis shows that for the LSTM model with one hidden layer, the best optimization method for prediction is Adam, with a learning rate parameter of 0.01, number of epochs of 200, and batch size of 32, as shown in </w:t>
      </w:r>
      <w:r w:rsidR="00986C9F" w:rsidRPr="005944DD">
        <w:rPr>
          <w:rStyle w:val="Emphasis"/>
          <w:sz w:val="20"/>
        </w:rPr>
        <w:t xml:space="preserve">FIGURE </w:t>
      </w:r>
      <w:r w:rsidR="00CA0EC6" w:rsidRPr="005944DD">
        <w:rPr>
          <w:rStyle w:val="Emphasis"/>
          <w:sz w:val="20"/>
        </w:rPr>
        <w:t>1</w:t>
      </w:r>
      <w:r w:rsidRPr="005944DD">
        <w:rPr>
          <w:rStyle w:val="Emphasis"/>
          <w:sz w:val="20"/>
        </w:rPr>
        <w:t xml:space="preserve">(a). The LSTM model with this configuration shows that the fluctuations in prediction results tend to follow the actual data pattern more every day than other estimation models. The models are reinforced by the smallest RMSE, MAPE, and MAD values of Adam's method compared to other optimization methods, which are 100.46, 1.48%, and 78.26, respectively, as shown in </w:t>
      </w:r>
      <w:r w:rsidR="00986C9F" w:rsidRPr="005944DD">
        <w:rPr>
          <w:rStyle w:val="Emphasis"/>
          <w:sz w:val="20"/>
        </w:rPr>
        <w:t>TABLE 2</w:t>
      </w:r>
      <w:r w:rsidRPr="005944DD">
        <w:rPr>
          <w:rStyle w:val="Emphasis"/>
          <w:sz w:val="20"/>
        </w:rPr>
        <w:t>. In contrast, the SGD optimization method shows the worst performance, with RMSE, MAPE, and MAD values of 140.52, 2.12%, and 110.19, respectively, indicating that the fluctuations of the prediction results from this method are significantly different from the actual data, especially in patterns that have a drastic increase or decrease.</w:t>
      </w:r>
    </w:p>
    <w:p w14:paraId="2D04913B" w14:textId="23444553" w:rsidR="0014254F" w:rsidRPr="005944DD" w:rsidRDefault="0014254F" w:rsidP="00D42EE5">
      <w:pPr>
        <w:pBdr>
          <w:top w:val="nil"/>
          <w:left w:val="nil"/>
          <w:bottom w:val="nil"/>
          <w:right w:val="nil"/>
          <w:between w:val="nil"/>
        </w:pBdr>
        <w:ind w:firstLine="284"/>
        <w:jc w:val="both"/>
        <w:rPr>
          <w:rStyle w:val="Emphasis"/>
          <w:sz w:val="20"/>
        </w:rPr>
      </w:pPr>
      <w:r w:rsidRPr="005944DD">
        <w:rPr>
          <w:rStyle w:val="Emphasis"/>
          <w:sz w:val="20"/>
        </w:rPr>
        <w:t xml:space="preserve">In the LSTM model with two hidden layers, the best optimization method is Adam, and the worst is SGD. The model with Adam's optimization uses a learning rate of 0.01, several epochs of 200, and a batch size of 64, while SGD uses a learning rate of 0.1, number of epochs of 150 and a batch size of 32. For the LSTM model with one hidden layer, SGD optimization uses a learning rate of 0.1, some epochs of 200, and a batch size 32. These results are </w:t>
      </w:r>
      <w:r w:rsidRPr="005944DD">
        <w:rPr>
          <w:rStyle w:val="Emphasis"/>
          <w:sz w:val="20"/>
        </w:rPr>
        <w:lastRenderedPageBreak/>
        <w:t xml:space="preserve">reinforced by the RMSE, MAPE, and MAD values of Adam's method, which remain the smallest, indicating that adding hidden layers to LSTM with the right optimization method can improve the model's accuracy. In contrast, other optimization methods show a decrease in performance by adding hidden layers, as shown by the increase in error values in </w:t>
      </w:r>
      <w:r w:rsidRPr="005944DD">
        <w:rPr>
          <w:rStyle w:val="Emphasis"/>
          <w:b/>
          <w:bCs/>
          <w:sz w:val="20"/>
        </w:rPr>
        <w:t>TABLE 2.</w:t>
      </w:r>
    </w:p>
    <w:p w14:paraId="51AAD553" w14:textId="77777777" w:rsidR="0055077B" w:rsidRDefault="0055077B">
      <w:pPr>
        <w:pBdr>
          <w:top w:val="nil"/>
          <w:left w:val="nil"/>
          <w:bottom w:val="nil"/>
          <w:right w:val="nil"/>
          <w:between w:val="nil"/>
        </w:pBdr>
        <w:ind w:firstLine="284"/>
        <w:jc w:val="both"/>
        <w:rPr>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4C5A" w14:paraId="4AF73274" w14:textId="77777777" w:rsidTr="00535403">
        <w:tc>
          <w:tcPr>
            <w:tcW w:w="4675" w:type="dxa"/>
          </w:tcPr>
          <w:p w14:paraId="50372497" w14:textId="6AE88D24" w:rsidR="00324C5A" w:rsidRDefault="00324C5A">
            <w:pPr>
              <w:jc w:val="both"/>
              <w:rPr>
                <w:color w:val="000000"/>
              </w:rPr>
            </w:pPr>
            <w:r>
              <w:rPr>
                <w:noProof/>
                <w:color w:val="000000"/>
              </w:rPr>
              <w:drawing>
                <wp:inline distT="0" distB="0" distL="0" distR="0" wp14:anchorId="767B9ECD" wp14:editId="7F882112">
                  <wp:extent cx="2736850" cy="1260000"/>
                  <wp:effectExtent l="0" t="0" r="6350" b="0"/>
                  <wp:docPr id="6799708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736850" cy="1260000"/>
                          </a:xfrm>
                          <a:prstGeom prst="rect">
                            <a:avLst/>
                          </a:prstGeom>
                          <a:ln/>
                        </pic:spPr>
                      </pic:pic>
                    </a:graphicData>
                  </a:graphic>
                </wp:inline>
              </w:drawing>
            </w:r>
          </w:p>
        </w:tc>
        <w:tc>
          <w:tcPr>
            <w:tcW w:w="4675" w:type="dxa"/>
          </w:tcPr>
          <w:p w14:paraId="6E83A253" w14:textId="1D103D0B" w:rsidR="00324C5A" w:rsidRDefault="00324C5A">
            <w:pPr>
              <w:jc w:val="both"/>
              <w:rPr>
                <w:color w:val="000000"/>
              </w:rPr>
            </w:pPr>
            <w:r>
              <w:rPr>
                <w:noProof/>
                <w:color w:val="000000"/>
              </w:rPr>
              <w:drawing>
                <wp:inline distT="114300" distB="114300" distL="114300" distR="114300" wp14:anchorId="13028CE4" wp14:editId="63E3BBA7">
                  <wp:extent cx="2736000" cy="1260000"/>
                  <wp:effectExtent l="0" t="0" r="7620" b="0"/>
                  <wp:docPr id="6799708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736000" cy="1260000"/>
                          </a:xfrm>
                          <a:prstGeom prst="rect">
                            <a:avLst/>
                          </a:prstGeom>
                          <a:ln/>
                        </pic:spPr>
                      </pic:pic>
                    </a:graphicData>
                  </a:graphic>
                </wp:inline>
              </w:drawing>
            </w:r>
          </w:p>
        </w:tc>
      </w:tr>
      <w:tr w:rsidR="00324C5A" w14:paraId="7001D6B1" w14:textId="77777777" w:rsidTr="00535403">
        <w:tc>
          <w:tcPr>
            <w:tcW w:w="4675" w:type="dxa"/>
          </w:tcPr>
          <w:p w14:paraId="08575FFD" w14:textId="5E471A8A" w:rsidR="00324C5A" w:rsidRDefault="004D2923" w:rsidP="004D2923">
            <w:pPr>
              <w:jc w:val="center"/>
              <w:rPr>
                <w:color w:val="000000"/>
              </w:rPr>
            </w:pPr>
            <w:r>
              <w:rPr>
                <w:color w:val="000000"/>
              </w:rPr>
              <w:t>(a)</w:t>
            </w:r>
          </w:p>
        </w:tc>
        <w:tc>
          <w:tcPr>
            <w:tcW w:w="4675" w:type="dxa"/>
          </w:tcPr>
          <w:p w14:paraId="1B0A2A34" w14:textId="41254F1D" w:rsidR="00324C5A" w:rsidRDefault="004D2923" w:rsidP="004D2923">
            <w:pPr>
              <w:jc w:val="center"/>
              <w:rPr>
                <w:color w:val="000000"/>
              </w:rPr>
            </w:pPr>
            <w:r>
              <w:rPr>
                <w:color w:val="000000"/>
              </w:rPr>
              <w:t>(b)</w:t>
            </w:r>
          </w:p>
        </w:tc>
      </w:tr>
      <w:tr w:rsidR="00324C5A" w14:paraId="30CEC9DD" w14:textId="77777777" w:rsidTr="00535403">
        <w:tc>
          <w:tcPr>
            <w:tcW w:w="4675" w:type="dxa"/>
          </w:tcPr>
          <w:p w14:paraId="11964149" w14:textId="56D4343A" w:rsidR="00324C5A" w:rsidRDefault="00324C5A">
            <w:pPr>
              <w:jc w:val="both"/>
              <w:rPr>
                <w:color w:val="000000"/>
              </w:rPr>
            </w:pPr>
            <w:r>
              <w:rPr>
                <w:noProof/>
              </w:rPr>
              <w:drawing>
                <wp:inline distT="114300" distB="114300" distL="114300" distR="114300" wp14:anchorId="25E47581" wp14:editId="487CA6EF">
                  <wp:extent cx="2736000" cy="1260000"/>
                  <wp:effectExtent l="0" t="0" r="7620" b="0"/>
                  <wp:docPr id="679970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36000" cy="1260000"/>
                          </a:xfrm>
                          <a:prstGeom prst="rect">
                            <a:avLst/>
                          </a:prstGeom>
                          <a:ln/>
                        </pic:spPr>
                      </pic:pic>
                    </a:graphicData>
                  </a:graphic>
                </wp:inline>
              </w:drawing>
            </w:r>
          </w:p>
        </w:tc>
        <w:tc>
          <w:tcPr>
            <w:tcW w:w="4675" w:type="dxa"/>
          </w:tcPr>
          <w:p w14:paraId="4C534019" w14:textId="45ED6A66" w:rsidR="00324C5A" w:rsidRDefault="00324C5A">
            <w:pPr>
              <w:jc w:val="both"/>
              <w:rPr>
                <w:color w:val="000000"/>
              </w:rPr>
            </w:pPr>
            <w:r>
              <w:rPr>
                <w:noProof/>
              </w:rPr>
              <w:drawing>
                <wp:inline distT="114300" distB="114300" distL="114300" distR="114300" wp14:anchorId="4017B454" wp14:editId="686DDC38">
                  <wp:extent cx="2736000" cy="1260000"/>
                  <wp:effectExtent l="0" t="0" r="7620" b="0"/>
                  <wp:docPr id="6799708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736000" cy="1260000"/>
                          </a:xfrm>
                          <a:prstGeom prst="rect">
                            <a:avLst/>
                          </a:prstGeom>
                          <a:ln/>
                        </pic:spPr>
                      </pic:pic>
                    </a:graphicData>
                  </a:graphic>
                </wp:inline>
              </w:drawing>
            </w:r>
          </w:p>
        </w:tc>
      </w:tr>
      <w:tr w:rsidR="00324C5A" w14:paraId="2748DF75" w14:textId="77777777" w:rsidTr="00535403">
        <w:tc>
          <w:tcPr>
            <w:tcW w:w="4675" w:type="dxa"/>
          </w:tcPr>
          <w:p w14:paraId="0822E168" w14:textId="2994B3DD" w:rsidR="00324C5A" w:rsidRDefault="004D2923" w:rsidP="004D2923">
            <w:pPr>
              <w:jc w:val="center"/>
              <w:rPr>
                <w:color w:val="000000"/>
              </w:rPr>
            </w:pPr>
            <w:r>
              <w:rPr>
                <w:color w:val="000000"/>
              </w:rPr>
              <w:t>(c)</w:t>
            </w:r>
          </w:p>
        </w:tc>
        <w:tc>
          <w:tcPr>
            <w:tcW w:w="4675" w:type="dxa"/>
          </w:tcPr>
          <w:p w14:paraId="3D2DF626" w14:textId="2C6D2964" w:rsidR="00324C5A" w:rsidRDefault="004D2923" w:rsidP="004D2923">
            <w:pPr>
              <w:jc w:val="center"/>
              <w:rPr>
                <w:color w:val="000000"/>
              </w:rPr>
            </w:pPr>
            <w:r>
              <w:rPr>
                <w:color w:val="000000"/>
              </w:rPr>
              <w:t>(d)</w:t>
            </w:r>
          </w:p>
        </w:tc>
      </w:tr>
      <w:tr w:rsidR="00324C5A" w14:paraId="1F971840" w14:textId="77777777" w:rsidTr="00535403">
        <w:tc>
          <w:tcPr>
            <w:tcW w:w="4675" w:type="dxa"/>
          </w:tcPr>
          <w:p w14:paraId="31B14234" w14:textId="36939858" w:rsidR="00324C5A" w:rsidRDefault="00324C5A">
            <w:pPr>
              <w:jc w:val="both"/>
              <w:rPr>
                <w:color w:val="000000"/>
              </w:rPr>
            </w:pPr>
            <w:r>
              <w:rPr>
                <w:noProof/>
              </w:rPr>
              <w:drawing>
                <wp:inline distT="114300" distB="114300" distL="114300" distR="114300" wp14:anchorId="574828C8" wp14:editId="06515F12">
                  <wp:extent cx="2736000" cy="1260000"/>
                  <wp:effectExtent l="0" t="0" r="7620" b="0"/>
                  <wp:docPr id="6799708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736000" cy="1260000"/>
                          </a:xfrm>
                          <a:prstGeom prst="rect">
                            <a:avLst/>
                          </a:prstGeom>
                          <a:ln/>
                        </pic:spPr>
                      </pic:pic>
                    </a:graphicData>
                  </a:graphic>
                </wp:inline>
              </w:drawing>
            </w:r>
          </w:p>
        </w:tc>
        <w:tc>
          <w:tcPr>
            <w:tcW w:w="4675" w:type="dxa"/>
          </w:tcPr>
          <w:p w14:paraId="78458F4B" w14:textId="5FDC79F2" w:rsidR="00324C5A" w:rsidRDefault="00324C5A">
            <w:pPr>
              <w:jc w:val="both"/>
              <w:rPr>
                <w:color w:val="000000"/>
              </w:rPr>
            </w:pPr>
            <w:r>
              <w:rPr>
                <w:noProof/>
              </w:rPr>
              <w:drawing>
                <wp:inline distT="114300" distB="114300" distL="114300" distR="114300" wp14:anchorId="283F1A79" wp14:editId="17E75A78">
                  <wp:extent cx="2736000" cy="1260000"/>
                  <wp:effectExtent l="0" t="0" r="7620" b="0"/>
                  <wp:docPr id="6799708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736000" cy="1260000"/>
                          </a:xfrm>
                          <a:prstGeom prst="rect">
                            <a:avLst/>
                          </a:prstGeom>
                          <a:ln/>
                        </pic:spPr>
                      </pic:pic>
                    </a:graphicData>
                  </a:graphic>
                </wp:inline>
              </w:drawing>
            </w:r>
          </w:p>
        </w:tc>
      </w:tr>
      <w:tr w:rsidR="00324C5A" w14:paraId="3B7AD45B" w14:textId="77777777" w:rsidTr="00535403">
        <w:tc>
          <w:tcPr>
            <w:tcW w:w="4675" w:type="dxa"/>
          </w:tcPr>
          <w:p w14:paraId="028A073A" w14:textId="12BF4A1A" w:rsidR="00324C5A" w:rsidRDefault="004D2923" w:rsidP="004D2923">
            <w:pPr>
              <w:jc w:val="center"/>
              <w:rPr>
                <w:color w:val="000000"/>
              </w:rPr>
            </w:pPr>
            <w:r>
              <w:rPr>
                <w:color w:val="000000"/>
              </w:rPr>
              <w:t>(e)</w:t>
            </w:r>
          </w:p>
        </w:tc>
        <w:tc>
          <w:tcPr>
            <w:tcW w:w="4675" w:type="dxa"/>
          </w:tcPr>
          <w:p w14:paraId="0443E37D" w14:textId="47A8748C" w:rsidR="00324C5A" w:rsidRDefault="004D2923" w:rsidP="004D2923">
            <w:pPr>
              <w:jc w:val="center"/>
              <w:rPr>
                <w:color w:val="000000"/>
              </w:rPr>
            </w:pPr>
            <w:r>
              <w:rPr>
                <w:color w:val="000000"/>
              </w:rPr>
              <w:t>(f)</w:t>
            </w:r>
          </w:p>
        </w:tc>
      </w:tr>
      <w:tr w:rsidR="00324C5A" w14:paraId="4E2BDCFB" w14:textId="77777777" w:rsidTr="00535403">
        <w:tc>
          <w:tcPr>
            <w:tcW w:w="4675" w:type="dxa"/>
          </w:tcPr>
          <w:p w14:paraId="72317C64" w14:textId="2D219969" w:rsidR="00324C5A" w:rsidRDefault="00324C5A">
            <w:pPr>
              <w:jc w:val="both"/>
              <w:rPr>
                <w:color w:val="000000"/>
              </w:rPr>
            </w:pPr>
            <w:r>
              <w:rPr>
                <w:noProof/>
              </w:rPr>
              <w:drawing>
                <wp:inline distT="114300" distB="114300" distL="114300" distR="114300" wp14:anchorId="7D072283" wp14:editId="15C405D6">
                  <wp:extent cx="2736000" cy="1260000"/>
                  <wp:effectExtent l="0" t="0" r="7620" b="0"/>
                  <wp:docPr id="6799708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736000" cy="1260000"/>
                          </a:xfrm>
                          <a:prstGeom prst="rect">
                            <a:avLst/>
                          </a:prstGeom>
                          <a:ln/>
                        </pic:spPr>
                      </pic:pic>
                    </a:graphicData>
                  </a:graphic>
                </wp:inline>
              </w:drawing>
            </w:r>
          </w:p>
        </w:tc>
        <w:tc>
          <w:tcPr>
            <w:tcW w:w="4675" w:type="dxa"/>
          </w:tcPr>
          <w:p w14:paraId="6F7DF4F9" w14:textId="13E300B3" w:rsidR="00324C5A" w:rsidRDefault="00324C5A">
            <w:pPr>
              <w:jc w:val="both"/>
              <w:rPr>
                <w:color w:val="000000"/>
              </w:rPr>
            </w:pPr>
            <w:r>
              <w:rPr>
                <w:noProof/>
              </w:rPr>
              <w:drawing>
                <wp:inline distT="114300" distB="114300" distL="114300" distR="114300" wp14:anchorId="069E8C80" wp14:editId="0B80CA31">
                  <wp:extent cx="2736000" cy="1260000"/>
                  <wp:effectExtent l="0" t="0" r="7620" b="0"/>
                  <wp:docPr id="6799708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36000" cy="1260000"/>
                          </a:xfrm>
                          <a:prstGeom prst="rect">
                            <a:avLst/>
                          </a:prstGeom>
                          <a:ln/>
                        </pic:spPr>
                      </pic:pic>
                    </a:graphicData>
                  </a:graphic>
                </wp:inline>
              </w:drawing>
            </w:r>
          </w:p>
        </w:tc>
      </w:tr>
      <w:tr w:rsidR="00324C5A" w14:paraId="238B74B8" w14:textId="77777777" w:rsidTr="00535403">
        <w:tc>
          <w:tcPr>
            <w:tcW w:w="4675" w:type="dxa"/>
          </w:tcPr>
          <w:p w14:paraId="03C97203" w14:textId="6B414FBC" w:rsidR="00324C5A" w:rsidRDefault="004D2923" w:rsidP="004D2923">
            <w:pPr>
              <w:jc w:val="center"/>
              <w:rPr>
                <w:color w:val="000000"/>
              </w:rPr>
            </w:pPr>
            <w:r>
              <w:rPr>
                <w:color w:val="000000"/>
              </w:rPr>
              <w:t>(g)</w:t>
            </w:r>
          </w:p>
        </w:tc>
        <w:tc>
          <w:tcPr>
            <w:tcW w:w="4675" w:type="dxa"/>
          </w:tcPr>
          <w:p w14:paraId="622794FC" w14:textId="545C8FD5" w:rsidR="00324C5A" w:rsidRDefault="004D2923" w:rsidP="004D2923">
            <w:pPr>
              <w:jc w:val="center"/>
              <w:rPr>
                <w:color w:val="000000"/>
              </w:rPr>
            </w:pPr>
            <w:r>
              <w:rPr>
                <w:color w:val="000000"/>
              </w:rPr>
              <w:t>(h)</w:t>
            </w:r>
          </w:p>
        </w:tc>
      </w:tr>
      <w:tr w:rsidR="00324C5A" w14:paraId="5CCC723B" w14:textId="77777777" w:rsidTr="00535403">
        <w:tc>
          <w:tcPr>
            <w:tcW w:w="4675" w:type="dxa"/>
          </w:tcPr>
          <w:p w14:paraId="6CA0D1CB" w14:textId="43E4933C" w:rsidR="00324C5A" w:rsidRDefault="00324C5A">
            <w:pPr>
              <w:jc w:val="both"/>
              <w:rPr>
                <w:color w:val="000000"/>
              </w:rPr>
            </w:pPr>
            <w:r>
              <w:rPr>
                <w:noProof/>
              </w:rPr>
              <w:drawing>
                <wp:inline distT="114300" distB="114300" distL="114300" distR="114300" wp14:anchorId="32F12B61" wp14:editId="691A061F">
                  <wp:extent cx="2736000" cy="1260000"/>
                  <wp:effectExtent l="0" t="0" r="7620" b="0"/>
                  <wp:docPr id="6799708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36000" cy="1260000"/>
                          </a:xfrm>
                          <a:prstGeom prst="rect">
                            <a:avLst/>
                          </a:prstGeom>
                          <a:ln/>
                        </pic:spPr>
                      </pic:pic>
                    </a:graphicData>
                  </a:graphic>
                </wp:inline>
              </w:drawing>
            </w:r>
          </w:p>
        </w:tc>
        <w:tc>
          <w:tcPr>
            <w:tcW w:w="4675" w:type="dxa"/>
          </w:tcPr>
          <w:p w14:paraId="709D477D" w14:textId="643E6551" w:rsidR="00324C5A" w:rsidRDefault="00324C5A">
            <w:pPr>
              <w:jc w:val="both"/>
              <w:rPr>
                <w:color w:val="000000"/>
              </w:rPr>
            </w:pPr>
            <w:r>
              <w:rPr>
                <w:noProof/>
              </w:rPr>
              <w:drawing>
                <wp:inline distT="114300" distB="114300" distL="114300" distR="114300" wp14:anchorId="48C1CFC2" wp14:editId="4E4C1E91">
                  <wp:extent cx="2736000" cy="1260000"/>
                  <wp:effectExtent l="0" t="0" r="7620" b="0"/>
                  <wp:docPr id="6799708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736000" cy="1260000"/>
                          </a:xfrm>
                          <a:prstGeom prst="rect">
                            <a:avLst/>
                          </a:prstGeom>
                          <a:ln/>
                        </pic:spPr>
                      </pic:pic>
                    </a:graphicData>
                  </a:graphic>
                </wp:inline>
              </w:drawing>
            </w:r>
          </w:p>
        </w:tc>
      </w:tr>
      <w:tr w:rsidR="00324C5A" w14:paraId="6F3FA12B" w14:textId="77777777" w:rsidTr="00535403">
        <w:tc>
          <w:tcPr>
            <w:tcW w:w="4675" w:type="dxa"/>
          </w:tcPr>
          <w:p w14:paraId="2BEEB768" w14:textId="1F0201F1" w:rsidR="00324C5A" w:rsidRDefault="004D2923" w:rsidP="004D2923">
            <w:pPr>
              <w:jc w:val="center"/>
              <w:rPr>
                <w:color w:val="000000"/>
              </w:rPr>
            </w:pPr>
            <w:r>
              <w:rPr>
                <w:color w:val="000000"/>
              </w:rPr>
              <w:t>(</w:t>
            </w:r>
            <w:proofErr w:type="spellStart"/>
            <w:r>
              <w:rPr>
                <w:color w:val="000000"/>
              </w:rPr>
              <w:t>i</w:t>
            </w:r>
            <w:proofErr w:type="spellEnd"/>
            <w:r>
              <w:rPr>
                <w:color w:val="000000"/>
              </w:rPr>
              <w:t>)</w:t>
            </w:r>
          </w:p>
        </w:tc>
        <w:tc>
          <w:tcPr>
            <w:tcW w:w="4675" w:type="dxa"/>
          </w:tcPr>
          <w:p w14:paraId="7FFEDBB5" w14:textId="3EF87AAF" w:rsidR="00324C5A" w:rsidRDefault="004D2923" w:rsidP="004D2923">
            <w:pPr>
              <w:jc w:val="center"/>
              <w:rPr>
                <w:color w:val="000000"/>
              </w:rPr>
            </w:pPr>
            <w:r>
              <w:rPr>
                <w:color w:val="000000"/>
              </w:rPr>
              <w:t>(j)</w:t>
            </w:r>
          </w:p>
        </w:tc>
      </w:tr>
    </w:tbl>
    <w:p w14:paraId="1AE07272" w14:textId="718F3BB5" w:rsidR="003B5ACF" w:rsidRDefault="00F4692F" w:rsidP="00761BAE">
      <w:pPr>
        <w:pStyle w:val="FigureCaption"/>
        <w:rPr>
          <w:b/>
        </w:rPr>
      </w:pPr>
      <w:r w:rsidRPr="00F4692F">
        <w:rPr>
          <w:b/>
        </w:rPr>
        <w:t xml:space="preserve">FIGURE </w:t>
      </w:r>
      <w:r w:rsidRPr="00F4692F">
        <w:rPr>
          <w:b/>
        </w:rPr>
        <w:fldChar w:fldCharType="begin"/>
      </w:r>
      <w:r w:rsidRPr="00F4692F">
        <w:rPr>
          <w:b/>
        </w:rPr>
        <w:instrText xml:space="preserve"> SEQ Figure \* ARABIC </w:instrText>
      </w:r>
      <w:r w:rsidRPr="00F4692F">
        <w:rPr>
          <w:b/>
        </w:rPr>
        <w:fldChar w:fldCharType="separate"/>
      </w:r>
      <w:r w:rsidR="00CA0EC6">
        <w:rPr>
          <w:b/>
          <w:noProof/>
        </w:rPr>
        <w:t>1</w:t>
      </w:r>
      <w:r w:rsidRPr="00F4692F">
        <w:rPr>
          <w:b/>
        </w:rPr>
        <w:fldChar w:fldCharType="end"/>
      </w:r>
      <w:r w:rsidRPr="00F4692F">
        <w:rPr>
          <w:b/>
        </w:rPr>
        <w:t>.</w:t>
      </w:r>
      <w:r w:rsidRPr="00F4692F">
        <w:rPr>
          <w:i/>
          <w:iCs/>
        </w:rPr>
        <w:t xml:space="preserve"> </w:t>
      </w:r>
      <w:r w:rsidR="003B5ACF" w:rsidRPr="003B5ACF">
        <w:t>Comparison of daily stock price predictions for BRI using LSTM: (a-e) show predictions with 1 hidden layer, while (f-j) illustrate predictions with 2 hidden layers, compared to the actual stock prices.</w:t>
      </w:r>
    </w:p>
    <w:p w14:paraId="65719BF6" w14:textId="4FFB3833" w:rsidR="0014254F" w:rsidRDefault="0014254F" w:rsidP="00392BD4">
      <w:pPr>
        <w:pBdr>
          <w:top w:val="nil"/>
          <w:left w:val="nil"/>
          <w:bottom w:val="nil"/>
          <w:right w:val="nil"/>
          <w:between w:val="nil"/>
        </w:pBdr>
        <w:ind w:firstLine="284"/>
        <w:jc w:val="both"/>
        <w:rPr>
          <w:rStyle w:val="Emphasis"/>
          <w:sz w:val="20"/>
        </w:rPr>
      </w:pPr>
      <w:r w:rsidRPr="005944DD">
        <w:rPr>
          <w:rStyle w:val="Emphasis"/>
          <w:sz w:val="20"/>
        </w:rPr>
        <w:lastRenderedPageBreak/>
        <w:t xml:space="preserve">Furthermore, for models with two hidden layers, the Adam and </w:t>
      </w:r>
      <w:proofErr w:type="spellStart"/>
      <w:r w:rsidRPr="005944DD">
        <w:rPr>
          <w:rStyle w:val="Emphasis"/>
          <w:sz w:val="20"/>
        </w:rPr>
        <w:t>Adamax</w:t>
      </w:r>
      <w:proofErr w:type="spellEnd"/>
      <w:r w:rsidRPr="005944DD">
        <w:rPr>
          <w:rStyle w:val="Emphasis"/>
          <w:sz w:val="20"/>
        </w:rPr>
        <w:t xml:space="preserve"> optimization methods show that adding one hidden layer improves the performance of the LSTM model, or in other words, it can predict more accurately. The fluctuation graph of the prediction results in </w:t>
      </w:r>
      <w:r w:rsidRPr="005944DD">
        <w:rPr>
          <w:rStyle w:val="Emphasis"/>
          <w:b/>
          <w:bCs/>
          <w:sz w:val="20"/>
        </w:rPr>
        <w:t>FIGURE 1</w:t>
      </w:r>
      <w:r w:rsidRPr="005944DD">
        <w:rPr>
          <w:rStyle w:val="Emphasis"/>
          <w:sz w:val="20"/>
        </w:rPr>
        <w:t xml:space="preserve">(f) for Adam with hidden layers shows the accuracy, which is more accurate than </w:t>
      </w:r>
      <w:r w:rsidRPr="005944DD">
        <w:rPr>
          <w:rStyle w:val="Emphasis"/>
          <w:b/>
          <w:bCs/>
          <w:sz w:val="20"/>
        </w:rPr>
        <w:t>FIGURE 1</w:t>
      </w:r>
      <w:r w:rsidRPr="005944DD">
        <w:rPr>
          <w:rStyle w:val="Emphasis"/>
          <w:sz w:val="20"/>
        </w:rPr>
        <w:t xml:space="preserve">(a) for Adam with one hidden layer. </w:t>
      </w:r>
      <w:r w:rsidR="00B3790C" w:rsidRPr="005944DD">
        <w:rPr>
          <w:rStyle w:val="Emphasis"/>
          <w:sz w:val="20"/>
        </w:rPr>
        <w:t xml:space="preserve">The Adam optimization results are the same as the comparison of </w:t>
      </w:r>
      <w:proofErr w:type="spellStart"/>
      <w:r w:rsidR="00B3790C" w:rsidRPr="005944DD">
        <w:rPr>
          <w:rStyle w:val="Emphasis"/>
          <w:sz w:val="20"/>
        </w:rPr>
        <w:t>Adamax</w:t>
      </w:r>
      <w:proofErr w:type="spellEnd"/>
      <w:r w:rsidR="00B3790C" w:rsidRPr="005944DD">
        <w:rPr>
          <w:rStyle w:val="Emphasis"/>
          <w:sz w:val="20"/>
        </w:rPr>
        <w:t xml:space="preserve">, with one hidden layer in </w:t>
      </w:r>
      <w:r w:rsidR="00B3790C" w:rsidRPr="005944DD">
        <w:rPr>
          <w:rStyle w:val="Emphasis"/>
          <w:b/>
          <w:bCs/>
          <w:sz w:val="20"/>
        </w:rPr>
        <w:t>FIGURE 1</w:t>
      </w:r>
      <w:r w:rsidR="00B3790C" w:rsidRPr="005944DD">
        <w:rPr>
          <w:rStyle w:val="Emphasis"/>
          <w:sz w:val="20"/>
        </w:rPr>
        <w:t xml:space="preserve">(d) and two hidden layers in </w:t>
      </w:r>
      <w:r w:rsidR="00B3790C" w:rsidRPr="005944DD">
        <w:rPr>
          <w:rStyle w:val="Emphasis"/>
          <w:b/>
          <w:bCs/>
          <w:sz w:val="20"/>
        </w:rPr>
        <w:t>FIGURE 1</w:t>
      </w:r>
      <w:r w:rsidR="00B3790C" w:rsidRPr="005944DD">
        <w:rPr>
          <w:rStyle w:val="Emphasis"/>
          <w:sz w:val="20"/>
        </w:rPr>
        <w:t>(</w:t>
      </w:r>
      <w:proofErr w:type="spellStart"/>
      <w:r w:rsidR="00B3790C" w:rsidRPr="005944DD">
        <w:rPr>
          <w:rStyle w:val="Emphasis"/>
          <w:sz w:val="20"/>
        </w:rPr>
        <w:t>i</w:t>
      </w:r>
      <w:proofErr w:type="spellEnd"/>
      <w:r w:rsidR="00B3790C" w:rsidRPr="005944DD">
        <w:rPr>
          <w:rStyle w:val="Emphasis"/>
          <w:sz w:val="20"/>
        </w:rPr>
        <w:t xml:space="preserve">). </w:t>
      </w:r>
      <w:r w:rsidRPr="005944DD">
        <w:rPr>
          <w:rStyle w:val="Emphasis"/>
          <w:sz w:val="20"/>
        </w:rPr>
        <w:t xml:space="preserve">However, the combination of parameters used to achieve the optimal condition differs, especially in the number of batches used. For other optimization methods, increasing the number of hidden layers decreases the performance of the LSTM model, where the fluctuations in prediction results in </w:t>
      </w:r>
      <w:r w:rsidRPr="005944DD">
        <w:rPr>
          <w:rStyle w:val="Emphasis"/>
          <w:b/>
          <w:bCs/>
          <w:sz w:val="20"/>
        </w:rPr>
        <w:t>FIGURE 1</w:t>
      </w:r>
      <w:r w:rsidRPr="005944DD">
        <w:rPr>
          <w:rStyle w:val="Emphasis"/>
          <w:sz w:val="20"/>
        </w:rPr>
        <w:t xml:space="preserve">(b), (c), and (e) are better than those in </w:t>
      </w:r>
      <w:r w:rsidRPr="005944DD">
        <w:rPr>
          <w:rStyle w:val="Emphasis"/>
          <w:b/>
          <w:bCs/>
          <w:sz w:val="20"/>
        </w:rPr>
        <w:t>FIGURE 1</w:t>
      </w:r>
      <w:r w:rsidRPr="005944DD">
        <w:rPr>
          <w:rStyle w:val="Emphasis"/>
          <w:sz w:val="20"/>
        </w:rPr>
        <w:t>(g), (</w:t>
      </w:r>
      <w:r w:rsidR="00737E74" w:rsidRPr="005944DD">
        <w:rPr>
          <w:rStyle w:val="Emphasis"/>
          <w:sz w:val="20"/>
        </w:rPr>
        <w:t>h</w:t>
      </w:r>
      <w:r w:rsidRPr="005944DD">
        <w:rPr>
          <w:rStyle w:val="Emphasis"/>
          <w:sz w:val="20"/>
        </w:rPr>
        <w:t>), and (j). Overall, the best LSTM model that can be used to predict BRI shares in the future is the LSTM model with the Adam optimization method, learning rate of 0.01, number of epochs of 200, and batch size of 64. In addition to choosing the right optimization method, the suitability of other parameter combinations also needs to be considered, and it is necessary to increase the range of values for each parameter to achieve optimal results.</w:t>
      </w:r>
    </w:p>
    <w:p w14:paraId="73A7D71D" w14:textId="77777777" w:rsidR="005944DD" w:rsidRPr="005944DD" w:rsidRDefault="005944DD" w:rsidP="00392BD4">
      <w:pPr>
        <w:pBdr>
          <w:top w:val="nil"/>
          <w:left w:val="nil"/>
          <w:bottom w:val="nil"/>
          <w:right w:val="nil"/>
          <w:between w:val="nil"/>
        </w:pBdr>
        <w:ind w:firstLine="284"/>
        <w:jc w:val="both"/>
        <w:rPr>
          <w:rStyle w:val="Emphasis"/>
          <w:sz w:val="20"/>
        </w:rPr>
      </w:pPr>
    </w:p>
    <w:p w14:paraId="64E1BB64" w14:textId="42965AA5" w:rsidR="00F4692F" w:rsidRPr="00BC2494" w:rsidRDefault="00F4692F" w:rsidP="00761BAE">
      <w:pPr>
        <w:pStyle w:val="TableCaption"/>
        <w:rPr>
          <w:i/>
          <w:iCs/>
        </w:rPr>
      </w:pPr>
      <w:r w:rsidRPr="00BC2494">
        <w:rPr>
          <w:b/>
          <w:bCs/>
        </w:rPr>
        <w:t xml:space="preserve">TABLE </w:t>
      </w:r>
      <w:r w:rsidRPr="00BC2494">
        <w:rPr>
          <w:b/>
          <w:bCs/>
          <w:i/>
          <w:iCs/>
        </w:rPr>
        <w:fldChar w:fldCharType="begin"/>
      </w:r>
      <w:r w:rsidRPr="00BC2494">
        <w:rPr>
          <w:b/>
          <w:bCs/>
        </w:rPr>
        <w:instrText xml:space="preserve"> SEQ Table \* ARABIC </w:instrText>
      </w:r>
      <w:r w:rsidRPr="00BC2494">
        <w:rPr>
          <w:b/>
          <w:bCs/>
          <w:i/>
          <w:iCs/>
        </w:rPr>
        <w:fldChar w:fldCharType="separate"/>
      </w:r>
      <w:r w:rsidRPr="00BC2494">
        <w:rPr>
          <w:b/>
          <w:bCs/>
          <w:noProof/>
        </w:rPr>
        <w:t>2</w:t>
      </w:r>
      <w:r w:rsidRPr="00BC2494">
        <w:rPr>
          <w:b/>
          <w:bCs/>
          <w:i/>
          <w:iCs/>
        </w:rPr>
        <w:fldChar w:fldCharType="end"/>
      </w:r>
      <w:r w:rsidRPr="00BC2494">
        <w:rPr>
          <w:b/>
          <w:bCs/>
        </w:rPr>
        <w:t>.</w:t>
      </w:r>
      <w:r w:rsidRPr="00BC2494">
        <w:t xml:space="preserve"> Evaluation of LSTM models based on MSE, MAPE, and MAD for different configurations of hidden layers: 1 hidden layer and 2 hidden layers</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0"/>
        <w:gridCol w:w="1870"/>
        <w:gridCol w:w="1870"/>
        <w:gridCol w:w="1870"/>
        <w:gridCol w:w="1870"/>
      </w:tblGrid>
      <w:tr w:rsidR="00123EFA" w:rsidRPr="00761BAE" w14:paraId="55817FFB" w14:textId="77777777" w:rsidTr="00123EFA">
        <w:tc>
          <w:tcPr>
            <w:tcW w:w="1000" w:type="pct"/>
            <w:vMerge w:val="restart"/>
            <w:vAlign w:val="center"/>
          </w:tcPr>
          <w:p w14:paraId="001FF479" w14:textId="6BE4B36B" w:rsidR="00123EFA" w:rsidRPr="00761BAE" w:rsidRDefault="00123EFA" w:rsidP="00123EFA">
            <w:pPr>
              <w:pBdr>
                <w:top w:val="nil"/>
                <w:left w:val="nil"/>
                <w:bottom w:val="nil"/>
                <w:right w:val="nil"/>
                <w:between w:val="nil"/>
              </w:pBdr>
              <w:jc w:val="center"/>
              <w:rPr>
                <w:b/>
                <w:color w:val="000000"/>
              </w:rPr>
            </w:pPr>
            <w:r w:rsidRPr="00761BAE">
              <w:rPr>
                <w:b/>
                <w:color w:val="000000"/>
              </w:rPr>
              <w:t>Number of Hidden Layer</w:t>
            </w:r>
          </w:p>
        </w:tc>
        <w:tc>
          <w:tcPr>
            <w:tcW w:w="1000" w:type="pct"/>
            <w:vMerge w:val="restart"/>
            <w:vAlign w:val="center"/>
          </w:tcPr>
          <w:p w14:paraId="5F0B43CB" w14:textId="7C5C6873" w:rsidR="00123EFA" w:rsidRPr="00761BAE" w:rsidRDefault="00123EFA" w:rsidP="00123EFA">
            <w:pPr>
              <w:pBdr>
                <w:top w:val="nil"/>
                <w:left w:val="nil"/>
                <w:bottom w:val="nil"/>
                <w:right w:val="nil"/>
                <w:between w:val="nil"/>
              </w:pBdr>
              <w:jc w:val="center"/>
              <w:rPr>
                <w:b/>
                <w:color w:val="000000"/>
              </w:rPr>
            </w:pPr>
            <w:r w:rsidRPr="00761BAE">
              <w:rPr>
                <w:b/>
                <w:color w:val="000000"/>
              </w:rPr>
              <w:t>Optimizer Algorithm</w:t>
            </w:r>
          </w:p>
        </w:tc>
        <w:tc>
          <w:tcPr>
            <w:tcW w:w="3000" w:type="pct"/>
            <w:gridSpan w:val="3"/>
          </w:tcPr>
          <w:p w14:paraId="4E34AA99" w14:textId="77777777" w:rsidR="00123EFA" w:rsidRPr="00761BAE" w:rsidRDefault="00123EFA">
            <w:pPr>
              <w:pBdr>
                <w:top w:val="nil"/>
                <w:left w:val="nil"/>
                <w:bottom w:val="nil"/>
                <w:right w:val="nil"/>
                <w:between w:val="nil"/>
              </w:pBdr>
              <w:jc w:val="center"/>
              <w:rPr>
                <w:b/>
                <w:color w:val="000000"/>
              </w:rPr>
            </w:pPr>
            <w:r w:rsidRPr="00761BAE">
              <w:rPr>
                <w:b/>
                <w:color w:val="000000"/>
              </w:rPr>
              <w:t>Evaluation Criteria</w:t>
            </w:r>
          </w:p>
        </w:tc>
      </w:tr>
      <w:tr w:rsidR="00123EFA" w:rsidRPr="00761BAE" w14:paraId="584C4F85" w14:textId="77777777" w:rsidTr="00123EFA">
        <w:tc>
          <w:tcPr>
            <w:tcW w:w="1000" w:type="pct"/>
            <w:vMerge/>
          </w:tcPr>
          <w:p w14:paraId="463D5C95" w14:textId="77777777" w:rsidR="00123EFA" w:rsidRPr="00761BAE" w:rsidRDefault="00123EFA">
            <w:pPr>
              <w:widowControl w:val="0"/>
              <w:pBdr>
                <w:top w:val="nil"/>
                <w:left w:val="nil"/>
                <w:bottom w:val="nil"/>
                <w:right w:val="nil"/>
                <w:between w:val="nil"/>
              </w:pBdr>
              <w:spacing w:line="276" w:lineRule="auto"/>
              <w:rPr>
                <w:b/>
                <w:color w:val="000000"/>
              </w:rPr>
            </w:pPr>
          </w:p>
        </w:tc>
        <w:tc>
          <w:tcPr>
            <w:tcW w:w="1000" w:type="pct"/>
            <w:vMerge/>
          </w:tcPr>
          <w:p w14:paraId="64179633" w14:textId="64F280A0" w:rsidR="00123EFA" w:rsidRPr="00761BAE" w:rsidRDefault="00123EFA">
            <w:pPr>
              <w:widowControl w:val="0"/>
              <w:pBdr>
                <w:top w:val="nil"/>
                <w:left w:val="nil"/>
                <w:bottom w:val="nil"/>
                <w:right w:val="nil"/>
                <w:between w:val="nil"/>
              </w:pBdr>
              <w:spacing w:line="276" w:lineRule="auto"/>
              <w:rPr>
                <w:b/>
                <w:color w:val="000000"/>
              </w:rPr>
            </w:pPr>
          </w:p>
        </w:tc>
        <w:tc>
          <w:tcPr>
            <w:tcW w:w="1000" w:type="pct"/>
          </w:tcPr>
          <w:p w14:paraId="77EA1072" w14:textId="77777777" w:rsidR="00123EFA" w:rsidRPr="00761BAE" w:rsidRDefault="00123EFA">
            <w:pPr>
              <w:pBdr>
                <w:top w:val="nil"/>
                <w:left w:val="nil"/>
                <w:bottom w:val="nil"/>
                <w:right w:val="nil"/>
                <w:between w:val="nil"/>
              </w:pBdr>
              <w:jc w:val="center"/>
              <w:rPr>
                <w:b/>
                <w:color w:val="000000"/>
              </w:rPr>
            </w:pPr>
            <w:r w:rsidRPr="00761BAE">
              <w:rPr>
                <w:b/>
                <w:color w:val="000000"/>
              </w:rPr>
              <w:t>RMSE</w:t>
            </w:r>
          </w:p>
        </w:tc>
        <w:tc>
          <w:tcPr>
            <w:tcW w:w="1000" w:type="pct"/>
          </w:tcPr>
          <w:p w14:paraId="6985D129" w14:textId="77777777" w:rsidR="00123EFA" w:rsidRPr="00761BAE" w:rsidRDefault="00123EFA">
            <w:pPr>
              <w:pBdr>
                <w:top w:val="nil"/>
                <w:left w:val="nil"/>
                <w:bottom w:val="nil"/>
                <w:right w:val="nil"/>
                <w:between w:val="nil"/>
              </w:pBdr>
              <w:jc w:val="center"/>
              <w:rPr>
                <w:b/>
                <w:color w:val="000000"/>
              </w:rPr>
            </w:pPr>
            <w:r w:rsidRPr="00761BAE">
              <w:rPr>
                <w:b/>
                <w:color w:val="000000"/>
              </w:rPr>
              <w:t>MAPE</w:t>
            </w:r>
          </w:p>
        </w:tc>
        <w:tc>
          <w:tcPr>
            <w:tcW w:w="1000" w:type="pct"/>
          </w:tcPr>
          <w:p w14:paraId="4DB5F387" w14:textId="694FE341" w:rsidR="00123EFA" w:rsidRPr="00761BAE" w:rsidRDefault="00123EFA">
            <w:pPr>
              <w:pBdr>
                <w:top w:val="nil"/>
                <w:left w:val="nil"/>
                <w:bottom w:val="nil"/>
                <w:right w:val="nil"/>
                <w:between w:val="nil"/>
              </w:pBdr>
              <w:jc w:val="center"/>
              <w:rPr>
                <w:b/>
                <w:color w:val="000000"/>
              </w:rPr>
            </w:pPr>
            <w:r w:rsidRPr="00761BAE">
              <w:rPr>
                <w:b/>
                <w:color w:val="000000"/>
              </w:rPr>
              <w:t>MA</w:t>
            </w:r>
            <w:r w:rsidR="004D2923" w:rsidRPr="00761BAE">
              <w:rPr>
                <w:b/>
                <w:color w:val="000000"/>
              </w:rPr>
              <w:t>D</w:t>
            </w:r>
          </w:p>
        </w:tc>
      </w:tr>
      <w:tr w:rsidR="00123EFA" w:rsidRPr="00761BAE" w14:paraId="5EAC55F7" w14:textId="77777777" w:rsidTr="00123EFA">
        <w:tc>
          <w:tcPr>
            <w:tcW w:w="1000" w:type="pct"/>
            <w:vMerge w:val="restart"/>
            <w:vAlign w:val="center"/>
          </w:tcPr>
          <w:p w14:paraId="470B4D67" w14:textId="118F7F09" w:rsidR="00123EFA" w:rsidRPr="00761BAE" w:rsidRDefault="00123EFA" w:rsidP="00123EFA">
            <w:pPr>
              <w:pBdr>
                <w:top w:val="nil"/>
                <w:left w:val="nil"/>
                <w:bottom w:val="nil"/>
                <w:right w:val="nil"/>
                <w:between w:val="nil"/>
              </w:pBdr>
              <w:jc w:val="center"/>
              <w:rPr>
                <w:color w:val="000000"/>
              </w:rPr>
            </w:pPr>
            <w:r w:rsidRPr="00761BAE">
              <w:rPr>
                <w:color w:val="000000"/>
              </w:rPr>
              <w:t>1</w:t>
            </w:r>
          </w:p>
        </w:tc>
        <w:tc>
          <w:tcPr>
            <w:tcW w:w="1000" w:type="pct"/>
          </w:tcPr>
          <w:p w14:paraId="0293741E" w14:textId="3B159BEB" w:rsidR="00123EFA" w:rsidRPr="00761BAE" w:rsidRDefault="00123EFA">
            <w:pPr>
              <w:pBdr>
                <w:top w:val="nil"/>
                <w:left w:val="nil"/>
                <w:bottom w:val="nil"/>
                <w:right w:val="nil"/>
                <w:between w:val="nil"/>
              </w:pBdr>
              <w:jc w:val="both"/>
              <w:rPr>
                <w:color w:val="000000"/>
              </w:rPr>
            </w:pPr>
            <w:r w:rsidRPr="00761BAE">
              <w:rPr>
                <w:color w:val="000000"/>
              </w:rPr>
              <w:t>Adam</w:t>
            </w:r>
          </w:p>
        </w:tc>
        <w:tc>
          <w:tcPr>
            <w:tcW w:w="1000" w:type="pct"/>
          </w:tcPr>
          <w:p w14:paraId="6DDA4B5B" w14:textId="77777777" w:rsidR="00123EFA" w:rsidRPr="00761BAE" w:rsidRDefault="00123EFA" w:rsidP="00123EFA">
            <w:pPr>
              <w:pBdr>
                <w:top w:val="nil"/>
                <w:left w:val="nil"/>
                <w:bottom w:val="nil"/>
                <w:right w:val="nil"/>
                <w:between w:val="nil"/>
              </w:pBdr>
              <w:jc w:val="center"/>
              <w:rPr>
                <w:color w:val="000000"/>
              </w:rPr>
            </w:pPr>
            <w:r w:rsidRPr="00761BAE">
              <w:rPr>
                <w:color w:val="000000"/>
              </w:rPr>
              <w:t>100.46</w:t>
            </w:r>
          </w:p>
        </w:tc>
        <w:tc>
          <w:tcPr>
            <w:tcW w:w="1000" w:type="pct"/>
          </w:tcPr>
          <w:p w14:paraId="6A89E58F" w14:textId="77777777" w:rsidR="00123EFA" w:rsidRPr="00761BAE" w:rsidRDefault="00123EFA" w:rsidP="00123EFA">
            <w:pPr>
              <w:pBdr>
                <w:top w:val="nil"/>
                <w:left w:val="nil"/>
                <w:bottom w:val="nil"/>
                <w:right w:val="nil"/>
                <w:between w:val="nil"/>
              </w:pBdr>
              <w:jc w:val="center"/>
              <w:rPr>
                <w:color w:val="000000"/>
              </w:rPr>
            </w:pPr>
            <w:r w:rsidRPr="00761BAE">
              <w:rPr>
                <w:color w:val="000000"/>
              </w:rPr>
              <w:t>1.48</w:t>
            </w:r>
          </w:p>
        </w:tc>
        <w:tc>
          <w:tcPr>
            <w:tcW w:w="1000" w:type="pct"/>
          </w:tcPr>
          <w:p w14:paraId="47388753" w14:textId="77777777" w:rsidR="00123EFA" w:rsidRPr="00761BAE" w:rsidRDefault="00123EFA" w:rsidP="00123EFA">
            <w:pPr>
              <w:pBdr>
                <w:top w:val="nil"/>
                <w:left w:val="nil"/>
                <w:bottom w:val="nil"/>
                <w:right w:val="nil"/>
                <w:between w:val="nil"/>
              </w:pBdr>
              <w:jc w:val="center"/>
              <w:rPr>
                <w:color w:val="000000"/>
              </w:rPr>
            </w:pPr>
            <w:r w:rsidRPr="00761BAE">
              <w:rPr>
                <w:color w:val="000000"/>
              </w:rPr>
              <w:t>78.26</w:t>
            </w:r>
          </w:p>
        </w:tc>
      </w:tr>
      <w:tr w:rsidR="00123EFA" w:rsidRPr="00761BAE" w14:paraId="012691F1" w14:textId="77777777" w:rsidTr="00123EFA">
        <w:tc>
          <w:tcPr>
            <w:tcW w:w="1000" w:type="pct"/>
            <w:vMerge/>
          </w:tcPr>
          <w:p w14:paraId="3B0B22B7" w14:textId="77777777" w:rsidR="00123EFA" w:rsidRPr="00761BAE" w:rsidRDefault="00123EFA">
            <w:pPr>
              <w:pBdr>
                <w:top w:val="nil"/>
                <w:left w:val="nil"/>
                <w:bottom w:val="nil"/>
                <w:right w:val="nil"/>
                <w:between w:val="nil"/>
              </w:pBdr>
              <w:jc w:val="both"/>
              <w:rPr>
                <w:color w:val="000000"/>
              </w:rPr>
            </w:pPr>
          </w:p>
        </w:tc>
        <w:tc>
          <w:tcPr>
            <w:tcW w:w="1000" w:type="pct"/>
          </w:tcPr>
          <w:p w14:paraId="146AC444" w14:textId="17A549C1" w:rsidR="00123EFA" w:rsidRPr="00761BAE" w:rsidRDefault="00123EFA">
            <w:pPr>
              <w:pBdr>
                <w:top w:val="nil"/>
                <w:left w:val="nil"/>
                <w:bottom w:val="nil"/>
                <w:right w:val="nil"/>
                <w:between w:val="nil"/>
              </w:pBdr>
              <w:jc w:val="both"/>
              <w:rPr>
                <w:color w:val="000000"/>
              </w:rPr>
            </w:pPr>
            <w:r w:rsidRPr="00761BAE">
              <w:rPr>
                <w:color w:val="000000"/>
              </w:rPr>
              <w:t>SGD</w:t>
            </w:r>
          </w:p>
        </w:tc>
        <w:tc>
          <w:tcPr>
            <w:tcW w:w="1000" w:type="pct"/>
          </w:tcPr>
          <w:p w14:paraId="5EF82EE1" w14:textId="77777777" w:rsidR="00123EFA" w:rsidRPr="00761BAE" w:rsidRDefault="00123EFA" w:rsidP="00123EFA">
            <w:pPr>
              <w:pBdr>
                <w:top w:val="nil"/>
                <w:left w:val="nil"/>
                <w:bottom w:val="nil"/>
                <w:right w:val="nil"/>
                <w:between w:val="nil"/>
              </w:pBdr>
              <w:jc w:val="center"/>
              <w:rPr>
                <w:color w:val="000000"/>
              </w:rPr>
            </w:pPr>
            <w:r w:rsidRPr="00761BAE">
              <w:t>140.52</w:t>
            </w:r>
          </w:p>
        </w:tc>
        <w:tc>
          <w:tcPr>
            <w:tcW w:w="1000" w:type="pct"/>
          </w:tcPr>
          <w:p w14:paraId="722B6732" w14:textId="77777777" w:rsidR="00123EFA" w:rsidRPr="00761BAE" w:rsidRDefault="00123EFA" w:rsidP="00123EFA">
            <w:pPr>
              <w:pBdr>
                <w:top w:val="nil"/>
                <w:left w:val="nil"/>
                <w:bottom w:val="nil"/>
                <w:right w:val="nil"/>
                <w:between w:val="nil"/>
              </w:pBdr>
              <w:jc w:val="center"/>
              <w:rPr>
                <w:color w:val="000000"/>
              </w:rPr>
            </w:pPr>
            <w:r w:rsidRPr="00761BAE">
              <w:t>2.12</w:t>
            </w:r>
          </w:p>
        </w:tc>
        <w:tc>
          <w:tcPr>
            <w:tcW w:w="1000" w:type="pct"/>
          </w:tcPr>
          <w:p w14:paraId="0622D3DE" w14:textId="77777777" w:rsidR="00123EFA" w:rsidRPr="00761BAE" w:rsidRDefault="00123EFA" w:rsidP="00123EFA">
            <w:pPr>
              <w:pBdr>
                <w:top w:val="nil"/>
                <w:left w:val="nil"/>
                <w:bottom w:val="nil"/>
                <w:right w:val="nil"/>
                <w:between w:val="nil"/>
              </w:pBdr>
              <w:jc w:val="center"/>
              <w:rPr>
                <w:color w:val="000000"/>
              </w:rPr>
            </w:pPr>
            <w:r w:rsidRPr="00761BAE">
              <w:t>110.19</w:t>
            </w:r>
          </w:p>
        </w:tc>
      </w:tr>
      <w:tr w:rsidR="00123EFA" w:rsidRPr="00761BAE" w14:paraId="34800F5E" w14:textId="77777777" w:rsidTr="00123EFA">
        <w:tc>
          <w:tcPr>
            <w:tcW w:w="1000" w:type="pct"/>
            <w:vMerge/>
          </w:tcPr>
          <w:p w14:paraId="66606B2A" w14:textId="77777777" w:rsidR="00123EFA" w:rsidRPr="00761BAE" w:rsidRDefault="00123EFA">
            <w:pPr>
              <w:pBdr>
                <w:top w:val="nil"/>
                <w:left w:val="nil"/>
                <w:bottom w:val="nil"/>
                <w:right w:val="nil"/>
                <w:between w:val="nil"/>
              </w:pBdr>
              <w:jc w:val="both"/>
              <w:rPr>
                <w:color w:val="000000"/>
              </w:rPr>
            </w:pPr>
          </w:p>
        </w:tc>
        <w:tc>
          <w:tcPr>
            <w:tcW w:w="1000" w:type="pct"/>
          </w:tcPr>
          <w:p w14:paraId="3FB9770F" w14:textId="353FA9C3" w:rsidR="00123EFA" w:rsidRPr="00761BAE" w:rsidRDefault="00123EFA">
            <w:pPr>
              <w:pBdr>
                <w:top w:val="nil"/>
                <w:left w:val="nil"/>
                <w:bottom w:val="nil"/>
                <w:right w:val="nil"/>
                <w:between w:val="nil"/>
              </w:pBdr>
              <w:jc w:val="both"/>
              <w:rPr>
                <w:color w:val="000000"/>
              </w:rPr>
            </w:pPr>
            <w:proofErr w:type="spellStart"/>
            <w:r w:rsidRPr="00761BAE">
              <w:rPr>
                <w:color w:val="000000"/>
              </w:rPr>
              <w:t>Adagrad</w:t>
            </w:r>
            <w:proofErr w:type="spellEnd"/>
          </w:p>
        </w:tc>
        <w:tc>
          <w:tcPr>
            <w:tcW w:w="1000" w:type="pct"/>
          </w:tcPr>
          <w:p w14:paraId="4919503E" w14:textId="77777777" w:rsidR="00123EFA" w:rsidRPr="00761BAE" w:rsidRDefault="00123EFA" w:rsidP="00123EFA">
            <w:pPr>
              <w:pBdr>
                <w:top w:val="nil"/>
                <w:left w:val="nil"/>
                <w:bottom w:val="nil"/>
                <w:right w:val="nil"/>
                <w:between w:val="nil"/>
              </w:pBdr>
              <w:jc w:val="center"/>
              <w:rPr>
                <w:color w:val="000000"/>
              </w:rPr>
            </w:pPr>
            <w:r w:rsidRPr="00761BAE">
              <w:t>123.17</w:t>
            </w:r>
          </w:p>
        </w:tc>
        <w:tc>
          <w:tcPr>
            <w:tcW w:w="1000" w:type="pct"/>
          </w:tcPr>
          <w:p w14:paraId="6B283F00" w14:textId="77777777" w:rsidR="00123EFA" w:rsidRPr="00761BAE" w:rsidRDefault="00123EFA" w:rsidP="00123EFA">
            <w:pPr>
              <w:pBdr>
                <w:top w:val="nil"/>
                <w:left w:val="nil"/>
                <w:bottom w:val="nil"/>
                <w:right w:val="nil"/>
                <w:between w:val="nil"/>
              </w:pBdr>
              <w:jc w:val="center"/>
              <w:rPr>
                <w:color w:val="000000"/>
              </w:rPr>
            </w:pPr>
            <w:r w:rsidRPr="00761BAE">
              <w:t>1.87</w:t>
            </w:r>
          </w:p>
        </w:tc>
        <w:tc>
          <w:tcPr>
            <w:tcW w:w="1000" w:type="pct"/>
          </w:tcPr>
          <w:p w14:paraId="0205D319" w14:textId="77777777" w:rsidR="00123EFA" w:rsidRPr="00761BAE" w:rsidRDefault="00123EFA" w:rsidP="00123EFA">
            <w:pPr>
              <w:pBdr>
                <w:top w:val="nil"/>
                <w:left w:val="nil"/>
                <w:bottom w:val="nil"/>
                <w:right w:val="nil"/>
                <w:between w:val="nil"/>
              </w:pBdr>
              <w:jc w:val="center"/>
              <w:rPr>
                <w:color w:val="000000"/>
              </w:rPr>
            </w:pPr>
            <w:r w:rsidRPr="00761BAE">
              <w:t>98.87</w:t>
            </w:r>
          </w:p>
        </w:tc>
      </w:tr>
      <w:tr w:rsidR="00123EFA" w:rsidRPr="00761BAE" w14:paraId="371B4584" w14:textId="77777777" w:rsidTr="00123EFA">
        <w:tc>
          <w:tcPr>
            <w:tcW w:w="1000" w:type="pct"/>
            <w:vMerge/>
          </w:tcPr>
          <w:p w14:paraId="30D0E6C0" w14:textId="77777777" w:rsidR="00123EFA" w:rsidRPr="00761BAE" w:rsidRDefault="00123EFA">
            <w:pPr>
              <w:pBdr>
                <w:top w:val="nil"/>
                <w:left w:val="nil"/>
                <w:bottom w:val="nil"/>
                <w:right w:val="nil"/>
                <w:between w:val="nil"/>
              </w:pBdr>
              <w:jc w:val="both"/>
              <w:rPr>
                <w:color w:val="000000"/>
              </w:rPr>
            </w:pPr>
          </w:p>
        </w:tc>
        <w:tc>
          <w:tcPr>
            <w:tcW w:w="1000" w:type="pct"/>
          </w:tcPr>
          <w:p w14:paraId="2FDA6637" w14:textId="1BFC157C" w:rsidR="00123EFA" w:rsidRPr="00761BAE" w:rsidRDefault="00123EFA">
            <w:pPr>
              <w:pBdr>
                <w:top w:val="nil"/>
                <w:left w:val="nil"/>
                <w:bottom w:val="nil"/>
                <w:right w:val="nil"/>
                <w:between w:val="nil"/>
              </w:pBdr>
              <w:jc w:val="both"/>
              <w:rPr>
                <w:color w:val="000000"/>
              </w:rPr>
            </w:pPr>
            <w:proofErr w:type="spellStart"/>
            <w:r w:rsidRPr="00761BAE">
              <w:rPr>
                <w:color w:val="000000"/>
              </w:rPr>
              <w:t>Adamax</w:t>
            </w:r>
            <w:proofErr w:type="spellEnd"/>
          </w:p>
        </w:tc>
        <w:tc>
          <w:tcPr>
            <w:tcW w:w="1000" w:type="pct"/>
          </w:tcPr>
          <w:p w14:paraId="68900706" w14:textId="77777777" w:rsidR="00123EFA" w:rsidRPr="00761BAE" w:rsidRDefault="00123EFA" w:rsidP="00123EFA">
            <w:pPr>
              <w:pBdr>
                <w:top w:val="nil"/>
                <w:left w:val="nil"/>
                <w:bottom w:val="nil"/>
                <w:right w:val="nil"/>
                <w:between w:val="nil"/>
              </w:pBdr>
              <w:jc w:val="center"/>
              <w:rPr>
                <w:color w:val="000000"/>
              </w:rPr>
            </w:pPr>
            <w:r w:rsidRPr="00761BAE">
              <w:t>112.93</w:t>
            </w:r>
          </w:p>
        </w:tc>
        <w:tc>
          <w:tcPr>
            <w:tcW w:w="1000" w:type="pct"/>
          </w:tcPr>
          <w:p w14:paraId="786A501C" w14:textId="77777777" w:rsidR="00123EFA" w:rsidRPr="00761BAE" w:rsidRDefault="00123EFA" w:rsidP="00123EFA">
            <w:pPr>
              <w:pBdr>
                <w:top w:val="nil"/>
                <w:left w:val="nil"/>
                <w:bottom w:val="nil"/>
                <w:right w:val="nil"/>
                <w:between w:val="nil"/>
              </w:pBdr>
              <w:jc w:val="center"/>
              <w:rPr>
                <w:color w:val="000000"/>
              </w:rPr>
            </w:pPr>
            <w:r w:rsidRPr="00761BAE">
              <w:t>1.69</w:t>
            </w:r>
          </w:p>
        </w:tc>
        <w:tc>
          <w:tcPr>
            <w:tcW w:w="1000" w:type="pct"/>
          </w:tcPr>
          <w:p w14:paraId="219047B2" w14:textId="77777777" w:rsidR="00123EFA" w:rsidRPr="00761BAE" w:rsidRDefault="00123EFA" w:rsidP="00123EFA">
            <w:pPr>
              <w:pBdr>
                <w:top w:val="nil"/>
                <w:left w:val="nil"/>
                <w:bottom w:val="nil"/>
                <w:right w:val="nil"/>
                <w:between w:val="nil"/>
              </w:pBdr>
              <w:jc w:val="center"/>
              <w:rPr>
                <w:color w:val="000000"/>
              </w:rPr>
            </w:pPr>
            <w:r w:rsidRPr="00761BAE">
              <w:t>90.43</w:t>
            </w:r>
          </w:p>
        </w:tc>
      </w:tr>
      <w:tr w:rsidR="00123EFA" w:rsidRPr="00761BAE" w14:paraId="58455479" w14:textId="77777777" w:rsidTr="00123EFA">
        <w:tc>
          <w:tcPr>
            <w:tcW w:w="1000" w:type="pct"/>
            <w:vMerge/>
          </w:tcPr>
          <w:p w14:paraId="4F108721" w14:textId="77777777" w:rsidR="00123EFA" w:rsidRPr="00761BAE" w:rsidRDefault="00123EFA">
            <w:pPr>
              <w:pBdr>
                <w:top w:val="nil"/>
                <w:left w:val="nil"/>
                <w:bottom w:val="nil"/>
                <w:right w:val="nil"/>
                <w:between w:val="nil"/>
              </w:pBdr>
              <w:jc w:val="both"/>
              <w:rPr>
                <w:color w:val="000000"/>
              </w:rPr>
            </w:pPr>
          </w:p>
        </w:tc>
        <w:tc>
          <w:tcPr>
            <w:tcW w:w="1000" w:type="pct"/>
          </w:tcPr>
          <w:p w14:paraId="2C46A83B" w14:textId="59313023" w:rsidR="00123EFA" w:rsidRPr="00761BAE" w:rsidRDefault="00123EFA">
            <w:pPr>
              <w:pBdr>
                <w:top w:val="nil"/>
                <w:left w:val="nil"/>
                <w:bottom w:val="nil"/>
                <w:right w:val="nil"/>
                <w:between w:val="nil"/>
              </w:pBdr>
              <w:jc w:val="both"/>
              <w:rPr>
                <w:color w:val="000000"/>
              </w:rPr>
            </w:pPr>
            <w:r w:rsidRPr="00761BAE">
              <w:rPr>
                <w:color w:val="000000"/>
              </w:rPr>
              <w:t>RMSprop</w:t>
            </w:r>
          </w:p>
        </w:tc>
        <w:tc>
          <w:tcPr>
            <w:tcW w:w="1000" w:type="pct"/>
          </w:tcPr>
          <w:p w14:paraId="2DB099A8" w14:textId="77777777" w:rsidR="00123EFA" w:rsidRPr="00761BAE" w:rsidRDefault="00123EFA" w:rsidP="00123EFA">
            <w:pPr>
              <w:pBdr>
                <w:top w:val="nil"/>
                <w:left w:val="nil"/>
                <w:bottom w:val="nil"/>
                <w:right w:val="nil"/>
                <w:between w:val="nil"/>
              </w:pBdr>
              <w:jc w:val="center"/>
              <w:rPr>
                <w:color w:val="000000"/>
              </w:rPr>
            </w:pPr>
            <w:r w:rsidRPr="00761BAE">
              <w:t>104.06</w:t>
            </w:r>
          </w:p>
        </w:tc>
        <w:tc>
          <w:tcPr>
            <w:tcW w:w="1000" w:type="pct"/>
          </w:tcPr>
          <w:p w14:paraId="6B037AAD" w14:textId="77777777" w:rsidR="00123EFA" w:rsidRPr="00761BAE" w:rsidRDefault="00123EFA" w:rsidP="00123EFA">
            <w:pPr>
              <w:pBdr>
                <w:top w:val="nil"/>
                <w:left w:val="nil"/>
                <w:bottom w:val="nil"/>
                <w:right w:val="nil"/>
                <w:between w:val="nil"/>
              </w:pBdr>
              <w:jc w:val="center"/>
              <w:rPr>
                <w:color w:val="000000"/>
              </w:rPr>
            </w:pPr>
            <w:r w:rsidRPr="00761BAE">
              <w:t>1.54</w:t>
            </w:r>
          </w:p>
        </w:tc>
        <w:tc>
          <w:tcPr>
            <w:tcW w:w="1000" w:type="pct"/>
          </w:tcPr>
          <w:p w14:paraId="7F8624F9" w14:textId="77777777" w:rsidR="00123EFA" w:rsidRPr="00761BAE" w:rsidRDefault="00123EFA" w:rsidP="00123EFA">
            <w:pPr>
              <w:pBdr>
                <w:top w:val="nil"/>
                <w:left w:val="nil"/>
                <w:bottom w:val="nil"/>
                <w:right w:val="nil"/>
                <w:between w:val="nil"/>
              </w:pBdr>
              <w:jc w:val="center"/>
              <w:rPr>
                <w:color w:val="000000"/>
              </w:rPr>
            </w:pPr>
            <w:r w:rsidRPr="00761BAE">
              <w:t>81.68</w:t>
            </w:r>
          </w:p>
        </w:tc>
      </w:tr>
      <w:tr w:rsidR="00123EFA" w:rsidRPr="00761BAE" w14:paraId="7F78CDBA" w14:textId="77777777" w:rsidTr="00123EFA">
        <w:tc>
          <w:tcPr>
            <w:tcW w:w="1000" w:type="pct"/>
            <w:vMerge w:val="restart"/>
            <w:vAlign w:val="center"/>
          </w:tcPr>
          <w:p w14:paraId="20B52749" w14:textId="446DFF20" w:rsidR="00123EFA" w:rsidRPr="00761BAE" w:rsidRDefault="00123EFA" w:rsidP="00123EFA">
            <w:pPr>
              <w:pBdr>
                <w:top w:val="nil"/>
                <w:left w:val="nil"/>
                <w:bottom w:val="nil"/>
                <w:right w:val="nil"/>
                <w:between w:val="nil"/>
              </w:pBdr>
              <w:jc w:val="center"/>
              <w:rPr>
                <w:color w:val="000000"/>
              </w:rPr>
            </w:pPr>
            <w:r w:rsidRPr="00761BAE">
              <w:rPr>
                <w:color w:val="000000"/>
              </w:rPr>
              <w:t>2</w:t>
            </w:r>
          </w:p>
        </w:tc>
        <w:tc>
          <w:tcPr>
            <w:tcW w:w="1000" w:type="pct"/>
          </w:tcPr>
          <w:p w14:paraId="60B0CC25" w14:textId="76BBF8DE" w:rsidR="00123EFA" w:rsidRPr="00761BAE" w:rsidRDefault="00123EFA" w:rsidP="00123EFA">
            <w:pPr>
              <w:pBdr>
                <w:top w:val="nil"/>
                <w:left w:val="nil"/>
                <w:bottom w:val="nil"/>
                <w:right w:val="nil"/>
                <w:between w:val="nil"/>
              </w:pBdr>
              <w:jc w:val="both"/>
              <w:rPr>
                <w:color w:val="000000"/>
              </w:rPr>
            </w:pPr>
            <w:r w:rsidRPr="00761BAE">
              <w:t>Adam</w:t>
            </w:r>
          </w:p>
        </w:tc>
        <w:tc>
          <w:tcPr>
            <w:tcW w:w="1000" w:type="pct"/>
          </w:tcPr>
          <w:p w14:paraId="7994A338" w14:textId="244762C6" w:rsidR="00123EFA" w:rsidRPr="00761BAE" w:rsidRDefault="00123EFA" w:rsidP="00123EFA">
            <w:pPr>
              <w:pBdr>
                <w:top w:val="nil"/>
                <w:left w:val="nil"/>
                <w:bottom w:val="nil"/>
                <w:right w:val="nil"/>
                <w:between w:val="nil"/>
              </w:pBdr>
              <w:jc w:val="center"/>
            </w:pPr>
            <w:r w:rsidRPr="00761BAE">
              <w:t>95.82</w:t>
            </w:r>
          </w:p>
        </w:tc>
        <w:tc>
          <w:tcPr>
            <w:tcW w:w="1000" w:type="pct"/>
          </w:tcPr>
          <w:p w14:paraId="56469E3E" w14:textId="61A4FECC" w:rsidR="00123EFA" w:rsidRPr="00761BAE" w:rsidRDefault="00123EFA" w:rsidP="00123EFA">
            <w:pPr>
              <w:pBdr>
                <w:top w:val="nil"/>
                <w:left w:val="nil"/>
                <w:bottom w:val="nil"/>
                <w:right w:val="nil"/>
                <w:between w:val="nil"/>
              </w:pBdr>
              <w:jc w:val="center"/>
            </w:pPr>
            <w:r w:rsidRPr="00761BAE">
              <w:t>1.42</w:t>
            </w:r>
          </w:p>
        </w:tc>
        <w:tc>
          <w:tcPr>
            <w:tcW w:w="1000" w:type="pct"/>
          </w:tcPr>
          <w:p w14:paraId="6E3196F3" w14:textId="11CFD325" w:rsidR="00123EFA" w:rsidRPr="00761BAE" w:rsidRDefault="00123EFA" w:rsidP="00123EFA">
            <w:pPr>
              <w:pBdr>
                <w:top w:val="nil"/>
                <w:left w:val="nil"/>
                <w:bottom w:val="nil"/>
                <w:right w:val="nil"/>
                <w:between w:val="nil"/>
              </w:pBdr>
              <w:jc w:val="center"/>
            </w:pPr>
            <w:r w:rsidRPr="00761BAE">
              <w:t>74.22</w:t>
            </w:r>
          </w:p>
        </w:tc>
      </w:tr>
      <w:tr w:rsidR="00123EFA" w:rsidRPr="00761BAE" w14:paraId="6A925673" w14:textId="77777777" w:rsidTr="00123EFA">
        <w:tc>
          <w:tcPr>
            <w:tcW w:w="1000" w:type="pct"/>
            <w:vMerge/>
          </w:tcPr>
          <w:p w14:paraId="1AECF22C" w14:textId="77777777" w:rsidR="00123EFA" w:rsidRPr="00761BAE" w:rsidRDefault="00123EFA" w:rsidP="00123EFA">
            <w:pPr>
              <w:pBdr>
                <w:top w:val="nil"/>
                <w:left w:val="nil"/>
                <w:bottom w:val="nil"/>
                <w:right w:val="nil"/>
                <w:between w:val="nil"/>
              </w:pBdr>
              <w:jc w:val="both"/>
              <w:rPr>
                <w:color w:val="000000"/>
              </w:rPr>
            </w:pPr>
          </w:p>
        </w:tc>
        <w:tc>
          <w:tcPr>
            <w:tcW w:w="1000" w:type="pct"/>
          </w:tcPr>
          <w:p w14:paraId="0F133C0F" w14:textId="6CE3EFA8" w:rsidR="00123EFA" w:rsidRPr="00761BAE" w:rsidRDefault="00123EFA" w:rsidP="00123EFA">
            <w:pPr>
              <w:pBdr>
                <w:top w:val="nil"/>
                <w:left w:val="nil"/>
                <w:bottom w:val="nil"/>
                <w:right w:val="nil"/>
                <w:between w:val="nil"/>
              </w:pBdr>
              <w:jc w:val="both"/>
              <w:rPr>
                <w:color w:val="000000"/>
              </w:rPr>
            </w:pPr>
            <w:r w:rsidRPr="00761BAE">
              <w:t>SGD</w:t>
            </w:r>
          </w:p>
        </w:tc>
        <w:tc>
          <w:tcPr>
            <w:tcW w:w="1000" w:type="pct"/>
          </w:tcPr>
          <w:p w14:paraId="6FF3B628" w14:textId="7F6DE93A" w:rsidR="00123EFA" w:rsidRPr="00761BAE" w:rsidRDefault="00123EFA" w:rsidP="00123EFA">
            <w:pPr>
              <w:pBdr>
                <w:top w:val="nil"/>
                <w:left w:val="nil"/>
                <w:bottom w:val="nil"/>
                <w:right w:val="nil"/>
                <w:between w:val="nil"/>
              </w:pBdr>
              <w:jc w:val="center"/>
            </w:pPr>
            <w:r w:rsidRPr="00761BAE">
              <w:t>175.96</w:t>
            </w:r>
          </w:p>
        </w:tc>
        <w:tc>
          <w:tcPr>
            <w:tcW w:w="1000" w:type="pct"/>
          </w:tcPr>
          <w:p w14:paraId="73A00AE6" w14:textId="3699572C" w:rsidR="00123EFA" w:rsidRPr="00761BAE" w:rsidRDefault="00123EFA" w:rsidP="00123EFA">
            <w:pPr>
              <w:pBdr>
                <w:top w:val="nil"/>
                <w:left w:val="nil"/>
                <w:bottom w:val="nil"/>
                <w:right w:val="nil"/>
                <w:between w:val="nil"/>
              </w:pBdr>
              <w:jc w:val="center"/>
            </w:pPr>
            <w:r w:rsidRPr="00761BAE">
              <w:t>2.68</w:t>
            </w:r>
          </w:p>
        </w:tc>
        <w:tc>
          <w:tcPr>
            <w:tcW w:w="1000" w:type="pct"/>
          </w:tcPr>
          <w:p w14:paraId="5DCF08D2" w14:textId="33B20BA0" w:rsidR="00123EFA" w:rsidRPr="00761BAE" w:rsidRDefault="00123EFA" w:rsidP="00123EFA">
            <w:pPr>
              <w:pBdr>
                <w:top w:val="nil"/>
                <w:left w:val="nil"/>
                <w:bottom w:val="nil"/>
                <w:right w:val="nil"/>
                <w:between w:val="nil"/>
              </w:pBdr>
              <w:jc w:val="center"/>
            </w:pPr>
            <w:r w:rsidRPr="00761BAE">
              <w:t>140.55</w:t>
            </w:r>
          </w:p>
        </w:tc>
      </w:tr>
      <w:tr w:rsidR="00123EFA" w:rsidRPr="00761BAE" w14:paraId="487AEF34" w14:textId="77777777" w:rsidTr="00123EFA">
        <w:tc>
          <w:tcPr>
            <w:tcW w:w="1000" w:type="pct"/>
            <w:vMerge/>
          </w:tcPr>
          <w:p w14:paraId="1F211FBA" w14:textId="77777777" w:rsidR="00123EFA" w:rsidRPr="00761BAE" w:rsidRDefault="00123EFA" w:rsidP="00123EFA">
            <w:pPr>
              <w:pBdr>
                <w:top w:val="nil"/>
                <w:left w:val="nil"/>
                <w:bottom w:val="nil"/>
                <w:right w:val="nil"/>
                <w:between w:val="nil"/>
              </w:pBdr>
              <w:jc w:val="both"/>
              <w:rPr>
                <w:color w:val="000000"/>
              </w:rPr>
            </w:pPr>
          </w:p>
        </w:tc>
        <w:tc>
          <w:tcPr>
            <w:tcW w:w="1000" w:type="pct"/>
          </w:tcPr>
          <w:p w14:paraId="54CADFF0" w14:textId="5074CE65" w:rsidR="00123EFA" w:rsidRPr="00761BAE" w:rsidRDefault="00123EFA" w:rsidP="00123EFA">
            <w:pPr>
              <w:pBdr>
                <w:top w:val="nil"/>
                <w:left w:val="nil"/>
                <w:bottom w:val="nil"/>
                <w:right w:val="nil"/>
                <w:between w:val="nil"/>
              </w:pBdr>
              <w:jc w:val="both"/>
              <w:rPr>
                <w:color w:val="000000"/>
              </w:rPr>
            </w:pPr>
            <w:proofErr w:type="spellStart"/>
            <w:r w:rsidRPr="00761BAE">
              <w:t>Adagrad</w:t>
            </w:r>
            <w:proofErr w:type="spellEnd"/>
          </w:p>
        </w:tc>
        <w:tc>
          <w:tcPr>
            <w:tcW w:w="1000" w:type="pct"/>
          </w:tcPr>
          <w:p w14:paraId="05FDCAF7" w14:textId="2C1EC74B" w:rsidR="00123EFA" w:rsidRPr="00761BAE" w:rsidRDefault="00123EFA" w:rsidP="00123EFA">
            <w:pPr>
              <w:pBdr>
                <w:top w:val="nil"/>
                <w:left w:val="nil"/>
                <w:bottom w:val="nil"/>
                <w:right w:val="nil"/>
                <w:between w:val="nil"/>
              </w:pBdr>
              <w:jc w:val="center"/>
            </w:pPr>
            <w:r w:rsidRPr="00761BAE">
              <w:t>164.01</w:t>
            </w:r>
          </w:p>
        </w:tc>
        <w:tc>
          <w:tcPr>
            <w:tcW w:w="1000" w:type="pct"/>
          </w:tcPr>
          <w:p w14:paraId="746011DC" w14:textId="33D0507A" w:rsidR="00123EFA" w:rsidRPr="00761BAE" w:rsidRDefault="00123EFA" w:rsidP="00123EFA">
            <w:pPr>
              <w:pBdr>
                <w:top w:val="nil"/>
                <w:left w:val="nil"/>
                <w:bottom w:val="nil"/>
                <w:right w:val="nil"/>
                <w:between w:val="nil"/>
              </w:pBdr>
              <w:jc w:val="center"/>
            </w:pPr>
            <w:r w:rsidRPr="00761BAE">
              <w:t>2.51</w:t>
            </w:r>
          </w:p>
        </w:tc>
        <w:tc>
          <w:tcPr>
            <w:tcW w:w="1000" w:type="pct"/>
          </w:tcPr>
          <w:p w14:paraId="249A249A" w14:textId="59AC360E" w:rsidR="00123EFA" w:rsidRPr="00761BAE" w:rsidRDefault="00123EFA" w:rsidP="00123EFA">
            <w:pPr>
              <w:pBdr>
                <w:top w:val="nil"/>
                <w:left w:val="nil"/>
                <w:bottom w:val="nil"/>
                <w:right w:val="nil"/>
                <w:between w:val="nil"/>
              </w:pBdr>
              <w:jc w:val="center"/>
            </w:pPr>
            <w:r w:rsidRPr="00761BAE">
              <w:t>131.60</w:t>
            </w:r>
          </w:p>
        </w:tc>
      </w:tr>
      <w:tr w:rsidR="00123EFA" w:rsidRPr="00761BAE" w14:paraId="4764A9B8" w14:textId="77777777" w:rsidTr="00123EFA">
        <w:tc>
          <w:tcPr>
            <w:tcW w:w="1000" w:type="pct"/>
            <w:vMerge/>
          </w:tcPr>
          <w:p w14:paraId="0E9C5E93" w14:textId="77777777" w:rsidR="00123EFA" w:rsidRPr="00761BAE" w:rsidRDefault="00123EFA" w:rsidP="00123EFA">
            <w:pPr>
              <w:pBdr>
                <w:top w:val="nil"/>
                <w:left w:val="nil"/>
                <w:bottom w:val="nil"/>
                <w:right w:val="nil"/>
                <w:between w:val="nil"/>
              </w:pBdr>
              <w:jc w:val="both"/>
              <w:rPr>
                <w:color w:val="000000"/>
              </w:rPr>
            </w:pPr>
          </w:p>
        </w:tc>
        <w:tc>
          <w:tcPr>
            <w:tcW w:w="1000" w:type="pct"/>
          </w:tcPr>
          <w:p w14:paraId="1FE4D4F7" w14:textId="3EA299D8" w:rsidR="00123EFA" w:rsidRPr="00761BAE" w:rsidRDefault="00123EFA" w:rsidP="00123EFA">
            <w:pPr>
              <w:pBdr>
                <w:top w:val="nil"/>
                <w:left w:val="nil"/>
                <w:bottom w:val="nil"/>
                <w:right w:val="nil"/>
                <w:between w:val="nil"/>
              </w:pBdr>
              <w:jc w:val="both"/>
              <w:rPr>
                <w:color w:val="000000"/>
              </w:rPr>
            </w:pPr>
            <w:proofErr w:type="spellStart"/>
            <w:r w:rsidRPr="00761BAE">
              <w:t>Adamax</w:t>
            </w:r>
            <w:proofErr w:type="spellEnd"/>
          </w:p>
        </w:tc>
        <w:tc>
          <w:tcPr>
            <w:tcW w:w="1000" w:type="pct"/>
          </w:tcPr>
          <w:p w14:paraId="28CADDFA" w14:textId="7EF4B660" w:rsidR="00123EFA" w:rsidRPr="00761BAE" w:rsidRDefault="00123EFA" w:rsidP="00123EFA">
            <w:pPr>
              <w:pBdr>
                <w:top w:val="nil"/>
                <w:left w:val="nil"/>
                <w:bottom w:val="nil"/>
                <w:right w:val="nil"/>
                <w:between w:val="nil"/>
              </w:pBdr>
              <w:jc w:val="center"/>
            </w:pPr>
            <w:r w:rsidRPr="00761BAE">
              <w:t>99.12</w:t>
            </w:r>
          </w:p>
        </w:tc>
        <w:tc>
          <w:tcPr>
            <w:tcW w:w="1000" w:type="pct"/>
          </w:tcPr>
          <w:p w14:paraId="09B275EC" w14:textId="0D0588F3" w:rsidR="00123EFA" w:rsidRPr="00761BAE" w:rsidRDefault="00123EFA" w:rsidP="00123EFA">
            <w:pPr>
              <w:pBdr>
                <w:top w:val="nil"/>
                <w:left w:val="nil"/>
                <w:bottom w:val="nil"/>
                <w:right w:val="nil"/>
                <w:between w:val="nil"/>
              </w:pBdr>
              <w:jc w:val="center"/>
            </w:pPr>
            <w:r w:rsidRPr="00761BAE">
              <w:t>1.50</w:t>
            </w:r>
          </w:p>
        </w:tc>
        <w:tc>
          <w:tcPr>
            <w:tcW w:w="1000" w:type="pct"/>
          </w:tcPr>
          <w:p w14:paraId="1E6297C2" w14:textId="2863805C" w:rsidR="00123EFA" w:rsidRPr="00761BAE" w:rsidRDefault="00123EFA" w:rsidP="00123EFA">
            <w:pPr>
              <w:pBdr>
                <w:top w:val="nil"/>
                <w:left w:val="nil"/>
                <w:bottom w:val="nil"/>
                <w:right w:val="nil"/>
                <w:between w:val="nil"/>
              </w:pBdr>
              <w:jc w:val="center"/>
            </w:pPr>
            <w:r w:rsidRPr="00761BAE">
              <w:t>78.19</w:t>
            </w:r>
          </w:p>
        </w:tc>
      </w:tr>
      <w:tr w:rsidR="00123EFA" w:rsidRPr="00761BAE" w14:paraId="08B57549" w14:textId="77777777" w:rsidTr="00123EFA">
        <w:tc>
          <w:tcPr>
            <w:tcW w:w="1000" w:type="pct"/>
            <w:vMerge/>
          </w:tcPr>
          <w:p w14:paraId="2B8EBC50" w14:textId="77777777" w:rsidR="00123EFA" w:rsidRPr="00761BAE" w:rsidRDefault="00123EFA" w:rsidP="00123EFA">
            <w:pPr>
              <w:pBdr>
                <w:top w:val="nil"/>
                <w:left w:val="nil"/>
                <w:bottom w:val="nil"/>
                <w:right w:val="nil"/>
                <w:between w:val="nil"/>
              </w:pBdr>
              <w:jc w:val="both"/>
              <w:rPr>
                <w:color w:val="000000"/>
              </w:rPr>
            </w:pPr>
          </w:p>
        </w:tc>
        <w:tc>
          <w:tcPr>
            <w:tcW w:w="1000" w:type="pct"/>
          </w:tcPr>
          <w:p w14:paraId="1DDB1E42" w14:textId="0C40181A" w:rsidR="00123EFA" w:rsidRPr="00761BAE" w:rsidRDefault="00123EFA" w:rsidP="00123EFA">
            <w:pPr>
              <w:pBdr>
                <w:top w:val="nil"/>
                <w:left w:val="nil"/>
                <w:bottom w:val="nil"/>
                <w:right w:val="nil"/>
                <w:between w:val="nil"/>
              </w:pBdr>
              <w:jc w:val="both"/>
              <w:rPr>
                <w:color w:val="000000"/>
              </w:rPr>
            </w:pPr>
            <w:r w:rsidRPr="00761BAE">
              <w:t>RMSprop</w:t>
            </w:r>
          </w:p>
        </w:tc>
        <w:tc>
          <w:tcPr>
            <w:tcW w:w="1000" w:type="pct"/>
          </w:tcPr>
          <w:p w14:paraId="7A24919B" w14:textId="11E94649" w:rsidR="00123EFA" w:rsidRPr="00761BAE" w:rsidRDefault="00123EFA" w:rsidP="00123EFA">
            <w:pPr>
              <w:pBdr>
                <w:top w:val="nil"/>
                <w:left w:val="nil"/>
                <w:bottom w:val="nil"/>
                <w:right w:val="nil"/>
                <w:between w:val="nil"/>
              </w:pBdr>
              <w:jc w:val="center"/>
            </w:pPr>
            <w:r w:rsidRPr="00761BAE">
              <w:t>119.64</w:t>
            </w:r>
          </w:p>
        </w:tc>
        <w:tc>
          <w:tcPr>
            <w:tcW w:w="1000" w:type="pct"/>
          </w:tcPr>
          <w:p w14:paraId="67F2DA06" w14:textId="3D3A11C5" w:rsidR="00123EFA" w:rsidRPr="00761BAE" w:rsidRDefault="00123EFA" w:rsidP="00123EFA">
            <w:pPr>
              <w:pBdr>
                <w:top w:val="nil"/>
                <w:left w:val="nil"/>
                <w:bottom w:val="nil"/>
                <w:right w:val="nil"/>
                <w:between w:val="nil"/>
              </w:pBdr>
              <w:jc w:val="center"/>
            </w:pPr>
            <w:r w:rsidRPr="00761BAE">
              <w:t>1.79</w:t>
            </w:r>
          </w:p>
        </w:tc>
        <w:tc>
          <w:tcPr>
            <w:tcW w:w="1000" w:type="pct"/>
          </w:tcPr>
          <w:p w14:paraId="6AA2F59D" w14:textId="77C895B2" w:rsidR="00123EFA" w:rsidRPr="00761BAE" w:rsidRDefault="00123EFA" w:rsidP="00123EFA">
            <w:pPr>
              <w:pBdr>
                <w:top w:val="nil"/>
                <w:left w:val="nil"/>
                <w:bottom w:val="nil"/>
                <w:right w:val="nil"/>
                <w:between w:val="nil"/>
              </w:pBdr>
              <w:jc w:val="center"/>
            </w:pPr>
            <w:r w:rsidRPr="00761BAE">
              <w:t>94.51</w:t>
            </w:r>
          </w:p>
        </w:tc>
      </w:tr>
    </w:tbl>
    <w:p w14:paraId="22C16596" w14:textId="77777777" w:rsidR="005944DD" w:rsidRDefault="005944DD" w:rsidP="0014254F">
      <w:pPr>
        <w:pBdr>
          <w:top w:val="nil"/>
          <w:left w:val="nil"/>
          <w:bottom w:val="nil"/>
          <w:right w:val="nil"/>
          <w:between w:val="nil"/>
        </w:pBdr>
        <w:spacing w:before="120"/>
        <w:ind w:firstLine="284"/>
        <w:jc w:val="both"/>
        <w:rPr>
          <w:rStyle w:val="Emphasis"/>
          <w:sz w:val="20"/>
        </w:rPr>
      </w:pPr>
    </w:p>
    <w:p w14:paraId="42207DEC" w14:textId="7062FD76" w:rsidR="00392BD4" w:rsidRDefault="0014254F" w:rsidP="0014254F">
      <w:pPr>
        <w:pBdr>
          <w:top w:val="nil"/>
          <w:left w:val="nil"/>
          <w:bottom w:val="nil"/>
          <w:right w:val="nil"/>
          <w:between w:val="nil"/>
        </w:pBdr>
        <w:spacing w:before="120"/>
        <w:ind w:firstLine="284"/>
        <w:jc w:val="both"/>
        <w:rPr>
          <w:rStyle w:val="Emphasis"/>
          <w:sz w:val="20"/>
        </w:rPr>
      </w:pPr>
      <w:r w:rsidRPr="005944DD">
        <w:rPr>
          <w:rStyle w:val="Emphasis"/>
          <w:sz w:val="20"/>
        </w:rPr>
        <w:t xml:space="preserve">Besides LSTM, another method used to predict time series is Random Forest. Modelling results using Random Forest show that the resulting predictions are less accurate than LSTM. The Random Forest model can only capture data patterns that experience a sharp increase that exceeds the initial prediction value of around 5500. This pattern is consistently seen in all simulations of the depth parameter used. The fluctuation of the prediction results can be seen in </w:t>
      </w:r>
      <w:r w:rsidRPr="005944DD">
        <w:rPr>
          <w:rStyle w:val="Emphasis"/>
          <w:b/>
          <w:bCs/>
          <w:sz w:val="20"/>
        </w:rPr>
        <w:t>FIGURE 2</w:t>
      </w:r>
      <w:r w:rsidRPr="005944DD">
        <w:rPr>
          <w:rStyle w:val="Emphasis"/>
          <w:sz w:val="20"/>
        </w:rPr>
        <w:t xml:space="preserve">(a-d), which shows that the Random Forest model is less able to follow the actual data fluctuation pattern well. Based on </w:t>
      </w:r>
      <w:r w:rsidRPr="005944DD">
        <w:rPr>
          <w:rStyle w:val="Emphasis"/>
          <w:b/>
          <w:bCs/>
          <w:sz w:val="20"/>
        </w:rPr>
        <w:t>TABLE 3</w:t>
      </w:r>
      <w:r w:rsidRPr="005944DD">
        <w:rPr>
          <w:rStyle w:val="Emphasis"/>
          <w:sz w:val="20"/>
        </w:rPr>
        <w:t>, it can be seen that the best Random Forest model is the model with a depth of 15, with RMSE, MAPE, and MAD values of 227.22, 2.84, and 157.90, respectively. However, it performed no better than the best LSTM model and even worse than the worst LSTM model. The results indicate the limitations of Random Forest in modelling more complex and diverse stock price fluctuations, especially in the case of time series data that requires more dynamic and adaptive pattern detection capabilities such as those possessed by the LSTM model.</w:t>
      </w:r>
    </w:p>
    <w:p w14:paraId="032D2990" w14:textId="77777777" w:rsidR="005944DD" w:rsidRDefault="005944DD" w:rsidP="005944DD">
      <w:pPr>
        <w:pBdr>
          <w:top w:val="nil"/>
          <w:left w:val="nil"/>
          <w:bottom w:val="nil"/>
          <w:right w:val="nil"/>
          <w:between w:val="nil"/>
        </w:pBdr>
        <w:ind w:firstLine="284"/>
        <w:jc w:val="both"/>
        <w:rPr>
          <w:rStyle w:val="Emphasis"/>
          <w:sz w:val="20"/>
        </w:rPr>
      </w:pPr>
      <w:r w:rsidRPr="005944DD">
        <w:rPr>
          <w:rStyle w:val="Emphasis"/>
          <w:sz w:val="20"/>
        </w:rPr>
        <w:t xml:space="preserve">For the hybrid model, the analysis results in </w:t>
      </w:r>
      <w:r w:rsidRPr="005944DD">
        <w:rPr>
          <w:rStyle w:val="Emphasis"/>
          <w:b/>
          <w:bCs/>
          <w:sz w:val="20"/>
        </w:rPr>
        <w:t>TABLE 4</w:t>
      </w:r>
      <w:r w:rsidRPr="005944DD">
        <w:rPr>
          <w:rStyle w:val="Emphasis"/>
          <w:sz w:val="20"/>
        </w:rPr>
        <w:t xml:space="preserve"> show that the Hybrid RF-LSTM model has RMSE, MAPE, and MAD values of 518.89, 7.12, and 402.92, respectively, indicating that the resulting predictions are less accurate than the individual LSTM or Random Forest models. In contrast, the Hybrid LSTM-RF model has RMSE, MAPE, and MAD values of 218.39, 2.54, and 143.25, indicating better performance than the Random Forest model, but still not as good as the LSTM model. </w:t>
      </w:r>
      <w:r w:rsidRPr="005944DD">
        <w:rPr>
          <w:rStyle w:val="Emphasis"/>
          <w:b/>
          <w:bCs/>
          <w:sz w:val="20"/>
        </w:rPr>
        <w:t>FIGURE 2</w:t>
      </w:r>
      <w:r w:rsidRPr="005944DD">
        <w:rPr>
          <w:rStyle w:val="Emphasis"/>
          <w:sz w:val="20"/>
        </w:rPr>
        <w:t>(e-f) also shows that the Hybrid LSTM-RF model is better than the Hybrid RF-LSTM model, where the stock fluctuation of the LSTM-RF model is closer to the actual but not better than the LSTM model. From these results, LSTM has a more significant influence in improving the accuracy of the hybrid model. Hybrid LSTM-RF models that use LSTM as the first stage show better performance because LSTM can more effectively capture complex and non-linear data patterns. In contrast, the Hybrid RF-LSTM model that uses Random Forest as the first stage does not make the same contribution, leading to poorer overall prediction performance. Thus, the order in which the models are used in the hybrid plays an important role, and LSTM is more effective as the first stage to improve prediction accuracy in time series data such as stock prices.</w:t>
      </w:r>
    </w:p>
    <w:p w14:paraId="20A28D22" w14:textId="77777777" w:rsidR="005944DD" w:rsidRPr="005944DD" w:rsidRDefault="005944DD" w:rsidP="0014254F">
      <w:pPr>
        <w:pBdr>
          <w:top w:val="nil"/>
          <w:left w:val="nil"/>
          <w:bottom w:val="nil"/>
          <w:right w:val="nil"/>
          <w:between w:val="nil"/>
        </w:pBdr>
        <w:spacing w:before="120"/>
        <w:ind w:firstLine="284"/>
        <w:jc w:val="both"/>
        <w:rPr>
          <w:rStyle w:val="Emphasis"/>
          <w:sz w:val="20"/>
        </w:rPr>
      </w:pPr>
    </w:p>
    <w:p w14:paraId="738BA6F1" w14:textId="77777777" w:rsidR="00392BD4" w:rsidRPr="00D42EE5" w:rsidRDefault="00392BD4" w:rsidP="00392BD4">
      <w:pPr>
        <w:pBdr>
          <w:top w:val="nil"/>
          <w:left w:val="nil"/>
          <w:bottom w:val="nil"/>
          <w:right w:val="nil"/>
          <w:between w:val="nil"/>
        </w:pBdr>
        <w:ind w:firstLine="284"/>
        <w:jc w:val="both"/>
        <w:rPr>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4CB8" w:rsidRPr="00DE4680" w14:paraId="4F617ED1" w14:textId="77777777" w:rsidTr="00414AF1">
        <w:tc>
          <w:tcPr>
            <w:tcW w:w="4675" w:type="dxa"/>
          </w:tcPr>
          <w:p w14:paraId="405B42ED" w14:textId="7DF20E31" w:rsidR="00B64CB8" w:rsidRPr="00DE4680" w:rsidRDefault="00B64CB8">
            <w:pPr>
              <w:rPr>
                <w:szCs w:val="24"/>
              </w:rPr>
            </w:pPr>
            <w:r w:rsidRPr="00DE4680">
              <w:rPr>
                <w:noProof/>
                <w:color w:val="333333"/>
                <w:szCs w:val="24"/>
              </w:rPr>
              <w:lastRenderedPageBreak/>
              <w:drawing>
                <wp:inline distT="114300" distB="114300" distL="114300" distR="114300" wp14:anchorId="4A176982" wp14:editId="7F3775DE">
                  <wp:extent cx="2736000" cy="1260000"/>
                  <wp:effectExtent l="0" t="0" r="7620" b="0"/>
                  <wp:docPr id="6799708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736000" cy="1260000"/>
                          </a:xfrm>
                          <a:prstGeom prst="rect">
                            <a:avLst/>
                          </a:prstGeom>
                          <a:ln/>
                        </pic:spPr>
                      </pic:pic>
                    </a:graphicData>
                  </a:graphic>
                </wp:inline>
              </w:drawing>
            </w:r>
          </w:p>
        </w:tc>
        <w:tc>
          <w:tcPr>
            <w:tcW w:w="4675" w:type="dxa"/>
          </w:tcPr>
          <w:p w14:paraId="08235ADD" w14:textId="1F853DC7" w:rsidR="00B64CB8" w:rsidRPr="00DE4680" w:rsidRDefault="00B64CB8">
            <w:pPr>
              <w:rPr>
                <w:szCs w:val="24"/>
              </w:rPr>
            </w:pPr>
            <w:r w:rsidRPr="00DE4680">
              <w:rPr>
                <w:rFonts w:eastAsia="Courier New"/>
                <w:noProof/>
                <w:color w:val="212121"/>
                <w:szCs w:val="24"/>
                <w:highlight w:val="white"/>
              </w:rPr>
              <w:drawing>
                <wp:inline distT="114300" distB="114300" distL="114300" distR="114300" wp14:anchorId="559FC253" wp14:editId="6CEECB7B">
                  <wp:extent cx="2736000" cy="1260000"/>
                  <wp:effectExtent l="0" t="0" r="7620" b="0"/>
                  <wp:docPr id="6799708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736000" cy="1260000"/>
                          </a:xfrm>
                          <a:prstGeom prst="rect">
                            <a:avLst/>
                          </a:prstGeom>
                          <a:ln/>
                        </pic:spPr>
                      </pic:pic>
                    </a:graphicData>
                  </a:graphic>
                </wp:inline>
              </w:drawing>
            </w:r>
          </w:p>
        </w:tc>
      </w:tr>
      <w:tr w:rsidR="00B64CB8" w:rsidRPr="00DE4680" w14:paraId="76117906" w14:textId="77777777" w:rsidTr="00414AF1">
        <w:tc>
          <w:tcPr>
            <w:tcW w:w="4675" w:type="dxa"/>
          </w:tcPr>
          <w:p w14:paraId="6A4AEA0C" w14:textId="25CEF26C" w:rsidR="00B64CB8" w:rsidRPr="00DE4680" w:rsidRDefault="00DE4680" w:rsidP="00DE4680">
            <w:pPr>
              <w:jc w:val="center"/>
              <w:rPr>
                <w:szCs w:val="24"/>
              </w:rPr>
            </w:pPr>
            <w:r w:rsidRPr="00DE4680">
              <w:rPr>
                <w:szCs w:val="24"/>
              </w:rPr>
              <w:t>(a)</w:t>
            </w:r>
          </w:p>
        </w:tc>
        <w:tc>
          <w:tcPr>
            <w:tcW w:w="4675" w:type="dxa"/>
          </w:tcPr>
          <w:p w14:paraId="5701AB32" w14:textId="412C9FDD" w:rsidR="00B64CB8" w:rsidRPr="00DE4680" w:rsidRDefault="00DE4680" w:rsidP="00DE4680">
            <w:pPr>
              <w:jc w:val="center"/>
              <w:rPr>
                <w:szCs w:val="24"/>
              </w:rPr>
            </w:pPr>
            <w:r w:rsidRPr="00DE4680">
              <w:rPr>
                <w:szCs w:val="24"/>
              </w:rPr>
              <w:t>(b)</w:t>
            </w:r>
          </w:p>
        </w:tc>
      </w:tr>
      <w:tr w:rsidR="00B64CB8" w:rsidRPr="00DE4680" w14:paraId="445FABF7" w14:textId="77777777" w:rsidTr="00414AF1">
        <w:tc>
          <w:tcPr>
            <w:tcW w:w="4675" w:type="dxa"/>
          </w:tcPr>
          <w:p w14:paraId="175CCF8C" w14:textId="13297DBE" w:rsidR="00B64CB8" w:rsidRPr="00DE4680" w:rsidRDefault="00B64CB8">
            <w:pPr>
              <w:rPr>
                <w:szCs w:val="24"/>
              </w:rPr>
            </w:pPr>
            <w:r w:rsidRPr="00DE4680">
              <w:rPr>
                <w:rFonts w:eastAsia="Courier New"/>
                <w:noProof/>
                <w:color w:val="212121"/>
                <w:szCs w:val="24"/>
                <w:highlight w:val="white"/>
              </w:rPr>
              <w:drawing>
                <wp:inline distT="114300" distB="114300" distL="114300" distR="114300" wp14:anchorId="39C99F3E" wp14:editId="06EED05D">
                  <wp:extent cx="2736000" cy="1260000"/>
                  <wp:effectExtent l="0" t="0" r="7620" b="0"/>
                  <wp:docPr id="6799708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736000" cy="1260000"/>
                          </a:xfrm>
                          <a:prstGeom prst="rect">
                            <a:avLst/>
                          </a:prstGeom>
                          <a:ln/>
                        </pic:spPr>
                      </pic:pic>
                    </a:graphicData>
                  </a:graphic>
                </wp:inline>
              </w:drawing>
            </w:r>
          </w:p>
        </w:tc>
        <w:tc>
          <w:tcPr>
            <w:tcW w:w="4675" w:type="dxa"/>
          </w:tcPr>
          <w:p w14:paraId="5E92E4C8" w14:textId="5BAD1664" w:rsidR="00B64CB8" w:rsidRPr="00DE4680" w:rsidRDefault="00B64CB8">
            <w:pPr>
              <w:rPr>
                <w:szCs w:val="24"/>
              </w:rPr>
            </w:pPr>
            <w:r w:rsidRPr="00DE4680">
              <w:rPr>
                <w:noProof/>
                <w:color w:val="333333"/>
                <w:szCs w:val="24"/>
              </w:rPr>
              <w:drawing>
                <wp:inline distT="114300" distB="114300" distL="114300" distR="114300" wp14:anchorId="1A40D4D8" wp14:editId="44322621">
                  <wp:extent cx="2736000" cy="1260000"/>
                  <wp:effectExtent l="0" t="0" r="7620" b="0"/>
                  <wp:docPr id="6799708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736000" cy="1260000"/>
                          </a:xfrm>
                          <a:prstGeom prst="rect">
                            <a:avLst/>
                          </a:prstGeom>
                          <a:ln/>
                        </pic:spPr>
                      </pic:pic>
                    </a:graphicData>
                  </a:graphic>
                </wp:inline>
              </w:drawing>
            </w:r>
          </w:p>
        </w:tc>
      </w:tr>
      <w:tr w:rsidR="00B64CB8" w:rsidRPr="00DE4680" w14:paraId="058E92E3" w14:textId="77777777" w:rsidTr="00414AF1">
        <w:tc>
          <w:tcPr>
            <w:tcW w:w="4675" w:type="dxa"/>
          </w:tcPr>
          <w:p w14:paraId="2554FE5F" w14:textId="44EE8659" w:rsidR="00B64CB8" w:rsidRPr="00DE4680" w:rsidRDefault="00DE4680" w:rsidP="00DE4680">
            <w:pPr>
              <w:jc w:val="center"/>
              <w:rPr>
                <w:szCs w:val="24"/>
              </w:rPr>
            </w:pPr>
            <w:r w:rsidRPr="00DE4680">
              <w:rPr>
                <w:szCs w:val="24"/>
              </w:rPr>
              <w:t>(c)</w:t>
            </w:r>
          </w:p>
        </w:tc>
        <w:tc>
          <w:tcPr>
            <w:tcW w:w="4675" w:type="dxa"/>
          </w:tcPr>
          <w:p w14:paraId="48AF3B9B" w14:textId="78924F7D" w:rsidR="00B64CB8" w:rsidRPr="00DE4680" w:rsidRDefault="00DE4680" w:rsidP="00DE4680">
            <w:pPr>
              <w:jc w:val="center"/>
              <w:rPr>
                <w:szCs w:val="24"/>
              </w:rPr>
            </w:pPr>
            <w:r w:rsidRPr="00DE4680">
              <w:rPr>
                <w:szCs w:val="24"/>
              </w:rPr>
              <w:t>(d)</w:t>
            </w:r>
          </w:p>
        </w:tc>
      </w:tr>
      <w:tr w:rsidR="004D2923" w:rsidRPr="00DE4680" w14:paraId="1E19544D" w14:textId="77777777" w:rsidTr="00414AF1">
        <w:tc>
          <w:tcPr>
            <w:tcW w:w="4675" w:type="dxa"/>
          </w:tcPr>
          <w:p w14:paraId="7DEBD1EF" w14:textId="70E4C8C1" w:rsidR="004D2923" w:rsidRPr="00DE4680" w:rsidRDefault="004D2923">
            <w:pPr>
              <w:rPr>
                <w:szCs w:val="24"/>
              </w:rPr>
            </w:pPr>
            <w:r w:rsidRPr="00DE4680">
              <w:rPr>
                <w:rFonts w:eastAsia="Courier New"/>
                <w:noProof/>
                <w:color w:val="212121"/>
                <w:szCs w:val="24"/>
                <w:highlight w:val="white"/>
              </w:rPr>
              <w:drawing>
                <wp:inline distT="114300" distB="114300" distL="114300" distR="114300" wp14:anchorId="13F67EAA" wp14:editId="7265FE9F">
                  <wp:extent cx="2736000" cy="1260000"/>
                  <wp:effectExtent l="0" t="0" r="7620" b="0"/>
                  <wp:docPr id="679970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736000" cy="1260000"/>
                          </a:xfrm>
                          <a:prstGeom prst="rect">
                            <a:avLst/>
                          </a:prstGeom>
                          <a:ln/>
                        </pic:spPr>
                      </pic:pic>
                    </a:graphicData>
                  </a:graphic>
                </wp:inline>
              </w:drawing>
            </w:r>
          </w:p>
        </w:tc>
        <w:tc>
          <w:tcPr>
            <w:tcW w:w="4675" w:type="dxa"/>
          </w:tcPr>
          <w:p w14:paraId="5AE1A8E6" w14:textId="5ECFFD26" w:rsidR="004D2923" w:rsidRPr="00DE4680" w:rsidRDefault="004D2923">
            <w:pPr>
              <w:rPr>
                <w:szCs w:val="24"/>
              </w:rPr>
            </w:pPr>
            <w:r w:rsidRPr="00DE4680">
              <w:rPr>
                <w:rFonts w:eastAsia="Courier New"/>
                <w:noProof/>
                <w:color w:val="212121"/>
                <w:szCs w:val="24"/>
                <w:highlight w:val="white"/>
              </w:rPr>
              <w:drawing>
                <wp:inline distT="114300" distB="114300" distL="114300" distR="114300" wp14:anchorId="6C2F814E" wp14:editId="758079C1">
                  <wp:extent cx="2736000" cy="1260000"/>
                  <wp:effectExtent l="0" t="0" r="7620" b="0"/>
                  <wp:docPr id="6799708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36000" cy="1260000"/>
                          </a:xfrm>
                          <a:prstGeom prst="rect">
                            <a:avLst/>
                          </a:prstGeom>
                          <a:ln/>
                        </pic:spPr>
                      </pic:pic>
                    </a:graphicData>
                  </a:graphic>
                </wp:inline>
              </w:drawing>
            </w:r>
          </w:p>
        </w:tc>
      </w:tr>
      <w:tr w:rsidR="004D2923" w:rsidRPr="00DE4680" w14:paraId="04F61DE0" w14:textId="77777777" w:rsidTr="00414AF1">
        <w:tc>
          <w:tcPr>
            <w:tcW w:w="4675" w:type="dxa"/>
          </w:tcPr>
          <w:p w14:paraId="447C94C9" w14:textId="063D5D52" w:rsidR="004D2923" w:rsidRPr="00DE4680" w:rsidRDefault="00DE4680" w:rsidP="00DE4680">
            <w:pPr>
              <w:jc w:val="center"/>
              <w:rPr>
                <w:rFonts w:eastAsia="Courier New"/>
                <w:color w:val="212121"/>
                <w:szCs w:val="24"/>
                <w:highlight w:val="white"/>
              </w:rPr>
            </w:pPr>
            <w:r w:rsidRPr="00DE4680">
              <w:rPr>
                <w:rFonts w:eastAsia="Courier New"/>
                <w:color w:val="212121"/>
                <w:szCs w:val="24"/>
                <w:highlight w:val="white"/>
              </w:rPr>
              <w:t>(e)</w:t>
            </w:r>
            <w:r w:rsidR="00414AF1">
              <w:rPr>
                <w:rFonts w:eastAsia="Courier New"/>
                <w:color w:val="212121"/>
                <w:szCs w:val="24"/>
                <w:highlight w:val="white"/>
              </w:rPr>
              <w:t xml:space="preserve"> </w:t>
            </w:r>
            <w:r w:rsidR="004D2923" w:rsidRPr="00DE4680">
              <w:rPr>
                <w:rFonts w:eastAsia="Courier New"/>
                <w:color w:val="212121"/>
                <w:szCs w:val="24"/>
                <w:highlight w:val="white"/>
              </w:rPr>
              <w:t>Hybrid RF-LSTM</w:t>
            </w:r>
          </w:p>
        </w:tc>
        <w:tc>
          <w:tcPr>
            <w:tcW w:w="4675" w:type="dxa"/>
          </w:tcPr>
          <w:p w14:paraId="7A64B80F" w14:textId="7B31BCD2" w:rsidR="004D2923" w:rsidRPr="00DE4680" w:rsidRDefault="00DE4680" w:rsidP="00DE4680">
            <w:pPr>
              <w:pBdr>
                <w:top w:val="nil"/>
                <w:left w:val="nil"/>
                <w:bottom w:val="nil"/>
                <w:right w:val="nil"/>
                <w:between w:val="nil"/>
              </w:pBdr>
              <w:jc w:val="center"/>
              <w:rPr>
                <w:rFonts w:eastAsia="Courier New"/>
                <w:color w:val="212121"/>
                <w:szCs w:val="24"/>
                <w:highlight w:val="white"/>
              </w:rPr>
            </w:pPr>
            <w:r w:rsidRPr="00DE4680">
              <w:rPr>
                <w:rFonts w:eastAsia="Courier New"/>
                <w:color w:val="212121"/>
                <w:szCs w:val="24"/>
                <w:highlight w:val="white"/>
              </w:rPr>
              <w:t>(f)</w:t>
            </w:r>
            <w:r w:rsidR="00414AF1">
              <w:rPr>
                <w:rFonts w:eastAsia="Courier New"/>
                <w:color w:val="212121"/>
                <w:szCs w:val="24"/>
                <w:highlight w:val="white"/>
              </w:rPr>
              <w:t xml:space="preserve"> </w:t>
            </w:r>
            <w:r w:rsidR="004D2923" w:rsidRPr="00DE4680">
              <w:rPr>
                <w:rFonts w:eastAsia="Courier New"/>
                <w:color w:val="212121"/>
                <w:szCs w:val="24"/>
                <w:highlight w:val="white"/>
              </w:rPr>
              <w:t>Hybrid LSTM-RF</w:t>
            </w:r>
          </w:p>
        </w:tc>
      </w:tr>
    </w:tbl>
    <w:p w14:paraId="7DEDACEE" w14:textId="0B0F2AD5" w:rsidR="00B64CB8" w:rsidRDefault="00F4692F" w:rsidP="00C43896">
      <w:pPr>
        <w:pStyle w:val="FigureCaption"/>
      </w:pPr>
      <w:r w:rsidRPr="00F4692F">
        <w:rPr>
          <w:b/>
          <w:bCs/>
        </w:rPr>
        <w:t xml:space="preserve">FIGURE </w:t>
      </w:r>
      <w:r w:rsidRPr="00F4692F">
        <w:rPr>
          <w:b/>
          <w:bCs/>
          <w:i/>
          <w:iCs/>
        </w:rPr>
        <w:fldChar w:fldCharType="begin"/>
      </w:r>
      <w:r w:rsidRPr="00F4692F">
        <w:rPr>
          <w:b/>
          <w:bCs/>
        </w:rPr>
        <w:instrText xml:space="preserve"> SEQ Figure \* ARABIC </w:instrText>
      </w:r>
      <w:r w:rsidRPr="00F4692F">
        <w:rPr>
          <w:b/>
          <w:bCs/>
          <w:i/>
          <w:iCs/>
        </w:rPr>
        <w:fldChar w:fldCharType="separate"/>
      </w:r>
      <w:r w:rsidR="00CA0EC6">
        <w:rPr>
          <w:b/>
          <w:bCs/>
          <w:noProof/>
        </w:rPr>
        <w:t>2</w:t>
      </w:r>
      <w:r w:rsidRPr="00F4692F">
        <w:rPr>
          <w:b/>
          <w:bCs/>
          <w:i/>
          <w:iCs/>
        </w:rPr>
        <w:fldChar w:fldCharType="end"/>
      </w:r>
      <w:r w:rsidR="003B5ACF" w:rsidRPr="00F4692F">
        <w:rPr>
          <w:b/>
          <w:bCs/>
        </w:rPr>
        <w:t>.</w:t>
      </w:r>
      <w:r w:rsidR="003B5ACF" w:rsidRPr="00F4692F">
        <w:t xml:space="preserve"> Comparison of daily stock price prediction for BRI using Random Forest versus actual stock price (a-d) and Hybrid model versus actual stock price (e-f)</w:t>
      </w:r>
    </w:p>
    <w:p w14:paraId="5FEAE3ED" w14:textId="77777777" w:rsidR="005944DD" w:rsidRPr="005944DD" w:rsidRDefault="005944DD" w:rsidP="005944DD">
      <w:pPr>
        <w:pStyle w:val="Paragraph"/>
      </w:pPr>
    </w:p>
    <w:p w14:paraId="445ED9A0" w14:textId="77777777" w:rsidR="005944DD" w:rsidRPr="005944DD" w:rsidRDefault="005944DD" w:rsidP="00A85198">
      <w:pPr>
        <w:pBdr>
          <w:top w:val="nil"/>
          <w:left w:val="nil"/>
          <w:bottom w:val="nil"/>
          <w:right w:val="nil"/>
          <w:between w:val="nil"/>
        </w:pBdr>
        <w:ind w:firstLine="284"/>
        <w:jc w:val="both"/>
        <w:rPr>
          <w:rStyle w:val="Emphasis"/>
          <w:sz w:val="20"/>
        </w:rPr>
      </w:pPr>
    </w:p>
    <w:p w14:paraId="60D20E5E" w14:textId="11C4BC6C" w:rsidR="00F4692F" w:rsidRPr="00BC2494" w:rsidRDefault="00F4692F" w:rsidP="00C43896">
      <w:pPr>
        <w:pStyle w:val="TableCaption"/>
        <w:rPr>
          <w:i/>
          <w:iCs/>
        </w:rPr>
      </w:pPr>
      <w:r w:rsidRPr="00BC2494">
        <w:rPr>
          <w:b/>
          <w:bCs/>
        </w:rPr>
        <w:t xml:space="preserve">TABLE </w:t>
      </w:r>
      <w:r w:rsidRPr="00BC2494">
        <w:rPr>
          <w:b/>
          <w:bCs/>
          <w:i/>
          <w:iCs/>
        </w:rPr>
        <w:fldChar w:fldCharType="begin"/>
      </w:r>
      <w:r w:rsidRPr="00BC2494">
        <w:rPr>
          <w:b/>
          <w:bCs/>
        </w:rPr>
        <w:instrText xml:space="preserve"> SEQ Table \* ARABIC </w:instrText>
      </w:r>
      <w:r w:rsidRPr="00BC2494">
        <w:rPr>
          <w:b/>
          <w:bCs/>
          <w:i/>
          <w:iCs/>
        </w:rPr>
        <w:fldChar w:fldCharType="separate"/>
      </w:r>
      <w:r w:rsidRPr="00BC2494">
        <w:rPr>
          <w:b/>
          <w:bCs/>
          <w:noProof/>
        </w:rPr>
        <w:t>3</w:t>
      </w:r>
      <w:r w:rsidRPr="00BC2494">
        <w:rPr>
          <w:b/>
          <w:bCs/>
          <w:i/>
          <w:iCs/>
        </w:rPr>
        <w:fldChar w:fldCharType="end"/>
      </w:r>
      <w:r w:rsidRPr="00BC2494">
        <w:rPr>
          <w:b/>
          <w:bCs/>
        </w:rPr>
        <w:t>.</w:t>
      </w:r>
      <w:r w:rsidRPr="00BC2494">
        <w:t xml:space="preserve"> Evaluation metrics for Random Forest model with four different parameter depth scenarios, including MSE, MAPE, and MAD</w:t>
      </w:r>
    </w:p>
    <w:tbl>
      <w:tblPr>
        <w:tblStyle w:val="a0"/>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0"/>
        <w:gridCol w:w="1870"/>
        <w:gridCol w:w="1870"/>
        <w:gridCol w:w="1870"/>
      </w:tblGrid>
      <w:tr w:rsidR="00724806" w14:paraId="0DF1855F" w14:textId="77777777" w:rsidTr="00724806">
        <w:trPr>
          <w:jc w:val="center"/>
        </w:trPr>
        <w:tc>
          <w:tcPr>
            <w:tcW w:w="1250" w:type="pct"/>
            <w:vMerge w:val="restart"/>
            <w:vAlign w:val="center"/>
          </w:tcPr>
          <w:p w14:paraId="47660A7F" w14:textId="490FCD1A" w:rsidR="00724806" w:rsidRDefault="00724806" w:rsidP="004A344F">
            <w:pPr>
              <w:pBdr>
                <w:top w:val="nil"/>
                <w:left w:val="nil"/>
                <w:bottom w:val="nil"/>
                <w:right w:val="nil"/>
                <w:between w:val="nil"/>
              </w:pBdr>
              <w:jc w:val="center"/>
              <w:rPr>
                <w:b/>
                <w:color w:val="000000"/>
              </w:rPr>
            </w:pPr>
            <w:r>
              <w:rPr>
                <w:b/>
                <w:color w:val="000000"/>
              </w:rPr>
              <w:t>Depth</w:t>
            </w:r>
          </w:p>
        </w:tc>
        <w:tc>
          <w:tcPr>
            <w:tcW w:w="3750" w:type="pct"/>
            <w:gridSpan w:val="3"/>
          </w:tcPr>
          <w:p w14:paraId="30AD931D" w14:textId="77777777" w:rsidR="00724806" w:rsidRDefault="00724806" w:rsidP="004A344F">
            <w:pPr>
              <w:pBdr>
                <w:top w:val="nil"/>
                <w:left w:val="nil"/>
                <w:bottom w:val="nil"/>
                <w:right w:val="nil"/>
                <w:between w:val="nil"/>
              </w:pBdr>
              <w:jc w:val="center"/>
              <w:rPr>
                <w:b/>
                <w:color w:val="000000"/>
              </w:rPr>
            </w:pPr>
            <w:r>
              <w:rPr>
                <w:b/>
                <w:color w:val="000000"/>
              </w:rPr>
              <w:t>Evaluation Criteria</w:t>
            </w:r>
          </w:p>
        </w:tc>
      </w:tr>
      <w:tr w:rsidR="00724806" w14:paraId="138B0346" w14:textId="77777777" w:rsidTr="00724806">
        <w:trPr>
          <w:jc w:val="center"/>
        </w:trPr>
        <w:tc>
          <w:tcPr>
            <w:tcW w:w="1250" w:type="pct"/>
            <w:vMerge/>
          </w:tcPr>
          <w:p w14:paraId="71F16870" w14:textId="77777777" w:rsidR="00724806" w:rsidRDefault="00724806" w:rsidP="004A344F">
            <w:pPr>
              <w:widowControl w:val="0"/>
              <w:pBdr>
                <w:top w:val="nil"/>
                <w:left w:val="nil"/>
                <w:bottom w:val="nil"/>
                <w:right w:val="nil"/>
                <w:between w:val="nil"/>
              </w:pBdr>
              <w:spacing w:line="276" w:lineRule="auto"/>
              <w:rPr>
                <w:b/>
                <w:color w:val="000000"/>
              </w:rPr>
            </w:pPr>
          </w:p>
        </w:tc>
        <w:tc>
          <w:tcPr>
            <w:tcW w:w="1250" w:type="pct"/>
          </w:tcPr>
          <w:p w14:paraId="55409456" w14:textId="77777777" w:rsidR="00724806" w:rsidRDefault="00724806" w:rsidP="004A344F">
            <w:pPr>
              <w:pBdr>
                <w:top w:val="nil"/>
                <w:left w:val="nil"/>
                <w:bottom w:val="nil"/>
                <w:right w:val="nil"/>
                <w:between w:val="nil"/>
              </w:pBdr>
              <w:jc w:val="center"/>
              <w:rPr>
                <w:b/>
                <w:color w:val="000000"/>
              </w:rPr>
            </w:pPr>
            <w:r>
              <w:rPr>
                <w:b/>
                <w:color w:val="000000"/>
              </w:rPr>
              <w:t>RMSE</w:t>
            </w:r>
          </w:p>
        </w:tc>
        <w:tc>
          <w:tcPr>
            <w:tcW w:w="1250" w:type="pct"/>
          </w:tcPr>
          <w:p w14:paraId="298786A1" w14:textId="77777777" w:rsidR="00724806" w:rsidRDefault="00724806" w:rsidP="004A344F">
            <w:pPr>
              <w:pBdr>
                <w:top w:val="nil"/>
                <w:left w:val="nil"/>
                <w:bottom w:val="nil"/>
                <w:right w:val="nil"/>
                <w:between w:val="nil"/>
              </w:pBdr>
              <w:jc w:val="center"/>
              <w:rPr>
                <w:b/>
                <w:color w:val="000000"/>
              </w:rPr>
            </w:pPr>
            <w:r>
              <w:rPr>
                <w:b/>
                <w:color w:val="000000"/>
              </w:rPr>
              <w:t>MAPE</w:t>
            </w:r>
          </w:p>
        </w:tc>
        <w:tc>
          <w:tcPr>
            <w:tcW w:w="1250" w:type="pct"/>
          </w:tcPr>
          <w:p w14:paraId="4F448ABB" w14:textId="118DA8D9" w:rsidR="00724806" w:rsidRDefault="00724806" w:rsidP="004A344F">
            <w:pPr>
              <w:pBdr>
                <w:top w:val="nil"/>
                <w:left w:val="nil"/>
                <w:bottom w:val="nil"/>
                <w:right w:val="nil"/>
                <w:between w:val="nil"/>
              </w:pBdr>
              <w:jc w:val="center"/>
              <w:rPr>
                <w:b/>
                <w:color w:val="000000"/>
              </w:rPr>
            </w:pPr>
            <w:r>
              <w:rPr>
                <w:b/>
                <w:color w:val="000000"/>
              </w:rPr>
              <w:t>MA</w:t>
            </w:r>
            <w:r w:rsidR="004D2923">
              <w:rPr>
                <w:b/>
                <w:color w:val="000000"/>
              </w:rPr>
              <w:t>D</w:t>
            </w:r>
          </w:p>
        </w:tc>
      </w:tr>
      <w:tr w:rsidR="00724806" w14:paraId="575417AB" w14:textId="77777777" w:rsidTr="00724806">
        <w:trPr>
          <w:jc w:val="center"/>
        </w:trPr>
        <w:tc>
          <w:tcPr>
            <w:tcW w:w="1250" w:type="pct"/>
          </w:tcPr>
          <w:p w14:paraId="1C826527" w14:textId="4FD9565E" w:rsidR="00724806" w:rsidRDefault="00724806" w:rsidP="00724806">
            <w:pPr>
              <w:pBdr>
                <w:top w:val="nil"/>
                <w:left w:val="nil"/>
                <w:bottom w:val="nil"/>
                <w:right w:val="nil"/>
                <w:between w:val="nil"/>
              </w:pBdr>
              <w:jc w:val="center"/>
              <w:rPr>
                <w:color w:val="000000"/>
              </w:rPr>
            </w:pPr>
            <w:r>
              <w:rPr>
                <w:color w:val="000000"/>
              </w:rPr>
              <w:t>3</w:t>
            </w:r>
          </w:p>
        </w:tc>
        <w:tc>
          <w:tcPr>
            <w:tcW w:w="1250" w:type="pct"/>
          </w:tcPr>
          <w:p w14:paraId="516F3886" w14:textId="142DAB0F" w:rsidR="00724806" w:rsidRPr="00E52BAE" w:rsidRDefault="00E52BAE" w:rsidP="00B64CB8">
            <w:pPr>
              <w:jc w:val="center"/>
              <w:rPr>
                <w:color w:val="333333"/>
              </w:rPr>
            </w:pPr>
            <w:r>
              <w:rPr>
                <w:color w:val="333333"/>
              </w:rPr>
              <w:t>284.42</w:t>
            </w:r>
          </w:p>
        </w:tc>
        <w:tc>
          <w:tcPr>
            <w:tcW w:w="1250" w:type="pct"/>
          </w:tcPr>
          <w:p w14:paraId="32D83EBA" w14:textId="74F9EDA6" w:rsidR="00724806" w:rsidRPr="00123EFA" w:rsidRDefault="00B64CB8" w:rsidP="00B64CB8">
            <w:pPr>
              <w:pBdr>
                <w:top w:val="nil"/>
                <w:left w:val="nil"/>
                <w:bottom w:val="nil"/>
                <w:right w:val="nil"/>
                <w:between w:val="nil"/>
              </w:pBdr>
              <w:jc w:val="center"/>
              <w:rPr>
                <w:color w:val="000000"/>
              </w:rPr>
            </w:pPr>
            <w:r>
              <w:rPr>
                <w:color w:val="333333"/>
              </w:rPr>
              <w:t>3.73</w:t>
            </w:r>
          </w:p>
        </w:tc>
        <w:tc>
          <w:tcPr>
            <w:tcW w:w="1250" w:type="pct"/>
          </w:tcPr>
          <w:p w14:paraId="2CEB3B71" w14:textId="370825A2" w:rsidR="00724806" w:rsidRPr="00123EFA" w:rsidRDefault="00B64CB8" w:rsidP="00B64CB8">
            <w:pPr>
              <w:pBdr>
                <w:top w:val="nil"/>
                <w:left w:val="nil"/>
                <w:bottom w:val="nil"/>
                <w:right w:val="nil"/>
                <w:between w:val="nil"/>
              </w:pBdr>
              <w:jc w:val="center"/>
              <w:rPr>
                <w:color w:val="000000"/>
              </w:rPr>
            </w:pPr>
            <w:r>
              <w:rPr>
                <w:color w:val="333333"/>
              </w:rPr>
              <w:t>207.93</w:t>
            </w:r>
          </w:p>
        </w:tc>
      </w:tr>
      <w:tr w:rsidR="00724806" w14:paraId="1EC83748" w14:textId="77777777" w:rsidTr="00724806">
        <w:trPr>
          <w:jc w:val="center"/>
        </w:trPr>
        <w:tc>
          <w:tcPr>
            <w:tcW w:w="1250" w:type="pct"/>
          </w:tcPr>
          <w:p w14:paraId="010DE5E9" w14:textId="5FD33075" w:rsidR="00724806" w:rsidRDefault="00724806" w:rsidP="00724806">
            <w:pPr>
              <w:pBdr>
                <w:top w:val="nil"/>
                <w:left w:val="nil"/>
                <w:bottom w:val="nil"/>
                <w:right w:val="nil"/>
                <w:between w:val="nil"/>
              </w:pBdr>
              <w:jc w:val="center"/>
              <w:rPr>
                <w:color w:val="000000"/>
              </w:rPr>
            </w:pPr>
            <w:r>
              <w:rPr>
                <w:color w:val="000000"/>
              </w:rPr>
              <w:t>5</w:t>
            </w:r>
          </w:p>
        </w:tc>
        <w:tc>
          <w:tcPr>
            <w:tcW w:w="1250" w:type="pct"/>
          </w:tcPr>
          <w:p w14:paraId="0D39BBDE" w14:textId="2C575CA0" w:rsidR="00724806" w:rsidRPr="00B64CB8" w:rsidRDefault="00E52BAE" w:rsidP="00B64CB8">
            <w:pPr>
              <w:jc w:val="center"/>
              <w:rPr>
                <w:rFonts w:eastAsia="Courier New"/>
                <w:color w:val="212121"/>
              </w:rPr>
            </w:pPr>
            <w:r w:rsidRPr="00B64CB8">
              <w:rPr>
                <w:rFonts w:eastAsia="Courier New"/>
                <w:color w:val="212121"/>
                <w:highlight w:val="white"/>
              </w:rPr>
              <w:t>230.97</w:t>
            </w:r>
          </w:p>
        </w:tc>
        <w:tc>
          <w:tcPr>
            <w:tcW w:w="1250" w:type="pct"/>
          </w:tcPr>
          <w:p w14:paraId="7AE8EB2B" w14:textId="04D432E2" w:rsidR="00724806" w:rsidRPr="00B64CB8" w:rsidRDefault="00B64CB8" w:rsidP="00B64CB8">
            <w:pPr>
              <w:pBdr>
                <w:top w:val="nil"/>
                <w:left w:val="nil"/>
                <w:bottom w:val="nil"/>
                <w:right w:val="nil"/>
                <w:between w:val="nil"/>
              </w:pBdr>
              <w:jc w:val="center"/>
              <w:rPr>
                <w:color w:val="000000"/>
              </w:rPr>
            </w:pPr>
            <w:r w:rsidRPr="00B64CB8">
              <w:rPr>
                <w:rFonts w:eastAsia="Courier New"/>
                <w:color w:val="212121"/>
                <w:highlight w:val="white"/>
              </w:rPr>
              <w:t>2.93</w:t>
            </w:r>
          </w:p>
        </w:tc>
        <w:tc>
          <w:tcPr>
            <w:tcW w:w="1250" w:type="pct"/>
          </w:tcPr>
          <w:p w14:paraId="5492CCD0" w14:textId="2E89284A" w:rsidR="00724806" w:rsidRPr="00B64CB8" w:rsidRDefault="00B64CB8" w:rsidP="00B64CB8">
            <w:pPr>
              <w:pBdr>
                <w:top w:val="nil"/>
                <w:left w:val="nil"/>
                <w:bottom w:val="nil"/>
                <w:right w:val="nil"/>
                <w:between w:val="nil"/>
              </w:pBdr>
              <w:jc w:val="center"/>
              <w:rPr>
                <w:color w:val="000000"/>
              </w:rPr>
            </w:pPr>
            <w:r w:rsidRPr="00B64CB8">
              <w:rPr>
                <w:rFonts w:eastAsia="Courier New"/>
                <w:color w:val="212121"/>
                <w:highlight w:val="white"/>
              </w:rPr>
              <w:t>162.41</w:t>
            </w:r>
          </w:p>
        </w:tc>
      </w:tr>
      <w:tr w:rsidR="00724806" w14:paraId="47678EBB" w14:textId="77777777" w:rsidTr="00724806">
        <w:trPr>
          <w:jc w:val="center"/>
        </w:trPr>
        <w:tc>
          <w:tcPr>
            <w:tcW w:w="1250" w:type="pct"/>
          </w:tcPr>
          <w:p w14:paraId="78C999D1" w14:textId="736E17E8" w:rsidR="00724806" w:rsidRDefault="00724806" w:rsidP="00724806">
            <w:pPr>
              <w:pBdr>
                <w:top w:val="nil"/>
                <w:left w:val="nil"/>
                <w:bottom w:val="nil"/>
                <w:right w:val="nil"/>
                <w:between w:val="nil"/>
              </w:pBdr>
              <w:jc w:val="center"/>
              <w:rPr>
                <w:color w:val="000000"/>
              </w:rPr>
            </w:pPr>
            <w:r>
              <w:rPr>
                <w:color w:val="000000"/>
              </w:rPr>
              <w:t>10</w:t>
            </w:r>
          </w:p>
        </w:tc>
        <w:tc>
          <w:tcPr>
            <w:tcW w:w="1250" w:type="pct"/>
          </w:tcPr>
          <w:p w14:paraId="691ED5D2" w14:textId="4C95DA07" w:rsidR="00724806" w:rsidRPr="00B64CB8" w:rsidRDefault="00E52BAE" w:rsidP="00B64CB8">
            <w:pPr>
              <w:jc w:val="center"/>
              <w:rPr>
                <w:rFonts w:eastAsia="Courier New"/>
                <w:color w:val="212121"/>
                <w:highlight w:val="white"/>
              </w:rPr>
            </w:pPr>
            <w:r w:rsidRPr="00B64CB8">
              <w:rPr>
                <w:rFonts w:eastAsia="Courier New"/>
                <w:color w:val="212121"/>
                <w:highlight w:val="white"/>
              </w:rPr>
              <w:t>227.85</w:t>
            </w:r>
          </w:p>
        </w:tc>
        <w:tc>
          <w:tcPr>
            <w:tcW w:w="1250" w:type="pct"/>
          </w:tcPr>
          <w:p w14:paraId="5EFDC39C" w14:textId="1E3C79E6" w:rsidR="00724806" w:rsidRPr="00B64CB8" w:rsidRDefault="00B64CB8" w:rsidP="00B64CB8">
            <w:pPr>
              <w:pBdr>
                <w:top w:val="nil"/>
                <w:left w:val="nil"/>
                <w:bottom w:val="nil"/>
                <w:right w:val="nil"/>
                <w:between w:val="nil"/>
              </w:pBdr>
              <w:jc w:val="center"/>
              <w:rPr>
                <w:color w:val="000000"/>
              </w:rPr>
            </w:pPr>
            <w:r w:rsidRPr="00B64CB8">
              <w:rPr>
                <w:rFonts w:eastAsia="Courier New"/>
                <w:color w:val="212121"/>
                <w:highlight w:val="white"/>
              </w:rPr>
              <w:t>2.86</w:t>
            </w:r>
          </w:p>
        </w:tc>
        <w:tc>
          <w:tcPr>
            <w:tcW w:w="1250" w:type="pct"/>
          </w:tcPr>
          <w:p w14:paraId="48462E35" w14:textId="2BDA29FE" w:rsidR="00724806" w:rsidRPr="00B64CB8" w:rsidRDefault="00B64CB8" w:rsidP="00B64CB8">
            <w:pPr>
              <w:pBdr>
                <w:top w:val="nil"/>
                <w:left w:val="nil"/>
                <w:bottom w:val="nil"/>
                <w:right w:val="nil"/>
                <w:between w:val="nil"/>
              </w:pBdr>
              <w:jc w:val="center"/>
              <w:rPr>
                <w:color w:val="000000"/>
              </w:rPr>
            </w:pPr>
            <w:r w:rsidRPr="00B64CB8">
              <w:rPr>
                <w:rFonts w:eastAsia="Courier New"/>
                <w:color w:val="212121"/>
                <w:highlight w:val="white"/>
              </w:rPr>
              <w:t>158.82</w:t>
            </w:r>
          </w:p>
        </w:tc>
      </w:tr>
      <w:tr w:rsidR="00724806" w14:paraId="61A059AA" w14:textId="77777777" w:rsidTr="00724806">
        <w:trPr>
          <w:jc w:val="center"/>
        </w:trPr>
        <w:tc>
          <w:tcPr>
            <w:tcW w:w="1250" w:type="pct"/>
          </w:tcPr>
          <w:p w14:paraId="7F5EE8D1" w14:textId="24196881" w:rsidR="00724806" w:rsidRDefault="00724806" w:rsidP="00724806">
            <w:pPr>
              <w:pBdr>
                <w:top w:val="nil"/>
                <w:left w:val="nil"/>
                <w:bottom w:val="nil"/>
                <w:right w:val="nil"/>
                <w:between w:val="nil"/>
              </w:pBdr>
              <w:jc w:val="center"/>
              <w:rPr>
                <w:color w:val="000000"/>
              </w:rPr>
            </w:pPr>
            <w:r>
              <w:rPr>
                <w:color w:val="000000"/>
              </w:rPr>
              <w:t>15</w:t>
            </w:r>
          </w:p>
        </w:tc>
        <w:tc>
          <w:tcPr>
            <w:tcW w:w="1250" w:type="pct"/>
          </w:tcPr>
          <w:p w14:paraId="7716860B" w14:textId="2AE0517F" w:rsidR="00724806" w:rsidRPr="00B64CB8" w:rsidRDefault="00E52BAE" w:rsidP="00B64CB8">
            <w:pPr>
              <w:pBdr>
                <w:top w:val="nil"/>
                <w:left w:val="nil"/>
                <w:bottom w:val="nil"/>
                <w:right w:val="nil"/>
                <w:between w:val="nil"/>
              </w:pBdr>
              <w:jc w:val="center"/>
              <w:rPr>
                <w:rFonts w:eastAsia="Courier New"/>
                <w:color w:val="212121"/>
                <w:highlight w:val="white"/>
              </w:rPr>
            </w:pPr>
            <w:r w:rsidRPr="00B64CB8">
              <w:rPr>
                <w:rFonts w:eastAsia="Courier New"/>
                <w:color w:val="212121"/>
                <w:highlight w:val="white"/>
              </w:rPr>
              <w:t>227.22</w:t>
            </w:r>
          </w:p>
        </w:tc>
        <w:tc>
          <w:tcPr>
            <w:tcW w:w="1250" w:type="pct"/>
          </w:tcPr>
          <w:p w14:paraId="36215865" w14:textId="33E433C5" w:rsidR="00724806" w:rsidRPr="00B64CB8" w:rsidRDefault="00B64CB8" w:rsidP="00B64CB8">
            <w:pPr>
              <w:pBdr>
                <w:top w:val="nil"/>
                <w:left w:val="nil"/>
                <w:bottom w:val="nil"/>
                <w:right w:val="nil"/>
                <w:between w:val="nil"/>
              </w:pBdr>
              <w:jc w:val="center"/>
              <w:rPr>
                <w:rFonts w:eastAsia="Courier New"/>
                <w:color w:val="212121"/>
                <w:highlight w:val="white"/>
              </w:rPr>
            </w:pPr>
            <w:r w:rsidRPr="00B64CB8">
              <w:rPr>
                <w:rFonts w:eastAsia="Courier New"/>
                <w:color w:val="212121"/>
                <w:highlight w:val="white"/>
              </w:rPr>
              <w:t>2.84</w:t>
            </w:r>
          </w:p>
        </w:tc>
        <w:tc>
          <w:tcPr>
            <w:tcW w:w="1250" w:type="pct"/>
          </w:tcPr>
          <w:p w14:paraId="3848F308" w14:textId="7AA34B00" w:rsidR="00724806" w:rsidRPr="00B64CB8" w:rsidRDefault="00B64CB8" w:rsidP="00B64CB8">
            <w:pPr>
              <w:pBdr>
                <w:top w:val="nil"/>
                <w:left w:val="nil"/>
                <w:bottom w:val="nil"/>
                <w:right w:val="nil"/>
                <w:between w:val="nil"/>
              </w:pBdr>
              <w:jc w:val="center"/>
              <w:rPr>
                <w:color w:val="000000"/>
              </w:rPr>
            </w:pPr>
            <w:r w:rsidRPr="00B64CB8">
              <w:rPr>
                <w:rFonts w:eastAsia="Courier New"/>
                <w:color w:val="212121"/>
                <w:highlight w:val="white"/>
              </w:rPr>
              <w:t>157.90</w:t>
            </w:r>
          </w:p>
        </w:tc>
      </w:tr>
    </w:tbl>
    <w:p w14:paraId="7C670D15" w14:textId="77777777" w:rsidR="005944DD" w:rsidRDefault="005944DD" w:rsidP="0014254F">
      <w:pPr>
        <w:pBdr>
          <w:top w:val="nil"/>
          <w:left w:val="nil"/>
          <w:bottom w:val="nil"/>
          <w:right w:val="nil"/>
          <w:between w:val="nil"/>
        </w:pBdr>
        <w:spacing w:before="120"/>
        <w:ind w:firstLine="284"/>
        <w:jc w:val="both"/>
        <w:rPr>
          <w:rStyle w:val="Emphasis"/>
          <w:sz w:val="20"/>
        </w:rPr>
      </w:pPr>
    </w:p>
    <w:p w14:paraId="73B014B8" w14:textId="76A03D92" w:rsidR="00392BD4" w:rsidRDefault="0014254F" w:rsidP="0014254F">
      <w:pPr>
        <w:pBdr>
          <w:top w:val="nil"/>
          <w:left w:val="nil"/>
          <w:bottom w:val="nil"/>
          <w:right w:val="nil"/>
          <w:between w:val="nil"/>
        </w:pBdr>
        <w:spacing w:before="120"/>
        <w:ind w:firstLine="284"/>
        <w:jc w:val="both"/>
        <w:rPr>
          <w:rStyle w:val="Emphasis"/>
          <w:sz w:val="20"/>
        </w:rPr>
      </w:pPr>
      <w:r w:rsidRPr="005944DD">
        <w:rPr>
          <w:rStyle w:val="Emphasis"/>
          <w:sz w:val="20"/>
        </w:rPr>
        <w:t>Overall, hybrid models cannot always perform better time series prediction than non-hybrid models, especially LSTMs with two hidden layers, Adam optimization method, learning rate of 0.01, number of epochs of 200, and batch size of 64. Although the hybrid model tries to combine the strengths of two different models, the results show that, in this case, the LSTM with the right configuration still excels in capturing complex stock price fluctuation patterns. The results emphasize the importance of choosing the right optimization method, ensuring the suitability of other parameter combinations, and increasing the range of values for each parameter to achieve optimal results. The LSTM model with the right parameters proved more effective in predicting BRI stock data or stock data with similar patterns.</w:t>
      </w:r>
    </w:p>
    <w:p w14:paraId="0AF0B923" w14:textId="186DCB5A" w:rsidR="005944DD" w:rsidRDefault="005944DD" w:rsidP="0014254F">
      <w:pPr>
        <w:pBdr>
          <w:top w:val="nil"/>
          <w:left w:val="nil"/>
          <w:bottom w:val="nil"/>
          <w:right w:val="nil"/>
          <w:between w:val="nil"/>
        </w:pBdr>
        <w:spacing w:before="120"/>
        <w:ind w:firstLine="284"/>
        <w:jc w:val="both"/>
        <w:rPr>
          <w:rStyle w:val="Emphasis"/>
          <w:sz w:val="20"/>
        </w:rPr>
      </w:pPr>
    </w:p>
    <w:p w14:paraId="471F04C0" w14:textId="0C06176A" w:rsidR="005944DD" w:rsidRDefault="005944DD" w:rsidP="0014254F">
      <w:pPr>
        <w:pBdr>
          <w:top w:val="nil"/>
          <w:left w:val="nil"/>
          <w:bottom w:val="nil"/>
          <w:right w:val="nil"/>
          <w:between w:val="nil"/>
        </w:pBdr>
        <w:spacing w:before="120"/>
        <w:ind w:firstLine="284"/>
        <w:jc w:val="both"/>
        <w:rPr>
          <w:rStyle w:val="Emphasis"/>
          <w:sz w:val="20"/>
        </w:rPr>
      </w:pPr>
    </w:p>
    <w:p w14:paraId="60BCF2EE" w14:textId="77777777" w:rsidR="005944DD" w:rsidRPr="005944DD" w:rsidRDefault="005944DD" w:rsidP="0014254F">
      <w:pPr>
        <w:pBdr>
          <w:top w:val="nil"/>
          <w:left w:val="nil"/>
          <w:bottom w:val="nil"/>
          <w:right w:val="nil"/>
          <w:between w:val="nil"/>
        </w:pBdr>
        <w:spacing w:before="120"/>
        <w:ind w:firstLine="284"/>
        <w:jc w:val="both"/>
        <w:rPr>
          <w:rStyle w:val="Emphasis"/>
          <w:sz w:val="20"/>
        </w:rPr>
      </w:pPr>
    </w:p>
    <w:p w14:paraId="366EA884" w14:textId="437D3BF9" w:rsidR="002117E2" w:rsidRPr="00F4692F" w:rsidRDefault="00F4692F" w:rsidP="00C43896">
      <w:pPr>
        <w:pStyle w:val="TableCaption"/>
        <w:rPr>
          <w:rFonts w:ascii="Courier New" w:eastAsia="Courier New" w:hAnsi="Courier New" w:cs="Courier New"/>
          <w:color w:val="212121"/>
          <w:highlight w:val="white"/>
        </w:rPr>
      </w:pPr>
      <w:r w:rsidRPr="00F4692F">
        <w:rPr>
          <w:b/>
          <w:bCs/>
        </w:rPr>
        <w:lastRenderedPageBreak/>
        <w:t xml:space="preserve">TABLE </w:t>
      </w:r>
      <w:r w:rsidRPr="00F4692F">
        <w:rPr>
          <w:b/>
          <w:bCs/>
        </w:rPr>
        <w:fldChar w:fldCharType="begin"/>
      </w:r>
      <w:r w:rsidRPr="00F4692F">
        <w:rPr>
          <w:b/>
          <w:bCs/>
        </w:rPr>
        <w:instrText xml:space="preserve"> SEQ Table \* ARABIC </w:instrText>
      </w:r>
      <w:r w:rsidRPr="00F4692F">
        <w:rPr>
          <w:b/>
          <w:bCs/>
        </w:rPr>
        <w:fldChar w:fldCharType="separate"/>
      </w:r>
      <w:r w:rsidRPr="00F4692F">
        <w:rPr>
          <w:b/>
          <w:bCs/>
          <w:noProof/>
        </w:rPr>
        <w:t>4</w:t>
      </w:r>
      <w:r w:rsidRPr="00F4692F">
        <w:rPr>
          <w:b/>
          <w:bCs/>
        </w:rPr>
        <w:fldChar w:fldCharType="end"/>
      </w:r>
      <w:r w:rsidRPr="00F4692F">
        <w:rPr>
          <w:b/>
          <w:bCs/>
        </w:rPr>
        <w:t>.</w:t>
      </w:r>
      <w:r w:rsidRPr="00F4692F">
        <w:t xml:space="preserve"> </w:t>
      </w:r>
      <w:r w:rsidR="003B5ACF" w:rsidRPr="00F4692F">
        <w:t>Evaluation metrics for Hybrid models: RF-LSTM and LSTM-RF, including MSE, MAPE, and MAD</w:t>
      </w:r>
    </w:p>
    <w:tbl>
      <w:tblPr>
        <w:tblStyle w:val="a0"/>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0"/>
        <w:gridCol w:w="1870"/>
        <w:gridCol w:w="1870"/>
        <w:gridCol w:w="1870"/>
      </w:tblGrid>
      <w:tr w:rsidR="00334ECF" w:rsidRPr="00DE4680" w14:paraId="6778E1DF" w14:textId="77777777" w:rsidTr="004A344F">
        <w:trPr>
          <w:jc w:val="center"/>
        </w:trPr>
        <w:tc>
          <w:tcPr>
            <w:tcW w:w="1250" w:type="pct"/>
            <w:vMerge w:val="restart"/>
            <w:vAlign w:val="center"/>
          </w:tcPr>
          <w:p w14:paraId="7EC1B4FF" w14:textId="4E2BD4FD" w:rsidR="00334ECF" w:rsidRPr="00DE4680" w:rsidRDefault="00334ECF" w:rsidP="004A344F">
            <w:pPr>
              <w:pBdr>
                <w:top w:val="nil"/>
                <w:left w:val="nil"/>
                <w:bottom w:val="nil"/>
                <w:right w:val="nil"/>
                <w:between w:val="nil"/>
              </w:pBdr>
              <w:jc w:val="center"/>
              <w:rPr>
                <w:b/>
                <w:color w:val="000000"/>
              </w:rPr>
            </w:pPr>
            <w:r w:rsidRPr="00DE4680">
              <w:rPr>
                <w:b/>
                <w:color w:val="000000"/>
              </w:rPr>
              <w:t>Model</w:t>
            </w:r>
          </w:p>
        </w:tc>
        <w:tc>
          <w:tcPr>
            <w:tcW w:w="3750" w:type="pct"/>
            <w:gridSpan w:val="3"/>
          </w:tcPr>
          <w:p w14:paraId="684984CF" w14:textId="77777777" w:rsidR="00334ECF" w:rsidRPr="00DE4680" w:rsidRDefault="00334ECF" w:rsidP="004A344F">
            <w:pPr>
              <w:pBdr>
                <w:top w:val="nil"/>
                <w:left w:val="nil"/>
                <w:bottom w:val="nil"/>
                <w:right w:val="nil"/>
                <w:between w:val="nil"/>
              </w:pBdr>
              <w:jc w:val="center"/>
              <w:rPr>
                <w:b/>
                <w:color w:val="000000"/>
              </w:rPr>
            </w:pPr>
            <w:r w:rsidRPr="00DE4680">
              <w:rPr>
                <w:b/>
                <w:color w:val="000000"/>
              </w:rPr>
              <w:t>Evaluation Criteria</w:t>
            </w:r>
          </w:p>
        </w:tc>
      </w:tr>
      <w:tr w:rsidR="00334ECF" w:rsidRPr="00DE4680" w14:paraId="5D166CBC" w14:textId="77777777" w:rsidTr="004A344F">
        <w:trPr>
          <w:jc w:val="center"/>
        </w:trPr>
        <w:tc>
          <w:tcPr>
            <w:tcW w:w="1250" w:type="pct"/>
            <w:vMerge/>
          </w:tcPr>
          <w:p w14:paraId="237E1EB3" w14:textId="77777777" w:rsidR="00334ECF" w:rsidRPr="00DE4680" w:rsidRDefault="00334ECF" w:rsidP="004A344F">
            <w:pPr>
              <w:widowControl w:val="0"/>
              <w:pBdr>
                <w:top w:val="nil"/>
                <w:left w:val="nil"/>
                <w:bottom w:val="nil"/>
                <w:right w:val="nil"/>
                <w:between w:val="nil"/>
              </w:pBdr>
              <w:spacing w:line="276" w:lineRule="auto"/>
              <w:rPr>
                <w:b/>
                <w:color w:val="000000"/>
              </w:rPr>
            </w:pPr>
          </w:p>
        </w:tc>
        <w:tc>
          <w:tcPr>
            <w:tcW w:w="1250" w:type="pct"/>
          </w:tcPr>
          <w:p w14:paraId="386C8814" w14:textId="77777777" w:rsidR="00334ECF" w:rsidRPr="00DE4680" w:rsidRDefault="00334ECF" w:rsidP="004A344F">
            <w:pPr>
              <w:pBdr>
                <w:top w:val="nil"/>
                <w:left w:val="nil"/>
                <w:bottom w:val="nil"/>
                <w:right w:val="nil"/>
                <w:between w:val="nil"/>
              </w:pBdr>
              <w:jc w:val="center"/>
              <w:rPr>
                <w:b/>
                <w:color w:val="000000"/>
              </w:rPr>
            </w:pPr>
            <w:r w:rsidRPr="00DE4680">
              <w:rPr>
                <w:b/>
                <w:color w:val="000000"/>
              </w:rPr>
              <w:t>RMSE</w:t>
            </w:r>
          </w:p>
        </w:tc>
        <w:tc>
          <w:tcPr>
            <w:tcW w:w="1250" w:type="pct"/>
          </w:tcPr>
          <w:p w14:paraId="36AD32F2" w14:textId="77777777" w:rsidR="00334ECF" w:rsidRPr="00DE4680" w:rsidRDefault="00334ECF" w:rsidP="004A344F">
            <w:pPr>
              <w:pBdr>
                <w:top w:val="nil"/>
                <w:left w:val="nil"/>
                <w:bottom w:val="nil"/>
                <w:right w:val="nil"/>
                <w:between w:val="nil"/>
              </w:pBdr>
              <w:jc w:val="center"/>
              <w:rPr>
                <w:b/>
                <w:color w:val="000000"/>
              </w:rPr>
            </w:pPr>
            <w:r w:rsidRPr="00DE4680">
              <w:rPr>
                <w:b/>
                <w:color w:val="000000"/>
              </w:rPr>
              <w:t>MAPE</w:t>
            </w:r>
          </w:p>
        </w:tc>
        <w:tc>
          <w:tcPr>
            <w:tcW w:w="1250" w:type="pct"/>
          </w:tcPr>
          <w:p w14:paraId="2D8832ED" w14:textId="782F256C" w:rsidR="00334ECF" w:rsidRPr="00DE4680" w:rsidRDefault="00334ECF" w:rsidP="004A344F">
            <w:pPr>
              <w:pBdr>
                <w:top w:val="nil"/>
                <w:left w:val="nil"/>
                <w:bottom w:val="nil"/>
                <w:right w:val="nil"/>
                <w:between w:val="nil"/>
              </w:pBdr>
              <w:jc w:val="center"/>
              <w:rPr>
                <w:b/>
                <w:color w:val="000000"/>
              </w:rPr>
            </w:pPr>
            <w:r w:rsidRPr="00DE4680">
              <w:rPr>
                <w:b/>
                <w:color w:val="000000"/>
              </w:rPr>
              <w:t>MA</w:t>
            </w:r>
            <w:r w:rsidR="004D2923" w:rsidRPr="00DE4680">
              <w:rPr>
                <w:b/>
                <w:color w:val="000000"/>
              </w:rPr>
              <w:t>D</w:t>
            </w:r>
          </w:p>
        </w:tc>
      </w:tr>
      <w:tr w:rsidR="00334ECF" w:rsidRPr="00DE4680" w14:paraId="432B2F27" w14:textId="77777777" w:rsidTr="004A344F">
        <w:trPr>
          <w:jc w:val="center"/>
        </w:trPr>
        <w:tc>
          <w:tcPr>
            <w:tcW w:w="1250" w:type="pct"/>
          </w:tcPr>
          <w:p w14:paraId="405662CE" w14:textId="21A8465A" w:rsidR="00334ECF" w:rsidRPr="00DE4680" w:rsidRDefault="00334ECF" w:rsidP="004D2923">
            <w:pPr>
              <w:jc w:val="both"/>
              <w:rPr>
                <w:rFonts w:eastAsia="Courier New"/>
                <w:color w:val="212121"/>
                <w:sz w:val="21"/>
                <w:szCs w:val="21"/>
                <w:highlight w:val="white"/>
              </w:rPr>
            </w:pPr>
            <w:r w:rsidRPr="00DE4680">
              <w:rPr>
                <w:rFonts w:eastAsia="Courier New"/>
                <w:color w:val="212121"/>
                <w:sz w:val="21"/>
                <w:szCs w:val="21"/>
                <w:highlight w:val="white"/>
              </w:rPr>
              <w:t>Hybrid RF-LSTM</w:t>
            </w:r>
          </w:p>
        </w:tc>
        <w:tc>
          <w:tcPr>
            <w:tcW w:w="1250" w:type="pct"/>
          </w:tcPr>
          <w:p w14:paraId="4D195200" w14:textId="73A1275E" w:rsidR="00334ECF" w:rsidRPr="00DE4680" w:rsidRDefault="004D2923" w:rsidP="004A344F">
            <w:pPr>
              <w:jc w:val="center"/>
              <w:rPr>
                <w:color w:val="333333"/>
              </w:rPr>
            </w:pPr>
            <w:r w:rsidRPr="00DE4680">
              <w:rPr>
                <w:rFonts w:eastAsia="Courier New"/>
                <w:color w:val="212121"/>
                <w:sz w:val="21"/>
                <w:szCs w:val="21"/>
                <w:highlight w:val="white"/>
              </w:rPr>
              <w:t>518.8</w:t>
            </w:r>
            <w:r w:rsidRPr="00DE4680">
              <w:rPr>
                <w:rFonts w:eastAsia="Courier New"/>
                <w:color w:val="212121"/>
                <w:sz w:val="21"/>
                <w:szCs w:val="21"/>
              </w:rPr>
              <w:t>9</w:t>
            </w:r>
          </w:p>
        </w:tc>
        <w:tc>
          <w:tcPr>
            <w:tcW w:w="1250" w:type="pct"/>
          </w:tcPr>
          <w:p w14:paraId="5F6BA9AF" w14:textId="42578423" w:rsidR="00334ECF" w:rsidRPr="00DE4680" w:rsidRDefault="004D2923" w:rsidP="004A344F">
            <w:pPr>
              <w:pBdr>
                <w:top w:val="nil"/>
                <w:left w:val="nil"/>
                <w:bottom w:val="nil"/>
                <w:right w:val="nil"/>
                <w:between w:val="nil"/>
              </w:pBdr>
              <w:jc w:val="center"/>
              <w:rPr>
                <w:color w:val="000000"/>
              </w:rPr>
            </w:pPr>
            <w:r w:rsidRPr="00DE4680">
              <w:rPr>
                <w:rFonts w:eastAsia="Courier New"/>
                <w:color w:val="212121"/>
                <w:sz w:val="21"/>
                <w:szCs w:val="21"/>
                <w:highlight w:val="white"/>
              </w:rPr>
              <w:t>7.1</w:t>
            </w:r>
            <w:r w:rsidRPr="00DE4680">
              <w:rPr>
                <w:rFonts w:eastAsia="Courier New"/>
                <w:color w:val="212121"/>
                <w:sz w:val="21"/>
                <w:szCs w:val="21"/>
              </w:rPr>
              <w:t>2</w:t>
            </w:r>
          </w:p>
        </w:tc>
        <w:tc>
          <w:tcPr>
            <w:tcW w:w="1250" w:type="pct"/>
          </w:tcPr>
          <w:p w14:paraId="405976B1" w14:textId="461832FE" w:rsidR="00334ECF" w:rsidRPr="00DE4680" w:rsidRDefault="004D2923" w:rsidP="004A344F">
            <w:pPr>
              <w:pBdr>
                <w:top w:val="nil"/>
                <w:left w:val="nil"/>
                <w:bottom w:val="nil"/>
                <w:right w:val="nil"/>
                <w:between w:val="nil"/>
              </w:pBdr>
              <w:jc w:val="center"/>
              <w:rPr>
                <w:color w:val="000000"/>
              </w:rPr>
            </w:pPr>
            <w:r w:rsidRPr="00DE4680">
              <w:rPr>
                <w:rFonts w:eastAsia="Courier New"/>
                <w:color w:val="212121"/>
                <w:sz w:val="21"/>
                <w:szCs w:val="21"/>
                <w:highlight w:val="white"/>
              </w:rPr>
              <w:t>402.9</w:t>
            </w:r>
            <w:r w:rsidRPr="00DE4680">
              <w:rPr>
                <w:rFonts w:eastAsia="Courier New"/>
                <w:color w:val="212121"/>
                <w:sz w:val="21"/>
                <w:szCs w:val="21"/>
              </w:rPr>
              <w:t>2</w:t>
            </w:r>
          </w:p>
        </w:tc>
      </w:tr>
      <w:tr w:rsidR="00334ECF" w:rsidRPr="00DE4680" w14:paraId="1E9AA70C" w14:textId="77777777" w:rsidTr="004A344F">
        <w:trPr>
          <w:jc w:val="center"/>
        </w:trPr>
        <w:tc>
          <w:tcPr>
            <w:tcW w:w="1250" w:type="pct"/>
          </w:tcPr>
          <w:p w14:paraId="6ABCD69D" w14:textId="707912DE" w:rsidR="00334ECF" w:rsidRPr="00DE4680" w:rsidRDefault="004D2923" w:rsidP="004D2923">
            <w:pPr>
              <w:pBdr>
                <w:top w:val="nil"/>
                <w:left w:val="nil"/>
                <w:bottom w:val="nil"/>
                <w:right w:val="nil"/>
                <w:between w:val="nil"/>
              </w:pBdr>
              <w:jc w:val="both"/>
              <w:rPr>
                <w:color w:val="000000"/>
              </w:rPr>
            </w:pPr>
            <w:r w:rsidRPr="00DE4680">
              <w:rPr>
                <w:rFonts w:eastAsia="Courier New"/>
                <w:color w:val="212121"/>
                <w:sz w:val="21"/>
                <w:szCs w:val="21"/>
                <w:highlight w:val="white"/>
              </w:rPr>
              <w:t>Hybrid LSTM-RF</w:t>
            </w:r>
          </w:p>
        </w:tc>
        <w:tc>
          <w:tcPr>
            <w:tcW w:w="1250" w:type="pct"/>
          </w:tcPr>
          <w:p w14:paraId="69823101" w14:textId="23ECC89A" w:rsidR="00334ECF" w:rsidRPr="00DE4680" w:rsidRDefault="004D2923" w:rsidP="004A344F">
            <w:pPr>
              <w:jc w:val="center"/>
              <w:rPr>
                <w:rFonts w:eastAsia="Courier New"/>
                <w:color w:val="212121"/>
              </w:rPr>
            </w:pPr>
            <w:r w:rsidRPr="00DE4680">
              <w:rPr>
                <w:rFonts w:eastAsia="Courier New"/>
                <w:color w:val="212121"/>
                <w:sz w:val="21"/>
                <w:szCs w:val="21"/>
                <w:highlight w:val="white"/>
              </w:rPr>
              <w:t>218.3</w:t>
            </w:r>
            <w:r w:rsidRPr="00DE4680">
              <w:rPr>
                <w:rFonts w:eastAsia="Courier New"/>
                <w:color w:val="212121"/>
                <w:sz w:val="21"/>
                <w:szCs w:val="21"/>
              </w:rPr>
              <w:t>9</w:t>
            </w:r>
          </w:p>
        </w:tc>
        <w:tc>
          <w:tcPr>
            <w:tcW w:w="1250" w:type="pct"/>
          </w:tcPr>
          <w:p w14:paraId="429EE9C0" w14:textId="137EFB09" w:rsidR="00334ECF" w:rsidRPr="00DE4680" w:rsidRDefault="004D2923" w:rsidP="004A344F">
            <w:pPr>
              <w:pBdr>
                <w:top w:val="nil"/>
                <w:left w:val="nil"/>
                <w:bottom w:val="nil"/>
                <w:right w:val="nil"/>
                <w:between w:val="nil"/>
              </w:pBdr>
              <w:jc w:val="center"/>
              <w:rPr>
                <w:color w:val="000000"/>
              </w:rPr>
            </w:pPr>
            <w:r w:rsidRPr="00DE4680">
              <w:rPr>
                <w:rFonts w:eastAsia="Courier New"/>
                <w:color w:val="212121"/>
                <w:sz w:val="21"/>
                <w:szCs w:val="21"/>
                <w:highlight w:val="white"/>
              </w:rPr>
              <w:t>2.54</w:t>
            </w:r>
          </w:p>
        </w:tc>
        <w:tc>
          <w:tcPr>
            <w:tcW w:w="1250" w:type="pct"/>
          </w:tcPr>
          <w:p w14:paraId="657A444A" w14:textId="13EFE40C" w:rsidR="00334ECF" w:rsidRPr="00DE4680" w:rsidRDefault="004D2923" w:rsidP="004A344F">
            <w:pPr>
              <w:pBdr>
                <w:top w:val="nil"/>
                <w:left w:val="nil"/>
                <w:bottom w:val="nil"/>
                <w:right w:val="nil"/>
                <w:between w:val="nil"/>
              </w:pBdr>
              <w:jc w:val="center"/>
              <w:rPr>
                <w:color w:val="000000"/>
              </w:rPr>
            </w:pPr>
            <w:r w:rsidRPr="00DE4680">
              <w:rPr>
                <w:rFonts w:eastAsia="Courier New"/>
                <w:color w:val="212121"/>
                <w:sz w:val="21"/>
                <w:szCs w:val="21"/>
                <w:highlight w:val="white"/>
              </w:rPr>
              <w:t>143.25</w:t>
            </w:r>
          </w:p>
        </w:tc>
      </w:tr>
    </w:tbl>
    <w:p w14:paraId="72F34959" w14:textId="77777777" w:rsidR="002117E2" w:rsidRDefault="005944DD">
      <w:pPr>
        <w:pStyle w:val="Heading1"/>
        <w:rPr>
          <w:color w:val="FF0000"/>
          <w:sz w:val="20"/>
        </w:rPr>
      </w:pPr>
      <w:r>
        <w:t>CONCLUSIONS</w:t>
      </w:r>
    </w:p>
    <w:p w14:paraId="718EC379" w14:textId="1521FFC6" w:rsidR="009F6F80" w:rsidRPr="005944DD" w:rsidRDefault="00B32CB5" w:rsidP="00BC2494">
      <w:pPr>
        <w:pBdr>
          <w:top w:val="nil"/>
          <w:left w:val="nil"/>
          <w:bottom w:val="nil"/>
          <w:right w:val="nil"/>
          <w:between w:val="nil"/>
        </w:pBdr>
        <w:ind w:firstLine="284"/>
        <w:jc w:val="both"/>
        <w:rPr>
          <w:rStyle w:val="Emphasis"/>
          <w:sz w:val="20"/>
        </w:rPr>
      </w:pPr>
      <w:r w:rsidRPr="005944DD">
        <w:rPr>
          <w:rStyle w:val="Emphasis"/>
          <w:sz w:val="20"/>
        </w:rPr>
        <w:t>The analysis shows that the Long Short-Term Memory (LSTM) model with two hidden layers and Adam's optimization method, using a learning rate of 0.01, number of epochs of 200, and batch size of 64, is the best configuration for predicting BRI stock prices. This model outperformed the other methods with Root Mean Square Error (RMSE), Mean Absolute Percentage Error (MAPE), and Mean Absolute Deviation (MAD) values of 100.46, 1.48, and 78.26, respectively, indicating superior prediction accuracy. In contrast, the Random Forest model and RF-LSTM hybrid model showed inferior performance, with the Random Forest having RMSE, MAPE, and MAD values of 227.22, 2.84, and 157.90, and the RF-LSTM hybrid model with RMSE values of 518.89, MAPE 7.12, and MAD 402.92, indicating the inability of these models to capture stock price fluctuations accurately.</w:t>
      </w:r>
      <w:r w:rsidR="0014254F" w:rsidRPr="005944DD">
        <w:rPr>
          <w:rStyle w:val="Emphasis"/>
          <w:sz w:val="20"/>
        </w:rPr>
        <w:t xml:space="preserve"> </w:t>
      </w:r>
      <w:r w:rsidRPr="005944DD">
        <w:rPr>
          <w:rStyle w:val="Emphasis"/>
          <w:sz w:val="20"/>
        </w:rPr>
        <w:t>Although hybrid models can combine the strengths of several methods, the LSTM model with properly optimized parameters proved to be more effective for time series prediction, especially for BRI stock prices or stock data with similar patterns. This finding emphasizes the importance of choosing the right optimization method and adjusting the optimal combination of parameters to achieve the best prediction accuracy. A properly tuned LSTM model remains the top choice in complex stock price prediction.</w:t>
      </w:r>
    </w:p>
    <w:p w14:paraId="5D14078E" w14:textId="77777777" w:rsidR="009F6F80" w:rsidRPr="00312B60" w:rsidRDefault="009F6F80" w:rsidP="009F6F80">
      <w:pPr>
        <w:pStyle w:val="Heading1"/>
        <w:rPr>
          <w:color w:val="FF0000"/>
        </w:rPr>
      </w:pPr>
      <w:r w:rsidRPr="00CC2C58">
        <w:t>Acknowledgments</w:t>
      </w:r>
    </w:p>
    <w:p w14:paraId="1F8AF682" w14:textId="33A810FF" w:rsidR="009F6F80" w:rsidRPr="005944DD" w:rsidRDefault="009F6F80" w:rsidP="00C43896">
      <w:pPr>
        <w:pStyle w:val="Paragraph"/>
        <w:rPr>
          <w:rStyle w:val="Emphasis"/>
        </w:rPr>
      </w:pPr>
      <w:r w:rsidRPr="005944DD">
        <w:rPr>
          <w:rStyle w:val="Emphasis"/>
        </w:rPr>
        <w:t xml:space="preserve">We extend our sincere gratitude to Universitas </w:t>
      </w:r>
      <w:proofErr w:type="spellStart"/>
      <w:r w:rsidRPr="005944DD">
        <w:rPr>
          <w:rStyle w:val="Emphasis"/>
        </w:rPr>
        <w:t>Internasional</w:t>
      </w:r>
      <w:proofErr w:type="spellEnd"/>
      <w:r w:rsidRPr="005944DD">
        <w:rPr>
          <w:rStyle w:val="Emphasis"/>
        </w:rPr>
        <w:t xml:space="preserve"> Semen Indonesia for their invaluable support in funding the publication of this article and enabling our participation in the 4th International Conference on Technology, Informatics, and Engineering (Icon-TINE 2024). Their assistance has been crucial in advancing this research and facilitating our engagement in this prominent scientific forum</w:t>
      </w:r>
      <w:r w:rsidR="00BC2494" w:rsidRPr="005944DD">
        <w:rPr>
          <w:rStyle w:val="Emphasis"/>
        </w:rPr>
        <w:t>.</w:t>
      </w:r>
    </w:p>
    <w:p w14:paraId="79BC5C33" w14:textId="162E3B55" w:rsidR="001B7693" w:rsidRPr="00347FC0" w:rsidRDefault="005944DD" w:rsidP="00347FC0">
      <w:pPr>
        <w:pStyle w:val="Heading1"/>
      </w:pPr>
      <w:bookmarkStart w:id="0" w:name="_Hlk179285592"/>
      <w:r>
        <w:t>References</w:t>
      </w:r>
      <w:bookmarkEnd w:id="0"/>
    </w:p>
    <w:p w14:paraId="5A57555B" w14:textId="7D0D59A0" w:rsidR="00347FC0" w:rsidRPr="00347FC0" w:rsidRDefault="001B7693" w:rsidP="00347FC0">
      <w:pPr>
        <w:pStyle w:val="Reference"/>
        <w:numPr>
          <w:ilvl w:val="0"/>
          <w:numId w:val="7"/>
        </w:numPr>
        <w:rPr>
          <w:noProof/>
        </w:rPr>
      </w:pPr>
      <w:r>
        <w:rPr>
          <w:color w:val="000000"/>
        </w:rPr>
        <w:fldChar w:fldCharType="begin"/>
      </w:r>
      <w:r>
        <w:rPr>
          <w:color w:val="000000"/>
        </w:rPr>
        <w:instrText xml:space="preserve"> ADDIN EN.REFLIST </w:instrText>
      </w:r>
      <w:r>
        <w:rPr>
          <w:color w:val="000000"/>
        </w:rPr>
        <w:fldChar w:fldCharType="separate"/>
      </w:r>
      <w:r w:rsidR="00347FC0" w:rsidRPr="00347FC0">
        <w:rPr>
          <w:noProof/>
        </w:rPr>
        <w:t xml:space="preserve">M. Raddant and D. Y. Kenett, "Interconnectedness in the global financial market," </w:t>
      </w:r>
      <w:r w:rsidR="00347FC0" w:rsidRPr="00347FC0">
        <w:rPr>
          <w:i/>
          <w:noProof/>
        </w:rPr>
        <w:t xml:space="preserve">Journal of International Money and Finance, </w:t>
      </w:r>
      <w:r w:rsidR="00347FC0" w:rsidRPr="00347FC0">
        <w:rPr>
          <w:noProof/>
        </w:rPr>
        <w:t>vol. 110, p. 102280, 2021.</w:t>
      </w:r>
    </w:p>
    <w:p w14:paraId="7FC31DB7" w14:textId="043439C0" w:rsidR="00347FC0" w:rsidRPr="00347FC0" w:rsidRDefault="00347FC0" w:rsidP="00347FC0">
      <w:pPr>
        <w:pStyle w:val="Reference"/>
        <w:numPr>
          <w:ilvl w:val="0"/>
          <w:numId w:val="7"/>
        </w:numPr>
        <w:rPr>
          <w:noProof/>
        </w:rPr>
      </w:pPr>
      <w:r w:rsidRPr="00347FC0">
        <w:rPr>
          <w:noProof/>
        </w:rPr>
        <w:t xml:space="preserve">D. Han, "Network analysis of the Chinese stock market during the turbulence of 2015–2016 using log-returns, volumes and mutual information," </w:t>
      </w:r>
      <w:r w:rsidRPr="00347FC0">
        <w:rPr>
          <w:i/>
          <w:noProof/>
        </w:rPr>
        <w:t xml:space="preserve">Physica A: Statistical Mechanics and its Applications, </w:t>
      </w:r>
      <w:r w:rsidRPr="00347FC0">
        <w:rPr>
          <w:noProof/>
        </w:rPr>
        <w:t>vol. 523, pp. 1091-1109, 2019.</w:t>
      </w:r>
    </w:p>
    <w:p w14:paraId="769C278C" w14:textId="62984082" w:rsidR="00347FC0" w:rsidRPr="00347FC0" w:rsidRDefault="00347FC0" w:rsidP="00347FC0">
      <w:pPr>
        <w:pStyle w:val="Reference"/>
        <w:numPr>
          <w:ilvl w:val="0"/>
          <w:numId w:val="7"/>
        </w:numPr>
        <w:rPr>
          <w:noProof/>
        </w:rPr>
      </w:pPr>
      <w:r w:rsidRPr="00347FC0">
        <w:rPr>
          <w:noProof/>
        </w:rPr>
        <w:t xml:space="preserve">H. Han, J. Y.-L. Forrest, J. Wang, S. Yuan, F. Han, and D. Li, "Explainable machine learning for high frequency trading dynamics discovery," </w:t>
      </w:r>
      <w:r w:rsidRPr="00347FC0">
        <w:rPr>
          <w:i/>
          <w:noProof/>
        </w:rPr>
        <w:t xml:space="preserve">Information Sciences, </w:t>
      </w:r>
      <w:r w:rsidRPr="00347FC0">
        <w:rPr>
          <w:noProof/>
        </w:rPr>
        <w:t>vol. 684, p. 121286, 2024.</w:t>
      </w:r>
    </w:p>
    <w:p w14:paraId="343831FC" w14:textId="05EF9931" w:rsidR="00347FC0" w:rsidRPr="00347FC0" w:rsidRDefault="00347FC0" w:rsidP="00347FC0">
      <w:pPr>
        <w:pStyle w:val="Reference"/>
        <w:numPr>
          <w:ilvl w:val="0"/>
          <w:numId w:val="7"/>
        </w:numPr>
        <w:rPr>
          <w:noProof/>
        </w:rPr>
      </w:pPr>
      <w:r w:rsidRPr="00347FC0">
        <w:rPr>
          <w:noProof/>
        </w:rPr>
        <w:t xml:space="preserve">Y. Shi and L. Wang, "Comparing the impact of Chinese and US economic policy uncertainty on the volatility of major global stock markets," </w:t>
      </w:r>
      <w:r w:rsidRPr="00347FC0">
        <w:rPr>
          <w:i/>
          <w:noProof/>
        </w:rPr>
        <w:t xml:space="preserve">Global Finance Journal, </w:t>
      </w:r>
      <w:r w:rsidRPr="00347FC0">
        <w:rPr>
          <w:noProof/>
        </w:rPr>
        <w:t>vol. 57, p. 100860, 2023.</w:t>
      </w:r>
    </w:p>
    <w:p w14:paraId="0C48E76F" w14:textId="53D497BC" w:rsidR="00347FC0" w:rsidRPr="00347FC0" w:rsidRDefault="00347FC0" w:rsidP="00347FC0">
      <w:pPr>
        <w:pStyle w:val="Reference"/>
        <w:numPr>
          <w:ilvl w:val="0"/>
          <w:numId w:val="7"/>
        </w:numPr>
        <w:rPr>
          <w:noProof/>
        </w:rPr>
      </w:pPr>
      <w:r w:rsidRPr="00347FC0">
        <w:rPr>
          <w:noProof/>
        </w:rPr>
        <w:t xml:space="preserve">R. Li, G. Tang, C. Hong, S. Li, B. Li, and S. Xiang, "A study on economic policy uncertainty, geopolitical risk and stock market spillovers in BRICS countries," </w:t>
      </w:r>
      <w:r w:rsidRPr="00347FC0">
        <w:rPr>
          <w:i/>
          <w:noProof/>
        </w:rPr>
        <w:t xml:space="preserve">The North American Journal of Economics and Finance, </w:t>
      </w:r>
      <w:r w:rsidRPr="00347FC0">
        <w:rPr>
          <w:noProof/>
        </w:rPr>
        <w:t>vol. 73, p. 102189, 2024.</w:t>
      </w:r>
    </w:p>
    <w:p w14:paraId="3ED225FB" w14:textId="1DCDE436" w:rsidR="00347FC0" w:rsidRPr="00347FC0" w:rsidRDefault="00347FC0" w:rsidP="00347FC0">
      <w:pPr>
        <w:pStyle w:val="Reference"/>
        <w:numPr>
          <w:ilvl w:val="0"/>
          <w:numId w:val="7"/>
        </w:numPr>
        <w:rPr>
          <w:noProof/>
        </w:rPr>
      </w:pPr>
      <w:r w:rsidRPr="00347FC0">
        <w:rPr>
          <w:noProof/>
        </w:rPr>
        <w:t xml:space="preserve">Z. Hu and S. Borjigin, "The amplifying role of geopolitical Risks, economic policy Uncertainty, and climate risks on Energy-Stock market volatility spillover across economic cycles," </w:t>
      </w:r>
      <w:r w:rsidRPr="00347FC0">
        <w:rPr>
          <w:i/>
          <w:noProof/>
        </w:rPr>
        <w:t xml:space="preserve">The North American Journal of Economics and Finance, </w:t>
      </w:r>
      <w:r w:rsidRPr="00347FC0">
        <w:rPr>
          <w:noProof/>
        </w:rPr>
        <w:t>vol. 71, p. 102114, 2024.</w:t>
      </w:r>
    </w:p>
    <w:p w14:paraId="3F85EB08" w14:textId="7EB8A815" w:rsidR="00347FC0" w:rsidRPr="00347FC0" w:rsidRDefault="00347FC0" w:rsidP="00347FC0">
      <w:pPr>
        <w:pStyle w:val="Reference"/>
        <w:numPr>
          <w:ilvl w:val="0"/>
          <w:numId w:val="7"/>
        </w:numPr>
        <w:rPr>
          <w:noProof/>
        </w:rPr>
      </w:pPr>
      <w:r w:rsidRPr="00347FC0">
        <w:rPr>
          <w:noProof/>
        </w:rPr>
        <w:t xml:space="preserve">Z. Wang, X. Wang, Q. Cheng, and S. Shi, "Heterogeneous impact of economic and political uncertainty on green bond volatility: Evidence from the MRS-GARCH-MIDAS-Skewed T model," </w:t>
      </w:r>
      <w:r w:rsidRPr="00347FC0">
        <w:rPr>
          <w:i/>
          <w:noProof/>
        </w:rPr>
        <w:t xml:space="preserve">International Review of Financial Analysis, </w:t>
      </w:r>
      <w:r w:rsidRPr="00347FC0">
        <w:rPr>
          <w:noProof/>
        </w:rPr>
        <w:t>vol. 95, p. 103461, 2024.</w:t>
      </w:r>
    </w:p>
    <w:p w14:paraId="16014EF8" w14:textId="0D151DE0" w:rsidR="00347FC0" w:rsidRPr="00347FC0" w:rsidRDefault="00347FC0" w:rsidP="00347FC0">
      <w:pPr>
        <w:pStyle w:val="Reference"/>
        <w:numPr>
          <w:ilvl w:val="0"/>
          <w:numId w:val="7"/>
        </w:numPr>
        <w:rPr>
          <w:noProof/>
        </w:rPr>
      </w:pPr>
      <w:r w:rsidRPr="00347FC0">
        <w:rPr>
          <w:noProof/>
        </w:rPr>
        <w:t xml:space="preserve">A. M. Christiana, E. Setiana, and M. Mamduch, "The empirical relationship between stock return and trading volume based on stock market cycles," </w:t>
      </w:r>
      <w:r w:rsidRPr="00347FC0">
        <w:rPr>
          <w:i/>
          <w:noProof/>
        </w:rPr>
        <w:t xml:space="preserve">The Indonesian Capital Market Review, </w:t>
      </w:r>
      <w:r w:rsidRPr="00347FC0">
        <w:rPr>
          <w:noProof/>
        </w:rPr>
        <w:t>vol. 8, no. 1, p. 5, 2016.</w:t>
      </w:r>
    </w:p>
    <w:p w14:paraId="6EB30D70" w14:textId="7E27D1BE" w:rsidR="00347FC0" w:rsidRPr="00347FC0" w:rsidRDefault="00347FC0" w:rsidP="00347FC0">
      <w:pPr>
        <w:pStyle w:val="Reference"/>
        <w:numPr>
          <w:ilvl w:val="0"/>
          <w:numId w:val="7"/>
        </w:numPr>
        <w:rPr>
          <w:noProof/>
        </w:rPr>
      </w:pPr>
      <w:r w:rsidRPr="00347FC0">
        <w:rPr>
          <w:noProof/>
        </w:rPr>
        <w:t xml:space="preserve">Y. Koubaa and S. Slim, "The relationship between trading activity and stock market volatility: Does the volume threshold matter?," </w:t>
      </w:r>
      <w:r w:rsidRPr="00347FC0">
        <w:rPr>
          <w:i/>
          <w:noProof/>
        </w:rPr>
        <w:t xml:space="preserve">Economic Modelling, </w:t>
      </w:r>
      <w:r w:rsidRPr="00347FC0">
        <w:rPr>
          <w:noProof/>
        </w:rPr>
        <w:t>vol. 82, pp. 168-184, 2019.</w:t>
      </w:r>
    </w:p>
    <w:p w14:paraId="6F676452" w14:textId="58A66F24" w:rsidR="00347FC0" w:rsidRPr="00347FC0" w:rsidRDefault="00347FC0" w:rsidP="00347FC0">
      <w:pPr>
        <w:pStyle w:val="Reference"/>
        <w:numPr>
          <w:ilvl w:val="0"/>
          <w:numId w:val="7"/>
        </w:numPr>
        <w:rPr>
          <w:noProof/>
        </w:rPr>
      </w:pPr>
      <w:r w:rsidRPr="00347FC0">
        <w:rPr>
          <w:noProof/>
        </w:rPr>
        <w:t xml:space="preserve">A. G. Mayapada, P. K. Biswas, and H. Roberts, "Financial reporting timeliness and its determinants in UK charities," </w:t>
      </w:r>
      <w:r w:rsidRPr="00347FC0">
        <w:rPr>
          <w:i/>
          <w:noProof/>
        </w:rPr>
        <w:t xml:space="preserve">Advances in accounting, </w:t>
      </w:r>
      <w:r w:rsidRPr="00347FC0">
        <w:rPr>
          <w:noProof/>
        </w:rPr>
        <w:t>vol. 65, p. 100733, 2024.</w:t>
      </w:r>
    </w:p>
    <w:p w14:paraId="79B76805" w14:textId="0402A182" w:rsidR="00347FC0" w:rsidRPr="00347FC0" w:rsidRDefault="00347FC0" w:rsidP="00347FC0">
      <w:pPr>
        <w:pStyle w:val="Reference"/>
        <w:numPr>
          <w:ilvl w:val="0"/>
          <w:numId w:val="7"/>
        </w:numPr>
        <w:rPr>
          <w:noProof/>
        </w:rPr>
      </w:pPr>
      <w:r w:rsidRPr="00347FC0">
        <w:rPr>
          <w:noProof/>
        </w:rPr>
        <w:lastRenderedPageBreak/>
        <w:t xml:space="preserve">R. Wang, W. F. Chua, R. Simnett, and S. Zhou, "Is greater connectivity of financial and non-financial information in annual reports valued by market participants?," </w:t>
      </w:r>
      <w:r w:rsidRPr="00347FC0">
        <w:rPr>
          <w:i/>
          <w:noProof/>
        </w:rPr>
        <w:t xml:space="preserve">The British Accounting Review, </w:t>
      </w:r>
      <w:r w:rsidRPr="00347FC0">
        <w:rPr>
          <w:noProof/>
        </w:rPr>
        <w:t>vol. 56, no. 6, p. 101407, 2024.</w:t>
      </w:r>
    </w:p>
    <w:p w14:paraId="73204080" w14:textId="73FA9B24" w:rsidR="00347FC0" w:rsidRPr="00347FC0" w:rsidRDefault="00347FC0" w:rsidP="00347FC0">
      <w:pPr>
        <w:pStyle w:val="Reference"/>
        <w:numPr>
          <w:ilvl w:val="0"/>
          <w:numId w:val="7"/>
        </w:numPr>
        <w:rPr>
          <w:noProof/>
        </w:rPr>
      </w:pPr>
      <w:r w:rsidRPr="00347FC0">
        <w:rPr>
          <w:noProof/>
        </w:rPr>
        <w:t xml:space="preserve">M. N. Ashtiani and B. Raahemi, "News-based intelligent prediction of financial markets using text mining and machine learning: A systematic literature review," </w:t>
      </w:r>
      <w:r w:rsidRPr="00347FC0">
        <w:rPr>
          <w:i/>
          <w:noProof/>
        </w:rPr>
        <w:t xml:space="preserve">Expert Systems with Applications, </w:t>
      </w:r>
      <w:r w:rsidRPr="00347FC0">
        <w:rPr>
          <w:noProof/>
        </w:rPr>
        <w:t>vol. 217, p. 119509, 2023.</w:t>
      </w:r>
    </w:p>
    <w:p w14:paraId="2C1730FD" w14:textId="701EA6A4" w:rsidR="00347FC0" w:rsidRPr="00347FC0" w:rsidRDefault="00347FC0" w:rsidP="00347FC0">
      <w:pPr>
        <w:pStyle w:val="Reference"/>
        <w:numPr>
          <w:ilvl w:val="0"/>
          <w:numId w:val="7"/>
        </w:numPr>
        <w:rPr>
          <w:noProof/>
        </w:rPr>
      </w:pPr>
      <w:r w:rsidRPr="00347FC0">
        <w:rPr>
          <w:noProof/>
        </w:rPr>
        <w:t xml:space="preserve">J. Schrank, "The impact of a crisis on monetary policy’s influence on financial markets: Evidence from the COVID-19 pandemic," </w:t>
      </w:r>
      <w:r w:rsidRPr="00347FC0">
        <w:rPr>
          <w:i/>
          <w:noProof/>
        </w:rPr>
        <w:t xml:space="preserve">Cogent Economics &amp; Finance, </w:t>
      </w:r>
      <w:r w:rsidRPr="00347FC0">
        <w:rPr>
          <w:noProof/>
        </w:rPr>
        <w:t>vol. 12, no. 1, p. 2322874, 2024.</w:t>
      </w:r>
    </w:p>
    <w:p w14:paraId="7B952552" w14:textId="62EBD770" w:rsidR="00347FC0" w:rsidRPr="00347FC0" w:rsidRDefault="00347FC0" w:rsidP="00347FC0">
      <w:pPr>
        <w:pStyle w:val="Reference"/>
        <w:numPr>
          <w:ilvl w:val="0"/>
          <w:numId w:val="7"/>
        </w:numPr>
        <w:rPr>
          <w:noProof/>
        </w:rPr>
      </w:pPr>
      <w:r w:rsidRPr="00347FC0">
        <w:rPr>
          <w:noProof/>
        </w:rPr>
        <w:t xml:space="preserve">S. Ashraf, A. M. M. de Almeida, I. Naz, and R. Latief, "Diversification of the Islamic stock market, Bitcoin, and Bullions in response to the Russia-Ukraine conflict and the COVID-19 outbreak," </w:t>
      </w:r>
      <w:r w:rsidRPr="00347FC0">
        <w:rPr>
          <w:i/>
          <w:noProof/>
        </w:rPr>
        <w:t xml:space="preserve">Heliyon, </w:t>
      </w:r>
      <w:r w:rsidRPr="00347FC0">
        <w:rPr>
          <w:noProof/>
        </w:rPr>
        <w:t>vol. 9, no. 8, p. e19023, 2023.</w:t>
      </w:r>
    </w:p>
    <w:p w14:paraId="0BB580A7" w14:textId="0CB4D941" w:rsidR="00347FC0" w:rsidRPr="00347FC0" w:rsidRDefault="00347FC0" w:rsidP="00347FC0">
      <w:pPr>
        <w:pStyle w:val="Reference"/>
        <w:numPr>
          <w:ilvl w:val="0"/>
          <w:numId w:val="7"/>
        </w:numPr>
        <w:rPr>
          <w:noProof/>
        </w:rPr>
      </w:pPr>
      <w:r w:rsidRPr="00347FC0">
        <w:rPr>
          <w:noProof/>
        </w:rPr>
        <w:t xml:space="preserve">X. Lyu and H. Hu, "The dynamic impact of monetary policy on stock market liquidity," </w:t>
      </w:r>
      <w:r w:rsidRPr="00347FC0">
        <w:rPr>
          <w:i/>
          <w:noProof/>
        </w:rPr>
        <w:t xml:space="preserve">Economic Analysis and Policy, </w:t>
      </w:r>
      <w:r w:rsidRPr="00347FC0">
        <w:rPr>
          <w:noProof/>
        </w:rPr>
        <w:t>vol. 81, pp. 388-405, 2024.</w:t>
      </w:r>
    </w:p>
    <w:p w14:paraId="76BA8E3C" w14:textId="10FF45DE" w:rsidR="00347FC0" w:rsidRPr="00347FC0" w:rsidRDefault="00347FC0" w:rsidP="00347FC0">
      <w:pPr>
        <w:pStyle w:val="Reference"/>
        <w:numPr>
          <w:ilvl w:val="0"/>
          <w:numId w:val="7"/>
        </w:numPr>
        <w:rPr>
          <w:noProof/>
        </w:rPr>
      </w:pPr>
      <w:r w:rsidRPr="00347FC0">
        <w:rPr>
          <w:noProof/>
        </w:rPr>
        <w:t>C. Zhao</w:t>
      </w:r>
      <w:r w:rsidRPr="00347FC0">
        <w:rPr>
          <w:i/>
          <w:noProof/>
        </w:rPr>
        <w:t xml:space="preserve"> et al.</w:t>
      </w:r>
      <w:r w:rsidRPr="00347FC0">
        <w:rPr>
          <w:noProof/>
        </w:rPr>
        <w:t xml:space="preserve">, "Progress and prospects of data-driven stock price forecasting research," </w:t>
      </w:r>
      <w:r w:rsidRPr="00347FC0">
        <w:rPr>
          <w:i/>
          <w:noProof/>
        </w:rPr>
        <w:t xml:space="preserve">International Journal of Cognitive Computing in Engineering, </w:t>
      </w:r>
      <w:r w:rsidRPr="00347FC0">
        <w:rPr>
          <w:noProof/>
        </w:rPr>
        <w:t>vol. 4, pp. 100-108, 2023.</w:t>
      </w:r>
    </w:p>
    <w:p w14:paraId="18A3917B" w14:textId="2C28126B" w:rsidR="00347FC0" w:rsidRPr="00347FC0" w:rsidRDefault="00347FC0" w:rsidP="00347FC0">
      <w:pPr>
        <w:pStyle w:val="Reference"/>
        <w:numPr>
          <w:ilvl w:val="0"/>
          <w:numId w:val="7"/>
        </w:numPr>
        <w:rPr>
          <w:noProof/>
        </w:rPr>
      </w:pPr>
      <w:r w:rsidRPr="00347FC0">
        <w:rPr>
          <w:noProof/>
        </w:rPr>
        <w:t xml:space="preserve">A. Pagliaro, "Forecasting significant stock market price changes using machine learning: extra trees classifier leads," </w:t>
      </w:r>
      <w:r w:rsidRPr="00347FC0">
        <w:rPr>
          <w:i/>
          <w:noProof/>
        </w:rPr>
        <w:t xml:space="preserve">Electronics, </w:t>
      </w:r>
      <w:r w:rsidRPr="00347FC0">
        <w:rPr>
          <w:noProof/>
        </w:rPr>
        <w:t>vol. 12, no. 21, p. 4551, 2023.</w:t>
      </w:r>
    </w:p>
    <w:p w14:paraId="22A9AC42" w14:textId="18575243" w:rsidR="00347FC0" w:rsidRPr="00347FC0" w:rsidRDefault="00347FC0" w:rsidP="00347FC0">
      <w:pPr>
        <w:pStyle w:val="Reference"/>
        <w:numPr>
          <w:ilvl w:val="0"/>
          <w:numId w:val="7"/>
        </w:numPr>
        <w:rPr>
          <w:noProof/>
        </w:rPr>
      </w:pPr>
      <w:r w:rsidRPr="00347FC0">
        <w:rPr>
          <w:noProof/>
        </w:rPr>
        <w:t xml:space="preserve">D. P. Gandhmal and K. Kumar, "Systematic analysis and review of stock market prediction techniques," </w:t>
      </w:r>
      <w:r w:rsidRPr="00347FC0">
        <w:rPr>
          <w:i/>
          <w:noProof/>
        </w:rPr>
        <w:t xml:space="preserve">Computer Science Review, </w:t>
      </w:r>
      <w:r w:rsidRPr="00347FC0">
        <w:rPr>
          <w:noProof/>
        </w:rPr>
        <w:t>vol. 34, p. 100190, 2019.</w:t>
      </w:r>
    </w:p>
    <w:p w14:paraId="0B7F59D9" w14:textId="68FBA170" w:rsidR="00347FC0" w:rsidRPr="00347FC0" w:rsidRDefault="00347FC0" w:rsidP="00347FC0">
      <w:pPr>
        <w:pStyle w:val="Reference"/>
        <w:numPr>
          <w:ilvl w:val="0"/>
          <w:numId w:val="7"/>
        </w:numPr>
        <w:rPr>
          <w:noProof/>
        </w:rPr>
      </w:pPr>
      <w:r w:rsidRPr="00347FC0">
        <w:rPr>
          <w:noProof/>
        </w:rPr>
        <w:t xml:space="preserve">G. Sonkavde, D. S. Dharrao, A. M. Bongale, S. T. Deokate, D. Doreswamy, and S. K. Bhat, "Forecasting stock market prices using machine learning and deep learning models: A systematic review, performance analysis and discussion of implications," </w:t>
      </w:r>
      <w:r w:rsidRPr="00347FC0">
        <w:rPr>
          <w:i/>
          <w:noProof/>
        </w:rPr>
        <w:t xml:space="preserve">International Journal of Financial Studies, </w:t>
      </w:r>
      <w:r w:rsidRPr="00347FC0">
        <w:rPr>
          <w:noProof/>
        </w:rPr>
        <w:t>vol. 11, no. 3, p. 94, 2023.</w:t>
      </w:r>
    </w:p>
    <w:p w14:paraId="69A02450" w14:textId="186D425F" w:rsidR="00347FC0" w:rsidRPr="00347FC0" w:rsidRDefault="00347FC0" w:rsidP="00347FC0">
      <w:pPr>
        <w:pStyle w:val="Reference"/>
        <w:numPr>
          <w:ilvl w:val="0"/>
          <w:numId w:val="7"/>
        </w:numPr>
        <w:rPr>
          <w:noProof/>
        </w:rPr>
      </w:pPr>
      <w:r w:rsidRPr="00347FC0">
        <w:rPr>
          <w:noProof/>
        </w:rPr>
        <w:t xml:space="preserve">B. Gülmez, "Stock price prediction with optimized deep LSTM network with artificial rabbits optimization algorithm," </w:t>
      </w:r>
      <w:r w:rsidRPr="00347FC0">
        <w:rPr>
          <w:i/>
          <w:noProof/>
        </w:rPr>
        <w:t xml:space="preserve">Expert Systems with Applications, </w:t>
      </w:r>
      <w:r w:rsidRPr="00347FC0">
        <w:rPr>
          <w:noProof/>
        </w:rPr>
        <w:t>vol. 227, p. 120346, 2023.</w:t>
      </w:r>
    </w:p>
    <w:p w14:paraId="78ED393C" w14:textId="3297F394" w:rsidR="00347FC0" w:rsidRPr="00347FC0" w:rsidRDefault="00347FC0" w:rsidP="00347FC0">
      <w:pPr>
        <w:pStyle w:val="Reference"/>
        <w:numPr>
          <w:ilvl w:val="0"/>
          <w:numId w:val="7"/>
        </w:numPr>
        <w:rPr>
          <w:noProof/>
        </w:rPr>
      </w:pPr>
      <w:r w:rsidRPr="00347FC0">
        <w:rPr>
          <w:noProof/>
        </w:rPr>
        <w:t xml:space="preserve">A. K. Yadav and V. P. Vishwakarma, "An Integrated Blockchain Based Real Time Stock Price Prediction Model by CNN, Bi LSTM and AM," </w:t>
      </w:r>
      <w:r w:rsidRPr="00347FC0">
        <w:rPr>
          <w:i/>
          <w:noProof/>
        </w:rPr>
        <w:t xml:space="preserve">Procedia Computer Science, </w:t>
      </w:r>
      <w:r w:rsidRPr="00347FC0">
        <w:rPr>
          <w:noProof/>
        </w:rPr>
        <w:t>vol. 235, pp. 2630-2640, 2024.</w:t>
      </w:r>
    </w:p>
    <w:p w14:paraId="4F1DFAE3" w14:textId="0A685008" w:rsidR="00347FC0" w:rsidRPr="00347FC0" w:rsidRDefault="00347FC0" w:rsidP="00347FC0">
      <w:pPr>
        <w:pStyle w:val="Reference"/>
        <w:numPr>
          <w:ilvl w:val="0"/>
          <w:numId w:val="7"/>
        </w:numPr>
        <w:rPr>
          <w:noProof/>
        </w:rPr>
      </w:pPr>
      <w:r w:rsidRPr="00347FC0">
        <w:rPr>
          <w:noProof/>
        </w:rPr>
        <w:t xml:space="preserve">M. Salim and A. Djunaidy, "Development of a CNN-LSTM Approach with Images as Time-Series Data Representation for Predicting Gold Prices," </w:t>
      </w:r>
      <w:r w:rsidRPr="00347FC0">
        <w:rPr>
          <w:i/>
          <w:noProof/>
        </w:rPr>
        <w:t xml:space="preserve">Procedia Computer Science, </w:t>
      </w:r>
      <w:r w:rsidRPr="00347FC0">
        <w:rPr>
          <w:noProof/>
        </w:rPr>
        <w:t>vol. 234, pp. 333-340, 2024.</w:t>
      </w:r>
    </w:p>
    <w:p w14:paraId="6B62A87C" w14:textId="5ED2FF86" w:rsidR="00347FC0" w:rsidRPr="00347FC0" w:rsidRDefault="00347FC0" w:rsidP="00347FC0">
      <w:pPr>
        <w:pStyle w:val="Reference"/>
        <w:numPr>
          <w:ilvl w:val="0"/>
          <w:numId w:val="7"/>
        </w:numPr>
        <w:rPr>
          <w:noProof/>
        </w:rPr>
      </w:pPr>
      <w:r w:rsidRPr="00347FC0">
        <w:rPr>
          <w:noProof/>
        </w:rPr>
        <w:t xml:space="preserve">I. Simonetti, C. Lubello, and L. Cappietti, "On the use of hydrodynamic modelling and random forest classifiers for the prediction of hypoxia in coastal lagoons," </w:t>
      </w:r>
      <w:r w:rsidRPr="00347FC0">
        <w:rPr>
          <w:i/>
          <w:noProof/>
        </w:rPr>
        <w:t xml:space="preserve">Science of The Total Environment, </w:t>
      </w:r>
      <w:r w:rsidRPr="00347FC0">
        <w:rPr>
          <w:noProof/>
        </w:rPr>
        <w:t>vol. 951, p. 175424, 2024.</w:t>
      </w:r>
    </w:p>
    <w:p w14:paraId="755628BB" w14:textId="5FA18F7E" w:rsidR="00347FC0" w:rsidRPr="00347FC0" w:rsidRDefault="00347FC0" w:rsidP="00347FC0">
      <w:pPr>
        <w:pStyle w:val="Reference"/>
        <w:numPr>
          <w:ilvl w:val="0"/>
          <w:numId w:val="7"/>
        </w:numPr>
        <w:rPr>
          <w:noProof/>
        </w:rPr>
      </w:pPr>
      <w:r w:rsidRPr="00347FC0">
        <w:rPr>
          <w:noProof/>
        </w:rPr>
        <w:t xml:space="preserve">A. Shebl, D. Abriha, M. Dawoud, M. A. H. Ali, and Á. Csámer, "PRISMA vs. Landsat 9 in lithological mapping− a K-fold Cross-Validation implementation with Random Forest," </w:t>
      </w:r>
      <w:r w:rsidRPr="00347FC0">
        <w:rPr>
          <w:i/>
          <w:noProof/>
        </w:rPr>
        <w:t xml:space="preserve">The Egyptian Journal of Remote Sensing and Space Sciences, </w:t>
      </w:r>
      <w:r w:rsidRPr="00347FC0">
        <w:rPr>
          <w:noProof/>
        </w:rPr>
        <w:t>vol. 27, no. 3, pp. 577-596, 2024.</w:t>
      </w:r>
    </w:p>
    <w:p w14:paraId="4A426FEE" w14:textId="540AD07B" w:rsidR="00347FC0" w:rsidRPr="00347FC0" w:rsidRDefault="00347FC0" w:rsidP="00347FC0">
      <w:pPr>
        <w:pStyle w:val="Reference"/>
        <w:numPr>
          <w:ilvl w:val="0"/>
          <w:numId w:val="7"/>
        </w:numPr>
        <w:rPr>
          <w:noProof/>
        </w:rPr>
      </w:pPr>
      <w:r w:rsidRPr="00347FC0">
        <w:rPr>
          <w:noProof/>
        </w:rPr>
        <w:t xml:space="preserve">V. J. Pasquarella, L. L. Morreale, C. F. Brown, J. B. Kilbride, and J. R. Thompson, "Not-so-random forests: Comparing voting and decision tree ensembles for characterizing partial harvest events," </w:t>
      </w:r>
      <w:r w:rsidRPr="00347FC0">
        <w:rPr>
          <w:i/>
          <w:noProof/>
        </w:rPr>
        <w:t xml:space="preserve">International Journal of Applied Earth Observation and Geoinformation, </w:t>
      </w:r>
      <w:r w:rsidRPr="00347FC0">
        <w:rPr>
          <w:noProof/>
        </w:rPr>
        <w:t>vol. 125, p. 103561, 2023.</w:t>
      </w:r>
    </w:p>
    <w:p w14:paraId="58C4920B" w14:textId="3DECD441" w:rsidR="00347FC0" w:rsidRPr="00347FC0" w:rsidRDefault="00347FC0" w:rsidP="00347FC0">
      <w:pPr>
        <w:pStyle w:val="Reference"/>
        <w:numPr>
          <w:ilvl w:val="0"/>
          <w:numId w:val="7"/>
        </w:numPr>
        <w:rPr>
          <w:noProof/>
        </w:rPr>
      </w:pPr>
      <w:r w:rsidRPr="00347FC0">
        <w:rPr>
          <w:noProof/>
        </w:rPr>
        <w:t xml:space="preserve">M. Haydar, H. Sadia, and M. T. Hossain, "Data driven forest fire susceptibility mapping in Bangladesh," </w:t>
      </w:r>
      <w:r w:rsidRPr="00347FC0">
        <w:rPr>
          <w:i/>
          <w:noProof/>
        </w:rPr>
        <w:t xml:space="preserve">Ecological Indicators, </w:t>
      </w:r>
      <w:r w:rsidRPr="00347FC0">
        <w:rPr>
          <w:noProof/>
        </w:rPr>
        <w:t>vol. 166, p. 112264, 2024.</w:t>
      </w:r>
    </w:p>
    <w:p w14:paraId="4B343955" w14:textId="7761B911" w:rsidR="00347FC0" w:rsidRPr="00347FC0" w:rsidRDefault="00347FC0" w:rsidP="00347FC0">
      <w:pPr>
        <w:pStyle w:val="Reference"/>
        <w:numPr>
          <w:ilvl w:val="0"/>
          <w:numId w:val="7"/>
        </w:numPr>
        <w:rPr>
          <w:noProof/>
        </w:rPr>
      </w:pPr>
      <w:r w:rsidRPr="00347FC0">
        <w:rPr>
          <w:noProof/>
        </w:rPr>
        <w:t xml:space="preserve">J. V. Silva, J. van Heerwaarden, P. Reidsma, A. G. Laborte, K. Tesfaye, and M. K. van Ittersum, "Big data, small explanatory and predictive power: Lessons from random forest modeling of on-farm yield variability and implications for data-driven agronomy," </w:t>
      </w:r>
      <w:r w:rsidRPr="00347FC0">
        <w:rPr>
          <w:i/>
          <w:noProof/>
        </w:rPr>
        <w:t xml:space="preserve">Field Crops Research, </w:t>
      </w:r>
      <w:r w:rsidRPr="00347FC0">
        <w:rPr>
          <w:noProof/>
        </w:rPr>
        <w:t>vol. 302, p. 109063, 2023.</w:t>
      </w:r>
    </w:p>
    <w:p w14:paraId="7122AE69" w14:textId="7B05BCA8" w:rsidR="00347FC0" w:rsidRPr="00347FC0" w:rsidRDefault="00347FC0" w:rsidP="00347FC0">
      <w:pPr>
        <w:pStyle w:val="Reference"/>
        <w:numPr>
          <w:ilvl w:val="0"/>
          <w:numId w:val="7"/>
        </w:numPr>
        <w:rPr>
          <w:noProof/>
        </w:rPr>
      </w:pPr>
      <w:r w:rsidRPr="00347FC0">
        <w:rPr>
          <w:noProof/>
        </w:rPr>
        <w:t xml:space="preserve">A. F. Kamara, E. Chen, and Z. Pan, "An ensemble of a boosted hybrid of deep learning models and technical analysis for forecasting stock prices," </w:t>
      </w:r>
      <w:r w:rsidRPr="00347FC0">
        <w:rPr>
          <w:i/>
          <w:noProof/>
        </w:rPr>
        <w:t xml:space="preserve">Information Sciences, </w:t>
      </w:r>
      <w:r w:rsidRPr="00347FC0">
        <w:rPr>
          <w:noProof/>
        </w:rPr>
        <w:t>vol. 594, pp. 1-19, 2022.</w:t>
      </w:r>
    </w:p>
    <w:p w14:paraId="2CB80B02" w14:textId="2623600F" w:rsidR="00347FC0" w:rsidRPr="00347FC0" w:rsidRDefault="00347FC0" w:rsidP="00347FC0">
      <w:pPr>
        <w:pStyle w:val="Reference"/>
        <w:numPr>
          <w:ilvl w:val="0"/>
          <w:numId w:val="7"/>
        </w:numPr>
        <w:rPr>
          <w:noProof/>
        </w:rPr>
      </w:pPr>
      <w:r w:rsidRPr="00347FC0">
        <w:rPr>
          <w:noProof/>
        </w:rPr>
        <w:t xml:space="preserve">R. J. Kuo and T.-H. Chiu, "Hybrid of jellyfish and particle swarm optimization algorithm-based support vector machine for stock market trend prediction," </w:t>
      </w:r>
      <w:r w:rsidRPr="00347FC0">
        <w:rPr>
          <w:i/>
          <w:noProof/>
        </w:rPr>
        <w:t xml:space="preserve">Applied Soft Computing, </w:t>
      </w:r>
      <w:r w:rsidRPr="00347FC0">
        <w:rPr>
          <w:noProof/>
        </w:rPr>
        <w:t>vol. 154, p. 111394, 2024.</w:t>
      </w:r>
    </w:p>
    <w:p w14:paraId="23ADADC5" w14:textId="3628F000" w:rsidR="00347FC0" w:rsidRPr="00347FC0" w:rsidRDefault="00347FC0" w:rsidP="00347FC0">
      <w:pPr>
        <w:pStyle w:val="Reference"/>
        <w:numPr>
          <w:ilvl w:val="0"/>
          <w:numId w:val="7"/>
        </w:numPr>
        <w:rPr>
          <w:noProof/>
        </w:rPr>
      </w:pPr>
      <w:r w:rsidRPr="00347FC0">
        <w:rPr>
          <w:noProof/>
        </w:rPr>
        <w:t xml:space="preserve">R. Pietukhov, M. Ahtamad, M. Faraji-Niri, and T. El-Said, "A hybrid forecasting model with logistic regression and neural networks for improving key performance indicators in supply chains," </w:t>
      </w:r>
      <w:r w:rsidRPr="00347FC0">
        <w:rPr>
          <w:i/>
          <w:noProof/>
        </w:rPr>
        <w:t xml:space="preserve">Supply Chain Analytics, </w:t>
      </w:r>
      <w:r w:rsidRPr="00347FC0">
        <w:rPr>
          <w:noProof/>
        </w:rPr>
        <w:t>vol. 4, p. 100041, 2023.</w:t>
      </w:r>
    </w:p>
    <w:p w14:paraId="31BE8ACA" w14:textId="5DF6802A" w:rsidR="00347FC0" w:rsidRPr="00347FC0" w:rsidRDefault="00347FC0" w:rsidP="00347FC0">
      <w:pPr>
        <w:pStyle w:val="Reference"/>
        <w:numPr>
          <w:ilvl w:val="0"/>
          <w:numId w:val="7"/>
        </w:numPr>
        <w:rPr>
          <w:noProof/>
        </w:rPr>
      </w:pPr>
      <w:r w:rsidRPr="00347FC0">
        <w:rPr>
          <w:noProof/>
        </w:rPr>
        <w:t xml:space="preserve">W. Chen, W. Hussain, F. Cauteruccio, and X. Zhang, "Deep Learning for Financial Time Series Prediction: A State-of-the-Art Review of Standalone and Hybrid Models," </w:t>
      </w:r>
      <w:r w:rsidRPr="00347FC0">
        <w:rPr>
          <w:i/>
          <w:noProof/>
        </w:rPr>
        <w:t xml:space="preserve">CMES-Computer Modeling in Engineering and Sciences, </w:t>
      </w:r>
      <w:r w:rsidRPr="00347FC0">
        <w:rPr>
          <w:noProof/>
        </w:rPr>
        <w:t>vol. 139, no. 1, pp. 187-224, 2023.</w:t>
      </w:r>
    </w:p>
    <w:p w14:paraId="1137B4FC" w14:textId="549FB222" w:rsidR="00347FC0" w:rsidRPr="00347FC0" w:rsidRDefault="00347FC0" w:rsidP="00347FC0">
      <w:pPr>
        <w:pStyle w:val="Reference"/>
        <w:numPr>
          <w:ilvl w:val="0"/>
          <w:numId w:val="7"/>
        </w:numPr>
        <w:rPr>
          <w:noProof/>
        </w:rPr>
      </w:pPr>
      <w:r w:rsidRPr="00347FC0">
        <w:rPr>
          <w:noProof/>
        </w:rPr>
        <w:t xml:space="preserve">A. Labib, "Towards a new approach for managing pandemics: Hybrid resilience and bowtie modelling," </w:t>
      </w:r>
      <w:r w:rsidRPr="00347FC0">
        <w:rPr>
          <w:i/>
          <w:noProof/>
        </w:rPr>
        <w:t xml:space="preserve">Safety Science, </w:t>
      </w:r>
      <w:r w:rsidRPr="00347FC0">
        <w:rPr>
          <w:noProof/>
        </w:rPr>
        <w:t>vol. 139, p. 105274, 2021.</w:t>
      </w:r>
    </w:p>
    <w:p w14:paraId="2807178A" w14:textId="1AD381F3" w:rsidR="002117E2" w:rsidRDefault="001B7693" w:rsidP="00347FC0">
      <w:pPr>
        <w:pStyle w:val="Reference"/>
        <w:rPr>
          <w:color w:val="000000"/>
        </w:rPr>
      </w:pPr>
      <w:r>
        <w:rPr>
          <w:color w:val="000000"/>
        </w:rPr>
        <w:fldChar w:fldCharType="end"/>
      </w:r>
    </w:p>
    <w:sectPr w:rsidR="002117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1FA3"/>
    <w:multiLevelType w:val="multilevel"/>
    <w:tmpl w:val="B22EFA5C"/>
    <w:lvl w:ilvl="0">
      <w:start w:val="1"/>
      <w:numFmt w:val="decimal"/>
      <w:pStyle w:val="Paragraphbullet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6B48DA"/>
    <w:multiLevelType w:val="multilevel"/>
    <w:tmpl w:val="31AE4A42"/>
    <w:lvl w:ilvl="0">
      <w:start w:val="1"/>
      <w:numFmt w:val="lowerLetter"/>
      <w:lvlText w:val="%1."/>
      <w:lvlJc w:val="left"/>
      <w:pPr>
        <w:ind w:left="644" w:hanging="359"/>
      </w:pPr>
      <w:rPr>
        <w:i w:val="0"/>
        <w:color w:val="333333"/>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4C51726B"/>
    <w:multiLevelType w:val="multilevel"/>
    <w:tmpl w:val="6C86F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CF242F"/>
    <w:multiLevelType w:val="multilevel"/>
    <w:tmpl w:val="6C86F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4C6384"/>
    <w:multiLevelType w:val="hybridMultilevel"/>
    <w:tmpl w:val="219E00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perv2zy2zsv1ew5fwvpt2lzf5x9sse92pa&quot;&gt;Referensi 254&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2117E2"/>
    <w:rsid w:val="00027C0B"/>
    <w:rsid w:val="000642DA"/>
    <w:rsid w:val="00091F3F"/>
    <w:rsid w:val="000F16BC"/>
    <w:rsid w:val="00123EFA"/>
    <w:rsid w:val="0014254F"/>
    <w:rsid w:val="00160F1F"/>
    <w:rsid w:val="001A43FB"/>
    <w:rsid w:val="001B34A0"/>
    <w:rsid w:val="001B7693"/>
    <w:rsid w:val="001E0284"/>
    <w:rsid w:val="001E56B6"/>
    <w:rsid w:val="001F0F19"/>
    <w:rsid w:val="001F19C3"/>
    <w:rsid w:val="00207F35"/>
    <w:rsid w:val="002104DA"/>
    <w:rsid w:val="002117E2"/>
    <w:rsid w:val="003248C9"/>
    <w:rsid w:val="00324C5A"/>
    <w:rsid w:val="00334ECF"/>
    <w:rsid w:val="00347FC0"/>
    <w:rsid w:val="003525D7"/>
    <w:rsid w:val="00355E40"/>
    <w:rsid w:val="00372D83"/>
    <w:rsid w:val="00392BD4"/>
    <w:rsid w:val="003B5ACF"/>
    <w:rsid w:val="003E5BCC"/>
    <w:rsid w:val="00414AF1"/>
    <w:rsid w:val="00420800"/>
    <w:rsid w:val="004343AF"/>
    <w:rsid w:val="004617B3"/>
    <w:rsid w:val="004742B9"/>
    <w:rsid w:val="00476157"/>
    <w:rsid w:val="00496963"/>
    <w:rsid w:val="004A6439"/>
    <w:rsid w:val="004B3D77"/>
    <w:rsid w:val="004D2923"/>
    <w:rsid w:val="00535403"/>
    <w:rsid w:val="0055077B"/>
    <w:rsid w:val="005944DD"/>
    <w:rsid w:val="005B456E"/>
    <w:rsid w:val="00611658"/>
    <w:rsid w:val="006232AF"/>
    <w:rsid w:val="006473EE"/>
    <w:rsid w:val="006564E4"/>
    <w:rsid w:val="0066184C"/>
    <w:rsid w:val="00673F36"/>
    <w:rsid w:val="006D06E0"/>
    <w:rsid w:val="006D2FCF"/>
    <w:rsid w:val="006F0F08"/>
    <w:rsid w:val="006F6E11"/>
    <w:rsid w:val="0072165C"/>
    <w:rsid w:val="00722F4B"/>
    <w:rsid w:val="00724806"/>
    <w:rsid w:val="0072490E"/>
    <w:rsid w:val="00737E74"/>
    <w:rsid w:val="00742CD6"/>
    <w:rsid w:val="00761BAE"/>
    <w:rsid w:val="00777FD3"/>
    <w:rsid w:val="008A45D1"/>
    <w:rsid w:val="008C02BF"/>
    <w:rsid w:val="008D5E8E"/>
    <w:rsid w:val="00915C9E"/>
    <w:rsid w:val="009247C1"/>
    <w:rsid w:val="009830AA"/>
    <w:rsid w:val="00986C9F"/>
    <w:rsid w:val="009A008B"/>
    <w:rsid w:val="009D79A6"/>
    <w:rsid w:val="009F0250"/>
    <w:rsid w:val="009F63E3"/>
    <w:rsid w:val="009F6F80"/>
    <w:rsid w:val="00A85198"/>
    <w:rsid w:val="00AC1E26"/>
    <w:rsid w:val="00B32CB5"/>
    <w:rsid w:val="00B36BEC"/>
    <w:rsid w:val="00B3790C"/>
    <w:rsid w:val="00B407B8"/>
    <w:rsid w:val="00B534C9"/>
    <w:rsid w:val="00B64CB8"/>
    <w:rsid w:val="00BA3475"/>
    <w:rsid w:val="00BA63FC"/>
    <w:rsid w:val="00BB64C5"/>
    <w:rsid w:val="00BC2494"/>
    <w:rsid w:val="00C43896"/>
    <w:rsid w:val="00C43CDB"/>
    <w:rsid w:val="00C86610"/>
    <w:rsid w:val="00CA0EC6"/>
    <w:rsid w:val="00CA166B"/>
    <w:rsid w:val="00D03F06"/>
    <w:rsid w:val="00D42EE5"/>
    <w:rsid w:val="00D61911"/>
    <w:rsid w:val="00D66B2D"/>
    <w:rsid w:val="00D70ACA"/>
    <w:rsid w:val="00D74BF5"/>
    <w:rsid w:val="00DB2341"/>
    <w:rsid w:val="00DD141A"/>
    <w:rsid w:val="00DE4680"/>
    <w:rsid w:val="00DF4AB2"/>
    <w:rsid w:val="00DF7C2F"/>
    <w:rsid w:val="00E07EE3"/>
    <w:rsid w:val="00E434DA"/>
    <w:rsid w:val="00E52BAE"/>
    <w:rsid w:val="00EB26E0"/>
    <w:rsid w:val="00ED78F3"/>
    <w:rsid w:val="00EF0157"/>
    <w:rsid w:val="00F17EA1"/>
    <w:rsid w:val="00F20C5F"/>
    <w:rsid w:val="00F25551"/>
    <w:rsid w:val="00F4692F"/>
    <w:rsid w:val="00FA6397"/>
    <w:rsid w:val="00FD7A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8BE42"/>
  <w15:docId w15:val="{8A01A25D-EC56-4C14-9701-62BFF4E1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94"/>
    <w:rPr>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uiPriority w:val="9"/>
    <w:unhideWhenUsed/>
    <w:qFormat/>
    <w:rsid w:val="005B456E"/>
    <w:pPr>
      <w:keepNext/>
      <w:spacing w:before="240" w:after="240"/>
      <w:jc w:val="center"/>
      <w:outlineLvl w:val="1"/>
    </w:pPr>
    <w:rPr>
      <w:b/>
      <w:caps/>
    </w:rPr>
  </w:style>
  <w:style w:type="paragraph" w:styleId="Heading3">
    <w:name w:val="heading 3"/>
    <w:basedOn w:val="Normal"/>
    <w:next w:val="Normal"/>
    <w:link w:val="Heading3Char"/>
    <w:uiPriority w:val="9"/>
    <w:semiHidden/>
    <w:unhideWhenUsed/>
    <w:qFormat/>
    <w:rsid w:val="00784F94"/>
    <w:pPr>
      <w:keepNext/>
      <w:spacing w:before="240" w:after="240"/>
      <w:jc w:val="center"/>
      <w:outlineLvl w:val="2"/>
    </w:pPr>
    <w:rPr>
      <w:i/>
      <w:sz w:val="20"/>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uiPriority w:val="9"/>
    <w:rsid w:val="005B456E"/>
    <w:rPr>
      <w:b/>
      <w:caps/>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5944DD"/>
    <w:rPr>
      <w:color w:val="333333"/>
      <w:lang w:eastAsia="en-U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jc w:val="center"/>
    </w:pPr>
    <w:rPr>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tabs>
        <w:tab w:val="num" w:pos="720"/>
      </w:tabs>
      <w:ind w:left="720" w:hanging="720"/>
      <w:jc w:val="both"/>
    </w:pPr>
    <w:rPr>
      <w:sz w:val="20"/>
      <w:szCs w:val="20"/>
    </w:rPr>
  </w:style>
  <w:style w:type="paragraph" w:customStyle="1" w:styleId="Reference">
    <w:name w:val="Reference"/>
    <w:basedOn w:val="Paragraph"/>
    <w:rsid w:val="00784F94"/>
    <w:pPr>
      <w:tabs>
        <w:tab w:val="num" w:pos="720"/>
      </w:tabs>
      <w:ind w:left="720" w:hanging="720"/>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ED78F3"/>
    <w:pPr>
      <w:ind w:left="720"/>
      <w:contextualSpacing/>
    </w:pPr>
  </w:style>
  <w:style w:type="paragraph" w:styleId="Caption">
    <w:name w:val="caption"/>
    <w:basedOn w:val="Normal"/>
    <w:next w:val="Normal"/>
    <w:uiPriority w:val="35"/>
    <w:unhideWhenUsed/>
    <w:qFormat/>
    <w:rsid w:val="001A43FB"/>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1B7693"/>
    <w:pPr>
      <w:jc w:val="center"/>
    </w:pPr>
    <w:rPr>
      <w:noProof/>
      <w:lang w:val="en-ID"/>
    </w:rPr>
  </w:style>
  <w:style w:type="character" w:customStyle="1" w:styleId="EndNoteBibliographyTitleChar">
    <w:name w:val="EndNote Bibliography Title Char"/>
    <w:basedOn w:val="DefaultParagraphFont"/>
    <w:link w:val="EndNoteBibliographyTitle"/>
    <w:rsid w:val="001B7693"/>
    <w:rPr>
      <w:noProof/>
      <w:szCs w:val="20"/>
      <w:lang w:val="en-ID"/>
    </w:rPr>
  </w:style>
  <w:style w:type="paragraph" w:customStyle="1" w:styleId="EndNoteBibliography">
    <w:name w:val="EndNote Bibliography"/>
    <w:basedOn w:val="Normal"/>
    <w:link w:val="EndNoteBibliographyChar"/>
    <w:rsid w:val="001B7693"/>
    <w:pPr>
      <w:jc w:val="both"/>
    </w:pPr>
    <w:rPr>
      <w:noProof/>
      <w:lang w:val="en-ID"/>
    </w:rPr>
  </w:style>
  <w:style w:type="character" w:customStyle="1" w:styleId="EndNoteBibliographyChar">
    <w:name w:val="EndNote Bibliography Char"/>
    <w:basedOn w:val="DefaultParagraphFont"/>
    <w:link w:val="EndNoteBibliography"/>
    <w:rsid w:val="001B7693"/>
    <w:rPr>
      <w:noProof/>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dhi.firmansyah@uisi.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hyperlink" Target="mailto:yos.sumantri@upnyk.ac.i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G+5K3QdddbOrRq7x8s3l1I58Xg==">CgMxLjA4AHIhMWNsZ1lWQ0c1amQyM0hqM3dVT1R5VVZ0aHpxNlVXYUtp</go:docsCustomData>
</go:gDocsCustomXmlDataStorage>
</file>

<file path=customXml/itemProps1.xml><?xml version="1.0" encoding="utf-8"?>
<ds:datastoreItem xmlns:ds="http://schemas.openxmlformats.org/officeDocument/2006/customXml" ds:itemID="{F060A6F7-F6F6-4A1B-95D4-AAA60F2B9D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Pages>
  <Words>8341</Words>
  <Characters>47548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22</cp:revision>
  <dcterms:created xsi:type="dcterms:W3CDTF">2024-08-30T12:21:00Z</dcterms:created>
  <dcterms:modified xsi:type="dcterms:W3CDTF">2024-11-07T22:00:00Z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12th edition - Harvard</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7260dfb8-77fd-302a-852b-9dad35f442b5</vt:lpwstr>
  </property>
  <property fmtid="{D5CDD505-2E9C-101B-9397-08002B2CF9AE}" pid="24" name="Mendeley Citation Style_1">
    <vt:lpwstr>http://www.zotero.org/styles/ieee</vt:lpwstr>
  </property>
</Properties>
</file>