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ED640D" w14:textId="6D698DB3" w:rsidR="00734FA0" w:rsidRPr="00073188" w:rsidRDefault="00B5764C" w:rsidP="0067462A">
      <w:pPr>
        <w:pStyle w:val="PaperTitle"/>
      </w:pPr>
      <w:bookmarkStart w:id="0" w:name="_Hlk174440887"/>
      <w:bookmarkEnd w:id="0"/>
      <w:r w:rsidRPr="00073188">
        <w:t>Conceptual Design of Refrigerant Utilization for Organic Rankine Cycle System in Hot Springs</w:t>
      </w:r>
    </w:p>
    <w:p w14:paraId="50BF688B" w14:textId="08598526" w:rsidR="00EA50A7" w:rsidRPr="00073188" w:rsidRDefault="001C07A6" w:rsidP="00784F94">
      <w:pPr>
        <w:pStyle w:val="AuthorName"/>
        <w:rPr>
          <w:b/>
          <w:szCs w:val="28"/>
        </w:rPr>
      </w:pPr>
      <w:proofErr w:type="spellStart"/>
      <w:r w:rsidRPr="00073188">
        <w:t>Andinusa</w:t>
      </w:r>
      <w:proofErr w:type="spellEnd"/>
      <w:r w:rsidRPr="00073188">
        <w:t xml:space="preserve"> </w:t>
      </w:r>
      <w:proofErr w:type="spellStart"/>
      <w:r w:rsidRPr="00073188">
        <w:t>Rahmandhika</w:t>
      </w:r>
      <w:r w:rsidR="004E7A0A" w:rsidRPr="00073188">
        <w:rPr>
          <w:vertAlign w:val="superscript"/>
        </w:rPr>
        <w:t>a</w:t>
      </w:r>
      <w:proofErr w:type="spellEnd"/>
      <w:r w:rsidR="00EA50A7" w:rsidRPr="00073188">
        <w:rPr>
          <w:vertAlign w:val="superscript"/>
        </w:rPr>
        <w:t>)</w:t>
      </w:r>
      <w:r w:rsidR="00EA50A7" w:rsidRPr="00073188">
        <w:t xml:space="preserve">, </w:t>
      </w:r>
      <w:r w:rsidRPr="00073188">
        <w:t xml:space="preserve">Dwi </w:t>
      </w:r>
      <w:proofErr w:type="spellStart"/>
      <w:r w:rsidRPr="00073188">
        <w:t>Kristian</w:t>
      </w:r>
      <w:r w:rsidR="00734FA0" w:rsidRPr="00073188">
        <w:rPr>
          <w:vertAlign w:val="superscript"/>
        </w:rPr>
        <w:t>b</w:t>
      </w:r>
      <w:proofErr w:type="spellEnd"/>
      <w:r w:rsidR="00DA6D7D" w:rsidRPr="00073188">
        <w:rPr>
          <w:vertAlign w:val="superscript"/>
        </w:rPr>
        <w:t>)</w:t>
      </w:r>
      <w:r w:rsidR="00EA50A7" w:rsidRPr="00073188">
        <w:t xml:space="preserve">, </w:t>
      </w:r>
      <w:r w:rsidR="00734FA0" w:rsidRPr="00073188">
        <w:t xml:space="preserve">Achmad </w:t>
      </w:r>
      <w:proofErr w:type="spellStart"/>
      <w:r w:rsidR="00734FA0" w:rsidRPr="00073188">
        <w:t>Fauzan</w:t>
      </w:r>
      <w:proofErr w:type="spellEnd"/>
      <w:r w:rsidR="00734FA0" w:rsidRPr="00073188">
        <w:t xml:space="preserve"> Hery </w:t>
      </w:r>
      <w:proofErr w:type="spellStart"/>
      <w:r w:rsidR="00734FA0" w:rsidRPr="00073188">
        <w:t>Soegiharto</w:t>
      </w:r>
      <w:r w:rsidR="00734FA0" w:rsidRPr="00073188">
        <w:rPr>
          <w:vertAlign w:val="superscript"/>
        </w:rPr>
        <w:t>c</w:t>
      </w:r>
      <w:proofErr w:type="spellEnd"/>
      <w:r w:rsidR="00DA6D7D" w:rsidRPr="00073188">
        <w:rPr>
          <w:vertAlign w:val="superscript"/>
        </w:rPr>
        <w:t>)</w:t>
      </w:r>
      <w:r w:rsidR="004C086A" w:rsidRPr="00073188">
        <w:t xml:space="preserve">, Ali </w:t>
      </w:r>
      <w:proofErr w:type="spellStart"/>
      <w:r w:rsidR="004C086A" w:rsidRPr="00073188">
        <w:t>Mokhtar</w:t>
      </w:r>
      <w:r w:rsidR="004C086A" w:rsidRPr="00073188">
        <w:rPr>
          <w:vertAlign w:val="superscript"/>
        </w:rPr>
        <w:t>d</w:t>
      </w:r>
      <w:proofErr w:type="spellEnd"/>
      <w:r w:rsidR="004C086A" w:rsidRPr="00073188">
        <w:rPr>
          <w:vertAlign w:val="superscript"/>
        </w:rPr>
        <w:t>)</w:t>
      </w:r>
      <w:r w:rsidR="007720BA" w:rsidRPr="00073188">
        <w:t xml:space="preserve">, </w:t>
      </w:r>
      <w:r w:rsidR="007A57AB" w:rsidRPr="00073188">
        <w:t xml:space="preserve">and </w:t>
      </w:r>
      <w:r w:rsidR="007720BA" w:rsidRPr="00073188">
        <w:t xml:space="preserve">Muhammad Iqbal Maulana Kusuma </w:t>
      </w:r>
      <w:proofErr w:type="spellStart"/>
      <w:r w:rsidR="007720BA" w:rsidRPr="00073188">
        <w:t>Wibawa</w:t>
      </w:r>
      <w:r w:rsidR="007720BA" w:rsidRPr="00073188">
        <w:rPr>
          <w:vertAlign w:val="superscript"/>
        </w:rPr>
        <w:t>e</w:t>
      </w:r>
      <w:proofErr w:type="spellEnd"/>
      <w:r w:rsidR="007720BA" w:rsidRPr="00073188">
        <w:rPr>
          <w:vertAlign w:val="superscript"/>
        </w:rPr>
        <w:t>)</w:t>
      </w:r>
    </w:p>
    <w:p w14:paraId="2F3BAB1C" w14:textId="73B29687" w:rsidR="005649A6" w:rsidRPr="00073188" w:rsidRDefault="00734FA0" w:rsidP="004E7A0A">
      <w:pPr>
        <w:pStyle w:val="AuthorAffiliation"/>
        <w:spacing w:after="240"/>
      </w:pPr>
      <w:r w:rsidRPr="00073188">
        <w:t xml:space="preserve">Department of </w:t>
      </w:r>
      <w:r w:rsidR="00B91D22" w:rsidRPr="00073188">
        <w:t xml:space="preserve">Mechanical </w:t>
      </w:r>
      <w:r w:rsidRPr="00073188">
        <w:t xml:space="preserve">Engineering, Universitas Muhammadiyah Malang, </w:t>
      </w:r>
      <w:r w:rsidR="001C07A6" w:rsidRPr="00073188">
        <w:t>M</w:t>
      </w:r>
      <w:r w:rsidRPr="00073188">
        <w:t xml:space="preserve">alang, Indonesia </w:t>
      </w:r>
    </w:p>
    <w:p w14:paraId="43014103" w14:textId="5EB01999" w:rsidR="00EA50A7" w:rsidRPr="00073188" w:rsidRDefault="005C2B16" w:rsidP="005649A6">
      <w:pPr>
        <w:pStyle w:val="AuthorEmail"/>
        <w:rPr>
          <w:shd w:val="clear" w:color="auto" w:fill="FFFFFF"/>
        </w:rPr>
      </w:pPr>
      <w:r w:rsidRPr="00073188">
        <w:rPr>
          <w:shd w:val="clear" w:color="auto" w:fill="FFFFFF"/>
          <w:vertAlign w:val="superscript"/>
        </w:rPr>
        <w:t>a)</w:t>
      </w:r>
      <w:r w:rsidR="00B634AA" w:rsidRPr="00073188">
        <w:rPr>
          <w:color w:val="0000FF"/>
          <w:sz w:val="16"/>
          <w:szCs w:val="16"/>
        </w:rPr>
        <w:t xml:space="preserve"> </w:t>
      </w:r>
      <w:r w:rsidR="001C07A6" w:rsidRPr="00073188">
        <w:t xml:space="preserve">Corresponding author: </w:t>
      </w:r>
      <w:hyperlink r:id="rId6" w:history="1">
        <w:r w:rsidR="004E7A0A" w:rsidRPr="00073188">
          <w:rPr>
            <w:rStyle w:val="Hyperlink"/>
            <w:color w:val="auto"/>
            <w:u w:val="none"/>
          </w:rPr>
          <w:t>andinusa@umm.ac.id</w:t>
        </w:r>
      </w:hyperlink>
      <w:r w:rsidR="004E7A0A" w:rsidRPr="00073188">
        <w:t xml:space="preserve"> </w:t>
      </w:r>
    </w:p>
    <w:p w14:paraId="6E88952D" w14:textId="57386C4A" w:rsidR="00EA50A7" w:rsidRPr="00073188" w:rsidRDefault="005C2B16" w:rsidP="005649A6">
      <w:pPr>
        <w:pStyle w:val="AuthorEmail"/>
      </w:pPr>
      <w:r w:rsidRPr="00073188">
        <w:rPr>
          <w:vertAlign w:val="superscript"/>
        </w:rPr>
        <w:t>b)</w:t>
      </w:r>
      <w:r w:rsidR="00734FA0" w:rsidRPr="00073188">
        <w:t xml:space="preserve"> </w:t>
      </w:r>
      <w:hyperlink r:id="rId7" w:history="1">
        <w:r w:rsidR="004E7A0A" w:rsidRPr="00073188">
          <w:rPr>
            <w:rStyle w:val="Hyperlink"/>
            <w:color w:val="auto"/>
            <w:u w:val="none"/>
          </w:rPr>
          <w:t>dwikristian@webmail.umm.ac.id</w:t>
        </w:r>
      </w:hyperlink>
      <w:r w:rsidR="004E7A0A" w:rsidRPr="00073188">
        <w:t xml:space="preserve"> </w:t>
      </w:r>
    </w:p>
    <w:p w14:paraId="2BCC3E37" w14:textId="300FC243" w:rsidR="00300407" w:rsidRPr="00073188" w:rsidRDefault="00300407" w:rsidP="005649A6">
      <w:pPr>
        <w:pStyle w:val="AuthorEmail"/>
      </w:pPr>
      <w:r w:rsidRPr="00073188">
        <w:rPr>
          <w:vertAlign w:val="superscript"/>
        </w:rPr>
        <w:t>c)</w:t>
      </w:r>
      <w:r w:rsidR="00734FA0" w:rsidRPr="00073188">
        <w:t xml:space="preserve"> </w:t>
      </w:r>
      <w:hyperlink r:id="rId8" w:history="1">
        <w:r w:rsidR="004E7A0A" w:rsidRPr="00073188">
          <w:rPr>
            <w:rStyle w:val="Hyperlink"/>
            <w:color w:val="auto"/>
            <w:u w:val="none"/>
          </w:rPr>
          <w:t>achmadfauzan@umm.ac.id</w:t>
        </w:r>
      </w:hyperlink>
      <w:r w:rsidR="004E7A0A" w:rsidRPr="00073188">
        <w:t xml:space="preserve"> </w:t>
      </w:r>
    </w:p>
    <w:p w14:paraId="6E0A9AB2" w14:textId="2C28528E" w:rsidR="004C086A" w:rsidRPr="00073188" w:rsidRDefault="004C086A" w:rsidP="004C086A">
      <w:pPr>
        <w:pStyle w:val="AuthorEmail"/>
      </w:pPr>
      <w:r w:rsidRPr="00073188">
        <w:rPr>
          <w:vertAlign w:val="superscript"/>
        </w:rPr>
        <w:t>d)</w:t>
      </w:r>
      <w:r w:rsidRPr="00073188">
        <w:t xml:space="preserve"> </w:t>
      </w:r>
      <w:hyperlink r:id="rId9" w:history="1">
        <w:r w:rsidR="004E7A0A" w:rsidRPr="00073188">
          <w:rPr>
            <w:rStyle w:val="Hyperlink"/>
            <w:color w:val="auto"/>
            <w:u w:val="none"/>
          </w:rPr>
          <w:t>mokhtar@umm.ac.id</w:t>
        </w:r>
      </w:hyperlink>
      <w:r w:rsidR="004E7A0A" w:rsidRPr="00073188">
        <w:t xml:space="preserve"> </w:t>
      </w:r>
    </w:p>
    <w:p w14:paraId="396E6CDC" w14:textId="2F70BEF4" w:rsidR="007720BA" w:rsidRPr="00073188" w:rsidRDefault="007720BA" w:rsidP="004C086A">
      <w:pPr>
        <w:pStyle w:val="AuthorEmail"/>
      </w:pPr>
      <w:r w:rsidRPr="00073188">
        <w:rPr>
          <w:vertAlign w:val="superscript"/>
        </w:rPr>
        <w:t>e)</w:t>
      </w:r>
      <w:r w:rsidRPr="00073188">
        <w:t xml:space="preserve"> </w:t>
      </w:r>
      <w:hyperlink r:id="rId10" w:history="1">
        <w:r w:rsidR="004E7A0A" w:rsidRPr="00073188">
          <w:rPr>
            <w:rStyle w:val="Hyperlink"/>
            <w:color w:val="auto"/>
            <w:u w:val="none"/>
          </w:rPr>
          <w:t>miqbalmaulanakwpmb@gmail.com</w:t>
        </w:r>
      </w:hyperlink>
      <w:r w:rsidR="004E7A0A" w:rsidRPr="00073188">
        <w:t xml:space="preserve"> </w:t>
      </w:r>
    </w:p>
    <w:p w14:paraId="128B343A" w14:textId="0A720902" w:rsidR="00CA3BBC" w:rsidRPr="00073188" w:rsidRDefault="00EA50A7" w:rsidP="00CA3BBC">
      <w:pPr>
        <w:pStyle w:val="Abstract"/>
        <w:rPr>
          <w:color w:val="333333"/>
          <w:szCs w:val="18"/>
        </w:rPr>
      </w:pPr>
      <w:r w:rsidRPr="00073188">
        <w:rPr>
          <w:b/>
        </w:rPr>
        <w:t>Abstract</w:t>
      </w:r>
      <w:r w:rsidR="00784F94" w:rsidRPr="00073188">
        <w:rPr>
          <w:b/>
        </w:rPr>
        <w:t xml:space="preserve">. </w:t>
      </w:r>
      <w:r w:rsidRPr="00073188">
        <w:t xml:space="preserve"> </w:t>
      </w:r>
      <w:r w:rsidR="00135DB9" w:rsidRPr="00073188">
        <w:rPr>
          <w:rStyle w:val="Emphasis"/>
          <w:szCs w:val="18"/>
        </w:rPr>
        <w:t xml:space="preserve">Utilization of low enthalpy heat is an alternative solution to energy scarcity. One of the geothermal sources produces a hot water reservoir that has not been optimally exploited. This study aims to obtain a comparative power value from the conceptual design made in the Organic Rankine Cycle utilizing hot water sources. This study is a simulation method using </w:t>
      </w:r>
      <w:proofErr w:type="spellStart"/>
      <w:r w:rsidR="00135DB9" w:rsidRPr="00073188">
        <w:rPr>
          <w:rStyle w:val="Emphasis"/>
          <w:szCs w:val="18"/>
        </w:rPr>
        <w:t>Cyclepad</w:t>
      </w:r>
      <w:proofErr w:type="spellEnd"/>
      <w:r w:rsidR="00135DB9" w:rsidRPr="00073188">
        <w:rPr>
          <w:rStyle w:val="Emphasis"/>
          <w:szCs w:val="18"/>
        </w:rPr>
        <w:t xml:space="preserve"> software. Refrigerants used as working fluids are R134a and R22. The input of a hot water reservoir of 60 degrees Celsius is used to heat the refrigerant to a temperature of 55 degrees Celsius at a pressure of up to 1400 kPa. The mass flow rate of the working fluid used is 1 kg / s. Based on the results of the study, R134a can produce a turbine power of 20.69 kW. While refrigerant R22 can produce a turbine power of 17.68 kW. The study's results indicate that the influence of the refrigerant boiling point parameter affects the temperature and pressure range of the ORC cycle operation. A boiling point that does not match the reservoir will limit the production of turbine power in a large range.</w:t>
      </w:r>
    </w:p>
    <w:p w14:paraId="282ACB97" w14:textId="1DE6A381" w:rsidR="00EA50A7" w:rsidRPr="00073188" w:rsidRDefault="00EA50A7" w:rsidP="00784F94">
      <w:pPr>
        <w:pStyle w:val="Abstract"/>
      </w:pPr>
      <w:r w:rsidRPr="00073188">
        <w:rPr>
          <w:b/>
        </w:rPr>
        <w:t xml:space="preserve">Keywords: </w:t>
      </w:r>
      <w:r w:rsidR="00211E60" w:rsidRPr="00073188">
        <w:t>r</w:t>
      </w:r>
      <w:r w:rsidR="00CA256E" w:rsidRPr="00073188">
        <w:t>efrigerant</w:t>
      </w:r>
      <w:r w:rsidR="004C7E7E" w:rsidRPr="00073188">
        <w:t xml:space="preserve">, hot water </w:t>
      </w:r>
      <w:r w:rsidR="00211E60" w:rsidRPr="00073188">
        <w:t>reservoir</w:t>
      </w:r>
      <w:r w:rsidR="004C7E7E" w:rsidRPr="00073188">
        <w:t>,</w:t>
      </w:r>
      <w:r w:rsidR="00211E60" w:rsidRPr="00073188">
        <w:t xml:space="preserve"> organic </w:t>
      </w:r>
      <w:proofErr w:type="spellStart"/>
      <w:r w:rsidR="00211E60" w:rsidRPr="00073188">
        <w:t>rankine</w:t>
      </w:r>
      <w:proofErr w:type="spellEnd"/>
      <w:r w:rsidR="00211E60" w:rsidRPr="00073188">
        <w:t xml:space="preserve"> cycle,</w:t>
      </w:r>
      <w:r w:rsidR="004C7E7E" w:rsidRPr="00073188">
        <w:t xml:space="preserve"> </w:t>
      </w:r>
      <w:proofErr w:type="spellStart"/>
      <w:r w:rsidR="00211E60" w:rsidRPr="00073188">
        <w:t>c</w:t>
      </w:r>
      <w:r w:rsidR="004C7E7E" w:rsidRPr="00073188">
        <w:t>ycle</w:t>
      </w:r>
      <w:r w:rsidR="00211E60" w:rsidRPr="00073188">
        <w:t>p</w:t>
      </w:r>
      <w:r w:rsidR="004C7E7E" w:rsidRPr="00073188">
        <w:t>ad</w:t>
      </w:r>
      <w:proofErr w:type="spellEnd"/>
      <w:r w:rsidR="004C7E7E" w:rsidRPr="00073188">
        <w:t xml:space="preserve">, </w:t>
      </w:r>
      <w:r w:rsidR="00211E60" w:rsidRPr="00073188">
        <w:t>p</w:t>
      </w:r>
      <w:r w:rsidR="00CA256E" w:rsidRPr="00073188">
        <w:t>ower</w:t>
      </w:r>
    </w:p>
    <w:p w14:paraId="0CD11642" w14:textId="11C772BC" w:rsidR="00EA50A7" w:rsidRPr="00073188" w:rsidRDefault="00EA50A7" w:rsidP="00784F94">
      <w:pPr>
        <w:pStyle w:val="Heading1"/>
      </w:pPr>
      <w:r w:rsidRPr="00073188">
        <w:t>INTRODUCTION</w:t>
      </w:r>
    </w:p>
    <w:p w14:paraId="57791C30" w14:textId="5A8C96FA" w:rsidR="0047399B" w:rsidRPr="0067462A" w:rsidRDefault="0047399B" w:rsidP="0067462A">
      <w:pPr>
        <w:pStyle w:val="Paragraph"/>
        <w:rPr>
          <w:rStyle w:val="Emphasis"/>
        </w:rPr>
      </w:pPr>
      <w:r w:rsidRPr="0067462A">
        <w:rPr>
          <w:rStyle w:val="Emphasis"/>
        </w:rPr>
        <w:t>The utilization of renewable energy sources is increasingly becoming a major focus in efforts to reduce dependence on fossil fuels, which aims to improve global energy sustainability</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{"citationItems":[{"id":"ITEM-1","itemData":{"DOI":"10.1016/j.enconman.2020.112473","ISSN":"01968904","abstract":"Nowadays, industrials and researchers are looking for renewable energy resources due to the increase of energy demand. Recently, the ability of combined turbines in harnessing energy from water current has increased their renewed interest. However, there still exist a big knowledge gap to select the optimal design of these turbines. In this paper, systematic studies of stand-alone helical Savonius and delta bladed Darrieus turbines were carried out using experimental methods as a precursor to analyze their roles in hybrid configuration. By varying the attachment angle, two hybrid configurations were tested experimentally. Using the optimal attachment angle, six hybrid configurations were investigated numerically based on the commercial software ANSYS FLUENT 17.0. From one configuration to another, only the design of the Savonius turbine was changed. The maximum power coefficient is found to be equal to 0.191 at tip-speed ratio of 0.63 using a helical bladed Savonius turbine with twist angle of 90°. However, the maximum power coefficient reaches 0.232 using a delta bladed Savonius turbine with the same twist angle. This optimization of the novel combined water turbine could be a solution to enhance the generated power.","author":[{"dropping-particle":"","family":"Mosbahi","given":"Mabrouk","non-dropping-particle":"","parse-names":false,"suffix":""},{"dropping-particle":"","family":"Ayadi","given":"Ahmed","non-dropping-particle":"","parse-names":false,"suffix":""},{"dropping-particle":"","family":"Chouaibi","given":"Youssef","non-dropping-particle":"","parse-names":false,"suffix":""},{"dropping-particle":"","family":"Driss","given":"Zied","non-dropping-particle":"","parse-names":false,"suffix":""},{"dropping-particle":"","family":"Tucciarelli","given":"Tullio","non-dropping-particle":"","parse-names":false,"suffix":""}],"container-title":"Energy Conversion and Management","id":"ITEM-1","issue":"January","issued":{"date-parts":[["2020"]]},"page":"112473","publisher":"Elsevier","title":"Performance improvement of a novel combined water turbine","type":"article-journal","volume":"205"},"uris":["http://www.mendeley.com/documents/?uuid=d50ee9c2-5e18-4fd2-b902-d382a1c01676"]}],"mendeley":{"formattedCitation":"[1]","plainTextFormattedCitation":"[1]","previouslyFormattedCitation":"[1]"},"properties":{"noteIndex":0},"schema":"https://github.com/citation-style-language/schema/raw/master/csl-citation.json"}</w:instrText>
      </w:r>
      <w:r w:rsidR="001E264C" w:rsidRPr="0067462A">
        <w:rPr>
          <w:rStyle w:val="Emphasis"/>
        </w:rPr>
        <w:fldChar w:fldCharType="separate"/>
      </w:r>
      <w:r w:rsidR="001E264C" w:rsidRPr="0067462A">
        <w:rPr>
          <w:rStyle w:val="Emphasis"/>
        </w:rPr>
        <w:t>[1]</w:t>
      </w:r>
      <w:r w:rsidR="001E264C" w:rsidRPr="0067462A">
        <w:rPr>
          <w:rStyle w:val="Emphasis"/>
        </w:rPr>
        <w:fldChar w:fldCharType="end"/>
      </w:r>
      <w:r w:rsidRPr="0067462A">
        <w:rPr>
          <w:rStyle w:val="Emphasis"/>
        </w:rPr>
        <w:t>. One promising technology is the steam turbine, which uses hot water sources as primary energy</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{"citationItems":[{"id":"ITEM-1","itemData":{"DOI":"10.1016/j.engfailanal.2020.104548","ISSN":"13506307","abstract":"Today, the use of shell and tube heat exchangers has become widespread and they are used in various industries under very diverse operating conditions. Specific operating conditions make it possible to consider and simulate the operating terms and failure conditions of these converters. In this study, the design of a shell-and-tube counter-flow heat exchanger in AutoCAD software is first considered, and the system is then meshed and simulated in ANSYS 2019 software. Simulation results of temperature, pressure, heat flux and fluid velocity within the system are reported in order to understand the system performance. Failure conditions are evaluated according to the ASME VIII Boiler and Pressure Vessel Code, and the results of equivalent thermal stress analysis and system lifetime under two extreme loading conditions are reported. The highest equivalent thermal stresses under these extreme load conditions occur at the joints of the tubes and tubes sheet and is equal to 641 and 931 MPa, respectively. Also, the lifetimes of tubes and tube sheets are 105 and 104 cycles respectively for the valley and peak load conditions.","author":[{"dropping-particle":"","family":"Hoseinzadeh","given":"Siamak","non-dropping-particle":"","parse-names":false,"suffix":""},{"dropping-particle":"","family":"Heyns","given":"P. Stephan","non-dropping-particle":"","parse-names":false,"suffix":""}],"container-title":"Engineering Failure Analysis","id":"ITEM-1","issue":"February","issued":{"date-parts":[["2020"]]},"page":"104548","publisher":"Elsevier","title":"Thermo-structural fatigue and lifetime analysis of a heat exchanger as a feedwater heater in power plant","type":"article-journal","volume":"113"},"uris":["http://www.mendeley.com/documents/?uuid=bb6d0209-1fb3-4554-b462-de2db0325d93"]}],"mendeley":{"formattedCitation":"[2]","plainTextFormattedCitation":"[2]","previouslyFormattedCitation":"[2]"},"properties":{"noteIndex":0},"schema":"https://github.com/citation-style-language/schema/raw/master/csl-citation.json"}</w:instrText>
      </w:r>
      <w:r w:rsidR="001E264C" w:rsidRPr="0067462A">
        <w:rPr>
          <w:rStyle w:val="Emphasis"/>
        </w:rPr>
        <w:fldChar w:fldCharType="separate"/>
      </w:r>
      <w:r w:rsidR="001E264C" w:rsidRPr="0067462A">
        <w:rPr>
          <w:rStyle w:val="Emphasis"/>
        </w:rPr>
        <w:t>[2]</w:t>
      </w:r>
      <w:r w:rsidR="001E264C" w:rsidRPr="0067462A">
        <w:rPr>
          <w:rStyle w:val="Emphasis"/>
        </w:rPr>
        <w:fldChar w:fldCharType="end"/>
      </w:r>
      <w:r w:rsidRPr="0067462A">
        <w:rPr>
          <w:rStyle w:val="Emphasis"/>
        </w:rPr>
        <w:t xml:space="preserve">. This study has a clear objective, namely to conduct an in-depth analysis of the power generated by the steam turbine using the </w:t>
      </w:r>
      <w:proofErr w:type="spellStart"/>
      <w:r w:rsidRPr="0067462A">
        <w:rPr>
          <w:rStyle w:val="Emphasis"/>
        </w:rPr>
        <w:t>CyclePad</w:t>
      </w:r>
      <w:proofErr w:type="spellEnd"/>
      <w:r w:rsidRPr="0067462A">
        <w:rPr>
          <w:rStyle w:val="Emphasis"/>
        </w:rPr>
        <w:t xml:space="preserve"> application, a very effective tool in modeling and optimizing the thermal cycle in the steam turbine system. Thus, the application can improve the efficiency and overall performance of the system</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{"citationItems":[{"id":"ITEM-1","itemData":{"DOI":"10.1080/23311916.2022.2075131","ISSN":"23311916","abstract":"This study proposes a new combined cooling, heating and power (CCHP) system applied for geothermal energy. In the proposed system, a water heater is introduced to utilize the exhaust geothermal water for supplying heating, and the throttled valve of the basic flash cycle is replaced by an ejector for cooling output. To evaluate the system performance, detailed mathematic models are established and validated. Based on the basic condition (170°C geothermal water), the exergy efficiency of the proposed system is 44.34% and the sum of the power, cooling output and heating output is 10,283.68 kW. Also, the exergy loss analysis demonstrates that the component of the water heater, ejector, turbine, condenser and flasher has a large improved space to reduce the exergy destructions for system performance enhancement. At last, the parametric analysis results suggest that there exists an optimal flash pressure (around 140 kPa) to maximize the exergy efficiency. Within the discussed ranges, both the increase of the outlet temperature of water heater and condenser temperature will damage the system exergy efficiency, while a higher evaporator temperature is beneficial for the system exergy efficiency.","author":[{"dropping-particle":"","family":"Wang","given":"Yang","non-dropping-particle":"","parse-names":false,"suffix":""},{"dropping-particle":"","family":"Yang","given":"Li","non-dropping-particle":"","parse-names":false,"suffix":""},{"dropping-particle":"","family":"Ma","given":"Tingshuang","non-dropping-particle":"","parse-names":false,"suffix":""},{"dropping-particle":"","family":"Yu","given":"Xiaobing","non-dropping-particle":"","parse-names":false,"suffix":""},{"dropping-particle":"","family":"Ju","given":"Wenping","non-dropping-particle":"","parse-names":false,"suffix":""},{"dropping-particle":"","family":"Huang","given":"Jiasi","non-dropping-particle":"","parse-names":false,"suffix":""},{"dropping-particle":"","family":"Yan","given":"Fei","non-dropping-particle":"","parse-names":false,"suffix":""}],"container-title":"Cogent Engineering","id":"ITEM-1","issue":"1","issued":{"date-parts":[["2022"]]},"publisher":"Cogent OA","title":"Proposal and comprehensive thermodynamic performance analysis of a new geothermal combined cooling, heating and power system","type":"article-journal","volume":"9"},"uris":["http://www.mendeley.com/documents/?uuid=ae9e271d-46ff-3021-92e8-390e2c0f17ad"]}],"mendeley":{"formattedCitation":"[3]","plainTextFormattedCitation":"[3]","previouslyFormattedCitation":"[3]"},"properties":{"noteIndex":0},"schema":"https://github.com/citation-style-language/schema/raw/master/csl-citation.json"}</w:instrText>
      </w:r>
      <w:r w:rsidR="001E264C" w:rsidRPr="0067462A">
        <w:rPr>
          <w:rStyle w:val="Emphasis"/>
        </w:rPr>
        <w:fldChar w:fldCharType="separate"/>
      </w:r>
      <w:r w:rsidR="001E264C" w:rsidRPr="0067462A">
        <w:rPr>
          <w:rStyle w:val="Emphasis"/>
        </w:rPr>
        <w:t>[3]</w:t>
      </w:r>
      <w:r w:rsidR="001E264C" w:rsidRPr="0067462A">
        <w:rPr>
          <w:rStyle w:val="Emphasis"/>
        </w:rPr>
        <w:fldChar w:fldCharType="end"/>
      </w:r>
      <w:r w:rsidRPr="0067462A">
        <w:rPr>
          <w:rStyle w:val="Emphasis"/>
        </w:rPr>
        <w:t xml:space="preserve">. </w:t>
      </w:r>
    </w:p>
    <w:p w14:paraId="53672903" w14:textId="44107CAD" w:rsidR="00C60735" w:rsidRPr="0067462A" w:rsidRDefault="0047399B" w:rsidP="0067462A">
      <w:pPr>
        <w:pStyle w:val="Paragraph"/>
        <w:rPr>
          <w:rStyle w:val="Emphasis"/>
        </w:rPr>
      </w:pPr>
      <w:r w:rsidRPr="0067462A">
        <w:rPr>
          <w:rStyle w:val="Emphasis"/>
        </w:rPr>
        <w:t xml:space="preserve">In this chapter, the theoretical basis will be discussed, including the working principle of the steam turbine, the applied thermal cycle, and the analysis method using the </w:t>
      </w:r>
      <w:proofErr w:type="spellStart"/>
      <w:r w:rsidRPr="0067462A">
        <w:rPr>
          <w:rStyle w:val="Emphasis"/>
        </w:rPr>
        <w:t>CyclePad</w:t>
      </w:r>
      <w:proofErr w:type="spellEnd"/>
      <w:r w:rsidRPr="0067462A">
        <w:rPr>
          <w:rStyle w:val="Emphasis"/>
        </w:rPr>
        <w:t xml:space="preserve"> application</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{"citationItems":[{"id":"ITEM-1","itemData":{"abstract":"The third stage of the Nesjavellir combined power plant was commissioned in late 1998 after a record construction period of only 22 months. Two 30 MW turbine generator units were installed and considerable modifications of the thermal power plant were made. The nominal capacity of the plant is now 60 MW e electric and 200 MW t thermal power. Geothermal steam and water from 10 production wells are gathered in a central separator station, supplying up to 132 kg/s of steam and 240 kg/s of water. Electricity is generated in two condensing steam turbine units. The exhaust steam from the turbines is used to preheat fresh water in the condensers. The separated geothermal water is used in heat exchangers to heat the preheated water up to the required temperature. Finally, the water is treated in de-aerators to suit the requirements of the distribution system. Thus, the steam and the separated geothermal water are utilised, in the most economical way possible, for co-generation of electric and thermal power, which is also good for the environment as less heat is released to the atmosphere than in conventional geothermal plants. The paper gives a general overview of the process, the design and the layout of the Nesjavellir plant. The main features of the equipment used are described, as well as the planned operation with load variations during summer and winter seasons to achieve an optimal use of the geothermal source.","author":[{"dropping-particle":"","family":"Ballzus","given":"Claus","non-dropping-particle":"","parse-names":false,"suffix":""},{"dropping-particle":"","family":"Frimannson","given":"Hreinn","non-dropping-particle":"","parse-names":false,"suffix":""},{"dropping-particle":"","family":"Gunnarsson","given":"Gunnar Ingi","non-dropping-particle":"","parse-names":false,"suffix":""},{"dropping-particle":"","family":"Hrolfsson","given":"Ingolfur","non-dropping-particle":"","parse-names":false,"suffix":""}],"id":"ITEM-1","issued":{"date-parts":[["0"]]},"title":"The Geothermal Power Plant AT Nesjavellir, Iceland","type":"report"},"uris":["http://www.mendeley.com/documents/?uuid=19ff47b6-9dcd-3d1f-84a4-e7b91a06e35f"]}],"mendeley":{"formattedCitation":"[4]","plainTextFormattedCitation":"[4]","previouslyFormattedCitation":"[4]"},"properties":{"noteIndex":0},"schema":"https://github.com/citation-style-language/schema/raw/master/csl-citation.json"}</w:instrText>
      </w:r>
      <w:r w:rsidR="001E264C" w:rsidRPr="0067462A">
        <w:rPr>
          <w:rStyle w:val="Emphasis"/>
        </w:rPr>
        <w:fldChar w:fldCharType="separate"/>
      </w:r>
      <w:r w:rsidR="001E264C" w:rsidRPr="0067462A">
        <w:rPr>
          <w:rStyle w:val="Emphasis"/>
        </w:rPr>
        <w:t>[4]</w:t>
      </w:r>
      <w:r w:rsidR="001E264C" w:rsidRPr="0067462A">
        <w:rPr>
          <w:rStyle w:val="Emphasis"/>
        </w:rPr>
        <w:fldChar w:fldCharType="end"/>
      </w:r>
      <w:r w:rsidRPr="0067462A">
        <w:rPr>
          <w:rStyle w:val="Emphasis"/>
        </w:rPr>
        <w:t>. Particular emphasis is placed on the utilization of hot water sources as the main input in the thermal cycle, which directly affects the final power generated by the steam turbine</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{"citationItems":[{"id":"ITEM-1","itemData":{"DOI":"10.1016/j.engfracmech.2020.107180","ISSN":"00137944","abstract":"The fracture characteristics of fine-grained granite were examined for a potential geothermal-energy reservoir. The granite was thermally cycled in a furnace between 100 °C and 300 °C and its mechanical behavior and meso-crack characteristics were analyzed. The results indicate that thermal cycling leads to decreased fracture toughness (Keff), absorbed energy (U), longitudinal wave velocity (Pv), and increased permeability (K) in granite. These changes can be explained using the thermal fatigue accumulated damage. The ability of granite to resist fracturing is greatly reduced in the first five thermal cycles. Thermal cycling is more conducive to inducing intergranular cracks. The interconnection of intragranular and intergranular cracks causes the structure of granite to become fragmented and more likely to fail. Thus, thermal cycling deteriorates the mechanical stability of fine-grained dense granite, and allows crack networks to form more easily. The correction of crack propagation critical radius (rc) can improve the accuracy of the modified maximum tangential stress (MMTS) predictive fracture.","author":[{"dropping-particle":"","family":"Feng","given":"Gan","non-dropping-particle":"","parse-names":false,"suffix":""},{"dropping-particle":"","family":"Wang","given":"Xiaochuan","non-dropping-particle":"","parse-names":false,"suffix":""},{"dropping-particle":"","family":"Wang","given":"Man","non-dropping-particle":"","parse-names":false,"suffix":""},{"dropping-particle":"","family":"Kang","given":"Yong","non-dropping-particle":"","parse-names":false,"suffix":""}],"container-title":"Engineering Fracture Mechanics","id":"ITEM-1","issued":{"date-parts":[["2020"]]},"page":"107180","publisher":"Elsevier Ltd","title":"Experimental investigation of thermal cycling effect on fracture characteristics of granite in a geothermal-energy reservoir","type":"article-journal","volume":"235"},"uris":["http://www.mendeley.com/documents/?uuid=291113bb-2c58-4e66-8ac9-9c6b7e4baa8c"]}],"mendeley":{"formattedCitation":"[5]","plainTextFormattedCitation":"[5]","previouslyFormattedCitation":"[5]"},"properties":{"noteIndex":0},"schema":"https://github.com/citation-style-language/schema/raw/master/csl-citation.json"}</w:instrText>
      </w:r>
      <w:r w:rsidR="001E264C" w:rsidRPr="0067462A">
        <w:rPr>
          <w:rStyle w:val="Emphasis"/>
        </w:rPr>
        <w:fldChar w:fldCharType="separate"/>
      </w:r>
      <w:r w:rsidR="001E264C" w:rsidRPr="0067462A">
        <w:rPr>
          <w:rStyle w:val="Emphasis"/>
        </w:rPr>
        <w:t>[5]</w:t>
      </w:r>
      <w:r w:rsidR="001E264C" w:rsidRPr="0067462A">
        <w:rPr>
          <w:rStyle w:val="Emphasis"/>
        </w:rPr>
        <w:fldChar w:fldCharType="end"/>
      </w:r>
      <w:r w:rsidRPr="0067462A">
        <w:rPr>
          <w:rStyle w:val="Emphasis"/>
        </w:rPr>
        <w:t>. The purpose of the analysis carried out is to provide a deeper understanding of the factors that influence the efficiency and performance of the steam turbine in the context of renewable energy utilization</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{"citationItems":[{"id":"ITEM-1","itemData":{"ISSN":"2286-3540","abstract":"The paper analyzes the possibilities of increasing energy efficiency of an existent centralized heating system from Calimanesti City, Valcea County, which uses geothermal water. The analysis of the utilization a heat pump to recover the heat from the hot waste geothermal water, with a temperature over 50 o C, it is highlights a rising of the heat system efficiency with 133%, in relation to current mode of exploitation. Also, it was analyzed the use of the associated combustible gases to acting a micro gas turbine cogeneration unit to enlarge the capacity of the system. It was highlighted the possibility of an independent functioning of the heating system, without any fuel consumption from another sources.","author":[{"dropping-particle":"","family":"Lipan","given":"Laurențiu","non-dropping-particle":"","parse-names":false,"suffix":""},{"dropping-particle":"","family":"Dimitriu","given":"Sorin","non-dropping-particle":"","parse-names":false,"suffix":""}],"container-title":"U.P.B. Sci. Bull., Series C","id":"ITEM-1","issued":{"date-parts":[["0"]]},"page":"2020","title":"Possibilities To Use The Energy Of Geothermal Water In A Centralized Heating System","type":"article-journal","volume":"82"},"uris":["http://www.mendeley.com/documents/?uuid=131c9990-1f48-3832-97f0-1914302280a1"]}],"mendeley":{"formattedCitation":"[6]","plainTextFormattedCitation":"[6]","previouslyFormattedCitation":"[6]"},"properties":{"noteIndex":0},"schema":"https://github.com/citation-style-language/schema/raw/master/csl-citation.json"}</w:instrText>
      </w:r>
      <w:r w:rsidR="001E264C" w:rsidRPr="0067462A">
        <w:rPr>
          <w:rStyle w:val="Emphasis"/>
        </w:rPr>
        <w:fldChar w:fldCharType="separate"/>
      </w:r>
      <w:r w:rsidR="001E264C" w:rsidRPr="0067462A">
        <w:rPr>
          <w:rStyle w:val="Emphasis"/>
        </w:rPr>
        <w:t>[6]</w:t>
      </w:r>
      <w:r w:rsidR="001E264C" w:rsidRPr="0067462A">
        <w:rPr>
          <w:rStyle w:val="Emphasis"/>
        </w:rPr>
        <w:fldChar w:fldCharType="end"/>
      </w:r>
      <w:r w:rsidRPr="0067462A">
        <w:rPr>
          <w:rStyle w:val="Emphasis"/>
        </w:rPr>
        <w:t>.</w:t>
      </w:r>
    </w:p>
    <w:p w14:paraId="00C48A2B" w14:textId="2F84CE7A" w:rsidR="0047399B" w:rsidRPr="0067462A" w:rsidRDefault="0047399B" w:rsidP="0067462A">
      <w:pPr>
        <w:pStyle w:val="Paragraph"/>
        <w:rPr>
          <w:rStyle w:val="Emphasis"/>
        </w:rPr>
      </w:pPr>
      <w:r w:rsidRPr="0067462A">
        <w:rPr>
          <w:rStyle w:val="Emphasis"/>
        </w:rPr>
        <w:t>Through an integrated analytical and computational approach, this study is expected to make a significant contribution to the development of renewable energy technology</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{"citationItems":[{"id":"ITEM-1","itemData":{"abstract":"Geothermal energy is energy created by the heat of the Earth. To extract energy from the underground, water is most times used as the heat carrier. As the crust is highly fractured and thus permeable to fluids, surface water, in most cases rainwater, penetrates at depth and exchanges heat with the rocks. Two main forms of heat transfer occur within the crust: conduction and convection. Where rocks are much fractured and circulating fluids are abundant, the resulting convective heat transfer is very efficient and can be easily exploited by drilling wells and discharge the hot fluids to the surface. The Earth's geothermal resources are theoretically more than adequate to supply humanity's energy needs, but only a very small fraction may be profitably exploited. Drilling and exploration for deep resources is very expensive. Forecasts for the future of geothermal power depend on assumptions about technology, energy prices, subsidies, plate boundary movement and interest rates. Geothermal energy is a well-established and relatively mature form of commercial renewable energy characterized by a high load factor, which means that its installed capacity produces significantly more electricity during a year than other sources like wind and solar power plants. Geothermal power plants provide stable production output, unaffected by weather or climate, resulting in high capacity factors ranging from 60% to 90% which is ideal for making the technology suitable for base load electricity production.","author":[{"dropping-particle":"","family":"Igwe","given":"Chijindu Ikechukwu","non-dropping-particle":"","parse-names":false,"suffix":""}],"id":"ITEM-1","issued":{"date-parts":[["0"]]},"title":"Geothermal Energy: A Review","type":"report"},"uris":["http://www.mendeley.com/documents/?uuid=7cb1a03d-e0ed-36c5-ba5a-3659504bb337"]}],"mendeley":{"formattedCitation":"[7]","plainTextFormattedCitation":"[7]","previouslyFormattedCitation":"[7]"},"properties":{"noteIndex":0},"schema":"https://github.com/citation-style-language/schema/raw/master/csl-citation.json"}</w:instrText>
      </w:r>
      <w:r w:rsidR="001E264C" w:rsidRPr="0067462A">
        <w:rPr>
          <w:rStyle w:val="Emphasis"/>
        </w:rPr>
        <w:fldChar w:fldCharType="separate"/>
      </w:r>
      <w:r w:rsidR="001E264C" w:rsidRPr="0067462A">
        <w:rPr>
          <w:rStyle w:val="Emphasis"/>
        </w:rPr>
        <w:t>[7]</w:t>
      </w:r>
      <w:r w:rsidR="001E264C" w:rsidRPr="0067462A">
        <w:rPr>
          <w:rStyle w:val="Emphasis"/>
        </w:rPr>
        <w:fldChar w:fldCharType="end"/>
      </w:r>
      <w:r w:rsidRPr="0067462A">
        <w:rPr>
          <w:rStyle w:val="Emphasis"/>
        </w:rPr>
        <w:t>. The main focus is to improve the efficiency of hot water resource utilization to generate electricity through steam turbines</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{"citationItems":[{"id":"ITEM-1","itemData":{"DOI":"10.3390/pr11071982","ISSN":"22279717","abstract":"It has been demonstrated that energy systems driven by conventional energy sources like fossil fuels are one of the main causes of climate change. Organic Rankine cycles can help to reduce that impact, as they can be operated by using the industrial waste heat of renewable energies. The present study presents a comprehensive bibliographic review of organic Rankine cycles. The study not only actualizes previous reviews that mainly focused on basic cycles operating on subcritical or supercritical conditions, but also includes the analysis of novel cycles such as two-stage and hybrid cycles and the used fluids. Recuperative and regenerative cycles are more efficient than reheated and basic single-stage cycles. The use of two-stage cycles makes it possible to achieve higher thermal efficiencies and net power outputs of up to 20% and 44%, respectively, compared with those obtained with single-stage cycles. Theoretical studies show that hybrid systems, including Brayton and organic Rankine cycles, are the most efficient; however, they require very high temperatures to operate. Most organic Rankine cycle plants produce net power outputs from 1 kW up to several tens of kW, mainly using microturbines and plate heat exchangers.","author":[{"dropping-particle":"","family":"Jiménez-García","given":"José C.","non-dropping-particle":"","parse-names":false,"suffix":""},{"dropping-particle":"","family":"Ruiz","given":"Alexis","non-dropping-particle":"","parse-names":false,"suffix":""},{"dropping-particle":"","family":"Pacheco-Reyes","given":"Alejandro","non-dropping-particle":"","parse-names":false,"suffix":""},{"dropping-particle":"","family":"Rivera","given":"Wilfrido","non-dropping-particle":"","parse-names":false,"suffix":""}],"container-title":"Processes","id":"ITEM-1","issue":"7","issued":{"date-parts":[["2023"]]},"title":"A Comprehensive Review of Organic Rankine Cycles","type":"article-journal","volume":"11"},"uris":["http://www.mendeley.com/documents/?uuid=24316dd8-17e3-48a4-b897-aadb9b117ad2"]}],"mendeley":{"formattedCitation":"[8]","plainTextFormattedCitation":"[8]","previouslyFormattedCitation":"[8]"},"properties":{"noteIndex":0},"schema":"https://github.com/citation-style-language/schema/raw/master/csl-citation.json"}</w:instrText>
      </w:r>
      <w:r w:rsidR="001E264C" w:rsidRPr="0067462A">
        <w:rPr>
          <w:rStyle w:val="Emphasis"/>
        </w:rPr>
        <w:fldChar w:fldCharType="separate"/>
      </w:r>
      <w:r w:rsidR="001E264C" w:rsidRPr="0067462A">
        <w:rPr>
          <w:rStyle w:val="Emphasis"/>
        </w:rPr>
        <w:t>[8]</w:t>
      </w:r>
      <w:r w:rsidR="001E264C" w:rsidRPr="0067462A">
        <w:rPr>
          <w:rStyle w:val="Emphasis"/>
        </w:rPr>
        <w:fldChar w:fldCharType="end"/>
      </w:r>
      <w:r w:rsidRPr="0067462A">
        <w:rPr>
          <w:rStyle w:val="Emphasis"/>
        </w:rPr>
        <w:t xml:space="preserve">. This study aims to investigate the potential of utilizing hot water resources as a renewable energy source, using </w:t>
      </w:r>
      <w:proofErr w:type="spellStart"/>
      <w:r w:rsidRPr="0067462A">
        <w:rPr>
          <w:rStyle w:val="Emphasis"/>
        </w:rPr>
        <w:t>CyclePad</w:t>
      </w:r>
      <w:proofErr w:type="spellEnd"/>
      <w:r w:rsidRPr="0067462A">
        <w:rPr>
          <w:rStyle w:val="Emphasis"/>
        </w:rPr>
        <w:t xml:space="preserve"> simulation as the main analysis tool</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{"citationItems":[{"id":"ITEM-1","itemData":{"abstract":"The Combi-Gen consortium has been established to design and develop geothermally sourced combined power and freshwater generation technology in eastern Africa. The proposed thermal plant consists of a total flow two-phase turbine and a passive thermal chimney for condenser operation. In a total flow system, the high pressure and temperature geothermal fluid is directly passed through the power turbine. During the expansion process, there is flash boiling, generating steam which has very high specific volume and an abrupt increase in fluid volume makes the turbine passage difficult to be designed. Due to this reason, all traditional geothermal turbines have been operated as flash steam turbine using nozzles or binary cycle plants using heat exchange with clean working cycle fluids resulting into high system losses. In this paper, a computational fluid dynamic model of the two-phase turbine has been presented. Flash boiling has been incorporated through the thermal phase change approach that is based on local thermal non-equilibrium with homogeneous nucleation in order to estimate the rate of mass transfer between the liquid and vapour phases. Using this CFD model, a Fabris turbine design has been analysed to reduce inlet and exit losses and optimize the specific work output. A 1.0 KW turbine operating at 500-800 kPa well head pressure and exhausting to atmospheric pressure has been designed with estimated fresh water recovery of 8% and isentropic power generation efficiency of 6.8%. The turbine has been analysed at three conditions of 20º, 10º subcooled and saturated inlet water temperature. The feed water flow rate was lower at higher inlet temperatures thus improving the specific power of the turbine. However, the improvement in isentropic efficiency was not observed as the available enthalpy at inlet is higher for higher feed water temperatures. Turbine power increased as the feed water temperature was increased. At saturated inlet condition, the maximum power that could be produced was 2.08 kW at 4623 rpm. Exit vapour quality improved with increase in feed water temperature and was found to be in the range 0.085 to 0.11. Full-scale Combi-Gen thermal plants will be installed at suitable wells identified in the eastern regions of Africa where active geothermal wells have been sourced by the partnering organisations.","author":[{"dropping-particle":"","family":"Rane","given":"Sham","non-dropping-particle":"","parse-names":false,"suffix":""},{"dropping-particle":"","family":"He","given":"Li","non-dropping-particle":"","parse-names":false,"suffix":""},{"dropping-particle":"","family":"Yu","given":"Zhibin","non-dropping-particle":"","parse-names":false,"suffix":""},{"dropping-particle":"","family":"Yu","given":"Guopeng","non-dropping-particle":"","parse-names":false,"suffix":""}],"id":"ITEM-1","issued":{"date-parts":[["0"]]},"title":"Design and Analysis of Two-Phase Geothermal Energy Turbine in Project Combi-Gen","type":"report"},"uris":["http://www.mendeley.com/documents/?uuid=ae4c8d2c-0d16-3f7c-98c6-5e92553b26ee"]}],"mendeley":{"formattedCitation":"[9]","plainTextFormattedCitation":"[9]","previouslyFormattedCitation":"[9]"},"properties":{"noteIndex":0},"schema":"https://github.com/citation-style-language/schema/raw/master/csl-citation.json"}</w:instrText>
      </w:r>
      <w:r w:rsidR="001E264C" w:rsidRPr="0067462A">
        <w:rPr>
          <w:rStyle w:val="Emphasis"/>
        </w:rPr>
        <w:fldChar w:fldCharType="separate"/>
      </w:r>
      <w:r w:rsidR="001E264C" w:rsidRPr="0067462A">
        <w:rPr>
          <w:rStyle w:val="Emphasis"/>
        </w:rPr>
        <w:t>[9]</w:t>
      </w:r>
      <w:r w:rsidR="001E264C" w:rsidRPr="0067462A">
        <w:rPr>
          <w:rStyle w:val="Emphasis"/>
        </w:rPr>
        <w:fldChar w:fldCharType="end"/>
      </w:r>
      <w:r w:rsidRPr="0067462A">
        <w:rPr>
          <w:rStyle w:val="Emphasis"/>
        </w:rPr>
        <w:t>. This simulation allows detailed modeling of the thermal cycle in a steam turbine, which in turn facilitates the evaluation of the efficiency and performance of the system as a whole</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{"citationItems":[{"id":"ITEM-1","itemData":{"DOI":"10.1016/j.rser.2021.110880","ISSN":"18790690","abstract":"Hydropower offers highly flexible, low-carbon generation that can be used to balance electricity grids with high levels of wind and solar penetration. This will become increasingly important as the energy transition unfolds. However, hydropower generation faces several problems when used in a flexible, fast manner (on the order of seconds) when in part-load, overload, or transient conditions. Some of these issues may be addressed by an improved understanding of how the load is measured and controlled in a hydro-turbine governing system (HTGS). This paper reviews different subsystem models and stability analysis approaches for HTGS along with their applicability in different operational conditions and design layouts. The review revealed three main challenges facing the increasing flexible use of HTGS on the grid: 1) the combination of the HTGS and shaft model, 2) the control methods of HTGS with intermittent renewable energies, and 3) the uncertain nature of load on the overall performance and stability of the hydropower system. This review can stimulate further research on HTGS models and control methods to improve grid management.","author":[{"dropping-particle":"","family":"Xu","given":"Beibei","non-dropping-particle":"","parse-names":false,"suffix":""},{"dropping-particle":"","family":"Zhang","given":"Jingjing","non-dropping-particle":"","parse-names":false,"suffix":""},{"dropping-particle":"","family":"Egusquiza","given":"Mònica","non-dropping-particle":"","parse-names":false,"suffix":""},{"dropping-particle":"","family":"Chen","given":"Diyi","non-dropping-particle":"","parse-names":false,"suffix":""},{"dropping-particle":"","family":"Li","given":"Feng","non-dropping-particle":"","parse-names":false,"suffix":""},{"dropping-particle":"","family":"Behrens","given":"Paul","non-dropping-particle":"","parse-names":false,"suffix":""},{"dropping-particle":"","family":"Egusquiza","given":"Eduard","non-dropping-particle":"","parse-names":false,"suffix":""}],"container-title":"Renewable and Sustainable Energy Reviews","id":"ITEM-1","issue":"April 2020","issued":{"date-parts":[["2021"]]},"title":"A review of dynamic models and stability analysis for a hydro-turbine governing system","type":"article-journal","volume":"144"},"uris":["http://www.mendeley.com/documents/?uuid=05d05dd2-db15-474f-9e43-dd25e5a40442"]}],"mendeley":{"formattedCitation":"[10]","plainTextFormattedCitation":"[10]","previouslyFormattedCitation":"[10]"},"properties":{"noteIndex":0},"schema":"https://github.com/citation-style-language/schema/raw/master/csl-citation.json"}</w:instrText>
      </w:r>
      <w:r w:rsidR="001E264C" w:rsidRPr="0067462A">
        <w:rPr>
          <w:rStyle w:val="Emphasis"/>
        </w:rPr>
        <w:fldChar w:fldCharType="separate"/>
      </w:r>
      <w:r w:rsidR="001E264C" w:rsidRPr="0067462A">
        <w:rPr>
          <w:rStyle w:val="Emphasis"/>
        </w:rPr>
        <w:t>[10]</w:t>
      </w:r>
      <w:r w:rsidR="001E264C" w:rsidRPr="0067462A">
        <w:rPr>
          <w:rStyle w:val="Emphasis"/>
        </w:rPr>
        <w:fldChar w:fldCharType="end"/>
      </w:r>
      <w:r w:rsidRPr="0067462A">
        <w:rPr>
          <w:rStyle w:val="Emphasis"/>
        </w:rPr>
        <w:t>.</w:t>
      </w:r>
    </w:p>
    <w:p w14:paraId="0EF53E42" w14:textId="00B39920" w:rsidR="0047399B" w:rsidRPr="0067462A" w:rsidRDefault="0047399B" w:rsidP="0067462A">
      <w:pPr>
        <w:pStyle w:val="Paragraph"/>
        <w:rPr>
          <w:rStyle w:val="Emphasis"/>
        </w:rPr>
      </w:pPr>
      <w:r w:rsidRPr="0067462A">
        <w:rPr>
          <w:rStyle w:val="Emphasis"/>
        </w:rPr>
        <w:lastRenderedPageBreak/>
        <w:t>By using this approach, it is expected to identify key parameters that affect the power production of a steam turbine based on hot water resources</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{"citationItems":[{"id":"ITEM-1","itemData":{"DOI":"10.1016/j.fuel.2020.118577","ISSN":"00162361","abstract":"This study investigates the thermodynamics performance analysis of a reheat-regenerative steam power plant using CyclePad V2.0 software. The impact of closed Feedwater Heaters (FWHs) on the functionality indices of the selected power plant was examined. Results of the study show that as the number of closed FWH increases from one to ten, the thermal efficiency and boiler efficiency rise from 42.17% to 45.97% and 79% to 96.4%, respectively. The fuel consumption, heat rejected to the condenser, heat rate, network output and heat input to the power cycle decrease from 9.697 kg/s to 4.686 kg/s, 209.32 kJ/kg to 129.68 kJ/kg, 8536.87 kJ/kWh to 8318.48 kJ/kWh, 152.22 MW to 102.89 MW and 361.11 kJ/kg to 237.98 kJ/kg, respectively as the number of FWHs increased. On the contrary, specific steam consumption increases from 0.0234 kg/kWh to 0.0370 kg/kWh. Moreover, fuel consumption decreases by 51.7% and the efficiency gain (η) successively diminish with increment in the number of closed FWHs. Also, both enthalpy rise and temperature rise increase with increase in the number of closed FWHs. As the number of heaters increases, so is the total temperature rise of feed water (Δtfw), by regeneration, less becomes the heat added to water in the boiler, more becomes the mean temperature of heat addition, and more is the cycle efficiency. This result implies that a decrease in operating cost of the plant and environmental impacts can be achieved with an increase in the number of closed FWHs. Hence, this study establishes the importance of closed FWHs in revamping the performance of a steam power plant.","author":[{"dropping-particle":"","family":"Oyedepo","given":"S. O.","non-dropping-particle":"","parse-names":false,"suffix":""},{"dropping-particle":"","family":"Fakeye","given":"B. A.","non-dropping-particle":"","parse-names":false,"suffix":""},{"dropping-particle":"","family":"Mabinuori","given":"B.","non-dropping-particle":"","parse-names":false,"suffix":""},{"dropping-particle":"","family":"Babalola","given":"P. O.","non-dropping-particle":"","parse-names":false,"suffix":""},{"dropping-particle":"","family":"Leramo","given":"R. O.","non-dropping-particle":"","parse-names":false,"suffix":""},{"dropping-particle":"","family":"Kilanko","given":"O.","non-dropping-particle":"","parse-names":false,"suffix":""},{"dropping-particle":"","family":"Dirisu","given":"J. O.","non-dropping-particle":"","parse-names":false,"suffix":""},{"dropping-particle":"","family":"Udo","given":"M.","non-dropping-particle":"","parse-names":false,"suffix":""},{"dropping-particle":"","family":"Efemwenkiekie","given":"U. K.","non-dropping-particle":"","parse-names":false,"suffix":""},{"dropping-particle":"","family":"Oyebanji","given":"J. A.","non-dropping-particle":"","parse-names":false,"suffix":""}],"container-title":"Fuel","id":"ITEM-1","issued":{"date-parts":[["2020","11","15"]]},"publisher":"Elsevier Ltd","title":"Thermodynamics analysis and performance optimization of a reheat – Regenerative steam turbine power plant with feed water heaters","type":"article-journal","volume":"280"},"uris":["http://www.mendeley.com/documents/?uuid=3e3bf41d-3775-3472-a9bd-b319bbf8e714"]}],"mendeley":{"formattedCitation":"[11]","plainTextFormattedCitation":"[11]","previouslyFormattedCitation":"[11]"},"properties":{"noteIndex":0},"schema":"https://github.com/citation-style-language/schema/raw/master/csl-citation.json"}</w:instrText>
      </w:r>
      <w:r w:rsidR="001E264C" w:rsidRPr="0067462A">
        <w:rPr>
          <w:rStyle w:val="Emphasis"/>
        </w:rPr>
        <w:fldChar w:fldCharType="separate"/>
      </w:r>
      <w:r w:rsidR="001E264C" w:rsidRPr="0067462A">
        <w:rPr>
          <w:rStyle w:val="Emphasis"/>
        </w:rPr>
        <w:t>[11]</w:t>
      </w:r>
      <w:r w:rsidR="001E264C" w:rsidRPr="0067462A">
        <w:rPr>
          <w:rStyle w:val="Emphasis"/>
        </w:rPr>
        <w:fldChar w:fldCharType="end"/>
      </w:r>
      <w:r w:rsidRPr="0067462A">
        <w:rPr>
          <w:rStyle w:val="Emphasis"/>
        </w:rPr>
        <w:t xml:space="preserve"> as well as optimal strategies to improve the efficiency of using available heat energy</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{"citationItems":[{"id":"ITEM-1","itemData":{"DOI":"10.1016/j.egyr.2022.01.212","ISSN":"23524847","abstract":"Based on the technology of heat pumps, a parallel condensing air-source heat pumps water heater systems providing domestic hot water is proposed to improve the energy efficiency of common ASHPWH system. Considering the climate in southern China, two operating modes of system are designed to adapt to the different water temperature conditions. the simulation model was built to analyzed the factors affecting system performance. Taking Changsha, China as an example, the COP and the energy consumption of system in each month are analyzed. We can find that the parallel condensing air-sources heat pumps water heater system can effectively disperse the total heating quantity by steps heating; the average COP in summer mode increases from 5.42 to 6.44, approaching 19.00%; the average COP in winter mode increases from 4.05 to 5.45, approaching 34.68%. The system has excellent energy-saving effect especially in winter.","author":[{"dropping-particle":"","family":"Wang","given":"Shouchuan","non-dropping-particle":"","parse-names":false,"suffix":""},{"dropping-particle":"","family":"Wang","given":"Qianxu","non-dropping-particle":"","parse-names":false,"suffix":""},{"dropping-particle":"","family":"Zhang","given":"Huan","non-dropping-particle":"","parse-names":false,"suffix":""},{"dropping-particle":"","family":"Wang","given":"Yuxuan","non-dropping-particle":"","parse-names":false,"suffix":""},{"dropping-particle":"","family":"Zhou","given":"Junhai","non-dropping-particle":"","parse-names":false,"suffix":""},{"dropping-particle":"","family":"Zhao","given":"Panpan","non-dropping-particle":"","parse-names":false,"suffix":""},{"dropping-particle":"","family":"Liu","given":"Jiabao","non-dropping-particle":"","parse-names":false,"suffix":""}],"container-title":"Energy Reports","id":"ITEM-1","issued":{"date-parts":[["2022","7","1"]]},"page":"398-414","publisher":"Elsevier Ltd","title":"Performance analysis on parallel condensing air-source heat pump water heater system","type":"article-journal","volume":"8"},"uris":["http://www.mendeley.com/documents/?uuid=dba9aca9-4cca-3c2d-8e3c-82117e9fe91c"]}],"mendeley":{"formattedCitation":"[12]","plainTextFormattedCitation":"[12]","previouslyFormattedCitation":"[12]"},"properties":{"noteIndex":0},"schema":"https://github.com/citation-style-language/schema/raw/master/csl-citation.json"}</w:instrText>
      </w:r>
      <w:r w:rsidR="001E264C" w:rsidRPr="0067462A">
        <w:rPr>
          <w:rStyle w:val="Emphasis"/>
        </w:rPr>
        <w:fldChar w:fldCharType="separate"/>
      </w:r>
      <w:r w:rsidR="001E264C" w:rsidRPr="0067462A">
        <w:rPr>
          <w:rStyle w:val="Emphasis"/>
        </w:rPr>
        <w:t>[12]</w:t>
      </w:r>
      <w:r w:rsidR="001E264C" w:rsidRPr="0067462A">
        <w:rPr>
          <w:rStyle w:val="Emphasis"/>
        </w:rPr>
        <w:fldChar w:fldCharType="end"/>
      </w:r>
      <w:r w:rsidRPr="0067462A">
        <w:rPr>
          <w:rStyle w:val="Emphasis"/>
        </w:rPr>
        <w:t xml:space="preserve">. This study focuses on the potential of utilizing hot water resources in </w:t>
      </w:r>
      <w:proofErr w:type="spellStart"/>
      <w:r w:rsidRPr="0067462A">
        <w:rPr>
          <w:rStyle w:val="Emphasis"/>
        </w:rPr>
        <w:t>Cangar</w:t>
      </w:r>
      <w:proofErr w:type="spellEnd"/>
      <w:r w:rsidRPr="0067462A">
        <w:rPr>
          <w:rStyle w:val="Emphasis"/>
        </w:rPr>
        <w:t>, Batu, East Java as one of the significant renewable energy potentials to generate electricity through steam turbines</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{"citationItems":[{"id":"ITEM-1","itemData":{"abstract":"&amp;lt;p&amp;gt;&amp;lt;em&amp;gt;Indonesia has the largest geothermal potential in the world by saving 40 percent of the world's geothermal resources. Geothermal energy manifestations in Indonesia are no less than 252 locations spread across Sumatra, Java, Nusa Tenggara, Bali, Sulawesi to Maluku. Indonesia has a total geothermal energy potential of 29 GWe spread throughout Indonesia. Geothermal sources that have low steam quality can be used to generate electricity with the Organic Rankin Cycle (SRO). SRO uses organic fluids which have a low boiling point so they can be used as a heat source. Utilization of SRO as Waste Heat Recovery is an increase in the use of renewable energy in Indonesia. In reducing the performance load of the cycle, the recuperator can be added as a supporting component to the Organic Rankin Cycle. By designing a recuperator the load of heating and cooling components will be lighter so that the efficiency value of the cycle will increase. The aim of this research is to design a recuperator in organic rankin cycle (SRO) by analyzing the cycle using organic fluids R123, n-pentane, and n-butane and to calculate the economic feasibility of designing a recuperator in SRO. This study used a brine temperature of 169.932 oC from a PLTP which produced the highest efficiency in an organic rankine cycle of 14.40% with n-pentane organic working fluid. The recuperator design uses n-pentane working fluid which produces a heat transfer effectiveness value of 23.76%. Heat transfer in the recuperator is influenced by the large cross-sectional area which includes the length of the pipe and the number of pipes designed. The results of the economic feasibility calculations in this study are the NPV &amp;amp;gt; 0 and the long time to return on investment using the payback period (PP) method for 4.83 years.&amp;lt;/em&amp;gt;&amp;lt;/p&amp;gt;&amp;lt;p&amp;gt;&amp;lt;strong&amp;gt;&amp;lt;em&amp;gt;&amp;amp;nbsp;Keywords&amp;lt;/em&amp;gt;&amp;lt;/strong&amp;gt;&amp;lt;em&amp;gt;: Organic Rankine Cycle (SRO), Recuperator, PLTP, brine&amp;lt;/em&amp;gt;&amp;lt;/p&amp;gt;","author":[{"dropping-particle":"","family":"Muhammad Rifqi Dwi Septian","given":"","non-dropping-particle":"","parse-names":false,"suffix":""}],"container-title":"Journal of Energy, Mechanical, Material, and Manufacturing Engineering","id":"ITEM-1","issue":"2 SE  - Articles","issued":{"date-parts":[["2023","12","31"]]},"title":"The Optimization Of Shell And Tube Cycle Recuperator Design In Organic Rankine Geothermal Power Plant","type":"article-journal","volume":"8"},"uris":["http://www.mendeley.com/documents/?uuid=b4e5ce0b-312f-46b1-a2a3-517c957a1dbb"]}],"mendeley":{"formattedCitation":"[13]","plainTextFormattedCitation":"[13]","previouslyFormattedCitation":"[13]"},"properties":{"noteIndex":0},"schema":"https://github.com/citation-style-language/schema/raw/master/csl-citation.json"}</w:instrText>
      </w:r>
      <w:r w:rsidR="001E264C" w:rsidRPr="0067462A">
        <w:rPr>
          <w:rStyle w:val="Emphasis"/>
        </w:rPr>
        <w:fldChar w:fldCharType="separate"/>
      </w:r>
      <w:r w:rsidR="001E264C" w:rsidRPr="0067462A">
        <w:rPr>
          <w:rStyle w:val="Emphasis"/>
        </w:rPr>
        <w:t>[13]</w:t>
      </w:r>
      <w:r w:rsidR="001E264C" w:rsidRPr="0067462A">
        <w:rPr>
          <w:rStyle w:val="Emphasis"/>
        </w:rPr>
        <w:fldChar w:fldCharType="end"/>
      </w:r>
      <w:r w:rsidRPr="0067462A">
        <w:rPr>
          <w:rStyle w:val="Emphasis"/>
        </w:rPr>
        <w:t>. This location is known for its large geothermal potential, which can be exploited to meet local energy needs</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{"citationItems":[{"id":"ITEM-1","itemData":{"author":[{"dropping-particle":"","family":"Sihombing","given":"Clinton","non-dropping-particle":"","parse-names":false,"suffix":""},{"dropping-particle":"","family":"Politeknik Energi dan Mineral Akamigas","given":"Cepu","non-dropping-particle":"","parse-names":false,"suffix":""}],"id":"ITEM-1","issued":{"date-parts":[["0"]]},"title":"Analisa Efisiensi Termal Turbin, Kondensor dan Menara Pendingin pada Pembangkit Listrik Tenaga Panas Bumi","type":"article-journal"},"uris":["http://www.mendeley.com/documents/?uuid=d2abf514-415e-3f91-8a26-7859a86b7e9a"]}],"mendeley":{"formattedCitation":"[14]","plainTextFormattedCitation":"[14]","previouslyFormattedCitation":"[14]"},"properties":{"noteIndex":0},"schema":"https://github.com/citation-style-language/schema/raw/master/csl-citation.json"}</w:instrText>
      </w:r>
      <w:r w:rsidR="001E264C" w:rsidRPr="0067462A">
        <w:rPr>
          <w:rStyle w:val="Emphasis"/>
        </w:rPr>
        <w:fldChar w:fldCharType="separate"/>
      </w:r>
      <w:r w:rsidR="001E264C" w:rsidRPr="0067462A">
        <w:rPr>
          <w:rStyle w:val="Emphasis"/>
        </w:rPr>
        <w:t>[14]</w:t>
      </w:r>
      <w:r w:rsidR="001E264C" w:rsidRPr="0067462A">
        <w:rPr>
          <w:rStyle w:val="Emphasis"/>
        </w:rPr>
        <w:fldChar w:fldCharType="end"/>
      </w:r>
      <w:r w:rsidRPr="0067462A">
        <w:rPr>
          <w:rStyle w:val="Emphasis"/>
        </w:rPr>
        <w:t>.</w:t>
      </w:r>
    </w:p>
    <w:p w14:paraId="285BC645" w14:textId="1ED4D8A8" w:rsidR="0047399B" w:rsidRPr="0067462A" w:rsidRDefault="0047399B" w:rsidP="0067462A">
      <w:pPr>
        <w:pStyle w:val="Paragraph"/>
        <w:rPr>
          <w:rStyle w:val="Emphasis"/>
        </w:rPr>
      </w:pPr>
      <w:r w:rsidRPr="0067462A">
        <w:rPr>
          <w:rStyle w:val="Emphasis"/>
        </w:rPr>
        <w:t xml:space="preserve">The hot water resources in </w:t>
      </w:r>
      <w:proofErr w:type="spellStart"/>
      <w:r w:rsidRPr="0067462A">
        <w:rPr>
          <w:rStyle w:val="Emphasis"/>
        </w:rPr>
        <w:t>Cangar</w:t>
      </w:r>
      <w:proofErr w:type="spellEnd"/>
      <w:r w:rsidRPr="0067462A">
        <w:rPr>
          <w:rStyle w:val="Emphasis"/>
        </w:rPr>
        <w:t>, Batu, East Java are formed through a series of complex geological processes, which generally occur in areas with high geothermal activity</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{"citationItems":[{"id":"ITEM-1","itemData":{"DOI":"10.1016/j.enconman.2020.113459","ISSN":"01968904","abstract":"Adding the regenerator to recover extra heat from the exhaust can improve the system overall performance. Based on a 10 kW organic Rankine cycle (ORC) experimental prototype, a comparison between the basic and regenerative organic Rankine cycle is investigated. The heat input is in range of 30–90 kW and R245fa is used as working fluid. The heat source temperature utilization rate is defined to appraise the heat source utilization. The detailed behaviors for heat source loop, ORC loop and cooling water loop are examined. Research demonstrates that the BORC has a better heat source temperature utilization than the RORC. RORC has a maximum thermal efficiency of 5.5%, which is 25.5% higher than BORC of 4.1%. The maximum condenser heat transfer coefficients for BORC and RORC are 501.4 W/m2 K and 1701.4 W/m2 K, respectively. The BORC has higher electrical power and generating efficiency than the RORC. The maximum generating efficiency for BORC is 3.4%, while that for RORC is 2.5%. Besides, the exergy destructions of the main components are addressed, and the evaporator has a very large percentage of exergy destruction for BORC and RORC. Therefore, system performance can be heightened by improving the temperature difference matching of the heat sources.","author":[{"dropping-particle":"","family":"Feng","given":"Yong qiang","non-dropping-particle":"","parse-names":false,"suffix":""},{"dropping-particle":"","family":"Wang","given":"Xin","non-dropping-particle":"","parse-names":false,"suffix":""},{"dropping-particle":"","family":"Niaz","given":"Hassan","non-dropping-particle":"","parse-names":false,"suffix":""},{"dropping-particle":"","family":"Hung","given":"Tzu Chen","non-dropping-particle":"","parse-names":false,"suffix":""},{"dropping-particle":"","family":"He","given":"Zhi xia","non-dropping-particle":"","parse-names":false,"suffix":""},{"dropping-particle":"","family":"Jahan Zeb","given":"Alvi","non-dropping-particle":"","parse-names":false,"suffix":""},{"dropping-particle":"","family":"Xi","given":"Huan","non-dropping-particle":"","parse-names":false,"suffix":""}],"container-title":"Energy Conversion and Management","id":"ITEM-1","issue":"October","issued":{"date-parts":[["2020"]]},"page":"113459","publisher":"Elsevier Ltd","title":"Experimental comparison of the performance of basic and regenerative organic Rankine cycles","type":"article-journal","volume":"223"},"uris":["http://www.mendeley.com/documents/?uuid=ae134a0d-ad9d-4324-8298-f8e525ec3fdd"]}],"mendeley":{"formattedCitation":"[15]","plainTextFormattedCitation":"[15]","previouslyFormattedCitation":"[15]"},"properties":{"noteIndex":0},"schema":"https://github.com/citation-style-language/schema/raw/master/csl-citation.json"}</w:instrText>
      </w:r>
      <w:r w:rsidR="001E264C" w:rsidRPr="0067462A">
        <w:rPr>
          <w:rStyle w:val="Emphasis"/>
        </w:rPr>
        <w:fldChar w:fldCharType="separate"/>
      </w:r>
      <w:r w:rsidR="001E264C" w:rsidRPr="0067462A">
        <w:rPr>
          <w:rStyle w:val="Emphasis"/>
        </w:rPr>
        <w:t>[15]</w:t>
      </w:r>
      <w:r w:rsidR="001E264C" w:rsidRPr="0067462A">
        <w:rPr>
          <w:rStyle w:val="Emphasis"/>
        </w:rPr>
        <w:fldChar w:fldCharType="end"/>
      </w:r>
      <w:r w:rsidRPr="0067462A">
        <w:rPr>
          <w:rStyle w:val="Emphasis"/>
        </w:rPr>
        <w:t xml:space="preserve">. The renewable energy potential in </w:t>
      </w:r>
      <w:proofErr w:type="spellStart"/>
      <w:r w:rsidRPr="0067462A">
        <w:rPr>
          <w:rStyle w:val="Emphasis"/>
        </w:rPr>
        <w:t>Cangar</w:t>
      </w:r>
      <w:proofErr w:type="spellEnd"/>
      <w:r w:rsidRPr="0067462A">
        <w:rPr>
          <w:rStyle w:val="Emphasis"/>
        </w:rPr>
        <w:t>, Batu, East Java includes significant geothermal resources, which can be exploited to generate electricity through technologies such as steam turbines</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{"citationItems":[{"id":"ITEM-1","itemData":{"DOI":"10.1016/j.csite.2016.11.003","ISSN":"2214157X","abstract":"A thermodynamic modeling and optimization is carried out to compare the advantages and disadvantages of organic Rankine cycle (ORC) and Kalina cycle (KC) as a bottoming cycle for waste heat recovery from CGAM cogeneration system. Thermodynamic models for combined CGAM/ORC and CGAM/KC systems are performed and the effects of some decision variables on the energy and exergy efficiency and turbine size parameter of the combined systems are investigated. Solving simulation equations and optimization process have been done using direct search method by EES software. It is observed that at the optimum pressure ratio of air compressor, produced power of bottoming cycles has minimum values. Also, evaporator pressure optimizes the performance of cycle, but this optimum pressure level in ORC (11bar) is much lower than that of Kalina (46bar). In addition, ORC's simpler configuration, higher net produced power and superheated turbine outlet flow, which leads to a reliable performance for turbine, are other advantages of ORC. Kalina turbine size parameter is lower than that of the ORC which is a positive aspect of Kalina cycle. However, by a comprehensive comparison between Kalina and ORC, it is concluded that the ORC has significant privileges for waste heat recovery in this case.","author":[{"dropping-particle":"","family":"Nemati","given":"Arash","non-dropping-particle":"","parse-names":false,"suffix":""},{"dropping-particle":"","family":"Nami","given":"Hossein","non-dropping-particle":"","parse-names":false,"suffix":""},{"dropping-particle":"","family":"Ranjbar","given":"Faramarz","non-dropping-particle":"","parse-names":false,"suffix":""},{"dropping-particle":"","family":"Yari","given":"Mortaza","non-dropping-particle":"","parse-names":false,"suffix":""}],"container-title":"Case Studies in Thermal Engineering","id":"ITEM-1","issue":"September 2016","issued":{"date-parts":[["2017"]]},"page":"1-13","publisher":"Elsevier Ltd","title":"A comparative thermodynamic analysis of ORC and Kalina cycles for waste heat recovery: A case study for CGAM cogeneration system","type":"article-journal","volume":"9"},"uris":["http://www.mendeley.com/documents/?uuid=4acd1920-3e44-41b2-8a7a-5513f7a54326"]}],"mendeley":{"formattedCitation":"[16]","plainTextFormattedCitation":"[16]","previouslyFormattedCitation":"[16]"},"properties":{"noteIndex":0},"schema":"https://github.com/citation-style-language/schema/raw/master/csl-citation.json"}</w:instrText>
      </w:r>
      <w:r w:rsidR="001E264C" w:rsidRPr="0067462A">
        <w:rPr>
          <w:rStyle w:val="Emphasis"/>
        </w:rPr>
        <w:fldChar w:fldCharType="separate"/>
      </w:r>
      <w:r w:rsidR="001E264C" w:rsidRPr="0067462A">
        <w:rPr>
          <w:rStyle w:val="Emphasis"/>
        </w:rPr>
        <w:t>[16]</w:t>
      </w:r>
      <w:r w:rsidR="001E264C" w:rsidRPr="0067462A">
        <w:rPr>
          <w:rStyle w:val="Emphasis"/>
        </w:rPr>
        <w:fldChar w:fldCharType="end"/>
      </w:r>
      <w:r w:rsidRPr="0067462A">
        <w:rPr>
          <w:rStyle w:val="Emphasis"/>
        </w:rPr>
        <w:t>. This location offers great potential in utilizing hot water sources as primary energy to support energy sustainability at the local level and contribute to national efforts in expanding Indonesia's renewable energy portfolio</w:t>
      </w:r>
      <w:r w:rsidR="00F2044D"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{"citationItems":[{"id":"ITEM-1","itemData":{"DOI":"10.1016/j.geothermics.2015.01.012","ISSN":"03756505","abstract":"Due to a good behavior of ammonia-water mixture during the two-phase heat addition process, a Kalina cycle using ammonia-water as working fluid is employed to further recover the heat of geothermal water from a flash cycle for geothermal resources. The mathematical model of the flash-binary geothermal power generation system is established to simulate the system under steady-state conditions. The effects of several key thermodynamic parameters on system performance are examined, including flash pressure, ammonia mass fraction of basic solution, ammonia-water turbine inlet pressure and temperature, and pinch point temperature difference in vapor generator. A parametric optimization is carried out to obtain the optimum system performance with the system exergy efficiency as the objective function by genetic algorithm (GA). The results show that the five thermodynamic parameters have significant effects on system performance. There exists optimum flash pressure, ammonia-water turbine inlet pressure and temperature that yield the maximum system exergy efficiency. A higher ammonia mass fraction of basic solution and a lower pinch point temperature difference in vapor generator can obtain a higher system exergy efficiency. By optimization, the optimum system exergy efficiency could reach 37.01% under the given conditions and the maximum exergy loss occurs in the vapor generator.","author":[{"dropping-particle":"","family":"Wang","given":"Jianyong","non-dropping-particle":"","parse-names":false,"suffix":""},{"dropping-particle":"","family":"Wang","given":"Jiangfeng","non-dropping-particle":"","parse-names":false,"suffix":""},{"dropping-particle":"","family":"Dai","given":"Yiping","non-dropping-particle":"","parse-names":false,"suffix":""},{"dropping-particle":"","family":"Zhao","given":"Pan","non-dropping-particle":"","parse-names":false,"suffix":""}],"container-title":"Geothermics","id":"ITEM-1","issued":{"date-parts":[["2015","5","1"]]},"page":"69-77","publisher":"Elsevier Ltd","title":"Thermodynamic analysis and optimization of a flash-binary geothermal power generation system","type":"article-journal","volume":"55"},"uris":["http://www.mendeley.com/documents/?uuid=b66545ca-647c-37bf-8710-5741bd0b51ad"]}],"mendeley":{"formattedCitation":"[17]","plainTextFormattedCitation":"[17]","previouslyFormattedCitation":"[17]"},"properties":{"noteIndex":0},"schema":"https://github.com/citation-style-language/schema/raw/master/csl-citation.json"}</w:instrText>
      </w:r>
      <w:r w:rsidR="001E264C" w:rsidRPr="0067462A">
        <w:rPr>
          <w:rStyle w:val="Emphasis"/>
        </w:rPr>
        <w:fldChar w:fldCharType="separate"/>
      </w:r>
      <w:r w:rsidR="001E264C" w:rsidRPr="0067462A">
        <w:rPr>
          <w:rStyle w:val="Emphasis"/>
        </w:rPr>
        <w:t>[17]</w:t>
      </w:r>
      <w:r w:rsidR="001E264C" w:rsidRPr="0067462A">
        <w:rPr>
          <w:rStyle w:val="Emphasis"/>
        </w:rPr>
        <w:fldChar w:fldCharType="end"/>
      </w:r>
      <w:r w:rsidRPr="0067462A">
        <w:rPr>
          <w:rStyle w:val="Emphasis"/>
        </w:rPr>
        <w:t xml:space="preserve">. </w:t>
      </w:r>
    </w:p>
    <w:p w14:paraId="15F26AAC" w14:textId="6CB863B2" w:rsidR="00C90568" w:rsidRPr="0067462A" w:rsidRDefault="0047399B" w:rsidP="0067462A">
      <w:pPr>
        <w:pStyle w:val="Paragraph"/>
        <w:rPr>
          <w:rStyle w:val="Emphasis"/>
        </w:rPr>
      </w:pPr>
      <w:r w:rsidRPr="0067462A">
        <w:rPr>
          <w:rStyle w:val="Emphasis"/>
        </w:rPr>
        <w:t xml:space="preserve">Through an analytical and computational approach using the </w:t>
      </w:r>
      <w:proofErr w:type="spellStart"/>
      <w:r w:rsidRPr="0067462A">
        <w:rPr>
          <w:rStyle w:val="Emphasis"/>
        </w:rPr>
        <w:t>CyclePad</w:t>
      </w:r>
      <w:proofErr w:type="spellEnd"/>
      <w:r w:rsidRPr="0067462A">
        <w:rPr>
          <w:rStyle w:val="Emphasis"/>
        </w:rPr>
        <w:t xml:space="preserve"> application. this study aims to identify the thermal characteristics of hot water sources in </w:t>
      </w:r>
      <w:proofErr w:type="spellStart"/>
      <w:r w:rsidRPr="0067462A">
        <w:rPr>
          <w:rStyle w:val="Emphasis"/>
        </w:rPr>
        <w:t>Cangar</w:t>
      </w:r>
      <w:proofErr w:type="spellEnd"/>
      <w:r w:rsidRPr="0067462A">
        <w:rPr>
          <w:rStyle w:val="Emphasis"/>
        </w:rPr>
        <w:t xml:space="preserve"> and optimize the thermal cycle in a steam turbine system</w:t>
      </w:r>
      <w:r w:rsidR="001A3D41" w:rsidRPr="0067462A">
        <w:rPr>
          <w:rStyle w:val="Emphasis"/>
        </w:rPr>
        <w:t xml:space="preserve"> </w:t>
      </w:r>
      <w:r w:rsidR="001E264C" w:rsidRPr="0067462A">
        <w:rPr>
          <w:rStyle w:val="Emphasis"/>
        </w:rPr>
        <w:fldChar w:fldCharType="begin" w:fldLock="1"/>
      </w:r>
      <w:r w:rsidR="001E264C" w:rsidRPr="0067462A">
        <w:rPr>
          <w:rStyle w:val="Emphasis"/>
        </w:rPr>
        <w:instrText>ADDIN CSL_CITATION {"citationItems":[{"id":"ITEM-1","itemData":{"DOI":"10.1016/j.applthermaleng.2020.115880","ISSN":"13594311","abstract":"Evaporation of flowing propane and the effect of enhanced geometry on heat transfer coefficient and pressure drop is experimentally investigated. One smooth tube and two microfinned tubes with an outer diameter of 5 mm were tested. Heat transfer coefficient and pressure drop were determined for saturation temperatures of 0, 5 and 10 °C for smooth tube, and the effect of using tubes with enhanced geometries was evaluated at heat fluxes ranging between 15 and 33 kW m−2 and mass fluxes between 250 and 500 kW m−2 s−1. The increase of heat transfer coefficient for microfinned tubes relative to smooth tube diminishes with increasing mass flux, while the increase of pressure drop remains unaffected. Comparison of the experimental results with correlations for prediction of pressure drop and heat transfer coefficient demonstrates availability of reliable correlations. Nevertheless, correlations show considerable divergence in accuracy for different microfinned tubes.","author":[{"dropping-particle":"","family":"Allymehr","given":"Ehsan","non-dropping-particle":"","parse-names":false,"suffix":""},{"dropping-particle":"","family":"Pardiñas","given":"Ángel Álvarez","non-dropping-particle":"","parse-names":false,"suffix":""},{"dropping-particle":"","family":"Eikevik","given":"Trygve Magne","non-dropping-particle":"","parse-names":false,"suffix":""},{"dropping-particle":"","family":"Hafner","given":"Armin","non-dropping-particle":"","parse-names":false,"suffix":""}],"container-title":"Applied Thermal Engineering","id":"ITEM-1","issue":"September","issued":{"date-parts":[["2020"]]},"page":"115880","publisher":"Elsevier","title":"Characteristics of evaporation of propane (R290) in compact smooth and microfinned tubes","type":"article-journal","volume":"181"},"uris":["http://www.mendeley.com/documents/?uuid=c59c7a03-cb77-478b-abf5-40927b21638f"]}],"mendeley":{"formattedCitation":"[18]","plainTextFormattedCitation":"[18]","previouslyFormattedCitation":"[18]"},"properties":{"noteIndex":0},"schema":"https://github.com/citation-style-language/schema/raw/master/csl-citation.json"}</w:instrText>
      </w:r>
      <w:r w:rsidR="001E264C" w:rsidRPr="0067462A">
        <w:rPr>
          <w:rStyle w:val="Emphasis"/>
        </w:rPr>
        <w:fldChar w:fldCharType="separate"/>
      </w:r>
      <w:r w:rsidR="001E264C" w:rsidRPr="0067462A">
        <w:rPr>
          <w:rStyle w:val="Emphasis"/>
        </w:rPr>
        <w:t>[18]</w:t>
      </w:r>
      <w:r w:rsidR="001E264C" w:rsidRPr="0067462A">
        <w:rPr>
          <w:rStyle w:val="Emphasis"/>
        </w:rPr>
        <w:fldChar w:fldCharType="end"/>
      </w:r>
      <w:r w:rsidRPr="0067462A">
        <w:rPr>
          <w:rStyle w:val="Emphasis"/>
        </w:rPr>
        <w:t>. It is hoped that effective strategies can be developed to maximize the potential of geothermal energy in this area</w:t>
      </w:r>
      <w:r w:rsidR="001A3D41" w:rsidRPr="0067462A">
        <w:rPr>
          <w:rStyle w:val="Emphasis"/>
        </w:rPr>
        <w:t xml:space="preserve"> </w:t>
      </w:r>
      <w:r w:rsidR="001E264C" w:rsidRPr="0067462A">
        <w:rPr>
          <w:rStyle w:val="Emphasis"/>
        </w:rPr>
        <w:fldChar w:fldCharType="begin" w:fldLock="1"/>
      </w:r>
      <w:r w:rsidR="00734FA0" w:rsidRPr="0067462A">
        <w:rPr>
          <w:rStyle w:val="Emphasis"/>
        </w:rPr>
        <w:instrText>ADDIN CSL_CITATION {"citationItems":[{"id":"ITEM-1","itemData":{"DOI":"10.1016/j.matpr.2021.03.072","ISSN":"22147853","abstract":"Refrigeration is a process of providing and maintaining temperature below the atmosphere. The medium used for refrigeration process is called as refrigerant. In normal refrigeration system, the heat rejected in condenser is getting wasted. We have the potential to utilize the heat rejection from the condenser. This rejected heat can be used for domestic purposes, like heating water, bathing, washing clothes and pots. The main advantage of simultaneous heating and cooling is that it can be carried out from one vapour compression refriegration (VCR) system. The effectiveness of refrigeration system relies on the refrigerant properties. However, the refrigerants used in present the world are having high potential to produce Global Warming and Ozone Depletion. The use of an eco-friendly alternative refrigerants may help to reduce the potential of Global Warming and Ozone Depletion. In this investigation, an analysis of the VCR System is conducted with two alternative refrigerants, R290 and R134a. The experiments were performed to determine the COP of the system and cooling capacity with simultaneous heating and cooling, where we had also been finding out the amount of waste heat generated at the condenser using both the refrigerants. The results showed that (COP)coolingof R134a was lower that R290 at an average of 16.43% and thereby making it more efficient for this system. Also, (COP)heatingvalue of R134a was 18.27% less than that of R290 and cooling effect of R134a was lower than 12% from R290. All the obtained results were compared graphically.","author":[{"dropping-particle":"","family":"Nikhil Babu","given":"P.","non-dropping-particle":"","parse-names":false,"suffix":""},{"dropping-particle":"","family":"Mohankumar","given":"D.","non-dropping-particle":"","parse-names":false,"suffix":""},{"dropping-particle":"","family":"Manoj Kumar","given":"P.","non-dropping-particle":"","parse-names":false,"suffix":""},{"dropping-particle":"","family":"Makeshkumar","given":"M.","non-dropping-particle":"","parse-names":false,"suffix":""},{"dropping-particle":"","family":"Gokulnath","given":"M.","non-dropping-particle":"","parse-names":false,"suffix":""},{"dropping-particle":"","family":"Gurubalaji","given":"K.","non-dropping-particle":"","parse-names":false,"suffix":""},{"dropping-particle":"","family":"Harrish","given":"G.","non-dropping-particle":"","parse-names":false,"suffix":""},{"dropping-particle":"","family":"Ashok","given":"M.","non-dropping-particle":"","parse-names":false,"suffix":""}],"container-title":"Materials Today: Proceedings","id":"ITEM-1","issued":{"date-parts":[["2021"]]},"page":"8188-8194","publisher":"Elsevier Ltd.","title":"Energy efficient refrigeration system with simultaneous heating and cooling","type":"article-journal","volume":"45"},"uris":["http://www.mendeley.com/documents/?uuid=33b170e4-ddad-4d14-9957-30f0029e2a5f"]}],"mendeley":{"formattedCitation":"[19]","plainTextFormattedCitation":"[19]","previouslyFormattedCitation":"[19]"},"properties":{"noteIndex":0},"schema":"https://github.com/citation-style-language/schema/raw/master/csl-citation.json"}</w:instrText>
      </w:r>
      <w:r w:rsidR="001E264C" w:rsidRPr="0067462A">
        <w:rPr>
          <w:rStyle w:val="Emphasis"/>
        </w:rPr>
        <w:fldChar w:fldCharType="separate"/>
      </w:r>
      <w:r w:rsidR="001E264C" w:rsidRPr="0067462A">
        <w:rPr>
          <w:rStyle w:val="Emphasis"/>
        </w:rPr>
        <w:t>[19]</w:t>
      </w:r>
      <w:r w:rsidR="001E264C" w:rsidRPr="0067462A">
        <w:rPr>
          <w:rStyle w:val="Emphasis"/>
        </w:rPr>
        <w:fldChar w:fldCharType="end"/>
      </w:r>
      <w:r w:rsidRPr="0067462A">
        <w:rPr>
          <w:rStyle w:val="Emphasis"/>
        </w:rPr>
        <w:t xml:space="preserve"> which can ultimately make a significant contribution to the transition towards sustainable renewable energy in Indonesia</w:t>
      </w:r>
      <w:r w:rsidR="001A3D41" w:rsidRPr="0067462A">
        <w:rPr>
          <w:rStyle w:val="Emphasis"/>
        </w:rPr>
        <w:t xml:space="preserve"> </w:t>
      </w:r>
      <w:r w:rsidR="00734FA0" w:rsidRPr="0067462A">
        <w:rPr>
          <w:rStyle w:val="Emphasis"/>
        </w:rPr>
        <w:fldChar w:fldCharType="begin" w:fldLock="1"/>
      </w:r>
      <w:r w:rsidR="00734FA0" w:rsidRPr="0067462A">
        <w:rPr>
          <w:rStyle w:val="Emphasis"/>
        </w:rPr>
        <w:instrText>ADDIN CSL_CITATION {"citationItems":[{"id":"ITEM-1","itemData":{"DOI":"10.1016/j.rser.2021.110880","ISSN":"18790690","abstract":"Hydropower offers highly flexible, low-carbon generation that can be used to balance electricity grids with high levels of wind and solar penetration. This will become increasingly important as the energy transition unfolds. However, hydropower generation faces several problems when used in a flexible, fast manner (on the order of seconds) when in part-load, overload, or transient conditions. Some of these issues may be addressed by an improved understanding of how the load is measured and controlled in a hydro-turbine governing system (HTGS). This paper reviews different subsystem models and stability analysis approaches for HTGS along with their applicability in different operational conditions and design layouts. The review revealed three main challenges facing the increasing flexible use of HTGS on the grid: 1) the combination of the HTGS and shaft model, 2) the control methods of HTGS with intermittent renewable energies, and 3) the uncertain nature of load on the overall performance and stability of the hydropower system. This review can stimulate further research on HTGS models and control methods to improve grid management.","author":[{"dropping-particle":"","family":"Xu","given":"Beibei","non-dropping-particle":"","parse-names":false,"suffix":""},{"dropping-particle":"","family":"Zhang","given":"Jingjing","non-dropping-particle":"","parse-names":false,"suffix":""},{"dropping-particle":"","family":"Egusquiza","given":"Mònica","non-dropping-particle":"","parse-names":false,"suffix":""},{"dropping-particle":"","family":"Chen","given":"Diyi","non-dropping-particle":"","parse-names":false,"suffix":""},{"dropping-particle":"","family":"Li","given":"Feng","non-dropping-particle":"","parse-names":false,"suffix":""},{"dropping-particle":"","family":"Behrens","given":"Paul","non-dropping-particle":"","parse-names":false,"suffix":""},{"dropping-particle":"","family":"Egusquiza","given":"Eduard","non-dropping-particle":"","parse-names":false,"suffix":""}],"container-title":"Renewable and Sustainable Energy Reviews","id":"ITEM-1","issue":"April 2020","issued":{"date-parts":[["2021"]]},"title":"A review of dynamic models and stability analysis for a hydro-turbine governing system","type":"article-journal","volume":"144"},"uris":["http://www.mendeley.com/documents/?uuid=05d05dd2-db15-474f-9e43-dd25e5a40442"]}],"mendeley":{"formattedCitation":"[10]","plainTextFormattedCitation":"[10]"},"properties":{"noteIndex":0},"schema":"https://github.com/citation-style-language/schema/raw/master/csl-citation.json"}</w:instrText>
      </w:r>
      <w:r w:rsidR="00734FA0" w:rsidRPr="0067462A">
        <w:rPr>
          <w:rStyle w:val="Emphasis"/>
        </w:rPr>
        <w:fldChar w:fldCharType="separate"/>
      </w:r>
      <w:r w:rsidR="00734FA0" w:rsidRPr="0067462A">
        <w:rPr>
          <w:rStyle w:val="Emphasis"/>
        </w:rPr>
        <w:t>[10]</w:t>
      </w:r>
      <w:r w:rsidR="00734FA0" w:rsidRPr="0067462A">
        <w:rPr>
          <w:rStyle w:val="Emphasis"/>
        </w:rPr>
        <w:fldChar w:fldCharType="end"/>
      </w:r>
      <w:r w:rsidRPr="0067462A">
        <w:rPr>
          <w:rStyle w:val="Emphasis"/>
        </w:rPr>
        <w:t>.</w:t>
      </w:r>
    </w:p>
    <w:p w14:paraId="590C3C2B" w14:textId="078523CF" w:rsidR="00EA50A7" w:rsidRPr="00073188" w:rsidRDefault="00EA50A7" w:rsidP="00784F94">
      <w:pPr>
        <w:pStyle w:val="Heading1"/>
        <w:rPr>
          <w:color w:val="FF0000"/>
        </w:rPr>
      </w:pPr>
      <w:r w:rsidRPr="00073188">
        <w:t>METHODS</w:t>
      </w:r>
    </w:p>
    <w:p w14:paraId="0577780D" w14:textId="1671AFDD" w:rsidR="00EA50A7" w:rsidRPr="00512013" w:rsidRDefault="006B7686" w:rsidP="00512013">
      <w:pPr>
        <w:pStyle w:val="Paragraph"/>
        <w:rPr>
          <w:rStyle w:val="Emphasis"/>
        </w:rPr>
      </w:pPr>
      <w:r w:rsidRPr="00512013">
        <w:rPr>
          <w:rStyle w:val="Emphasis"/>
        </w:rPr>
        <w:t xml:space="preserve">The research method used is simulation using the </w:t>
      </w:r>
      <w:proofErr w:type="spellStart"/>
      <w:r w:rsidRPr="00512013">
        <w:rPr>
          <w:rStyle w:val="Emphasis"/>
        </w:rPr>
        <w:t>Cyclepad</w:t>
      </w:r>
      <w:proofErr w:type="spellEnd"/>
      <w:r w:rsidRPr="00512013">
        <w:rPr>
          <w:rStyle w:val="Emphasis"/>
        </w:rPr>
        <w:t xml:space="preserve"> application. Organic Rankine Cycle (ORC) is used as the working fluid. The choice of organic working fluid is intended so that the Rankine cycle continues to run even though it operates at low enthalpy. When collecting hot spring reservoir data, the temperature obtained was only 60 degrees Celsius, which cannot evaporate water at atmospheric pressure. Certain working fluids can evaporate at temperatures lower than that. There are 2 variations of working fluid, namely using refrigerant R134a and R22. These variations are used to find out the right type of working fluid to get maximum power. The research flow is shown in </w:t>
      </w:r>
      <w:r w:rsidRPr="00512013">
        <w:rPr>
          <w:rStyle w:val="Emphasis"/>
          <w:b/>
          <w:bCs/>
        </w:rPr>
        <w:t>FIGURE 1</w:t>
      </w:r>
      <w:r w:rsidRPr="00512013">
        <w:rPr>
          <w:rStyle w:val="Emphasis"/>
        </w:rPr>
        <w:t>.</w:t>
      </w:r>
    </w:p>
    <w:p w14:paraId="6D4EC8B9" w14:textId="77777777" w:rsidR="006D61D0" w:rsidRPr="00073188" w:rsidRDefault="00511881" w:rsidP="00511881">
      <w:pPr>
        <w:pStyle w:val="Equation"/>
        <w:jc w:val="right"/>
      </w:pPr>
      <w:r w:rsidRPr="00073188">
        <w:rPr>
          <w:position w:val="-26"/>
        </w:rPr>
        <w:tab/>
      </w:r>
      <w:r w:rsidR="00EA50A7" w:rsidRPr="00073188">
        <w:t xml:space="preserve">        </w:t>
      </w:r>
    </w:p>
    <w:p w14:paraId="4B3CFF6A" w14:textId="7C7BA45A" w:rsidR="00580766" w:rsidRPr="00073188" w:rsidRDefault="006D61D0" w:rsidP="008679C0">
      <w:pPr>
        <w:jc w:val="center"/>
      </w:pPr>
      <w:r w:rsidRPr="00073188">
        <w:rPr>
          <w:noProof/>
        </w:rPr>
        <mc:AlternateContent>
          <mc:Choice Requires="wps">
            <w:drawing>
              <wp:anchor distT="0" distB="0" distL="114300" distR="114300" simplePos="0" relativeHeight="251830784" behindDoc="0" locked="0" layoutInCell="1" allowOverlap="1" wp14:anchorId="3E58F973" wp14:editId="7666775B">
                <wp:simplePos x="0" y="0"/>
                <wp:positionH relativeFrom="column">
                  <wp:posOffset>710565</wp:posOffset>
                </wp:positionH>
                <wp:positionV relativeFrom="paragraph">
                  <wp:posOffset>121285</wp:posOffset>
                </wp:positionV>
                <wp:extent cx="3914775" cy="6553200"/>
                <wp:effectExtent l="0" t="0" r="0" b="38100"/>
                <wp:wrapNone/>
                <wp:docPr id="21" name="Rectangle 21"/>
                <wp:cNvGraphicFramePr/>
                <a:graphic xmlns:a="http://schemas.openxmlformats.org/drawingml/2006/main">
                  <a:graphicData uri="http://schemas.microsoft.com/office/word/2010/wordprocessingShape">
                    <wps:wsp>
                      <wps:cNvSpPr/>
                      <wps:spPr>
                        <a:xfrm>
                          <a:off x="0" y="0"/>
                          <a:ext cx="3914775" cy="655320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3187A" id="Rectangle 21" o:spid="_x0000_s1026" style="position:absolute;margin-left:55.95pt;margin-top:9.55pt;width:308.25pt;height:51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" filled="f" stroked="f" strokeweight=".5pt"/>
            </w:pict>
          </mc:Fallback>
        </mc:AlternateContent>
      </w:r>
      <w:r w:rsidR="008679C0" w:rsidRPr="00073188">
        <w:rPr>
          <w:noProof/>
        </w:rPr>
        <w:drawing>
          <wp:inline distT="0" distB="0" distL="0" distR="0" wp14:anchorId="36A6C900" wp14:editId="381F406B">
            <wp:extent cx="1638300" cy="325079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6140" b="5438"/>
                    <a:stretch/>
                  </pic:blipFill>
                  <pic:spPr bwMode="auto">
                    <a:xfrm>
                      <a:off x="0" y="0"/>
                      <a:ext cx="1652302" cy="3278581"/>
                    </a:xfrm>
                    <a:prstGeom prst="rect">
                      <a:avLst/>
                    </a:prstGeom>
                    <a:noFill/>
                    <a:ln>
                      <a:noFill/>
                    </a:ln>
                    <a:extLst>
                      <a:ext uri="{53640926-AAD7-44D8-BBD7-CCE9431645EC}">
                        <a14:shadowObscured xmlns:a14="http://schemas.microsoft.com/office/drawing/2010/main"/>
                      </a:ext>
                    </a:extLst>
                  </pic:spPr>
                </pic:pic>
              </a:graphicData>
            </a:graphic>
          </wp:inline>
        </w:drawing>
      </w:r>
    </w:p>
    <w:p w14:paraId="7738FDD9" w14:textId="7BB66B4D" w:rsidR="006B29D4" w:rsidRPr="00073188" w:rsidRDefault="006B29D4" w:rsidP="006B29D4">
      <w:pPr>
        <w:pStyle w:val="FigureCaption"/>
        <w:rPr>
          <w:b/>
        </w:rPr>
      </w:pPr>
      <w:r w:rsidRPr="00073188">
        <w:rPr>
          <w:b/>
        </w:rPr>
        <w:t xml:space="preserve">FIGURE </w:t>
      </w:r>
      <w:r w:rsidRPr="00073188">
        <w:rPr>
          <w:b/>
        </w:rPr>
        <w:fldChar w:fldCharType="begin"/>
      </w:r>
      <w:r w:rsidRPr="00073188">
        <w:rPr>
          <w:b/>
        </w:rPr>
        <w:instrText xml:space="preserve"> SEQ Figure \* ARABIC </w:instrText>
      </w:r>
      <w:r w:rsidRPr="00073188">
        <w:rPr>
          <w:b/>
        </w:rPr>
        <w:fldChar w:fldCharType="separate"/>
      </w:r>
      <w:r w:rsidRPr="00073188">
        <w:rPr>
          <w:b/>
          <w:noProof/>
        </w:rPr>
        <w:t>1</w:t>
      </w:r>
      <w:r w:rsidRPr="00073188">
        <w:rPr>
          <w:b/>
        </w:rPr>
        <w:fldChar w:fldCharType="end"/>
      </w:r>
      <w:r w:rsidRPr="00073188">
        <w:rPr>
          <w:b/>
        </w:rPr>
        <w:t xml:space="preserve">. </w:t>
      </w:r>
      <w:r w:rsidRPr="00073188">
        <w:rPr>
          <w:bCs/>
        </w:rPr>
        <w:t>Research flow diagram</w:t>
      </w:r>
    </w:p>
    <w:p w14:paraId="13B3B55A" w14:textId="584DE15C" w:rsidR="00580766" w:rsidRPr="00073188" w:rsidRDefault="00580766" w:rsidP="0093053B">
      <w:pPr>
        <w:pStyle w:val="Equation"/>
      </w:pPr>
    </w:p>
    <w:p w14:paraId="1E38397C" w14:textId="77777777" w:rsidR="00383C21" w:rsidRPr="00512013" w:rsidRDefault="00383C21" w:rsidP="00383C21">
      <w:pPr>
        <w:ind w:firstLine="284"/>
        <w:jc w:val="both"/>
        <w:rPr>
          <w:rStyle w:val="Emphasis"/>
          <w:sz w:val="20"/>
        </w:rPr>
      </w:pPr>
      <w:r w:rsidRPr="00512013">
        <w:rPr>
          <w:rStyle w:val="Emphasis"/>
          <w:b/>
          <w:bCs/>
          <w:sz w:val="20"/>
        </w:rPr>
        <w:t>FIGURE 2</w:t>
      </w:r>
      <w:r w:rsidRPr="00512013">
        <w:rPr>
          <w:rStyle w:val="Emphasis"/>
          <w:sz w:val="20"/>
        </w:rPr>
        <w:t xml:space="preserve"> shows the design of the ORC scheme using </w:t>
      </w:r>
      <w:proofErr w:type="spellStart"/>
      <w:r w:rsidRPr="00512013">
        <w:rPr>
          <w:rStyle w:val="Emphasis"/>
          <w:sz w:val="20"/>
        </w:rPr>
        <w:t>CyclePad</w:t>
      </w:r>
      <w:proofErr w:type="spellEnd"/>
      <w:r w:rsidRPr="00512013">
        <w:rPr>
          <w:rStyle w:val="Emphasis"/>
          <w:sz w:val="20"/>
        </w:rPr>
        <w:t>. There are 4 main components in the cycle, including a pump, 2 heat exchangers, and a turbine. Organic working fluid is flowed through the four components to produce optimal power in the turbine. The mechanical power in the turbine is used to rotate the generator to produce electrical power.</w:t>
      </w:r>
    </w:p>
    <w:p w14:paraId="6E020949" w14:textId="11BF23EA" w:rsidR="00383C21" w:rsidRPr="00512013" w:rsidRDefault="00383C21" w:rsidP="00383C21">
      <w:pPr>
        <w:ind w:firstLine="284"/>
        <w:jc w:val="both"/>
        <w:rPr>
          <w:rStyle w:val="Emphasis"/>
          <w:sz w:val="20"/>
        </w:rPr>
      </w:pPr>
      <w:r w:rsidRPr="00512013">
        <w:rPr>
          <w:rStyle w:val="Emphasis"/>
          <w:sz w:val="20"/>
        </w:rPr>
        <w:lastRenderedPageBreak/>
        <w:t>In this cycle, the refrigerant is pumped to produce high pressure. The refrigerant is then heated in the heat exchanger so that it changes phase to vapor. The hot fluid used to heat the refrigerant is a hot spring with a temperature of around 60 degrees Celsius. The enthalpy obtained after passing through the heat exchanger allows the refrigerant to rotate the turbine. The refrigerant output from the turbine is then changed phase to liquid form. The refrigerant is flowed to the second heat exchanger (condenser) to extract its heat. The refrigerant is then flowed back to the pump to repeat the same cycle.</w:t>
      </w:r>
    </w:p>
    <w:p w14:paraId="514466ED" w14:textId="64E76F2D" w:rsidR="0025056F" w:rsidRPr="00073188" w:rsidRDefault="0025056F" w:rsidP="00B634AA">
      <w:pPr>
        <w:pStyle w:val="Equation"/>
        <w:tabs>
          <w:tab w:val="clear" w:pos="4320"/>
          <w:tab w:val="clear" w:pos="9242"/>
        </w:tabs>
      </w:pPr>
      <w:r w:rsidRPr="00073188">
        <w:rPr>
          <w:noProof/>
          <w:sz w:val="22"/>
          <w:szCs w:val="22"/>
        </w:rPr>
        <w:drawing>
          <wp:inline distT="0" distB="0" distL="0" distR="0" wp14:anchorId="385CBC24" wp14:editId="4747B940">
            <wp:extent cx="4019550" cy="2763441"/>
            <wp:effectExtent l="0" t="0" r="0" b="0"/>
            <wp:docPr id="488380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0622" name="Picture 52390622"/>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19994" t="12023" r="8883" b="15703"/>
                    <a:stretch/>
                  </pic:blipFill>
                  <pic:spPr bwMode="auto">
                    <a:xfrm>
                      <a:off x="0" y="0"/>
                      <a:ext cx="4030265" cy="2770807"/>
                    </a:xfrm>
                    <a:prstGeom prst="rect">
                      <a:avLst/>
                    </a:prstGeom>
                    <a:ln>
                      <a:noFill/>
                    </a:ln>
                    <a:extLst>
                      <a:ext uri="{53640926-AAD7-44D8-BBD7-CCE9431645EC}">
                        <a14:shadowObscured xmlns:a14="http://schemas.microsoft.com/office/drawing/2010/main"/>
                      </a:ext>
                    </a:extLst>
                  </pic:spPr>
                </pic:pic>
              </a:graphicData>
            </a:graphic>
          </wp:inline>
        </w:drawing>
      </w:r>
    </w:p>
    <w:p w14:paraId="5B360ABF" w14:textId="198C10DE" w:rsidR="0025056F" w:rsidRPr="00073188" w:rsidRDefault="001A3D41" w:rsidP="001A3D41">
      <w:pPr>
        <w:pStyle w:val="FigureCaption"/>
        <w:rPr>
          <w:b/>
        </w:rPr>
      </w:pPr>
      <w:r w:rsidRPr="00073188">
        <w:rPr>
          <w:b/>
        </w:rPr>
        <w:t>FIGURE</w:t>
      </w:r>
      <w:r w:rsidR="0025056F" w:rsidRPr="00073188">
        <w:rPr>
          <w:b/>
        </w:rPr>
        <w:t xml:space="preserve"> </w:t>
      </w:r>
      <w:r w:rsidR="0025056F" w:rsidRPr="00073188">
        <w:rPr>
          <w:b/>
        </w:rPr>
        <w:fldChar w:fldCharType="begin"/>
      </w:r>
      <w:r w:rsidR="0025056F" w:rsidRPr="00073188">
        <w:rPr>
          <w:b/>
        </w:rPr>
        <w:instrText xml:space="preserve"> SEQ Figure \* ARABIC </w:instrText>
      </w:r>
      <w:r w:rsidR="0025056F" w:rsidRPr="00073188">
        <w:rPr>
          <w:b/>
        </w:rPr>
        <w:fldChar w:fldCharType="separate"/>
      </w:r>
      <w:r w:rsidR="006B29D4" w:rsidRPr="00073188">
        <w:rPr>
          <w:b/>
          <w:noProof/>
        </w:rPr>
        <w:t>2</w:t>
      </w:r>
      <w:r w:rsidR="0025056F" w:rsidRPr="00073188">
        <w:rPr>
          <w:b/>
        </w:rPr>
        <w:fldChar w:fldCharType="end"/>
      </w:r>
      <w:r w:rsidR="0025056F" w:rsidRPr="00073188">
        <w:rPr>
          <w:b/>
        </w:rPr>
        <w:t xml:space="preserve">. </w:t>
      </w:r>
      <w:r w:rsidR="0025056F" w:rsidRPr="00073188">
        <w:rPr>
          <w:bCs/>
        </w:rPr>
        <w:t xml:space="preserve">ORC design using </w:t>
      </w:r>
      <w:proofErr w:type="spellStart"/>
      <w:r w:rsidR="0025056F" w:rsidRPr="00073188">
        <w:rPr>
          <w:bCs/>
        </w:rPr>
        <w:t>Cyclepad</w:t>
      </w:r>
      <w:proofErr w:type="spellEnd"/>
    </w:p>
    <w:p w14:paraId="7238677B" w14:textId="77777777" w:rsidR="00A518B9" w:rsidRPr="00073188" w:rsidRDefault="00A518B9" w:rsidP="00A518B9">
      <w:pPr>
        <w:ind w:firstLine="284"/>
        <w:jc w:val="both"/>
        <w:rPr>
          <w:sz w:val="20"/>
          <w:lang w:val="id"/>
        </w:rPr>
      </w:pPr>
    </w:p>
    <w:p w14:paraId="5B8B282F" w14:textId="02399466" w:rsidR="00A518B9" w:rsidRPr="00957D49" w:rsidRDefault="00A518B9" w:rsidP="00A518B9">
      <w:pPr>
        <w:ind w:firstLine="284"/>
        <w:jc w:val="both"/>
        <w:rPr>
          <w:rStyle w:val="Emphasis"/>
          <w:sz w:val="20"/>
        </w:rPr>
      </w:pPr>
      <w:r w:rsidRPr="00957D49">
        <w:rPr>
          <w:rStyle w:val="Emphasis"/>
          <w:b/>
          <w:bCs/>
          <w:sz w:val="20"/>
        </w:rPr>
        <w:t xml:space="preserve">FIGURE </w:t>
      </w:r>
      <w:r w:rsidR="006B29D4" w:rsidRPr="00957D49">
        <w:rPr>
          <w:rStyle w:val="Emphasis"/>
          <w:b/>
          <w:bCs/>
          <w:sz w:val="20"/>
        </w:rPr>
        <w:t>3</w:t>
      </w:r>
      <w:r w:rsidRPr="00957D49">
        <w:rPr>
          <w:rStyle w:val="Emphasis"/>
          <w:sz w:val="20"/>
        </w:rPr>
        <w:t xml:space="preserve"> and </w:t>
      </w:r>
      <w:r w:rsidRPr="00957D49">
        <w:rPr>
          <w:rStyle w:val="Emphasis"/>
          <w:b/>
          <w:bCs/>
          <w:sz w:val="20"/>
        </w:rPr>
        <w:t xml:space="preserve">FIGURE </w:t>
      </w:r>
      <w:r w:rsidR="006B29D4" w:rsidRPr="00957D49">
        <w:rPr>
          <w:rStyle w:val="Emphasis"/>
          <w:b/>
          <w:bCs/>
          <w:sz w:val="20"/>
        </w:rPr>
        <w:t>4</w:t>
      </w:r>
      <w:r w:rsidRPr="00957D49">
        <w:rPr>
          <w:rStyle w:val="Emphasis"/>
          <w:sz w:val="20"/>
        </w:rPr>
        <w:t xml:space="preserve"> show the specifications of Refrigerant variations, namely R134a and R22. Each refrigerant has a different boiling point, so that the heat transfer process in the heat exchanger is not in the same condition, especially the input and output temperatures. R134a has a boiling point of -26.2 degrees Celsius at atmospheric pressure. While R22 has a boiling point of -40.8 degrees Celsius at the same pressure. Thus, it is possible that the output temperature of the heat exchanger for R134a is higher. Another option that can be done in the simulation is to set the same refrigerant output temperature, but a different mass flow rate. R22 will be flowed with a smaller mass flow rate to obtain a larger temperature change range. </w:t>
      </w:r>
    </w:p>
    <w:p w14:paraId="04917F80" w14:textId="77777777" w:rsidR="00A518B9" w:rsidRPr="00957D49" w:rsidRDefault="00A518B9" w:rsidP="00A518B9">
      <w:pPr>
        <w:ind w:firstLine="284"/>
        <w:jc w:val="both"/>
        <w:rPr>
          <w:rStyle w:val="Emphasis"/>
          <w:sz w:val="20"/>
        </w:rPr>
      </w:pPr>
      <w:r w:rsidRPr="00957D49">
        <w:rPr>
          <w:rStyle w:val="Emphasis"/>
          <w:sz w:val="20"/>
        </w:rPr>
        <w:t>Meanwhile, the design specifications of the heat exchanger to be used are the shell and tube type with the assumption of the same diameter and length, so that the input variations in the design are at temperature, pressure, and mass flow rate, with the assumption of a constant geometry.</w:t>
      </w:r>
    </w:p>
    <w:p w14:paraId="2445D0B4" w14:textId="77777777" w:rsidR="0025056F" w:rsidRPr="00073188" w:rsidRDefault="0025056F" w:rsidP="0025056F">
      <w:pPr>
        <w:jc w:val="both"/>
        <w:rPr>
          <w:sz w:val="20"/>
        </w:rPr>
      </w:pPr>
    </w:p>
    <w:p w14:paraId="55DB006B" w14:textId="77777777" w:rsidR="00580766" w:rsidRPr="00073188" w:rsidRDefault="00580766" w:rsidP="00511881">
      <w:pPr>
        <w:pStyle w:val="Equation"/>
        <w:jc w:val="right"/>
      </w:pPr>
    </w:p>
    <w:p w14:paraId="2D7C6C28" w14:textId="77777777" w:rsidR="00336C6E" w:rsidRPr="00073188" w:rsidRDefault="00336C6E" w:rsidP="00734FA0">
      <w:pPr>
        <w:pStyle w:val="Caption"/>
        <w:keepNext/>
        <w:rPr>
          <w:i w:val="0"/>
          <w:noProof/>
        </w:rPr>
      </w:pPr>
      <w:r w:rsidRPr="00073188">
        <w:rPr>
          <w:i w:val="0"/>
          <w:noProof/>
        </w:rPr>
        <w:drawing>
          <wp:inline distT="0" distB="0" distL="0" distR="0" wp14:anchorId="1E0F1F3B" wp14:editId="6DBEED21">
            <wp:extent cx="2716795" cy="2186940"/>
            <wp:effectExtent l="0" t="0" r="7620" b="3810"/>
            <wp:docPr id="29541359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13591" name="Picture 29541359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5899" t="7246" r="6147" b="5832"/>
                    <a:stretch/>
                  </pic:blipFill>
                  <pic:spPr bwMode="auto">
                    <a:xfrm>
                      <a:off x="0" y="0"/>
                      <a:ext cx="2753011" cy="2216092"/>
                    </a:xfrm>
                    <a:prstGeom prst="rect">
                      <a:avLst/>
                    </a:prstGeom>
                    <a:ln>
                      <a:noFill/>
                    </a:ln>
                    <a:extLst>
                      <a:ext uri="{53640926-AAD7-44D8-BBD7-CCE9431645EC}">
                        <a14:shadowObscured xmlns:a14="http://schemas.microsoft.com/office/drawing/2010/main"/>
                      </a:ext>
                    </a:extLst>
                  </pic:spPr>
                </pic:pic>
              </a:graphicData>
            </a:graphic>
          </wp:inline>
        </w:drawing>
      </w:r>
      <w:r w:rsidRPr="00073188">
        <w:rPr>
          <w:i w:val="0"/>
          <w:noProof/>
        </w:rPr>
        <w:t xml:space="preserve">           </w:t>
      </w:r>
      <w:r w:rsidRPr="00073188">
        <w:rPr>
          <w:i w:val="0"/>
          <w:noProof/>
        </w:rPr>
        <w:drawing>
          <wp:inline distT="0" distB="0" distL="0" distR="0" wp14:anchorId="6EDA193E" wp14:editId="5ACE1C79">
            <wp:extent cx="2628900" cy="2180670"/>
            <wp:effectExtent l="0" t="0" r="0" b="0"/>
            <wp:docPr id="8551675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07336" name="Picture 683807336"/>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b="8949"/>
                    <a:stretch/>
                  </pic:blipFill>
                  <pic:spPr bwMode="auto">
                    <a:xfrm>
                      <a:off x="0" y="0"/>
                      <a:ext cx="2744462" cy="2276529"/>
                    </a:xfrm>
                    <a:prstGeom prst="rect">
                      <a:avLst/>
                    </a:prstGeom>
                    <a:ln>
                      <a:noFill/>
                    </a:ln>
                    <a:extLst>
                      <a:ext uri="{53640926-AAD7-44D8-BBD7-CCE9431645EC}">
                        <a14:shadowObscured xmlns:a14="http://schemas.microsoft.com/office/drawing/2010/main"/>
                      </a:ext>
                    </a:extLst>
                  </pic:spPr>
                </pic:pic>
              </a:graphicData>
            </a:graphic>
          </wp:inline>
        </w:drawing>
      </w:r>
      <w:r w:rsidRPr="00073188">
        <w:rPr>
          <w:i w:val="0"/>
          <w:noProof/>
        </w:rPr>
        <w:t xml:space="preserve"> </w:t>
      </w:r>
    </w:p>
    <w:p w14:paraId="285D50E1" w14:textId="5F2F2576" w:rsidR="00336C6E" w:rsidRPr="00957D49" w:rsidRDefault="006B29D4" w:rsidP="00957D49">
      <w:pPr>
        <w:pStyle w:val="FigureCaption"/>
        <w:rPr>
          <w:b/>
        </w:rPr>
      </w:pPr>
      <w:r w:rsidRPr="00073188">
        <w:rPr>
          <w:b/>
        </w:rPr>
        <w:t xml:space="preserve">FIGURE </w:t>
      </w:r>
      <w:r w:rsidRPr="00073188">
        <w:rPr>
          <w:b/>
        </w:rPr>
        <w:fldChar w:fldCharType="begin"/>
      </w:r>
      <w:r w:rsidRPr="00073188">
        <w:rPr>
          <w:b/>
        </w:rPr>
        <w:instrText xml:space="preserve"> SEQ Figure \* ARABIC </w:instrText>
      </w:r>
      <w:r w:rsidRPr="00073188">
        <w:rPr>
          <w:b/>
        </w:rPr>
        <w:fldChar w:fldCharType="separate"/>
      </w:r>
      <w:r w:rsidRPr="00073188">
        <w:rPr>
          <w:b/>
          <w:noProof/>
        </w:rPr>
        <w:t>3</w:t>
      </w:r>
      <w:r w:rsidRPr="00073188">
        <w:rPr>
          <w:b/>
        </w:rPr>
        <w:fldChar w:fldCharType="end"/>
      </w:r>
      <w:r w:rsidRPr="00073188">
        <w:rPr>
          <w:b/>
        </w:rPr>
        <w:t xml:space="preserve">. </w:t>
      </w:r>
      <w:r w:rsidRPr="00073188">
        <w:rPr>
          <w:bCs/>
        </w:rPr>
        <w:t xml:space="preserve">R134a </w:t>
      </w:r>
      <w:r w:rsidR="00F66BEA" w:rsidRPr="00073188">
        <w:rPr>
          <w:bCs/>
        </w:rPr>
        <w:t>refrigerant</w:t>
      </w:r>
      <w:r w:rsidR="00F66BEA" w:rsidRPr="00073188">
        <w:rPr>
          <w:b/>
        </w:rPr>
        <w:t xml:space="preserve"> </w:t>
      </w:r>
      <w:r w:rsidRPr="00073188">
        <w:rPr>
          <w:bCs/>
        </w:rPr>
        <w:t>properties</w:t>
      </w:r>
      <w:r w:rsidR="00336C6E" w:rsidRPr="00073188">
        <w:rPr>
          <w:noProof/>
        </w:rPr>
        <w:t xml:space="preserve">    </w:t>
      </w:r>
    </w:p>
    <w:p w14:paraId="52889EB6" w14:textId="77777777" w:rsidR="00336C6E" w:rsidRPr="00073188" w:rsidRDefault="00336C6E" w:rsidP="006B29D4">
      <w:pPr>
        <w:rPr>
          <w:noProof/>
        </w:rPr>
      </w:pPr>
    </w:p>
    <w:p w14:paraId="4888974D" w14:textId="7A03E2B7" w:rsidR="00336C6E" w:rsidRPr="00073188" w:rsidRDefault="00336C6E" w:rsidP="00336C6E">
      <w:r w:rsidRPr="00073188">
        <w:rPr>
          <w:noProof/>
        </w:rPr>
        <w:drawing>
          <wp:inline distT="0" distB="0" distL="0" distR="0" wp14:anchorId="39204C0D" wp14:editId="0D0E01D7">
            <wp:extent cx="2750820" cy="2235400"/>
            <wp:effectExtent l="0" t="0" r="0" b="0"/>
            <wp:docPr id="3597782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7821" name="Picture 3597782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5481" t="7226" r="5735" b="4718"/>
                    <a:stretch/>
                  </pic:blipFill>
                  <pic:spPr bwMode="auto">
                    <a:xfrm>
                      <a:off x="0" y="0"/>
                      <a:ext cx="2787788" cy="2265442"/>
                    </a:xfrm>
                    <a:prstGeom prst="rect">
                      <a:avLst/>
                    </a:prstGeom>
                    <a:ln>
                      <a:noFill/>
                    </a:ln>
                    <a:extLst>
                      <a:ext uri="{53640926-AAD7-44D8-BBD7-CCE9431645EC}">
                        <a14:shadowObscured xmlns:a14="http://schemas.microsoft.com/office/drawing/2010/main"/>
                      </a:ext>
                    </a:extLst>
                  </pic:spPr>
                </pic:pic>
              </a:graphicData>
            </a:graphic>
          </wp:inline>
        </w:drawing>
      </w:r>
      <w:r w:rsidRPr="00073188">
        <w:rPr>
          <w:noProof/>
          <w:lang w:val="id-ID"/>
        </w:rPr>
        <w:t xml:space="preserve">       </w:t>
      </w:r>
      <w:r w:rsidRPr="00073188">
        <w:rPr>
          <w:noProof/>
        </w:rPr>
        <w:drawing>
          <wp:inline distT="0" distB="0" distL="0" distR="0" wp14:anchorId="021D92FA" wp14:editId="78D79EB1">
            <wp:extent cx="2742829" cy="2149568"/>
            <wp:effectExtent l="0" t="0" r="635" b="3175"/>
            <wp:docPr id="12006614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19161" name="Picture 212911916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05983" cy="2199062"/>
                    </a:xfrm>
                    <a:prstGeom prst="rect">
                      <a:avLst/>
                    </a:prstGeom>
                  </pic:spPr>
                </pic:pic>
              </a:graphicData>
            </a:graphic>
          </wp:inline>
        </w:drawing>
      </w:r>
    </w:p>
    <w:p w14:paraId="4B073DBE" w14:textId="7C3D60A8" w:rsidR="006B29D4" w:rsidRPr="00073188" w:rsidRDefault="006B29D4" w:rsidP="006B29D4">
      <w:pPr>
        <w:pStyle w:val="FigureCaption"/>
        <w:rPr>
          <w:b/>
        </w:rPr>
      </w:pPr>
      <w:r w:rsidRPr="00073188">
        <w:rPr>
          <w:b/>
        </w:rPr>
        <w:t xml:space="preserve">FIGURE </w:t>
      </w:r>
      <w:r w:rsidRPr="00073188">
        <w:rPr>
          <w:b/>
        </w:rPr>
        <w:fldChar w:fldCharType="begin"/>
      </w:r>
      <w:r w:rsidRPr="00073188">
        <w:rPr>
          <w:b/>
        </w:rPr>
        <w:instrText xml:space="preserve"> SEQ Figure \* ARABIC </w:instrText>
      </w:r>
      <w:r w:rsidRPr="00073188">
        <w:rPr>
          <w:b/>
        </w:rPr>
        <w:fldChar w:fldCharType="separate"/>
      </w:r>
      <w:r w:rsidRPr="00073188">
        <w:rPr>
          <w:b/>
          <w:noProof/>
        </w:rPr>
        <w:t>4</w:t>
      </w:r>
      <w:r w:rsidRPr="00073188">
        <w:rPr>
          <w:b/>
        </w:rPr>
        <w:fldChar w:fldCharType="end"/>
      </w:r>
      <w:r w:rsidRPr="00073188">
        <w:rPr>
          <w:b/>
        </w:rPr>
        <w:t xml:space="preserve">. </w:t>
      </w:r>
      <w:r w:rsidRPr="00073188">
        <w:rPr>
          <w:bCs/>
        </w:rPr>
        <w:t xml:space="preserve">R22 </w:t>
      </w:r>
      <w:r w:rsidR="00F66BEA" w:rsidRPr="00073188">
        <w:rPr>
          <w:bCs/>
        </w:rPr>
        <w:t>refrigerant</w:t>
      </w:r>
      <w:r w:rsidR="00F66BEA" w:rsidRPr="00073188">
        <w:rPr>
          <w:b/>
        </w:rPr>
        <w:t xml:space="preserve"> </w:t>
      </w:r>
      <w:r w:rsidRPr="00073188">
        <w:rPr>
          <w:bCs/>
        </w:rPr>
        <w:t>properties</w:t>
      </w:r>
    </w:p>
    <w:p w14:paraId="5A750020" w14:textId="77777777" w:rsidR="00580766" w:rsidRPr="00073188" w:rsidRDefault="00580766" w:rsidP="00336C6E">
      <w:pPr>
        <w:pStyle w:val="Equation"/>
        <w:jc w:val="both"/>
      </w:pPr>
    </w:p>
    <w:p w14:paraId="384519A9" w14:textId="4852B5F9" w:rsidR="00EA50A7" w:rsidRPr="00073188" w:rsidRDefault="00EA50A7" w:rsidP="00784F94">
      <w:pPr>
        <w:pStyle w:val="Heading1"/>
      </w:pPr>
      <w:r w:rsidRPr="00073188">
        <w:t>RESULTS AND DISCUSSION</w:t>
      </w:r>
    </w:p>
    <w:p w14:paraId="600C828D" w14:textId="77777777" w:rsidR="00F74796" w:rsidRPr="00957D49" w:rsidRDefault="00F74796" w:rsidP="00F74796">
      <w:pPr>
        <w:ind w:firstLine="284"/>
        <w:jc w:val="both"/>
        <w:rPr>
          <w:rStyle w:val="Emphasis"/>
          <w:sz w:val="20"/>
        </w:rPr>
      </w:pPr>
      <w:proofErr w:type="spellStart"/>
      <w:r w:rsidRPr="00957D49">
        <w:rPr>
          <w:rStyle w:val="Emphasis"/>
          <w:sz w:val="20"/>
        </w:rPr>
        <w:t>Cyclepad</w:t>
      </w:r>
      <w:proofErr w:type="spellEnd"/>
      <w:r w:rsidRPr="00957D49">
        <w:rPr>
          <w:rStyle w:val="Emphasis"/>
          <w:sz w:val="20"/>
        </w:rPr>
        <w:t xml:space="preserve"> software runs the design with the input parameters. The hot and </w:t>
      </w:r>
      <w:proofErr w:type="gramStart"/>
      <w:r w:rsidRPr="00957D49">
        <w:rPr>
          <w:rStyle w:val="Emphasis"/>
          <w:sz w:val="20"/>
        </w:rPr>
        <w:t>cold water</w:t>
      </w:r>
      <w:proofErr w:type="gramEnd"/>
      <w:r w:rsidRPr="00957D49">
        <w:rPr>
          <w:rStyle w:val="Emphasis"/>
          <w:sz w:val="20"/>
        </w:rPr>
        <w:t xml:space="preserve"> reservoirs are in an open space, so the pressure setting is atmospheric pressure (100 kPa). The inlet temperature of the hot water is 60 degrees Celsius, while the cold water is 8 degrees Celsius. This temperature is obtained in cold mountainous areas, so it is lower than 27 degrees Celsius. Meanwhile, the parameters entered are not the same between R134a and R22, adjusting the boiling point of each refrigerant.</w:t>
      </w:r>
    </w:p>
    <w:p w14:paraId="4FC33CF2" w14:textId="6B89D66D" w:rsidR="00F66BEA" w:rsidRPr="00073188" w:rsidRDefault="00DA2C25" w:rsidP="00734FA0">
      <w:pPr>
        <w:jc w:val="both"/>
        <w:rPr>
          <w:lang w:val="id"/>
        </w:rPr>
      </w:pPr>
      <w:r w:rsidRPr="00073188">
        <w:rPr>
          <w:lang w:val="id"/>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C45D2" w:rsidRPr="00073188" w14:paraId="5B0115C4" w14:textId="77777777" w:rsidTr="002C45D2">
        <w:tc>
          <w:tcPr>
            <w:tcW w:w="4675" w:type="dxa"/>
          </w:tcPr>
          <w:p w14:paraId="5657D9C7" w14:textId="12E90B76" w:rsidR="002C45D2" w:rsidRPr="00073188" w:rsidRDefault="002C45D2" w:rsidP="002C45D2">
            <w:pPr>
              <w:jc w:val="center"/>
              <w:rPr>
                <w:lang w:val="id"/>
              </w:rPr>
            </w:pPr>
            <w:r w:rsidRPr="00073188">
              <w:rPr>
                <w:noProof/>
              </w:rPr>
              <w:drawing>
                <wp:inline distT="0" distB="0" distL="0" distR="0" wp14:anchorId="11695C2D" wp14:editId="36022530">
                  <wp:extent cx="2286000" cy="2857431"/>
                  <wp:effectExtent l="0" t="0" r="0" b="635"/>
                  <wp:docPr id="19724510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51014" name="Picture 19724510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2857431"/>
                          </a:xfrm>
                          <a:prstGeom prst="rect">
                            <a:avLst/>
                          </a:prstGeom>
                        </pic:spPr>
                      </pic:pic>
                    </a:graphicData>
                  </a:graphic>
                </wp:inline>
              </w:drawing>
            </w:r>
          </w:p>
        </w:tc>
        <w:tc>
          <w:tcPr>
            <w:tcW w:w="4675" w:type="dxa"/>
          </w:tcPr>
          <w:p w14:paraId="034A7898" w14:textId="7B65FB10" w:rsidR="002C45D2" w:rsidRPr="00073188" w:rsidRDefault="002C45D2" w:rsidP="002C45D2">
            <w:pPr>
              <w:jc w:val="center"/>
              <w:rPr>
                <w:lang w:val="id"/>
              </w:rPr>
            </w:pPr>
            <w:r w:rsidRPr="00073188">
              <w:rPr>
                <w:noProof/>
              </w:rPr>
              <w:drawing>
                <wp:inline distT="0" distB="0" distL="0" distR="0" wp14:anchorId="125D8728" wp14:editId="26D11740">
                  <wp:extent cx="2286000" cy="2857426"/>
                  <wp:effectExtent l="0" t="0" r="0" b="635"/>
                  <wp:docPr id="1109881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8145" name="Picture 1109881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2857426"/>
                          </a:xfrm>
                          <a:prstGeom prst="rect">
                            <a:avLst/>
                          </a:prstGeom>
                        </pic:spPr>
                      </pic:pic>
                    </a:graphicData>
                  </a:graphic>
                </wp:inline>
              </w:drawing>
            </w:r>
          </w:p>
        </w:tc>
      </w:tr>
      <w:tr w:rsidR="002C45D2" w:rsidRPr="00073188" w14:paraId="3F2EF9B0" w14:textId="77777777" w:rsidTr="002C45D2">
        <w:tc>
          <w:tcPr>
            <w:tcW w:w="4675" w:type="dxa"/>
          </w:tcPr>
          <w:p w14:paraId="53ACE309" w14:textId="4B1F22F3" w:rsidR="002C45D2" w:rsidRPr="00073188" w:rsidRDefault="002C45D2" w:rsidP="002C45D2">
            <w:pPr>
              <w:jc w:val="center"/>
              <w:rPr>
                <w:lang w:val="en-US"/>
              </w:rPr>
            </w:pPr>
            <w:r w:rsidRPr="00073188">
              <w:rPr>
                <w:lang w:val="en-US"/>
              </w:rPr>
              <w:t>a)</w:t>
            </w:r>
          </w:p>
        </w:tc>
        <w:tc>
          <w:tcPr>
            <w:tcW w:w="4675" w:type="dxa"/>
          </w:tcPr>
          <w:p w14:paraId="2A8EB127" w14:textId="1F812EC2" w:rsidR="002C45D2" w:rsidRPr="00073188" w:rsidRDefault="002C45D2" w:rsidP="002C45D2">
            <w:pPr>
              <w:jc w:val="center"/>
              <w:rPr>
                <w:lang w:val="en-US"/>
              </w:rPr>
            </w:pPr>
            <w:r w:rsidRPr="00073188">
              <w:rPr>
                <w:lang w:val="en-US"/>
              </w:rPr>
              <w:t>b)</w:t>
            </w:r>
          </w:p>
        </w:tc>
      </w:tr>
    </w:tbl>
    <w:p w14:paraId="20B3B753" w14:textId="00FBA150" w:rsidR="00F66BEA" w:rsidRPr="00073188" w:rsidRDefault="00F66BEA" w:rsidP="00F66BEA">
      <w:pPr>
        <w:pStyle w:val="FigureCaption"/>
        <w:rPr>
          <w:b/>
        </w:rPr>
      </w:pPr>
      <w:r w:rsidRPr="00073188">
        <w:rPr>
          <w:b/>
        </w:rPr>
        <w:t xml:space="preserve">FIGURE </w:t>
      </w:r>
      <w:r w:rsidRPr="00073188">
        <w:rPr>
          <w:b/>
        </w:rPr>
        <w:fldChar w:fldCharType="begin"/>
      </w:r>
      <w:r w:rsidRPr="00073188">
        <w:rPr>
          <w:b/>
        </w:rPr>
        <w:instrText xml:space="preserve"> SEQ Figure \* ARABIC </w:instrText>
      </w:r>
      <w:r w:rsidRPr="00073188">
        <w:rPr>
          <w:b/>
        </w:rPr>
        <w:fldChar w:fldCharType="separate"/>
      </w:r>
      <w:r w:rsidRPr="00073188">
        <w:rPr>
          <w:b/>
          <w:noProof/>
        </w:rPr>
        <w:t>5</w:t>
      </w:r>
      <w:r w:rsidRPr="00073188">
        <w:rPr>
          <w:b/>
        </w:rPr>
        <w:fldChar w:fldCharType="end"/>
      </w:r>
      <w:r w:rsidRPr="00073188">
        <w:rPr>
          <w:b/>
        </w:rPr>
        <w:t xml:space="preserve">. </w:t>
      </w:r>
      <w:r w:rsidRPr="00073188">
        <w:rPr>
          <w:bCs/>
        </w:rPr>
        <w:t xml:space="preserve">Q-T Diagram for </w:t>
      </w:r>
      <w:r w:rsidR="002C45D2" w:rsidRPr="00073188">
        <w:rPr>
          <w:bCs/>
        </w:rPr>
        <w:t xml:space="preserve">a) </w:t>
      </w:r>
      <w:r w:rsidRPr="00073188">
        <w:rPr>
          <w:bCs/>
        </w:rPr>
        <w:t>R134a refrigerant</w:t>
      </w:r>
      <w:r w:rsidR="002C45D2" w:rsidRPr="00073188">
        <w:rPr>
          <w:bCs/>
        </w:rPr>
        <w:t xml:space="preserve"> and b) R22 refrigerant</w:t>
      </w:r>
    </w:p>
    <w:p w14:paraId="6D8A5039" w14:textId="77777777" w:rsidR="00F74796" w:rsidRPr="00073188" w:rsidRDefault="00F74796" w:rsidP="00F74796">
      <w:pPr>
        <w:ind w:firstLine="284"/>
        <w:jc w:val="both"/>
        <w:rPr>
          <w:sz w:val="20"/>
          <w:lang w:val="id"/>
        </w:rPr>
      </w:pPr>
    </w:p>
    <w:p w14:paraId="123AFF95" w14:textId="49A22C4D" w:rsidR="00F74796" w:rsidRPr="00957D49" w:rsidRDefault="00F74796" w:rsidP="00F74796">
      <w:pPr>
        <w:ind w:firstLine="284"/>
        <w:jc w:val="both"/>
        <w:rPr>
          <w:rStyle w:val="Emphasis"/>
          <w:sz w:val="20"/>
        </w:rPr>
      </w:pPr>
      <w:r w:rsidRPr="00957D49">
        <w:rPr>
          <w:rStyle w:val="Emphasis"/>
          <w:sz w:val="20"/>
        </w:rPr>
        <w:t xml:space="preserve">Refrigerant R134a uses an operating pressure before entering the pump of 500 kPa and 1350 kPa after passing through the pump. While R22 uses an operating pressure of 700 kPa before entering the pump and 1400 kPa after leaving the pump. This is adjusted to the operating pressure that allows for the rankine cycle of each refrigerant. In addition, the operating temperature used at this pressure is set so that it is not higher than the heating fluid and not </w:t>
      </w:r>
      <w:r w:rsidRPr="00957D49">
        <w:rPr>
          <w:rStyle w:val="Emphasis"/>
          <w:sz w:val="20"/>
        </w:rPr>
        <w:lastRenderedPageBreak/>
        <w:t xml:space="preserve">lower than the cooling fluid. However, the range of </w:t>
      </w:r>
      <w:proofErr w:type="gramStart"/>
      <w:r w:rsidRPr="00957D49">
        <w:rPr>
          <w:rStyle w:val="Emphasis"/>
          <w:sz w:val="20"/>
        </w:rPr>
        <w:t>high and low pressure</w:t>
      </w:r>
      <w:proofErr w:type="gramEnd"/>
      <w:r w:rsidRPr="00957D49">
        <w:rPr>
          <w:rStyle w:val="Emphasis"/>
          <w:sz w:val="20"/>
        </w:rPr>
        <w:t xml:space="preserve"> differences between the two refrigerants is not much different, which is 850 kPa for R134a and 700 kPa for R22.</w:t>
      </w:r>
    </w:p>
    <w:p w14:paraId="7C6BAB93" w14:textId="1885CC55" w:rsidR="00F74796" w:rsidRPr="00957D49" w:rsidRDefault="00F74796" w:rsidP="00F74796">
      <w:pPr>
        <w:ind w:firstLine="284"/>
        <w:jc w:val="both"/>
        <w:rPr>
          <w:rStyle w:val="Emphasis"/>
          <w:sz w:val="20"/>
        </w:rPr>
      </w:pPr>
      <w:r w:rsidRPr="00957D49">
        <w:rPr>
          <w:rStyle w:val="Emphasis"/>
          <w:sz w:val="20"/>
        </w:rPr>
        <w:t xml:space="preserve">At this low pressure, the temperature of R134a before entering the heat exchanger is 16.08 degrees Celsius and has an output temperature of 55 degrees Celsius. This value is the same as the output temperature for refrigerant R22, although it has a different input temperature for R22, which is 11.32 degrees Celsius. The mass flow rate of the refrigerant in both ORC systems is made the same, which is 1 kg/s. The mass flow rate for the heating fluid is also almost the same, which is 2.1 kg/s for R134a and 2.2 kg/s for R22. In general, the heat transfer process involving both ORC systems in the heat exchanger </w:t>
      </w:r>
      <w:r w:rsidR="00957D49" w:rsidRPr="00957D49">
        <w:rPr>
          <w:rStyle w:val="Emphasis"/>
          <w:sz w:val="20"/>
        </w:rPr>
        <w:t>have</w:t>
      </w:r>
      <w:r w:rsidRPr="00957D49">
        <w:rPr>
          <w:rStyle w:val="Emphasis"/>
          <w:sz w:val="20"/>
        </w:rPr>
        <w:t xml:space="preserve"> almost the same value, which is 208 kW and 220 kW. This value is Qin, which is the input enthalpy for the ORC system. </w:t>
      </w:r>
      <w:r w:rsidRPr="00957D49">
        <w:rPr>
          <w:rStyle w:val="Emphasis"/>
          <w:b/>
          <w:bCs/>
          <w:sz w:val="20"/>
        </w:rPr>
        <w:t xml:space="preserve">FIGURE </w:t>
      </w:r>
      <w:r w:rsidR="002F16B9" w:rsidRPr="00957D49">
        <w:rPr>
          <w:rStyle w:val="Emphasis"/>
          <w:b/>
          <w:bCs/>
          <w:sz w:val="20"/>
        </w:rPr>
        <w:t>5</w:t>
      </w:r>
      <w:r w:rsidRPr="00957D49">
        <w:rPr>
          <w:rStyle w:val="Emphasis"/>
          <w:sz w:val="20"/>
        </w:rPr>
        <w:t xml:space="preserve"> shows the Q-T diagram for refrigerant R134a (a) and R22 (b). The diagram shows the heat transfer process in a heat exchanger with a hot water reservoir.</w:t>
      </w:r>
    </w:p>
    <w:p w14:paraId="187F511C" w14:textId="77777777" w:rsidR="00F66BEA" w:rsidRPr="00073188" w:rsidRDefault="00F66BEA" w:rsidP="00734FA0">
      <w:pPr>
        <w:jc w:val="both"/>
        <w:rPr>
          <w:lang w:val="id"/>
        </w:rPr>
      </w:pPr>
    </w:p>
    <w:p w14:paraId="7BA93923" w14:textId="07385E1E" w:rsidR="00175D28" w:rsidRPr="00073188" w:rsidRDefault="00175D28" w:rsidP="00734FA0">
      <w:pPr>
        <w:jc w:val="both"/>
        <w:rPr>
          <w:lang w:val="id"/>
        </w:rPr>
      </w:pPr>
      <w:r w:rsidRPr="00073188">
        <w:rPr>
          <w:noProof/>
        </w:rPr>
        <w:drawing>
          <wp:inline distT="0" distB="0" distL="0" distR="0" wp14:anchorId="0CF96E24" wp14:editId="76CA1CF3">
            <wp:extent cx="6193210" cy="2868461"/>
            <wp:effectExtent l="0" t="0" r="0" b="8255"/>
            <wp:docPr id="16386225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05970" name="Picture 1638605970"/>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t="10152" b="19950"/>
                    <a:stretch/>
                  </pic:blipFill>
                  <pic:spPr bwMode="auto">
                    <a:xfrm>
                      <a:off x="0" y="0"/>
                      <a:ext cx="6195060" cy="2869318"/>
                    </a:xfrm>
                    <a:prstGeom prst="rect">
                      <a:avLst/>
                    </a:prstGeom>
                    <a:ln>
                      <a:noFill/>
                    </a:ln>
                    <a:extLst>
                      <a:ext uri="{53640926-AAD7-44D8-BBD7-CCE9431645EC}">
                        <a14:shadowObscured xmlns:a14="http://schemas.microsoft.com/office/drawing/2010/main"/>
                      </a:ext>
                    </a:extLst>
                  </pic:spPr>
                </pic:pic>
              </a:graphicData>
            </a:graphic>
          </wp:inline>
        </w:drawing>
      </w:r>
    </w:p>
    <w:p w14:paraId="6EF4E4B4" w14:textId="2E12DA5A" w:rsidR="00F66BEA" w:rsidRPr="00073188" w:rsidRDefault="00F66BEA" w:rsidP="00F66BEA">
      <w:pPr>
        <w:pStyle w:val="FigureCaption"/>
        <w:rPr>
          <w:b/>
        </w:rPr>
      </w:pPr>
      <w:r w:rsidRPr="00073188">
        <w:rPr>
          <w:b/>
        </w:rPr>
        <w:t xml:space="preserve">FIGURE </w:t>
      </w:r>
      <w:r w:rsidRPr="00073188">
        <w:rPr>
          <w:b/>
        </w:rPr>
        <w:fldChar w:fldCharType="begin"/>
      </w:r>
      <w:r w:rsidRPr="00073188">
        <w:rPr>
          <w:b/>
        </w:rPr>
        <w:instrText xml:space="preserve"> SEQ Figure \* ARABIC </w:instrText>
      </w:r>
      <w:r w:rsidRPr="00073188">
        <w:rPr>
          <w:b/>
        </w:rPr>
        <w:fldChar w:fldCharType="separate"/>
      </w:r>
      <w:r w:rsidRPr="00073188">
        <w:rPr>
          <w:b/>
          <w:noProof/>
        </w:rPr>
        <w:t>6</w:t>
      </w:r>
      <w:r w:rsidRPr="00073188">
        <w:rPr>
          <w:b/>
        </w:rPr>
        <w:fldChar w:fldCharType="end"/>
      </w:r>
      <w:r w:rsidRPr="00073188">
        <w:rPr>
          <w:b/>
        </w:rPr>
        <w:t xml:space="preserve">. </w:t>
      </w:r>
      <w:r w:rsidRPr="00073188">
        <w:rPr>
          <w:bCs/>
        </w:rPr>
        <w:t>T-S Diagram for R134a refrigerant</w:t>
      </w:r>
    </w:p>
    <w:p w14:paraId="1F7C8DEA" w14:textId="77777777" w:rsidR="00175D28" w:rsidRPr="00073188" w:rsidRDefault="00175D28" w:rsidP="00175D28"/>
    <w:p w14:paraId="3668E58A" w14:textId="0FDD7E64" w:rsidR="00F66BEA" w:rsidRPr="00073188" w:rsidRDefault="00175D28" w:rsidP="00F66BEA">
      <w:pPr>
        <w:pStyle w:val="FigureCaption"/>
        <w:rPr>
          <w:b/>
        </w:rPr>
      </w:pPr>
      <w:r w:rsidRPr="00073188">
        <w:rPr>
          <w:noProof/>
        </w:rPr>
        <w:drawing>
          <wp:inline distT="0" distB="0" distL="0" distR="0" wp14:anchorId="58A460AB" wp14:editId="48120802">
            <wp:extent cx="6138082" cy="2718148"/>
            <wp:effectExtent l="0" t="0" r="0" b="6350"/>
            <wp:docPr id="14491398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67985" name="Picture 781867985"/>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t="10282" b="20620"/>
                    <a:stretch/>
                  </pic:blipFill>
                  <pic:spPr bwMode="auto">
                    <a:xfrm>
                      <a:off x="0" y="0"/>
                      <a:ext cx="6160548" cy="2728097"/>
                    </a:xfrm>
                    <a:prstGeom prst="rect">
                      <a:avLst/>
                    </a:prstGeom>
                    <a:ln>
                      <a:noFill/>
                    </a:ln>
                    <a:extLst>
                      <a:ext uri="{53640926-AAD7-44D8-BBD7-CCE9431645EC}">
                        <a14:shadowObscured xmlns:a14="http://schemas.microsoft.com/office/drawing/2010/main"/>
                      </a:ext>
                    </a:extLst>
                  </pic:spPr>
                </pic:pic>
              </a:graphicData>
            </a:graphic>
          </wp:inline>
        </w:drawing>
      </w:r>
      <w:r w:rsidR="00F66BEA" w:rsidRPr="00073188">
        <w:rPr>
          <w:b/>
        </w:rPr>
        <w:t xml:space="preserve"> FIGURE </w:t>
      </w:r>
      <w:r w:rsidR="00F66BEA" w:rsidRPr="00073188">
        <w:rPr>
          <w:b/>
        </w:rPr>
        <w:fldChar w:fldCharType="begin"/>
      </w:r>
      <w:r w:rsidR="00F66BEA" w:rsidRPr="00073188">
        <w:rPr>
          <w:b/>
        </w:rPr>
        <w:instrText xml:space="preserve"> SEQ Figure \* ARABIC </w:instrText>
      </w:r>
      <w:r w:rsidR="00F66BEA" w:rsidRPr="00073188">
        <w:rPr>
          <w:b/>
        </w:rPr>
        <w:fldChar w:fldCharType="separate"/>
      </w:r>
      <w:r w:rsidR="00F66BEA" w:rsidRPr="00073188">
        <w:rPr>
          <w:b/>
          <w:noProof/>
        </w:rPr>
        <w:t>7</w:t>
      </w:r>
      <w:r w:rsidR="00F66BEA" w:rsidRPr="00073188">
        <w:rPr>
          <w:b/>
        </w:rPr>
        <w:fldChar w:fldCharType="end"/>
      </w:r>
      <w:r w:rsidR="00F66BEA" w:rsidRPr="00073188">
        <w:rPr>
          <w:b/>
        </w:rPr>
        <w:t xml:space="preserve">. </w:t>
      </w:r>
      <w:r w:rsidR="00F66BEA" w:rsidRPr="00073188">
        <w:rPr>
          <w:bCs/>
        </w:rPr>
        <w:t>T-S Diagram for R22 refrigerant</w:t>
      </w:r>
    </w:p>
    <w:p w14:paraId="032C60D8" w14:textId="77777777" w:rsidR="00F80086" w:rsidRPr="00073188" w:rsidRDefault="00F80086" w:rsidP="00F66BEA">
      <w:pPr>
        <w:jc w:val="both"/>
      </w:pPr>
    </w:p>
    <w:p w14:paraId="63A1B2FA" w14:textId="0BD36255" w:rsidR="00577819" w:rsidRPr="00957D49" w:rsidRDefault="00F80086" w:rsidP="00F80086">
      <w:pPr>
        <w:ind w:firstLine="284"/>
        <w:jc w:val="both"/>
        <w:rPr>
          <w:rStyle w:val="Emphasis"/>
          <w:sz w:val="20"/>
        </w:rPr>
      </w:pPr>
      <w:r w:rsidRPr="00957D49">
        <w:rPr>
          <w:rStyle w:val="Emphasis"/>
          <w:b/>
          <w:bCs/>
          <w:sz w:val="20"/>
        </w:rPr>
        <w:lastRenderedPageBreak/>
        <w:t>FIGURE 6</w:t>
      </w:r>
      <w:r w:rsidRPr="00957D49">
        <w:rPr>
          <w:rStyle w:val="Emphasis"/>
          <w:sz w:val="20"/>
        </w:rPr>
        <w:t xml:space="preserve"> and </w:t>
      </w:r>
      <w:r w:rsidRPr="00957D49">
        <w:rPr>
          <w:rStyle w:val="Emphasis"/>
          <w:b/>
          <w:bCs/>
          <w:sz w:val="20"/>
        </w:rPr>
        <w:t>FIGURE 7</w:t>
      </w:r>
      <w:r w:rsidRPr="00957D49">
        <w:rPr>
          <w:rStyle w:val="Emphasis"/>
          <w:sz w:val="20"/>
        </w:rPr>
        <w:t xml:space="preserve"> represent the T-s diagram for the ORC system using R134a and R22 refrigerants respectively. In the diagram, the difference in refrigerant temperature in the evaporator and condenser is visible. The temperature value is set so that the refrigerant is truly in the subcooled phase when entering the pump. This is intended to prevent cavitation in the pump. The cavitation effect allows the pump not to work optimally because there are 2 phases of working fluid being pumped. As a result, the pump component work is not continuous. In addition, the turbine outlet temperature value must also be ensured to be in the superheated phase. The loss that occurs if the fluid passes the saturated line is the appearance of water droplets that will damage the turbine in the long term. This is due to the corrosion effect caused by the turbine components. This can be anticipated in R134a and R22, because both are dry fluids and isentropic fluids. Moreover, FIGURE 7 shows the fluid line through the turbine far from the steam saturation line, thus minimizing the corrosion effects that occur.</w:t>
      </w:r>
      <w:r w:rsidR="00577819" w:rsidRPr="00957D49">
        <w:rPr>
          <w:rStyle w:val="Emphasis"/>
          <w:sz w:val="20"/>
        </w:rPr>
        <w:t xml:space="preserve">                 </w:t>
      </w:r>
    </w:p>
    <w:p w14:paraId="1834B28F" w14:textId="77777777" w:rsidR="00577819" w:rsidRPr="00073188" w:rsidRDefault="00577819" w:rsidP="00577819">
      <w:pPr>
        <w:pStyle w:val="Caption"/>
        <w:keepNext/>
        <w:ind w:firstLine="1134"/>
        <w:rPr>
          <w:i w:val="0"/>
        </w:rPr>
      </w:pPr>
      <w:r w:rsidRPr="00073188">
        <w:rPr>
          <w:i w:val="0"/>
          <w:noProof/>
        </w:rPr>
        <w:drawing>
          <wp:inline distT="0" distB="0" distL="0" distR="0" wp14:anchorId="60D96E16" wp14:editId="326F1E08">
            <wp:extent cx="4358640" cy="2496820"/>
            <wp:effectExtent l="0" t="0" r="3810" b="0"/>
            <wp:docPr id="700567724" name="Chart 1">
              <a:extLst xmlns:a="http://schemas.openxmlformats.org/drawingml/2006/main">
                <a:ext uri="{FF2B5EF4-FFF2-40B4-BE49-F238E27FC236}">
                  <a16:creationId xmlns:a16="http://schemas.microsoft.com/office/drawing/2014/main" id="{5364EA54-DBFB-29C5-B29E-C01F401F79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073188">
        <w:rPr>
          <w:i w:val="0"/>
        </w:rPr>
        <w:t xml:space="preserve"> </w:t>
      </w:r>
    </w:p>
    <w:p w14:paraId="5636C2AC" w14:textId="721A148F" w:rsidR="00F80086" w:rsidRPr="00073188" w:rsidRDefault="00F80086" w:rsidP="00F80086">
      <w:pPr>
        <w:pStyle w:val="FigureCaption"/>
        <w:rPr>
          <w:b/>
        </w:rPr>
      </w:pPr>
      <w:r w:rsidRPr="00073188">
        <w:rPr>
          <w:b/>
        </w:rPr>
        <w:t xml:space="preserve">FIGURE </w:t>
      </w:r>
      <w:r w:rsidRPr="00073188">
        <w:rPr>
          <w:b/>
        </w:rPr>
        <w:fldChar w:fldCharType="begin"/>
      </w:r>
      <w:r w:rsidRPr="00073188">
        <w:rPr>
          <w:b/>
        </w:rPr>
        <w:instrText xml:space="preserve"> SEQ Figure \* ARABIC </w:instrText>
      </w:r>
      <w:r w:rsidRPr="00073188">
        <w:rPr>
          <w:b/>
        </w:rPr>
        <w:fldChar w:fldCharType="separate"/>
      </w:r>
      <w:r w:rsidRPr="00073188">
        <w:rPr>
          <w:b/>
          <w:noProof/>
        </w:rPr>
        <w:t>8</w:t>
      </w:r>
      <w:r w:rsidRPr="00073188">
        <w:rPr>
          <w:b/>
        </w:rPr>
        <w:fldChar w:fldCharType="end"/>
      </w:r>
      <w:r w:rsidRPr="00073188">
        <w:rPr>
          <w:b/>
        </w:rPr>
        <w:t xml:space="preserve">. </w:t>
      </w:r>
      <w:r w:rsidRPr="00073188">
        <w:rPr>
          <w:bCs/>
        </w:rPr>
        <w:t xml:space="preserve">Comparison of shaft power turbines for R134a and R22 refrigerants </w:t>
      </w:r>
    </w:p>
    <w:p w14:paraId="1CACAADF" w14:textId="77777777" w:rsidR="0086422A" w:rsidRPr="00073188" w:rsidRDefault="0086422A" w:rsidP="00DA2C25">
      <w:pPr>
        <w:ind w:left="567"/>
        <w:rPr>
          <w:lang w:val="id"/>
        </w:rPr>
      </w:pPr>
    </w:p>
    <w:p w14:paraId="318F5619" w14:textId="0D90EEFF" w:rsidR="00EA50A7" w:rsidRPr="00957D49" w:rsidRDefault="00715E95" w:rsidP="004E7A0A">
      <w:pPr>
        <w:ind w:firstLine="284"/>
        <w:jc w:val="both"/>
        <w:rPr>
          <w:rStyle w:val="Emphasis"/>
          <w:sz w:val="20"/>
        </w:rPr>
      </w:pPr>
      <w:r w:rsidRPr="00957D49">
        <w:rPr>
          <w:rStyle w:val="Emphasis"/>
          <w:sz w:val="20"/>
        </w:rPr>
        <w:t xml:space="preserve">Based on </w:t>
      </w:r>
      <w:r w:rsidR="004E7A0A" w:rsidRPr="00957D49">
        <w:rPr>
          <w:rStyle w:val="Emphasis"/>
          <w:b/>
          <w:bCs/>
          <w:sz w:val="20"/>
        </w:rPr>
        <w:t>FIGURE</w:t>
      </w:r>
      <w:r w:rsidRPr="00957D49">
        <w:rPr>
          <w:rStyle w:val="Emphasis"/>
          <w:b/>
          <w:bCs/>
          <w:sz w:val="20"/>
        </w:rPr>
        <w:t xml:space="preserve"> 8</w:t>
      </w:r>
      <w:r w:rsidRPr="00957D49">
        <w:rPr>
          <w:rStyle w:val="Emphasis"/>
          <w:sz w:val="20"/>
        </w:rPr>
        <w:t xml:space="preserve">, refrigerant R134a and R22 produce different turbine power. With the same pressure and temperature as R22, R134a is able to produce turbine power of 20.69 kW. While R22 produces 17.68 kW of power. This is because the temperature and pressure of the turbine output on R22 are still high, namely 18.3 degrees Celsius and 700 kPa. However, further adjustments so that the temperature and pressure values ​​are similar to R134a cannot be done. The limitation lies in R22 which does not allow it to operate at lower temperatures at reduced pressure. Thus, the use of R134a is more effective because the boiling point range is more suitable for the required operating temperature. This is inseparable from the operating temperature of the available hot and cold reservoirs. </w:t>
      </w:r>
    </w:p>
    <w:p w14:paraId="488462FA" w14:textId="0E1A7B8B" w:rsidR="00EA50A7" w:rsidRPr="00073188" w:rsidRDefault="00EA50A7" w:rsidP="009A7BC2">
      <w:pPr>
        <w:pStyle w:val="Heading1"/>
        <w:rPr>
          <w:color w:val="FF0000"/>
          <w:sz w:val="20"/>
        </w:rPr>
      </w:pPr>
      <w:r w:rsidRPr="00073188">
        <w:t>CONCLUSIONS</w:t>
      </w:r>
    </w:p>
    <w:p w14:paraId="54E809FD" w14:textId="0C2D668F" w:rsidR="00211E60" w:rsidRPr="00957D49" w:rsidRDefault="00BE225C" w:rsidP="004E7A0A">
      <w:pPr>
        <w:ind w:firstLine="284"/>
        <w:jc w:val="both"/>
        <w:rPr>
          <w:rStyle w:val="Emphasis"/>
          <w:sz w:val="20"/>
        </w:rPr>
      </w:pPr>
      <w:r w:rsidRPr="00957D49">
        <w:rPr>
          <w:rStyle w:val="Emphasis"/>
          <w:sz w:val="20"/>
        </w:rPr>
        <w:t>Based on the results and discussion, each refrigerant has different specifications from each other, so it has many operating range limitations. One of the parameters that need to be considered for the Organic Rankine Cycle is the suitability of the pressure and boiling point of the refrigerant to the cycle feed temperature. R134a has operating conditions that are more likely to obtain higher turbine power than R22 at the input parameter of hot water temperature (60 degrees Celsius). R134a has a turbine output power of 20.69 kW. This value is 3 kW greater than R22, which is 17.68 kW.</w:t>
      </w:r>
    </w:p>
    <w:p w14:paraId="29F71B7A" w14:textId="68095033" w:rsidR="00EA50A7" w:rsidRPr="00073188" w:rsidRDefault="00EA50A7" w:rsidP="009A7BC2">
      <w:pPr>
        <w:pStyle w:val="Heading1"/>
      </w:pPr>
      <w:r w:rsidRPr="00073188">
        <w:t>References</w:t>
      </w:r>
    </w:p>
    <w:p w14:paraId="59A6B5E1" w14:textId="77777777" w:rsidR="00073188" w:rsidRPr="00496376" w:rsidRDefault="00C60735" w:rsidP="00F350A6">
      <w:pPr>
        <w:pStyle w:val="Reference"/>
        <w:numPr>
          <w:ilvl w:val="0"/>
          <w:numId w:val="9"/>
        </w:numPr>
        <w:ind w:left="714" w:hanging="357"/>
        <w:rPr>
          <w:rFonts w:eastAsia="Calibri"/>
        </w:rPr>
      </w:pPr>
      <w:r w:rsidRPr="00496376">
        <w:rPr>
          <w:rFonts w:eastAsia="Calibri"/>
        </w:rPr>
        <w:fldChar w:fldCharType="begin" w:fldLock="1"/>
      </w:r>
      <w:r w:rsidRPr="00496376">
        <w:rPr>
          <w:rFonts w:eastAsia="Calibri"/>
        </w:rPr>
        <w:instrText xml:space="preserve">ADDIN Mendeley Bibliography CSL_BIBLIOGRAPHY </w:instrText>
      </w:r>
      <w:r w:rsidRPr="00496376">
        <w:rPr>
          <w:rFonts w:eastAsia="Calibri"/>
        </w:rPr>
        <w:fldChar w:fldCharType="separate"/>
      </w:r>
      <w:r w:rsidR="00734FA0" w:rsidRPr="00496376">
        <w:rPr>
          <w:rFonts w:eastAsia="Calibri"/>
        </w:rPr>
        <w:t>M. Mosbahi, A. Ayadi, Y. Chouaibi, Z. Driss, and T. Tucciarelli, “Performance improvement of a novel combined water turbine,” Energy Convers. Manag., vol. 205, no. January, p. 112473, 2020, doi: 10.1016/j.enconman.2020.112473.</w:t>
      </w:r>
    </w:p>
    <w:p w14:paraId="744A4E3C" w14:textId="77777777" w:rsidR="00073188" w:rsidRPr="00496376" w:rsidRDefault="00734FA0" w:rsidP="00F350A6">
      <w:pPr>
        <w:pStyle w:val="Reference"/>
        <w:numPr>
          <w:ilvl w:val="0"/>
          <w:numId w:val="9"/>
        </w:numPr>
        <w:ind w:left="714" w:hanging="357"/>
        <w:rPr>
          <w:rFonts w:eastAsia="Calibri"/>
        </w:rPr>
      </w:pPr>
      <w:r w:rsidRPr="00496376">
        <w:rPr>
          <w:rFonts w:eastAsia="Calibri"/>
        </w:rPr>
        <w:t>S. Hoseinzadeh and P. S. Heyns, “Thermo-structural fatigue and lifetime analysis of a heat exchanger as a feedwater heater in power plant,” Eng. Fail. Anal., vol. 113, no. February, p. 104548, 2020, doi: 10.1016/j.engfailanal.2020.104548.</w:t>
      </w:r>
    </w:p>
    <w:p w14:paraId="24055935" w14:textId="77777777" w:rsidR="00073188" w:rsidRPr="00496376" w:rsidRDefault="00734FA0" w:rsidP="00F350A6">
      <w:pPr>
        <w:pStyle w:val="Reference"/>
        <w:numPr>
          <w:ilvl w:val="0"/>
          <w:numId w:val="9"/>
        </w:numPr>
        <w:ind w:left="714" w:hanging="357"/>
        <w:rPr>
          <w:rFonts w:eastAsia="Calibri"/>
        </w:rPr>
      </w:pPr>
      <w:r w:rsidRPr="00496376">
        <w:rPr>
          <w:rFonts w:eastAsia="Calibri"/>
        </w:rPr>
        <w:lastRenderedPageBreak/>
        <w:t>Y. Wang et al., “Proposal and comprehensive thermodynamic performance analysis of a new geothermal combined cooling, heating and power system,” Cogent Eng., vol. 9, no. 1, 2022, doi: 10.1080/23311916.2022.2075131.</w:t>
      </w:r>
    </w:p>
    <w:p w14:paraId="07FB4280" w14:textId="77777777" w:rsidR="00073188" w:rsidRPr="00496376" w:rsidRDefault="00734FA0" w:rsidP="00F350A6">
      <w:pPr>
        <w:pStyle w:val="Reference"/>
        <w:numPr>
          <w:ilvl w:val="0"/>
          <w:numId w:val="9"/>
        </w:numPr>
        <w:ind w:left="714" w:hanging="357"/>
        <w:rPr>
          <w:rFonts w:eastAsia="Calibri"/>
        </w:rPr>
      </w:pPr>
      <w:r w:rsidRPr="00496376">
        <w:rPr>
          <w:rFonts w:eastAsia="Calibri"/>
        </w:rPr>
        <w:t>C. Ballzus, H. Frimannson, G. I. Gunnarsson, and I. Hrolfsson, “The Geothermal Power Plant AT Nesjavellir, Iceland.”</w:t>
      </w:r>
    </w:p>
    <w:p w14:paraId="61C69D3D" w14:textId="77777777" w:rsidR="00073188" w:rsidRPr="00496376" w:rsidRDefault="00734FA0" w:rsidP="00F350A6">
      <w:pPr>
        <w:pStyle w:val="Reference"/>
        <w:numPr>
          <w:ilvl w:val="0"/>
          <w:numId w:val="9"/>
        </w:numPr>
        <w:ind w:left="714" w:hanging="357"/>
        <w:rPr>
          <w:rFonts w:eastAsia="Calibri"/>
        </w:rPr>
      </w:pPr>
      <w:r w:rsidRPr="00496376">
        <w:rPr>
          <w:rFonts w:eastAsia="Calibri"/>
        </w:rPr>
        <w:t>G. Feng, X. Wang, M. Wang, and Y. Kang, “Experimental investigation of thermal cycling effect on fracture characteristics of granite in a geothermal-energy reservoir,” Eng. Fract. Mech., vol. 235, p. 107180, 2020, doi: 10.1016/j.engfracmech.2020.107180.</w:t>
      </w:r>
    </w:p>
    <w:p w14:paraId="1EB3BF09" w14:textId="77777777" w:rsidR="00073188" w:rsidRPr="00496376" w:rsidRDefault="00734FA0" w:rsidP="00F350A6">
      <w:pPr>
        <w:pStyle w:val="Reference"/>
        <w:numPr>
          <w:ilvl w:val="0"/>
          <w:numId w:val="9"/>
        </w:numPr>
        <w:ind w:left="714" w:hanging="357"/>
        <w:rPr>
          <w:rFonts w:eastAsia="Calibri"/>
        </w:rPr>
      </w:pPr>
      <w:r w:rsidRPr="00496376">
        <w:rPr>
          <w:rFonts w:eastAsia="Calibri"/>
        </w:rPr>
        <w:t>L. Lipan and S. Dimitriu, “Possibilities To Use The Energy Of Geothermal Water In A Centralized Heating System,” U.P.B. Sci. Bull., Ser. C, vol. 82, p. 2020.</w:t>
      </w:r>
    </w:p>
    <w:p w14:paraId="536F93AD" w14:textId="77777777" w:rsidR="00073188" w:rsidRPr="00496376" w:rsidRDefault="00734FA0" w:rsidP="00F350A6">
      <w:pPr>
        <w:pStyle w:val="Reference"/>
        <w:numPr>
          <w:ilvl w:val="0"/>
          <w:numId w:val="9"/>
        </w:numPr>
        <w:ind w:left="714" w:hanging="357"/>
        <w:rPr>
          <w:rFonts w:eastAsia="Calibri"/>
        </w:rPr>
      </w:pPr>
      <w:r w:rsidRPr="00496376">
        <w:rPr>
          <w:rFonts w:eastAsia="Calibri"/>
        </w:rPr>
        <w:t>C. I. Igwe, “Geothermal Energy: A Review.” [Online]. Available: www.ijert.org</w:t>
      </w:r>
    </w:p>
    <w:p w14:paraId="71F51519" w14:textId="77777777" w:rsidR="00073188" w:rsidRPr="00496376" w:rsidRDefault="00734FA0" w:rsidP="00F350A6">
      <w:pPr>
        <w:pStyle w:val="Reference"/>
        <w:numPr>
          <w:ilvl w:val="0"/>
          <w:numId w:val="9"/>
        </w:numPr>
        <w:ind w:left="714" w:hanging="357"/>
        <w:rPr>
          <w:rFonts w:eastAsia="Calibri"/>
        </w:rPr>
      </w:pPr>
      <w:r w:rsidRPr="00496376">
        <w:rPr>
          <w:rFonts w:eastAsia="Calibri"/>
        </w:rPr>
        <w:t>J. C. Jiménez-García, A. Ruiz, A. Pacheco-Reyes, and W. Rivera, “A Comprehensive Review of Organic Rankine Cycles,” Processes, vol. 11, no. 7, 2023, doi: 10.3390/pr11071982.</w:t>
      </w:r>
    </w:p>
    <w:p w14:paraId="44CF7037" w14:textId="77777777" w:rsidR="00073188" w:rsidRPr="00496376" w:rsidRDefault="00734FA0" w:rsidP="00F350A6">
      <w:pPr>
        <w:pStyle w:val="Reference"/>
        <w:numPr>
          <w:ilvl w:val="0"/>
          <w:numId w:val="9"/>
        </w:numPr>
        <w:ind w:left="714" w:hanging="357"/>
        <w:rPr>
          <w:rFonts w:eastAsia="Calibri"/>
        </w:rPr>
      </w:pPr>
      <w:r w:rsidRPr="00496376">
        <w:rPr>
          <w:rFonts w:eastAsia="Calibri"/>
        </w:rPr>
        <w:t>S. Rane, L. He, Z. Yu, and G. Yu, “Design and Analysis of Two-Phase Geothermal Energy Turbine in Project Combi-Gen.”</w:t>
      </w:r>
    </w:p>
    <w:p w14:paraId="15FDA7C9" w14:textId="77777777" w:rsidR="00073188" w:rsidRPr="00496376" w:rsidRDefault="00734FA0" w:rsidP="00F350A6">
      <w:pPr>
        <w:pStyle w:val="Reference"/>
        <w:numPr>
          <w:ilvl w:val="0"/>
          <w:numId w:val="9"/>
        </w:numPr>
        <w:ind w:left="714" w:hanging="357"/>
        <w:rPr>
          <w:rFonts w:eastAsia="Calibri"/>
        </w:rPr>
      </w:pPr>
      <w:r w:rsidRPr="00496376">
        <w:rPr>
          <w:rFonts w:eastAsia="Calibri"/>
        </w:rPr>
        <w:t>B. Xu et al., “A review of dynamic models and stability analysis for a hydro-turbine governing system,” Renew. Sustain. Energy Rev., vol. 144, no. April 2020, 2021, doi: 10.1016/j.rser.2021.110880.</w:t>
      </w:r>
    </w:p>
    <w:p w14:paraId="56986476" w14:textId="77777777" w:rsidR="00073188" w:rsidRPr="00496376" w:rsidRDefault="00734FA0" w:rsidP="00F350A6">
      <w:pPr>
        <w:pStyle w:val="Reference"/>
        <w:numPr>
          <w:ilvl w:val="0"/>
          <w:numId w:val="9"/>
        </w:numPr>
        <w:ind w:left="714" w:hanging="357"/>
        <w:rPr>
          <w:rFonts w:eastAsia="Calibri"/>
        </w:rPr>
      </w:pPr>
      <w:r w:rsidRPr="00496376">
        <w:rPr>
          <w:rFonts w:eastAsia="Calibri"/>
        </w:rPr>
        <w:t>S. O. Oyedepo et al., “Thermodynamics analysis and performance optimization of a reheat – Regenerative steam turbine power plant with feed water heaters,” Fuel, vol. 280, Nov. 2020, doi: 10.1016/j.fuel.2020.118577.</w:t>
      </w:r>
    </w:p>
    <w:p w14:paraId="25860C40" w14:textId="77777777" w:rsidR="00073188" w:rsidRPr="00496376" w:rsidRDefault="00734FA0" w:rsidP="00F350A6">
      <w:pPr>
        <w:pStyle w:val="Reference"/>
        <w:numPr>
          <w:ilvl w:val="0"/>
          <w:numId w:val="9"/>
        </w:numPr>
        <w:ind w:left="714" w:hanging="357"/>
        <w:rPr>
          <w:rFonts w:eastAsia="Calibri"/>
        </w:rPr>
      </w:pPr>
      <w:r w:rsidRPr="00496376">
        <w:rPr>
          <w:rFonts w:eastAsia="Calibri"/>
        </w:rPr>
        <w:t>S. Wang et al., “Performance analysis on parallel condensing air-source heat pump water heater system,” Energy Reports, vol. 8, pp. 398–414, Jul. 2022, doi: 10.1016/j.egyr.2022.01.212.</w:t>
      </w:r>
    </w:p>
    <w:p w14:paraId="2A110E1F" w14:textId="77777777" w:rsidR="00073188" w:rsidRPr="00496376" w:rsidRDefault="00734FA0" w:rsidP="00F350A6">
      <w:pPr>
        <w:pStyle w:val="Reference"/>
        <w:numPr>
          <w:ilvl w:val="0"/>
          <w:numId w:val="9"/>
        </w:numPr>
        <w:ind w:left="714" w:hanging="357"/>
        <w:rPr>
          <w:rFonts w:eastAsia="Calibri"/>
        </w:rPr>
      </w:pPr>
      <w:r w:rsidRPr="00496376">
        <w:rPr>
          <w:rFonts w:eastAsia="Calibri"/>
        </w:rPr>
        <w:t>Muhammad Rifqi Dwi Septian, “The Optimization Of Shell And Tube Cycle Recuperator Design In Organic Rankine Geothermal Power Plant,” J. Energy, Mech. Mater. Manuf. Eng., vol. 8, no. 2 SE-Articles, Dec. 2023, [Online]. Available: https://ejournal.umm.ac.id/index.php/JEMMME/article/view/27082</w:t>
      </w:r>
    </w:p>
    <w:p w14:paraId="3636CCFD" w14:textId="77777777" w:rsidR="00073188" w:rsidRPr="00496376" w:rsidRDefault="00734FA0" w:rsidP="00F350A6">
      <w:pPr>
        <w:pStyle w:val="Reference"/>
        <w:numPr>
          <w:ilvl w:val="0"/>
          <w:numId w:val="9"/>
        </w:numPr>
        <w:ind w:left="714" w:hanging="357"/>
        <w:rPr>
          <w:rFonts w:eastAsia="Calibri"/>
        </w:rPr>
      </w:pPr>
      <w:r w:rsidRPr="00496376">
        <w:rPr>
          <w:rFonts w:eastAsia="Calibri"/>
        </w:rPr>
        <w:t>C. Sihombing and C. Politeknik Energi dan Mineral Akamigas, “Analisa Efisiensi Termal Turbin, Kondensor dan Menara Pendingin pada Pembangkit Listrik Tenaga Panas Bumi”.</w:t>
      </w:r>
    </w:p>
    <w:p w14:paraId="2549D544" w14:textId="77777777" w:rsidR="00073188" w:rsidRPr="00496376" w:rsidRDefault="00734FA0" w:rsidP="00F350A6">
      <w:pPr>
        <w:pStyle w:val="Reference"/>
        <w:numPr>
          <w:ilvl w:val="0"/>
          <w:numId w:val="9"/>
        </w:numPr>
        <w:ind w:left="714" w:hanging="357"/>
        <w:rPr>
          <w:rFonts w:eastAsia="Calibri"/>
        </w:rPr>
      </w:pPr>
      <w:r w:rsidRPr="00496376">
        <w:rPr>
          <w:rFonts w:eastAsia="Calibri"/>
        </w:rPr>
        <w:t>Y. qiang Feng et al., “Experimental comparison of the performance of basic and regenerative organic Rankine cycles,” Energy Convers. Manag., vol. 223, no. October, p. 113459, 2020, doi: 10.1016/j.enconman.2020.113459.</w:t>
      </w:r>
    </w:p>
    <w:p w14:paraId="6E58D0DB" w14:textId="77777777" w:rsidR="00073188" w:rsidRPr="00496376" w:rsidRDefault="00734FA0" w:rsidP="00F350A6">
      <w:pPr>
        <w:pStyle w:val="Reference"/>
        <w:numPr>
          <w:ilvl w:val="0"/>
          <w:numId w:val="9"/>
        </w:numPr>
        <w:ind w:left="714" w:hanging="357"/>
        <w:rPr>
          <w:rFonts w:eastAsia="Calibri"/>
        </w:rPr>
      </w:pPr>
      <w:r w:rsidRPr="00496376">
        <w:rPr>
          <w:rFonts w:eastAsia="Calibri"/>
        </w:rPr>
        <w:t>A. Nemati, H. Nami, F. Ranjbar, and M. Yari, “A comparative thermodynamic analysis of ORC and Kalina cycles for waste heat recovery: A case study for CGAM cogeneration system,” Case Stud. Therm. Eng., vol. 9, no. September 2016, pp. 1–13, 2017, doi: 10.1016/j.csite.2016.11.003.</w:t>
      </w:r>
    </w:p>
    <w:p w14:paraId="10253DA5" w14:textId="77777777" w:rsidR="00073188" w:rsidRPr="00496376" w:rsidRDefault="00734FA0" w:rsidP="00F350A6">
      <w:pPr>
        <w:pStyle w:val="Reference"/>
        <w:numPr>
          <w:ilvl w:val="0"/>
          <w:numId w:val="9"/>
        </w:numPr>
        <w:ind w:left="714" w:hanging="357"/>
        <w:rPr>
          <w:rFonts w:eastAsia="Calibri"/>
        </w:rPr>
      </w:pPr>
      <w:r w:rsidRPr="00496376">
        <w:rPr>
          <w:rFonts w:eastAsia="Calibri"/>
        </w:rPr>
        <w:t>J. Wang, J. Wang, Y. Dai, and P. Zhao, “Thermodynamic analysis and optimization of a flash-binary geothermal power generation system,” Geothermics, vol. 55, pp. 69–77, May 2015, doi: 10.1016/j.geothermics.2015.01.012.</w:t>
      </w:r>
    </w:p>
    <w:p w14:paraId="5BDC105F" w14:textId="77777777" w:rsidR="00073188" w:rsidRPr="00496376" w:rsidRDefault="00734FA0" w:rsidP="00F350A6">
      <w:pPr>
        <w:pStyle w:val="Reference"/>
        <w:numPr>
          <w:ilvl w:val="0"/>
          <w:numId w:val="9"/>
        </w:numPr>
        <w:ind w:left="714" w:hanging="357"/>
        <w:rPr>
          <w:rFonts w:eastAsia="Calibri"/>
        </w:rPr>
      </w:pPr>
      <w:r w:rsidRPr="00496376">
        <w:rPr>
          <w:rFonts w:eastAsia="Calibri"/>
        </w:rPr>
        <w:t>E. Allymehr, Á. Á. Pardiñas, T. M. Eikevik, and A. Hafner, “Characteristics of evaporation of propane (R290) in compact smooth and microfinned tubes,” Appl. Therm. Eng., vol. 181, no. September, p. 115880, 2020, doi: 10.1016/j.applthermaleng.2020.115880.</w:t>
      </w:r>
    </w:p>
    <w:p w14:paraId="65F6468B" w14:textId="246D03E0" w:rsidR="00734FA0" w:rsidRPr="00496376" w:rsidRDefault="00734FA0" w:rsidP="00F350A6">
      <w:pPr>
        <w:pStyle w:val="Reference"/>
        <w:numPr>
          <w:ilvl w:val="0"/>
          <w:numId w:val="9"/>
        </w:numPr>
        <w:ind w:left="714" w:hanging="357"/>
        <w:rPr>
          <w:rFonts w:eastAsia="Calibri"/>
        </w:rPr>
      </w:pPr>
      <w:r w:rsidRPr="00496376">
        <w:rPr>
          <w:rFonts w:eastAsia="Calibri"/>
        </w:rPr>
        <w:t>P. Nikhil Babu et al., “Energy efficient refrigeration system with simultaneous heating and cooling,” Mater. Today Proc., vol. 45, pp. 8188–8194, 2021, doi: 10.1016/j.matpr.2021.03.072.</w:t>
      </w:r>
    </w:p>
    <w:p w14:paraId="7E85C954" w14:textId="6E5EA61D" w:rsidR="00BF6F61" w:rsidRPr="00073188" w:rsidRDefault="00C60735" w:rsidP="00F350A6">
      <w:pPr>
        <w:pStyle w:val="Reference"/>
        <w:ind w:left="714" w:hanging="357"/>
        <w:rPr>
          <w:rFonts w:eastAsia="Calibri"/>
        </w:rPr>
      </w:pPr>
      <w:r w:rsidRPr="00496376">
        <w:rPr>
          <w:rFonts w:eastAsia="Calibri"/>
        </w:rPr>
        <w:fldChar w:fldCharType="end"/>
      </w:r>
    </w:p>
    <w:sectPr w:rsidR="00BF6F61" w:rsidRPr="00073188" w:rsidSect="00E449B5">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01091"/>
    <w:multiLevelType w:val="hybridMultilevel"/>
    <w:tmpl w:val="F4424E48"/>
    <w:lvl w:ilvl="0" w:tplc="DD20D5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97633F6"/>
    <w:multiLevelType w:val="hybridMultilevel"/>
    <w:tmpl w:val="37FABE24"/>
    <w:lvl w:ilvl="0" w:tplc="036211D4">
      <w:start w:val="1"/>
      <w:numFmt w:val="bullet"/>
      <w:pStyle w:val="ListParagraph"/>
      <w:lvlText w:val=""/>
      <w:lvlJc w:val="left"/>
      <w:pPr>
        <w:ind w:left="2583" w:hanging="360"/>
      </w:pPr>
      <w:rPr>
        <w:rFonts w:ascii="Symbol" w:hAnsi="Symbo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2"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AA17CE3"/>
    <w:multiLevelType w:val="hybridMultilevel"/>
    <w:tmpl w:val="4A342D44"/>
    <w:lvl w:ilvl="0" w:tplc="EBD030B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8" w15:restartNumberingAfterBreak="0">
    <w:nsid w:val="7E6F3FD5"/>
    <w:multiLevelType w:val="hybridMultilevel"/>
    <w:tmpl w:val="41A84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3308408">
    <w:abstractNumId w:val="3"/>
  </w:num>
  <w:num w:numId="2" w16cid:durableId="1336035912">
    <w:abstractNumId w:val="2"/>
  </w:num>
  <w:num w:numId="3" w16cid:durableId="397366117">
    <w:abstractNumId w:val="4"/>
  </w:num>
  <w:num w:numId="4" w16cid:durableId="43137312">
    <w:abstractNumId w:val="7"/>
  </w:num>
  <w:num w:numId="5" w16cid:durableId="1613249565">
    <w:abstractNumId w:val="5"/>
  </w:num>
  <w:num w:numId="6" w16cid:durableId="1051071798">
    <w:abstractNumId w:val="6"/>
  </w:num>
  <w:num w:numId="7" w16cid:durableId="1064794005">
    <w:abstractNumId w:val="1"/>
  </w:num>
  <w:num w:numId="8" w16cid:durableId="1097360913">
    <w:abstractNumId w:val="0"/>
  </w:num>
  <w:num w:numId="9" w16cid:durableId="17314238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A50A7"/>
    <w:rsid w:val="0001007B"/>
    <w:rsid w:val="000442BF"/>
    <w:rsid w:val="00052AE0"/>
    <w:rsid w:val="00053169"/>
    <w:rsid w:val="00053198"/>
    <w:rsid w:val="00073188"/>
    <w:rsid w:val="00075A9B"/>
    <w:rsid w:val="000C4C41"/>
    <w:rsid w:val="000F1554"/>
    <w:rsid w:val="000F1D3A"/>
    <w:rsid w:val="000F6769"/>
    <w:rsid w:val="00135DB9"/>
    <w:rsid w:val="001403BE"/>
    <w:rsid w:val="001656F5"/>
    <w:rsid w:val="0017487D"/>
    <w:rsid w:val="00175D28"/>
    <w:rsid w:val="001A3D41"/>
    <w:rsid w:val="001B1CF1"/>
    <w:rsid w:val="001B4656"/>
    <w:rsid w:val="001B50EC"/>
    <w:rsid w:val="001C07A6"/>
    <w:rsid w:val="001D7F88"/>
    <w:rsid w:val="001E264C"/>
    <w:rsid w:val="00211E60"/>
    <w:rsid w:val="002424DD"/>
    <w:rsid w:val="0025056F"/>
    <w:rsid w:val="00294220"/>
    <w:rsid w:val="002B4061"/>
    <w:rsid w:val="002B7DA8"/>
    <w:rsid w:val="002C45D2"/>
    <w:rsid w:val="002F16B9"/>
    <w:rsid w:val="00300407"/>
    <w:rsid w:val="00305742"/>
    <w:rsid w:val="00323753"/>
    <w:rsid w:val="00336C6E"/>
    <w:rsid w:val="00345A86"/>
    <w:rsid w:val="00346886"/>
    <w:rsid w:val="00352007"/>
    <w:rsid w:val="00366DB0"/>
    <w:rsid w:val="00383C21"/>
    <w:rsid w:val="003E0ED5"/>
    <w:rsid w:val="003E3B53"/>
    <w:rsid w:val="00427C79"/>
    <w:rsid w:val="0047399B"/>
    <w:rsid w:val="00483823"/>
    <w:rsid w:val="00496376"/>
    <w:rsid w:val="004C086A"/>
    <w:rsid w:val="004C7E7E"/>
    <w:rsid w:val="004D1B67"/>
    <w:rsid w:val="004E7A0A"/>
    <w:rsid w:val="004F0FE1"/>
    <w:rsid w:val="004F659E"/>
    <w:rsid w:val="005079FC"/>
    <w:rsid w:val="00511881"/>
    <w:rsid w:val="00512013"/>
    <w:rsid w:val="00517755"/>
    <w:rsid w:val="00523BA3"/>
    <w:rsid w:val="00525C15"/>
    <w:rsid w:val="005649A6"/>
    <w:rsid w:val="00577819"/>
    <w:rsid w:val="00580766"/>
    <w:rsid w:val="005A240E"/>
    <w:rsid w:val="005C2B16"/>
    <w:rsid w:val="005D571B"/>
    <w:rsid w:val="005E0C4C"/>
    <w:rsid w:val="0067462A"/>
    <w:rsid w:val="006B29D4"/>
    <w:rsid w:val="006B7686"/>
    <w:rsid w:val="006C4020"/>
    <w:rsid w:val="006D61D0"/>
    <w:rsid w:val="006F6357"/>
    <w:rsid w:val="00715E95"/>
    <w:rsid w:val="007279A9"/>
    <w:rsid w:val="00734FA0"/>
    <w:rsid w:val="007720BA"/>
    <w:rsid w:val="00784F94"/>
    <w:rsid w:val="007A57AB"/>
    <w:rsid w:val="007B0D2E"/>
    <w:rsid w:val="007B7914"/>
    <w:rsid w:val="00852515"/>
    <w:rsid w:val="0086422A"/>
    <w:rsid w:val="008679C0"/>
    <w:rsid w:val="008B1275"/>
    <w:rsid w:val="008C3B35"/>
    <w:rsid w:val="008C53E3"/>
    <w:rsid w:val="008D0213"/>
    <w:rsid w:val="008D6ED3"/>
    <w:rsid w:val="009008AB"/>
    <w:rsid w:val="0093053B"/>
    <w:rsid w:val="00957D49"/>
    <w:rsid w:val="00971E8B"/>
    <w:rsid w:val="00991411"/>
    <w:rsid w:val="009A7BC2"/>
    <w:rsid w:val="00A10F65"/>
    <w:rsid w:val="00A518B9"/>
    <w:rsid w:val="00A5576E"/>
    <w:rsid w:val="00AA3156"/>
    <w:rsid w:val="00AC5C22"/>
    <w:rsid w:val="00AD0697"/>
    <w:rsid w:val="00B10665"/>
    <w:rsid w:val="00B11341"/>
    <w:rsid w:val="00B17D82"/>
    <w:rsid w:val="00B45A8C"/>
    <w:rsid w:val="00B56FCD"/>
    <w:rsid w:val="00B5764C"/>
    <w:rsid w:val="00B6146E"/>
    <w:rsid w:val="00B634AA"/>
    <w:rsid w:val="00B91D22"/>
    <w:rsid w:val="00BE225C"/>
    <w:rsid w:val="00BF6F61"/>
    <w:rsid w:val="00C13E39"/>
    <w:rsid w:val="00C15386"/>
    <w:rsid w:val="00C60735"/>
    <w:rsid w:val="00C90568"/>
    <w:rsid w:val="00CA256E"/>
    <w:rsid w:val="00CA3BBC"/>
    <w:rsid w:val="00CB1FE9"/>
    <w:rsid w:val="00D24D68"/>
    <w:rsid w:val="00D2657D"/>
    <w:rsid w:val="00D67413"/>
    <w:rsid w:val="00DA2C25"/>
    <w:rsid w:val="00DA6D7D"/>
    <w:rsid w:val="00DF7FEA"/>
    <w:rsid w:val="00E00113"/>
    <w:rsid w:val="00E449B5"/>
    <w:rsid w:val="00EA50A7"/>
    <w:rsid w:val="00EC02EB"/>
    <w:rsid w:val="00EF46C7"/>
    <w:rsid w:val="00F05A2C"/>
    <w:rsid w:val="00F162DE"/>
    <w:rsid w:val="00F2044D"/>
    <w:rsid w:val="00F350A6"/>
    <w:rsid w:val="00F66BEA"/>
    <w:rsid w:val="00F74796"/>
    <w:rsid w:val="00F80086"/>
    <w:rsid w:val="00F8468D"/>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67462A"/>
    <w:rPr>
      <w:color w:val="333333"/>
    </w:rPr>
  </w:style>
  <w:style w:type="paragraph" w:customStyle="1" w:styleId="Paragraph">
    <w:name w:val="Paragraph"/>
    <w:basedOn w:val="Normal"/>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ind w:firstLine="0"/>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nresolvedMention1">
    <w:name w:val="Unresolved Mention1"/>
    <w:basedOn w:val="DefaultParagraphFont"/>
    <w:uiPriority w:val="99"/>
    <w:semiHidden/>
    <w:unhideWhenUsed/>
    <w:rsid w:val="00B6146E"/>
    <w:rPr>
      <w:color w:val="605E5C"/>
      <w:shd w:val="clear" w:color="auto" w:fill="E1DFDD"/>
    </w:rPr>
  </w:style>
  <w:style w:type="paragraph" w:styleId="Caption">
    <w:name w:val="caption"/>
    <w:basedOn w:val="Normal"/>
    <w:next w:val="Normal"/>
    <w:uiPriority w:val="35"/>
    <w:unhideWhenUsed/>
    <w:qFormat/>
    <w:rsid w:val="0093053B"/>
    <w:pPr>
      <w:spacing w:after="200"/>
    </w:pPr>
    <w:rPr>
      <w:i/>
      <w:iCs/>
      <w:color w:val="44546A" w:themeColor="text2"/>
      <w:sz w:val="18"/>
      <w:szCs w:val="18"/>
    </w:rPr>
  </w:style>
  <w:style w:type="paragraph" w:styleId="ListParagraph">
    <w:name w:val="List Paragraph"/>
    <w:aliases w:val="Body of text"/>
    <w:link w:val="ListParagraphChar"/>
    <w:uiPriority w:val="1"/>
    <w:qFormat/>
    <w:rsid w:val="0086422A"/>
    <w:pPr>
      <w:numPr>
        <w:numId w:val="7"/>
      </w:numPr>
      <w:tabs>
        <w:tab w:val="left" w:pos="425"/>
        <w:tab w:val="left" w:pos="851"/>
        <w:tab w:val="left" w:pos="1134"/>
        <w:tab w:val="left" w:pos="1418"/>
      </w:tabs>
      <w:spacing w:after="0" w:line="360" w:lineRule="auto"/>
      <w:ind w:left="357" w:hanging="357"/>
      <w:contextualSpacing/>
      <w:jc w:val="both"/>
    </w:pPr>
    <w:rPr>
      <w:rFonts w:ascii="Times New Roman" w:eastAsia="Times New Roman" w:hAnsi="Times New Roman" w:cs="Times New Roman"/>
      <w:sz w:val="24"/>
      <w:szCs w:val="24"/>
      <w:lang w:val="en-ID"/>
    </w:rPr>
  </w:style>
  <w:style w:type="character" w:customStyle="1" w:styleId="ListParagraphChar">
    <w:name w:val="List Paragraph Char"/>
    <w:aliases w:val="Body of text Char"/>
    <w:basedOn w:val="DefaultParagraphFont"/>
    <w:link w:val="ListParagraph"/>
    <w:uiPriority w:val="1"/>
    <w:rsid w:val="0086422A"/>
    <w:rPr>
      <w:rFonts w:ascii="Times New Roman" w:eastAsia="Times New Roman" w:hAnsi="Times New Roman" w:cs="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hmadfauzan@umm.ac.id" TargetMode="Externa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hyperlink" Target="mailto:dwikristian@webmail.umm.ac.id" TargetMode="External"/><Relationship Id="rId12" Type="http://schemas.openxmlformats.org/officeDocument/2006/relationships/image" Target="media/image2.png"/><Relationship Id="rId17" Type="http://schemas.microsoft.com/office/2007/relationships/hdphoto" Target="media/hdphoto3.wdp"/><Relationship Id="rId25"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ndinusa@umm.ac.id" TargetMode="Externa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8.jpeg"/><Relationship Id="rId28" Type="http://schemas.openxmlformats.org/officeDocument/2006/relationships/chart" Target="charts/chart1.xml"/><Relationship Id="rId10" Type="http://schemas.openxmlformats.org/officeDocument/2006/relationships/hyperlink" Target="mailto:miqbalmaulanakwpmb@gmail.com"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mokhtar@umm.ac.id" TargetMode="External"/><Relationship Id="rId14" Type="http://schemas.openxmlformats.org/officeDocument/2006/relationships/image" Target="media/image3.pn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skripsi\Book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1635556045004"/>
          <c:y val="5.595116988809766E-2"/>
          <c:w val="0.8596323623882679"/>
          <c:h val="0.7792303810446887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Sheet1!$A$4:$A$5</c:f>
              <c:strCache>
                <c:ptCount val="2"/>
                <c:pt idx="0">
                  <c:v>R134A</c:v>
                </c:pt>
                <c:pt idx="1">
                  <c:v>R22</c:v>
                </c:pt>
              </c:strCache>
            </c:strRef>
          </c:cat>
          <c:val>
            <c:numRef>
              <c:f>Sheet1!$B$4:$B$5</c:f>
              <c:numCache>
                <c:formatCode>General</c:formatCode>
                <c:ptCount val="2"/>
                <c:pt idx="0">
                  <c:v>20.69</c:v>
                </c:pt>
                <c:pt idx="1">
                  <c:v>17.68</c:v>
                </c:pt>
              </c:numCache>
            </c:numRef>
          </c:val>
          <c:extLst>
            <c:ext xmlns:c16="http://schemas.microsoft.com/office/drawing/2014/chart" uri="{C3380CC4-5D6E-409C-BE32-E72D297353CC}">
              <c16:uniqueId val="{00000000-7576-4886-8005-0986635B5B6D}"/>
            </c:ext>
          </c:extLst>
        </c:ser>
        <c:dLbls>
          <c:dLblPos val="outEnd"/>
          <c:showLegendKey val="0"/>
          <c:showVal val="1"/>
          <c:showCatName val="0"/>
          <c:showSerName val="0"/>
          <c:showPercent val="0"/>
          <c:showBubbleSize val="0"/>
        </c:dLbls>
        <c:gapWidth val="219"/>
        <c:overlap val="-27"/>
        <c:axId val="372236088"/>
        <c:axId val="372240792"/>
      </c:barChart>
      <c:catAx>
        <c:axId val="372236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Refrigerant</a:t>
                </a:r>
                <a:endParaRPr lang="id-ID" b="1">
                  <a:solidFill>
                    <a:schemeClr val="tx1"/>
                  </a:solidFill>
                </a:endParaRPr>
              </a:p>
            </c:rich>
          </c:tx>
          <c:layout>
            <c:manualLayout>
              <c:xMode val="edge"/>
              <c:yMode val="edge"/>
              <c:x val="0.46913257346328213"/>
              <c:y val="0.90405155357614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2240792"/>
        <c:crosses val="autoZero"/>
        <c:auto val="1"/>
        <c:lblAlgn val="ctr"/>
        <c:lblOffset val="100"/>
        <c:noMultiLvlLbl val="0"/>
      </c:catAx>
      <c:valAx>
        <c:axId val="372240792"/>
        <c:scaling>
          <c:orientation val="minMax"/>
          <c:max val="22"/>
          <c:min val="15"/>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latin typeface="+mn-lt"/>
                  </a:rPr>
                  <a:t>Power</a:t>
                </a:r>
                <a:r>
                  <a:rPr lang="en-US" b="1" baseline="0">
                    <a:solidFill>
                      <a:schemeClr val="tx1"/>
                    </a:solidFill>
                    <a:latin typeface="+mn-lt"/>
                  </a:rPr>
                  <a:t> (kW)</a:t>
                </a:r>
                <a:endParaRPr lang="id-ID" b="1">
                  <a:solidFill>
                    <a:schemeClr val="tx1"/>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2236088"/>
        <c:crosses val="autoZero"/>
        <c:crossBetween val="between"/>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1C80DEC-3F6F-418B-AD52-74CA014F5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7</Pages>
  <Words>10119</Words>
  <Characters>57684</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Yosapaht Sumantri</dc:creator>
  <cp:lastModifiedBy>Hp</cp:lastModifiedBy>
  <cp:revision>16</cp:revision>
  <cp:lastPrinted>2019-11-26T03:45:00Z</cp:lastPrinted>
  <dcterms:created xsi:type="dcterms:W3CDTF">2024-08-13T03:01:00Z</dcterms:created>
  <dcterms:modified xsi:type="dcterms:W3CDTF">2024-11-03T03:56:00Z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1907a9e6-d73b-3a50-a3d2-dd7983b236a1</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