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B2986" w14:textId="1262730E" w:rsidR="0009627E" w:rsidRPr="005C4D11" w:rsidRDefault="0009627E" w:rsidP="0009627E">
      <w:pPr>
        <w:pStyle w:val="PaperTitle"/>
        <w:rPr>
          <w:sz w:val="24"/>
          <w:szCs w:val="24"/>
        </w:rPr>
      </w:pPr>
      <w:r w:rsidRPr="003C3E3E">
        <w:t>Wear Lifetime and Elongation Analysis of Undercarriage Components in the D375-6 Dozer: An Integrated FMEA and Economic Order Quantity Approac</w:t>
      </w:r>
      <w:r>
        <w:t>h</w:t>
      </w:r>
    </w:p>
    <w:p w14:paraId="50BF688B" w14:textId="6AB8CCAF" w:rsidR="00EA50A7" w:rsidRPr="00F350C5" w:rsidRDefault="00D82FAC" w:rsidP="00784F94">
      <w:pPr>
        <w:pStyle w:val="AuthorName"/>
        <w:rPr>
          <w:b/>
          <w:szCs w:val="28"/>
        </w:rPr>
      </w:pPr>
      <w:proofErr w:type="spellStart"/>
      <w:r>
        <w:t>Sudarman</w:t>
      </w:r>
      <w:r w:rsidR="005C2B16">
        <w:rPr>
          <w:vertAlign w:val="superscript"/>
        </w:rPr>
        <w:t>a</w:t>
      </w:r>
      <w:proofErr w:type="spellEnd"/>
      <w:r w:rsidR="00EA50A7">
        <w:rPr>
          <w:vertAlign w:val="superscript"/>
        </w:rPr>
        <w:t>)</w:t>
      </w:r>
      <w:r w:rsidR="00EA50A7" w:rsidRPr="00F350C5">
        <w:t xml:space="preserve">, </w:t>
      </w:r>
      <w:proofErr w:type="spellStart"/>
      <w:r>
        <w:t>Eko</w:t>
      </w:r>
      <w:proofErr w:type="spellEnd"/>
      <w:r>
        <w:t xml:space="preserve"> </w:t>
      </w:r>
      <w:proofErr w:type="spellStart"/>
      <w:r>
        <w:t>Hermawan</w:t>
      </w:r>
      <w:proofErr w:type="spellEnd"/>
      <w:r>
        <w:t xml:space="preserve"> </w:t>
      </w:r>
      <w:proofErr w:type="spellStart"/>
      <w:r>
        <w:t>Susanto</w:t>
      </w:r>
      <w:r w:rsidR="005C2B16">
        <w:rPr>
          <w:vertAlign w:val="superscript"/>
        </w:rPr>
        <w:t>b</w:t>
      </w:r>
      <w:proofErr w:type="spellEnd"/>
      <w:r w:rsidR="00DA6D7D" w:rsidRPr="00DA6D7D">
        <w:rPr>
          <w:vertAlign w:val="superscript"/>
        </w:rPr>
        <w:t>)</w:t>
      </w:r>
      <w:r w:rsidR="00EA50A7" w:rsidRPr="00F350C5">
        <w:t>,</w:t>
      </w:r>
      <w:r w:rsidR="00A97BCD" w:rsidRPr="00A97BCD">
        <w:t xml:space="preserve"> </w:t>
      </w:r>
      <w:proofErr w:type="spellStart"/>
      <w:r w:rsidR="00A97BCD" w:rsidRPr="00A97BCD">
        <w:t>Faiqsyah</w:t>
      </w:r>
      <w:proofErr w:type="spellEnd"/>
      <w:r w:rsidR="00A97BCD" w:rsidRPr="00A97BCD">
        <w:t xml:space="preserve"> Iqbal </w:t>
      </w:r>
      <w:proofErr w:type="spellStart"/>
      <w:r w:rsidR="00A97BCD" w:rsidRPr="00A97BCD">
        <w:t>Nugraha</w:t>
      </w:r>
      <w:r w:rsidR="00A97BCD" w:rsidRPr="00A97BCD">
        <w:rPr>
          <w:vertAlign w:val="superscript"/>
        </w:rPr>
        <w:t>c</w:t>
      </w:r>
      <w:proofErr w:type="spellEnd"/>
      <w:r w:rsidR="00A97BCD" w:rsidRPr="00A97BCD">
        <w:rPr>
          <w:vertAlign w:val="superscript"/>
        </w:rPr>
        <w:t>)</w:t>
      </w:r>
      <w:r w:rsidR="00A97BCD">
        <w:t xml:space="preserve">, </w:t>
      </w:r>
      <w:r w:rsidR="0001255E">
        <w:t xml:space="preserve">Roro </w:t>
      </w:r>
      <w:proofErr w:type="spellStart"/>
      <w:r>
        <w:t>Heni</w:t>
      </w:r>
      <w:proofErr w:type="spellEnd"/>
      <w:r>
        <w:t xml:space="preserve"> </w:t>
      </w:r>
      <w:proofErr w:type="spellStart"/>
      <w:r>
        <w:t>Hendaryati</w:t>
      </w:r>
      <w:r w:rsidR="00A97BCD">
        <w:rPr>
          <w:vertAlign w:val="superscript"/>
        </w:rPr>
        <w:t>d</w:t>
      </w:r>
      <w:proofErr w:type="spellEnd"/>
      <w:r w:rsidR="00DA6D7D" w:rsidRPr="00DA6D7D">
        <w:rPr>
          <w:vertAlign w:val="superscript"/>
        </w:rPr>
        <w:t>)</w:t>
      </w:r>
      <w:r w:rsidR="00DA6D7D">
        <w:t xml:space="preserve">, </w:t>
      </w:r>
      <w:proofErr w:type="spellStart"/>
      <w:r>
        <w:t>Herry</w:t>
      </w:r>
      <w:proofErr w:type="spellEnd"/>
      <w:r>
        <w:t xml:space="preserve"> </w:t>
      </w:r>
      <w:proofErr w:type="spellStart"/>
      <w:r>
        <w:t>Suprianto</w:t>
      </w:r>
      <w:r w:rsidR="00A97BCD">
        <w:rPr>
          <w:vertAlign w:val="superscript"/>
        </w:rPr>
        <w:t>e</w:t>
      </w:r>
      <w:proofErr w:type="spellEnd"/>
      <w:r w:rsidR="00DA6D7D" w:rsidRPr="00DA6D7D">
        <w:rPr>
          <w:vertAlign w:val="superscript"/>
        </w:rPr>
        <w:t>)</w:t>
      </w:r>
      <w:r w:rsidR="00DA6D7D">
        <w:t>,</w:t>
      </w:r>
      <w:r w:rsidR="00314D45">
        <w:t xml:space="preserve"> and</w:t>
      </w:r>
      <w:r w:rsidR="00DA6D7D">
        <w:t xml:space="preserve"> </w:t>
      </w:r>
      <w:proofErr w:type="spellStart"/>
      <w:r>
        <w:t>Yepy</w:t>
      </w:r>
      <w:proofErr w:type="spellEnd"/>
      <w:r>
        <w:t xml:space="preserve"> </w:t>
      </w:r>
      <w:proofErr w:type="spellStart"/>
      <w:r>
        <w:t>Komaril</w:t>
      </w:r>
      <w:proofErr w:type="spellEnd"/>
      <w:r>
        <w:t xml:space="preserve"> </w:t>
      </w:r>
      <w:proofErr w:type="spellStart"/>
      <w:r>
        <w:t>Sofii</w:t>
      </w:r>
      <w:r w:rsidR="00A97BCD">
        <w:rPr>
          <w:vertAlign w:val="superscript"/>
        </w:rPr>
        <w:t>f</w:t>
      </w:r>
      <w:proofErr w:type="spellEnd"/>
      <w:r w:rsidR="00EA50A7">
        <w:rPr>
          <w:vertAlign w:val="superscript"/>
        </w:rPr>
        <w:t>)</w:t>
      </w:r>
      <w:r w:rsidR="00A97BCD" w:rsidRPr="00A97BCD">
        <w:t xml:space="preserve"> </w:t>
      </w:r>
    </w:p>
    <w:p w14:paraId="2F3BAB1C" w14:textId="6E6FD00C" w:rsidR="005649A6" w:rsidRPr="002E09EC" w:rsidRDefault="00B6146E" w:rsidP="00814F5F">
      <w:pPr>
        <w:pStyle w:val="AuthorAffiliation"/>
        <w:spacing w:after="240"/>
      </w:pPr>
      <w:r>
        <w:t xml:space="preserve">Department of </w:t>
      </w:r>
      <w:r w:rsidR="00AD49C0">
        <w:t>Mechanical E</w:t>
      </w:r>
      <w:r>
        <w:t>ngineering, Universit</w:t>
      </w:r>
      <w:r w:rsidR="00AD49C0">
        <w:t>y</w:t>
      </w:r>
      <w:r>
        <w:t xml:space="preserve"> </w:t>
      </w:r>
      <w:r w:rsidR="00AD49C0">
        <w:t>of Muhammadiyah Malang</w:t>
      </w:r>
      <w:r>
        <w:t xml:space="preserve">, </w:t>
      </w:r>
      <w:r w:rsidR="00AD49C0">
        <w:t>Malang</w:t>
      </w:r>
      <w:r>
        <w:t xml:space="preserve">, </w:t>
      </w:r>
      <w:r w:rsidR="00AD49C0">
        <w:t>Indonesia</w:t>
      </w:r>
      <w:r>
        <w:t xml:space="preserve"> </w:t>
      </w:r>
    </w:p>
    <w:p w14:paraId="68BDF5FE" w14:textId="52AB79B0" w:rsidR="00814F5F" w:rsidRPr="00814F5F" w:rsidRDefault="00814F5F" w:rsidP="00814F5F">
      <w:pPr>
        <w:pStyle w:val="AuthorEmail"/>
        <w:rPr>
          <w:shd w:val="clear" w:color="auto" w:fill="FFFFFF"/>
          <w:lang w:val="id-ID"/>
        </w:rPr>
      </w:pPr>
      <w:r>
        <w:rPr>
          <w:shd w:val="clear" w:color="auto" w:fill="FFFFFF"/>
          <w:vertAlign w:val="superscript"/>
        </w:rPr>
        <w:t xml:space="preserve">f) </w:t>
      </w:r>
      <w:r w:rsidRPr="002E09EC">
        <w:rPr>
          <w:shd w:val="clear" w:color="auto" w:fill="FFFFFF"/>
          <w:lang w:val="id-ID"/>
        </w:rPr>
        <w:t>Corresponding author</w:t>
      </w:r>
      <w:r>
        <w:rPr>
          <w:shd w:val="clear" w:color="auto" w:fill="FFFFFF"/>
          <w:lang w:val="id-ID"/>
        </w:rPr>
        <w:t xml:space="preserve">: </w:t>
      </w:r>
      <w:hyperlink r:id="rId6" w:history="1">
        <w:r w:rsidRPr="00814F5F">
          <w:rPr>
            <w:rStyle w:val="Hyperlink"/>
            <w:color w:val="auto"/>
            <w:u w:val="none"/>
            <w:shd w:val="clear" w:color="auto" w:fill="FFFFFF"/>
            <w:lang w:val="id-ID"/>
          </w:rPr>
          <w:t>yepykomarils@umm.ac.id</w:t>
        </w:r>
      </w:hyperlink>
    </w:p>
    <w:p w14:paraId="6FB11118" w14:textId="72EDB7B7" w:rsidR="00D82FAC" w:rsidRPr="00814F5F" w:rsidRDefault="00D82FAC" w:rsidP="00D82FAC">
      <w:pPr>
        <w:pStyle w:val="AuthorEmail"/>
        <w:rPr>
          <w:shd w:val="clear" w:color="auto" w:fill="FFFFFF"/>
          <w:lang w:val="id-ID"/>
        </w:rPr>
      </w:pPr>
      <w:r w:rsidRPr="00814F5F">
        <w:rPr>
          <w:shd w:val="clear" w:color="auto" w:fill="FFFFFF"/>
          <w:vertAlign w:val="superscript"/>
          <w:lang w:val="id-ID"/>
        </w:rPr>
        <w:t>a)</w:t>
      </w:r>
      <w:r w:rsidRPr="00814F5F">
        <w:rPr>
          <w:shd w:val="clear" w:color="auto" w:fill="FFFFFF"/>
          <w:lang w:val="id-ID"/>
        </w:rPr>
        <w:t xml:space="preserve"> </w:t>
      </w:r>
      <w:hyperlink r:id="rId7" w:history="1">
        <w:r w:rsidRPr="00814F5F">
          <w:rPr>
            <w:rStyle w:val="Hyperlink"/>
            <w:color w:val="auto"/>
            <w:u w:val="none"/>
            <w:shd w:val="clear" w:color="auto" w:fill="FFFFFF"/>
            <w:lang w:val="id-ID"/>
          </w:rPr>
          <w:t>sudarman@umm.ac.id</w:t>
        </w:r>
      </w:hyperlink>
    </w:p>
    <w:p w14:paraId="43014103" w14:textId="123F07FE" w:rsidR="00EA50A7" w:rsidRPr="00814F5F" w:rsidRDefault="00D82FAC" w:rsidP="00D82FAC">
      <w:pPr>
        <w:pStyle w:val="AuthorEmail"/>
        <w:rPr>
          <w:rStyle w:val="Hyperlink"/>
          <w:color w:val="auto"/>
          <w:u w:val="none"/>
          <w:shd w:val="clear" w:color="auto" w:fill="FFFFFF"/>
        </w:rPr>
      </w:pPr>
      <w:r w:rsidRPr="00814F5F">
        <w:rPr>
          <w:shd w:val="clear" w:color="auto" w:fill="FFFFFF"/>
          <w:vertAlign w:val="superscript"/>
        </w:rPr>
        <w:t>b</w:t>
      </w:r>
      <w:r w:rsidR="00314D45">
        <w:rPr>
          <w:shd w:val="clear" w:color="auto" w:fill="FFFFFF"/>
          <w:vertAlign w:val="superscript"/>
        </w:rPr>
        <w:t>)</w:t>
      </w:r>
      <w:r w:rsidRPr="00814F5F">
        <w:rPr>
          <w:shd w:val="clear" w:color="auto" w:fill="FFFFFF"/>
          <w:vertAlign w:val="superscript"/>
        </w:rPr>
        <w:t xml:space="preserve"> </w:t>
      </w:r>
      <w:hyperlink r:id="rId8" w:history="1">
        <w:r w:rsidRPr="00814F5F">
          <w:rPr>
            <w:rStyle w:val="Hyperlink"/>
            <w:color w:val="auto"/>
            <w:u w:val="none"/>
            <w:shd w:val="clear" w:color="auto" w:fill="FFFFFF"/>
          </w:rPr>
          <w:t>hermako15@gmail.com</w:t>
        </w:r>
      </w:hyperlink>
    </w:p>
    <w:p w14:paraId="16D9B20A" w14:textId="43C826A8" w:rsidR="009F5D7C" w:rsidRPr="00814F5F" w:rsidRDefault="00A97BCD" w:rsidP="009F5D7C">
      <w:pPr>
        <w:pStyle w:val="AuthorEmail"/>
        <w:rPr>
          <w:shd w:val="clear" w:color="auto" w:fill="FFFFFF"/>
        </w:rPr>
      </w:pPr>
      <w:r w:rsidRPr="00814F5F">
        <w:rPr>
          <w:shd w:val="clear" w:color="auto" w:fill="FFFFFF"/>
          <w:vertAlign w:val="superscript"/>
        </w:rPr>
        <w:t>c</w:t>
      </w:r>
      <w:r w:rsidR="009F5D7C" w:rsidRPr="00814F5F">
        <w:rPr>
          <w:shd w:val="clear" w:color="auto" w:fill="FFFFFF"/>
          <w:vertAlign w:val="superscript"/>
        </w:rPr>
        <w:t>)</w:t>
      </w:r>
      <w:r w:rsidR="009F5D7C" w:rsidRPr="00814F5F">
        <w:rPr>
          <w:shd w:val="clear" w:color="auto" w:fill="FFFFFF"/>
        </w:rPr>
        <w:t xml:space="preserve"> </w:t>
      </w:r>
      <w:hyperlink r:id="rId9" w:history="1">
        <w:r w:rsidR="00814F5F" w:rsidRPr="00814F5F">
          <w:rPr>
            <w:rStyle w:val="Hyperlink"/>
            <w:color w:val="auto"/>
            <w:u w:val="none"/>
            <w:shd w:val="clear" w:color="auto" w:fill="FFFFFF"/>
          </w:rPr>
          <w:t>faiqiqbal373@gmail.com</w:t>
        </w:r>
      </w:hyperlink>
      <w:r w:rsidR="00814F5F" w:rsidRPr="00814F5F">
        <w:rPr>
          <w:shd w:val="clear" w:color="auto" w:fill="FFFFFF"/>
        </w:rPr>
        <w:t xml:space="preserve"> </w:t>
      </w:r>
    </w:p>
    <w:p w14:paraId="38E3B386" w14:textId="5630B261" w:rsidR="00D82FAC" w:rsidRPr="00814F5F" w:rsidRDefault="00A97BCD" w:rsidP="00D82FAC">
      <w:pPr>
        <w:pStyle w:val="AuthorEmail"/>
      </w:pPr>
      <w:r w:rsidRPr="00814F5F">
        <w:rPr>
          <w:vertAlign w:val="superscript"/>
        </w:rPr>
        <w:t>d</w:t>
      </w:r>
      <w:r w:rsidR="00300407" w:rsidRPr="00814F5F">
        <w:rPr>
          <w:vertAlign w:val="superscript"/>
        </w:rPr>
        <w:t>)</w:t>
      </w:r>
      <w:r w:rsidR="00D82FAC" w:rsidRPr="00814F5F">
        <w:rPr>
          <w:vertAlign w:val="superscript"/>
        </w:rPr>
        <w:t xml:space="preserve"> </w:t>
      </w:r>
      <w:hyperlink r:id="rId10" w:history="1">
        <w:r w:rsidR="00D82FAC" w:rsidRPr="00814F5F">
          <w:rPr>
            <w:rStyle w:val="Hyperlink"/>
            <w:color w:val="auto"/>
            <w:u w:val="none"/>
          </w:rPr>
          <w:t>heni@umm.ac.id</w:t>
        </w:r>
      </w:hyperlink>
    </w:p>
    <w:p w14:paraId="26EFA2E0" w14:textId="72466AD7" w:rsidR="00D82FAC" w:rsidRPr="00814F5F" w:rsidRDefault="00A97BCD" w:rsidP="00D82FAC">
      <w:pPr>
        <w:pStyle w:val="AuthorEmail"/>
      </w:pPr>
      <w:r w:rsidRPr="00814F5F">
        <w:rPr>
          <w:vertAlign w:val="superscript"/>
        </w:rPr>
        <w:t>e</w:t>
      </w:r>
      <w:r w:rsidR="00D82FAC" w:rsidRPr="00814F5F">
        <w:rPr>
          <w:vertAlign w:val="superscript"/>
        </w:rPr>
        <w:t>)</w:t>
      </w:r>
      <w:r w:rsidR="00D82FAC" w:rsidRPr="00814F5F">
        <w:t xml:space="preserve"> </w:t>
      </w:r>
      <w:hyperlink r:id="rId11" w:history="1">
        <w:r w:rsidR="00D82FAC" w:rsidRPr="00814F5F">
          <w:rPr>
            <w:rStyle w:val="Hyperlink"/>
            <w:color w:val="auto"/>
            <w:u w:val="none"/>
          </w:rPr>
          <w:t>hery@umm.ac.id</w:t>
        </w:r>
      </w:hyperlink>
    </w:p>
    <w:p w14:paraId="128B343A" w14:textId="0561DD93" w:rsidR="00CA3BBC" w:rsidRPr="00CA3BBC" w:rsidRDefault="00EA50A7" w:rsidP="00CA3BBC">
      <w:pPr>
        <w:pStyle w:val="Abstract"/>
        <w:rPr>
          <w:color w:val="333333"/>
          <w:szCs w:val="18"/>
        </w:rPr>
      </w:pPr>
      <w:r w:rsidRPr="002E09EC">
        <w:rPr>
          <w:b/>
        </w:rPr>
        <w:t>Abstract</w:t>
      </w:r>
      <w:r w:rsidR="00784F94">
        <w:rPr>
          <w:b/>
        </w:rPr>
        <w:t xml:space="preserve">. </w:t>
      </w:r>
      <w:r w:rsidRPr="002E09EC">
        <w:t xml:space="preserve"> </w:t>
      </w:r>
      <w:r w:rsidR="00D04850" w:rsidRPr="00D04850">
        <w:rPr>
          <w:rStyle w:val="Emphasis"/>
          <w:szCs w:val="18"/>
        </w:rPr>
        <w:t>The undercarriage is a critical support system beneath various vehicles, including excavators, cars, and tractor-trailers. Wheels or tracks are attached to the undercarriage to facilitate the movement of heavy machinery. Besides collisions, undercarriage damage can result from exposure to salt, mud, and potholes. Additionally, outdated shock absorbers can cause excessive vibrations, leading to further damage. Symptoms of undercarriage failure may include handling issues, fluid leaks, oil odors, and visible damage. This study focuses on undercarriage components, particularly wear and service life, using a Failure Mode and Effects Analysis (FMEA) approach to identify maintenance needs and applying the Economic Order Quantity (EOQ) model to manage component procurement for the following year. The results indicate the following maintenance and procurement schedules: Carrier Roller: 2 times/year with a procurement rate of 95.09%, Idler: 1 time/year with a procurement rate of 43.04%, Segment Sprocket: 1 time/year with a procurement rate of 87.67%, Track Link: 1 time/year with a procurement rate of 65.41%, Grouser Shoe: 1 time/year with a procurement rate of 88.70%, Track Roller: 1 time/year with a procurement rate of 85.68%. These findings provide a strategic approach to undercarriage maintenance, potentially extending the lifespan of components and reducing operational costs.</w:t>
      </w:r>
    </w:p>
    <w:p w14:paraId="282ACB97" w14:textId="250B6623" w:rsidR="00EA50A7" w:rsidRDefault="00EA50A7" w:rsidP="00784F94">
      <w:pPr>
        <w:pStyle w:val="Abstract"/>
      </w:pPr>
      <w:r w:rsidRPr="002E09EC">
        <w:rPr>
          <w:b/>
        </w:rPr>
        <w:t xml:space="preserve">Keywords: </w:t>
      </w:r>
      <w:r w:rsidR="00D82FAC" w:rsidRPr="00D82FAC">
        <w:t>FMEA</w:t>
      </w:r>
      <w:r w:rsidR="00D82FAC">
        <w:t>,</w:t>
      </w:r>
      <w:r w:rsidR="00D82FAC" w:rsidRPr="00D82FAC">
        <w:t xml:space="preserve"> </w:t>
      </w:r>
      <w:r w:rsidR="007434BA">
        <w:t xml:space="preserve">EOQ, </w:t>
      </w:r>
      <w:r w:rsidR="00D82FAC" w:rsidRPr="00D82FAC">
        <w:t>Wear</w:t>
      </w:r>
      <w:r w:rsidR="00D82FAC">
        <w:t>,</w:t>
      </w:r>
      <w:r w:rsidR="00D82FAC" w:rsidRPr="00D82FAC">
        <w:t xml:space="preserve"> Undercarriage Lifetime</w:t>
      </w:r>
      <w:r w:rsidR="00CA3BBC">
        <w:t xml:space="preserve">. </w:t>
      </w:r>
    </w:p>
    <w:p w14:paraId="0CD11642" w14:textId="11C772BC" w:rsidR="00EA50A7" w:rsidRDefault="00EA50A7" w:rsidP="00784F94">
      <w:pPr>
        <w:pStyle w:val="Heading1"/>
      </w:pPr>
      <w:r w:rsidRPr="00784F94">
        <w:t>INTRODUCTION</w:t>
      </w:r>
    </w:p>
    <w:p w14:paraId="170BC8CD" w14:textId="0B688FE2" w:rsidR="00F056E9" w:rsidRPr="00314D45" w:rsidRDefault="00F056E9" w:rsidP="00F056E9">
      <w:pPr>
        <w:pStyle w:val="Paragraph"/>
        <w:rPr>
          <w:rStyle w:val="Emphasis"/>
        </w:rPr>
      </w:pPr>
      <w:r w:rsidRPr="00314D45">
        <w:rPr>
          <w:rStyle w:val="Emphasis"/>
        </w:rPr>
        <w:t>Heavy machinery, particularly bulldozers, relies heavily on a crucial component known as the undercarriage, which is responsible for direct contact with the ground or road surface</w:t>
      </w:r>
      <w:r w:rsidR="00753714" w:rsidRPr="00314D45">
        <w:rPr>
          <w:rStyle w:val="Emphasis"/>
        </w:rPr>
        <w:t xml:space="preserve"> </w:t>
      </w:r>
      <w:r w:rsidR="00753714" w:rsidRPr="00314D45">
        <w:rPr>
          <w:rStyle w:val="Emphasis"/>
        </w:rPr>
        <w:fldChar w:fldCharType="begin"/>
      </w:r>
      <w:r w:rsidR="00753714" w:rsidRPr="00314D45">
        <w:rPr>
          <w:rStyle w:val="Emphasis"/>
        </w:rPr>
        <w:instrText xml:space="preserve"> ADDIN EN.CITE &lt;EndNote&gt;&lt;Cite&gt;&lt;Author&gt;Jankovic&lt;/Author&gt;&lt;Year&gt;2019&lt;/Year&gt;&lt;RecNum&gt;9&lt;/RecNum&gt;&lt;DisplayText&gt;[1, 2]&lt;/DisplayText&gt;&lt;record&gt;&lt;rec-number&gt;9&lt;/rec-number&gt;&lt;foreign-keys&gt;&lt;key app="EN" db-id="ffr9d2swaz090nef5wwxvf9yswwa95rz09xr" timestamp="1728356136"&gt;9&lt;/key&gt;&lt;/foreign-keys&gt;&lt;ref-type name="Journal Article"&gt;17&lt;/ref-type&gt;&lt;contributors&gt;&lt;authors&gt;&lt;author&gt;Jankovic, Ivan&lt;/author&gt;&lt;author&gt;Djenadic, Stevan&lt;/author&gt;&lt;author&gt;Ignjatovic, Dragan&lt;/author&gt;&lt;author&gt;Jovancic, Predrag&lt;/author&gt;&lt;author&gt;Subaranovic, Tomislav&lt;/author&gt;&lt;author&gt;Ristovic, Ivica&lt;/author&gt;&lt;/authors&gt;&lt;/contributors&gt;&lt;titles&gt;&lt;title&gt;Multi-criteria approach for selecting optimal dozer type in open-cast coal mining&lt;/title&gt;&lt;secondary-title&gt;Energies&lt;/secondary-title&gt;&lt;/titles&gt;&lt;periodical&gt;&lt;full-title&gt;Energies&lt;/full-title&gt;&lt;/periodical&gt;&lt;pages&gt;2245&lt;/pages&gt;&lt;volume&gt;12&lt;/volume&gt;&lt;number&gt;12&lt;/number&gt;&lt;dates&gt;&lt;year&gt;2019&lt;/year&gt;&lt;/dates&gt;&lt;publisher&gt;MDPI&lt;/publisher&gt;&lt;isbn&gt;1996-1073&lt;/isbn&gt;&lt;urls&gt;&lt;/urls&gt;&lt;/record&gt;&lt;/Cite&gt;&lt;Cite&gt;&lt;Author&gt;Basri&lt;/Author&gt;&lt;Year&gt;2019&lt;/Year&gt;&lt;RecNum&gt;10&lt;/RecNum&gt;&lt;record&gt;&lt;rec-number&gt;10&lt;/rec-number&gt;&lt;foreign-keys&gt;&lt;key app="EN" db-id="ffr9d2swaz090nef5wwxvf9yswwa95rz09xr" timestamp="1728356194"&gt;10&lt;/key&gt;&lt;/foreign-keys&gt;&lt;ref-type name="Journal Article"&gt;17&lt;/ref-type&gt;&lt;contributors&gt;&lt;authors&gt;&lt;author&gt;Basri, Hasan&lt;/author&gt;&lt;author&gt;Diniardi, Ery&lt;/author&gt;&lt;author&gt;Ramadhan, Anwar Ilmar&lt;/author&gt;&lt;/authors&gt;&lt;/contributors&gt;&lt;titles&gt;&lt;title&gt;Troubleshooting Blow by Pressure High on the Komatsu Bulldozer Unit D375A-6R&lt;/title&gt;&lt;secondary-title&gt;Journal of Applied Sciences and Advanced Technology&lt;/secondary-title&gt;&lt;/titles&gt;&lt;periodical&gt;&lt;full-title&gt;Journal of Applied Sciences and Advanced Technology&lt;/full-title&gt;&lt;/periodical&gt;&lt;pages&gt;17-20&lt;/pages&gt;&lt;volume&gt;2&lt;/volume&gt;&lt;number&gt;1&lt;/number&gt;&lt;dates&gt;&lt;year&gt;2019&lt;/year&gt;&lt;/dates&gt;&lt;isbn&gt;2622-6553&lt;/isbn&gt;&lt;urls&gt;&lt;/urls&gt;&lt;/record&gt;&lt;/Cite&gt;&lt;/EndNote&gt;</w:instrText>
      </w:r>
      <w:r w:rsidR="00753714" w:rsidRPr="00314D45">
        <w:rPr>
          <w:rStyle w:val="Emphasis"/>
        </w:rPr>
        <w:fldChar w:fldCharType="separate"/>
      </w:r>
      <w:r w:rsidR="00753714" w:rsidRPr="00314D45">
        <w:rPr>
          <w:rStyle w:val="Emphasis"/>
        </w:rPr>
        <w:t>[1, 2]</w:t>
      </w:r>
      <w:r w:rsidR="00753714" w:rsidRPr="00314D45">
        <w:rPr>
          <w:rStyle w:val="Emphasis"/>
        </w:rPr>
        <w:fldChar w:fldCharType="end"/>
      </w:r>
      <w:r w:rsidRPr="00314D45">
        <w:rPr>
          <w:rStyle w:val="Emphasis"/>
        </w:rPr>
        <w:t>. The undercarriage immediately engages with the terrain, facing significant resistance from the ground</w:t>
      </w:r>
      <w:r w:rsidR="00753714" w:rsidRPr="00314D45">
        <w:rPr>
          <w:rStyle w:val="Emphasis"/>
        </w:rPr>
        <w:t xml:space="preserve"> </w:t>
      </w:r>
      <w:r w:rsidR="00753714" w:rsidRPr="00314D45">
        <w:rPr>
          <w:rStyle w:val="Emphasis"/>
        </w:rPr>
        <w:fldChar w:fldCharType="begin"/>
      </w:r>
      <w:r w:rsidR="00753714" w:rsidRPr="00314D45">
        <w:rPr>
          <w:rStyle w:val="Emphasis"/>
        </w:rPr>
        <w:instrText xml:space="preserve"> ADDIN EN.CITE &lt;EndNote&gt;&lt;Cite&gt;&lt;Author&gt;Nadykto&lt;/Author&gt;&lt;Year&gt;2015&lt;/Year&gt;&lt;RecNum&gt;1&lt;/RecNum&gt;&lt;DisplayText&gt;[3, 4]&lt;/DisplayText&gt;&lt;record&gt;&lt;rec-number&gt;1&lt;/rec-number&gt;&lt;foreign-keys&gt;&lt;key app="EN" db-id="z9w2zfwd5pvaxqeffti5feaxd52w529z5rsz" timestamp="1728356278"&gt;1&lt;/key&gt;&lt;/foreign-keys&gt;&lt;ref-type name="Journal Article"&gt;17&lt;/ref-type&gt;&lt;contributors&gt;&lt;authors&gt;&lt;author&gt;Nadykto, V.&lt;/author&gt;&lt;author&gt;Arak, M.&lt;/author&gt;&lt;author&gt;Olt, J.&lt;/author&gt;&lt;/authors&gt;&lt;/contributors&gt;&lt;titles&gt;&lt;title&gt;Theoretical research into the frictional slipping of wheel-type undercarriage taking into account the limitation of their impact on the soil&lt;/title&gt;&lt;/titles&gt;&lt;dates&gt;&lt;year&gt;2015&lt;/year&gt;&lt;/dates&gt;&lt;urls&gt;&lt;/urls&gt;&lt;/record&gt;&lt;/Cite&gt;&lt;Cite&gt;&lt;Author&gt;Perillo&lt;/Author&gt;&lt;RecNum&gt;2&lt;/RecNum&gt;&lt;record&gt;&lt;rec-number&gt;2&lt;/rec-number&gt;&lt;foreign-keys&gt;&lt;key app="EN" db-id="z9w2zfwd5pvaxqeffti5feaxd52w529z5rsz" timestamp="1728356324"&gt;2&lt;/key&gt;&lt;/foreign-keys&gt;&lt;ref-type name="Conference Proceedings"&gt;10&lt;/ref-type&gt;&lt;contributors&gt;&lt;authors&gt;&lt;author&gt;Perillo, Marco&lt;/author&gt;&lt;author&gt;Primavera, Vito&lt;/author&gt;&lt;author&gt;Bonello, Giorgio&lt;/author&gt;&lt;author&gt;Cavedoni, Marco&lt;/author&gt;&lt;/authors&gt;&lt;/contributors&gt;&lt;titles&gt;&lt;title&gt;Structural dynamic response of a track chain complete undercarriage system using a virtual proving ground approach&lt;/title&gt;&lt;alt-title&gt;10th International LS-DYNA User Conference, Dearborn, USA&lt;/alt-title&gt;&lt;/titles&gt;&lt;dates&gt;&lt;pub-dates&gt;&lt;date&gt;2008&lt;/date&gt;&lt;/pub-dates&gt;&lt;/dates&gt;&lt;urls&gt;&lt;/urls&gt;&lt;/record&gt;&lt;/Cite&gt;&lt;/EndNote&gt;</w:instrText>
      </w:r>
      <w:r w:rsidR="00753714" w:rsidRPr="00314D45">
        <w:rPr>
          <w:rStyle w:val="Emphasis"/>
        </w:rPr>
        <w:fldChar w:fldCharType="separate"/>
      </w:r>
      <w:r w:rsidR="00753714" w:rsidRPr="00314D45">
        <w:rPr>
          <w:rStyle w:val="Emphasis"/>
        </w:rPr>
        <w:t>[3, 4]</w:t>
      </w:r>
      <w:r w:rsidR="00753714" w:rsidRPr="00314D45">
        <w:rPr>
          <w:rStyle w:val="Emphasis"/>
        </w:rPr>
        <w:fldChar w:fldCharType="end"/>
      </w:r>
      <w:r w:rsidRPr="00314D45">
        <w:rPr>
          <w:rStyle w:val="Emphasis"/>
        </w:rPr>
        <w:t>. This interaction enhances the operational efficiency of the machinery, ensuring firm traction on the surface. However, it also introduces challenges related to wear and tear</w:t>
      </w:r>
      <w:r w:rsidR="00753714" w:rsidRPr="00314D45">
        <w:rPr>
          <w:rStyle w:val="Emphasis"/>
        </w:rPr>
        <w:t xml:space="preserve"> </w:t>
      </w:r>
      <w:r w:rsidR="00753714" w:rsidRPr="00314D45">
        <w:rPr>
          <w:rStyle w:val="Emphasis"/>
        </w:rPr>
        <w:fldChar w:fldCharType="begin"/>
      </w:r>
      <w:r w:rsidR="00753714" w:rsidRPr="00314D45">
        <w:rPr>
          <w:rStyle w:val="Emphasis"/>
        </w:rPr>
        <w:instrText xml:space="preserve"> ADDIN EN.CITE &lt;EndNote&gt;&lt;Cite&gt;&lt;Author&gt;Antoni&lt;/Author&gt;&lt;Year&gt;2019&lt;/Year&gt;&lt;RecNum&gt;3&lt;/RecNum&gt;&lt;DisplayText&gt;[5, 6]&lt;/DisplayText&gt;&lt;record&gt;&lt;rec-number&gt;3&lt;/rec-number&gt;&lt;foreign-keys&gt;&lt;key app="EN" db-id="z9w2zfwd5pvaxqeffti5feaxd52w529z5rsz" timestamp="1728356385"&gt;3&lt;/key&gt;&lt;/foreign-keys&gt;&lt;ref-type name="Journal Article"&gt;17&lt;/ref-type&gt;&lt;contributors&gt;&lt;authors&gt;&lt;author&gt;Antoni, Riki&lt;/author&gt;&lt;/authors&gt;&lt;/contributors&gt;&lt;titles&gt;&lt;title&gt;Studi Cara Kerja Komponen Undercarriage Excavator&lt;/title&gt;&lt;/titles&gt;&lt;dates&gt;&lt;year&gt;2019&lt;/year&gt;&lt;/dates&gt;&lt;publisher&gt;Universitas Muhammadiyah Surakarta&lt;/publisher&gt;&lt;urls&gt;&lt;/urls&gt;&lt;/record&gt;&lt;/Cite&gt;&lt;Cite&gt;&lt;Author&gt;Parkhomenko&lt;/Author&gt;&lt;RecNum&gt;4&lt;/RecNum&gt;&lt;record&gt;&lt;rec-number&gt;4&lt;/rec-number&gt;&lt;foreign-keys&gt;&lt;key app="EN" db-id="z9w2zfwd5pvaxqeffti5feaxd52w529z5rsz" timestamp="1728356429"&gt;4&lt;/key&gt;&lt;/foreign-keys&gt;&lt;ref-type name="Conference Proceedings"&gt;10&lt;/ref-type&gt;&lt;contributors&gt;&lt;authors&gt;&lt;author&gt;Parkhomenko, G. G.&lt;/author&gt;&lt;author&gt;Voinash, S. A.&lt;/author&gt;&lt;author&gt;Sokolova, V. A.&lt;/author&gt;&lt;author&gt;Krivonogova, A. S.&lt;/author&gt;&lt;author&gt;Rzhavtsev, A. A.&lt;/author&gt;&lt;/authors&gt;&lt;/contributors&gt;&lt;titles&gt;&lt;title&gt;Reducing the negative impact of undercarriage systems and agricultural machinery parts on soils&lt;/title&gt;&lt;alt-title&gt;IOP Conference Series: Earth and Environmental Science&lt;/alt-title&gt;&lt;/titles&gt;&lt;pages&gt;012049&lt;/pages&gt;&lt;volume&gt;316&lt;/volume&gt;&lt;edition&gt;1&lt;/edition&gt;&lt;dates&gt;&lt;pub-dates&gt;&lt;date&gt;2019&lt;/date&gt;&lt;/pub-dates&gt;&lt;/dates&gt;&lt;publisher&gt;IOP Publishing&lt;/publisher&gt;&lt;isbn&gt;1755-1315&lt;/isbn&gt;&lt;urls&gt;&lt;/urls&gt;&lt;/record&gt;&lt;/Cite&gt;&lt;/EndNote&gt;</w:instrText>
      </w:r>
      <w:r w:rsidR="00753714" w:rsidRPr="00314D45">
        <w:rPr>
          <w:rStyle w:val="Emphasis"/>
        </w:rPr>
        <w:fldChar w:fldCharType="separate"/>
      </w:r>
      <w:r w:rsidR="00753714" w:rsidRPr="00314D45">
        <w:rPr>
          <w:rStyle w:val="Emphasis"/>
        </w:rPr>
        <w:t>[5, 6]</w:t>
      </w:r>
      <w:r w:rsidR="00753714" w:rsidRPr="00314D45">
        <w:rPr>
          <w:rStyle w:val="Emphasis"/>
        </w:rPr>
        <w:fldChar w:fldCharType="end"/>
      </w:r>
      <w:r w:rsidRPr="00314D45">
        <w:rPr>
          <w:rStyle w:val="Emphasis"/>
        </w:rPr>
        <w:t>. Components such as track shoes, track links, carrier rollers, track rollers, idlers, and sprockets, which rotate and touch the ground, are subjected to friction and tension. The resulting friction generates heat and leads to wear, while tension causes strain on the track links</w:t>
      </w:r>
      <w:r w:rsidR="00753714" w:rsidRPr="00314D45">
        <w:rPr>
          <w:rStyle w:val="Emphasis"/>
        </w:rPr>
        <w:t xml:space="preserve"> </w:t>
      </w:r>
      <w:r w:rsidR="00753714" w:rsidRPr="00314D45">
        <w:rPr>
          <w:rStyle w:val="Emphasis"/>
        </w:rPr>
        <w:fldChar w:fldCharType="begin"/>
      </w:r>
      <w:r w:rsidR="00753714" w:rsidRPr="00314D45">
        <w:rPr>
          <w:rStyle w:val="Emphasis"/>
        </w:rPr>
        <w:instrText xml:space="preserve"> ADDIN EN.CITE &lt;EndNote&gt;&lt;Cite&gt;&lt;Author&gt;Pradhana&lt;/Author&gt;&lt;Year&gt;2020&lt;/Year&gt;&lt;RecNum&gt;5&lt;/RecNum&gt;&lt;DisplayText&gt;[7]&lt;/DisplayText&gt;&lt;record&gt;&lt;rec-number&gt;5&lt;/rec-number&gt;&lt;foreign-keys&gt;&lt;key app="EN" db-id="z9w2zfwd5pvaxqeffti5feaxd52w529z5rsz" timestamp="1728356512"&gt;5&lt;/key&gt;&lt;/foreign-keys&gt;&lt;ref-type name="Journal Article"&gt;17&lt;/ref-type&gt;&lt;contributors&gt;&lt;authors&gt;&lt;author&gt;Pradhana, Yoga Harta&lt;/author&gt;&lt;/authors&gt;&lt;/contributors&gt;&lt;titles&gt;&lt;title&gt;Analisa Keausan Dan Kerusakan Komponen Undercarriage Pada Unit Bulldozer SD22E&lt;/title&gt;&lt;/titles&gt;&lt;dates&gt;&lt;year&gt;2020&lt;/year&gt;&lt;/dates&gt;&lt;publisher&gt;Universitas Muhammadiyah Surakarta&lt;/publisher&gt;&lt;urls&gt;&lt;/urls&gt;&lt;/record&gt;&lt;/Cite&gt;&lt;/EndNote&gt;</w:instrText>
      </w:r>
      <w:r w:rsidR="00753714" w:rsidRPr="00314D45">
        <w:rPr>
          <w:rStyle w:val="Emphasis"/>
        </w:rPr>
        <w:fldChar w:fldCharType="separate"/>
      </w:r>
      <w:r w:rsidR="00753714" w:rsidRPr="00314D45">
        <w:rPr>
          <w:rStyle w:val="Emphasis"/>
        </w:rPr>
        <w:t>[7]</w:t>
      </w:r>
      <w:r w:rsidR="00753714" w:rsidRPr="00314D45">
        <w:rPr>
          <w:rStyle w:val="Emphasis"/>
        </w:rPr>
        <w:fldChar w:fldCharType="end"/>
      </w:r>
      <w:r w:rsidRPr="00314D45">
        <w:rPr>
          <w:rStyle w:val="Emphasis"/>
        </w:rPr>
        <w:t xml:space="preserve">. These factors contribute to the deterioration of the undercarriage, necessitating periodic component replacement to maintain operational integrity </w:t>
      </w:r>
      <w:r w:rsidR="00753714" w:rsidRPr="00314D45">
        <w:rPr>
          <w:rStyle w:val="Emphasis"/>
        </w:rPr>
        <w:fldChar w:fldCharType="begin"/>
      </w:r>
      <w:r w:rsidR="00753714" w:rsidRPr="00314D45">
        <w:rPr>
          <w:rStyle w:val="Emphasis"/>
        </w:rPr>
        <w:instrText xml:space="preserve"> ADDIN EN.CITE &lt;EndNote&gt;&lt;Cite&gt;&lt;Author&gt;Priyana&lt;/Author&gt;&lt;Year&gt;2020&lt;/Year&gt;&lt;RecNum&gt;6&lt;/RecNum&gt;&lt;DisplayText&gt;[8]&lt;/DisplayText&gt;&lt;record&gt;&lt;rec-number&gt;6&lt;/rec-number&gt;&lt;foreign-keys&gt;&lt;key app="EN" db-id="z9w2zfwd5pvaxqeffti5feaxd52w529z5rsz" timestamp="1728356563"&gt;6&lt;/key&gt;&lt;/foreign-keys&gt;&lt;ref-type name="Journal Article"&gt;17&lt;/ref-type&gt;&lt;contributors&gt;&lt;authors&gt;&lt;author&gt;Priyana, Dhiemas Adhie&lt;/author&gt;&lt;/authors&gt;&lt;/contributors&gt;&lt;titles&gt;&lt;title&gt;Perbaikan Track Roller Pada Bulldozer Komatsu D31E&lt;/title&gt;&lt;/titles&gt;&lt;dates&gt;&lt;year&gt;2020&lt;/year&gt;&lt;/dates&gt;&lt;publisher&gt;Universitas Muhammadiyah Surakarta&lt;/publisher&gt;&lt;urls&gt;&lt;/urls&gt;&lt;/record&gt;&lt;/Cite&gt;&lt;/EndNote&gt;</w:instrText>
      </w:r>
      <w:r w:rsidR="00753714" w:rsidRPr="00314D45">
        <w:rPr>
          <w:rStyle w:val="Emphasis"/>
        </w:rPr>
        <w:fldChar w:fldCharType="separate"/>
      </w:r>
      <w:r w:rsidR="00753714" w:rsidRPr="00314D45">
        <w:rPr>
          <w:rStyle w:val="Emphasis"/>
        </w:rPr>
        <w:t>[8]</w:t>
      </w:r>
      <w:r w:rsidR="00753714" w:rsidRPr="00314D45">
        <w:rPr>
          <w:rStyle w:val="Emphasis"/>
        </w:rPr>
        <w:fldChar w:fldCharType="end"/>
      </w:r>
      <w:r w:rsidRPr="00314D45">
        <w:rPr>
          <w:rStyle w:val="Emphasis"/>
        </w:rPr>
        <w:t>.</w:t>
      </w:r>
    </w:p>
    <w:p w14:paraId="3A230DA8" w14:textId="665B3053" w:rsidR="00F056E9" w:rsidRPr="00314D45" w:rsidRDefault="00F056E9" w:rsidP="00F056E9">
      <w:pPr>
        <w:pStyle w:val="Paragraph"/>
        <w:rPr>
          <w:rStyle w:val="Emphasis"/>
        </w:rPr>
      </w:pPr>
      <w:r w:rsidRPr="00314D45">
        <w:rPr>
          <w:rStyle w:val="Emphasis"/>
        </w:rPr>
        <w:t xml:space="preserve">Component wear is a primary cause of machine operational failure, and the physical and chemical properties of these components significantly impact their functionality. It is crucial to adhere to manufacturer recommendations and standards to prevent equipment or component failure. To optimize machine performance and minimize </w:t>
      </w:r>
      <w:r w:rsidRPr="00314D45">
        <w:rPr>
          <w:rStyle w:val="Emphasis"/>
        </w:rPr>
        <w:lastRenderedPageBreak/>
        <w:t xml:space="preserve">excessive operational costs due to frequent component replacements, undercarriage parts should be replaced at least once a year, with an estimated annual expenditure of around $500,000 </w:t>
      </w:r>
      <w:r w:rsidR="00753714" w:rsidRPr="00314D45">
        <w:rPr>
          <w:rStyle w:val="Emphasis"/>
        </w:rPr>
        <w:fldChar w:fldCharType="begin"/>
      </w:r>
      <w:r w:rsidR="00753714" w:rsidRPr="00314D45">
        <w:rPr>
          <w:rStyle w:val="Emphasis"/>
        </w:rPr>
        <w:instrText xml:space="preserve"> ADDIN EN.CITE &lt;EndNote&gt;&lt;Cite&gt;&lt;Author&gt;Spirito&lt;/Author&gt;&lt;Year&gt;2014&lt;/Year&gt;&lt;RecNum&gt;7&lt;/RecNum&gt;&lt;DisplayText&gt;[9]&lt;/DisplayText&gt;&lt;record&gt;&lt;rec-number&gt;7&lt;/rec-number&gt;&lt;foreign-keys&gt;&lt;key app="EN" db-id="z9w2zfwd5pvaxqeffti5feaxd52w529z5rsz" timestamp="1728356616"&gt;7&lt;/key&gt;&lt;/foreign-keys&gt;&lt;ref-type name="Journal Article"&gt;17&lt;/ref-type&gt;&lt;contributors&gt;&lt;authors&gt;&lt;author&gt;Spirito, Catherine M.&lt;/author&gt;&lt;author&gt;Richter, Hanno&lt;/author&gt;&lt;author&gt;Rabaey, Korneel&lt;/author&gt;&lt;author&gt;Stams, Alfons J. M.&lt;/author&gt;&lt;author&gt;Angenent, Largus T.&lt;/author&gt;&lt;/authors&gt;&lt;/contributors&gt;&lt;titles&gt;&lt;title&gt;Chain elongation in anaerobic reactor microbiomes to recover resources from waste&lt;/title&gt;&lt;secondary-title&gt;Current opinion in biotechnology&lt;/secondary-title&gt;&lt;/titles&gt;&lt;periodical&gt;&lt;full-title&gt;Current opinion in biotechnology&lt;/full-title&gt;&lt;/periodical&gt;&lt;pages&gt;115-122&lt;/pages&gt;&lt;volume&gt;27&lt;/volume&gt;&lt;dates&gt;&lt;year&gt;2014&lt;/year&gt;&lt;/dates&gt;&lt;publisher&gt;Elsevier&lt;/publisher&gt;&lt;isbn&gt;0958-1669&lt;/isbn&gt;&lt;urls&gt;&lt;/urls&gt;&lt;/record&gt;&lt;/Cite&gt;&lt;/EndNote&gt;</w:instrText>
      </w:r>
      <w:r w:rsidR="00753714" w:rsidRPr="00314D45">
        <w:rPr>
          <w:rStyle w:val="Emphasis"/>
        </w:rPr>
        <w:fldChar w:fldCharType="separate"/>
      </w:r>
      <w:r w:rsidR="00753714" w:rsidRPr="00314D45">
        <w:rPr>
          <w:rStyle w:val="Emphasis"/>
        </w:rPr>
        <w:t>[9]</w:t>
      </w:r>
      <w:r w:rsidR="00753714" w:rsidRPr="00314D45">
        <w:rPr>
          <w:rStyle w:val="Emphasis"/>
        </w:rPr>
        <w:fldChar w:fldCharType="end"/>
      </w:r>
      <w:r w:rsidRPr="00314D45">
        <w:rPr>
          <w:rStyle w:val="Emphasis"/>
        </w:rPr>
        <w:t>.</w:t>
      </w:r>
    </w:p>
    <w:p w14:paraId="6DCFADCF" w14:textId="790A6A1B" w:rsidR="00F056E9" w:rsidRPr="00314D45" w:rsidRDefault="00F056E9" w:rsidP="00F056E9">
      <w:pPr>
        <w:pStyle w:val="Paragraph"/>
        <w:rPr>
          <w:rStyle w:val="Emphasis"/>
        </w:rPr>
      </w:pPr>
      <w:r w:rsidRPr="00314D45">
        <w:rPr>
          <w:rStyle w:val="Emphasis"/>
        </w:rPr>
        <w:t>Under normal operating conditions, the track shoes, track links, carrier rollers, track rollers, idlers, and sprockets of a bulldozer are expected to have a long service life. However, in practice, many undercarriage parts fail to reach their expected lifespan, leading to unplanned downtime and increased maintenance costs</w:t>
      </w:r>
      <w:r w:rsidR="00E11E9E" w:rsidRPr="00314D45">
        <w:rPr>
          <w:rStyle w:val="Emphasis"/>
        </w:rPr>
        <w:t xml:space="preserve"> </w:t>
      </w:r>
      <w:r w:rsidR="00753714" w:rsidRPr="00314D45">
        <w:rPr>
          <w:rStyle w:val="Emphasis"/>
        </w:rPr>
        <w:fldChar w:fldCharType="begin"/>
      </w:r>
      <w:r w:rsidR="00753714" w:rsidRPr="00314D45">
        <w:rPr>
          <w:rStyle w:val="Emphasis"/>
        </w:rPr>
        <w:instrText xml:space="preserve"> ADDIN EN.CITE &lt;EndNote&gt;&lt;Cite&gt;&lt;Author&gt;Angenent&lt;/Author&gt;&lt;Year&gt;2016&lt;/Year&gt;&lt;RecNum&gt;8&lt;/RecNum&gt;&lt;DisplayText&gt;[10]&lt;/DisplayText&gt;&lt;record&gt;&lt;rec-number&gt;8&lt;/rec-number&gt;&lt;foreign-keys&gt;&lt;key app="EN" db-id="z9w2zfwd5pvaxqeffti5feaxd52w529z5rsz" timestamp="1728356662"&gt;8&lt;/key&gt;&lt;/foreign-keys&gt;&lt;ref-type name="Journal Article"&gt;17&lt;/ref-type&gt;&lt;contributors&gt;&lt;authors&gt;&lt;author&gt;Angenent, Largus T.&lt;/author&gt;&lt;author&gt;Richter, Hanno&lt;/author&gt;&lt;author&gt;Buckel, Wolfgang&lt;/author&gt;&lt;author&gt;Spirito, Catherine M.&lt;/author&gt;&lt;author&gt;Steinbusch, Kirsten J. J.&lt;/author&gt;&lt;author&gt;Plugge, Caroline M.&lt;/author&gt;&lt;author&gt;Strik, David Pbtb&lt;/author&gt;&lt;author&gt;Grootscholten, Tim I. M.&lt;/author&gt;&lt;author&gt;Buisman, Cees J. N.&lt;/author&gt;&lt;author&gt;Hamelers, Hubertus V. M.&lt;/author&gt;&lt;/authors&gt;&lt;/contributors&gt;&lt;titles&gt;&lt;title&gt;Chain elongation with reactor microbiomes: open-culture biotechnology to produce biochemicals&lt;/title&gt;&lt;secondary-title&gt;Environmental science &amp;amp; technology&lt;/secondary-title&gt;&lt;/titles&gt;&lt;periodical&gt;&lt;full-title&gt;Environmental science &amp;amp; technology&lt;/full-title&gt;&lt;/periodical&gt;&lt;pages&gt;2796-2810&lt;/pages&gt;&lt;volume&gt;50&lt;/volume&gt;&lt;number&gt;6&lt;/number&gt;&lt;dates&gt;&lt;year&gt;2016&lt;/year&gt;&lt;/dates&gt;&lt;publisher&gt;ACS Publications&lt;/publisher&gt;&lt;isbn&gt;0013-936X&lt;/isbn&gt;&lt;urls&gt;&lt;/urls&gt;&lt;/record&gt;&lt;/Cite&gt;&lt;/EndNote&gt;</w:instrText>
      </w:r>
      <w:r w:rsidR="00753714" w:rsidRPr="00314D45">
        <w:rPr>
          <w:rStyle w:val="Emphasis"/>
        </w:rPr>
        <w:fldChar w:fldCharType="separate"/>
      </w:r>
      <w:r w:rsidR="00753714" w:rsidRPr="00314D45">
        <w:rPr>
          <w:rStyle w:val="Emphasis"/>
        </w:rPr>
        <w:t>[10]</w:t>
      </w:r>
      <w:r w:rsidR="00753714" w:rsidRPr="00314D45">
        <w:rPr>
          <w:rStyle w:val="Emphasis"/>
        </w:rPr>
        <w:fldChar w:fldCharType="end"/>
      </w:r>
      <w:r w:rsidRPr="00314D45">
        <w:rPr>
          <w:rStyle w:val="Emphasis"/>
        </w:rPr>
        <w:t>. This study investigates the failure of undercarriage components on the Komatsu D375-6 bulldozer to enhance understanding and optimize the use and functionality of these parts, thereby reducing or minimizing unexpected undercarriage failures that do not align with the expected service life.</w:t>
      </w:r>
    </w:p>
    <w:p w14:paraId="534BDEDA" w14:textId="6614FD27" w:rsidR="00F056E9" w:rsidRPr="00314D45" w:rsidRDefault="00F056E9" w:rsidP="00F056E9">
      <w:pPr>
        <w:pStyle w:val="Paragraph"/>
        <w:rPr>
          <w:rStyle w:val="Emphasis"/>
        </w:rPr>
      </w:pPr>
      <w:r w:rsidRPr="00314D45">
        <w:rPr>
          <w:rStyle w:val="Emphasis"/>
        </w:rPr>
        <w:t xml:space="preserve">A specific issue of concern is chain elongation, which can significantly hinder the performance of track links. When the maximum allowable elongation is reached, the chain is considered worn and must be replaced. If the chain’s length reaches or exceeds this threshold, it will fail to seat properly in the sprocket’s base, instead riding on the sprocket teeth. Continued operation under these conditions accelerates sprocket wear, leading to excessive tooth wear, pitting, and deformation </w:t>
      </w:r>
      <w:r w:rsidR="00F160D3" w:rsidRPr="00314D45">
        <w:rPr>
          <w:rStyle w:val="Emphasis"/>
        </w:rPr>
        <w:fldChar w:fldCharType="begin"/>
      </w:r>
      <w:r w:rsidR="00F160D3" w:rsidRPr="00314D45">
        <w:rPr>
          <w:rStyle w:val="Emphasis"/>
        </w:rPr>
        <w:instrText xml:space="preserve"> ADDIN EN.CITE &lt;EndNote&gt;&lt;Cite&gt;&lt;Author&gt;Grevtseva&lt;/Author&gt;&lt;RecNum&gt;9&lt;/RecNum&gt;&lt;DisplayText&gt;[11]&lt;/DisplayText&gt;&lt;record&gt;&lt;rec-number&gt;9&lt;/rec-number&gt;&lt;foreign-keys&gt;&lt;key app="EN" db-id="z9w2zfwd5pvaxqeffti5feaxd52w529z5rsz" timestamp="1728356714"&gt;9&lt;/key&gt;&lt;/foreign-keys&gt;&lt;ref-type name="Conference Proceedings"&gt;10&lt;/ref-type&gt;&lt;contributors&gt;&lt;authors&gt;&lt;author&gt;Grevtseva, A. S.&lt;/author&gt;&lt;author&gt;Davydov, V. V.&lt;/author&gt;&lt;author&gt;Rud, V. Yu&lt;/author&gt;&lt;/authors&gt;&lt;/contributors&gt;&lt;titles&gt;&lt;title&gt;Development of neural network for automatic calibration of ultrasonic thickness gauge&lt;/title&gt;&lt;alt-title&gt;Journal of Physics: Conference Series&lt;/alt-title&gt;&lt;/titles&gt;&lt;pages&gt;012079&lt;/pages&gt;&lt;volume&gt;1697&lt;/volume&gt;&lt;edition&gt;1&lt;/edition&gt;&lt;dates&gt;&lt;pub-dates&gt;&lt;date&gt;2020&lt;/date&gt;&lt;/pub-dates&gt;&lt;/dates&gt;&lt;publisher&gt;IOP Publishing&lt;/publisher&gt;&lt;isbn&gt;1742-6596&lt;/isbn&gt;&lt;urls&gt;&lt;/urls&gt;&lt;/record&gt;&lt;/Cite&gt;&lt;/EndNote&gt;</w:instrText>
      </w:r>
      <w:r w:rsidR="00F160D3" w:rsidRPr="00314D45">
        <w:rPr>
          <w:rStyle w:val="Emphasis"/>
        </w:rPr>
        <w:fldChar w:fldCharType="separate"/>
      </w:r>
      <w:r w:rsidR="00F160D3" w:rsidRPr="00314D45">
        <w:rPr>
          <w:rStyle w:val="Emphasis"/>
        </w:rPr>
        <w:t>[11]</w:t>
      </w:r>
      <w:r w:rsidR="00F160D3" w:rsidRPr="00314D45">
        <w:rPr>
          <w:rStyle w:val="Emphasis"/>
        </w:rPr>
        <w:fldChar w:fldCharType="end"/>
      </w:r>
      <w:r w:rsidRPr="00314D45">
        <w:rPr>
          <w:rStyle w:val="Emphasis"/>
        </w:rPr>
        <w:t>. Therefore, replacing a chain on a sprocket that has worn beyond the standard is not recommended.</w:t>
      </w:r>
    </w:p>
    <w:p w14:paraId="4CCAF711" w14:textId="7E7DA51D" w:rsidR="00F056E9" w:rsidRPr="00314D45" w:rsidRDefault="00F056E9" w:rsidP="00814F5F">
      <w:pPr>
        <w:pStyle w:val="Paragraph"/>
        <w:rPr>
          <w:rStyle w:val="Emphasis"/>
        </w:rPr>
      </w:pPr>
      <w:r w:rsidRPr="00314D45">
        <w:rPr>
          <w:rStyle w:val="Emphasis"/>
        </w:rPr>
        <w:t xml:space="preserve">Despite the critical importance of undercarriage components, there is a limited amount of research on the application of Failure Mode and Effects Analysis (FMEA) in the systematic maintenance of these parts. Existing studies have primarily focused on general maintenance practices and economic models, without integrating a structured approach to risk assessment specific to bulldozer undercarriages </w:t>
      </w:r>
      <w:r w:rsidR="00F160D3" w:rsidRPr="00314D45">
        <w:rPr>
          <w:rStyle w:val="Emphasis"/>
        </w:rPr>
        <w:fldChar w:fldCharType="begin"/>
      </w:r>
      <w:r w:rsidR="00F160D3" w:rsidRPr="00314D45">
        <w:rPr>
          <w:rStyle w:val="Emphasis"/>
        </w:rPr>
        <w:instrText xml:space="preserve"> ADDIN EN.CITE &lt;EndNote&gt;&lt;Cite&gt;&lt;Author&gt;Das&lt;/Author&gt;&lt;Year&gt;2022&lt;/Year&gt;&lt;RecNum&gt;10&lt;/RecNum&gt;&lt;DisplayText&gt;[12]&lt;/DisplayText&gt;&lt;record&gt;&lt;rec-number&gt;10&lt;/rec-number&gt;&lt;foreign-keys&gt;&lt;key app="EN" db-id="z9w2zfwd5pvaxqeffti5feaxd52w529z5rsz" timestamp="1728356759"&gt;10&lt;/key&gt;&lt;/foreign-keys&gt;&lt;ref-type name="Journal Article"&gt;17&lt;/ref-type&gt;&lt;contributors&gt;&lt;authors&gt;&lt;author&gt;Das, Apurba&lt;/author&gt;&lt;author&gt;Agarwal, Gopal&lt;/author&gt;&lt;/authors&gt;&lt;/contributors&gt;&lt;titles&gt;&lt;title&gt;Compression, tension &amp;amp; lifting stability on a meter gauge flat Wagon: An experimental approach&lt;/title&gt;&lt;secondary-title&gt;Australian Journal of Mechanical Engineering&lt;/secondary-title&gt;&lt;/titles&gt;&lt;periodical&gt;&lt;full-title&gt;Australian Journal of Mechanical Engineering&lt;/full-title&gt;&lt;/periodical&gt;&lt;pages&gt;1113-1125&lt;/pages&gt;&lt;volume&gt;20&lt;/volume&gt;&lt;number&gt;4&lt;/number&gt;&lt;dates&gt;&lt;year&gt;2022&lt;/year&gt;&lt;/dates&gt;&lt;publisher&gt;Taylor &amp;amp; Francis&lt;/publisher&gt;&lt;isbn&gt;1448-4846&lt;/isbn&gt;&lt;urls&gt;&lt;/urls&gt;&lt;/record&gt;&lt;/Cite&gt;&lt;/EndNote&gt;</w:instrText>
      </w:r>
      <w:r w:rsidR="00F160D3" w:rsidRPr="00314D45">
        <w:rPr>
          <w:rStyle w:val="Emphasis"/>
        </w:rPr>
        <w:fldChar w:fldCharType="separate"/>
      </w:r>
      <w:r w:rsidR="00F160D3" w:rsidRPr="00314D45">
        <w:rPr>
          <w:rStyle w:val="Emphasis"/>
        </w:rPr>
        <w:t>[12]</w:t>
      </w:r>
      <w:r w:rsidR="00F160D3" w:rsidRPr="00314D45">
        <w:rPr>
          <w:rStyle w:val="Emphasis"/>
        </w:rPr>
        <w:fldChar w:fldCharType="end"/>
      </w:r>
      <w:r w:rsidRPr="00314D45">
        <w:rPr>
          <w:rStyle w:val="Emphasis"/>
        </w:rPr>
        <w:t>. This study aims to fill this gap by integrating FMEA with the Economic Order Quantity (EOQ) model to develop a comprehensive maintenance and procurement strategy for the Komatsu D375-6 dozer. By systematically identifying and addressing potential failure modes, this research seeks to extend the service life of undercarriage components, reduce maintenance costs, and improve overall machine reliability.</w:t>
      </w:r>
    </w:p>
    <w:p w14:paraId="590C3C2B" w14:textId="078523CF" w:rsidR="00EA50A7" w:rsidRPr="00F350C5" w:rsidRDefault="00EA50A7" w:rsidP="00784F94">
      <w:pPr>
        <w:pStyle w:val="Heading1"/>
        <w:rPr>
          <w:color w:val="FF0000"/>
        </w:rPr>
      </w:pPr>
      <w:r w:rsidRPr="000F3AAB">
        <w:t>METHODS</w:t>
      </w:r>
    </w:p>
    <w:p w14:paraId="7B94C210" w14:textId="7C6A9104" w:rsidR="0020672D" w:rsidRPr="006B3D1E" w:rsidRDefault="006B3D1E" w:rsidP="006B3D1E">
      <w:pPr>
        <w:pStyle w:val="Heading2"/>
        <w:rPr>
          <w:rStyle w:val="Emphasis"/>
          <w:i/>
          <w:iCs/>
        </w:rPr>
      </w:pPr>
      <w:r w:rsidRPr="006B3D1E">
        <w:rPr>
          <w:rStyle w:val="Emphasis"/>
        </w:rPr>
        <w:t>RESEARCH DESIGN</w:t>
      </w:r>
    </w:p>
    <w:p w14:paraId="3D526D2A" w14:textId="3E0EF174" w:rsidR="0020672D" w:rsidRPr="0020672D" w:rsidRDefault="0020672D" w:rsidP="0020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i/>
          <w:iCs/>
          <w:sz w:val="20"/>
        </w:rPr>
      </w:pPr>
      <w:r w:rsidRPr="0020672D">
        <w:rPr>
          <w:rStyle w:val="Emphasis"/>
          <w:sz w:val="20"/>
        </w:rPr>
        <w:t>This study</w:t>
      </w:r>
      <w:r>
        <w:rPr>
          <w:rStyle w:val="Emphasis"/>
          <w:sz w:val="20"/>
        </w:rPr>
        <w:t xml:space="preserve"> u</w:t>
      </w:r>
      <w:r w:rsidRPr="0020672D">
        <w:rPr>
          <w:rStyle w:val="Emphasis"/>
          <w:sz w:val="20"/>
        </w:rPr>
        <w:t xml:space="preserve">sing the Failure Mode and Effect Analysis (FMEA) Method, began by collecting literature on the Komatsu D375A-6 dozer, undercarriage components, and the FMEA method. A thorough review of the literature led to the selection of specific undercarriage components for detailed analysis: track shoe (grouser height), idler, track link (link height), carrier roller, track roller, sprocket, track link (link pitch), and track link (chain). Data collection involved </w:t>
      </w:r>
      <w:r>
        <w:rPr>
          <w:rStyle w:val="Emphasis"/>
          <w:sz w:val="20"/>
        </w:rPr>
        <w:t xml:space="preserve">a </w:t>
      </w:r>
      <w:r w:rsidRPr="0020672D">
        <w:rPr>
          <w:rStyle w:val="Emphasis"/>
          <w:sz w:val="20"/>
        </w:rPr>
        <w:t>literature review, selecting test objects, and interviewing employees to measure the selected components. Subsequently, wear lifetime and elongation were calculated using predefined equations. These calculations are intended to inform maintenance decisions and establish tolerance limits for component replacement.</w:t>
      </w:r>
    </w:p>
    <w:p w14:paraId="12CBC8A6" w14:textId="77777777" w:rsidR="00DD5E48" w:rsidRDefault="00DD5E48" w:rsidP="0020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p>
    <w:p w14:paraId="1E62650A" w14:textId="44DDDFF2" w:rsidR="0020672D" w:rsidRPr="006B3D1E" w:rsidRDefault="006B3D1E" w:rsidP="006B3D1E">
      <w:pPr>
        <w:pStyle w:val="Heading2"/>
        <w:rPr>
          <w:rStyle w:val="Emphasis"/>
          <w:i/>
          <w:iCs/>
        </w:rPr>
      </w:pPr>
      <w:r w:rsidRPr="006B3D1E">
        <w:rPr>
          <w:rStyle w:val="Emphasis"/>
        </w:rPr>
        <w:t>TOOLS</w:t>
      </w:r>
    </w:p>
    <w:p w14:paraId="69806B18" w14:textId="4B1E5531" w:rsidR="0020672D" w:rsidRPr="0020672D" w:rsidRDefault="0020672D" w:rsidP="0020672D">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r>
        <w:rPr>
          <w:rStyle w:val="Emphasis"/>
          <w:sz w:val="20"/>
        </w:rPr>
        <w:tab/>
      </w:r>
      <w:r w:rsidRPr="0020672D">
        <w:rPr>
          <w:rStyle w:val="Emphasis"/>
          <w:sz w:val="20"/>
        </w:rPr>
        <w:t>Ultrasonic Thickness Gauge: The ultrasonic thickness gauge is designed to measure the thickness of metals (cast iron, steel, and aluminum) non-metals (ceramics, plastics, and glass) and other ultrasonic wave conductors. The tool offers quick inspections of large metal structures with small measurement intervals, providing high-detail thickness maps with an accuracy of 0.01mm. It is particularly efficient for monitoring erosion or corrosion effects, playing a critical role in quality assurance and control.</w:t>
      </w:r>
    </w:p>
    <w:p w14:paraId="5F91F64D" w14:textId="04A894EE" w:rsidR="0020672D" w:rsidRPr="0020672D" w:rsidRDefault="0020672D" w:rsidP="0020672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r>
        <w:rPr>
          <w:rStyle w:val="Emphasis"/>
          <w:sz w:val="20"/>
        </w:rPr>
        <w:tab/>
      </w:r>
      <w:r w:rsidRPr="0020672D">
        <w:rPr>
          <w:rStyle w:val="Emphasis"/>
          <w:sz w:val="20"/>
        </w:rPr>
        <w:t>Tape Measure: Also known as a measuring tape or roll meter, this tool is used to measure length or distance, useful for measuring angles, creating right angles, and drawing circles. Tape measures typically range from 3m to 100m in length, with a precision of 0.5mm</w:t>
      </w:r>
      <w:r w:rsidR="00314D45">
        <w:rPr>
          <w:rStyle w:val="Emphasis"/>
          <w:sz w:val="20"/>
        </w:rPr>
        <w:t>, as shown in</w:t>
      </w:r>
      <w:r w:rsidR="00314D45" w:rsidRPr="00314D45">
        <w:rPr>
          <w:rStyle w:val="Emphasis"/>
          <w:b/>
          <w:bCs/>
          <w:sz w:val="20"/>
        </w:rPr>
        <w:t xml:space="preserve"> FIGURE 1</w:t>
      </w:r>
      <w:r w:rsidRPr="0020672D">
        <w:rPr>
          <w:rStyle w:val="Emphasis"/>
          <w:sz w:val="20"/>
        </w:rPr>
        <w:t>.</w:t>
      </w:r>
    </w:p>
    <w:p w14:paraId="7DA2E360" w14:textId="77777777" w:rsidR="0020672D" w:rsidRPr="0020672D" w:rsidRDefault="0020672D" w:rsidP="0020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p>
    <w:p w14:paraId="6CF9E04B" w14:textId="7FCBFDE7" w:rsidR="0020672D" w:rsidRPr="00814F5F" w:rsidRDefault="0020672D" w:rsidP="0020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b/>
          <w:i/>
          <w:iCs/>
          <w:sz w:val="20"/>
        </w:rPr>
      </w:pPr>
      <w:r w:rsidRPr="00814F5F">
        <w:rPr>
          <w:rStyle w:val="Emphasis"/>
          <w:b/>
          <w:sz w:val="20"/>
        </w:rPr>
        <w:t>Materials</w:t>
      </w:r>
    </w:p>
    <w:p w14:paraId="35C79F52" w14:textId="77777777" w:rsidR="0020672D" w:rsidRPr="0020672D" w:rsidRDefault="0020672D" w:rsidP="0020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r w:rsidRPr="0020672D">
        <w:rPr>
          <w:rStyle w:val="Emphasis"/>
          <w:sz w:val="20"/>
        </w:rPr>
        <w:t>Komatsu D375 Track Shoe (Grouser Height)</w:t>
      </w:r>
    </w:p>
    <w:p w14:paraId="4637D279" w14:textId="77777777" w:rsidR="0020672D" w:rsidRPr="0020672D" w:rsidRDefault="0020672D" w:rsidP="0020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r w:rsidRPr="0020672D">
        <w:rPr>
          <w:rStyle w:val="Emphasis"/>
          <w:sz w:val="20"/>
        </w:rPr>
        <w:t>Komatsu D375 Track Link (Link Height, Link Pitch, and Chain)</w:t>
      </w:r>
    </w:p>
    <w:p w14:paraId="669242F2" w14:textId="77777777" w:rsidR="0020672D" w:rsidRPr="0020672D" w:rsidRDefault="0020672D" w:rsidP="0020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r w:rsidRPr="0020672D">
        <w:rPr>
          <w:rStyle w:val="Emphasis"/>
          <w:sz w:val="20"/>
        </w:rPr>
        <w:t>Komatsu D375 Carrier Roller</w:t>
      </w:r>
    </w:p>
    <w:p w14:paraId="141F39B3" w14:textId="77777777" w:rsidR="0020672D" w:rsidRPr="0020672D" w:rsidRDefault="0020672D" w:rsidP="0020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r w:rsidRPr="0020672D">
        <w:rPr>
          <w:rStyle w:val="Emphasis"/>
          <w:sz w:val="20"/>
        </w:rPr>
        <w:t>Komatsu D375 Track Roller</w:t>
      </w:r>
    </w:p>
    <w:p w14:paraId="0CF53E34" w14:textId="77777777" w:rsidR="0020672D" w:rsidRPr="0020672D" w:rsidRDefault="0020672D" w:rsidP="0020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r w:rsidRPr="0020672D">
        <w:rPr>
          <w:rStyle w:val="Emphasis"/>
          <w:sz w:val="20"/>
        </w:rPr>
        <w:t>Komatsu D375 Idler</w:t>
      </w:r>
    </w:p>
    <w:p w14:paraId="376010E1" w14:textId="77777777" w:rsidR="0020672D" w:rsidRPr="0020672D" w:rsidRDefault="0020672D" w:rsidP="0020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r w:rsidRPr="0020672D">
        <w:rPr>
          <w:rStyle w:val="Emphasis"/>
          <w:sz w:val="20"/>
        </w:rPr>
        <w:t>Komatsu D375 Sprocket</w:t>
      </w:r>
    </w:p>
    <w:p w14:paraId="14F2D80C" w14:textId="77777777" w:rsidR="0020672D" w:rsidRDefault="0020672D" w:rsidP="0020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p>
    <w:p w14:paraId="16B9134D" w14:textId="426B0F13" w:rsidR="0020672D" w:rsidRPr="00814F5F" w:rsidRDefault="0020672D" w:rsidP="0020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b/>
          <w:i/>
          <w:iCs/>
          <w:sz w:val="20"/>
        </w:rPr>
      </w:pPr>
      <w:r w:rsidRPr="00814F5F">
        <w:rPr>
          <w:rStyle w:val="Emphasis"/>
          <w:b/>
          <w:sz w:val="20"/>
        </w:rPr>
        <w:t>Wear and lifetime check</w:t>
      </w:r>
      <w:r w:rsidR="00814F5F">
        <w:rPr>
          <w:rStyle w:val="Emphasis"/>
          <w:b/>
          <w:sz w:val="20"/>
        </w:rPr>
        <w:t xml:space="preserve"> procedure</w:t>
      </w:r>
    </w:p>
    <w:p w14:paraId="35B47D3C" w14:textId="3FEAC0AA" w:rsidR="0020672D" w:rsidRPr="00314D45" w:rsidRDefault="0020672D" w:rsidP="00814F5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sz w:val="20"/>
        </w:rPr>
      </w:pPr>
      <w:r w:rsidRPr="00314D45">
        <w:rPr>
          <w:rStyle w:val="Emphasis"/>
          <w:sz w:val="20"/>
        </w:rPr>
        <w:lastRenderedPageBreak/>
        <w:tab/>
        <w:t xml:space="preserve">To begin, the soil attached to the components to be measured is removed, followed by wiping any remaining soil to ensure the components are clean. A gel is then applied to the ultrasonic thickness gauge, which is subsequently attached to the component for measurement. The results are recorded on an assessment sheet, and the wear rate and lifetime are calculated </w:t>
      </w:r>
      <w:r w:rsidR="00060ADC" w:rsidRPr="00314D45">
        <w:rPr>
          <w:rStyle w:val="Emphasis"/>
          <w:sz w:val="20"/>
        </w:rPr>
        <w:t xml:space="preserve">by equation 1 and 2. </w:t>
      </w:r>
      <w:r w:rsidRPr="00314D45">
        <w:rPr>
          <w:rStyle w:val="Emphasis"/>
          <w:sz w:val="20"/>
        </w:rPr>
        <w:t>These calculated values are then compared with factory standards to determine the necessary maintenance actions</w:t>
      </w:r>
    </w:p>
    <w:p w14:paraId="5ADB303C" w14:textId="3D123EBD" w:rsidR="00060ADC" w:rsidRPr="00060ADC" w:rsidRDefault="00060ADC" w:rsidP="00814F5F">
      <w:pPr>
        <w:spacing w:line="360" w:lineRule="auto"/>
        <w:jc w:val="center"/>
        <w:rPr>
          <w:rFonts w:eastAsiaTheme="minorEastAsia"/>
          <w:iCs/>
          <w:sz w:val="20"/>
        </w:rPr>
      </w:pPr>
      <m:oMath>
        <m:r>
          <m:rPr>
            <m:sty m:val="p"/>
          </m:rPr>
          <w:rPr>
            <w:rFonts w:ascii="Cambria Math" w:hAnsi="Cambria Math"/>
            <w:sz w:val="20"/>
          </w:rPr>
          <m:t>Wr=</m:t>
        </m:r>
        <m:f>
          <m:fPr>
            <m:ctrlPr>
              <w:rPr>
                <w:rFonts w:ascii="Cambria Math" w:hAnsi="Cambria Math"/>
                <w:iCs/>
                <w:sz w:val="20"/>
              </w:rPr>
            </m:ctrlPr>
          </m:fPr>
          <m:num>
            <m:r>
              <m:rPr>
                <m:sty m:val="p"/>
              </m:rPr>
              <w:rPr>
                <w:rFonts w:ascii="Cambria Math" w:hAnsi="Cambria Math"/>
                <w:sz w:val="20"/>
              </w:rPr>
              <m:t>Sv-Mw</m:t>
            </m:r>
          </m:num>
          <m:den>
            <m:r>
              <m:rPr>
                <m:sty m:val="p"/>
              </m:rPr>
              <w:rPr>
                <w:rFonts w:ascii="Cambria Math" w:hAnsi="Cambria Math"/>
                <w:sz w:val="20"/>
              </w:rPr>
              <m:t>Sv-Wl</m:t>
            </m:r>
          </m:den>
        </m:f>
      </m:oMath>
      <w:r w:rsidR="00814F5F">
        <w:rPr>
          <w:rFonts w:eastAsiaTheme="minorEastAsia"/>
          <w:sz w:val="20"/>
        </w:rPr>
        <w:tab/>
      </w:r>
      <w:r w:rsidR="00814F5F">
        <w:rPr>
          <w:rFonts w:eastAsiaTheme="minorEastAsia"/>
          <w:sz w:val="20"/>
        </w:rPr>
        <w:tab/>
      </w:r>
      <w:r w:rsidR="00814F5F">
        <w:rPr>
          <w:rFonts w:eastAsiaTheme="minorEastAsia"/>
          <w:sz w:val="20"/>
        </w:rPr>
        <w:tab/>
      </w:r>
      <w:r w:rsidR="00814F5F">
        <w:rPr>
          <w:rFonts w:eastAsiaTheme="minorEastAsia"/>
          <w:sz w:val="20"/>
        </w:rPr>
        <w:tab/>
      </w:r>
      <w:r w:rsidR="00814F5F">
        <w:rPr>
          <w:rFonts w:eastAsiaTheme="minorEastAsia"/>
          <w:sz w:val="20"/>
        </w:rPr>
        <w:tab/>
      </w:r>
      <w:r w:rsidR="00814F5F">
        <w:rPr>
          <w:rFonts w:eastAsiaTheme="minorEastAsia"/>
          <w:sz w:val="20"/>
        </w:rPr>
        <w:tab/>
      </w:r>
      <w:r w:rsidR="00814F5F">
        <w:rPr>
          <w:rFonts w:eastAsiaTheme="minorEastAsia"/>
          <w:sz w:val="20"/>
        </w:rPr>
        <w:tab/>
      </w:r>
      <w:r w:rsidR="00814F5F">
        <w:rPr>
          <w:rFonts w:eastAsiaTheme="minorEastAsia"/>
          <w:sz w:val="20"/>
        </w:rPr>
        <w:tab/>
      </w:r>
      <w:r w:rsidR="00814F5F">
        <w:rPr>
          <w:rFonts w:eastAsiaTheme="minorEastAsia"/>
          <w:sz w:val="20"/>
        </w:rPr>
        <w:tab/>
        <w:t xml:space="preserve">   (1)</w:t>
      </w:r>
    </w:p>
    <w:p w14:paraId="25D64FBB" w14:textId="69132055" w:rsidR="00060ADC" w:rsidRPr="00314D45" w:rsidRDefault="00060ADC" w:rsidP="002C7487">
      <w:pPr>
        <w:jc w:val="both"/>
        <w:rPr>
          <w:rStyle w:val="Emphasis"/>
          <w:sz w:val="20"/>
        </w:rPr>
      </w:pPr>
      <w:r w:rsidRPr="00314D45">
        <w:rPr>
          <w:rStyle w:val="Emphasis"/>
          <w:sz w:val="20"/>
        </w:rPr>
        <w:t>Information:</w:t>
      </w:r>
    </w:p>
    <w:p w14:paraId="29BD7BEC" w14:textId="78D6C185" w:rsidR="00060ADC" w:rsidRPr="00314D45" w:rsidRDefault="00060ADC" w:rsidP="002C7487">
      <w:pPr>
        <w:jc w:val="both"/>
        <w:rPr>
          <w:rStyle w:val="Emphasis"/>
          <w:sz w:val="20"/>
        </w:rPr>
      </w:pPr>
      <w:proofErr w:type="spellStart"/>
      <w:r w:rsidRPr="00314D45">
        <w:rPr>
          <w:rStyle w:val="Emphasis"/>
          <w:sz w:val="20"/>
        </w:rPr>
        <w:t>Wr</w:t>
      </w:r>
      <w:proofErr w:type="spellEnd"/>
      <w:r w:rsidRPr="00314D45">
        <w:rPr>
          <w:rStyle w:val="Emphasis"/>
          <w:sz w:val="20"/>
        </w:rPr>
        <w:t xml:space="preserve"> : Worn/ Wear Rate</w:t>
      </w:r>
    </w:p>
    <w:p w14:paraId="6547CF0B" w14:textId="448E8A2F" w:rsidR="00060ADC" w:rsidRPr="00314D45" w:rsidRDefault="00060ADC" w:rsidP="002C7487">
      <w:pPr>
        <w:jc w:val="both"/>
        <w:rPr>
          <w:rStyle w:val="Emphasis"/>
          <w:sz w:val="20"/>
        </w:rPr>
      </w:pPr>
      <w:proofErr w:type="spellStart"/>
      <w:r w:rsidRPr="00314D45">
        <w:rPr>
          <w:rStyle w:val="Emphasis"/>
          <w:sz w:val="20"/>
        </w:rPr>
        <w:t>Sv</w:t>
      </w:r>
      <w:proofErr w:type="spellEnd"/>
      <w:r w:rsidRPr="00314D45">
        <w:rPr>
          <w:rStyle w:val="Emphasis"/>
          <w:sz w:val="20"/>
        </w:rPr>
        <w:t xml:space="preserve"> : Standard Value</w:t>
      </w:r>
    </w:p>
    <w:p w14:paraId="0EDECFB0" w14:textId="2B581693" w:rsidR="00060ADC" w:rsidRPr="00314D45" w:rsidRDefault="00060ADC" w:rsidP="002C7487">
      <w:pPr>
        <w:jc w:val="both"/>
        <w:rPr>
          <w:rStyle w:val="Emphasis"/>
          <w:sz w:val="20"/>
        </w:rPr>
      </w:pPr>
      <w:r w:rsidRPr="00314D45">
        <w:rPr>
          <w:rStyle w:val="Emphasis"/>
          <w:sz w:val="20"/>
        </w:rPr>
        <w:t xml:space="preserve">Mw: </w:t>
      </w:r>
      <w:proofErr w:type="spellStart"/>
      <w:r w:rsidRPr="00314D45">
        <w:rPr>
          <w:rStyle w:val="Emphasis"/>
          <w:sz w:val="20"/>
        </w:rPr>
        <w:t>Meassured</w:t>
      </w:r>
      <w:proofErr w:type="spellEnd"/>
      <w:r w:rsidRPr="00314D45">
        <w:rPr>
          <w:rStyle w:val="Emphasis"/>
          <w:sz w:val="20"/>
        </w:rPr>
        <w:t xml:space="preserve"> Wear Rate</w:t>
      </w:r>
    </w:p>
    <w:p w14:paraId="14D23BA0" w14:textId="6D66D5A6" w:rsidR="00060ADC" w:rsidRPr="00314D45" w:rsidRDefault="00060ADC" w:rsidP="002C7487">
      <w:pPr>
        <w:jc w:val="both"/>
        <w:rPr>
          <w:rStyle w:val="Emphasis"/>
          <w:sz w:val="20"/>
        </w:rPr>
      </w:pPr>
      <w:proofErr w:type="spellStart"/>
      <w:r w:rsidRPr="00314D45">
        <w:rPr>
          <w:rStyle w:val="Emphasis"/>
          <w:sz w:val="20"/>
        </w:rPr>
        <w:t>Wl</w:t>
      </w:r>
      <w:proofErr w:type="spellEnd"/>
      <w:r w:rsidRPr="00314D45">
        <w:rPr>
          <w:rStyle w:val="Emphasis"/>
          <w:sz w:val="20"/>
        </w:rPr>
        <w:t>: Wear Limit</w:t>
      </w:r>
    </w:p>
    <w:p w14:paraId="66B4EECA" w14:textId="77777777" w:rsidR="00060ADC" w:rsidRDefault="00060ADC" w:rsidP="002C748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p>
    <w:p w14:paraId="2C297908" w14:textId="452B9048" w:rsidR="00060ADC" w:rsidRPr="00060ADC" w:rsidRDefault="00060ADC" w:rsidP="00814F5F">
      <w:pPr>
        <w:jc w:val="center"/>
        <w:rPr>
          <w:rFonts w:eastAsiaTheme="minorEastAsia"/>
          <w:iCs/>
          <w:sz w:val="20"/>
        </w:rPr>
      </w:pPr>
      <m:oMath>
        <m:r>
          <w:rPr>
            <w:rFonts w:ascii="Cambria Math" w:eastAsiaTheme="minorEastAsia" w:hAnsi="Cambria Math"/>
            <w:sz w:val="20"/>
          </w:rPr>
          <m:t>Wr=</m:t>
        </m:r>
        <w:bookmarkStart w:id="0" w:name="_Hlk114034559"/>
        <m:r>
          <m:rPr>
            <m:sty m:val="p"/>
          </m:rPr>
          <w:rPr>
            <w:rFonts w:ascii="Cambria Math" w:eastAsiaTheme="minorEastAsia" w:hAnsi="Cambria Math"/>
            <w:sz w:val="20"/>
          </w:rPr>
          <m:t>α</m:t>
        </m:r>
        <w:bookmarkEnd w:id="0"/>
        <m:r>
          <m:rPr>
            <m:sty m:val="p"/>
          </m:rPr>
          <w:rPr>
            <w:rFonts w:ascii="Cambria Math" w:eastAsiaTheme="minorEastAsia" w:hAnsi="Cambria Math"/>
            <w:sz w:val="20"/>
          </w:rPr>
          <m:t>.Xᴷ</m:t>
        </m:r>
      </m:oMath>
      <w:r w:rsidRPr="00060ADC">
        <w:rPr>
          <w:rFonts w:eastAsiaTheme="minorEastAsia"/>
          <w:sz w:val="20"/>
        </w:rPr>
        <w:t xml:space="preserve"> </w:t>
      </w:r>
      <w:r>
        <w:rPr>
          <w:rFonts w:eastAsiaTheme="minorEastAsia"/>
          <w:sz w:val="20"/>
        </w:rPr>
        <w:t>or</w:t>
      </w:r>
      <w:r w:rsidRPr="00060ADC">
        <w:rPr>
          <w:rFonts w:eastAsiaTheme="minorEastAsia"/>
          <w:sz w:val="20"/>
        </w:rPr>
        <w:t xml:space="preserve"> </w:t>
      </w:r>
      <m:oMath>
        <m:r>
          <w:rPr>
            <w:rFonts w:ascii="Cambria Math" w:hAnsi="Cambria Math"/>
            <w:sz w:val="20"/>
            <w:szCs w:val="16"/>
          </w:rPr>
          <m:t>X=</m:t>
        </m:r>
        <m:rad>
          <m:radPr>
            <m:ctrlPr>
              <w:rPr>
                <w:rFonts w:ascii="Cambria Math" w:hAnsi="Cambria Math"/>
                <w:i/>
                <w:sz w:val="20"/>
                <w:szCs w:val="16"/>
              </w:rPr>
            </m:ctrlPr>
          </m:radPr>
          <m:deg>
            <m:r>
              <w:rPr>
                <w:rFonts w:ascii="Cambria Math" w:hAnsi="Cambria Math"/>
                <w:sz w:val="20"/>
                <w:szCs w:val="16"/>
              </w:rPr>
              <m:t>K</m:t>
            </m:r>
          </m:deg>
          <m:e>
            <m:f>
              <m:fPr>
                <m:ctrlPr>
                  <w:rPr>
                    <w:rFonts w:ascii="Cambria Math" w:hAnsi="Cambria Math"/>
                    <w:i/>
                    <w:sz w:val="20"/>
                    <w:szCs w:val="16"/>
                  </w:rPr>
                </m:ctrlPr>
              </m:fPr>
              <m:num>
                <m:r>
                  <w:rPr>
                    <w:rFonts w:ascii="Cambria Math" w:hAnsi="Cambria Math"/>
                    <w:sz w:val="20"/>
                    <w:szCs w:val="16"/>
                  </w:rPr>
                  <m:t>Wr</m:t>
                </m:r>
              </m:num>
              <m:den>
                <m:r>
                  <w:rPr>
                    <w:rFonts w:ascii="Cambria Math" w:hAnsi="Cambria Math"/>
                    <w:sz w:val="20"/>
                    <w:szCs w:val="16"/>
                  </w:rPr>
                  <m:t>α</m:t>
                </m:r>
              </m:den>
            </m:f>
          </m:e>
        </m:rad>
        <m:r>
          <w:rPr>
            <w:rFonts w:ascii="Cambria Math" w:hAnsi="Cambria Math"/>
            <w:sz w:val="20"/>
            <w:szCs w:val="16"/>
          </w:rPr>
          <m:t xml:space="preserve">                                                    </m:t>
        </m:r>
      </m:oMath>
      <w:r w:rsidR="00814F5F">
        <w:rPr>
          <w:rFonts w:eastAsiaTheme="minorEastAsia"/>
          <w:sz w:val="20"/>
          <w:szCs w:val="16"/>
        </w:rPr>
        <w:tab/>
      </w:r>
      <w:r w:rsidR="00814F5F">
        <w:rPr>
          <w:rFonts w:eastAsiaTheme="minorEastAsia"/>
          <w:sz w:val="20"/>
          <w:szCs w:val="16"/>
        </w:rPr>
        <w:tab/>
      </w:r>
      <w:r w:rsidR="00814F5F">
        <w:rPr>
          <w:rFonts w:eastAsiaTheme="minorEastAsia"/>
          <w:sz w:val="20"/>
          <w:szCs w:val="16"/>
        </w:rPr>
        <w:tab/>
      </w:r>
      <w:r w:rsidR="00814F5F">
        <w:rPr>
          <w:rFonts w:eastAsiaTheme="minorEastAsia"/>
          <w:sz w:val="20"/>
          <w:szCs w:val="16"/>
        </w:rPr>
        <w:tab/>
      </w:r>
      <w:r w:rsidR="00814F5F">
        <w:rPr>
          <w:rFonts w:eastAsiaTheme="minorEastAsia"/>
          <w:sz w:val="20"/>
          <w:szCs w:val="16"/>
        </w:rPr>
        <w:tab/>
        <w:t xml:space="preserve">  (2)</w:t>
      </w:r>
    </w:p>
    <w:p w14:paraId="4E14FBFA" w14:textId="1DCC4495" w:rsidR="00060ADC" w:rsidRPr="00314D45" w:rsidRDefault="00060ADC" w:rsidP="002C7487">
      <w:pPr>
        <w:rPr>
          <w:rStyle w:val="Emphasis"/>
          <w:rFonts w:eastAsiaTheme="minorEastAsia"/>
          <w:sz w:val="20"/>
        </w:rPr>
      </w:pPr>
      <w:r w:rsidRPr="00314D45">
        <w:rPr>
          <w:rStyle w:val="Emphasis"/>
          <w:rFonts w:eastAsiaTheme="minorEastAsia"/>
          <w:sz w:val="20"/>
        </w:rPr>
        <w:t>Information:</w:t>
      </w:r>
    </w:p>
    <w:p w14:paraId="16137805" w14:textId="1072E04F" w:rsidR="00060ADC" w:rsidRPr="00314D45" w:rsidRDefault="00060ADC" w:rsidP="002C7487">
      <w:pPr>
        <w:jc w:val="both"/>
        <w:rPr>
          <w:rStyle w:val="Emphasis"/>
          <w:rFonts w:eastAsiaTheme="minorEastAsia"/>
          <w:sz w:val="20"/>
        </w:rPr>
      </w:pPr>
      <w:proofErr w:type="spellStart"/>
      <w:r w:rsidRPr="00314D45">
        <w:rPr>
          <w:rStyle w:val="Emphasis"/>
          <w:rFonts w:eastAsiaTheme="minorEastAsia"/>
          <w:sz w:val="20"/>
        </w:rPr>
        <w:t>Wr</w:t>
      </w:r>
      <w:proofErr w:type="spellEnd"/>
      <w:r w:rsidRPr="00314D45">
        <w:rPr>
          <w:rStyle w:val="Emphasis"/>
          <w:rFonts w:eastAsiaTheme="minorEastAsia"/>
          <w:sz w:val="20"/>
        </w:rPr>
        <w:t xml:space="preserve"> : Worn/ Wear Rate</w:t>
      </w:r>
    </w:p>
    <w:p w14:paraId="03F01543" w14:textId="70117D45" w:rsidR="00060ADC" w:rsidRPr="00314D45" w:rsidRDefault="00060ADC" w:rsidP="002C7487">
      <w:pPr>
        <w:jc w:val="both"/>
        <w:rPr>
          <w:rStyle w:val="Emphasis"/>
          <w:rFonts w:eastAsiaTheme="minorEastAsia"/>
          <w:sz w:val="20"/>
        </w:rPr>
      </w:pPr>
      <w:r w:rsidRPr="00314D45">
        <w:rPr>
          <w:rStyle w:val="Emphasis"/>
          <w:rFonts w:eastAsiaTheme="minorEastAsia"/>
          <w:sz w:val="20"/>
        </w:rPr>
        <w:t xml:space="preserve">α : </w:t>
      </w:r>
      <w:proofErr w:type="spellStart"/>
      <w:r w:rsidRPr="00314D45">
        <w:rPr>
          <w:rStyle w:val="Emphasis"/>
          <w:rFonts w:eastAsiaTheme="minorEastAsia"/>
          <w:sz w:val="20"/>
        </w:rPr>
        <w:t>Konstanta</w:t>
      </w:r>
      <w:proofErr w:type="spellEnd"/>
    </w:p>
    <w:p w14:paraId="2C6C5CB8" w14:textId="22086799" w:rsidR="00060ADC" w:rsidRPr="00314D45" w:rsidRDefault="00060ADC" w:rsidP="002C7487">
      <w:pPr>
        <w:jc w:val="both"/>
        <w:rPr>
          <w:rStyle w:val="Emphasis"/>
          <w:rFonts w:eastAsiaTheme="minorEastAsia"/>
          <w:sz w:val="20"/>
        </w:rPr>
      </w:pPr>
      <w:r w:rsidRPr="00314D45">
        <w:rPr>
          <w:rStyle w:val="Emphasis"/>
          <w:rFonts w:eastAsiaTheme="minorEastAsia"/>
          <w:sz w:val="20"/>
        </w:rPr>
        <w:t>X : Operating Hours</w:t>
      </w:r>
    </w:p>
    <w:p w14:paraId="542DCD38" w14:textId="7E33FFB0" w:rsidR="00060ADC" w:rsidRPr="00314D45" w:rsidRDefault="00060ADC" w:rsidP="002C7487">
      <w:pPr>
        <w:jc w:val="both"/>
        <w:rPr>
          <w:rStyle w:val="Emphasis"/>
          <w:rFonts w:eastAsiaTheme="minorEastAsia"/>
          <w:sz w:val="20"/>
        </w:rPr>
      </w:pPr>
      <w:r w:rsidRPr="00314D45">
        <w:rPr>
          <w:rStyle w:val="Emphasis"/>
          <w:rFonts w:eastAsiaTheme="minorEastAsia"/>
          <w:sz w:val="20"/>
        </w:rPr>
        <w:t>K : Component Factor</w:t>
      </w:r>
    </w:p>
    <w:p w14:paraId="5A5D08A8" w14:textId="77777777" w:rsidR="0020672D" w:rsidRPr="00314D45" w:rsidRDefault="0020672D" w:rsidP="0020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p>
    <w:p w14:paraId="324E5AEC" w14:textId="22E3F8CC" w:rsidR="0020672D" w:rsidRPr="00314D45" w:rsidRDefault="0020672D" w:rsidP="0020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b/>
          <w:i/>
          <w:iCs/>
          <w:sz w:val="20"/>
        </w:rPr>
      </w:pPr>
      <w:r w:rsidRPr="00314D45">
        <w:rPr>
          <w:rStyle w:val="Emphasis"/>
          <w:b/>
          <w:sz w:val="20"/>
        </w:rPr>
        <w:t>Elongation check</w:t>
      </w:r>
      <w:r w:rsidR="00814F5F" w:rsidRPr="00314D45">
        <w:rPr>
          <w:rStyle w:val="Emphasis"/>
          <w:b/>
          <w:sz w:val="20"/>
        </w:rPr>
        <w:t xml:space="preserve"> procedure</w:t>
      </w:r>
    </w:p>
    <w:p w14:paraId="47812D51" w14:textId="0313C0C6" w:rsidR="0020672D" w:rsidRPr="00314D45" w:rsidRDefault="0020672D" w:rsidP="0020672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sz w:val="20"/>
        </w:rPr>
      </w:pPr>
      <w:r w:rsidRPr="00314D45">
        <w:rPr>
          <w:rStyle w:val="Emphasis"/>
          <w:sz w:val="20"/>
        </w:rPr>
        <w:tab/>
        <w:t>First, the soil attached to the link to be measured is removed, and any remaining soil is wiped off to ensure the link is clean. The pitch distance on the track link is then measured, and the results are recorded on an assessment sheet. The elongation is calculated</w:t>
      </w:r>
      <w:r w:rsidR="002C7487" w:rsidRPr="00314D45">
        <w:rPr>
          <w:rStyle w:val="Emphasis"/>
          <w:sz w:val="20"/>
        </w:rPr>
        <w:t xml:space="preserve"> by equation 3</w:t>
      </w:r>
      <w:r w:rsidRPr="00314D45">
        <w:rPr>
          <w:rStyle w:val="Emphasis"/>
          <w:sz w:val="20"/>
        </w:rPr>
        <w:t>, and these values are compared with the established maintenance or replacement standards.</w:t>
      </w:r>
    </w:p>
    <w:p w14:paraId="7D02594D" w14:textId="1C2D33F3" w:rsidR="002C7487" w:rsidRDefault="004949B0" w:rsidP="004949B0">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Emphasis"/>
          <w:i/>
          <w:iCs/>
          <w:sz w:val="20"/>
        </w:rPr>
      </w:pPr>
      <w:r w:rsidRPr="004949B0">
        <w:rPr>
          <w:rStyle w:val="Emphasis"/>
          <w:i/>
          <w:iCs/>
          <w:noProof/>
          <w:sz w:val="20"/>
        </w:rPr>
        <w:drawing>
          <wp:inline distT="0" distB="0" distL="0" distR="0" wp14:anchorId="0D2EB371" wp14:editId="151BA52B">
            <wp:extent cx="3998734" cy="1080000"/>
            <wp:effectExtent l="0" t="0" r="1905" b="6350"/>
            <wp:docPr id="1377900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00346" name=""/>
                    <pic:cNvPicPr/>
                  </pic:nvPicPr>
                  <pic:blipFill>
                    <a:blip r:embed="rId12"/>
                    <a:stretch>
                      <a:fillRect/>
                    </a:stretch>
                  </pic:blipFill>
                  <pic:spPr>
                    <a:xfrm>
                      <a:off x="0" y="0"/>
                      <a:ext cx="3998734" cy="1080000"/>
                    </a:xfrm>
                    <a:prstGeom prst="rect">
                      <a:avLst/>
                    </a:prstGeom>
                  </pic:spPr>
                </pic:pic>
              </a:graphicData>
            </a:graphic>
          </wp:inline>
        </w:drawing>
      </w:r>
    </w:p>
    <w:p w14:paraId="5FFFA9BA" w14:textId="30697281" w:rsidR="004949B0" w:rsidRPr="006B3D1E" w:rsidRDefault="004949B0" w:rsidP="004949B0">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Emphasis"/>
          <w:i/>
          <w:iCs/>
          <w:sz w:val="18"/>
          <w:szCs w:val="18"/>
        </w:rPr>
      </w:pPr>
      <w:r w:rsidRPr="006B3D1E">
        <w:rPr>
          <w:rStyle w:val="Emphasis"/>
          <w:b/>
          <w:bCs/>
          <w:sz w:val="18"/>
          <w:szCs w:val="18"/>
        </w:rPr>
        <w:t xml:space="preserve">FIGURE 1. </w:t>
      </w:r>
      <w:r w:rsidRPr="006B3D1E">
        <w:rPr>
          <w:rStyle w:val="Emphasis"/>
          <w:sz w:val="18"/>
          <w:szCs w:val="18"/>
        </w:rPr>
        <w:t xml:space="preserve">Roller Chain </w:t>
      </w:r>
    </w:p>
    <w:p w14:paraId="7172B732" w14:textId="77777777" w:rsidR="004949B0" w:rsidRPr="004949B0" w:rsidRDefault="004949B0" w:rsidP="004949B0">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Emphasis"/>
          <w:i/>
          <w:iCs/>
          <w:sz w:val="20"/>
        </w:rPr>
      </w:pPr>
    </w:p>
    <w:p w14:paraId="60A4D77D" w14:textId="38C0700B" w:rsidR="002C7487" w:rsidRPr="009E775C" w:rsidRDefault="009E775C" w:rsidP="0020672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sz w:val="20"/>
        </w:rPr>
      </w:pPr>
      <m:oMathPara>
        <m:oMath>
          <m:r>
            <m:rPr>
              <m:sty m:val="p"/>
            </m:rPr>
            <w:rPr>
              <w:rStyle w:val="Emphasis"/>
              <w:rFonts w:ascii="Cambria Math" w:hAnsi="Cambria Math"/>
              <w:sz w:val="20"/>
            </w:rPr>
            <m:t xml:space="preserve">Measured length= </m:t>
          </m:r>
          <m:f>
            <m:fPr>
              <m:ctrlPr>
                <w:rPr>
                  <w:rStyle w:val="Emphasis"/>
                  <w:rFonts w:ascii="Cambria Math" w:hAnsi="Cambria Math"/>
                  <w:sz w:val="20"/>
                </w:rPr>
              </m:ctrlPr>
            </m:fPr>
            <m:num>
              <m:sSub>
                <m:sSubPr>
                  <m:ctrlPr>
                    <w:rPr>
                      <w:rStyle w:val="Emphasis"/>
                      <w:rFonts w:ascii="Cambria Math" w:hAnsi="Cambria Math"/>
                      <w:sz w:val="20"/>
                    </w:rPr>
                  </m:ctrlPr>
                </m:sSubPr>
                <m:e>
                  <m:r>
                    <m:rPr>
                      <m:sty m:val="p"/>
                    </m:rPr>
                    <w:rPr>
                      <w:rStyle w:val="Emphasis"/>
                      <w:rFonts w:ascii="Cambria Math" w:hAnsi="Cambria Math"/>
                      <w:sz w:val="20"/>
                    </w:rPr>
                    <m:t>L</m:t>
                  </m:r>
                </m:e>
                <m:sub>
                  <m:r>
                    <m:rPr>
                      <m:sty m:val="p"/>
                    </m:rPr>
                    <w:rPr>
                      <w:rStyle w:val="Emphasis"/>
                      <w:rFonts w:ascii="Cambria Math" w:hAnsi="Cambria Math"/>
                      <w:sz w:val="20"/>
                    </w:rPr>
                    <m:t>1</m:t>
                  </m:r>
                </m:sub>
              </m:sSub>
              <m:r>
                <m:rPr>
                  <m:sty m:val="p"/>
                </m:rPr>
                <w:rPr>
                  <w:rStyle w:val="Emphasis"/>
                  <w:rFonts w:ascii="Cambria Math" w:hAnsi="Cambria Math"/>
                  <w:sz w:val="20"/>
                </w:rPr>
                <m:t>+</m:t>
              </m:r>
              <m:sSub>
                <m:sSubPr>
                  <m:ctrlPr>
                    <w:rPr>
                      <w:rStyle w:val="Emphasis"/>
                      <w:rFonts w:ascii="Cambria Math" w:hAnsi="Cambria Math"/>
                      <w:sz w:val="20"/>
                    </w:rPr>
                  </m:ctrlPr>
                </m:sSubPr>
                <m:e>
                  <m:r>
                    <m:rPr>
                      <m:sty m:val="p"/>
                    </m:rPr>
                    <w:rPr>
                      <w:rStyle w:val="Emphasis"/>
                      <w:rFonts w:ascii="Cambria Math" w:hAnsi="Cambria Math"/>
                      <w:sz w:val="20"/>
                    </w:rPr>
                    <m:t>L</m:t>
                  </m:r>
                </m:e>
                <m:sub>
                  <m:r>
                    <m:rPr>
                      <m:sty m:val="p"/>
                    </m:rPr>
                    <w:rPr>
                      <w:rStyle w:val="Emphasis"/>
                      <w:rFonts w:ascii="Cambria Math" w:hAnsi="Cambria Math"/>
                      <w:sz w:val="20"/>
                    </w:rPr>
                    <m:t>2</m:t>
                  </m:r>
                </m:sub>
              </m:sSub>
            </m:num>
            <m:den>
              <m:r>
                <m:rPr>
                  <m:sty m:val="p"/>
                </m:rPr>
                <w:rPr>
                  <w:rStyle w:val="Emphasis"/>
                  <w:rFonts w:ascii="Cambria Math" w:hAnsi="Cambria Math"/>
                  <w:sz w:val="20"/>
                </w:rPr>
                <m:t>2</m:t>
              </m:r>
            </m:den>
          </m:f>
        </m:oMath>
      </m:oMathPara>
    </w:p>
    <w:p w14:paraId="4985602F" w14:textId="77777777" w:rsidR="009E775C" w:rsidRPr="009E775C" w:rsidRDefault="009E775C" w:rsidP="0020672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sz w:val="20"/>
        </w:rPr>
      </w:pPr>
    </w:p>
    <w:p w14:paraId="2E458652" w14:textId="11C2C67E" w:rsidR="002C7487" w:rsidRPr="009E775C" w:rsidRDefault="009E775C" w:rsidP="0020672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sz w:val="20"/>
        </w:rPr>
      </w:pPr>
      <m:oMathPara>
        <m:oMath>
          <m:r>
            <m:rPr>
              <m:sty m:val="p"/>
            </m:rPr>
            <w:rPr>
              <w:rStyle w:val="Emphasis"/>
              <w:rFonts w:ascii="Cambria Math" w:hAnsi="Cambria Math"/>
              <w:sz w:val="20"/>
            </w:rPr>
            <m:t>Original length-Chain pitch x Number of links</m:t>
          </m:r>
        </m:oMath>
      </m:oMathPara>
    </w:p>
    <w:p w14:paraId="36DFD66C" w14:textId="77777777" w:rsidR="009E775C" w:rsidRPr="009E775C" w:rsidRDefault="009E775C" w:rsidP="0020672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sz w:val="20"/>
        </w:rPr>
      </w:pPr>
    </w:p>
    <w:p w14:paraId="3670F0D7" w14:textId="1591D059" w:rsidR="002C7487" w:rsidRPr="002C7487" w:rsidRDefault="009E775C" w:rsidP="00814F5F">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m:oMathPara>
        <m:oMath>
          <m:r>
            <m:rPr>
              <m:sty m:val="p"/>
            </m:rPr>
            <w:rPr>
              <w:rStyle w:val="Emphasis"/>
              <w:rFonts w:ascii="Cambria Math" w:hAnsi="Cambria Math"/>
              <w:sz w:val="20"/>
            </w:rPr>
            <m:t xml:space="preserve">Chain elongation </m:t>
          </m:r>
          <m:d>
            <m:dPr>
              <m:ctrlPr>
                <w:rPr>
                  <w:rStyle w:val="Emphasis"/>
                  <w:rFonts w:ascii="Cambria Math" w:hAnsi="Cambria Math"/>
                  <w:sz w:val="20"/>
                </w:rPr>
              </m:ctrlPr>
            </m:dPr>
            <m:e>
              <m:r>
                <m:rPr>
                  <m:sty m:val="p"/>
                </m:rPr>
                <w:rPr>
                  <w:rStyle w:val="Emphasis"/>
                  <w:rFonts w:ascii="Cambria Math" w:hAnsi="Cambria Math"/>
                  <w:sz w:val="20"/>
                </w:rPr>
                <m:t>%</m:t>
              </m:r>
            </m:e>
          </m:d>
          <m:r>
            <m:rPr>
              <m:sty m:val="p"/>
            </m:rPr>
            <w:rPr>
              <w:rStyle w:val="Emphasis"/>
              <w:rFonts w:ascii="Cambria Math" w:hAnsi="Cambria Math"/>
              <w:sz w:val="20"/>
            </w:rPr>
            <m:t xml:space="preserve">= </m:t>
          </m:r>
          <m:f>
            <m:fPr>
              <m:ctrlPr>
                <w:rPr>
                  <w:rStyle w:val="Emphasis"/>
                  <w:rFonts w:ascii="Cambria Math" w:hAnsi="Cambria Math"/>
                  <w:sz w:val="20"/>
                </w:rPr>
              </m:ctrlPr>
            </m:fPr>
            <m:num>
              <m:r>
                <m:rPr>
                  <m:sty m:val="p"/>
                </m:rPr>
                <w:rPr>
                  <w:rStyle w:val="Emphasis"/>
                  <w:rFonts w:ascii="Cambria Math" w:hAnsi="Cambria Math"/>
                  <w:sz w:val="20"/>
                </w:rPr>
                <m:t>Measure length-Original length</m:t>
              </m:r>
            </m:num>
            <m:den>
              <m:r>
                <m:rPr>
                  <m:sty m:val="p"/>
                </m:rPr>
                <w:rPr>
                  <w:rStyle w:val="Emphasis"/>
                  <w:rFonts w:ascii="Cambria Math" w:hAnsi="Cambria Math"/>
                  <w:sz w:val="20"/>
                </w:rPr>
                <m:t>Original length</m:t>
              </m:r>
            </m:den>
          </m:f>
          <m:r>
            <m:rPr>
              <m:sty m:val="p"/>
            </m:rPr>
            <w:rPr>
              <w:rStyle w:val="Emphasis"/>
              <w:rFonts w:ascii="Cambria Math" w:hAnsi="Cambria Math"/>
              <w:sz w:val="20"/>
            </w:rPr>
            <m:t>×100                                          (3)</m:t>
          </m:r>
        </m:oMath>
      </m:oMathPara>
    </w:p>
    <w:p w14:paraId="3DBD0125" w14:textId="77777777" w:rsidR="005034EE" w:rsidRDefault="005034EE" w:rsidP="0020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p>
    <w:p w14:paraId="5C114F47" w14:textId="75B8406A" w:rsidR="0020672D" w:rsidRPr="006B3D1E" w:rsidRDefault="0020672D" w:rsidP="006B3D1E">
      <w:pPr>
        <w:pStyle w:val="Heading2"/>
        <w:rPr>
          <w:rStyle w:val="Emphasis"/>
          <w:i/>
          <w:iCs/>
        </w:rPr>
      </w:pPr>
      <w:r w:rsidRPr="006B3D1E">
        <w:rPr>
          <w:rStyle w:val="Emphasis"/>
        </w:rPr>
        <w:t xml:space="preserve">FMEA </w:t>
      </w:r>
      <w:r w:rsidR="006B3D1E">
        <w:rPr>
          <w:rStyle w:val="Emphasis"/>
        </w:rPr>
        <w:t>APPLICATION</w:t>
      </w:r>
      <w:r w:rsidRPr="006B3D1E">
        <w:rPr>
          <w:rStyle w:val="Emphasis"/>
        </w:rPr>
        <w:t xml:space="preserve"> </w:t>
      </w:r>
      <w:r w:rsidR="006B3D1E">
        <w:rPr>
          <w:rStyle w:val="Emphasis"/>
        </w:rPr>
        <w:t>METHOD</w:t>
      </w:r>
    </w:p>
    <w:p w14:paraId="61A34CAE" w14:textId="241D1388" w:rsidR="003F56CE" w:rsidRPr="00314D45" w:rsidRDefault="003F56CE" w:rsidP="003F56C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sz w:val="20"/>
        </w:rPr>
      </w:pPr>
      <w:r w:rsidRPr="00314D45">
        <w:rPr>
          <w:rStyle w:val="Emphasis"/>
          <w:sz w:val="20"/>
        </w:rPr>
        <w:tab/>
        <w:t>To address wear or damage issues on undercarriage components, the Failure Mode and Effect Analysis (FMEA) method was employed to identify the root causes of potential problems and perform a detailed analysis. The FMEA technique was selected due to its simplicity and widespread use in the industry, though its application in undercarriage component replacement is still underexplored. This study aims to further investigate the FMEA method's application in this context.</w:t>
      </w:r>
    </w:p>
    <w:p w14:paraId="50C19171" w14:textId="77777777" w:rsidR="003F56CE" w:rsidRPr="00314D45" w:rsidRDefault="003F56CE" w:rsidP="003F5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sz w:val="20"/>
        </w:rPr>
      </w:pPr>
      <w:r w:rsidRPr="00314D45">
        <w:rPr>
          <w:rStyle w:val="Emphasis"/>
          <w:sz w:val="20"/>
        </w:rPr>
        <w:t>The FMEA procedure began by selecting a high-risk process, which was reviewed by a carefully chosen team comprising individuals with diverse job responsibilities and experience levels, ensuring a range of perspectives. The team conducted a brainstorming session to identify potential failure modes and their root causes. For each identified failure mode, the team listed potential effects and assigned severity, occurrence, and detection levels based on the following criteria:</w:t>
      </w:r>
    </w:p>
    <w:p w14:paraId="2CF57AE9" w14:textId="77777777" w:rsidR="003F56CE" w:rsidRPr="00314D45" w:rsidRDefault="003F56CE" w:rsidP="003F56C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sz w:val="20"/>
        </w:rPr>
      </w:pPr>
      <w:r w:rsidRPr="00314D45">
        <w:rPr>
          <w:rStyle w:val="Emphasis"/>
          <w:sz w:val="20"/>
        </w:rPr>
        <w:lastRenderedPageBreak/>
        <w:t>Severity (S): The impact of the failure mode on the system, with levels ranging from 1 (no impact) to 10 (catastrophic impact).</w:t>
      </w:r>
    </w:p>
    <w:p w14:paraId="607914D5" w14:textId="77777777" w:rsidR="003F56CE" w:rsidRPr="00314D45" w:rsidRDefault="003F56CE" w:rsidP="003F56C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sz w:val="20"/>
        </w:rPr>
      </w:pPr>
      <w:r w:rsidRPr="00314D45">
        <w:rPr>
          <w:rStyle w:val="Emphasis"/>
          <w:sz w:val="20"/>
        </w:rPr>
        <w:t>Occurrence (O): The likelihood of the failure mode occurring, with levels ranging from 1 (extremely unlikely) to 10 (almost certain).</w:t>
      </w:r>
    </w:p>
    <w:p w14:paraId="20212791" w14:textId="77777777" w:rsidR="003F56CE" w:rsidRPr="00314D45" w:rsidRDefault="003F56CE" w:rsidP="003F56C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sz w:val="20"/>
        </w:rPr>
      </w:pPr>
      <w:r w:rsidRPr="00314D45">
        <w:rPr>
          <w:rStyle w:val="Emphasis"/>
          <w:sz w:val="20"/>
        </w:rPr>
        <w:t>Detection (D): The probability of detecting the failure before it occurs, with levels ranging from 1 (very high chance of detection) to 10 (almost impossible to detect).</w:t>
      </w:r>
    </w:p>
    <w:p w14:paraId="037FAFF5" w14:textId="2217EAB1" w:rsidR="00A93C84" w:rsidRPr="00314D45" w:rsidRDefault="003F56CE" w:rsidP="0081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Style w:val="Emphasis"/>
          <w:sz w:val="20"/>
        </w:rPr>
      </w:pPr>
      <w:r w:rsidRPr="00314D45">
        <w:rPr>
          <w:rStyle w:val="Emphasis"/>
          <w:sz w:val="20"/>
        </w:rPr>
        <w:t>The Risk Priority Number (RPN) for each failure mode was calculated using the equation 4.</w:t>
      </w:r>
    </w:p>
    <w:p w14:paraId="08B31B62" w14:textId="49953561" w:rsidR="005034EE" w:rsidRPr="00314D45" w:rsidRDefault="00A93C84" w:rsidP="0081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sz w:val="20"/>
        </w:rPr>
      </w:pPr>
      <m:oMath>
        <m:r>
          <w:rPr>
            <w:rFonts w:ascii="Cambria Math" w:hAnsi="Cambria Math"/>
            <w:sz w:val="20"/>
          </w:rPr>
          <m:t>Risk Priority Number (RPN)=Severity </m:t>
        </m:r>
        <m:d>
          <m:dPr>
            <m:ctrlPr>
              <w:rPr>
                <w:rFonts w:ascii="Cambria Math" w:hAnsi="Cambria Math"/>
                <w:i/>
                <w:sz w:val="20"/>
              </w:rPr>
            </m:ctrlPr>
          </m:dPr>
          <m:e>
            <m:r>
              <w:rPr>
                <w:rFonts w:ascii="Cambria Math" w:hAnsi="Cambria Math"/>
                <w:sz w:val="20"/>
              </w:rPr>
              <m:t>S</m:t>
            </m:r>
          </m:e>
        </m:d>
        <m:r>
          <w:rPr>
            <w:rFonts w:ascii="Cambria Math" w:hAnsi="Cambria Math"/>
            <w:sz w:val="20"/>
          </w:rPr>
          <m:t>×Occurrence </m:t>
        </m:r>
        <m:d>
          <m:dPr>
            <m:ctrlPr>
              <w:rPr>
                <w:rFonts w:ascii="Cambria Math" w:hAnsi="Cambria Math"/>
                <w:i/>
                <w:sz w:val="20"/>
              </w:rPr>
            </m:ctrlPr>
          </m:dPr>
          <m:e>
            <m:r>
              <w:rPr>
                <w:rFonts w:ascii="Cambria Math" w:hAnsi="Cambria Math"/>
                <w:sz w:val="20"/>
              </w:rPr>
              <m:t>O</m:t>
            </m:r>
          </m:e>
        </m:d>
        <m:r>
          <w:rPr>
            <w:rFonts w:ascii="Cambria Math" w:hAnsi="Cambria Math"/>
            <w:sz w:val="20"/>
          </w:rPr>
          <m:t>×Detection </m:t>
        </m:r>
        <m:d>
          <m:dPr>
            <m:ctrlPr>
              <w:rPr>
                <w:rFonts w:ascii="Cambria Math" w:hAnsi="Cambria Math"/>
                <w:i/>
                <w:sz w:val="20"/>
              </w:rPr>
            </m:ctrlPr>
          </m:dPr>
          <m:e>
            <m:r>
              <w:rPr>
                <w:rFonts w:ascii="Cambria Math" w:hAnsi="Cambria Math"/>
                <w:sz w:val="20"/>
              </w:rPr>
              <m:t>D</m:t>
            </m:r>
          </m:e>
        </m:d>
      </m:oMath>
      <w:r w:rsidR="00814F5F" w:rsidRPr="00314D45">
        <w:rPr>
          <w:sz w:val="20"/>
        </w:rPr>
        <w:tab/>
      </w:r>
      <w:r w:rsidR="00814F5F" w:rsidRPr="00314D45">
        <w:rPr>
          <w:sz w:val="20"/>
        </w:rPr>
        <w:tab/>
        <w:t>(4)</w:t>
      </w:r>
    </w:p>
    <w:p w14:paraId="22F15662" w14:textId="7FE18F76" w:rsidR="00EA50A7" w:rsidRPr="00314D45" w:rsidRDefault="003F56CE" w:rsidP="00FB295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sz w:val="20"/>
        </w:rPr>
      </w:pPr>
      <w:r w:rsidRPr="00314D45">
        <w:rPr>
          <w:rStyle w:val="Emphasis"/>
          <w:sz w:val="20"/>
        </w:rPr>
        <w:tab/>
        <w:t>Failure modes were prioritized for action based on their RPN. Actions were taken to eliminate or reduce high-risk failure modes, after which the RPN was recalculated to monitor the effectiveness of the interventions. The FMEA process in this study was instrumental in identifying critical areas for improvement and guiding the redesign of maintenance practices for the Komatsu D375A-6 dozer.</w:t>
      </w:r>
    </w:p>
    <w:p w14:paraId="384519A9" w14:textId="4852B5F9" w:rsidR="00EA50A7" w:rsidRPr="00784F94" w:rsidRDefault="00EA50A7" w:rsidP="00784F94">
      <w:pPr>
        <w:pStyle w:val="Heading1"/>
      </w:pPr>
      <w:r w:rsidRPr="00784F94">
        <w:t>RESULTS AND DISCUSSION</w:t>
      </w:r>
    </w:p>
    <w:p w14:paraId="4DF64082" w14:textId="596328D1" w:rsidR="00EA50A7" w:rsidRPr="00784F94" w:rsidRDefault="00D85CF0" w:rsidP="006B3D1E">
      <w:pPr>
        <w:pStyle w:val="Heading2"/>
      </w:pPr>
      <w:r>
        <w:t>RESULTS</w:t>
      </w:r>
    </w:p>
    <w:p w14:paraId="739597AE" w14:textId="5C5B97B3" w:rsidR="00D85CF0" w:rsidRPr="00314D45" w:rsidRDefault="00A93C84" w:rsidP="00D85CF0">
      <w:pPr>
        <w:pStyle w:val="Paragraph"/>
        <w:rPr>
          <w:rStyle w:val="Emphasis"/>
        </w:rPr>
      </w:pPr>
      <w:r w:rsidRPr="00314D45">
        <w:rPr>
          <w:rStyle w:val="Emphasis"/>
        </w:rPr>
        <w:t xml:space="preserve">The research focused on the wear lifetime and elongation analysis of various undercarriage components of the Komatsu Dozer D375A-6. The components analyzed include track shoe (grouser height), idler, track link (link height), carrier roller, track roller, sprocket, and track link (chain). The study aimed to determine the wear rates and elongation to assess the damage levels and inform necessary repairs. The data collected was processed and analyzed to determine the components' lifetimes and wear rates </w:t>
      </w:r>
      <w:r w:rsidR="00D85CF0" w:rsidRPr="00314D45">
        <w:rPr>
          <w:rStyle w:val="Emphasis"/>
        </w:rPr>
        <w:t xml:space="preserve">(see </w:t>
      </w:r>
      <w:r w:rsidR="00D85CF0" w:rsidRPr="00314D45">
        <w:rPr>
          <w:rStyle w:val="Emphasis"/>
          <w:b/>
          <w:bCs/>
        </w:rPr>
        <w:t>TABLE 1</w:t>
      </w:r>
      <w:r w:rsidR="00D85CF0" w:rsidRPr="00314D45">
        <w:rPr>
          <w:rStyle w:val="Emphasis"/>
        </w:rPr>
        <w:t>).</w:t>
      </w:r>
    </w:p>
    <w:p w14:paraId="249782C5" w14:textId="77777777" w:rsidR="00D85CF0" w:rsidRPr="00D85CF0" w:rsidRDefault="00D85CF0" w:rsidP="00D85CF0">
      <w:pPr>
        <w:pStyle w:val="Paragraph"/>
        <w:rPr>
          <w:rStyle w:val="Emphasis"/>
          <w:i/>
          <w:iCs/>
        </w:rPr>
      </w:pPr>
    </w:p>
    <w:p w14:paraId="66F398E6" w14:textId="34C62351" w:rsidR="00D85CF0" w:rsidRPr="006B3D1E" w:rsidRDefault="00D85CF0" w:rsidP="00D85CF0">
      <w:pPr>
        <w:pStyle w:val="Paragraph"/>
        <w:jc w:val="center"/>
        <w:rPr>
          <w:rStyle w:val="Emphasis"/>
          <w:i/>
          <w:iCs/>
          <w:sz w:val="18"/>
          <w:szCs w:val="18"/>
        </w:rPr>
      </w:pPr>
      <w:r w:rsidRPr="006B3D1E">
        <w:rPr>
          <w:rStyle w:val="Emphasis"/>
          <w:b/>
          <w:bCs/>
          <w:sz w:val="18"/>
          <w:szCs w:val="18"/>
        </w:rPr>
        <w:t>TABLE 1</w:t>
      </w:r>
      <w:r w:rsidRPr="006B3D1E">
        <w:rPr>
          <w:rStyle w:val="Emphasis"/>
          <w:sz w:val="18"/>
          <w:szCs w:val="18"/>
        </w:rPr>
        <w:t>.</w:t>
      </w:r>
      <w:r w:rsidR="00A93C84" w:rsidRPr="006B3D1E">
        <w:rPr>
          <w:rStyle w:val="Emphasis"/>
          <w:sz w:val="18"/>
          <w:szCs w:val="18"/>
        </w:rPr>
        <w:t xml:space="preserve"> Undercarriage components analysis.</w:t>
      </w:r>
    </w:p>
    <w:tbl>
      <w:tblPr>
        <w:tblStyle w:val="TableGrid"/>
        <w:tblW w:w="6520" w:type="dxa"/>
        <w:jc w:val="center"/>
        <w:tblLook w:val="04A0" w:firstRow="1" w:lastRow="0" w:firstColumn="1" w:lastColumn="0" w:noHBand="0" w:noVBand="1"/>
      </w:tblPr>
      <w:tblGrid>
        <w:gridCol w:w="1551"/>
        <w:gridCol w:w="1017"/>
        <w:gridCol w:w="1072"/>
        <w:gridCol w:w="960"/>
        <w:gridCol w:w="960"/>
        <w:gridCol w:w="960"/>
      </w:tblGrid>
      <w:tr w:rsidR="00A93C84" w:rsidRPr="00A93C84" w14:paraId="269B9B0C" w14:textId="77777777" w:rsidTr="006B3D1E">
        <w:trPr>
          <w:trHeight w:val="300"/>
          <w:jc w:val="center"/>
        </w:trPr>
        <w:tc>
          <w:tcPr>
            <w:tcW w:w="1551" w:type="dxa"/>
            <w:noWrap/>
            <w:vAlign w:val="center"/>
            <w:hideMark/>
          </w:tcPr>
          <w:p w14:paraId="0E0A8FA9" w14:textId="77777777" w:rsidR="00A93C84" w:rsidRPr="00A93C84" w:rsidRDefault="00A93C84" w:rsidP="006B3D1E">
            <w:pPr>
              <w:jc w:val="center"/>
              <w:rPr>
                <w:b/>
                <w:bCs/>
                <w:color w:val="000000"/>
                <w:sz w:val="20"/>
                <w:lang w:val="en-ID" w:eastAsia="en-ID"/>
              </w:rPr>
            </w:pPr>
            <w:r w:rsidRPr="00A93C84">
              <w:rPr>
                <w:b/>
                <w:bCs/>
                <w:color w:val="000000"/>
                <w:sz w:val="20"/>
                <w:lang w:val="en-ID" w:eastAsia="en-ID"/>
              </w:rPr>
              <w:t>Component</w:t>
            </w:r>
          </w:p>
        </w:tc>
        <w:tc>
          <w:tcPr>
            <w:tcW w:w="1017" w:type="dxa"/>
            <w:noWrap/>
            <w:hideMark/>
          </w:tcPr>
          <w:p w14:paraId="4635F899" w14:textId="77777777" w:rsidR="00A93C84" w:rsidRPr="00A93C84" w:rsidRDefault="00A93C84" w:rsidP="00A93C84">
            <w:pPr>
              <w:jc w:val="center"/>
              <w:rPr>
                <w:b/>
                <w:bCs/>
                <w:color w:val="000000"/>
                <w:sz w:val="20"/>
                <w:lang w:val="en-ID" w:eastAsia="en-ID"/>
              </w:rPr>
            </w:pPr>
            <w:r w:rsidRPr="00A93C84">
              <w:rPr>
                <w:b/>
                <w:bCs/>
                <w:color w:val="000000"/>
                <w:sz w:val="20"/>
                <w:lang w:val="en-ID" w:eastAsia="en-ID"/>
              </w:rPr>
              <w:t>Standard Value (</w:t>
            </w:r>
            <w:proofErr w:type="spellStart"/>
            <w:r w:rsidRPr="00A93C84">
              <w:rPr>
                <w:b/>
                <w:bCs/>
                <w:color w:val="000000"/>
                <w:sz w:val="20"/>
                <w:lang w:val="en-ID" w:eastAsia="en-ID"/>
              </w:rPr>
              <w:t>Sv</w:t>
            </w:r>
            <w:proofErr w:type="spellEnd"/>
            <w:r w:rsidRPr="00A93C84">
              <w:rPr>
                <w:b/>
                <w:bCs/>
                <w:color w:val="000000"/>
                <w:sz w:val="20"/>
                <w:lang w:val="en-ID" w:eastAsia="en-ID"/>
              </w:rPr>
              <w:t>)</w:t>
            </w:r>
          </w:p>
        </w:tc>
        <w:tc>
          <w:tcPr>
            <w:tcW w:w="1072" w:type="dxa"/>
            <w:noWrap/>
            <w:hideMark/>
          </w:tcPr>
          <w:p w14:paraId="1F8ED3E2" w14:textId="77777777" w:rsidR="00A93C84" w:rsidRPr="00A93C84" w:rsidRDefault="00A93C84" w:rsidP="00A93C84">
            <w:pPr>
              <w:jc w:val="center"/>
              <w:rPr>
                <w:b/>
                <w:bCs/>
                <w:color w:val="000000"/>
                <w:sz w:val="20"/>
                <w:lang w:val="en-ID" w:eastAsia="en-ID"/>
              </w:rPr>
            </w:pPr>
            <w:r w:rsidRPr="00A93C84">
              <w:rPr>
                <w:b/>
                <w:bCs/>
                <w:color w:val="000000"/>
                <w:sz w:val="20"/>
                <w:lang w:val="en-ID" w:eastAsia="en-ID"/>
              </w:rPr>
              <w:t>Measured Wear Rate (Mw)</w:t>
            </w:r>
          </w:p>
        </w:tc>
        <w:tc>
          <w:tcPr>
            <w:tcW w:w="960" w:type="dxa"/>
            <w:noWrap/>
            <w:hideMark/>
          </w:tcPr>
          <w:p w14:paraId="456357D3" w14:textId="77777777" w:rsidR="00A93C84" w:rsidRPr="00A93C84" w:rsidRDefault="00A93C84" w:rsidP="00A93C84">
            <w:pPr>
              <w:jc w:val="center"/>
              <w:rPr>
                <w:b/>
                <w:bCs/>
                <w:color w:val="000000"/>
                <w:sz w:val="20"/>
                <w:lang w:val="en-ID" w:eastAsia="en-ID"/>
              </w:rPr>
            </w:pPr>
            <w:r w:rsidRPr="00A93C84">
              <w:rPr>
                <w:b/>
                <w:bCs/>
                <w:color w:val="000000"/>
                <w:sz w:val="20"/>
                <w:lang w:val="en-ID" w:eastAsia="en-ID"/>
              </w:rPr>
              <w:t>Wear Limit (</w:t>
            </w:r>
            <w:proofErr w:type="spellStart"/>
            <w:r w:rsidRPr="00A93C84">
              <w:rPr>
                <w:b/>
                <w:bCs/>
                <w:color w:val="000000"/>
                <w:sz w:val="20"/>
                <w:lang w:val="en-ID" w:eastAsia="en-ID"/>
              </w:rPr>
              <w:t>Wl</w:t>
            </w:r>
            <w:proofErr w:type="spellEnd"/>
            <w:r w:rsidRPr="00A93C84">
              <w:rPr>
                <w:b/>
                <w:bCs/>
                <w:color w:val="000000"/>
                <w:sz w:val="20"/>
                <w:lang w:val="en-ID" w:eastAsia="en-ID"/>
              </w:rPr>
              <w:t>)</w:t>
            </w:r>
          </w:p>
        </w:tc>
        <w:tc>
          <w:tcPr>
            <w:tcW w:w="960" w:type="dxa"/>
            <w:noWrap/>
            <w:hideMark/>
          </w:tcPr>
          <w:p w14:paraId="0F2D0183" w14:textId="77777777" w:rsidR="00A93C84" w:rsidRPr="00A93C84" w:rsidRDefault="00A93C84" w:rsidP="00A93C84">
            <w:pPr>
              <w:jc w:val="center"/>
              <w:rPr>
                <w:b/>
                <w:bCs/>
                <w:color w:val="000000"/>
                <w:sz w:val="20"/>
                <w:lang w:val="en-ID" w:eastAsia="en-ID"/>
              </w:rPr>
            </w:pPr>
            <w:r w:rsidRPr="00A93C84">
              <w:rPr>
                <w:b/>
                <w:bCs/>
                <w:color w:val="000000"/>
                <w:sz w:val="20"/>
                <w:lang w:val="en-ID" w:eastAsia="en-ID"/>
              </w:rPr>
              <w:t>Wear Rate (%)</w:t>
            </w:r>
          </w:p>
        </w:tc>
        <w:tc>
          <w:tcPr>
            <w:tcW w:w="960" w:type="dxa"/>
            <w:noWrap/>
            <w:hideMark/>
          </w:tcPr>
          <w:p w14:paraId="4C9FB97C" w14:textId="77777777" w:rsidR="00A93C84" w:rsidRPr="00A93C84" w:rsidRDefault="00A93C84" w:rsidP="00A93C84">
            <w:pPr>
              <w:jc w:val="center"/>
              <w:rPr>
                <w:b/>
                <w:bCs/>
                <w:color w:val="000000"/>
                <w:sz w:val="20"/>
                <w:lang w:val="en-ID" w:eastAsia="en-ID"/>
              </w:rPr>
            </w:pPr>
            <w:r w:rsidRPr="00A93C84">
              <w:rPr>
                <w:b/>
                <w:bCs/>
                <w:color w:val="000000"/>
                <w:sz w:val="20"/>
                <w:lang w:val="en-ID" w:eastAsia="en-ID"/>
              </w:rPr>
              <w:t>Time Reached (Hours)</w:t>
            </w:r>
          </w:p>
        </w:tc>
      </w:tr>
      <w:tr w:rsidR="00A93C84" w:rsidRPr="00A93C84" w14:paraId="462C573F" w14:textId="77777777" w:rsidTr="006B3D1E">
        <w:trPr>
          <w:trHeight w:val="300"/>
          <w:jc w:val="center"/>
        </w:trPr>
        <w:tc>
          <w:tcPr>
            <w:tcW w:w="1551" w:type="dxa"/>
            <w:noWrap/>
            <w:hideMark/>
          </w:tcPr>
          <w:p w14:paraId="3A97DC66" w14:textId="77777777" w:rsidR="00A93C84" w:rsidRPr="00A93C84" w:rsidRDefault="00A93C84" w:rsidP="00A93C84">
            <w:pPr>
              <w:rPr>
                <w:color w:val="000000"/>
                <w:sz w:val="20"/>
                <w:lang w:val="en-ID" w:eastAsia="en-ID"/>
              </w:rPr>
            </w:pPr>
            <w:r w:rsidRPr="00A93C84">
              <w:rPr>
                <w:color w:val="000000"/>
                <w:sz w:val="20"/>
                <w:lang w:val="en-ID" w:eastAsia="en-ID"/>
              </w:rPr>
              <w:t>Grouser Height</w:t>
            </w:r>
          </w:p>
        </w:tc>
        <w:tc>
          <w:tcPr>
            <w:tcW w:w="1017" w:type="dxa"/>
            <w:noWrap/>
            <w:vAlign w:val="center"/>
            <w:hideMark/>
          </w:tcPr>
          <w:p w14:paraId="6EEF0201" w14:textId="77777777" w:rsidR="00A93C84" w:rsidRPr="00A93C84" w:rsidRDefault="00A93C84" w:rsidP="006B3D1E">
            <w:pPr>
              <w:jc w:val="center"/>
              <w:rPr>
                <w:color w:val="000000"/>
                <w:sz w:val="20"/>
                <w:lang w:val="en-ID" w:eastAsia="en-ID"/>
              </w:rPr>
            </w:pPr>
            <w:r w:rsidRPr="00A93C84">
              <w:rPr>
                <w:color w:val="000000"/>
                <w:sz w:val="20"/>
                <w:lang w:val="en-ID" w:eastAsia="en-ID"/>
              </w:rPr>
              <w:t>188</w:t>
            </w:r>
          </w:p>
        </w:tc>
        <w:tc>
          <w:tcPr>
            <w:tcW w:w="1072" w:type="dxa"/>
            <w:noWrap/>
            <w:vAlign w:val="center"/>
            <w:hideMark/>
          </w:tcPr>
          <w:p w14:paraId="622CCF1B" w14:textId="77777777" w:rsidR="00A93C84" w:rsidRPr="00A93C84" w:rsidRDefault="00A93C84" w:rsidP="006B3D1E">
            <w:pPr>
              <w:jc w:val="center"/>
              <w:rPr>
                <w:color w:val="000000"/>
                <w:sz w:val="20"/>
                <w:lang w:val="en-ID" w:eastAsia="en-ID"/>
              </w:rPr>
            </w:pPr>
            <w:r w:rsidRPr="00A93C84">
              <w:rPr>
                <w:color w:val="000000"/>
                <w:sz w:val="20"/>
                <w:lang w:val="en-ID" w:eastAsia="en-ID"/>
              </w:rPr>
              <w:t>147,7</w:t>
            </w:r>
          </w:p>
        </w:tc>
        <w:tc>
          <w:tcPr>
            <w:tcW w:w="960" w:type="dxa"/>
            <w:noWrap/>
            <w:vAlign w:val="center"/>
            <w:hideMark/>
          </w:tcPr>
          <w:p w14:paraId="6C122AA1" w14:textId="77777777" w:rsidR="00A93C84" w:rsidRPr="00A93C84" w:rsidRDefault="00A93C84" w:rsidP="006B3D1E">
            <w:pPr>
              <w:jc w:val="center"/>
              <w:rPr>
                <w:color w:val="000000"/>
                <w:sz w:val="20"/>
                <w:lang w:val="en-ID" w:eastAsia="en-ID"/>
              </w:rPr>
            </w:pPr>
            <w:r w:rsidRPr="00A93C84">
              <w:rPr>
                <w:color w:val="000000"/>
                <w:sz w:val="20"/>
                <w:lang w:val="en-ID" w:eastAsia="en-ID"/>
              </w:rPr>
              <w:t>128</w:t>
            </w:r>
          </w:p>
        </w:tc>
        <w:tc>
          <w:tcPr>
            <w:tcW w:w="960" w:type="dxa"/>
            <w:noWrap/>
            <w:vAlign w:val="center"/>
            <w:hideMark/>
          </w:tcPr>
          <w:p w14:paraId="0FFA4AF1" w14:textId="77777777" w:rsidR="00A93C84" w:rsidRPr="00A93C84" w:rsidRDefault="00A93C84" w:rsidP="006B3D1E">
            <w:pPr>
              <w:jc w:val="center"/>
              <w:rPr>
                <w:color w:val="000000"/>
                <w:sz w:val="20"/>
                <w:lang w:val="en-ID" w:eastAsia="en-ID"/>
              </w:rPr>
            </w:pPr>
            <w:r w:rsidRPr="00A93C84">
              <w:rPr>
                <w:color w:val="000000"/>
                <w:sz w:val="20"/>
                <w:lang w:val="en-ID" w:eastAsia="en-ID"/>
              </w:rPr>
              <w:t>48,21</w:t>
            </w:r>
          </w:p>
        </w:tc>
        <w:tc>
          <w:tcPr>
            <w:tcW w:w="960" w:type="dxa"/>
            <w:noWrap/>
            <w:vAlign w:val="center"/>
            <w:hideMark/>
          </w:tcPr>
          <w:p w14:paraId="1019BB1F" w14:textId="77777777" w:rsidR="00A93C84" w:rsidRPr="00A93C84" w:rsidRDefault="00A93C84" w:rsidP="006B3D1E">
            <w:pPr>
              <w:jc w:val="center"/>
              <w:rPr>
                <w:color w:val="000000"/>
                <w:sz w:val="20"/>
                <w:lang w:val="en-ID" w:eastAsia="en-ID"/>
              </w:rPr>
            </w:pPr>
            <w:r w:rsidRPr="00A93C84">
              <w:rPr>
                <w:color w:val="000000"/>
                <w:sz w:val="20"/>
                <w:lang w:val="en-ID" w:eastAsia="en-ID"/>
              </w:rPr>
              <w:t>9000</w:t>
            </w:r>
          </w:p>
        </w:tc>
      </w:tr>
      <w:tr w:rsidR="00A93C84" w:rsidRPr="00A93C84" w14:paraId="713DE927" w14:textId="77777777" w:rsidTr="006B3D1E">
        <w:trPr>
          <w:trHeight w:val="300"/>
          <w:jc w:val="center"/>
        </w:trPr>
        <w:tc>
          <w:tcPr>
            <w:tcW w:w="1551" w:type="dxa"/>
            <w:noWrap/>
            <w:hideMark/>
          </w:tcPr>
          <w:p w14:paraId="2E1BF490" w14:textId="77777777" w:rsidR="00A93C84" w:rsidRPr="00A93C84" w:rsidRDefault="00A93C84" w:rsidP="00A93C84">
            <w:pPr>
              <w:rPr>
                <w:color w:val="000000"/>
                <w:sz w:val="20"/>
                <w:lang w:val="en-ID" w:eastAsia="en-ID"/>
              </w:rPr>
            </w:pPr>
            <w:r w:rsidRPr="00A93C84">
              <w:rPr>
                <w:color w:val="000000"/>
                <w:sz w:val="20"/>
                <w:lang w:val="en-ID" w:eastAsia="en-ID"/>
              </w:rPr>
              <w:t>Idler</w:t>
            </w:r>
          </w:p>
        </w:tc>
        <w:tc>
          <w:tcPr>
            <w:tcW w:w="1017" w:type="dxa"/>
            <w:noWrap/>
            <w:vAlign w:val="center"/>
            <w:hideMark/>
          </w:tcPr>
          <w:p w14:paraId="018208A4" w14:textId="77777777" w:rsidR="00A93C84" w:rsidRPr="00A93C84" w:rsidRDefault="00A93C84" w:rsidP="006B3D1E">
            <w:pPr>
              <w:jc w:val="center"/>
              <w:rPr>
                <w:color w:val="000000"/>
                <w:sz w:val="20"/>
                <w:lang w:val="en-ID" w:eastAsia="en-ID"/>
              </w:rPr>
            </w:pPr>
            <w:r w:rsidRPr="00A93C84">
              <w:rPr>
                <w:color w:val="000000"/>
                <w:sz w:val="20"/>
                <w:lang w:val="en-ID" w:eastAsia="en-ID"/>
              </w:rPr>
              <w:t>210</w:t>
            </w:r>
          </w:p>
        </w:tc>
        <w:tc>
          <w:tcPr>
            <w:tcW w:w="1072" w:type="dxa"/>
            <w:noWrap/>
            <w:vAlign w:val="center"/>
            <w:hideMark/>
          </w:tcPr>
          <w:p w14:paraId="74922443" w14:textId="77777777" w:rsidR="00A93C84" w:rsidRPr="00A93C84" w:rsidRDefault="00A93C84" w:rsidP="006B3D1E">
            <w:pPr>
              <w:jc w:val="center"/>
              <w:rPr>
                <w:color w:val="000000"/>
                <w:sz w:val="20"/>
                <w:lang w:val="en-ID" w:eastAsia="en-ID"/>
              </w:rPr>
            </w:pPr>
            <w:r w:rsidRPr="00A93C84">
              <w:rPr>
                <w:color w:val="000000"/>
                <w:sz w:val="20"/>
                <w:lang w:val="en-ID" w:eastAsia="en-ID"/>
              </w:rPr>
              <w:t>190,68</w:t>
            </w:r>
          </w:p>
        </w:tc>
        <w:tc>
          <w:tcPr>
            <w:tcW w:w="960" w:type="dxa"/>
            <w:noWrap/>
            <w:vAlign w:val="center"/>
            <w:hideMark/>
          </w:tcPr>
          <w:p w14:paraId="25861062" w14:textId="77777777" w:rsidR="00A93C84" w:rsidRPr="00A93C84" w:rsidRDefault="00A93C84" w:rsidP="006B3D1E">
            <w:pPr>
              <w:jc w:val="center"/>
              <w:rPr>
                <w:color w:val="000000"/>
                <w:sz w:val="20"/>
                <w:lang w:val="en-ID" w:eastAsia="en-ID"/>
              </w:rPr>
            </w:pPr>
            <w:r w:rsidRPr="00A93C84">
              <w:rPr>
                <w:color w:val="000000"/>
                <w:sz w:val="20"/>
                <w:lang w:val="en-ID" w:eastAsia="en-ID"/>
              </w:rPr>
              <w:t>185</w:t>
            </w:r>
          </w:p>
        </w:tc>
        <w:tc>
          <w:tcPr>
            <w:tcW w:w="960" w:type="dxa"/>
            <w:noWrap/>
            <w:vAlign w:val="center"/>
            <w:hideMark/>
          </w:tcPr>
          <w:p w14:paraId="232F5027" w14:textId="77777777" w:rsidR="00A93C84" w:rsidRPr="00A93C84" w:rsidRDefault="00A93C84" w:rsidP="006B3D1E">
            <w:pPr>
              <w:jc w:val="center"/>
              <w:rPr>
                <w:color w:val="000000"/>
                <w:sz w:val="20"/>
                <w:lang w:val="en-ID" w:eastAsia="en-ID"/>
              </w:rPr>
            </w:pPr>
            <w:r w:rsidRPr="00A93C84">
              <w:rPr>
                <w:color w:val="000000"/>
                <w:sz w:val="20"/>
                <w:lang w:val="en-ID" w:eastAsia="en-ID"/>
              </w:rPr>
              <w:t>65,87</w:t>
            </w:r>
          </w:p>
        </w:tc>
        <w:tc>
          <w:tcPr>
            <w:tcW w:w="960" w:type="dxa"/>
            <w:noWrap/>
            <w:vAlign w:val="center"/>
            <w:hideMark/>
          </w:tcPr>
          <w:p w14:paraId="6922A5C2" w14:textId="77777777" w:rsidR="00A93C84" w:rsidRPr="00A93C84" w:rsidRDefault="00A93C84" w:rsidP="006B3D1E">
            <w:pPr>
              <w:jc w:val="center"/>
              <w:rPr>
                <w:color w:val="000000"/>
                <w:sz w:val="20"/>
                <w:lang w:val="en-ID" w:eastAsia="en-ID"/>
              </w:rPr>
            </w:pPr>
            <w:r w:rsidRPr="00A93C84">
              <w:rPr>
                <w:color w:val="000000"/>
                <w:sz w:val="20"/>
                <w:lang w:val="en-ID" w:eastAsia="en-ID"/>
              </w:rPr>
              <w:t>4000</w:t>
            </w:r>
          </w:p>
        </w:tc>
      </w:tr>
      <w:tr w:rsidR="00A93C84" w:rsidRPr="00A93C84" w14:paraId="371FC524" w14:textId="77777777" w:rsidTr="006B3D1E">
        <w:trPr>
          <w:trHeight w:val="300"/>
          <w:jc w:val="center"/>
        </w:trPr>
        <w:tc>
          <w:tcPr>
            <w:tcW w:w="1551" w:type="dxa"/>
            <w:noWrap/>
            <w:hideMark/>
          </w:tcPr>
          <w:p w14:paraId="6F2669A9" w14:textId="77777777" w:rsidR="00A93C84" w:rsidRPr="00A93C84" w:rsidRDefault="00A93C84" w:rsidP="00A93C84">
            <w:pPr>
              <w:rPr>
                <w:color w:val="000000"/>
                <w:sz w:val="20"/>
                <w:lang w:val="en-ID" w:eastAsia="en-ID"/>
              </w:rPr>
            </w:pPr>
            <w:r w:rsidRPr="00A93C84">
              <w:rPr>
                <w:color w:val="000000"/>
                <w:sz w:val="20"/>
                <w:lang w:val="en-ID" w:eastAsia="en-ID"/>
              </w:rPr>
              <w:t>Link Height</w:t>
            </w:r>
          </w:p>
        </w:tc>
        <w:tc>
          <w:tcPr>
            <w:tcW w:w="1017" w:type="dxa"/>
            <w:noWrap/>
            <w:vAlign w:val="center"/>
            <w:hideMark/>
          </w:tcPr>
          <w:p w14:paraId="2FB07933" w14:textId="77777777" w:rsidR="00A93C84" w:rsidRPr="00A93C84" w:rsidRDefault="00A93C84" w:rsidP="006B3D1E">
            <w:pPr>
              <w:jc w:val="center"/>
              <w:rPr>
                <w:color w:val="000000"/>
                <w:sz w:val="20"/>
                <w:lang w:val="en-ID" w:eastAsia="en-ID"/>
              </w:rPr>
            </w:pPr>
            <w:r w:rsidRPr="00A93C84">
              <w:rPr>
                <w:color w:val="000000"/>
                <w:sz w:val="20"/>
                <w:lang w:val="en-ID" w:eastAsia="en-ID"/>
              </w:rPr>
              <w:t>93</w:t>
            </w:r>
          </w:p>
        </w:tc>
        <w:tc>
          <w:tcPr>
            <w:tcW w:w="1072" w:type="dxa"/>
            <w:noWrap/>
            <w:vAlign w:val="center"/>
            <w:hideMark/>
          </w:tcPr>
          <w:p w14:paraId="2026564C" w14:textId="77777777" w:rsidR="00A93C84" w:rsidRPr="00A93C84" w:rsidRDefault="00A93C84" w:rsidP="006B3D1E">
            <w:pPr>
              <w:jc w:val="center"/>
              <w:rPr>
                <w:color w:val="000000"/>
                <w:sz w:val="20"/>
                <w:lang w:val="en-ID" w:eastAsia="en-ID"/>
              </w:rPr>
            </w:pPr>
            <w:r w:rsidRPr="00A93C84">
              <w:rPr>
                <w:color w:val="000000"/>
                <w:sz w:val="20"/>
                <w:lang w:val="en-ID" w:eastAsia="en-ID"/>
              </w:rPr>
              <w:t>87,96</w:t>
            </w:r>
          </w:p>
        </w:tc>
        <w:tc>
          <w:tcPr>
            <w:tcW w:w="960" w:type="dxa"/>
            <w:noWrap/>
            <w:vAlign w:val="center"/>
            <w:hideMark/>
          </w:tcPr>
          <w:p w14:paraId="79C960FF" w14:textId="77777777" w:rsidR="00A93C84" w:rsidRPr="00A93C84" w:rsidRDefault="00A93C84" w:rsidP="006B3D1E">
            <w:pPr>
              <w:jc w:val="center"/>
              <w:rPr>
                <w:color w:val="000000"/>
                <w:sz w:val="20"/>
                <w:lang w:val="en-ID" w:eastAsia="en-ID"/>
              </w:rPr>
            </w:pPr>
            <w:r w:rsidRPr="00A93C84">
              <w:rPr>
                <w:color w:val="000000"/>
                <w:sz w:val="20"/>
                <w:lang w:val="en-ID" w:eastAsia="en-ID"/>
              </w:rPr>
              <w:t>30</w:t>
            </w:r>
          </w:p>
        </w:tc>
        <w:tc>
          <w:tcPr>
            <w:tcW w:w="960" w:type="dxa"/>
            <w:noWrap/>
            <w:vAlign w:val="center"/>
            <w:hideMark/>
          </w:tcPr>
          <w:p w14:paraId="3D9B0A1A" w14:textId="77777777" w:rsidR="00A93C84" w:rsidRPr="00A93C84" w:rsidRDefault="00A93C84" w:rsidP="006B3D1E">
            <w:pPr>
              <w:jc w:val="center"/>
              <w:rPr>
                <w:color w:val="000000"/>
                <w:sz w:val="20"/>
                <w:lang w:val="en-ID" w:eastAsia="en-ID"/>
              </w:rPr>
            </w:pPr>
            <w:r w:rsidRPr="00A93C84">
              <w:rPr>
                <w:color w:val="000000"/>
                <w:sz w:val="20"/>
                <w:lang w:val="en-ID" w:eastAsia="en-ID"/>
              </w:rPr>
              <w:t>53,45</w:t>
            </w:r>
          </w:p>
        </w:tc>
        <w:tc>
          <w:tcPr>
            <w:tcW w:w="960" w:type="dxa"/>
            <w:noWrap/>
            <w:vAlign w:val="center"/>
            <w:hideMark/>
          </w:tcPr>
          <w:p w14:paraId="7FDF5DD6" w14:textId="77777777" w:rsidR="00A93C84" w:rsidRPr="00A93C84" w:rsidRDefault="00A93C84" w:rsidP="006B3D1E">
            <w:pPr>
              <w:jc w:val="center"/>
              <w:rPr>
                <w:color w:val="000000"/>
                <w:sz w:val="20"/>
                <w:lang w:val="en-ID" w:eastAsia="en-ID"/>
              </w:rPr>
            </w:pPr>
            <w:r w:rsidRPr="00A93C84">
              <w:rPr>
                <w:color w:val="000000"/>
                <w:sz w:val="20"/>
                <w:lang w:val="en-ID" w:eastAsia="en-ID"/>
              </w:rPr>
              <w:t>9000</w:t>
            </w:r>
          </w:p>
        </w:tc>
      </w:tr>
      <w:tr w:rsidR="00A93C84" w:rsidRPr="00A93C84" w14:paraId="1C4F2082" w14:textId="77777777" w:rsidTr="006B3D1E">
        <w:trPr>
          <w:trHeight w:val="300"/>
          <w:jc w:val="center"/>
        </w:trPr>
        <w:tc>
          <w:tcPr>
            <w:tcW w:w="1551" w:type="dxa"/>
            <w:noWrap/>
            <w:hideMark/>
          </w:tcPr>
          <w:p w14:paraId="58DACD38" w14:textId="77777777" w:rsidR="00A93C84" w:rsidRPr="00A93C84" w:rsidRDefault="00A93C84" w:rsidP="00A93C84">
            <w:pPr>
              <w:rPr>
                <w:color w:val="000000"/>
                <w:sz w:val="20"/>
                <w:lang w:val="en-ID" w:eastAsia="en-ID"/>
              </w:rPr>
            </w:pPr>
            <w:r w:rsidRPr="00A93C84">
              <w:rPr>
                <w:color w:val="000000"/>
                <w:sz w:val="20"/>
                <w:lang w:val="en-ID" w:eastAsia="en-ID"/>
              </w:rPr>
              <w:t>Carrier Roller</w:t>
            </w:r>
          </w:p>
        </w:tc>
        <w:tc>
          <w:tcPr>
            <w:tcW w:w="1017" w:type="dxa"/>
            <w:noWrap/>
            <w:vAlign w:val="center"/>
            <w:hideMark/>
          </w:tcPr>
          <w:p w14:paraId="5CFFC0B2" w14:textId="77777777" w:rsidR="00A93C84" w:rsidRPr="00A93C84" w:rsidRDefault="00A93C84" w:rsidP="006B3D1E">
            <w:pPr>
              <w:jc w:val="center"/>
              <w:rPr>
                <w:color w:val="000000"/>
                <w:sz w:val="20"/>
                <w:lang w:val="en-ID" w:eastAsia="en-ID"/>
              </w:rPr>
            </w:pPr>
            <w:r w:rsidRPr="00A93C84">
              <w:rPr>
                <w:color w:val="000000"/>
                <w:sz w:val="20"/>
                <w:lang w:val="en-ID" w:eastAsia="en-ID"/>
              </w:rPr>
              <w:t>880</w:t>
            </w:r>
          </w:p>
        </w:tc>
        <w:tc>
          <w:tcPr>
            <w:tcW w:w="1072" w:type="dxa"/>
            <w:noWrap/>
            <w:vAlign w:val="center"/>
            <w:hideMark/>
          </w:tcPr>
          <w:p w14:paraId="5A906752" w14:textId="77777777" w:rsidR="00A93C84" w:rsidRPr="00A93C84" w:rsidRDefault="00A93C84" w:rsidP="006B3D1E">
            <w:pPr>
              <w:jc w:val="center"/>
              <w:rPr>
                <w:color w:val="000000"/>
                <w:sz w:val="20"/>
                <w:lang w:val="en-ID" w:eastAsia="en-ID"/>
              </w:rPr>
            </w:pPr>
            <w:r w:rsidRPr="00A93C84">
              <w:rPr>
                <w:color w:val="000000"/>
                <w:sz w:val="20"/>
                <w:lang w:val="en-ID" w:eastAsia="en-ID"/>
              </w:rPr>
              <w:t>879,32</w:t>
            </w:r>
          </w:p>
        </w:tc>
        <w:tc>
          <w:tcPr>
            <w:tcW w:w="960" w:type="dxa"/>
            <w:noWrap/>
            <w:vAlign w:val="center"/>
            <w:hideMark/>
          </w:tcPr>
          <w:p w14:paraId="70D89BE3" w14:textId="77777777" w:rsidR="00A93C84" w:rsidRPr="00A93C84" w:rsidRDefault="00A93C84" w:rsidP="006B3D1E">
            <w:pPr>
              <w:jc w:val="center"/>
              <w:rPr>
                <w:color w:val="000000"/>
                <w:sz w:val="20"/>
                <w:lang w:val="en-ID" w:eastAsia="en-ID"/>
              </w:rPr>
            </w:pPr>
            <w:r w:rsidRPr="00A93C84">
              <w:rPr>
                <w:color w:val="000000"/>
                <w:sz w:val="20"/>
                <w:lang w:val="en-ID" w:eastAsia="en-ID"/>
              </w:rPr>
              <w:t>855</w:t>
            </w:r>
          </w:p>
        </w:tc>
        <w:tc>
          <w:tcPr>
            <w:tcW w:w="960" w:type="dxa"/>
            <w:noWrap/>
            <w:vAlign w:val="center"/>
            <w:hideMark/>
          </w:tcPr>
          <w:p w14:paraId="40E15145" w14:textId="77777777" w:rsidR="00A93C84" w:rsidRPr="00A93C84" w:rsidRDefault="00A93C84" w:rsidP="006B3D1E">
            <w:pPr>
              <w:jc w:val="center"/>
              <w:rPr>
                <w:color w:val="000000"/>
                <w:sz w:val="20"/>
                <w:lang w:val="en-ID" w:eastAsia="en-ID"/>
              </w:rPr>
            </w:pPr>
            <w:r w:rsidRPr="00A93C84">
              <w:rPr>
                <w:color w:val="000000"/>
                <w:sz w:val="20"/>
                <w:lang w:val="en-ID" w:eastAsia="en-ID"/>
              </w:rPr>
              <w:t>75,54</w:t>
            </w:r>
          </w:p>
        </w:tc>
        <w:tc>
          <w:tcPr>
            <w:tcW w:w="960" w:type="dxa"/>
            <w:noWrap/>
            <w:vAlign w:val="center"/>
            <w:hideMark/>
          </w:tcPr>
          <w:p w14:paraId="1EF79D02" w14:textId="77777777" w:rsidR="00A93C84" w:rsidRPr="00A93C84" w:rsidRDefault="00A93C84" w:rsidP="006B3D1E">
            <w:pPr>
              <w:jc w:val="center"/>
              <w:rPr>
                <w:color w:val="000000"/>
                <w:sz w:val="20"/>
                <w:lang w:val="en-ID" w:eastAsia="en-ID"/>
              </w:rPr>
            </w:pPr>
            <w:r w:rsidRPr="00A93C84">
              <w:rPr>
                <w:color w:val="000000"/>
                <w:sz w:val="20"/>
                <w:lang w:val="en-ID" w:eastAsia="en-ID"/>
              </w:rPr>
              <w:t>4000</w:t>
            </w:r>
          </w:p>
        </w:tc>
      </w:tr>
      <w:tr w:rsidR="00A93C84" w:rsidRPr="00A93C84" w14:paraId="2E4E0DC2" w14:textId="77777777" w:rsidTr="006B3D1E">
        <w:trPr>
          <w:trHeight w:val="300"/>
          <w:jc w:val="center"/>
        </w:trPr>
        <w:tc>
          <w:tcPr>
            <w:tcW w:w="1551" w:type="dxa"/>
            <w:noWrap/>
            <w:hideMark/>
          </w:tcPr>
          <w:p w14:paraId="229ED958" w14:textId="77777777" w:rsidR="00A93C84" w:rsidRPr="00A93C84" w:rsidRDefault="00A93C84" w:rsidP="00A93C84">
            <w:pPr>
              <w:rPr>
                <w:color w:val="000000"/>
                <w:sz w:val="20"/>
                <w:lang w:val="en-ID" w:eastAsia="en-ID"/>
              </w:rPr>
            </w:pPr>
            <w:r w:rsidRPr="00A93C84">
              <w:rPr>
                <w:color w:val="000000"/>
                <w:sz w:val="20"/>
                <w:lang w:val="en-ID" w:eastAsia="en-ID"/>
              </w:rPr>
              <w:t>Track Roller</w:t>
            </w:r>
          </w:p>
        </w:tc>
        <w:tc>
          <w:tcPr>
            <w:tcW w:w="1017" w:type="dxa"/>
            <w:noWrap/>
            <w:vAlign w:val="center"/>
            <w:hideMark/>
          </w:tcPr>
          <w:p w14:paraId="4304CEB3" w14:textId="77777777" w:rsidR="00A93C84" w:rsidRPr="00A93C84" w:rsidRDefault="00A93C84" w:rsidP="006B3D1E">
            <w:pPr>
              <w:jc w:val="center"/>
              <w:rPr>
                <w:color w:val="000000"/>
                <w:sz w:val="20"/>
                <w:lang w:val="en-ID" w:eastAsia="en-ID"/>
              </w:rPr>
            </w:pPr>
            <w:r w:rsidRPr="00A93C84">
              <w:rPr>
                <w:color w:val="000000"/>
                <w:sz w:val="20"/>
                <w:lang w:val="en-ID" w:eastAsia="en-ID"/>
              </w:rPr>
              <w:t>181</w:t>
            </w:r>
          </w:p>
        </w:tc>
        <w:tc>
          <w:tcPr>
            <w:tcW w:w="1072" w:type="dxa"/>
            <w:noWrap/>
            <w:vAlign w:val="center"/>
            <w:hideMark/>
          </w:tcPr>
          <w:p w14:paraId="2A7A78AE" w14:textId="77777777" w:rsidR="00A93C84" w:rsidRPr="00A93C84" w:rsidRDefault="00A93C84" w:rsidP="006B3D1E">
            <w:pPr>
              <w:jc w:val="center"/>
              <w:rPr>
                <w:color w:val="000000"/>
                <w:sz w:val="20"/>
                <w:lang w:val="en-ID" w:eastAsia="en-ID"/>
              </w:rPr>
            </w:pPr>
            <w:r w:rsidRPr="00A93C84">
              <w:rPr>
                <w:color w:val="000000"/>
                <w:sz w:val="20"/>
                <w:lang w:val="en-ID" w:eastAsia="en-ID"/>
              </w:rPr>
              <w:t>180,88</w:t>
            </w:r>
          </w:p>
        </w:tc>
        <w:tc>
          <w:tcPr>
            <w:tcW w:w="960" w:type="dxa"/>
            <w:noWrap/>
            <w:vAlign w:val="center"/>
            <w:hideMark/>
          </w:tcPr>
          <w:p w14:paraId="377461E9" w14:textId="77777777" w:rsidR="00A93C84" w:rsidRPr="00A93C84" w:rsidRDefault="00A93C84" w:rsidP="006B3D1E">
            <w:pPr>
              <w:jc w:val="center"/>
              <w:rPr>
                <w:color w:val="000000"/>
                <w:sz w:val="20"/>
                <w:lang w:val="en-ID" w:eastAsia="en-ID"/>
              </w:rPr>
            </w:pPr>
            <w:r w:rsidRPr="00A93C84">
              <w:rPr>
                <w:color w:val="000000"/>
                <w:sz w:val="20"/>
                <w:lang w:val="en-ID" w:eastAsia="en-ID"/>
              </w:rPr>
              <w:t>163</w:t>
            </w:r>
          </w:p>
        </w:tc>
        <w:tc>
          <w:tcPr>
            <w:tcW w:w="960" w:type="dxa"/>
            <w:noWrap/>
            <w:vAlign w:val="center"/>
            <w:hideMark/>
          </w:tcPr>
          <w:p w14:paraId="06DCF20D" w14:textId="77777777" w:rsidR="00A93C84" w:rsidRPr="00A93C84" w:rsidRDefault="00A93C84" w:rsidP="006B3D1E">
            <w:pPr>
              <w:jc w:val="center"/>
              <w:rPr>
                <w:color w:val="000000"/>
                <w:sz w:val="20"/>
                <w:lang w:val="en-ID" w:eastAsia="en-ID"/>
              </w:rPr>
            </w:pPr>
            <w:r w:rsidRPr="00A93C84">
              <w:rPr>
                <w:color w:val="000000"/>
                <w:sz w:val="20"/>
                <w:lang w:val="en-ID" w:eastAsia="en-ID"/>
              </w:rPr>
              <w:t>52,66</w:t>
            </w:r>
          </w:p>
        </w:tc>
        <w:tc>
          <w:tcPr>
            <w:tcW w:w="960" w:type="dxa"/>
            <w:noWrap/>
            <w:vAlign w:val="center"/>
            <w:hideMark/>
          </w:tcPr>
          <w:p w14:paraId="653E9E5C" w14:textId="77777777" w:rsidR="00A93C84" w:rsidRPr="00A93C84" w:rsidRDefault="00A93C84" w:rsidP="006B3D1E">
            <w:pPr>
              <w:jc w:val="center"/>
              <w:rPr>
                <w:color w:val="000000"/>
                <w:sz w:val="20"/>
                <w:lang w:val="en-ID" w:eastAsia="en-ID"/>
              </w:rPr>
            </w:pPr>
            <w:r w:rsidRPr="00A93C84">
              <w:rPr>
                <w:color w:val="000000"/>
                <w:sz w:val="20"/>
                <w:lang w:val="en-ID" w:eastAsia="en-ID"/>
              </w:rPr>
              <w:t>9000</w:t>
            </w:r>
          </w:p>
        </w:tc>
      </w:tr>
      <w:tr w:rsidR="00A93C84" w:rsidRPr="00A93C84" w14:paraId="2F64E408" w14:textId="77777777" w:rsidTr="006B3D1E">
        <w:trPr>
          <w:trHeight w:val="300"/>
          <w:jc w:val="center"/>
        </w:trPr>
        <w:tc>
          <w:tcPr>
            <w:tcW w:w="1551" w:type="dxa"/>
            <w:noWrap/>
            <w:hideMark/>
          </w:tcPr>
          <w:p w14:paraId="03729942" w14:textId="77777777" w:rsidR="00A93C84" w:rsidRPr="00A93C84" w:rsidRDefault="00A93C84" w:rsidP="00A93C84">
            <w:pPr>
              <w:rPr>
                <w:color w:val="000000"/>
                <w:sz w:val="20"/>
                <w:lang w:val="en-ID" w:eastAsia="en-ID"/>
              </w:rPr>
            </w:pPr>
            <w:r w:rsidRPr="00A93C84">
              <w:rPr>
                <w:color w:val="000000"/>
                <w:sz w:val="20"/>
                <w:lang w:val="en-ID" w:eastAsia="en-ID"/>
              </w:rPr>
              <w:t>Sprocket</w:t>
            </w:r>
          </w:p>
        </w:tc>
        <w:tc>
          <w:tcPr>
            <w:tcW w:w="1017" w:type="dxa"/>
            <w:noWrap/>
            <w:vAlign w:val="center"/>
            <w:hideMark/>
          </w:tcPr>
          <w:p w14:paraId="5E6E1AEB" w14:textId="77777777" w:rsidR="00A93C84" w:rsidRPr="00A93C84" w:rsidRDefault="00A93C84" w:rsidP="006B3D1E">
            <w:pPr>
              <w:jc w:val="center"/>
              <w:rPr>
                <w:color w:val="000000"/>
                <w:sz w:val="20"/>
                <w:lang w:val="en-ID" w:eastAsia="en-ID"/>
              </w:rPr>
            </w:pPr>
            <w:r w:rsidRPr="00A93C84">
              <w:rPr>
                <w:color w:val="000000"/>
                <w:sz w:val="20"/>
                <w:lang w:val="en-ID" w:eastAsia="en-ID"/>
              </w:rPr>
              <w:t>140</w:t>
            </w:r>
          </w:p>
        </w:tc>
        <w:tc>
          <w:tcPr>
            <w:tcW w:w="1072" w:type="dxa"/>
            <w:noWrap/>
            <w:vAlign w:val="center"/>
            <w:hideMark/>
          </w:tcPr>
          <w:p w14:paraId="410B8E13" w14:textId="77777777" w:rsidR="00A93C84" w:rsidRPr="00A93C84" w:rsidRDefault="00A93C84" w:rsidP="006B3D1E">
            <w:pPr>
              <w:jc w:val="center"/>
              <w:rPr>
                <w:color w:val="000000"/>
                <w:sz w:val="20"/>
                <w:lang w:val="en-ID" w:eastAsia="en-ID"/>
              </w:rPr>
            </w:pPr>
            <w:r w:rsidRPr="00A93C84">
              <w:rPr>
                <w:color w:val="000000"/>
                <w:sz w:val="20"/>
                <w:lang w:val="en-ID" w:eastAsia="en-ID"/>
              </w:rPr>
              <w:t>137,66</w:t>
            </w:r>
          </w:p>
        </w:tc>
        <w:tc>
          <w:tcPr>
            <w:tcW w:w="960" w:type="dxa"/>
            <w:noWrap/>
            <w:vAlign w:val="center"/>
            <w:hideMark/>
          </w:tcPr>
          <w:p w14:paraId="73564D89" w14:textId="77777777" w:rsidR="00A93C84" w:rsidRPr="00A93C84" w:rsidRDefault="00A93C84" w:rsidP="006B3D1E">
            <w:pPr>
              <w:jc w:val="center"/>
              <w:rPr>
                <w:color w:val="000000"/>
                <w:sz w:val="20"/>
                <w:lang w:val="en-ID" w:eastAsia="en-ID"/>
              </w:rPr>
            </w:pPr>
            <w:r w:rsidRPr="00A93C84">
              <w:rPr>
                <w:color w:val="000000"/>
                <w:sz w:val="20"/>
                <w:lang w:val="en-ID" w:eastAsia="en-ID"/>
              </w:rPr>
              <w:t>127</w:t>
            </w:r>
          </w:p>
        </w:tc>
        <w:tc>
          <w:tcPr>
            <w:tcW w:w="960" w:type="dxa"/>
            <w:noWrap/>
            <w:vAlign w:val="center"/>
            <w:hideMark/>
          </w:tcPr>
          <w:p w14:paraId="50E96A6B" w14:textId="77777777" w:rsidR="00A93C84" w:rsidRPr="00A93C84" w:rsidRDefault="00A93C84" w:rsidP="006B3D1E">
            <w:pPr>
              <w:jc w:val="center"/>
              <w:rPr>
                <w:color w:val="000000"/>
                <w:sz w:val="20"/>
                <w:lang w:val="en-ID" w:eastAsia="en-ID"/>
              </w:rPr>
            </w:pPr>
            <w:r w:rsidRPr="00A93C84">
              <w:rPr>
                <w:color w:val="000000"/>
                <w:sz w:val="20"/>
                <w:lang w:val="en-ID" w:eastAsia="en-ID"/>
              </w:rPr>
              <w:t>78,32</w:t>
            </w:r>
          </w:p>
        </w:tc>
        <w:tc>
          <w:tcPr>
            <w:tcW w:w="960" w:type="dxa"/>
            <w:noWrap/>
            <w:vAlign w:val="center"/>
            <w:hideMark/>
          </w:tcPr>
          <w:p w14:paraId="25A46935" w14:textId="77777777" w:rsidR="00A93C84" w:rsidRPr="00A93C84" w:rsidRDefault="00A93C84" w:rsidP="006B3D1E">
            <w:pPr>
              <w:jc w:val="center"/>
              <w:rPr>
                <w:color w:val="000000"/>
                <w:sz w:val="20"/>
                <w:lang w:val="en-ID" w:eastAsia="en-ID"/>
              </w:rPr>
            </w:pPr>
            <w:r w:rsidRPr="00A93C84">
              <w:rPr>
                <w:color w:val="000000"/>
                <w:sz w:val="20"/>
                <w:lang w:val="en-ID" w:eastAsia="en-ID"/>
              </w:rPr>
              <w:t>4000</w:t>
            </w:r>
          </w:p>
        </w:tc>
      </w:tr>
      <w:tr w:rsidR="00A93C84" w:rsidRPr="00A93C84" w14:paraId="127386C2" w14:textId="77777777" w:rsidTr="006B3D1E">
        <w:trPr>
          <w:trHeight w:val="300"/>
          <w:jc w:val="center"/>
        </w:trPr>
        <w:tc>
          <w:tcPr>
            <w:tcW w:w="1551" w:type="dxa"/>
            <w:noWrap/>
            <w:hideMark/>
          </w:tcPr>
          <w:p w14:paraId="4C8CCF36" w14:textId="77777777" w:rsidR="00A93C84" w:rsidRPr="00A93C84" w:rsidRDefault="00A93C84" w:rsidP="00A93C84">
            <w:pPr>
              <w:rPr>
                <w:color w:val="000000"/>
                <w:sz w:val="20"/>
                <w:lang w:val="en-ID" w:eastAsia="en-ID"/>
              </w:rPr>
            </w:pPr>
            <w:r w:rsidRPr="00A93C84">
              <w:rPr>
                <w:color w:val="000000"/>
                <w:sz w:val="20"/>
                <w:lang w:val="en-ID" w:eastAsia="en-ID"/>
              </w:rPr>
              <w:t>Track Link (Pitch)</w:t>
            </w:r>
          </w:p>
        </w:tc>
        <w:tc>
          <w:tcPr>
            <w:tcW w:w="1017" w:type="dxa"/>
            <w:noWrap/>
            <w:vAlign w:val="center"/>
            <w:hideMark/>
          </w:tcPr>
          <w:p w14:paraId="50F62F52" w14:textId="77777777" w:rsidR="00A93C84" w:rsidRPr="00A93C84" w:rsidRDefault="00A93C84" w:rsidP="006B3D1E">
            <w:pPr>
              <w:jc w:val="center"/>
              <w:rPr>
                <w:color w:val="000000"/>
                <w:sz w:val="20"/>
                <w:lang w:val="en-ID" w:eastAsia="en-ID"/>
              </w:rPr>
            </w:pPr>
            <w:r w:rsidRPr="00A93C84">
              <w:rPr>
                <w:color w:val="000000"/>
                <w:sz w:val="20"/>
                <w:lang w:val="en-ID" w:eastAsia="en-ID"/>
              </w:rPr>
              <w:t>270</w:t>
            </w:r>
          </w:p>
        </w:tc>
        <w:tc>
          <w:tcPr>
            <w:tcW w:w="1072" w:type="dxa"/>
            <w:noWrap/>
            <w:vAlign w:val="center"/>
            <w:hideMark/>
          </w:tcPr>
          <w:p w14:paraId="0F823B6D" w14:textId="77777777" w:rsidR="00A93C84" w:rsidRPr="00A93C84" w:rsidRDefault="00A93C84" w:rsidP="006B3D1E">
            <w:pPr>
              <w:jc w:val="center"/>
              <w:rPr>
                <w:color w:val="000000"/>
                <w:sz w:val="20"/>
                <w:lang w:val="en-ID" w:eastAsia="en-ID"/>
              </w:rPr>
            </w:pPr>
            <w:r w:rsidRPr="00A93C84">
              <w:rPr>
                <w:color w:val="000000"/>
                <w:sz w:val="20"/>
                <w:lang w:val="en-ID" w:eastAsia="en-ID"/>
              </w:rPr>
              <w:t>265,42</w:t>
            </w:r>
          </w:p>
        </w:tc>
        <w:tc>
          <w:tcPr>
            <w:tcW w:w="960" w:type="dxa"/>
            <w:noWrap/>
            <w:vAlign w:val="center"/>
            <w:hideMark/>
          </w:tcPr>
          <w:p w14:paraId="122E87E3" w14:textId="77777777" w:rsidR="00A93C84" w:rsidRPr="00A93C84" w:rsidRDefault="00A93C84" w:rsidP="006B3D1E">
            <w:pPr>
              <w:jc w:val="center"/>
              <w:rPr>
                <w:color w:val="000000"/>
                <w:sz w:val="20"/>
                <w:lang w:val="en-ID" w:eastAsia="en-ID"/>
              </w:rPr>
            </w:pPr>
            <w:r w:rsidRPr="00A93C84">
              <w:rPr>
                <w:color w:val="000000"/>
                <w:sz w:val="20"/>
                <w:lang w:val="en-ID" w:eastAsia="en-ID"/>
              </w:rPr>
              <w:t>210</w:t>
            </w:r>
          </w:p>
        </w:tc>
        <w:tc>
          <w:tcPr>
            <w:tcW w:w="960" w:type="dxa"/>
            <w:noWrap/>
            <w:vAlign w:val="center"/>
            <w:hideMark/>
          </w:tcPr>
          <w:p w14:paraId="1E1FC74A" w14:textId="77777777" w:rsidR="00A93C84" w:rsidRPr="00A93C84" w:rsidRDefault="00A93C84" w:rsidP="006B3D1E">
            <w:pPr>
              <w:jc w:val="center"/>
              <w:rPr>
                <w:color w:val="000000"/>
                <w:sz w:val="20"/>
                <w:lang w:val="en-ID" w:eastAsia="en-ID"/>
              </w:rPr>
            </w:pPr>
            <w:r w:rsidRPr="00A93C84">
              <w:rPr>
                <w:color w:val="000000"/>
                <w:sz w:val="20"/>
                <w:lang w:val="en-ID" w:eastAsia="en-ID"/>
              </w:rPr>
              <w:t>94,29</w:t>
            </w:r>
          </w:p>
        </w:tc>
        <w:tc>
          <w:tcPr>
            <w:tcW w:w="960" w:type="dxa"/>
            <w:noWrap/>
            <w:vAlign w:val="center"/>
            <w:hideMark/>
          </w:tcPr>
          <w:p w14:paraId="442D21B9" w14:textId="77777777" w:rsidR="00A93C84" w:rsidRPr="00A93C84" w:rsidRDefault="00A93C84" w:rsidP="006B3D1E">
            <w:pPr>
              <w:jc w:val="center"/>
              <w:rPr>
                <w:color w:val="000000"/>
                <w:sz w:val="20"/>
                <w:lang w:val="en-ID" w:eastAsia="en-ID"/>
              </w:rPr>
            </w:pPr>
            <w:r w:rsidRPr="00A93C84">
              <w:rPr>
                <w:color w:val="000000"/>
                <w:sz w:val="20"/>
                <w:lang w:val="en-ID" w:eastAsia="en-ID"/>
              </w:rPr>
              <w:t>4000</w:t>
            </w:r>
          </w:p>
        </w:tc>
      </w:tr>
    </w:tbl>
    <w:p w14:paraId="6FE0CC1B" w14:textId="77777777" w:rsidR="00314D45" w:rsidRDefault="00314D45" w:rsidP="00314D45">
      <w:pPr>
        <w:pStyle w:val="Paragraph"/>
        <w:rPr>
          <w:rStyle w:val="Emphasis"/>
        </w:rPr>
      </w:pPr>
    </w:p>
    <w:p w14:paraId="7B12A40E" w14:textId="152CB9CE" w:rsidR="00314D45" w:rsidRDefault="00314D45" w:rsidP="00314D45">
      <w:pPr>
        <w:pStyle w:val="Paragraph"/>
        <w:rPr>
          <w:rStyle w:val="Emphasis"/>
        </w:rPr>
      </w:pPr>
      <w:r w:rsidRPr="00314D45">
        <w:rPr>
          <w:rStyle w:val="Emphasis"/>
        </w:rPr>
        <w:t xml:space="preserve">The wear rate (%) represents the degree of wear experienced by each component within the undercarriage system (see </w:t>
      </w:r>
      <w:r w:rsidRPr="00314D45">
        <w:rPr>
          <w:rStyle w:val="Emphasis"/>
          <w:b/>
          <w:bCs/>
        </w:rPr>
        <w:t>FIGURE 2</w:t>
      </w:r>
      <w:r w:rsidRPr="00314D45">
        <w:rPr>
          <w:rStyle w:val="Emphasis"/>
        </w:rPr>
        <w:t>). According to the provided data, components such as the Carrier Roller and Idler exhibit the highest wear rates, indicating that they deteriorate more rapidly compared to other components. In contrast, components like the Grouser Height, Link Height, and Track Roller display lower wear rates, suggesting that they are more resistant to wear. High wear rates are typically associated with factors such as greater load, higher usage frequency, or more extreme operating conditions.</w:t>
      </w:r>
    </w:p>
    <w:p w14:paraId="1A9D5724" w14:textId="455EF541" w:rsidR="00D85CF0" w:rsidRDefault="00D85CF0" w:rsidP="00D85CF0">
      <w:pPr>
        <w:pStyle w:val="Paragraph"/>
        <w:rPr>
          <w:rStyle w:val="Emphasis"/>
          <w:i/>
          <w:iCs/>
        </w:rPr>
      </w:pPr>
    </w:p>
    <w:p w14:paraId="1B5BF9FB" w14:textId="422EA15A" w:rsidR="00D85CF0" w:rsidRDefault="00A93C84" w:rsidP="002E1E41">
      <w:pPr>
        <w:pStyle w:val="Paragraph"/>
        <w:jc w:val="center"/>
        <w:rPr>
          <w:rStyle w:val="Emphasis"/>
          <w:i/>
          <w:iCs/>
        </w:rPr>
      </w:pPr>
      <w:r>
        <w:rPr>
          <w:rStyle w:val="Emphasis"/>
          <w:i/>
          <w:iCs/>
          <w:noProof/>
        </w:rPr>
        <w:lastRenderedPageBreak/>
        <w:drawing>
          <wp:inline distT="0" distB="0" distL="0" distR="0" wp14:anchorId="72078610" wp14:editId="071EAD62">
            <wp:extent cx="4320000" cy="2408361"/>
            <wp:effectExtent l="0" t="0" r="4445" b="0"/>
            <wp:docPr id="341567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0000" cy="2408361"/>
                    </a:xfrm>
                    <a:prstGeom prst="rect">
                      <a:avLst/>
                    </a:prstGeom>
                    <a:noFill/>
                  </pic:spPr>
                </pic:pic>
              </a:graphicData>
            </a:graphic>
          </wp:inline>
        </w:drawing>
      </w:r>
    </w:p>
    <w:p w14:paraId="60413B83" w14:textId="77777777" w:rsidR="00A93C84" w:rsidRPr="006B3D1E" w:rsidRDefault="002E1E41" w:rsidP="002E1E41">
      <w:pPr>
        <w:pStyle w:val="Paragraph"/>
        <w:jc w:val="center"/>
        <w:rPr>
          <w:rStyle w:val="Emphasis"/>
          <w:i/>
          <w:iCs/>
          <w:sz w:val="18"/>
          <w:szCs w:val="18"/>
        </w:rPr>
      </w:pPr>
      <w:r w:rsidRPr="006B3D1E">
        <w:rPr>
          <w:rStyle w:val="Emphasis"/>
          <w:b/>
          <w:bCs/>
          <w:sz w:val="18"/>
          <w:szCs w:val="18"/>
        </w:rPr>
        <w:t>FIGURE 2.</w:t>
      </w:r>
      <w:r w:rsidRPr="006B3D1E">
        <w:rPr>
          <w:rStyle w:val="Emphasis"/>
          <w:sz w:val="18"/>
          <w:szCs w:val="18"/>
        </w:rPr>
        <w:t xml:space="preserve"> Wear rate </w:t>
      </w:r>
      <w:r w:rsidR="00A93C84" w:rsidRPr="006B3D1E">
        <w:rPr>
          <w:rStyle w:val="Emphasis"/>
          <w:sz w:val="18"/>
          <w:szCs w:val="18"/>
        </w:rPr>
        <w:t>at undercarriage components</w:t>
      </w:r>
      <w:r w:rsidRPr="006B3D1E">
        <w:rPr>
          <w:rStyle w:val="Emphasis"/>
          <w:sz w:val="18"/>
          <w:szCs w:val="18"/>
        </w:rPr>
        <w:t>.</w:t>
      </w:r>
    </w:p>
    <w:p w14:paraId="7C25A4C3" w14:textId="77777777" w:rsidR="00A93C84" w:rsidRDefault="00A93C84" w:rsidP="00A93C84">
      <w:pPr>
        <w:pStyle w:val="Paragraph"/>
        <w:rPr>
          <w:color w:val="333333"/>
        </w:rPr>
      </w:pPr>
    </w:p>
    <w:p w14:paraId="42E43834" w14:textId="77777777" w:rsidR="00314D45" w:rsidRPr="00314D45" w:rsidRDefault="00314D45" w:rsidP="00A93C84">
      <w:pPr>
        <w:pStyle w:val="Paragraph"/>
        <w:rPr>
          <w:rStyle w:val="Emphasis"/>
        </w:rPr>
      </w:pPr>
    </w:p>
    <w:p w14:paraId="0DF7FCA3" w14:textId="7324A7AB" w:rsidR="002E1E41" w:rsidRDefault="00A93C84" w:rsidP="002E1E41">
      <w:pPr>
        <w:pStyle w:val="Paragraph"/>
        <w:jc w:val="center"/>
        <w:rPr>
          <w:rStyle w:val="Emphasis"/>
          <w:i/>
          <w:iCs/>
        </w:rPr>
      </w:pPr>
      <w:r>
        <w:rPr>
          <w:rStyle w:val="Emphasis"/>
          <w:i/>
          <w:iCs/>
          <w:noProof/>
        </w:rPr>
        <w:drawing>
          <wp:inline distT="0" distB="0" distL="0" distR="0" wp14:anchorId="4388AFD4" wp14:editId="18AFF63B">
            <wp:extent cx="4320000" cy="2410269"/>
            <wp:effectExtent l="0" t="0" r="4445" b="9525"/>
            <wp:docPr id="2141922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0000" cy="2410269"/>
                    </a:xfrm>
                    <a:prstGeom prst="rect">
                      <a:avLst/>
                    </a:prstGeom>
                    <a:noFill/>
                  </pic:spPr>
                </pic:pic>
              </a:graphicData>
            </a:graphic>
          </wp:inline>
        </w:drawing>
      </w:r>
    </w:p>
    <w:p w14:paraId="336B1DC6" w14:textId="730F8DCB" w:rsidR="00A93C84" w:rsidRPr="006B3D1E" w:rsidRDefault="00A93C84" w:rsidP="00A93C84">
      <w:pPr>
        <w:pStyle w:val="Paragraph"/>
        <w:jc w:val="center"/>
        <w:rPr>
          <w:rStyle w:val="Emphasis"/>
          <w:i/>
          <w:iCs/>
          <w:sz w:val="18"/>
          <w:szCs w:val="18"/>
        </w:rPr>
      </w:pPr>
      <w:r w:rsidRPr="006B3D1E">
        <w:rPr>
          <w:rStyle w:val="Emphasis"/>
          <w:b/>
          <w:bCs/>
          <w:sz w:val="18"/>
          <w:szCs w:val="18"/>
        </w:rPr>
        <w:t>FIGURE 3.</w:t>
      </w:r>
      <w:r w:rsidRPr="006B3D1E">
        <w:rPr>
          <w:rStyle w:val="Emphasis"/>
          <w:sz w:val="18"/>
          <w:szCs w:val="18"/>
        </w:rPr>
        <w:t xml:space="preserve"> Time Reached at undercarriage components.</w:t>
      </w:r>
    </w:p>
    <w:p w14:paraId="0576A380" w14:textId="77777777" w:rsidR="00A93C84" w:rsidRDefault="00A93C84" w:rsidP="002E1E41">
      <w:pPr>
        <w:pStyle w:val="Paragraph"/>
        <w:jc w:val="center"/>
        <w:rPr>
          <w:rStyle w:val="Emphasis"/>
          <w:i/>
          <w:iCs/>
        </w:rPr>
      </w:pPr>
    </w:p>
    <w:p w14:paraId="38E613E7" w14:textId="0C1F31C5" w:rsidR="002E1E41" w:rsidRPr="00314D45" w:rsidRDefault="00D91F10" w:rsidP="00D91F10">
      <w:pPr>
        <w:pStyle w:val="Paragraph"/>
        <w:rPr>
          <w:rStyle w:val="Emphasis"/>
        </w:rPr>
      </w:pPr>
      <w:r w:rsidRPr="00314D45">
        <w:rPr>
          <w:rStyle w:val="Emphasis"/>
        </w:rPr>
        <w:t xml:space="preserve">As shown in </w:t>
      </w:r>
      <w:r w:rsidRPr="00314D45">
        <w:rPr>
          <w:rStyle w:val="Emphasis"/>
          <w:b/>
          <w:bCs/>
        </w:rPr>
        <w:t>FIGURE 3</w:t>
      </w:r>
      <w:r w:rsidRPr="00314D45">
        <w:rPr>
          <w:rStyle w:val="Emphasis"/>
        </w:rPr>
        <w:t>, the relationship between components and Time Reached (Hours) reveals that components with higher wear rates tend to have shorter service lives, as observed in the Carrier Roller and Idler, which have a time reached of 4000 hours. Conversely, components with lower wear rates, such as Grouser Height, Link Height, and Track Roller, can last up to 9000 hours before reaching significant levels of wear. This underscores the importance of regular maintenance and timely replacement of components to ensure optimal performance and prevent system failures during operation.</w:t>
      </w:r>
    </w:p>
    <w:p w14:paraId="4462C51F" w14:textId="77777777" w:rsidR="00D85CF0" w:rsidRDefault="00D85CF0" w:rsidP="006B3D1E">
      <w:pPr>
        <w:pStyle w:val="Heading2"/>
      </w:pPr>
      <w:r>
        <w:t>DISCUSSION</w:t>
      </w:r>
    </w:p>
    <w:p w14:paraId="684562F6" w14:textId="77777777" w:rsidR="00964D71" w:rsidRPr="00314D45" w:rsidRDefault="00964D71" w:rsidP="00964D71">
      <w:pPr>
        <w:pStyle w:val="Paragraph"/>
        <w:rPr>
          <w:rStyle w:val="Emphasis"/>
        </w:rPr>
      </w:pPr>
      <w:r w:rsidRPr="00314D45">
        <w:rPr>
          <w:rStyle w:val="Emphasis"/>
        </w:rPr>
        <w:t xml:space="preserve">In the wear and lifetime analysis, it was observed that the actual wear rate of the grouser height increased over time, yet remained lower than the standard, indicating superior performance. The possibility of </w:t>
      </w:r>
      <w:proofErr w:type="spellStart"/>
      <w:r w:rsidRPr="00314D45">
        <w:rPr>
          <w:rStyle w:val="Emphasis"/>
        </w:rPr>
        <w:t>regrousing</w:t>
      </w:r>
      <w:proofErr w:type="spellEnd"/>
      <w:r w:rsidRPr="00314D45">
        <w:rPr>
          <w:rStyle w:val="Emphasis"/>
        </w:rPr>
        <w:t xml:space="preserve"> was also considered, given that the wear plate met the criteria for </w:t>
      </w:r>
      <w:proofErr w:type="spellStart"/>
      <w:r w:rsidRPr="00314D45">
        <w:rPr>
          <w:rStyle w:val="Emphasis"/>
        </w:rPr>
        <w:t>regrousing</w:t>
      </w:r>
      <w:proofErr w:type="spellEnd"/>
      <w:r w:rsidRPr="00314D45">
        <w:rPr>
          <w:rStyle w:val="Emphasis"/>
        </w:rPr>
        <w:t xml:space="preserve">. Similarly, the idler’s actual wear rate showed an increase over time, with performance exceeding the standard. It was recommended to utilize the idler until it reached 100% wear, or even beyond, depending on operational requirements. The link height demonstrated a rising wear rate over time, although the actual wear rate was smaller than the standard. Recommendations were made to replace the link height following operational conditions. The carrier roller was found to have a lower actual wear rate than the standard, with suggestions to use it until 100% wear was reached. The track roller exhibited a similar trend, with the actual wear rate surpassing the standard, thus advising its use until 100% wear. The sprocket’s wear rate was also found to be lower than the standard, with the study suggesting that it could be used until or even beyond 100% wear. </w:t>
      </w:r>
      <w:r w:rsidRPr="00314D45">
        <w:rPr>
          <w:rStyle w:val="Emphasis"/>
        </w:rPr>
        <w:lastRenderedPageBreak/>
        <w:t>The pitch analysis of the track link indicated better actual wear rates compared to the standard, with recommendations for continued use until maximum wear was reached.</w:t>
      </w:r>
    </w:p>
    <w:p w14:paraId="48F26EF4" w14:textId="77777777" w:rsidR="00964D71" w:rsidRPr="00314D45" w:rsidRDefault="00964D71" w:rsidP="00964D71">
      <w:pPr>
        <w:pStyle w:val="Paragraph"/>
        <w:rPr>
          <w:rStyle w:val="Emphasis"/>
        </w:rPr>
      </w:pPr>
      <w:r w:rsidRPr="00314D45">
        <w:rPr>
          <w:rStyle w:val="Emphasis"/>
        </w:rPr>
        <w:t>In the elongation analysis, it was found that the elongation of the track link did not exceed 3-5%, with some instances reaching approximately 10%. The elongation data, derived from 13 track link samples, was utilized to guide the timing of replacement.</w:t>
      </w:r>
    </w:p>
    <w:p w14:paraId="1E415C05" w14:textId="77777777" w:rsidR="00415F28" w:rsidRDefault="00415F28" w:rsidP="00964D71">
      <w:pPr>
        <w:pStyle w:val="Paragraph"/>
        <w:rPr>
          <w:b/>
          <w:bCs/>
        </w:rPr>
      </w:pPr>
    </w:p>
    <w:p w14:paraId="7EFC59BE" w14:textId="1E222064" w:rsidR="00EB208B" w:rsidRPr="006B3D1E" w:rsidRDefault="00EB208B" w:rsidP="00415F28">
      <w:pPr>
        <w:pStyle w:val="Paragraph"/>
        <w:jc w:val="center"/>
        <w:rPr>
          <w:sz w:val="18"/>
          <w:szCs w:val="18"/>
        </w:rPr>
      </w:pPr>
      <w:r w:rsidRPr="006B3D1E">
        <w:rPr>
          <w:b/>
          <w:bCs/>
          <w:sz w:val="18"/>
          <w:szCs w:val="18"/>
        </w:rPr>
        <w:t>TABLE 2.</w:t>
      </w:r>
      <w:r w:rsidRPr="006B3D1E">
        <w:rPr>
          <w:sz w:val="18"/>
          <w:szCs w:val="18"/>
        </w:rPr>
        <w:t xml:space="preserve"> </w:t>
      </w:r>
      <w:r w:rsidR="00415F28" w:rsidRPr="006B3D1E">
        <w:rPr>
          <w:sz w:val="18"/>
          <w:szCs w:val="18"/>
        </w:rPr>
        <w:t>FMEA of Undercarriage components</w:t>
      </w:r>
    </w:p>
    <w:tbl>
      <w:tblPr>
        <w:tblStyle w:val="TableGrid"/>
        <w:tblW w:w="7285" w:type="dxa"/>
        <w:jc w:val="center"/>
        <w:tblLook w:val="04A0" w:firstRow="1" w:lastRow="0" w:firstColumn="1" w:lastColumn="0" w:noHBand="0" w:noVBand="1"/>
      </w:tblPr>
      <w:tblGrid>
        <w:gridCol w:w="2016"/>
        <w:gridCol w:w="916"/>
        <w:gridCol w:w="1216"/>
        <w:gridCol w:w="1027"/>
        <w:gridCol w:w="860"/>
        <w:gridCol w:w="1250"/>
      </w:tblGrid>
      <w:tr w:rsidR="00415F28" w:rsidRPr="00EB208B" w14:paraId="0FA549D1" w14:textId="77777777" w:rsidTr="006B3D1E">
        <w:trPr>
          <w:trHeight w:val="20"/>
          <w:jc w:val="center"/>
        </w:trPr>
        <w:tc>
          <w:tcPr>
            <w:tcW w:w="2082" w:type="dxa"/>
            <w:vAlign w:val="center"/>
            <w:hideMark/>
          </w:tcPr>
          <w:p w14:paraId="01409E34" w14:textId="77777777" w:rsidR="00EB208B" w:rsidRPr="00EB208B" w:rsidRDefault="00EB208B" w:rsidP="006B3D1E">
            <w:pPr>
              <w:jc w:val="center"/>
              <w:rPr>
                <w:b/>
                <w:bCs/>
                <w:color w:val="000000"/>
                <w:sz w:val="20"/>
                <w:lang w:val="en-ID" w:eastAsia="en-ID"/>
              </w:rPr>
            </w:pPr>
            <w:r w:rsidRPr="00EB208B">
              <w:rPr>
                <w:b/>
                <w:bCs/>
                <w:color w:val="000000"/>
                <w:sz w:val="20"/>
                <w:lang w:val="en-ID" w:eastAsia="en-ID"/>
              </w:rPr>
              <w:t>Component</w:t>
            </w:r>
          </w:p>
        </w:tc>
        <w:tc>
          <w:tcPr>
            <w:tcW w:w="802" w:type="dxa"/>
            <w:vAlign w:val="center"/>
            <w:hideMark/>
          </w:tcPr>
          <w:p w14:paraId="2701D8AE" w14:textId="77777777" w:rsidR="00EB208B" w:rsidRPr="00EB208B" w:rsidRDefault="00EB208B" w:rsidP="006B3D1E">
            <w:pPr>
              <w:jc w:val="center"/>
              <w:rPr>
                <w:b/>
                <w:bCs/>
                <w:color w:val="000000"/>
                <w:sz w:val="20"/>
                <w:lang w:val="en-ID" w:eastAsia="en-ID"/>
              </w:rPr>
            </w:pPr>
            <w:r w:rsidRPr="00EB208B">
              <w:rPr>
                <w:b/>
                <w:bCs/>
                <w:color w:val="000000"/>
                <w:sz w:val="20"/>
                <w:lang w:val="en-ID" w:eastAsia="en-ID"/>
              </w:rPr>
              <w:t>Severity (S)</w:t>
            </w:r>
          </w:p>
        </w:tc>
        <w:tc>
          <w:tcPr>
            <w:tcW w:w="1216" w:type="dxa"/>
            <w:vAlign w:val="center"/>
            <w:hideMark/>
          </w:tcPr>
          <w:p w14:paraId="0CE25000" w14:textId="77777777" w:rsidR="00EB208B" w:rsidRPr="00EB208B" w:rsidRDefault="00EB208B" w:rsidP="006B3D1E">
            <w:pPr>
              <w:jc w:val="center"/>
              <w:rPr>
                <w:b/>
                <w:bCs/>
                <w:color w:val="000000"/>
                <w:sz w:val="20"/>
                <w:lang w:val="en-ID" w:eastAsia="en-ID"/>
              </w:rPr>
            </w:pPr>
            <w:r w:rsidRPr="00EB208B">
              <w:rPr>
                <w:b/>
                <w:bCs/>
                <w:color w:val="000000"/>
                <w:sz w:val="20"/>
                <w:lang w:val="en-ID" w:eastAsia="en-ID"/>
              </w:rPr>
              <w:t>Occurrence (O)</w:t>
            </w:r>
          </w:p>
        </w:tc>
        <w:tc>
          <w:tcPr>
            <w:tcW w:w="1027" w:type="dxa"/>
            <w:vAlign w:val="center"/>
            <w:hideMark/>
          </w:tcPr>
          <w:p w14:paraId="6123C53C" w14:textId="77777777" w:rsidR="00EB208B" w:rsidRPr="00EB208B" w:rsidRDefault="00EB208B" w:rsidP="006B3D1E">
            <w:pPr>
              <w:jc w:val="center"/>
              <w:rPr>
                <w:b/>
                <w:bCs/>
                <w:color w:val="000000"/>
                <w:sz w:val="20"/>
                <w:lang w:val="en-ID" w:eastAsia="en-ID"/>
              </w:rPr>
            </w:pPr>
            <w:r w:rsidRPr="00EB208B">
              <w:rPr>
                <w:b/>
                <w:bCs/>
                <w:color w:val="000000"/>
                <w:sz w:val="20"/>
                <w:lang w:val="en-ID" w:eastAsia="en-ID"/>
              </w:rPr>
              <w:t>Detection (D)</w:t>
            </w:r>
          </w:p>
        </w:tc>
        <w:tc>
          <w:tcPr>
            <w:tcW w:w="879" w:type="dxa"/>
            <w:vAlign w:val="center"/>
            <w:hideMark/>
          </w:tcPr>
          <w:p w14:paraId="34527DF4" w14:textId="77777777" w:rsidR="00EB208B" w:rsidRPr="00EB208B" w:rsidRDefault="00EB208B" w:rsidP="006B3D1E">
            <w:pPr>
              <w:jc w:val="center"/>
              <w:rPr>
                <w:b/>
                <w:bCs/>
                <w:color w:val="000000"/>
                <w:sz w:val="20"/>
                <w:lang w:val="en-ID" w:eastAsia="en-ID"/>
              </w:rPr>
            </w:pPr>
            <w:r w:rsidRPr="00EB208B">
              <w:rPr>
                <w:b/>
                <w:bCs/>
                <w:color w:val="000000"/>
                <w:sz w:val="20"/>
                <w:lang w:val="en-ID" w:eastAsia="en-ID"/>
              </w:rPr>
              <w:t>RPN</w:t>
            </w:r>
          </w:p>
        </w:tc>
        <w:tc>
          <w:tcPr>
            <w:tcW w:w="1279" w:type="dxa"/>
            <w:vAlign w:val="center"/>
            <w:hideMark/>
          </w:tcPr>
          <w:p w14:paraId="5BB6D20E" w14:textId="77777777" w:rsidR="00EB208B" w:rsidRPr="00EB208B" w:rsidRDefault="00EB208B" w:rsidP="006B3D1E">
            <w:pPr>
              <w:jc w:val="center"/>
              <w:rPr>
                <w:b/>
                <w:bCs/>
                <w:color w:val="000000"/>
                <w:sz w:val="20"/>
                <w:lang w:val="en-ID" w:eastAsia="en-ID"/>
              </w:rPr>
            </w:pPr>
            <w:r w:rsidRPr="00EB208B">
              <w:rPr>
                <w:b/>
                <w:bCs/>
                <w:color w:val="000000"/>
                <w:sz w:val="20"/>
                <w:lang w:val="en-ID" w:eastAsia="en-ID"/>
              </w:rPr>
              <w:t>Priority Level</w:t>
            </w:r>
          </w:p>
        </w:tc>
      </w:tr>
      <w:tr w:rsidR="00415F28" w:rsidRPr="00EB208B" w14:paraId="7A537EB1" w14:textId="77777777" w:rsidTr="006B3D1E">
        <w:trPr>
          <w:trHeight w:val="20"/>
          <w:jc w:val="center"/>
        </w:trPr>
        <w:tc>
          <w:tcPr>
            <w:tcW w:w="2082" w:type="dxa"/>
            <w:hideMark/>
          </w:tcPr>
          <w:p w14:paraId="530D8B86" w14:textId="77777777" w:rsidR="00EB208B" w:rsidRPr="00EB208B" w:rsidRDefault="00EB208B" w:rsidP="00EB208B">
            <w:pPr>
              <w:rPr>
                <w:color w:val="000000"/>
                <w:sz w:val="20"/>
                <w:lang w:val="en-ID" w:eastAsia="en-ID"/>
              </w:rPr>
            </w:pPr>
            <w:r w:rsidRPr="00EB208B">
              <w:rPr>
                <w:color w:val="000000"/>
                <w:sz w:val="20"/>
                <w:lang w:val="en-ID" w:eastAsia="en-ID"/>
              </w:rPr>
              <w:t>Grouser Height</w:t>
            </w:r>
          </w:p>
        </w:tc>
        <w:tc>
          <w:tcPr>
            <w:tcW w:w="802" w:type="dxa"/>
            <w:hideMark/>
          </w:tcPr>
          <w:p w14:paraId="49AE8126" w14:textId="77777777" w:rsidR="00EB208B" w:rsidRPr="00EB208B" w:rsidRDefault="00EB208B" w:rsidP="00415F28">
            <w:pPr>
              <w:jc w:val="center"/>
              <w:rPr>
                <w:color w:val="000000"/>
                <w:sz w:val="20"/>
                <w:lang w:val="en-ID" w:eastAsia="en-ID"/>
              </w:rPr>
            </w:pPr>
            <w:r w:rsidRPr="00EB208B">
              <w:rPr>
                <w:color w:val="000000"/>
                <w:sz w:val="20"/>
                <w:lang w:val="en-ID" w:eastAsia="en-ID"/>
              </w:rPr>
              <w:t>7</w:t>
            </w:r>
          </w:p>
        </w:tc>
        <w:tc>
          <w:tcPr>
            <w:tcW w:w="1216" w:type="dxa"/>
            <w:hideMark/>
          </w:tcPr>
          <w:p w14:paraId="469D771B" w14:textId="77777777" w:rsidR="00EB208B" w:rsidRPr="00EB208B" w:rsidRDefault="00EB208B" w:rsidP="00415F28">
            <w:pPr>
              <w:jc w:val="center"/>
              <w:rPr>
                <w:color w:val="000000"/>
                <w:sz w:val="20"/>
                <w:lang w:val="en-ID" w:eastAsia="en-ID"/>
              </w:rPr>
            </w:pPr>
            <w:r w:rsidRPr="00EB208B">
              <w:rPr>
                <w:color w:val="000000"/>
                <w:sz w:val="20"/>
                <w:lang w:val="en-ID" w:eastAsia="en-ID"/>
              </w:rPr>
              <w:t>4</w:t>
            </w:r>
          </w:p>
        </w:tc>
        <w:tc>
          <w:tcPr>
            <w:tcW w:w="1027" w:type="dxa"/>
            <w:hideMark/>
          </w:tcPr>
          <w:p w14:paraId="21EF1AA8" w14:textId="77777777" w:rsidR="00EB208B" w:rsidRPr="00EB208B" w:rsidRDefault="00EB208B" w:rsidP="00415F28">
            <w:pPr>
              <w:jc w:val="center"/>
              <w:rPr>
                <w:color w:val="000000"/>
                <w:sz w:val="20"/>
                <w:lang w:val="en-ID" w:eastAsia="en-ID"/>
              </w:rPr>
            </w:pPr>
            <w:r w:rsidRPr="00EB208B">
              <w:rPr>
                <w:color w:val="000000"/>
                <w:sz w:val="20"/>
                <w:lang w:val="en-ID" w:eastAsia="en-ID"/>
              </w:rPr>
              <w:t>5</w:t>
            </w:r>
          </w:p>
        </w:tc>
        <w:tc>
          <w:tcPr>
            <w:tcW w:w="879" w:type="dxa"/>
            <w:hideMark/>
          </w:tcPr>
          <w:p w14:paraId="6CDE5C52" w14:textId="77777777" w:rsidR="00EB208B" w:rsidRPr="00EB208B" w:rsidRDefault="00EB208B" w:rsidP="00415F28">
            <w:pPr>
              <w:jc w:val="center"/>
              <w:rPr>
                <w:color w:val="000000"/>
                <w:sz w:val="20"/>
                <w:lang w:val="en-ID" w:eastAsia="en-ID"/>
              </w:rPr>
            </w:pPr>
            <w:r w:rsidRPr="00EB208B">
              <w:rPr>
                <w:color w:val="000000"/>
                <w:sz w:val="20"/>
                <w:lang w:val="en-ID" w:eastAsia="en-ID"/>
              </w:rPr>
              <w:t>140</w:t>
            </w:r>
          </w:p>
        </w:tc>
        <w:tc>
          <w:tcPr>
            <w:tcW w:w="1279" w:type="dxa"/>
            <w:hideMark/>
          </w:tcPr>
          <w:p w14:paraId="2988A5F5" w14:textId="77777777" w:rsidR="00EB208B" w:rsidRPr="00EB208B" w:rsidRDefault="00EB208B" w:rsidP="00415F28">
            <w:pPr>
              <w:jc w:val="center"/>
              <w:rPr>
                <w:color w:val="000000"/>
                <w:sz w:val="20"/>
                <w:lang w:val="en-ID" w:eastAsia="en-ID"/>
              </w:rPr>
            </w:pPr>
            <w:r w:rsidRPr="00EB208B">
              <w:rPr>
                <w:color w:val="000000"/>
                <w:sz w:val="20"/>
                <w:lang w:val="en-ID" w:eastAsia="en-ID"/>
              </w:rPr>
              <w:t>Medium</w:t>
            </w:r>
          </w:p>
        </w:tc>
      </w:tr>
      <w:tr w:rsidR="00415F28" w:rsidRPr="00EB208B" w14:paraId="61E9F4B9" w14:textId="77777777" w:rsidTr="006B3D1E">
        <w:trPr>
          <w:trHeight w:val="20"/>
          <w:jc w:val="center"/>
        </w:trPr>
        <w:tc>
          <w:tcPr>
            <w:tcW w:w="2082" w:type="dxa"/>
            <w:hideMark/>
          </w:tcPr>
          <w:p w14:paraId="70305292" w14:textId="77777777" w:rsidR="00EB208B" w:rsidRPr="00EB208B" w:rsidRDefault="00EB208B" w:rsidP="00EB208B">
            <w:pPr>
              <w:rPr>
                <w:color w:val="000000"/>
                <w:sz w:val="20"/>
                <w:lang w:val="en-ID" w:eastAsia="en-ID"/>
              </w:rPr>
            </w:pPr>
            <w:r w:rsidRPr="00EB208B">
              <w:rPr>
                <w:color w:val="000000"/>
                <w:sz w:val="20"/>
                <w:lang w:val="en-ID" w:eastAsia="en-ID"/>
              </w:rPr>
              <w:t>Idler</w:t>
            </w:r>
          </w:p>
        </w:tc>
        <w:tc>
          <w:tcPr>
            <w:tcW w:w="802" w:type="dxa"/>
            <w:hideMark/>
          </w:tcPr>
          <w:p w14:paraId="08DC9810" w14:textId="77777777" w:rsidR="00EB208B" w:rsidRPr="00EB208B" w:rsidRDefault="00EB208B" w:rsidP="00415F28">
            <w:pPr>
              <w:jc w:val="center"/>
              <w:rPr>
                <w:color w:val="000000"/>
                <w:sz w:val="20"/>
                <w:lang w:val="en-ID" w:eastAsia="en-ID"/>
              </w:rPr>
            </w:pPr>
            <w:r w:rsidRPr="00EB208B">
              <w:rPr>
                <w:color w:val="000000"/>
                <w:sz w:val="20"/>
                <w:lang w:val="en-ID" w:eastAsia="en-ID"/>
              </w:rPr>
              <w:t>8</w:t>
            </w:r>
          </w:p>
        </w:tc>
        <w:tc>
          <w:tcPr>
            <w:tcW w:w="1216" w:type="dxa"/>
            <w:hideMark/>
          </w:tcPr>
          <w:p w14:paraId="11C25C61" w14:textId="77777777" w:rsidR="00EB208B" w:rsidRPr="00EB208B" w:rsidRDefault="00EB208B" w:rsidP="00415F28">
            <w:pPr>
              <w:jc w:val="center"/>
              <w:rPr>
                <w:color w:val="000000"/>
                <w:sz w:val="20"/>
                <w:lang w:val="en-ID" w:eastAsia="en-ID"/>
              </w:rPr>
            </w:pPr>
            <w:r w:rsidRPr="00EB208B">
              <w:rPr>
                <w:color w:val="000000"/>
                <w:sz w:val="20"/>
                <w:lang w:val="en-ID" w:eastAsia="en-ID"/>
              </w:rPr>
              <w:t>6</w:t>
            </w:r>
          </w:p>
        </w:tc>
        <w:tc>
          <w:tcPr>
            <w:tcW w:w="1027" w:type="dxa"/>
            <w:hideMark/>
          </w:tcPr>
          <w:p w14:paraId="685EC26A" w14:textId="77777777" w:rsidR="00EB208B" w:rsidRPr="00EB208B" w:rsidRDefault="00EB208B" w:rsidP="00415F28">
            <w:pPr>
              <w:jc w:val="center"/>
              <w:rPr>
                <w:color w:val="000000"/>
                <w:sz w:val="20"/>
                <w:lang w:val="en-ID" w:eastAsia="en-ID"/>
              </w:rPr>
            </w:pPr>
            <w:r w:rsidRPr="00EB208B">
              <w:rPr>
                <w:color w:val="000000"/>
                <w:sz w:val="20"/>
                <w:lang w:val="en-ID" w:eastAsia="en-ID"/>
              </w:rPr>
              <w:t>4</w:t>
            </w:r>
          </w:p>
        </w:tc>
        <w:tc>
          <w:tcPr>
            <w:tcW w:w="879" w:type="dxa"/>
            <w:hideMark/>
          </w:tcPr>
          <w:p w14:paraId="165539CC" w14:textId="77777777" w:rsidR="00EB208B" w:rsidRPr="00EB208B" w:rsidRDefault="00EB208B" w:rsidP="00415F28">
            <w:pPr>
              <w:jc w:val="center"/>
              <w:rPr>
                <w:color w:val="000000"/>
                <w:sz w:val="20"/>
                <w:lang w:val="en-ID" w:eastAsia="en-ID"/>
              </w:rPr>
            </w:pPr>
            <w:r w:rsidRPr="00EB208B">
              <w:rPr>
                <w:color w:val="000000"/>
                <w:sz w:val="20"/>
                <w:lang w:val="en-ID" w:eastAsia="en-ID"/>
              </w:rPr>
              <w:t>192</w:t>
            </w:r>
          </w:p>
        </w:tc>
        <w:tc>
          <w:tcPr>
            <w:tcW w:w="1279" w:type="dxa"/>
            <w:hideMark/>
          </w:tcPr>
          <w:p w14:paraId="5E97000E" w14:textId="77777777" w:rsidR="00EB208B" w:rsidRPr="00EB208B" w:rsidRDefault="00EB208B" w:rsidP="00415F28">
            <w:pPr>
              <w:jc w:val="center"/>
              <w:rPr>
                <w:color w:val="000000"/>
                <w:sz w:val="20"/>
                <w:lang w:val="en-ID" w:eastAsia="en-ID"/>
              </w:rPr>
            </w:pPr>
            <w:r w:rsidRPr="00EB208B">
              <w:rPr>
                <w:color w:val="000000"/>
                <w:sz w:val="20"/>
                <w:lang w:val="en-ID" w:eastAsia="en-ID"/>
              </w:rPr>
              <w:t>High</w:t>
            </w:r>
          </w:p>
        </w:tc>
      </w:tr>
      <w:tr w:rsidR="00415F28" w:rsidRPr="00EB208B" w14:paraId="09107401" w14:textId="77777777" w:rsidTr="006B3D1E">
        <w:trPr>
          <w:trHeight w:val="20"/>
          <w:jc w:val="center"/>
        </w:trPr>
        <w:tc>
          <w:tcPr>
            <w:tcW w:w="2082" w:type="dxa"/>
            <w:hideMark/>
          </w:tcPr>
          <w:p w14:paraId="675E3CAA" w14:textId="77777777" w:rsidR="00EB208B" w:rsidRPr="00EB208B" w:rsidRDefault="00EB208B" w:rsidP="00EB208B">
            <w:pPr>
              <w:rPr>
                <w:color w:val="000000"/>
                <w:sz w:val="20"/>
                <w:lang w:val="en-ID" w:eastAsia="en-ID"/>
              </w:rPr>
            </w:pPr>
            <w:r w:rsidRPr="00EB208B">
              <w:rPr>
                <w:color w:val="000000"/>
                <w:sz w:val="20"/>
                <w:lang w:val="en-ID" w:eastAsia="en-ID"/>
              </w:rPr>
              <w:t>Link Height</w:t>
            </w:r>
          </w:p>
        </w:tc>
        <w:tc>
          <w:tcPr>
            <w:tcW w:w="802" w:type="dxa"/>
            <w:hideMark/>
          </w:tcPr>
          <w:p w14:paraId="254A2F55" w14:textId="77777777" w:rsidR="00EB208B" w:rsidRPr="00EB208B" w:rsidRDefault="00EB208B" w:rsidP="00415F28">
            <w:pPr>
              <w:jc w:val="center"/>
              <w:rPr>
                <w:color w:val="000000"/>
                <w:sz w:val="20"/>
                <w:lang w:val="en-ID" w:eastAsia="en-ID"/>
              </w:rPr>
            </w:pPr>
            <w:r w:rsidRPr="00EB208B">
              <w:rPr>
                <w:color w:val="000000"/>
                <w:sz w:val="20"/>
                <w:lang w:val="en-ID" w:eastAsia="en-ID"/>
              </w:rPr>
              <w:t>6</w:t>
            </w:r>
          </w:p>
        </w:tc>
        <w:tc>
          <w:tcPr>
            <w:tcW w:w="1216" w:type="dxa"/>
            <w:hideMark/>
          </w:tcPr>
          <w:p w14:paraId="2A06A719" w14:textId="77777777" w:rsidR="00EB208B" w:rsidRPr="00EB208B" w:rsidRDefault="00EB208B" w:rsidP="00415F28">
            <w:pPr>
              <w:jc w:val="center"/>
              <w:rPr>
                <w:color w:val="000000"/>
                <w:sz w:val="20"/>
                <w:lang w:val="en-ID" w:eastAsia="en-ID"/>
              </w:rPr>
            </w:pPr>
            <w:r w:rsidRPr="00EB208B">
              <w:rPr>
                <w:color w:val="000000"/>
                <w:sz w:val="20"/>
                <w:lang w:val="en-ID" w:eastAsia="en-ID"/>
              </w:rPr>
              <w:t>3</w:t>
            </w:r>
          </w:p>
        </w:tc>
        <w:tc>
          <w:tcPr>
            <w:tcW w:w="1027" w:type="dxa"/>
            <w:hideMark/>
          </w:tcPr>
          <w:p w14:paraId="5C452E0A" w14:textId="77777777" w:rsidR="00EB208B" w:rsidRPr="00EB208B" w:rsidRDefault="00EB208B" w:rsidP="00415F28">
            <w:pPr>
              <w:jc w:val="center"/>
              <w:rPr>
                <w:color w:val="000000"/>
                <w:sz w:val="20"/>
                <w:lang w:val="en-ID" w:eastAsia="en-ID"/>
              </w:rPr>
            </w:pPr>
            <w:r w:rsidRPr="00EB208B">
              <w:rPr>
                <w:color w:val="000000"/>
                <w:sz w:val="20"/>
                <w:lang w:val="en-ID" w:eastAsia="en-ID"/>
              </w:rPr>
              <w:t>7</w:t>
            </w:r>
          </w:p>
        </w:tc>
        <w:tc>
          <w:tcPr>
            <w:tcW w:w="879" w:type="dxa"/>
            <w:hideMark/>
          </w:tcPr>
          <w:p w14:paraId="65042C2B" w14:textId="77777777" w:rsidR="00EB208B" w:rsidRPr="00EB208B" w:rsidRDefault="00EB208B" w:rsidP="00415F28">
            <w:pPr>
              <w:jc w:val="center"/>
              <w:rPr>
                <w:color w:val="000000"/>
                <w:sz w:val="20"/>
                <w:lang w:val="en-ID" w:eastAsia="en-ID"/>
              </w:rPr>
            </w:pPr>
            <w:r w:rsidRPr="00EB208B">
              <w:rPr>
                <w:color w:val="000000"/>
                <w:sz w:val="20"/>
                <w:lang w:val="en-ID" w:eastAsia="en-ID"/>
              </w:rPr>
              <w:t>126</w:t>
            </w:r>
          </w:p>
        </w:tc>
        <w:tc>
          <w:tcPr>
            <w:tcW w:w="1279" w:type="dxa"/>
            <w:hideMark/>
          </w:tcPr>
          <w:p w14:paraId="6C1F5518" w14:textId="77777777" w:rsidR="00EB208B" w:rsidRPr="00EB208B" w:rsidRDefault="00EB208B" w:rsidP="00415F28">
            <w:pPr>
              <w:jc w:val="center"/>
              <w:rPr>
                <w:color w:val="000000"/>
                <w:sz w:val="20"/>
                <w:lang w:val="en-ID" w:eastAsia="en-ID"/>
              </w:rPr>
            </w:pPr>
            <w:r w:rsidRPr="00EB208B">
              <w:rPr>
                <w:color w:val="000000"/>
                <w:sz w:val="20"/>
                <w:lang w:val="en-ID" w:eastAsia="en-ID"/>
              </w:rPr>
              <w:t>Low</w:t>
            </w:r>
          </w:p>
        </w:tc>
      </w:tr>
      <w:tr w:rsidR="00415F28" w:rsidRPr="00EB208B" w14:paraId="461684B6" w14:textId="77777777" w:rsidTr="006B3D1E">
        <w:trPr>
          <w:trHeight w:val="20"/>
          <w:jc w:val="center"/>
        </w:trPr>
        <w:tc>
          <w:tcPr>
            <w:tcW w:w="2082" w:type="dxa"/>
            <w:hideMark/>
          </w:tcPr>
          <w:p w14:paraId="573F0E9F" w14:textId="77777777" w:rsidR="00EB208B" w:rsidRPr="00EB208B" w:rsidRDefault="00EB208B" w:rsidP="00EB208B">
            <w:pPr>
              <w:rPr>
                <w:color w:val="000000"/>
                <w:sz w:val="20"/>
                <w:lang w:val="en-ID" w:eastAsia="en-ID"/>
              </w:rPr>
            </w:pPr>
            <w:r w:rsidRPr="00EB208B">
              <w:rPr>
                <w:color w:val="000000"/>
                <w:sz w:val="20"/>
                <w:lang w:val="en-ID" w:eastAsia="en-ID"/>
              </w:rPr>
              <w:t>Carrier Roller</w:t>
            </w:r>
          </w:p>
        </w:tc>
        <w:tc>
          <w:tcPr>
            <w:tcW w:w="802" w:type="dxa"/>
            <w:hideMark/>
          </w:tcPr>
          <w:p w14:paraId="2920D5CF" w14:textId="77777777" w:rsidR="00EB208B" w:rsidRPr="00EB208B" w:rsidRDefault="00EB208B" w:rsidP="00415F28">
            <w:pPr>
              <w:jc w:val="center"/>
              <w:rPr>
                <w:color w:val="000000"/>
                <w:sz w:val="20"/>
                <w:lang w:val="en-ID" w:eastAsia="en-ID"/>
              </w:rPr>
            </w:pPr>
            <w:r w:rsidRPr="00EB208B">
              <w:rPr>
                <w:color w:val="000000"/>
                <w:sz w:val="20"/>
                <w:lang w:val="en-ID" w:eastAsia="en-ID"/>
              </w:rPr>
              <w:t>9</w:t>
            </w:r>
          </w:p>
        </w:tc>
        <w:tc>
          <w:tcPr>
            <w:tcW w:w="1216" w:type="dxa"/>
            <w:hideMark/>
          </w:tcPr>
          <w:p w14:paraId="6BB73D30" w14:textId="77777777" w:rsidR="00EB208B" w:rsidRPr="00EB208B" w:rsidRDefault="00EB208B" w:rsidP="00415F28">
            <w:pPr>
              <w:jc w:val="center"/>
              <w:rPr>
                <w:color w:val="000000"/>
                <w:sz w:val="20"/>
                <w:lang w:val="en-ID" w:eastAsia="en-ID"/>
              </w:rPr>
            </w:pPr>
            <w:r w:rsidRPr="00EB208B">
              <w:rPr>
                <w:color w:val="000000"/>
                <w:sz w:val="20"/>
                <w:lang w:val="en-ID" w:eastAsia="en-ID"/>
              </w:rPr>
              <w:t>5</w:t>
            </w:r>
          </w:p>
        </w:tc>
        <w:tc>
          <w:tcPr>
            <w:tcW w:w="1027" w:type="dxa"/>
            <w:hideMark/>
          </w:tcPr>
          <w:p w14:paraId="6FB35637" w14:textId="77777777" w:rsidR="00EB208B" w:rsidRPr="00EB208B" w:rsidRDefault="00EB208B" w:rsidP="00415F28">
            <w:pPr>
              <w:jc w:val="center"/>
              <w:rPr>
                <w:color w:val="000000"/>
                <w:sz w:val="20"/>
                <w:lang w:val="en-ID" w:eastAsia="en-ID"/>
              </w:rPr>
            </w:pPr>
            <w:r w:rsidRPr="00EB208B">
              <w:rPr>
                <w:color w:val="000000"/>
                <w:sz w:val="20"/>
                <w:lang w:val="en-ID" w:eastAsia="en-ID"/>
              </w:rPr>
              <w:t>3</w:t>
            </w:r>
          </w:p>
        </w:tc>
        <w:tc>
          <w:tcPr>
            <w:tcW w:w="879" w:type="dxa"/>
            <w:hideMark/>
          </w:tcPr>
          <w:p w14:paraId="4DFF7EE1" w14:textId="77777777" w:rsidR="00EB208B" w:rsidRPr="00EB208B" w:rsidRDefault="00EB208B" w:rsidP="00415F28">
            <w:pPr>
              <w:jc w:val="center"/>
              <w:rPr>
                <w:color w:val="000000"/>
                <w:sz w:val="20"/>
                <w:lang w:val="en-ID" w:eastAsia="en-ID"/>
              </w:rPr>
            </w:pPr>
            <w:r w:rsidRPr="00EB208B">
              <w:rPr>
                <w:color w:val="000000"/>
                <w:sz w:val="20"/>
                <w:lang w:val="en-ID" w:eastAsia="en-ID"/>
              </w:rPr>
              <w:t>135</w:t>
            </w:r>
          </w:p>
        </w:tc>
        <w:tc>
          <w:tcPr>
            <w:tcW w:w="1279" w:type="dxa"/>
            <w:hideMark/>
          </w:tcPr>
          <w:p w14:paraId="5DB3642A" w14:textId="77777777" w:rsidR="00EB208B" w:rsidRPr="00EB208B" w:rsidRDefault="00EB208B" w:rsidP="00415F28">
            <w:pPr>
              <w:jc w:val="center"/>
              <w:rPr>
                <w:color w:val="000000"/>
                <w:sz w:val="20"/>
                <w:lang w:val="en-ID" w:eastAsia="en-ID"/>
              </w:rPr>
            </w:pPr>
            <w:r w:rsidRPr="00EB208B">
              <w:rPr>
                <w:color w:val="000000"/>
                <w:sz w:val="20"/>
                <w:lang w:val="en-ID" w:eastAsia="en-ID"/>
              </w:rPr>
              <w:t>High</w:t>
            </w:r>
          </w:p>
        </w:tc>
      </w:tr>
      <w:tr w:rsidR="00415F28" w:rsidRPr="00EB208B" w14:paraId="09276669" w14:textId="77777777" w:rsidTr="006B3D1E">
        <w:trPr>
          <w:trHeight w:val="20"/>
          <w:jc w:val="center"/>
        </w:trPr>
        <w:tc>
          <w:tcPr>
            <w:tcW w:w="2082" w:type="dxa"/>
            <w:hideMark/>
          </w:tcPr>
          <w:p w14:paraId="68EE11B5" w14:textId="77777777" w:rsidR="00EB208B" w:rsidRPr="00EB208B" w:rsidRDefault="00EB208B" w:rsidP="00EB208B">
            <w:pPr>
              <w:rPr>
                <w:color w:val="000000"/>
                <w:sz w:val="20"/>
                <w:lang w:val="en-ID" w:eastAsia="en-ID"/>
              </w:rPr>
            </w:pPr>
            <w:r w:rsidRPr="00EB208B">
              <w:rPr>
                <w:color w:val="000000"/>
                <w:sz w:val="20"/>
                <w:lang w:val="en-ID" w:eastAsia="en-ID"/>
              </w:rPr>
              <w:t>Track Roller</w:t>
            </w:r>
          </w:p>
        </w:tc>
        <w:tc>
          <w:tcPr>
            <w:tcW w:w="802" w:type="dxa"/>
            <w:hideMark/>
          </w:tcPr>
          <w:p w14:paraId="102A338F" w14:textId="77777777" w:rsidR="00EB208B" w:rsidRPr="00EB208B" w:rsidRDefault="00EB208B" w:rsidP="00415F28">
            <w:pPr>
              <w:jc w:val="center"/>
              <w:rPr>
                <w:color w:val="000000"/>
                <w:sz w:val="20"/>
                <w:lang w:val="en-ID" w:eastAsia="en-ID"/>
              </w:rPr>
            </w:pPr>
            <w:r w:rsidRPr="00EB208B">
              <w:rPr>
                <w:color w:val="000000"/>
                <w:sz w:val="20"/>
                <w:lang w:val="en-ID" w:eastAsia="en-ID"/>
              </w:rPr>
              <w:t>7</w:t>
            </w:r>
          </w:p>
        </w:tc>
        <w:tc>
          <w:tcPr>
            <w:tcW w:w="1216" w:type="dxa"/>
            <w:hideMark/>
          </w:tcPr>
          <w:p w14:paraId="3E08B085" w14:textId="77777777" w:rsidR="00EB208B" w:rsidRPr="00EB208B" w:rsidRDefault="00EB208B" w:rsidP="00415F28">
            <w:pPr>
              <w:jc w:val="center"/>
              <w:rPr>
                <w:color w:val="000000"/>
                <w:sz w:val="20"/>
                <w:lang w:val="en-ID" w:eastAsia="en-ID"/>
              </w:rPr>
            </w:pPr>
            <w:r w:rsidRPr="00EB208B">
              <w:rPr>
                <w:color w:val="000000"/>
                <w:sz w:val="20"/>
                <w:lang w:val="en-ID" w:eastAsia="en-ID"/>
              </w:rPr>
              <w:t>4</w:t>
            </w:r>
          </w:p>
        </w:tc>
        <w:tc>
          <w:tcPr>
            <w:tcW w:w="1027" w:type="dxa"/>
            <w:hideMark/>
          </w:tcPr>
          <w:p w14:paraId="6E68A14D" w14:textId="77777777" w:rsidR="00EB208B" w:rsidRPr="00EB208B" w:rsidRDefault="00EB208B" w:rsidP="00415F28">
            <w:pPr>
              <w:jc w:val="center"/>
              <w:rPr>
                <w:color w:val="000000"/>
                <w:sz w:val="20"/>
                <w:lang w:val="en-ID" w:eastAsia="en-ID"/>
              </w:rPr>
            </w:pPr>
            <w:r w:rsidRPr="00EB208B">
              <w:rPr>
                <w:color w:val="000000"/>
                <w:sz w:val="20"/>
                <w:lang w:val="en-ID" w:eastAsia="en-ID"/>
              </w:rPr>
              <w:t>6</w:t>
            </w:r>
          </w:p>
        </w:tc>
        <w:tc>
          <w:tcPr>
            <w:tcW w:w="879" w:type="dxa"/>
            <w:hideMark/>
          </w:tcPr>
          <w:p w14:paraId="3F00EFA6" w14:textId="77777777" w:rsidR="00EB208B" w:rsidRPr="00EB208B" w:rsidRDefault="00EB208B" w:rsidP="00415F28">
            <w:pPr>
              <w:jc w:val="center"/>
              <w:rPr>
                <w:color w:val="000000"/>
                <w:sz w:val="20"/>
                <w:lang w:val="en-ID" w:eastAsia="en-ID"/>
              </w:rPr>
            </w:pPr>
            <w:r w:rsidRPr="00EB208B">
              <w:rPr>
                <w:color w:val="000000"/>
                <w:sz w:val="20"/>
                <w:lang w:val="en-ID" w:eastAsia="en-ID"/>
              </w:rPr>
              <w:t>168</w:t>
            </w:r>
          </w:p>
        </w:tc>
        <w:tc>
          <w:tcPr>
            <w:tcW w:w="1279" w:type="dxa"/>
            <w:hideMark/>
          </w:tcPr>
          <w:p w14:paraId="21F683B4" w14:textId="77777777" w:rsidR="00EB208B" w:rsidRPr="00EB208B" w:rsidRDefault="00EB208B" w:rsidP="00415F28">
            <w:pPr>
              <w:jc w:val="center"/>
              <w:rPr>
                <w:color w:val="000000"/>
                <w:sz w:val="20"/>
                <w:lang w:val="en-ID" w:eastAsia="en-ID"/>
              </w:rPr>
            </w:pPr>
            <w:r w:rsidRPr="00EB208B">
              <w:rPr>
                <w:color w:val="000000"/>
                <w:sz w:val="20"/>
                <w:lang w:val="en-ID" w:eastAsia="en-ID"/>
              </w:rPr>
              <w:t>Medium</w:t>
            </w:r>
          </w:p>
        </w:tc>
      </w:tr>
      <w:tr w:rsidR="00415F28" w:rsidRPr="00EB208B" w14:paraId="6054A62A" w14:textId="77777777" w:rsidTr="006B3D1E">
        <w:trPr>
          <w:trHeight w:val="20"/>
          <w:jc w:val="center"/>
        </w:trPr>
        <w:tc>
          <w:tcPr>
            <w:tcW w:w="2082" w:type="dxa"/>
            <w:hideMark/>
          </w:tcPr>
          <w:p w14:paraId="479091B3" w14:textId="77777777" w:rsidR="00EB208B" w:rsidRPr="00EB208B" w:rsidRDefault="00EB208B" w:rsidP="00EB208B">
            <w:pPr>
              <w:rPr>
                <w:color w:val="000000"/>
                <w:sz w:val="20"/>
                <w:lang w:val="en-ID" w:eastAsia="en-ID"/>
              </w:rPr>
            </w:pPr>
            <w:r w:rsidRPr="00EB208B">
              <w:rPr>
                <w:color w:val="000000"/>
                <w:sz w:val="20"/>
                <w:lang w:val="en-ID" w:eastAsia="en-ID"/>
              </w:rPr>
              <w:t>Sprocket</w:t>
            </w:r>
          </w:p>
        </w:tc>
        <w:tc>
          <w:tcPr>
            <w:tcW w:w="802" w:type="dxa"/>
            <w:hideMark/>
          </w:tcPr>
          <w:p w14:paraId="10326BC7" w14:textId="77777777" w:rsidR="00EB208B" w:rsidRPr="00EB208B" w:rsidRDefault="00EB208B" w:rsidP="00415F28">
            <w:pPr>
              <w:jc w:val="center"/>
              <w:rPr>
                <w:color w:val="000000"/>
                <w:sz w:val="20"/>
                <w:lang w:val="en-ID" w:eastAsia="en-ID"/>
              </w:rPr>
            </w:pPr>
            <w:r w:rsidRPr="00EB208B">
              <w:rPr>
                <w:color w:val="000000"/>
                <w:sz w:val="20"/>
                <w:lang w:val="en-ID" w:eastAsia="en-ID"/>
              </w:rPr>
              <w:t>8</w:t>
            </w:r>
          </w:p>
        </w:tc>
        <w:tc>
          <w:tcPr>
            <w:tcW w:w="1216" w:type="dxa"/>
            <w:hideMark/>
          </w:tcPr>
          <w:p w14:paraId="795D6C69" w14:textId="77777777" w:rsidR="00EB208B" w:rsidRPr="00EB208B" w:rsidRDefault="00EB208B" w:rsidP="00415F28">
            <w:pPr>
              <w:jc w:val="center"/>
              <w:rPr>
                <w:color w:val="000000"/>
                <w:sz w:val="20"/>
                <w:lang w:val="en-ID" w:eastAsia="en-ID"/>
              </w:rPr>
            </w:pPr>
            <w:r w:rsidRPr="00EB208B">
              <w:rPr>
                <w:color w:val="000000"/>
                <w:sz w:val="20"/>
                <w:lang w:val="en-ID" w:eastAsia="en-ID"/>
              </w:rPr>
              <w:t>3</w:t>
            </w:r>
          </w:p>
        </w:tc>
        <w:tc>
          <w:tcPr>
            <w:tcW w:w="1027" w:type="dxa"/>
            <w:hideMark/>
          </w:tcPr>
          <w:p w14:paraId="1014DE0D" w14:textId="77777777" w:rsidR="00EB208B" w:rsidRPr="00EB208B" w:rsidRDefault="00EB208B" w:rsidP="00415F28">
            <w:pPr>
              <w:jc w:val="center"/>
              <w:rPr>
                <w:color w:val="000000"/>
                <w:sz w:val="20"/>
                <w:lang w:val="en-ID" w:eastAsia="en-ID"/>
              </w:rPr>
            </w:pPr>
            <w:r w:rsidRPr="00EB208B">
              <w:rPr>
                <w:color w:val="000000"/>
                <w:sz w:val="20"/>
                <w:lang w:val="en-ID" w:eastAsia="en-ID"/>
              </w:rPr>
              <w:t>5</w:t>
            </w:r>
          </w:p>
        </w:tc>
        <w:tc>
          <w:tcPr>
            <w:tcW w:w="879" w:type="dxa"/>
            <w:hideMark/>
          </w:tcPr>
          <w:p w14:paraId="0B974D67" w14:textId="77777777" w:rsidR="00EB208B" w:rsidRPr="00EB208B" w:rsidRDefault="00EB208B" w:rsidP="00415F28">
            <w:pPr>
              <w:jc w:val="center"/>
              <w:rPr>
                <w:color w:val="000000"/>
                <w:sz w:val="20"/>
                <w:lang w:val="en-ID" w:eastAsia="en-ID"/>
              </w:rPr>
            </w:pPr>
            <w:r w:rsidRPr="00EB208B">
              <w:rPr>
                <w:color w:val="000000"/>
                <w:sz w:val="20"/>
                <w:lang w:val="en-ID" w:eastAsia="en-ID"/>
              </w:rPr>
              <w:t>120</w:t>
            </w:r>
          </w:p>
        </w:tc>
        <w:tc>
          <w:tcPr>
            <w:tcW w:w="1279" w:type="dxa"/>
            <w:hideMark/>
          </w:tcPr>
          <w:p w14:paraId="46811021" w14:textId="77777777" w:rsidR="00EB208B" w:rsidRPr="00EB208B" w:rsidRDefault="00EB208B" w:rsidP="00415F28">
            <w:pPr>
              <w:jc w:val="center"/>
              <w:rPr>
                <w:color w:val="000000"/>
                <w:sz w:val="20"/>
                <w:lang w:val="en-ID" w:eastAsia="en-ID"/>
              </w:rPr>
            </w:pPr>
            <w:r w:rsidRPr="00EB208B">
              <w:rPr>
                <w:color w:val="000000"/>
                <w:sz w:val="20"/>
                <w:lang w:val="en-ID" w:eastAsia="en-ID"/>
              </w:rPr>
              <w:t>Low</w:t>
            </w:r>
          </w:p>
        </w:tc>
      </w:tr>
      <w:tr w:rsidR="00415F28" w:rsidRPr="00EB208B" w14:paraId="1FB10314" w14:textId="77777777" w:rsidTr="006B3D1E">
        <w:trPr>
          <w:trHeight w:val="20"/>
          <w:jc w:val="center"/>
        </w:trPr>
        <w:tc>
          <w:tcPr>
            <w:tcW w:w="2082" w:type="dxa"/>
            <w:hideMark/>
          </w:tcPr>
          <w:p w14:paraId="2A7793D8" w14:textId="77777777" w:rsidR="00EB208B" w:rsidRPr="00EB208B" w:rsidRDefault="00EB208B" w:rsidP="00EB208B">
            <w:pPr>
              <w:rPr>
                <w:color w:val="000000"/>
                <w:sz w:val="20"/>
                <w:lang w:val="en-ID" w:eastAsia="en-ID"/>
              </w:rPr>
            </w:pPr>
            <w:r w:rsidRPr="00EB208B">
              <w:rPr>
                <w:color w:val="000000"/>
                <w:sz w:val="20"/>
                <w:lang w:val="en-ID" w:eastAsia="en-ID"/>
              </w:rPr>
              <w:t>Track Link (Pitch)</w:t>
            </w:r>
          </w:p>
        </w:tc>
        <w:tc>
          <w:tcPr>
            <w:tcW w:w="802" w:type="dxa"/>
            <w:hideMark/>
          </w:tcPr>
          <w:p w14:paraId="486F7F3D" w14:textId="77777777" w:rsidR="00EB208B" w:rsidRPr="00EB208B" w:rsidRDefault="00EB208B" w:rsidP="00415F28">
            <w:pPr>
              <w:jc w:val="center"/>
              <w:rPr>
                <w:color w:val="000000"/>
                <w:sz w:val="20"/>
                <w:lang w:val="en-ID" w:eastAsia="en-ID"/>
              </w:rPr>
            </w:pPr>
            <w:r w:rsidRPr="00EB208B">
              <w:rPr>
                <w:color w:val="000000"/>
                <w:sz w:val="20"/>
                <w:lang w:val="en-ID" w:eastAsia="en-ID"/>
              </w:rPr>
              <w:t>6</w:t>
            </w:r>
          </w:p>
        </w:tc>
        <w:tc>
          <w:tcPr>
            <w:tcW w:w="1216" w:type="dxa"/>
            <w:hideMark/>
          </w:tcPr>
          <w:p w14:paraId="787122B8" w14:textId="77777777" w:rsidR="00EB208B" w:rsidRPr="00EB208B" w:rsidRDefault="00EB208B" w:rsidP="00415F28">
            <w:pPr>
              <w:jc w:val="center"/>
              <w:rPr>
                <w:color w:val="000000"/>
                <w:sz w:val="20"/>
                <w:lang w:val="en-ID" w:eastAsia="en-ID"/>
              </w:rPr>
            </w:pPr>
            <w:r w:rsidRPr="00EB208B">
              <w:rPr>
                <w:color w:val="000000"/>
                <w:sz w:val="20"/>
                <w:lang w:val="en-ID" w:eastAsia="en-ID"/>
              </w:rPr>
              <w:t>5</w:t>
            </w:r>
          </w:p>
        </w:tc>
        <w:tc>
          <w:tcPr>
            <w:tcW w:w="1027" w:type="dxa"/>
            <w:hideMark/>
          </w:tcPr>
          <w:p w14:paraId="274DEBB3" w14:textId="77777777" w:rsidR="00EB208B" w:rsidRPr="00EB208B" w:rsidRDefault="00EB208B" w:rsidP="00415F28">
            <w:pPr>
              <w:jc w:val="center"/>
              <w:rPr>
                <w:color w:val="000000"/>
                <w:sz w:val="20"/>
                <w:lang w:val="en-ID" w:eastAsia="en-ID"/>
              </w:rPr>
            </w:pPr>
            <w:r w:rsidRPr="00EB208B">
              <w:rPr>
                <w:color w:val="000000"/>
                <w:sz w:val="20"/>
                <w:lang w:val="en-ID" w:eastAsia="en-ID"/>
              </w:rPr>
              <w:t>4</w:t>
            </w:r>
          </w:p>
        </w:tc>
        <w:tc>
          <w:tcPr>
            <w:tcW w:w="879" w:type="dxa"/>
            <w:hideMark/>
          </w:tcPr>
          <w:p w14:paraId="7357F96E" w14:textId="77777777" w:rsidR="00EB208B" w:rsidRPr="00EB208B" w:rsidRDefault="00EB208B" w:rsidP="00415F28">
            <w:pPr>
              <w:jc w:val="center"/>
              <w:rPr>
                <w:color w:val="000000"/>
                <w:sz w:val="20"/>
                <w:lang w:val="en-ID" w:eastAsia="en-ID"/>
              </w:rPr>
            </w:pPr>
            <w:r w:rsidRPr="00EB208B">
              <w:rPr>
                <w:color w:val="000000"/>
                <w:sz w:val="20"/>
                <w:lang w:val="en-ID" w:eastAsia="en-ID"/>
              </w:rPr>
              <w:t>120</w:t>
            </w:r>
          </w:p>
        </w:tc>
        <w:tc>
          <w:tcPr>
            <w:tcW w:w="1279" w:type="dxa"/>
            <w:hideMark/>
          </w:tcPr>
          <w:p w14:paraId="1108F523" w14:textId="77777777" w:rsidR="00EB208B" w:rsidRPr="00EB208B" w:rsidRDefault="00EB208B" w:rsidP="00415F28">
            <w:pPr>
              <w:jc w:val="center"/>
              <w:rPr>
                <w:color w:val="000000"/>
                <w:sz w:val="20"/>
                <w:lang w:val="en-ID" w:eastAsia="en-ID"/>
              </w:rPr>
            </w:pPr>
            <w:r w:rsidRPr="00EB208B">
              <w:rPr>
                <w:color w:val="000000"/>
                <w:sz w:val="20"/>
                <w:lang w:val="en-ID" w:eastAsia="en-ID"/>
              </w:rPr>
              <w:t>Low</w:t>
            </w:r>
          </w:p>
        </w:tc>
      </w:tr>
    </w:tbl>
    <w:p w14:paraId="5821FF21" w14:textId="77777777" w:rsidR="00C21F43" w:rsidRDefault="00C21F43" w:rsidP="00C21F43">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p>
    <w:p w14:paraId="1278BD7C" w14:textId="38C1EE93" w:rsidR="00964D71" w:rsidRPr="00314D45" w:rsidRDefault="00964D71" w:rsidP="00964D71">
      <w:pPr>
        <w:pStyle w:val="Paragraph"/>
        <w:rPr>
          <w:rStyle w:val="Emphasis"/>
        </w:rPr>
      </w:pPr>
      <w:r w:rsidRPr="00314D45">
        <w:rPr>
          <w:rStyle w:val="Emphasis"/>
        </w:rPr>
        <w:t>The Failure Mode and Effect Analysis (FMEA) identified the components with the highest Risk Priority Number (RPN), highlighting the components that should be prioritized during maintenance to prevent failures.</w:t>
      </w:r>
    </w:p>
    <w:p w14:paraId="3D09FC03" w14:textId="77777777" w:rsidR="00964D71" w:rsidRPr="00314D45" w:rsidRDefault="00964D71" w:rsidP="00964D71">
      <w:pPr>
        <w:pStyle w:val="Paragraph"/>
        <w:rPr>
          <w:rStyle w:val="Emphasis"/>
        </w:rPr>
      </w:pPr>
      <w:r w:rsidRPr="00314D45">
        <w:rPr>
          <w:rStyle w:val="Emphasis"/>
        </w:rPr>
        <w:t xml:space="preserve">Based on the wear data and FMEA analysis presented in </w:t>
      </w:r>
      <w:r w:rsidRPr="00314D45">
        <w:rPr>
          <w:rStyle w:val="Emphasis"/>
          <w:b/>
          <w:bCs/>
        </w:rPr>
        <w:t>TABLE 2</w:t>
      </w:r>
      <w:r w:rsidRPr="00314D45">
        <w:rPr>
          <w:rStyle w:val="Emphasis"/>
        </w:rPr>
        <w:t>, specific recommendations were made for the replacement of undercarriage components. It is suggested that the carrier roller be replaced biannually, while the idler, sprocket, track link, grouser shoe, and track roller should be replaced annually. Additionally, it is recommended to enhance the securing of the carrier roller to prevent the loss of components during operation. Economic Order Quantity (EOQ) calculations were utilized to optimize procurement planning, thereby reducing costs and ensuring component availability without incurring excessive expenses. These calculations indicate a potential cost savings of 228%, or approximately $470,485.53, compared to conventional procurement methods.</w:t>
      </w:r>
    </w:p>
    <w:p w14:paraId="4315E13F" w14:textId="77777777" w:rsidR="00964D71" w:rsidRPr="00314D45" w:rsidRDefault="00964D71" w:rsidP="00964D71">
      <w:pPr>
        <w:pStyle w:val="Paragraph"/>
        <w:rPr>
          <w:rStyle w:val="Emphasis"/>
        </w:rPr>
      </w:pPr>
      <w:r w:rsidRPr="00314D45">
        <w:rPr>
          <w:rStyle w:val="Emphasis"/>
        </w:rPr>
        <w:t>The proposed replacement schedule is as follows:</w:t>
      </w:r>
    </w:p>
    <w:p w14:paraId="396F05C7" w14:textId="77777777" w:rsidR="00964D71" w:rsidRPr="00314D45" w:rsidRDefault="00964D71" w:rsidP="00964D71">
      <w:pPr>
        <w:pStyle w:val="Paragraph"/>
        <w:numPr>
          <w:ilvl w:val="0"/>
          <w:numId w:val="9"/>
        </w:numPr>
        <w:rPr>
          <w:rStyle w:val="Emphasis"/>
        </w:rPr>
      </w:pPr>
      <w:r w:rsidRPr="00314D45">
        <w:rPr>
          <w:rStyle w:val="Emphasis"/>
        </w:rPr>
        <w:t>Carrier Roller: Twice per year</w:t>
      </w:r>
    </w:p>
    <w:p w14:paraId="733D7F9A" w14:textId="77777777" w:rsidR="00964D71" w:rsidRPr="00314D45" w:rsidRDefault="00964D71" w:rsidP="00964D71">
      <w:pPr>
        <w:pStyle w:val="Paragraph"/>
        <w:numPr>
          <w:ilvl w:val="0"/>
          <w:numId w:val="9"/>
        </w:numPr>
        <w:rPr>
          <w:rStyle w:val="Emphasis"/>
        </w:rPr>
      </w:pPr>
      <w:r w:rsidRPr="00314D45">
        <w:rPr>
          <w:rStyle w:val="Emphasis"/>
        </w:rPr>
        <w:t>Idler, Segment Sprocket, Track Link, Grouser Shoe, Track Roller: Once per year</w:t>
      </w:r>
    </w:p>
    <w:p w14:paraId="19552EC2" w14:textId="77777777" w:rsidR="00964D71" w:rsidRPr="00314D45" w:rsidRDefault="00964D71" w:rsidP="00964D71">
      <w:pPr>
        <w:pStyle w:val="Paragraph"/>
        <w:rPr>
          <w:rStyle w:val="Emphasis"/>
        </w:rPr>
      </w:pPr>
      <w:r w:rsidRPr="00314D45">
        <w:rPr>
          <w:rStyle w:val="Emphasis"/>
        </w:rPr>
        <w:t>Component procurement should be guided by EOQ calculations to maximize cost efficiency and avoid overstocking. The findings of this study provide a more accurate and efficient framework for managing undercarriage components. Furthermore, the consideration of failure risks identified through FMEA offers a strategic approach that can be implemented to enhance the operational performance of the Komatsu Dozer D375A-6.</w:t>
      </w:r>
    </w:p>
    <w:p w14:paraId="480273D3" w14:textId="77777777" w:rsidR="00964D71" w:rsidRPr="00314D45" w:rsidRDefault="00964D71" w:rsidP="00964D71">
      <w:pPr>
        <w:pStyle w:val="Paragraph"/>
        <w:rPr>
          <w:rStyle w:val="Emphasis"/>
        </w:rPr>
      </w:pPr>
      <w:r w:rsidRPr="00314D45">
        <w:rPr>
          <w:rStyle w:val="Emphasis"/>
        </w:rPr>
        <w:t>While the study's findings offer valuable insights, certain limitations should be acknowledged. The FMEA process, although effective in identifying critical components, may be subject to biases. These biases could arise from subjective judgments during the assessment of failure modes and their associated risks. Future studies could mitigate this by incorporating a broader range of expert opinions or utilizing more quantitative approaches to enhance the objectivity of RPN values.</w:t>
      </w:r>
    </w:p>
    <w:p w14:paraId="212252AD" w14:textId="77777777" w:rsidR="00964D71" w:rsidRPr="00314D45" w:rsidRDefault="00964D71" w:rsidP="00964D71">
      <w:pPr>
        <w:pStyle w:val="Paragraph"/>
        <w:rPr>
          <w:rStyle w:val="Emphasis"/>
        </w:rPr>
      </w:pPr>
      <w:r w:rsidRPr="00314D45">
        <w:rPr>
          <w:rStyle w:val="Emphasis"/>
        </w:rPr>
        <w:t>Similarly, while the EOQ model has proven useful in optimizing procurement, it operates under the assumption of constant demand and lead times, which may not hold true in dynamic operational environments. Fluctuations in operational conditions, such as unexpected increases in wear rates or supply chain disruptions, could affect the accuracy of EOQ calculations. Future research should explore adaptive or robust inventory management models that account for such variability to ensure more accurate and flexible procurement strategies.</w:t>
      </w:r>
    </w:p>
    <w:p w14:paraId="3E0450D0" w14:textId="77777777" w:rsidR="00964D71" w:rsidRPr="00314D45" w:rsidRDefault="00964D71" w:rsidP="00964D71">
      <w:pPr>
        <w:pStyle w:val="Paragraph"/>
        <w:rPr>
          <w:rStyle w:val="Emphasis"/>
        </w:rPr>
      </w:pPr>
      <w:r w:rsidRPr="00314D45">
        <w:rPr>
          <w:rStyle w:val="Emphasis"/>
        </w:rPr>
        <w:t>Further research should focus on the development of procurement models tailored to dynamic operational environments. The integration of real-time data analytics with EOQ models could provide enhanced decision-making capabilities, allowing for more responsive and cost-effective procurement planning.</w:t>
      </w:r>
    </w:p>
    <w:p w14:paraId="469D1CF8" w14:textId="77777777" w:rsidR="00964D71" w:rsidRPr="00314D45" w:rsidRDefault="00964D71" w:rsidP="00964D71">
      <w:pPr>
        <w:pStyle w:val="Paragraph"/>
        <w:rPr>
          <w:rStyle w:val="Emphasis"/>
        </w:rPr>
      </w:pPr>
      <w:r w:rsidRPr="00314D45">
        <w:rPr>
          <w:rStyle w:val="Emphasis"/>
        </w:rPr>
        <w:t>Additionally, the study of advanced wear prediction models, incorporating a wider range of variables, such as environmental factors, machine usage patterns, and material properties, could significantly improve the predictive accuracy of component wear and lifetime. Machine learning algorithms offer a promising avenue for this exploration.</w:t>
      </w:r>
    </w:p>
    <w:p w14:paraId="390C2E6F" w14:textId="042A8DCB" w:rsidR="008C3B35" w:rsidRPr="00314D45" w:rsidRDefault="00964D71" w:rsidP="003207A9">
      <w:pPr>
        <w:pStyle w:val="Paragraph"/>
        <w:rPr>
          <w:rStyle w:val="Emphasis"/>
        </w:rPr>
      </w:pPr>
      <w:r w:rsidRPr="00314D45">
        <w:rPr>
          <w:rStyle w:val="Emphasis"/>
        </w:rPr>
        <w:t>Finally, future research could benefit from a more comprehensive approach to FMEA, integrating quantitative data with expert opinions to improve the reliability of RPN assessments. Investigating the impact of different maintenance strategies on FMEA outcomes could also provide deeper insights into optimizing maintenance schedules and enhancing overall operational efficiency.</w:t>
      </w:r>
    </w:p>
    <w:p w14:paraId="488462FA" w14:textId="0E1A7B8B" w:rsidR="00EA50A7" w:rsidRPr="00494005" w:rsidRDefault="00EA50A7" w:rsidP="009A7BC2">
      <w:pPr>
        <w:pStyle w:val="Heading1"/>
        <w:rPr>
          <w:color w:val="FF0000"/>
          <w:sz w:val="20"/>
        </w:rPr>
      </w:pPr>
      <w:r w:rsidRPr="009A7BC2">
        <w:lastRenderedPageBreak/>
        <w:t>CONCLUSIONS</w:t>
      </w:r>
    </w:p>
    <w:p w14:paraId="71864EA2" w14:textId="5B661C21" w:rsidR="00A23F73" w:rsidRPr="00314D45" w:rsidRDefault="00A23F73" w:rsidP="00A23F73">
      <w:pPr>
        <w:pStyle w:val="Paragraphnumbered"/>
        <w:numPr>
          <w:ilvl w:val="0"/>
          <w:numId w:val="0"/>
        </w:numPr>
        <w:ind w:firstLine="284"/>
        <w:rPr>
          <w:rStyle w:val="Emphasis"/>
        </w:rPr>
      </w:pPr>
      <w:r w:rsidRPr="00314D45">
        <w:rPr>
          <w:rStyle w:val="Emphasis"/>
        </w:rPr>
        <w:t>Recommendations for component procurement, based on Economic Order Quantity (EOQ) calculations derived from FMEA, suggest a targeted approach to purchasing. For instance, it is advised to purchase 95.09% of the total planner for Carrier Rollers, and similar calculated percentages for other key components such as Idler, Segment Sprocket, Track Link, Grouser Shoe, and Track Roller. This strategic procurement plan not only aligns with the anticipated needs but also optimizes cost efficiency while ensuring that essential components are readily available to maintain the undercarriage's performance.</w:t>
      </w:r>
      <w:r w:rsidR="00112DCC" w:rsidRPr="00314D45">
        <w:rPr>
          <w:rStyle w:val="Emphasis"/>
        </w:rPr>
        <w:t xml:space="preserve"> </w:t>
      </w:r>
      <w:r w:rsidR="004D5B22" w:rsidRPr="00314D45">
        <w:rPr>
          <w:rStyle w:val="Emphasis"/>
        </w:rPr>
        <w:t>Future studies should explore the application of FMEA in other critical components of heavy machinery to develop a more comprehensive maintenance framework. Additionally, further research into the economic impact of the proposed EOQ model on long-term operational costs would provide valuable insights for industry stakeholders</w:t>
      </w:r>
    </w:p>
    <w:p w14:paraId="4C259E1E" w14:textId="77777777" w:rsidR="007656F0" w:rsidRDefault="00CB1FE9" w:rsidP="007656F0">
      <w:pPr>
        <w:pStyle w:val="Heading1"/>
        <w:rPr>
          <w:color w:val="FF0000"/>
        </w:rPr>
      </w:pPr>
      <w:r w:rsidRPr="00CC2C58">
        <w:t>Acknowledgments</w:t>
      </w:r>
    </w:p>
    <w:p w14:paraId="563EC75A" w14:textId="54168ED6" w:rsidR="00A23F73" w:rsidRPr="00314D45" w:rsidRDefault="00A23F73" w:rsidP="00314D45">
      <w:pPr>
        <w:pStyle w:val="Paragraphnumbered"/>
        <w:numPr>
          <w:ilvl w:val="0"/>
          <w:numId w:val="0"/>
        </w:numPr>
        <w:ind w:firstLine="284"/>
        <w:rPr>
          <w:rStyle w:val="Emphasis"/>
        </w:rPr>
      </w:pPr>
      <w:r w:rsidRPr="00314D45">
        <w:rPr>
          <w:rStyle w:val="Emphasis"/>
        </w:rPr>
        <w:t>The authors gratefully acknowledge the University of Muhammadiyah Malang for the financial support of this research</w:t>
      </w:r>
      <w:r w:rsidR="002012EA" w:rsidRPr="00314D45">
        <w:rPr>
          <w:rStyle w:val="Emphasis"/>
        </w:rPr>
        <w:t>.</w:t>
      </w:r>
    </w:p>
    <w:p w14:paraId="3B126390" w14:textId="765F8EB6" w:rsidR="00753714" w:rsidRPr="00F160D3" w:rsidRDefault="00EA50A7" w:rsidP="00F160D3">
      <w:pPr>
        <w:pStyle w:val="Heading1"/>
      </w:pPr>
      <w:r w:rsidRPr="009A7BC2">
        <w:t>References</w:t>
      </w:r>
    </w:p>
    <w:p w14:paraId="37D1E2CB" w14:textId="77777777" w:rsidR="00F160D3" w:rsidRPr="00F160D3" w:rsidRDefault="00753714" w:rsidP="00D11DBA">
      <w:pPr>
        <w:pStyle w:val="EndNoteBibliography"/>
        <w:ind w:left="714" w:hanging="357"/>
      </w:pPr>
      <w:r w:rsidRPr="00F160D3">
        <w:rPr>
          <w:rFonts w:eastAsia="Calibri"/>
        </w:rPr>
        <w:fldChar w:fldCharType="begin"/>
      </w:r>
      <w:r w:rsidRPr="00F160D3">
        <w:rPr>
          <w:rFonts w:eastAsia="Calibri"/>
        </w:rPr>
        <w:instrText xml:space="preserve"> ADDIN EN.REFLIST </w:instrText>
      </w:r>
      <w:r w:rsidRPr="00F160D3">
        <w:rPr>
          <w:rFonts w:eastAsia="Calibri"/>
        </w:rPr>
        <w:fldChar w:fldCharType="separate"/>
      </w:r>
      <w:r w:rsidR="00F160D3" w:rsidRPr="00F160D3">
        <w:t>1.</w:t>
      </w:r>
      <w:r w:rsidR="00F160D3" w:rsidRPr="00F160D3">
        <w:tab/>
        <w:t xml:space="preserve">Jankovic, I., et al., Multi-criteria approach for selecting optimal dozer type in open-cast coal mining. Energies, 2019. </w:t>
      </w:r>
      <w:r w:rsidR="00F160D3" w:rsidRPr="00F160D3">
        <w:rPr>
          <w:b/>
        </w:rPr>
        <w:t>12</w:t>
      </w:r>
      <w:r w:rsidR="00F160D3" w:rsidRPr="00F160D3">
        <w:t>(12): p. 2245.</w:t>
      </w:r>
    </w:p>
    <w:p w14:paraId="6BE3302A" w14:textId="77777777" w:rsidR="00F160D3" w:rsidRPr="00F160D3" w:rsidRDefault="00F160D3" w:rsidP="00D11DBA">
      <w:pPr>
        <w:pStyle w:val="EndNoteBibliography"/>
        <w:ind w:left="714" w:hanging="357"/>
      </w:pPr>
      <w:r w:rsidRPr="00F160D3">
        <w:t>2.</w:t>
      </w:r>
      <w:r w:rsidRPr="00F160D3">
        <w:tab/>
        <w:t xml:space="preserve">Basri, H., E. Diniardi, and A.I. Ramadhan, Troubleshooting Blow by Pressure High on the Komatsu Bulldozer Unit D375A-6R. Journal of Applied Sciences and Advanced Technology, 2019. </w:t>
      </w:r>
      <w:r w:rsidRPr="00F160D3">
        <w:rPr>
          <w:b/>
        </w:rPr>
        <w:t>2</w:t>
      </w:r>
      <w:r w:rsidRPr="00F160D3">
        <w:t>(1): p. 17-20.</w:t>
      </w:r>
    </w:p>
    <w:p w14:paraId="1D330FDD" w14:textId="77777777" w:rsidR="00F160D3" w:rsidRPr="00F160D3" w:rsidRDefault="00F160D3" w:rsidP="00D11DBA">
      <w:pPr>
        <w:pStyle w:val="EndNoteBibliography"/>
        <w:ind w:left="714" w:hanging="357"/>
      </w:pPr>
      <w:r w:rsidRPr="00F160D3">
        <w:t>3.</w:t>
      </w:r>
      <w:r w:rsidRPr="00F160D3">
        <w:tab/>
        <w:t>Nadykto, V., M. Arak, and J. Olt, Theoretical research into the frictional slipping of wheel-type undercarriage taking into account the limitation of their impact on the soil. 2015.</w:t>
      </w:r>
    </w:p>
    <w:p w14:paraId="1BCA52CD" w14:textId="77777777" w:rsidR="00F160D3" w:rsidRPr="00F160D3" w:rsidRDefault="00F160D3" w:rsidP="00D11DBA">
      <w:pPr>
        <w:pStyle w:val="EndNoteBibliography"/>
        <w:ind w:left="714" w:hanging="357"/>
      </w:pPr>
      <w:r w:rsidRPr="00F160D3">
        <w:t>4.</w:t>
      </w:r>
      <w:r w:rsidRPr="00F160D3">
        <w:tab/>
        <w:t>Perillo, M., et al. Structural dynamic response of a track chain complete undercarriage system using a virtual proving ground approach.</w:t>
      </w:r>
    </w:p>
    <w:p w14:paraId="4E25CFF1" w14:textId="77777777" w:rsidR="00F160D3" w:rsidRPr="00F160D3" w:rsidRDefault="00F160D3" w:rsidP="00D11DBA">
      <w:pPr>
        <w:pStyle w:val="EndNoteBibliography"/>
        <w:ind w:left="714" w:hanging="357"/>
      </w:pPr>
      <w:r w:rsidRPr="00F160D3">
        <w:t>5.</w:t>
      </w:r>
      <w:r w:rsidRPr="00F160D3">
        <w:tab/>
        <w:t>Antoni, R., Studi Cara Kerja Komponen Undercarriage Excavator. 2019.</w:t>
      </w:r>
    </w:p>
    <w:p w14:paraId="1440E37F" w14:textId="77777777" w:rsidR="00F160D3" w:rsidRPr="00F160D3" w:rsidRDefault="00F160D3" w:rsidP="00D11DBA">
      <w:pPr>
        <w:pStyle w:val="EndNoteBibliography"/>
        <w:ind w:left="714" w:hanging="357"/>
      </w:pPr>
      <w:r w:rsidRPr="00F160D3">
        <w:t>6.</w:t>
      </w:r>
      <w:r w:rsidRPr="00F160D3">
        <w:tab/>
        <w:t>Parkhomenko, G.G., et al. Reducing the negative impact of undercarriage systems and agricultural machinery parts on soils. IOP Publishing.</w:t>
      </w:r>
    </w:p>
    <w:p w14:paraId="5B23D299" w14:textId="77777777" w:rsidR="00F160D3" w:rsidRPr="00F160D3" w:rsidRDefault="00F160D3" w:rsidP="00D11DBA">
      <w:pPr>
        <w:pStyle w:val="EndNoteBibliography"/>
        <w:ind w:left="714" w:hanging="357"/>
      </w:pPr>
      <w:r w:rsidRPr="00F160D3">
        <w:t>7.</w:t>
      </w:r>
      <w:r w:rsidRPr="00F160D3">
        <w:tab/>
        <w:t>Pradhana, Y.H., Analisa Keausan Dan Kerusakan Komponen Undercarriage Pada Unit Bulldozer SD22E. 2020.</w:t>
      </w:r>
    </w:p>
    <w:p w14:paraId="5657C124" w14:textId="77777777" w:rsidR="00F160D3" w:rsidRPr="00F160D3" w:rsidRDefault="00F160D3" w:rsidP="00D11DBA">
      <w:pPr>
        <w:pStyle w:val="EndNoteBibliography"/>
        <w:ind w:left="714" w:hanging="357"/>
      </w:pPr>
      <w:r w:rsidRPr="00F160D3">
        <w:t>8.</w:t>
      </w:r>
      <w:r w:rsidRPr="00F160D3">
        <w:tab/>
        <w:t>Priyana, D.A., Perbaikan Track Roller Pada Bulldozer Komatsu D31E. 2020.</w:t>
      </w:r>
    </w:p>
    <w:p w14:paraId="3876A2E8" w14:textId="77777777" w:rsidR="00F160D3" w:rsidRPr="00F160D3" w:rsidRDefault="00F160D3" w:rsidP="00D11DBA">
      <w:pPr>
        <w:pStyle w:val="EndNoteBibliography"/>
        <w:ind w:left="714" w:hanging="357"/>
      </w:pPr>
      <w:r w:rsidRPr="00F160D3">
        <w:t>9.</w:t>
      </w:r>
      <w:r w:rsidRPr="00F160D3">
        <w:tab/>
        <w:t xml:space="preserve">Spirito, C.M., et al., Chain elongation in anaerobic reactor microbiomes to recover resources from waste. Current opinion in biotechnology, 2014. </w:t>
      </w:r>
      <w:r w:rsidRPr="00F160D3">
        <w:rPr>
          <w:b/>
        </w:rPr>
        <w:t>27</w:t>
      </w:r>
      <w:r w:rsidRPr="00F160D3">
        <w:t>: p. 115-122.</w:t>
      </w:r>
    </w:p>
    <w:p w14:paraId="2B2A0F57" w14:textId="77777777" w:rsidR="00F160D3" w:rsidRPr="00F160D3" w:rsidRDefault="00F160D3" w:rsidP="00D11DBA">
      <w:pPr>
        <w:pStyle w:val="EndNoteBibliography"/>
        <w:ind w:left="714" w:hanging="357"/>
      </w:pPr>
      <w:r w:rsidRPr="00F160D3">
        <w:t>10.</w:t>
      </w:r>
      <w:r w:rsidRPr="00F160D3">
        <w:tab/>
        <w:t xml:space="preserve">Angenent, L.T., et al., Chain elongation with reactor microbiomes: open-culture biotechnology to produce biochemicals. Environmental science &amp; technology, 2016. </w:t>
      </w:r>
      <w:r w:rsidRPr="00F160D3">
        <w:rPr>
          <w:b/>
        </w:rPr>
        <w:t>50</w:t>
      </w:r>
      <w:r w:rsidRPr="00F160D3">
        <w:t>(6): p. 2796-2810.</w:t>
      </w:r>
    </w:p>
    <w:p w14:paraId="2D0A04F5" w14:textId="77777777" w:rsidR="00F160D3" w:rsidRPr="00F160D3" w:rsidRDefault="00F160D3" w:rsidP="00D11DBA">
      <w:pPr>
        <w:pStyle w:val="EndNoteBibliography"/>
        <w:ind w:left="714" w:hanging="357"/>
      </w:pPr>
      <w:r w:rsidRPr="00F160D3">
        <w:t>11.</w:t>
      </w:r>
      <w:r w:rsidRPr="00F160D3">
        <w:tab/>
        <w:t>Grevtseva, A.S., V.V. Davydov, and V.Y. Rud. Development of neural network for automatic calibration of ultrasonic thickness gauge. IOP Publishing.</w:t>
      </w:r>
    </w:p>
    <w:p w14:paraId="12F2C014" w14:textId="77777777" w:rsidR="00F160D3" w:rsidRPr="00F160D3" w:rsidRDefault="00F160D3" w:rsidP="00D11DBA">
      <w:pPr>
        <w:pStyle w:val="EndNoteBibliography"/>
        <w:ind w:left="714" w:hanging="357"/>
      </w:pPr>
      <w:r w:rsidRPr="00F160D3">
        <w:t>12.</w:t>
      </w:r>
      <w:r w:rsidRPr="00F160D3">
        <w:tab/>
        <w:t xml:space="preserve">Das, A. and G. Agarwal, Compression, tension &amp; lifting stability on a meter gauge flat Wagon: An experimental approach. Australian Journal of Mechanical Engineering, 2022. </w:t>
      </w:r>
      <w:r w:rsidRPr="00F160D3">
        <w:rPr>
          <w:b/>
        </w:rPr>
        <w:t>20</w:t>
      </w:r>
      <w:r w:rsidRPr="00F160D3">
        <w:t>(4): p. 1113-1125.</w:t>
      </w:r>
    </w:p>
    <w:p w14:paraId="7E85C954" w14:textId="190E9BB4" w:rsidR="00BF6F61" w:rsidRPr="00D35370" w:rsidRDefault="00753714" w:rsidP="00D11DBA">
      <w:pPr>
        <w:pStyle w:val="Reference"/>
        <w:numPr>
          <w:ilvl w:val="0"/>
          <w:numId w:val="0"/>
        </w:numPr>
        <w:ind w:left="714" w:hanging="357"/>
        <w:rPr>
          <w:rFonts w:eastAsia="Calibri"/>
        </w:rPr>
      </w:pPr>
      <w:r w:rsidRPr="00F160D3">
        <w:rPr>
          <w:rFonts w:eastAsia="Calibri"/>
        </w:rPr>
        <w:fldChar w:fldCharType="end"/>
      </w:r>
    </w:p>
    <w:sectPr w:rsidR="00BF6F61" w:rsidRPr="00D35370"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832DF"/>
    <w:multiLevelType w:val="hybridMultilevel"/>
    <w:tmpl w:val="881ABD52"/>
    <w:lvl w:ilvl="0" w:tplc="8C12F6D8">
      <w:start w:val="1"/>
      <w:numFmt w:val="upperRoman"/>
      <w:lvlText w:val="%1."/>
      <w:lvlJc w:val="left"/>
      <w:pPr>
        <w:ind w:left="140" w:hanging="720"/>
      </w:pPr>
      <w:rPr>
        <w:rFonts w:hint="default"/>
      </w:rPr>
    </w:lvl>
    <w:lvl w:ilvl="1" w:tplc="38090019" w:tentative="1">
      <w:start w:val="1"/>
      <w:numFmt w:val="lowerLetter"/>
      <w:lvlText w:val="%2."/>
      <w:lvlJc w:val="left"/>
      <w:pPr>
        <w:ind w:left="500" w:hanging="360"/>
      </w:pPr>
    </w:lvl>
    <w:lvl w:ilvl="2" w:tplc="3809001B" w:tentative="1">
      <w:start w:val="1"/>
      <w:numFmt w:val="lowerRoman"/>
      <w:lvlText w:val="%3."/>
      <w:lvlJc w:val="right"/>
      <w:pPr>
        <w:ind w:left="1220" w:hanging="180"/>
      </w:pPr>
    </w:lvl>
    <w:lvl w:ilvl="3" w:tplc="3809000F" w:tentative="1">
      <w:start w:val="1"/>
      <w:numFmt w:val="decimal"/>
      <w:lvlText w:val="%4."/>
      <w:lvlJc w:val="left"/>
      <w:pPr>
        <w:ind w:left="1940" w:hanging="360"/>
      </w:pPr>
    </w:lvl>
    <w:lvl w:ilvl="4" w:tplc="38090019" w:tentative="1">
      <w:start w:val="1"/>
      <w:numFmt w:val="lowerLetter"/>
      <w:lvlText w:val="%5."/>
      <w:lvlJc w:val="left"/>
      <w:pPr>
        <w:ind w:left="2660" w:hanging="360"/>
      </w:pPr>
    </w:lvl>
    <w:lvl w:ilvl="5" w:tplc="3809001B" w:tentative="1">
      <w:start w:val="1"/>
      <w:numFmt w:val="lowerRoman"/>
      <w:lvlText w:val="%6."/>
      <w:lvlJc w:val="right"/>
      <w:pPr>
        <w:ind w:left="3380" w:hanging="180"/>
      </w:pPr>
    </w:lvl>
    <w:lvl w:ilvl="6" w:tplc="3809000F" w:tentative="1">
      <w:start w:val="1"/>
      <w:numFmt w:val="decimal"/>
      <w:lvlText w:val="%7."/>
      <w:lvlJc w:val="left"/>
      <w:pPr>
        <w:ind w:left="4100" w:hanging="360"/>
      </w:pPr>
    </w:lvl>
    <w:lvl w:ilvl="7" w:tplc="38090019" w:tentative="1">
      <w:start w:val="1"/>
      <w:numFmt w:val="lowerLetter"/>
      <w:lvlText w:val="%8."/>
      <w:lvlJc w:val="left"/>
      <w:pPr>
        <w:ind w:left="4820" w:hanging="360"/>
      </w:pPr>
    </w:lvl>
    <w:lvl w:ilvl="8" w:tplc="3809001B" w:tentative="1">
      <w:start w:val="1"/>
      <w:numFmt w:val="lowerRoman"/>
      <w:lvlText w:val="%9."/>
      <w:lvlJc w:val="right"/>
      <w:pPr>
        <w:ind w:left="5540" w:hanging="180"/>
      </w:pPr>
    </w:lvl>
  </w:abstractNum>
  <w:abstractNum w:abstractNumId="1" w15:restartNumberingAfterBreak="0">
    <w:nsid w:val="1B33388F"/>
    <w:multiLevelType w:val="hybridMultilevel"/>
    <w:tmpl w:val="0DFCD986"/>
    <w:lvl w:ilvl="0" w:tplc="3809000F">
      <w:start w:val="1"/>
      <w:numFmt w:val="decimal"/>
      <w:lvlText w:val="%1."/>
      <w:lvlJc w:val="left"/>
      <w:pPr>
        <w:ind w:left="80" w:hanging="360"/>
      </w:pPr>
    </w:lvl>
    <w:lvl w:ilvl="1" w:tplc="38090019" w:tentative="1">
      <w:start w:val="1"/>
      <w:numFmt w:val="lowerLetter"/>
      <w:lvlText w:val="%2."/>
      <w:lvlJc w:val="left"/>
      <w:pPr>
        <w:ind w:left="800" w:hanging="360"/>
      </w:pPr>
    </w:lvl>
    <w:lvl w:ilvl="2" w:tplc="3809001B" w:tentative="1">
      <w:start w:val="1"/>
      <w:numFmt w:val="lowerRoman"/>
      <w:lvlText w:val="%3."/>
      <w:lvlJc w:val="right"/>
      <w:pPr>
        <w:ind w:left="1520" w:hanging="180"/>
      </w:pPr>
    </w:lvl>
    <w:lvl w:ilvl="3" w:tplc="3809000F" w:tentative="1">
      <w:start w:val="1"/>
      <w:numFmt w:val="decimal"/>
      <w:lvlText w:val="%4."/>
      <w:lvlJc w:val="left"/>
      <w:pPr>
        <w:ind w:left="2240" w:hanging="360"/>
      </w:pPr>
    </w:lvl>
    <w:lvl w:ilvl="4" w:tplc="38090019" w:tentative="1">
      <w:start w:val="1"/>
      <w:numFmt w:val="lowerLetter"/>
      <w:lvlText w:val="%5."/>
      <w:lvlJc w:val="left"/>
      <w:pPr>
        <w:ind w:left="2960" w:hanging="360"/>
      </w:pPr>
    </w:lvl>
    <w:lvl w:ilvl="5" w:tplc="3809001B" w:tentative="1">
      <w:start w:val="1"/>
      <w:numFmt w:val="lowerRoman"/>
      <w:lvlText w:val="%6."/>
      <w:lvlJc w:val="right"/>
      <w:pPr>
        <w:ind w:left="3680" w:hanging="180"/>
      </w:pPr>
    </w:lvl>
    <w:lvl w:ilvl="6" w:tplc="3809000F" w:tentative="1">
      <w:start w:val="1"/>
      <w:numFmt w:val="decimal"/>
      <w:lvlText w:val="%7."/>
      <w:lvlJc w:val="left"/>
      <w:pPr>
        <w:ind w:left="4400" w:hanging="360"/>
      </w:pPr>
    </w:lvl>
    <w:lvl w:ilvl="7" w:tplc="38090019" w:tentative="1">
      <w:start w:val="1"/>
      <w:numFmt w:val="lowerLetter"/>
      <w:lvlText w:val="%8."/>
      <w:lvlJc w:val="left"/>
      <w:pPr>
        <w:ind w:left="5120" w:hanging="360"/>
      </w:pPr>
    </w:lvl>
    <w:lvl w:ilvl="8" w:tplc="3809001B" w:tentative="1">
      <w:start w:val="1"/>
      <w:numFmt w:val="lowerRoman"/>
      <w:lvlText w:val="%9."/>
      <w:lvlJc w:val="right"/>
      <w:pPr>
        <w:ind w:left="5840" w:hanging="180"/>
      </w:pPr>
    </w:lvl>
  </w:abstractNum>
  <w:abstractNum w:abstractNumId="2"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7D14ED"/>
    <w:multiLevelType w:val="hybridMultilevel"/>
    <w:tmpl w:val="103C24A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2082530"/>
    <w:multiLevelType w:val="hybridMultilevel"/>
    <w:tmpl w:val="B886A3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921B0C"/>
    <w:multiLevelType w:val="multilevel"/>
    <w:tmpl w:val="AD54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B310D31"/>
    <w:multiLevelType w:val="multilevel"/>
    <w:tmpl w:val="6FD0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3"/>
  </w:num>
  <w:num w:numId="2">
    <w:abstractNumId w:val="2"/>
  </w:num>
  <w:num w:numId="3">
    <w:abstractNumId w:val="6"/>
  </w:num>
  <w:num w:numId="4">
    <w:abstractNumId w:val="11"/>
  </w:num>
  <w:num w:numId="5">
    <w:abstractNumId w:val="7"/>
  </w:num>
  <w:num w:numId="6">
    <w:abstractNumId w:val="9"/>
  </w:num>
  <w:num w:numId="7">
    <w:abstractNumId w:val="4"/>
  </w:num>
  <w:num w:numId="8">
    <w:abstractNumId w:val="5"/>
  </w:num>
  <w:num w:numId="9">
    <w:abstractNumId w:val="8"/>
  </w:num>
  <w:num w:numId="10">
    <w:abstractNumId w:val="10"/>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r9d2swaz090nef5wwxvf9yswwa95rz09xr&quot;&gt;My EndNote Library&lt;record-ids&gt;&lt;item&gt;9&lt;/item&gt;&lt;item&gt;10&lt;/item&gt;&lt;/record-ids&gt;&lt;/item&gt;&lt;item db-id=&quot;z9w2zfwd5pvaxqeffti5feaxd52w529z5rsz&quot;&gt;My EndNote Library&lt;record-ids&gt;&lt;item&gt;1&lt;/item&gt;&lt;item&gt;2&lt;/item&gt;&lt;item&gt;3&lt;/item&gt;&lt;item&gt;4&lt;/item&gt;&lt;item&gt;5&lt;/item&gt;&lt;item&gt;6&lt;/item&gt;&lt;item&gt;7&lt;/item&gt;&lt;item&gt;8&lt;/item&gt;&lt;item&gt;9&lt;/item&gt;&lt;item&gt;10&lt;/item&gt;&lt;/record-ids&gt;&lt;/item&gt;&lt;/Libraries&gt;"/>
  </w:docVars>
  <w:rsids>
    <w:rsidRoot w:val="00EA50A7"/>
    <w:rsid w:val="0001007B"/>
    <w:rsid w:val="0001255E"/>
    <w:rsid w:val="000442BF"/>
    <w:rsid w:val="00052AE0"/>
    <w:rsid w:val="00053169"/>
    <w:rsid w:val="00053198"/>
    <w:rsid w:val="00060ADC"/>
    <w:rsid w:val="00075A9B"/>
    <w:rsid w:val="0009627E"/>
    <w:rsid w:val="000C4C41"/>
    <w:rsid w:val="000F1554"/>
    <w:rsid w:val="000F1D3A"/>
    <w:rsid w:val="000F6769"/>
    <w:rsid w:val="00112DCC"/>
    <w:rsid w:val="001403BE"/>
    <w:rsid w:val="001656F5"/>
    <w:rsid w:val="0017487D"/>
    <w:rsid w:val="001B1CF1"/>
    <w:rsid w:val="001B21E3"/>
    <w:rsid w:val="001B4656"/>
    <w:rsid w:val="001B50EC"/>
    <w:rsid w:val="002012EA"/>
    <w:rsid w:val="0020672D"/>
    <w:rsid w:val="002424DD"/>
    <w:rsid w:val="00251C49"/>
    <w:rsid w:val="00294220"/>
    <w:rsid w:val="002B7DA8"/>
    <w:rsid w:val="002C7487"/>
    <w:rsid w:val="002E1E41"/>
    <w:rsid w:val="00300407"/>
    <w:rsid w:val="00305DE7"/>
    <w:rsid w:val="00306821"/>
    <w:rsid w:val="00314D45"/>
    <w:rsid w:val="003207A9"/>
    <w:rsid w:val="00323753"/>
    <w:rsid w:val="00345A86"/>
    <w:rsid w:val="00346886"/>
    <w:rsid w:val="00352007"/>
    <w:rsid w:val="00366DB0"/>
    <w:rsid w:val="003C3E3E"/>
    <w:rsid w:val="003E0ED5"/>
    <w:rsid w:val="003F56CE"/>
    <w:rsid w:val="00415F28"/>
    <w:rsid w:val="00427C79"/>
    <w:rsid w:val="00483823"/>
    <w:rsid w:val="004949B0"/>
    <w:rsid w:val="004B0AEF"/>
    <w:rsid w:val="004D1B67"/>
    <w:rsid w:val="004D5B22"/>
    <w:rsid w:val="004F017A"/>
    <w:rsid w:val="004F0FE1"/>
    <w:rsid w:val="004F659E"/>
    <w:rsid w:val="005034EE"/>
    <w:rsid w:val="005079FC"/>
    <w:rsid w:val="00507DC9"/>
    <w:rsid w:val="00511881"/>
    <w:rsid w:val="00517755"/>
    <w:rsid w:val="00523BA3"/>
    <w:rsid w:val="00525C15"/>
    <w:rsid w:val="00537C16"/>
    <w:rsid w:val="005649A6"/>
    <w:rsid w:val="005A240E"/>
    <w:rsid w:val="005C2B16"/>
    <w:rsid w:val="005D571B"/>
    <w:rsid w:val="005E0C4C"/>
    <w:rsid w:val="006B3D1E"/>
    <w:rsid w:val="006C4020"/>
    <w:rsid w:val="006F6357"/>
    <w:rsid w:val="007279A9"/>
    <w:rsid w:val="00732FF0"/>
    <w:rsid w:val="007434BA"/>
    <w:rsid w:val="00753714"/>
    <w:rsid w:val="007656F0"/>
    <w:rsid w:val="00784F94"/>
    <w:rsid w:val="007B0D2E"/>
    <w:rsid w:val="007B7914"/>
    <w:rsid w:val="007F0ABD"/>
    <w:rsid w:val="00812DDB"/>
    <w:rsid w:val="00814F5F"/>
    <w:rsid w:val="00852515"/>
    <w:rsid w:val="008B1275"/>
    <w:rsid w:val="008B619C"/>
    <w:rsid w:val="008C3B35"/>
    <w:rsid w:val="008C53E3"/>
    <w:rsid w:val="008D0213"/>
    <w:rsid w:val="008D6ED3"/>
    <w:rsid w:val="009008AB"/>
    <w:rsid w:val="00944ED8"/>
    <w:rsid w:val="00964D71"/>
    <w:rsid w:val="00971E8B"/>
    <w:rsid w:val="00991411"/>
    <w:rsid w:val="009A7BC2"/>
    <w:rsid w:val="009E775C"/>
    <w:rsid w:val="009F5D7C"/>
    <w:rsid w:val="00A10F65"/>
    <w:rsid w:val="00A23F73"/>
    <w:rsid w:val="00A5576E"/>
    <w:rsid w:val="00A93C84"/>
    <w:rsid w:val="00A97BCD"/>
    <w:rsid w:val="00AA3156"/>
    <w:rsid w:val="00AC5C22"/>
    <w:rsid w:val="00AD0697"/>
    <w:rsid w:val="00AD49C0"/>
    <w:rsid w:val="00B0230F"/>
    <w:rsid w:val="00B10665"/>
    <w:rsid w:val="00B11341"/>
    <w:rsid w:val="00B45A8C"/>
    <w:rsid w:val="00B56FCD"/>
    <w:rsid w:val="00B6146E"/>
    <w:rsid w:val="00B8795E"/>
    <w:rsid w:val="00BF43F9"/>
    <w:rsid w:val="00BF6F61"/>
    <w:rsid w:val="00C15386"/>
    <w:rsid w:val="00C21F43"/>
    <w:rsid w:val="00C80E96"/>
    <w:rsid w:val="00C90568"/>
    <w:rsid w:val="00CA3BBC"/>
    <w:rsid w:val="00CB1FE9"/>
    <w:rsid w:val="00CE5959"/>
    <w:rsid w:val="00D04850"/>
    <w:rsid w:val="00D11DBA"/>
    <w:rsid w:val="00D2657D"/>
    <w:rsid w:val="00D35370"/>
    <w:rsid w:val="00D509C3"/>
    <w:rsid w:val="00D67413"/>
    <w:rsid w:val="00D82FAC"/>
    <w:rsid w:val="00D85CF0"/>
    <w:rsid w:val="00D91F10"/>
    <w:rsid w:val="00DA6D7D"/>
    <w:rsid w:val="00DD5E48"/>
    <w:rsid w:val="00DF18A9"/>
    <w:rsid w:val="00DF7FEA"/>
    <w:rsid w:val="00E11E9E"/>
    <w:rsid w:val="00E871BA"/>
    <w:rsid w:val="00EA50A7"/>
    <w:rsid w:val="00EB208B"/>
    <w:rsid w:val="00EC02EB"/>
    <w:rsid w:val="00F056E9"/>
    <w:rsid w:val="00F05A2C"/>
    <w:rsid w:val="00F160D3"/>
    <w:rsid w:val="00F162DE"/>
    <w:rsid w:val="00F8468D"/>
    <w:rsid w:val="00FB2957"/>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6B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outlineLvl w:val="1"/>
    </w:pPr>
    <w:rPr>
      <w:b/>
      <w:color w:val="333333"/>
      <w:szCs w:val="24"/>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6B3D1E"/>
    <w:rPr>
      <w:rFonts w:ascii="Times New Roman" w:eastAsia="Times New Roman" w:hAnsi="Times New Roman" w:cs="Times New Roman"/>
      <w:b/>
      <w:color w:val="333333"/>
      <w:sz w:val="24"/>
      <w:szCs w:val="24"/>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314D45"/>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B6146E"/>
    <w:rPr>
      <w:color w:val="605E5C"/>
      <w:shd w:val="clear" w:color="auto" w:fill="E1DFDD"/>
    </w:rPr>
  </w:style>
  <w:style w:type="character" w:styleId="PlaceholderText">
    <w:name w:val="Placeholder Text"/>
    <w:basedOn w:val="DefaultParagraphFont"/>
    <w:uiPriority w:val="99"/>
    <w:semiHidden/>
    <w:rsid w:val="002C7487"/>
    <w:rPr>
      <w:color w:val="666666"/>
    </w:rPr>
  </w:style>
  <w:style w:type="paragraph" w:styleId="ListParagraph">
    <w:name w:val="List Paragraph"/>
    <w:basedOn w:val="Normal"/>
    <w:uiPriority w:val="34"/>
    <w:qFormat/>
    <w:rsid w:val="00C21F43"/>
    <w:pPr>
      <w:ind w:left="720"/>
      <w:contextualSpacing/>
    </w:pPr>
  </w:style>
  <w:style w:type="paragraph" w:customStyle="1" w:styleId="EndNoteBibliographyTitle">
    <w:name w:val="EndNote Bibliography Title"/>
    <w:basedOn w:val="Normal"/>
    <w:link w:val="EndNoteBibliographyTitleChar"/>
    <w:rsid w:val="00753714"/>
    <w:pPr>
      <w:jc w:val="center"/>
    </w:pPr>
    <w:rPr>
      <w:noProof/>
      <w:sz w:val="20"/>
    </w:rPr>
  </w:style>
  <w:style w:type="character" w:customStyle="1" w:styleId="ParagraphChar">
    <w:name w:val="Paragraph Char"/>
    <w:basedOn w:val="DefaultParagraphFont"/>
    <w:link w:val="Paragraph"/>
    <w:rsid w:val="00753714"/>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753714"/>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753714"/>
    <w:pPr>
      <w:jc w:val="both"/>
    </w:pPr>
    <w:rPr>
      <w:noProof/>
      <w:sz w:val="20"/>
    </w:rPr>
  </w:style>
  <w:style w:type="character" w:customStyle="1" w:styleId="EndNoteBibliographyChar">
    <w:name w:val="EndNote Bibliography Char"/>
    <w:basedOn w:val="ParagraphChar"/>
    <w:link w:val="EndNoteBibliography"/>
    <w:rsid w:val="00753714"/>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682643">
      <w:bodyDiv w:val="1"/>
      <w:marLeft w:val="0"/>
      <w:marRight w:val="0"/>
      <w:marTop w:val="0"/>
      <w:marBottom w:val="0"/>
      <w:divBdr>
        <w:top w:val="none" w:sz="0" w:space="0" w:color="auto"/>
        <w:left w:val="none" w:sz="0" w:space="0" w:color="auto"/>
        <w:bottom w:val="none" w:sz="0" w:space="0" w:color="auto"/>
        <w:right w:val="none" w:sz="0" w:space="0" w:color="auto"/>
      </w:divBdr>
    </w:div>
    <w:div w:id="694891756">
      <w:bodyDiv w:val="1"/>
      <w:marLeft w:val="0"/>
      <w:marRight w:val="0"/>
      <w:marTop w:val="0"/>
      <w:marBottom w:val="0"/>
      <w:divBdr>
        <w:top w:val="none" w:sz="0" w:space="0" w:color="auto"/>
        <w:left w:val="none" w:sz="0" w:space="0" w:color="auto"/>
        <w:bottom w:val="none" w:sz="0" w:space="0" w:color="auto"/>
        <w:right w:val="none" w:sz="0" w:space="0" w:color="auto"/>
      </w:divBdr>
    </w:div>
    <w:div w:id="769205383">
      <w:bodyDiv w:val="1"/>
      <w:marLeft w:val="0"/>
      <w:marRight w:val="0"/>
      <w:marTop w:val="0"/>
      <w:marBottom w:val="0"/>
      <w:divBdr>
        <w:top w:val="none" w:sz="0" w:space="0" w:color="auto"/>
        <w:left w:val="none" w:sz="0" w:space="0" w:color="auto"/>
        <w:bottom w:val="none" w:sz="0" w:space="0" w:color="auto"/>
        <w:right w:val="none" w:sz="0" w:space="0" w:color="auto"/>
      </w:divBdr>
    </w:div>
    <w:div w:id="835269100">
      <w:bodyDiv w:val="1"/>
      <w:marLeft w:val="0"/>
      <w:marRight w:val="0"/>
      <w:marTop w:val="0"/>
      <w:marBottom w:val="0"/>
      <w:divBdr>
        <w:top w:val="none" w:sz="0" w:space="0" w:color="auto"/>
        <w:left w:val="none" w:sz="0" w:space="0" w:color="auto"/>
        <w:bottom w:val="none" w:sz="0" w:space="0" w:color="auto"/>
        <w:right w:val="none" w:sz="0" w:space="0" w:color="auto"/>
      </w:divBdr>
    </w:div>
    <w:div w:id="1066225657">
      <w:bodyDiv w:val="1"/>
      <w:marLeft w:val="0"/>
      <w:marRight w:val="0"/>
      <w:marTop w:val="0"/>
      <w:marBottom w:val="0"/>
      <w:divBdr>
        <w:top w:val="none" w:sz="0" w:space="0" w:color="auto"/>
        <w:left w:val="none" w:sz="0" w:space="0" w:color="auto"/>
        <w:bottom w:val="none" w:sz="0" w:space="0" w:color="auto"/>
        <w:right w:val="none" w:sz="0" w:space="0" w:color="auto"/>
      </w:divBdr>
    </w:div>
    <w:div w:id="1068110564">
      <w:bodyDiv w:val="1"/>
      <w:marLeft w:val="0"/>
      <w:marRight w:val="0"/>
      <w:marTop w:val="0"/>
      <w:marBottom w:val="0"/>
      <w:divBdr>
        <w:top w:val="none" w:sz="0" w:space="0" w:color="auto"/>
        <w:left w:val="none" w:sz="0" w:space="0" w:color="auto"/>
        <w:bottom w:val="none" w:sz="0" w:space="0" w:color="auto"/>
        <w:right w:val="none" w:sz="0" w:space="0" w:color="auto"/>
      </w:divBdr>
    </w:div>
    <w:div w:id="1091195597">
      <w:bodyDiv w:val="1"/>
      <w:marLeft w:val="0"/>
      <w:marRight w:val="0"/>
      <w:marTop w:val="0"/>
      <w:marBottom w:val="0"/>
      <w:divBdr>
        <w:top w:val="none" w:sz="0" w:space="0" w:color="auto"/>
        <w:left w:val="none" w:sz="0" w:space="0" w:color="auto"/>
        <w:bottom w:val="none" w:sz="0" w:space="0" w:color="auto"/>
        <w:right w:val="none" w:sz="0" w:space="0" w:color="auto"/>
      </w:divBdr>
    </w:div>
    <w:div w:id="1480490504">
      <w:bodyDiv w:val="1"/>
      <w:marLeft w:val="0"/>
      <w:marRight w:val="0"/>
      <w:marTop w:val="0"/>
      <w:marBottom w:val="0"/>
      <w:divBdr>
        <w:top w:val="none" w:sz="0" w:space="0" w:color="auto"/>
        <w:left w:val="none" w:sz="0" w:space="0" w:color="auto"/>
        <w:bottom w:val="none" w:sz="0" w:space="0" w:color="auto"/>
        <w:right w:val="none" w:sz="0" w:space="0" w:color="auto"/>
      </w:divBdr>
    </w:div>
    <w:div w:id="1533761969">
      <w:bodyDiv w:val="1"/>
      <w:marLeft w:val="0"/>
      <w:marRight w:val="0"/>
      <w:marTop w:val="0"/>
      <w:marBottom w:val="0"/>
      <w:divBdr>
        <w:top w:val="none" w:sz="0" w:space="0" w:color="auto"/>
        <w:left w:val="none" w:sz="0" w:space="0" w:color="auto"/>
        <w:bottom w:val="none" w:sz="0" w:space="0" w:color="auto"/>
        <w:right w:val="none" w:sz="0" w:space="0" w:color="auto"/>
      </w:divBdr>
    </w:div>
    <w:div w:id="1707217405">
      <w:bodyDiv w:val="1"/>
      <w:marLeft w:val="0"/>
      <w:marRight w:val="0"/>
      <w:marTop w:val="0"/>
      <w:marBottom w:val="0"/>
      <w:divBdr>
        <w:top w:val="none" w:sz="0" w:space="0" w:color="auto"/>
        <w:left w:val="none" w:sz="0" w:space="0" w:color="auto"/>
        <w:bottom w:val="none" w:sz="0" w:space="0" w:color="auto"/>
        <w:right w:val="none" w:sz="0" w:space="0" w:color="auto"/>
      </w:divBdr>
    </w:div>
    <w:div w:id="1796099725">
      <w:bodyDiv w:val="1"/>
      <w:marLeft w:val="0"/>
      <w:marRight w:val="0"/>
      <w:marTop w:val="0"/>
      <w:marBottom w:val="0"/>
      <w:divBdr>
        <w:top w:val="none" w:sz="0" w:space="0" w:color="auto"/>
        <w:left w:val="none" w:sz="0" w:space="0" w:color="auto"/>
        <w:bottom w:val="none" w:sz="0" w:space="0" w:color="auto"/>
        <w:right w:val="none" w:sz="0" w:space="0" w:color="auto"/>
      </w:divBdr>
    </w:div>
    <w:div w:id="1825462931">
      <w:bodyDiv w:val="1"/>
      <w:marLeft w:val="0"/>
      <w:marRight w:val="0"/>
      <w:marTop w:val="0"/>
      <w:marBottom w:val="0"/>
      <w:divBdr>
        <w:top w:val="none" w:sz="0" w:space="0" w:color="auto"/>
        <w:left w:val="none" w:sz="0" w:space="0" w:color="auto"/>
        <w:bottom w:val="none" w:sz="0" w:space="0" w:color="auto"/>
        <w:right w:val="none" w:sz="0" w:space="0" w:color="auto"/>
      </w:divBdr>
    </w:div>
    <w:div w:id="1857648015">
      <w:bodyDiv w:val="1"/>
      <w:marLeft w:val="0"/>
      <w:marRight w:val="0"/>
      <w:marTop w:val="0"/>
      <w:marBottom w:val="0"/>
      <w:divBdr>
        <w:top w:val="none" w:sz="0" w:space="0" w:color="auto"/>
        <w:left w:val="none" w:sz="0" w:space="0" w:color="auto"/>
        <w:bottom w:val="none" w:sz="0" w:space="0" w:color="auto"/>
        <w:right w:val="none" w:sz="0" w:space="0" w:color="auto"/>
      </w:divBdr>
    </w:div>
    <w:div w:id="199421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mako15@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sudarman@umm.ac.id" TargetMode="Externa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yepykomarils@umm.ac.id" TargetMode="External"/><Relationship Id="rId11" Type="http://schemas.openxmlformats.org/officeDocument/2006/relationships/hyperlink" Target="mailto:hery@umm.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ni@umm.ac.id" TargetMode="External"/><Relationship Id="rId4" Type="http://schemas.openxmlformats.org/officeDocument/2006/relationships/settings" Target="settings.xml"/><Relationship Id="rId9" Type="http://schemas.openxmlformats.org/officeDocument/2006/relationships/hyperlink" Target="mailto:faiqiqbal373@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DA926-16E6-4149-B881-E6B799F8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7</Pages>
  <Words>4718</Words>
  <Characters>26897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94</cp:revision>
  <cp:lastPrinted>2019-11-26T03:45:00Z</cp:lastPrinted>
  <dcterms:created xsi:type="dcterms:W3CDTF">2019-09-25T01:30:00Z</dcterms:created>
  <dcterms:modified xsi:type="dcterms:W3CDTF">2026-01-27T07:16:00Z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4089a90f201fd9fac850b1e2df710ebd2faeda0f0d016702b5306fd31a7d2aa7</vt:lpwstr>
  </property>
</Properties>
</file>