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BEB0B" w14:textId="77777777" w:rsidR="0018789A" w:rsidRDefault="0018789A" w:rsidP="00D30640">
      <w:pPr>
        <w:pStyle w:val="PaperTitle"/>
        <w:spacing w:before="0"/>
      </w:pPr>
    </w:p>
    <w:p w14:paraId="376A60F4" w14:textId="77777777" w:rsidR="0018789A" w:rsidRDefault="0018789A" w:rsidP="00D30640">
      <w:pPr>
        <w:pStyle w:val="PaperTitle"/>
        <w:spacing w:before="0"/>
      </w:pPr>
    </w:p>
    <w:p w14:paraId="7A8DC0E0" w14:textId="77777777" w:rsidR="0018789A" w:rsidRDefault="0018789A" w:rsidP="00D30640">
      <w:pPr>
        <w:pStyle w:val="PaperTitle"/>
        <w:spacing w:before="0"/>
      </w:pPr>
    </w:p>
    <w:p w14:paraId="3B9815EA" w14:textId="071638CD" w:rsidR="0016385D" w:rsidRPr="00075EA6" w:rsidRDefault="005B4C82" w:rsidP="00D30640">
      <w:pPr>
        <w:pStyle w:val="PaperTitle"/>
        <w:spacing w:before="0"/>
        <w:rPr>
          <w:b w:val="0"/>
          <w:bCs/>
          <w:sz w:val="24"/>
          <w:szCs w:val="24"/>
        </w:rPr>
      </w:pPr>
      <w:r w:rsidRPr="005B4C82">
        <w:t>Effect of Quenching on the Hardness of ST 60 Steel Using Saltwater Cooling Media Variations</w:t>
      </w:r>
      <w:r w:rsidR="006E20A2" w:rsidRPr="002B5648">
        <w:t xml:space="preserve"> </w:t>
      </w:r>
      <w:r w:rsidR="00A90413" w:rsidRPr="00075EA6">
        <w:br/>
      </w:r>
    </w:p>
    <w:p w14:paraId="548D96A3" w14:textId="1E0B4F89" w:rsidR="00C14B14" w:rsidRDefault="005B4C82" w:rsidP="2F830975">
      <w:pPr>
        <w:pStyle w:val="AuthorName"/>
        <w:rPr>
          <w:sz w:val="20"/>
          <w:lang w:val="en-GB" w:eastAsia="en-GB"/>
        </w:rPr>
      </w:pPr>
      <w:proofErr w:type="spellStart"/>
      <w:r w:rsidRPr="005B4C82">
        <w:t>Huzaifah</w:t>
      </w:r>
      <w:proofErr w:type="spellEnd"/>
      <w:r w:rsidRPr="005B4C82">
        <w:t xml:space="preserve"> </w:t>
      </w:r>
      <w:proofErr w:type="spellStart"/>
      <w:r w:rsidRPr="005B4C82">
        <w:t>Farisul</w:t>
      </w:r>
      <w:proofErr w:type="spellEnd"/>
      <w:r w:rsidRPr="005B4C82">
        <w:t xml:space="preserve"> </w:t>
      </w:r>
      <w:proofErr w:type="spellStart"/>
      <w:r w:rsidRPr="005B4C82">
        <w:t>Mukhtar</w:t>
      </w:r>
      <w:r w:rsidR="00EF6940" w:rsidRPr="2F830975">
        <w:rPr>
          <w:vertAlign w:val="superscript"/>
        </w:rPr>
        <w:t>a</w:t>
      </w:r>
      <w:proofErr w:type="spellEnd"/>
      <w:r w:rsidR="00EF6940" w:rsidRPr="2F830975">
        <w:rPr>
          <w:vertAlign w:val="superscript"/>
        </w:rPr>
        <w:t>)</w:t>
      </w:r>
      <w:r w:rsidR="00EF3DF6">
        <w:t xml:space="preserve">, </w:t>
      </w:r>
      <w:proofErr w:type="spellStart"/>
      <w:r w:rsidR="004A0F23" w:rsidRPr="004A0F23">
        <w:t>Sudarman</w:t>
      </w:r>
      <w:r w:rsidR="00EF3DF6">
        <w:rPr>
          <w:vertAlign w:val="superscript"/>
        </w:rPr>
        <w:t>b</w:t>
      </w:r>
      <w:proofErr w:type="spellEnd"/>
      <w:r w:rsidR="00EF3DF6" w:rsidRPr="2F830975">
        <w:rPr>
          <w:vertAlign w:val="superscript"/>
        </w:rPr>
        <w:t>)</w:t>
      </w:r>
      <w:r w:rsidR="00A42802">
        <w:t xml:space="preserve">, </w:t>
      </w:r>
      <w:proofErr w:type="spellStart"/>
      <w:r w:rsidR="00A42802" w:rsidRPr="005B4C82">
        <w:t>Brigas</w:t>
      </w:r>
      <w:proofErr w:type="spellEnd"/>
      <w:r w:rsidR="00A42802" w:rsidRPr="005B4C82">
        <w:t xml:space="preserve"> </w:t>
      </w:r>
      <w:proofErr w:type="spellStart"/>
      <w:r w:rsidR="00A42802" w:rsidRPr="005B4C82">
        <w:t>Cahyono</w:t>
      </w:r>
      <w:r w:rsidR="00A42802">
        <w:rPr>
          <w:vertAlign w:val="superscript"/>
        </w:rPr>
        <w:t>c</w:t>
      </w:r>
      <w:proofErr w:type="spellEnd"/>
      <w:r w:rsidR="00A42802" w:rsidRPr="2F830975">
        <w:rPr>
          <w:vertAlign w:val="superscript"/>
        </w:rPr>
        <w:t>)</w:t>
      </w:r>
      <w:r w:rsidR="00A42802">
        <w:rPr>
          <w:vertAlign w:val="superscript"/>
        </w:rPr>
        <w:t xml:space="preserve"> </w:t>
      </w:r>
      <w:r w:rsidR="0016385D">
        <w:t xml:space="preserve">and </w:t>
      </w:r>
      <w:r w:rsidR="00A42802">
        <w:br/>
      </w:r>
      <w:r w:rsidR="00A42802" w:rsidRPr="00A42802">
        <w:t xml:space="preserve">Rafael Wahyu </w:t>
      </w:r>
      <w:proofErr w:type="spellStart"/>
      <w:r w:rsidR="00A42802" w:rsidRPr="00A42802">
        <w:t>Verdiansyah</w:t>
      </w:r>
      <w:r w:rsidR="00A42802">
        <w:rPr>
          <w:vertAlign w:val="superscript"/>
        </w:rPr>
        <w:t>d</w:t>
      </w:r>
      <w:proofErr w:type="spellEnd"/>
      <w:r w:rsidR="003A5C85" w:rsidRPr="2F830975">
        <w:rPr>
          <w:vertAlign w:val="superscript"/>
        </w:rPr>
        <w:t>)</w:t>
      </w:r>
      <w:r w:rsidR="0016385D">
        <w:br/>
      </w:r>
    </w:p>
    <w:p w14:paraId="5CFA9C09" w14:textId="32F6F0CB" w:rsidR="00C14B14" w:rsidRDefault="00EF3DF6" w:rsidP="00C14B14">
      <w:pPr>
        <w:pStyle w:val="AuthorAffiliation"/>
      </w:pPr>
      <w:r w:rsidRPr="00EF3DF6">
        <w:t>Department of Mechanical Engineering, Universit</w:t>
      </w:r>
      <w:r>
        <w:t>y</w:t>
      </w:r>
      <w:r w:rsidRPr="00EF3DF6">
        <w:t xml:space="preserve"> </w:t>
      </w:r>
      <w:r>
        <w:t xml:space="preserve">of </w:t>
      </w:r>
      <w:r w:rsidRPr="00EF3DF6">
        <w:t>Muhammadiyah Malang</w:t>
      </w:r>
      <w:r w:rsidR="0016385D" w:rsidRPr="00075EA6">
        <w:t xml:space="preserve"> </w:t>
      </w:r>
      <w:r w:rsidR="0016782F" w:rsidRPr="00075EA6">
        <w:br/>
      </w:r>
      <w:r w:rsidRPr="00EF3DF6">
        <w:t xml:space="preserve">Jl. Raya </w:t>
      </w:r>
      <w:proofErr w:type="spellStart"/>
      <w:r w:rsidRPr="00EF3DF6">
        <w:t>Tlogomas</w:t>
      </w:r>
      <w:proofErr w:type="spellEnd"/>
      <w:r w:rsidRPr="00EF3DF6">
        <w:t xml:space="preserve"> No. 246, Malang 65144, Indonesia</w:t>
      </w:r>
      <w:r w:rsidR="0016782F" w:rsidRPr="00075EA6">
        <w:t>.</w:t>
      </w:r>
    </w:p>
    <w:p w14:paraId="771D6B6C" w14:textId="3E8259A0" w:rsidR="00C14B14" w:rsidRPr="00075EA6" w:rsidRDefault="00C14B14" w:rsidP="00C14B14">
      <w:pPr>
        <w:pStyle w:val="AuthorAffiliation"/>
      </w:pPr>
    </w:p>
    <w:p w14:paraId="02B5F029" w14:textId="7BAC9609" w:rsidR="00EF3DF6" w:rsidRPr="001A6226" w:rsidRDefault="00C14B14" w:rsidP="001A6226">
      <w:pPr>
        <w:pStyle w:val="AuthorEmail"/>
      </w:pPr>
      <w:r w:rsidRPr="00075EA6">
        <w:br/>
      </w:r>
      <w:proofErr w:type="gramStart"/>
      <w:r w:rsidR="00003D7C" w:rsidRPr="00A42802">
        <w:rPr>
          <w:vertAlign w:val="superscript"/>
        </w:rPr>
        <w:t>a)</w:t>
      </w:r>
      <w:r w:rsidR="005B4C82" w:rsidRPr="005B4C82">
        <w:t>huzaifahmukhtar98@gmail.com</w:t>
      </w:r>
      <w:proofErr w:type="gramEnd"/>
      <w:r w:rsidR="001D469C" w:rsidRPr="001A6226">
        <w:br/>
      </w:r>
      <w:r w:rsidR="003A5C85" w:rsidRPr="00A42802">
        <w:rPr>
          <w:vertAlign w:val="superscript"/>
        </w:rPr>
        <w:t>b)</w:t>
      </w:r>
      <w:r w:rsidR="00EF3DF6" w:rsidRPr="001A6226">
        <w:t xml:space="preserve">Corresponding author: </w:t>
      </w:r>
      <w:r w:rsidR="004A0F23" w:rsidRPr="001A6226">
        <w:t>sudarman@umm.ac.id</w:t>
      </w:r>
    </w:p>
    <w:p w14:paraId="5E05E235" w14:textId="35BD7482" w:rsidR="003A5C85" w:rsidRDefault="00EF3DF6" w:rsidP="001A6226">
      <w:pPr>
        <w:pStyle w:val="AuthorEmail"/>
      </w:pPr>
      <w:r w:rsidRPr="00A42802">
        <w:rPr>
          <w:vertAlign w:val="superscript"/>
        </w:rPr>
        <w:t>c)</w:t>
      </w:r>
      <w:r w:rsidR="005B4C82" w:rsidRPr="005B4C82">
        <w:t>brigascy@umm.ac.id</w:t>
      </w:r>
    </w:p>
    <w:p w14:paraId="4684C3AD" w14:textId="52482B99" w:rsidR="00A42802" w:rsidRPr="001A6226" w:rsidRDefault="00A42802" w:rsidP="00A42802">
      <w:pPr>
        <w:pStyle w:val="AuthorEmail"/>
      </w:pPr>
      <w:r>
        <w:rPr>
          <w:vertAlign w:val="superscript"/>
        </w:rPr>
        <w:t>d</w:t>
      </w:r>
      <w:r w:rsidRPr="00A42802">
        <w:rPr>
          <w:vertAlign w:val="superscript"/>
        </w:rPr>
        <w:t>)</w:t>
      </w:r>
      <w:r w:rsidRPr="00A42802">
        <w:t>wahyuverdiansyahr@gmail.com</w:t>
      </w:r>
    </w:p>
    <w:p w14:paraId="0130C1BB" w14:textId="77777777" w:rsidR="00A42802" w:rsidRPr="001A6226" w:rsidRDefault="00A42802" w:rsidP="001A6226">
      <w:pPr>
        <w:pStyle w:val="AuthorEmail"/>
      </w:pPr>
    </w:p>
    <w:p w14:paraId="22C3F2A8" w14:textId="60839490" w:rsidR="0016385D" w:rsidRPr="00075EA6" w:rsidRDefault="0016385D" w:rsidP="00FD2F11">
      <w:pPr>
        <w:pStyle w:val="Abstract"/>
      </w:pPr>
      <w:r w:rsidRPr="00075EA6">
        <w:rPr>
          <w:b/>
          <w:bCs/>
        </w:rPr>
        <w:t>Abstract.</w:t>
      </w:r>
      <w:r w:rsidRPr="00075EA6">
        <w:t xml:space="preserve"> </w:t>
      </w:r>
      <w:r w:rsidR="005B4C82" w:rsidRPr="005B4C82">
        <w:t>ST 60 steel is classified as a medium-carbon steel with a carbon content of approximately 0.44%, offering excellent mechanical properties including strength and impact resistance. This study investigates the effect of quenching on the hardness of ST 60 steel using different cooling media: water, 3.5% saltwater solution, and 34% saltwater solution. The specimens were heated to 850°C with a holding time of 60 minutes and then rapidly cooled in the respective media. Hardness tests were performed using the Rockwell hardness method. The results showed that the raw material had a hardness of 14.91 HRC. After quenching, the hardness increased significantly to 48.02 HRC with water, 43.12 HRC with 3.5% saltwater, and 48.84 HRC with 34% saltwater. These findings confirm that higher salt concentration in the cooling medium accelerates the cooling rate, leading to an increase in steel hardness. Overall, quenching proved to be an effective method to improve the mechanical properties of ST 60 steel for industrial applications.</w:t>
      </w:r>
    </w:p>
    <w:p w14:paraId="5240E3FB" w14:textId="7F451606" w:rsidR="003A287B" w:rsidRPr="00075EA6" w:rsidRDefault="00EF3DF6" w:rsidP="00003D7C">
      <w:pPr>
        <w:pStyle w:val="Heading1"/>
        <w:rPr>
          <w:b w:val="0"/>
          <w:caps w:val="0"/>
          <w:sz w:val="20"/>
        </w:rPr>
      </w:pPr>
      <w:r>
        <w:t>INTRODUCTION</w:t>
      </w:r>
    </w:p>
    <w:p w14:paraId="550F64F0" w14:textId="77777777" w:rsidR="005B4C82" w:rsidRDefault="005B4C82" w:rsidP="005B4C82">
      <w:pPr>
        <w:pStyle w:val="Paragraph"/>
      </w:pPr>
      <w:r>
        <w:t>In industrial applications, steel is a material that can be easily formed into various shapes and dimensions. Medium-carbon steel, in particular, possesses desirable properties such as high strength, weldability, and impact resistance, making it suitable for manufacturing components like cutters and shears. These characteristics are attributed to its carbon content, which typically ranges from 0.3% to 0.6% [1].</w:t>
      </w:r>
    </w:p>
    <w:p w14:paraId="00FD9E13" w14:textId="77777777" w:rsidR="005B4C82" w:rsidRDefault="005B4C82" w:rsidP="005B4C82">
      <w:pPr>
        <w:pStyle w:val="Paragraph"/>
      </w:pPr>
      <w:r>
        <w:t>Carbon steel is widely used and contains several alloying elements in controlled amounts, including phosphorus (P), silicon (Si), sulfur (S), and manganese (Mn) [2]. A carbon content between 0.25% and 0.55% results in higher mechanical strength than low-carbon steel, but it also makes the material more difficult to bend, weld, or cut. This type of steel is often used in structural machine components such as shafts, gears, and chains [3].</w:t>
      </w:r>
    </w:p>
    <w:p w14:paraId="264779CB" w14:textId="77777777" w:rsidR="005B4C82" w:rsidRDefault="005B4C82" w:rsidP="005B4C82">
      <w:pPr>
        <w:pStyle w:val="Paragraph"/>
      </w:pPr>
      <w:r>
        <w:t>ST 60 steel is categorized as a medium-carbon steel, with a boiling point of approximately 1550°C and a melting point close to 2900°C [4]. It contains around 0.697% manganese, which enhances its hardness and wear resistance [5]. The chemical composition used in this study is based on material certification from a local supplier [6].</w:t>
      </w:r>
    </w:p>
    <w:p w14:paraId="7A15ED14" w14:textId="77777777" w:rsidR="005B4C82" w:rsidRDefault="005B4C82" w:rsidP="005B4C82">
      <w:pPr>
        <w:pStyle w:val="Paragraph"/>
      </w:pPr>
      <w:r>
        <w:t>The carbon content in steel significantly influences its mechanical behavior. Carbon acts as a strengthening agent, and steels containing between 0.2% and 2.14% carbon can be hardened by heat treatment [7]. Heat treatment aims to improve specific mechanical properties by carefully managing the heating and cooling rates [8]. Proper control over these parameters is essential to obtain the desired material characteristics [9].</w:t>
      </w:r>
    </w:p>
    <w:p w14:paraId="2C8725FF" w14:textId="77777777" w:rsidR="005B4C82" w:rsidRDefault="005B4C82" w:rsidP="005B4C82">
      <w:pPr>
        <w:pStyle w:val="Paragraph"/>
      </w:pPr>
      <w:r>
        <w:t xml:space="preserve">Among several heat treatment methods, quenching is one of the most commonly used techniques to increase hardness by rapidly cooling the heated steel in a suitable medium [10]. According to B.H. </w:t>
      </w:r>
      <w:proofErr w:type="spellStart"/>
      <w:r>
        <w:t>Amstead</w:t>
      </w:r>
      <w:proofErr w:type="spellEnd"/>
      <w:r>
        <w:t xml:space="preserve">, heat treatment </w:t>
      </w:r>
      <w:r>
        <w:lastRenderedPageBreak/>
        <w:t>involves heating and cooling metals under controlled conditions to modify and improve their physical and mechanical properties, including hardness, corrosion resistance, thermal resistance, magnetic behavior, and machinability [11].</w:t>
      </w:r>
    </w:p>
    <w:p w14:paraId="68D7D2B9" w14:textId="77777777" w:rsidR="005B4C82" w:rsidRDefault="005B4C82" w:rsidP="005B4C82">
      <w:pPr>
        <w:pStyle w:val="Paragraph"/>
      </w:pPr>
      <w:r>
        <w:t>Despite its advantages, quenching also has limitations. Repeated use of cooling media can cause temperature buildup, leading to inconsistent cooling. Additionally, large or long components may not be uniformly cooled, making the process less effective [12]. Rapid immersion cooling is often difficult to apply to bulky steel parts, and water temperature tends to rise during repeated use [13].</w:t>
      </w:r>
    </w:p>
    <w:p w14:paraId="56A869AC" w14:textId="77777777" w:rsidR="005B4C82" w:rsidRDefault="005B4C82" w:rsidP="005B4C82">
      <w:pPr>
        <w:pStyle w:val="Paragraph"/>
      </w:pPr>
      <w:r>
        <w:t>The quenching outcome is influenced by multiple factors such as the type and condition of the cooling medium, the chemical composition of the material, and its hardenability, which depends on grain size and alloy content. The size of the steel workpiece also affects the final results [14]. Common cooling media include air, water, oil, and salt solutions, each offering different cooling rates due to variations in temperature, viscosity, and chemical composition. Faster cooling usually leads to increased hardness. Rapid cooling traps carbon atoms within the crystal structure, resulting in a tetragonal phase with less interatomic spacing, which contributes to higher hardness [15,16].</w:t>
      </w:r>
    </w:p>
    <w:p w14:paraId="6E190ADC" w14:textId="77777777" w:rsidR="005B4C82" w:rsidRDefault="005B4C82" w:rsidP="005B4C82">
      <w:pPr>
        <w:pStyle w:val="Paragraph"/>
      </w:pPr>
      <w:r>
        <w:t>In this study, water and saltwater solutions at concentrations of 3.5% and 34% were selected as quenching media to evaluate their effect on the hardness of ST 60 steel. The hardness was assessed using the Rockwell hardness test, which, similar to the Brinell method, determines hardness based on the depth of indentation. However, Rockwell testing uses smaller loads and indenters, making the test faster and more practical for industrial settings [17].</w:t>
      </w:r>
    </w:p>
    <w:p w14:paraId="3071BD07" w14:textId="77777777" w:rsidR="005B4C82" w:rsidRDefault="005B4C82" w:rsidP="005B4C82">
      <w:pPr>
        <w:pStyle w:val="Paragraph"/>
      </w:pPr>
      <w:r>
        <w:t xml:space="preserve">A previous study conducted by Anton Tri Wibowo and </w:t>
      </w:r>
      <w:proofErr w:type="spellStart"/>
      <w:r>
        <w:t>Achmad</w:t>
      </w:r>
      <w:proofErr w:type="spellEnd"/>
      <w:r>
        <w:t xml:space="preserve"> </w:t>
      </w:r>
      <w:proofErr w:type="spellStart"/>
      <w:r>
        <w:t>Kusairi</w:t>
      </w:r>
      <w:proofErr w:type="spellEnd"/>
      <w:r>
        <w:t xml:space="preserve"> </w:t>
      </w:r>
      <w:proofErr w:type="spellStart"/>
      <w:r>
        <w:t>Samlawi</w:t>
      </w:r>
      <w:proofErr w:type="spellEnd"/>
      <w:r>
        <w:t xml:space="preserve"> investigated the effect of quenching temperature and cooling media on the hardness and microstructure of S45C steel. Their findings revealed that both factors significantly influenced the hardness values. At 800°C, water and oil quenching increased hardness, though oil resulted in slightly lower values. At 850°C, hardness decreased, especially with oil. However, at 900°C, hardness increased again, with oil producing slightly higher results than water. The study confirmed that the type of cooling medium and quenching temperature are critical in determining the mechanical properties of heat-treated steel [18].</w:t>
      </w:r>
    </w:p>
    <w:p w14:paraId="7D61A8B6" w14:textId="34C46232" w:rsidR="005B4C82" w:rsidRDefault="005B4C82" w:rsidP="005B4C82">
      <w:pPr>
        <w:pStyle w:val="Paragraph"/>
      </w:pPr>
      <w:r>
        <w:t>Building upon these findings, this study aims to further improve the hardness and wear resistance of ST 60 steel. The primary objective is to analyze the effect of different cooling media (water, 3.5% saltwater, and 34% saltwater) on the hardness of ST 60 steel after quenching, and to compare the results with untreated specimens. The quenching process was carried out at 850°C with a holding time of 60 minutes.</w:t>
      </w:r>
    </w:p>
    <w:p w14:paraId="46FF4BB9" w14:textId="77CCCC96" w:rsidR="00EF3DF6" w:rsidRPr="00075EA6" w:rsidRDefault="00EF3DF6" w:rsidP="00EF3DF6">
      <w:pPr>
        <w:pStyle w:val="Heading1"/>
        <w:rPr>
          <w:b w:val="0"/>
          <w:caps w:val="0"/>
          <w:sz w:val="20"/>
        </w:rPr>
      </w:pPr>
      <w:r w:rsidRPr="00EF3DF6">
        <w:t>Methodology</w:t>
      </w:r>
    </w:p>
    <w:p w14:paraId="29073D78" w14:textId="1E41A113" w:rsidR="005B4C82" w:rsidRDefault="005B4C82" w:rsidP="005B4C82">
      <w:pPr>
        <w:pStyle w:val="Paragraph"/>
      </w:pPr>
      <w:r>
        <w:t>This study utilized an experimental approach to investigate the effect of saltwater-based quenching media on the hardness of ST 60 steel. The primary goal was to determine the improvement in hardness resulting from different quenching media using the Rockwell hardness test. The experimental workflow was designed and structured as shown in Fig. 1, which outlines the overall research flowchart.</w:t>
      </w:r>
    </w:p>
    <w:p w14:paraId="56CD0F99" w14:textId="13DC352E" w:rsidR="005B4C82" w:rsidRDefault="005B4C82" w:rsidP="005B4C82">
      <w:pPr>
        <w:pStyle w:val="Paragraph"/>
      </w:pPr>
    </w:p>
    <w:p w14:paraId="10333354" w14:textId="3FF04C32" w:rsidR="005B4C82" w:rsidRDefault="00CD34E3" w:rsidP="005B4C82">
      <w:pPr>
        <w:pStyle w:val="FigureCaption"/>
        <w:rPr>
          <w:b/>
          <w:caps/>
        </w:rPr>
      </w:pPr>
      <w:r>
        <w:rPr>
          <w:noProof/>
        </w:rPr>
        <w:drawing>
          <wp:inline distT="0" distB="0" distL="0" distR="0" wp14:anchorId="79BE25D5" wp14:editId="70F10090">
            <wp:extent cx="3128809" cy="2619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8666" cy="2652743"/>
                    </a:xfrm>
                    <a:prstGeom prst="rect">
                      <a:avLst/>
                    </a:prstGeom>
                    <a:noFill/>
                    <a:ln>
                      <a:noFill/>
                    </a:ln>
                  </pic:spPr>
                </pic:pic>
              </a:graphicData>
            </a:graphic>
          </wp:inline>
        </w:drawing>
      </w:r>
    </w:p>
    <w:p w14:paraId="1744D185" w14:textId="25C441D0" w:rsidR="005B4C82" w:rsidRDefault="005B4C82" w:rsidP="005B4C82">
      <w:pPr>
        <w:pStyle w:val="FigureCaption"/>
      </w:pPr>
      <w:r>
        <w:rPr>
          <w:b/>
          <w:caps/>
        </w:rPr>
        <w:t>Figure 1.</w:t>
      </w:r>
      <w:r>
        <w:t xml:space="preserve"> </w:t>
      </w:r>
      <w:r w:rsidRPr="005B4C82">
        <w:t>Research flowchart of the experimental procedure.</w:t>
      </w:r>
    </w:p>
    <w:p w14:paraId="59FC221A" w14:textId="77777777" w:rsidR="005B4C82" w:rsidRDefault="005B4C82" w:rsidP="005B4C82">
      <w:pPr>
        <w:pStyle w:val="Heading2"/>
      </w:pPr>
      <w:r>
        <w:lastRenderedPageBreak/>
        <w:t>Research Site and Schedule</w:t>
      </w:r>
    </w:p>
    <w:p w14:paraId="38B51FA7" w14:textId="77777777" w:rsidR="005B4C82" w:rsidRDefault="005B4C82" w:rsidP="005B4C82">
      <w:pPr>
        <w:pStyle w:val="Paragraph"/>
      </w:pPr>
      <w:r>
        <w:t>The experimental work was conducted in the Mechanical Engineering Laboratory of the State Polytechnic of Malang. The research activities commenced on November 12, 2024, and continued until the completion of all test procedures.</w:t>
      </w:r>
    </w:p>
    <w:p w14:paraId="778874E5" w14:textId="1436B346" w:rsidR="005B4C82" w:rsidRDefault="005B4C82" w:rsidP="005B4C82">
      <w:pPr>
        <w:pStyle w:val="Heading2"/>
      </w:pPr>
      <w:r>
        <w:t>Specimen Preparation</w:t>
      </w:r>
    </w:p>
    <w:p w14:paraId="48F96343" w14:textId="77777777" w:rsidR="005B4C82" w:rsidRDefault="005B4C82" w:rsidP="005B4C82">
      <w:pPr>
        <w:pStyle w:val="Paragraph"/>
      </w:pPr>
      <w:r>
        <w:t>To ensure compatibility with Rockwell hardness testing procedures, specimens were prepared according to the guidelines set in ASTM E18 (Standard Test Method for Rockwell Hardness of Metallic Materials) and ISO 6508 [19]. These standards specify the following requirements:</w:t>
      </w:r>
    </w:p>
    <w:p w14:paraId="727AEB14" w14:textId="77777777" w:rsidR="005B4C82" w:rsidRDefault="005B4C82" w:rsidP="005B4C82">
      <w:pPr>
        <w:pStyle w:val="Paragraph"/>
        <w:numPr>
          <w:ilvl w:val="0"/>
          <w:numId w:val="4"/>
        </w:numPr>
      </w:pPr>
      <w:r>
        <w:t>Minimum specimen thickness of 8 mm.</w:t>
      </w:r>
    </w:p>
    <w:p w14:paraId="2345D8C4" w14:textId="77777777" w:rsidR="005B4C82" w:rsidRDefault="005B4C82" w:rsidP="005B4C82">
      <w:pPr>
        <w:pStyle w:val="Paragraph"/>
        <w:numPr>
          <w:ilvl w:val="0"/>
          <w:numId w:val="4"/>
        </w:numPr>
      </w:pPr>
      <w:r>
        <w:t>The test surface must be large enough to avoid edge effects, generally requiring a diameter exceeding 12.7 mm (½ inch).</w:t>
      </w:r>
    </w:p>
    <w:p w14:paraId="60F165E9" w14:textId="77777777" w:rsidR="005B4C82" w:rsidRDefault="005B4C82" w:rsidP="005B4C82">
      <w:pPr>
        <w:pStyle w:val="Paragraph"/>
        <w:numPr>
          <w:ilvl w:val="0"/>
          <w:numId w:val="4"/>
        </w:numPr>
      </w:pPr>
      <w:r>
        <w:t>Acceptable specimen geometries include cylindrical, rectangular, or any shape with compliant test surfaces.</w:t>
      </w:r>
    </w:p>
    <w:p w14:paraId="22EEE333" w14:textId="5B97930E" w:rsidR="005B4C82" w:rsidRDefault="005B4C82" w:rsidP="005B4C82">
      <w:pPr>
        <w:pStyle w:val="Paragraph"/>
        <w:numPr>
          <w:ilvl w:val="0"/>
          <w:numId w:val="4"/>
        </w:numPr>
      </w:pPr>
      <w:r>
        <w:t>The test surface must be flat, smooth, and free from irregularities, typically achieved through polishing [20].</w:t>
      </w:r>
    </w:p>
    <w:p w14:paraId="22797F11" w14:textId="4EC3B97F" w:rsidR="005B4C82" w:rsidRDefault="005B4C82" w:rsidP="005B4C82">
      <w:pPr>
        <w:pStyle w:val="Paragraph"/>
      </w:pPr>
      <w:r>
        <w:t>The specimens were prepared with a diameter of 30 mm and a thickness of 10 mm, as shown in Fig. 2. The preparation process involved several steps. First, the specimens were cut using a DOALL C-916 cutting saw to obtain a total of 12 specimens. After cutting, sharp edges were removed by filing to ensure safe handling and accurate testing.</w:t>
      </w:r>
    </w:p>
    <w:p w14:paraId="45B01CD2" w14:textId="104E7C68" w:rsidR="005B4C82" w:rsidRDefault="005B4C82" w:rsidP="005B4C82">
      <w:pPr>
        <w:pStyle w:val="Paragraph"/>
      </w:pPr>
    </w:p>
    <w:p w14:paraId="0CC53068" w14:textId="73765067" w:rsidR="005B4C82" w:rsidRDefault="005B4C82" w:rsidP="005B4C82">
      <w:pPr>
        <w:pStyle w:val="FigureCaption"/>
        <w:rPr>
          <w:b/>
          <w:caps/>
        </w:rPr>
      </w:pPr>
      <w:r>
        <w:rPr>
          <w:noProof/>
          <w:lang w:val="id-ID"/>
        </w:rPr>
        <w:drawing>
          <wp:inline distT="0" distB="0" distL="0" distR="0" wp14:anchorId="1CF766F9" wp14:editId="4F324DC8">
            <wp:extent cx="2160000" cy="973277"/>
            <wp:effectExtent l="0" t="0" r="0" b="0"/>
            <wp:docPr id="20450344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000" cy="973277"/>
                    </a:xfrm>
                    <a:prstGeom prst="rect">
                      <a:avLst/>
                    </a:prstGeom>
                    <a:noFill/>
                  </pic:spPr>
                </pic:pic>
              </a:graphicData>
            </a:graphic>
          </wp:inline>
        </w:drawing>
      </w:r>
    </w:p>
    <w:p w14:paraId="03DEB06C" w14:textId="5FC8A09D" w:rsidR="005B4C82" w:rsidRDefault="005B4C82" w:rsidP="005B4C82">
      <w:pPr>
        <w:pStyle w:val="FigureCaption"/>
      </w:pPr>
      <w:r>
        <w:rPr>
          <w:b/>
          <w:caps/>
        </w:rPr>
        <w:t>Figure 2.</w:t>
      </w:r>
      <w:r>
        <w:t xml:space="preserve"> </w:t>
      </w:r>
      <w:r w:rsidRPr="005B4C82">
        <w:t>Geometry and dimensions of the hardness test specimens.</w:t>
      </w:r>
    </w:p>
    <w:p w14:paraId="3ADD9390" w14:textId="7133AF39" w:rsidR="005B4C82" w:rsidRDefault="005B4C82" w:rsidP="005B4C82">
      <w:pPr>
        <w:pStyle w:val="Heading2"/>
      </w:pPr>
      <w:r>
        <w:t>Heat Treatment Process</w:t>
      </w:r>
    </w:p>
    <w:p w14:paraId="1AFC1387" w14:textId="2050511D" w:rsidR="005B4C82" w:rsidRPr="000E1B0C" w:rsidRDefault="000E1B0C" w:rsidP="005B4C82">
      <w:pPr>
        <w:pStyle w:val="FigureCaption"/>
        <w:rPr>
          <w:b/>
          <w:caps/>
        </w:rPr>
      </w:pPr>
      <w:r>
        <w:rPr>
          <w:noProof/>
        </w:rPr>
        <w:drawing>
          <wp:inline distT="0" distB="0" distL="0" distR="0" wp14:anchorId="44447F4E" wp14:editId="3D66400E">
            <wp:extent cx="2562225" cy="3122386"/>
            <wp:effectExtent l="0" t="0" r="0" b="1905"/>
            <wp:docPr id="143658760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587602" name="Picture 1436587602"/>
                    <pic:cNvPicPr/>
                  </pic:nvPicPr>
                  <pic:blipFill rotWithShape="1">
                    <a:blip r:embed="rId13" cstate="print">
                      <a:extLst>
                        <a:ext uri="{28A0092B-C50C-407E-A947-70E740481C1C}">
                          <a14:useLocalDpi xmlns:a14="http://schemas.microsoft.com/office/drawing/2010/main" val="0"/>
                        </a:ext>
                      </a:extLst>
                    </a:blip>
                    <a:srcRect t="8604"/>
                    <a:stretch/>
                  </pic:blipFill>
                  <pic:spPr bwMode="auto">
                    <a:xfrm>
                      <a:off x="0" y="0"/>
                      <a:ext cx="2600249" cy="3168723"/>
                    </a:xfrm>
                    <a:prstGeom prst="rect">
                      <a:avLst/>
                    </a:prstGeom>
                    <a:ln>
                      <a:noFill/>
                    </a:ln>
                    <a:extLst>
                      <a:ext uri="{53640926-AAD7-44D8-BBD7-CCE9431645EC}">
                        <a14:shadowObscured xmlns:a14="http://schemas.microsoft.com/office/drawing/2010/main"/>
                      </a:ext>
                    </a:extLst>
                  </pic:spPr>
                </pic:pic>
              </a:graphicData>
            </a:graphic>
          </wp:inline>
        </w:drawing>
      </w:r>
    </w:p>
    <w:p w14:paraId="5385DA03" w14:textId="1D6FD47D" w:rsidR="005B4C82" w:rsidRDefault="005B4C82" w:rsidP="005B4C82">
      <w:pPr>
        <w:pStyle w:val="FigureCaption"/>
      </w:pPr>
      <w:r>
        <w:rPr>
          <w:b/>
          <w:caps/>
        </w:rPr>
        <w:t>Figure 3.</w:t>
      </w:r>
      <w:r>
        <w:t xml:space="preserve"> F</w:t>
      </w:r>
      <w:r w:rsidRPr="005B4C82">
        <w:t>urnace used for the heat treatment process at 850°C.</w:t>
      </w:r>
    </w:p>
    <w:p w14:paraId="3D8E7941" w14:textId="1DCE844A" w:rsidR="005B4C82" w:rsidRDefault="005B4C82" w:rsidP="005B4C82">
      <w:pPr>
        <w:pStyle w:val="Paragraph"/>
      </w:pPr>
    </w:p>
    <w:p w14:paraId="42A64A7B" w14:textId="77777777" w:rsidR="00CD34E3" w:rsidRDefault="00CD34E3" w:rsidP="00CD34E3">
      <w:pPr>
        <w:pStyle w:val="Paragraph"/>
      </w:pPr>
      <w:r>
        <w:lastRenderedPageBreak/>
        <w:t>The heat treatment procedure consisted of several key stages. Initially, three cooling media were prepared using identical cylindrical metal containers to hold fresh water, 3.5% saltwater solution, and 34% saltwater solution, respectively. The heating process was carried out in a high-temperature furnace. Each specimen was placed inside the furnace and heated to a temperature of 850°C, with a soaking time of 60 minutes to ensure uniform heat distribution (Fig. 3).</w:t>
      </w:r>
    </w:p>
    <w:p w14:paraId="6A0A43DB" w14:textId="59393CEE" w:rsidR="005B4C82" w:rsidRDefault="005B4C82" w:rsidP="005B4C82">
      <w:pPr>
        <w:pStyle w:val="Paragraph"/>
      </w:pPr>
      <w:r>
        <w:t>Following the heat soaking process, each specimen was rapidly quenched by immersion into one of the prepared cooling media. This quenching stage was performed immediately upon removal from the furnace. The quenching process was intended to transform the microstructure of the steel, thus affecting its mechanical properties.</w:t>
      </w:r>
    </w:p>
    <w:p w14:paraId="7A7891CD" w14:textId="432FE5A9" w:rsidR="005B4C82" w:rsidRDefault="005B4C82" w:rsidP="005B4C82">
      <w:pPr>
        <w:pStyle w:val="Paragraph"/>
      </w:pPr>
      <w:r>
        <w:t>Once cooled to room temperature, the specimens were dried and cleaned using abrasive paper to remove oxidation and prepare the surface for hardness testing.</w:t>
      </w:r>
    </w:p>
    <w:p w14:paraId="7E7E5B55" w14:textId="339701E1" w:rsidR="005B4C82" w:rsidRDefault="005B4C82" w:rsidP="005B4C82">
      <w:pPr>
        <w:pStyle w:val="Heading2"/>
      </w:pPr>
      <w:r>
        <w:t>Hardness Testing</w:t>
      </w:r>
    </w:p>
    <w:p w14:paraId="571CA9DA" w14:textId="5082C171" w:rsidR="002E6F1D" w:rsidRDefault="005B4C82" w:rsidP="005B4C82">
      <w:pPr>
        <w:pStyle w:val="Paragraph"/>
      </w:pPr>
      <w:r>
        <w:t>The hardness of ST 60 steel was evaluated using the Rockwell hardness testing method in accordance with the standard procedures [21]. The test involved several steps. First, both untreated (as-received) and heat-treated specimens were prepared for testing. The Rockwell hardness testing machine was configured with a 150-kgf load, and a diamond cone indenter (C-scale) was installed. Each specimen was tested individually, with the indenter applied to the flat center of the specimen surface to ensure consistent results.</w:t>
      </w:r>
    </w:p>
    <w:p w14:paraId="2BABA666" w14:textId="7D8BF3DA" w:rsidR="002E6F1D" w:rsidRPr="00075EA6" w:rsidRDefault="002E6F1D" w:rsidP="002E6F1D">
      <w:pPr>
        <w:pStyle w:val="Heading1"/>
        <w:rPr>
          <w:b w:val="0"/>
          <w:caps w:val="0"/>
          <w:sz w:val="20"/>
        </w:rPr>
      </w:pPr>
      <w:r w:rsidRPr="002E6F1D">
        <w:t>Results and Discussion</w:t>
      </w:r>
    </w:p>
    <w:p w14:paraId="6B8DEA20" w14:textId="77777777" w:rsidR="005B4C82" w:rsidRPr="005B4C82" w:rsidRDefault="005B4C82" w:rsidP="005B4C82">
      <w:pPr>
        <w:pStyle w:val="Heading2"/>
        <w:rPr>
          <w:lang w:val="en-GB"/>
        </w:rPr>
      </w:pPr>
      <w:r w:rsidRPr="005B4C82">
        <w:rPr>
          <w:lang w:val="en-GB"/>
        </w:rPr>
        <w:t>Hardness Test Results</w:t>
      </w:r>
    </w:p>
    <w:p w14:paraId="3E5BBBB2" w14:textId="44005C92" w:rsidR="005B4C82" w:rsidRDefault="005B4C82" w:rsidP="005B4C82">
      <w:pPr>
        <w:pStyle w:val="Paragraph"/>
        <w:rPr>
          <w:lang w:val="en-GB"/>
        </w:rPr>
      </w:pPr>
      <w:r w:rsidRPr="005B4C82">
        <w:rPr>
          <w:lang w:val="en-GB"/>
        </w:rPr>
        <w:t>The hardness test results of the raw material can be seen in Table 1. Based on the data, it was found that the average Rockwell hardness value of ST 60 steel in its raw condition is 14.91 HRC.</w:t>
      </w:r>
    </w:p>
    <w:p w14:paraId="5CEC2EBE" w14:textId="6BCA29D4" w:rsidR="005C5551" w:rsidRDefault="005C5551" w:rsidP="005B4C82">
      <w:pPr>
        <w:pStyle w:val="Paragraph"/>
        <w:rPr>
          <w:lang w:val="en-GB"/>
        </w:rPr>
      </w:pPr>
    </w:p>
    <w:p w14:paraId="45B39F0E" w14:textId="16E9AB70" w:rsidR="005C5551" w:rsidRDefault="005C5551" w:rsidP="005B4C82">
      <w:pPr>
        <w:pStyle w:val="Paragraph"/>
        <w:rPr>
          <w:lang w:val="en-GB"/>
        </w:rPr>
      </w:pPr>
    </w:p>
    <w:p w14:paraId="1D62A8E1" w14:textId="77777777" w:rsidR="005C5551" w:rsidRDefault="005C5551" w:rsidP="005B4C82">
      <w:pPr>
        <w:pStyle w:val="Paragraph"/>
        <w:rPr>
          <w:lang w:val="en-GB"/>
        </w:rPr>
      </w:pPr>
    </w:p>
    <w:p w14:paraId="3DAEEE7B" w14:textId="7AFFB933" w:rsidR="005B4C82" w:rsidRDefault="005B4C82" w:rsidP="005B4C82">
      <w:pPr>
        <w:pStyle w:val="Paragraph"/>
        <w:rPr>
          <w:lang w:val="en-GB"/>
        </w:rPr>
      </w:pPr>
    </w:p>
    <w:tbl>
      <w:tblPr>
        <w:tblW w:w="6096" w:type="dxa"/>
        <w:jc w:val="center"/>
        <w:tblBorders>
          <w:bottom w:val="single" w:sz="4" w:space="0" w:color="auto"/>
        </w:tblBorders>
        <w:tblLayout w:type="fixed"/>
        <w:tblLook w:val="0000" w:firstRow="0" w:lastRow="0" w:firstColumn="0" w:lastColumn="0" w:noHBand="0" w:noVBand="0"/>
      </w:tblPr>
      <w:tblGrid>
        <w:gridCol w:w="1134"/>
        <w:gridCol w:w="1181"/>
        <w:gridCol w:w="1181"/>
        <w:gridCol w:w="1182"/>
        <w:gridCol w:w="1418"/>
      </w:tblGrid>
      <w:tr w:rsidR="005B4C82" w:rsidRPr="00075EA6" w14:paraId="0B03415F" w14:textId="77777777" w:rsidTr="005B4C82">
        <w:trPr>
          <w:cantSplit/>
          <w:trHeight w:val="322"/>
          <w:jc w:val="center"/>
        </w:trPr>
        <w:tc>
          <w:tcPr>
            <w:tcW w:w="6096" w:type="dxa"/>
            <w:gridSpan w:val="5"/>
            <w:tcBorders>
              <w:bottom w:val="nil"/>
            </w:tcBorders>
          </w:tcPr>
          <w:p w14:paraId="0FC17070" w14:textId="3E884328" w:rsidR="005B4C82" w:rsidRPr="002E6F1D" w:rsidRDefault="005B4C82" w:rsidP="009A3F8D">
            <w:pPr>
              <w:pStyle w:val="TableCaption"/>
              <w:rPr>
                <w:b/>
                <w:bCs/>
              </w:rPr>
            </w:pPr>
            <w:r w:rsidRPr="002E6F1D">
              <w:rPr>
                <w:b/>
                <w:bCs/>
              </w:rPr>
              <w:t xml:space="preserve">TABLE </w:t>
            </w:r>
            <w:r>
              <w:rPr>
                <w:b/>
                <w:bCs/>
              </w:rPr>
              <w:t>1</w:t>
            </w:r>
            <w:r w:rsidRPr="002E6F1D">
              <w:rPr>
                <w:b/>
                <w:bCs/>
              </w:rPr>
              <w:t>.</w:t>
            </w:r>
            <w:r>
              <w:t xml:space="preserve"> </w:t>
            </w:r>
            <w:r w:rsidRPr="005B4C82">
              <w:t>Rockwell Hardness</w:t>
            </w:r>
            <w:r>
              <w:t xml:space="preserve"> Result</w:t>
            </w:r>
            <w:r w:rsidRPr="005B4C82">
              <w:t xml:space="preserve"> without Cooling Treatment</w:t>
            </w:r>
            <w:r>
              <w:t>.</w:t>
            </w:r>
          </w:p>
        </w:tc>
      </w:tr>
      <w:tr w:rsidR="005B4C82" w:rsidRPr="00075EA6" w14:paraId="2C2D75E9" w14:textId="77777777" w:rsidTr="005B4C82">
        <w:trPr>
          <w:cantSplit/>
          <w:trHeight w:val="272"/>
          <w:jc w:val="center"/>
        </w:trPr>
        <w:tc>
          <w:tcPr>
            <w:tcW w:w="1134" w:type="dxa"/>
            <w:vMerge w:val="restart"/>
            <w:tcBorders>
              <w:top w:val="single" w:sz="4" w:space="0" w:color="auto"/>
            </w:tcBorders>
          </w:tcPr>
          <w:p w14:paraId="16EF9455" w14:textId="77EC027A" w:rsidR="005B4C82" w:rsidRPr="006E20A2" w:rsidRDefault="005B4C82" w:rsidP="009A3F8D">
            <w:pPr>
              <w:rPr>
                <w:b/>
                <w:bCs/>
                <w:sz w:val="18"/>
                <w:szCs w:val="18"/>
              </w:rPr>
            </w:pPr>
            <w:r w:rsidRPr="005B4C82">
              <w:rPr>
                <w:b/>
                <w:bCs/>
                <w:sz w:val="18"/>
                <w:szCs w:val="18"/>
              </w:rPr>
              <w:t>Specimen</w:t>
            </w:r>
          </w:p>
        </w:tc>
        <w:tc>
          <w:tcPr>
            <w:tcW w:w="3544" w:type="dxa"/>
            <w:gridSpan w:val="3"/>
            <w:tcBorders>
              <w:top w:val="single" w:sz="4" w:space="0" w:color="auto"/>
              <w:bottom w:val="single" w:sz="4" w:space="0" w:color="auto"/>
            </w:tcBorders>
          </w:tcPr>
          <w:p w14:paraId="42BE586A" w14:textId="0ABA0633" w:rsidR="005B4C82" w:rsidRPr="006E20A2" w:rsidRDefault="005B4C82" w:rsidP="009A3F8D">
            <w:pPr>
              <w:jc w:val="center"/>
              <w:rPr>
                <w:b/>
                <w:bCs/>
                <w:sz w:val="18"/>
                <w:szCs w:val="18"/>
              </w:rPr>
            </w:pPr>
            <w:r w:rsidRPr="005B4C82">
              <w:rPr>
                <w:b/>
                <w:bCs/>
                <w:sz w:val="18"/>
                <w:szCs w:val="18"/>
              </w:rPr>
              <w:t>Rockwell Hardness Value (HRC)</w:t>
            </w:r>
          </w:p>
        </w:tc>
        <w:tc>
          <w:tcPr>
            <w:tcW w:w="1418" w:type="dxa"/>
            <w:vMerge w:val="restart"/>
            <w:tcBorders>
              <w:top w:val="single" w:sz="4" w:space="0" w:color="auto"/>
            </w:tcBorders>
          </w:tcPr>
          <w:p w14:paraId="1B52B4CA" w14:textId="6C3594AC" w:rsidR="005B4C82" w:rsidRPr="006E20A2" w:rsidRDefault="005B4C82" w:rsidP="009A3F8D">
            <w:pPr>
              <w:jc w:val="center"/>
              <w:rPr>
                <w:b/>
                <w:bCs/>
                <w:sz w:val="18"/>
                <w:szCs w:val="18"/>
              </w:rPr>
            </w:pPr>
            <w:r w:rsidRPr="005B4C82">
              <w:rPr>
                <w:b/>
                <w:bCs/>
                <w:sz w:val="18"/>
                <w:szCs w:val="18"/>
              </w:rPr>
              <w:t>Average</w:t>
            </w:r>
          </w:p>
        </w:tc>
      </w:tr>
      <w:tr w:rsidR="005B4C82" w:rsidRPr="00075EA6" w14:paraId="4752C8E6" w14:textId="77777777" w:rsidTr="005B4C82">
        <w:trPr>
          <w:cantSplit/>
          <w:trHeight w:val="272"/>
          <w:jc w:val="center"/>
        </w:trPr>
        <w:tc>
          <w:tcPr>
            <w:tcW w:w="1134" w:type="dxa"/>
            <w:vMerge/>
            <w:tcBorders>
              <w:bottom w:val="single" w:sz="4" w:space="0" w:color="auto"/>
            </w:tcBorders>
          </w:tcPr>
          <w:p w14:paraId="24B432E3" w14:textId="77777777" w:rsidR="005B4C82" w:rsidRPr="005B4C82" w:rsidRDefault="005B4C82" w:rsidP="009A3F8D">
            <w:pPr>
              <w:rPr>
                <w:b/>
                <w:bCs/>
                <w:sz w:val="18"/>
                <w:szCs w:val="18"/>
              </w:rPr>
            </w:pPr>
          </w:p>
        </w:tc>
        <w:tc>
          <w:tcPr>
            <w:tcW w:w="1181" w:type="dxa"/>
            <w:tcBorders>
              <w:top w:val="single" w:sz="4" w:space="0" w:color="auto"/>
              <w:bottom w:val="single" w:sz="4" w:space="0" w:color="auto"/>
            </w:tcBorders>
          </w:tcPr>
          <w:p w14:paraId="3010F9FE" w14:textId="693EDD97" w:rsidR="005B4C82" w:rsidRPr="006E20A2" w:rsidRDefault="005B4C82" w:rsidP="009A3F8D">
            <w:pPr>
              <w:jc w:val="center"/>
              <w:rPr>
                <w:b/>
                <w:bCs/>
                <w:sz w:val="18"/>
                <w:szCs w:val="18"/>
              </w:rPr>
            </w:pPr>
            <w:r>
              <w:rPr>
                <w:b/>
                <w:bCs/>
                <w:sz w:val="18"/>
                <w:szCs w:val="18"/>
              </w:rPr>
              <w:t>Point 1</w:t>
            </w:r>
          </w:p>
        </w:tc>
        <w:tc>
          <w:tcPr>
            <w:tcW w:w="1181" w:type="dxa"/>
            <w:tcBorders>
              <w:top w:val="single" w:sz="4" w:space="0" w:color="auto"/>
              <w:bottom w:val="single" w:sz="4" w:space="0" w:color="auto"/>
            </w:tcBorders>
          </w:tcPr>
          <w:p w14:paraId="165362B6" w14:textId="0E9B8C13" w:rsidR="005B4C82" w:rsidRPr="006E20A2" w:rsidRDefault="005B4C82" w:rsidP="009A3F8D">
            <w:pPr>
              <w:jc w:val="center"/>
              <w:rPr>
                <w:b/>
                <w:bCs/>
                <w:sz w:val="18"/>
                <w:szCs w:val="18"/>
              </w:rPr>
            </w:pPr>
            <w:r>
              <w:rPr>
                <w:b/>
                <w:bCs/>
                <w:sz w:val="18"/>
                <w:szCs w:val="18"/>
              </w:rPr>
              <w:t>Point 2</w:t>
            </w:r>
          </w:p>
        </w:tc>
        <w:tc>
          <w:tcPr>
            <w:tcW w:w="1182" w:type="dxa"/>
            <w:tcBorders>
              <w:top w:val="single" w:sz="4" w:space="0" w:color="auto"/>
              <w:bottom w:val="single" w:sz="4" w:space="0" w:color="auto"/>
            </w:tcBorders>
          </w:tcPr>
          <w:p w14:paraId="17FEA701" w14:textId="00596649" w:rsidR="005B4C82" w:rsidRPr="006E20A2" w:rsidRDefault="005B4C82" w:rsidP="009A3F8D">
            <w:pPr>
              <w:jc w:val="center"/>
              <w:rPr>
                <w:b/>
                <w:bCs/>
                <w:sz w:val="18"/>
                <w:szCs w:val="18"/>
              </w:rPr>
            </w:pPr>
            <w:r>
              <w:rPr>
                <w:b/>
                <w:bCs/>
                <w:sz w:val="18"/>
                <w:szCs w:val="18"/>
              </w:rPr>
              <w:t>Point 3</w:t>
            </w:r>
          </w:p>
        </w:tc>
        <w:tc>
          <w:tcPr>
            <w:tcW w:w="1418" w:type="dxa"/>
            <w:vMerge/>
            <w:tcBorders>
              <w:bottom w:val="single" w:sz="4" w:space="0" w:color="auto"/>
            </w:tcBorders>
          </w:tcPr>
          <w:p w14:paraId="1F597E66" w14:textId="77777777" w:rsidR="005B4C82" w:rsidRPr="006E20A2" w:rsidRDefault="005B4C82" w:rsidP="009A3F8D">
            <w:pPr>
              <w:jc w:val="center"/>
              <w:rPr>
                <w:b/>
                <w:bCs/>
                <w:sz w:val="18"/>
                <w:szCs w:val="18"/>
              </w:rPr>
            </w:pPr>
          </w:p>
        </w:tc>
      </w:tr>
      <w:tr w:rsidR="005B4C82" w:rsidRPr="005A0E21" w14:paraId="5BF72124" w14:textId="77777777" w:rsidTr="005B4C82">
        <w:trPr>
          <w:cantSplit/>
          <w:jc w:val="center"/>
        </w:trPr>
        <w:tc>
          <w:tcPr>
            <w:tcW w:w="1134" w:type="dxa"/>
            <w:tcBorders>
              <w:top w:val="nil"/>
            </w:tcBorders>
          </w:tcPr>
          <w:p w14:paraId="671138D2" w14:textId="30FA551F" w:rsidR="005B4C82" w:rsidRPr="005B4C82" w:rsidRDefault="005B4C82" w:rsidP="005B4C82">
            <w:pPr>
              <w:pStyle w:val="Paragraph"/>
              <w:ind w:firstLine="0"/>
            </w:pPr>
            <w:r w:rsidRPr="005B4C82">
              <w:t>R1</w:t>
            </w:r>
          </w:p>
        </w:tc>
        <w:tc>
          <w:tcPr>
            <w:tcW w:w="1181" w:type="dxa"/>
            <w:tcBorders>
              <w:top w:val="nil"/>
            </w:tcBorders>
          </w:tcPr>
          <w:p w14:paraId="1ABDAD94" w14:textId="3CB5D1A4" w:rsidR="005B4C82" w:rsidRPr="005B4C82" w:rsidRDefault="005B4C82" w:rsidP="005B4C82">
            <w:pPr>
              <w:jc w:val="center"/>
              <w:rPr>
                <w:sz w:val="20"/>
              </w:rPr>
            </w:pPr>
            <w:r w:rsidRPr="005B4C82">
              <w:rPr>
                <w:sz w:val="20"/>
              </w:rPr>
              <w:t>14.7</w:t>
            </w:r>
          </w:p>
        </w:tc>
        <w:tc>
          <w:tcPr>
            <w:tcW w:w="1181" w:type="dxa"/>
            <w:tcBorders>
              <w:top w:val="nil"/>
            </w:tcBorders>
          </w:tcPr>
          <w:p w14:paraId="79B8BFB5" w14:textId="57C13145" w:rsidR="005B4C82" w:rsidRPr="005B4C82" w:rsidRDefault="005B4C82" w:rsidP="005B4C82">
            <w:pPr>
              <w:jc w:val="center"/>
              <w:rPr>
                <w:sz w:val="20"/>
              </w:rPr>
            </w:pPr>
            <w:r w:rsidRPr="005B4C82">
              <w:rPr>
                <w:sz w:val="20"/>
              </w:rPr>
              <w:t>15.3</w:t>
            </w:r>
          </w:p>
        </w:tc>
        <w:tc>
          <w:tcPr>
            <w:tcW w:w="1182" w:type="dxa"/>
            <w:tcBorders>
              <w:top w:val="nil"/>
            </w:tcBorders>
          </w:tcPr>
          <w:p w14:paraId="3F9F84C1" w14:textId="7D729E1A" w:rsidR="005B4C82" w:rsidRPr="005B4C82" w:rsidRDefault="005B4C82" w:rsidP="005B4C82">
            <w:pPr>
              <w:jc w:val="center"/>
              <w:rPr>
                <w:sz w:val="20"/>
              </w:rPr>
            </w:pPr>
            <w:r w:rsidRPr="005B4C82">
              <w:rPr>
                <w:sz w:val="20"/>
              </w:rPr>
              <w:t>15.1</w:t>
            </w:r>
          </w:p>
        </w:tc>
        <w:tc>
          <w:tcPr>
            <w:tcW w:w="1418" w:type="dxa"/>
            <w:vMerge w:val="restart"/>
            <w:tcBorders>
              <w:top w:val="nil"/>
            </w:tcBorders>
            <w:vAlign w:val="center"/>
          </w:tcPr>
          <w:p w14:paraId="65B4BFA5" w14:textId="0BE2FC62" w:rsidR="005B4C82" w:rsidRPr="006E20A2" w:rsidRDefault="005B4C82" w:rsidP="005B4C82">
            <w:pPr>
              <w:jc w:val="center"/>
              <w:rPr>
                <w:sz w:val="20"/>
              </w:rPr>
            </w:pPr>
            <w:r w:rsidRPr="005B4C82">
              <w:rPr>
                <w:sz w:val="20"/>
              </w:rPr>
              <w:t>14.91</w:t>
            </w:r>
          </w:p>
        </w:tc>
      </w:tr>
      <w:tr w:rsidR="005B4C82" w:rsidRPr="005A0E21" w14:paraId="1A1B555B" w14:textId="77777777" w:rsidTr="005B4C82">
        <w:trPr>
          <w:cantSplit/>
          <w:jc w:val="center"/>
        </w:trPr>
        <w:tc>
          <w:tcPr>
            <w:tcW w:w="1134" w:type="dxa"/>
          </w:tcPr>
          <w:p w14:paraId="32BF4CC7" w14:textId="139DA4F6" w:rsidR="005B4C82" w:rsidRPr="005B4C82" w:rsidRDefault="005B4C82" w:rsidP="005B4C82">
            <w:pPr>
              <w:pStyle w:val="Paragraph"/>
              <w:ind w:firstLine="0"/>
            </w:pPr>
            <w:r w:rsidRPr="005B4C82">
              <w:t>R2</w:t>
            </w:r>
          </w:p>
        </w:tc>
        <w:tc>
          <w:tcPr>
            <w:tcW w:w="1181" w:type="dxa"/>
          </w:tcPr>
          <w:p w14:paraId="6FF13AF1" w14:textId="31284042" w:rsidR="005B4C82" w:rsidRPr="005B4C82" w:rsidRDefault="005B4C82" w:rsidP="005B4C82">
            <w:pPr>
              <w:jc w:val="center"/>
              <w:rPr>
                <w:sz w:val="20"/>
              </w:rPr>
            </w:pPr>
            <w:r w:rsidRPr="005B4C82">
              <w:rPr>
                <w:sz w:val="20"/>
              </w:rPr>
              <w:t>14.4</w:t>
            </w:r>
          </w:p>
        </w:tc>
        <w:tc>
          <w:tcPr>
            <w:tcW w:w="1181" w:type="dxa"/>
          </w:tcPr>
          <w:p w14:paraId="146F28CA" w14:textId="635F80B3" w:rsidR="005B4C82" w:rsidRPr="005B4C82" w:rsidRDefault="005B4C82" w:rsidP="005B4C82">
            <w:pPr>
              <w:jc w:val="center"/>
              <w:rPr>
                <w:sz w:val="20"/>
              </w:rPr>
            </w:pPr>
            <w:r w:rsidRPr="005B4C82">
              <w:rPr>
                <w:sz w:val="20"/>
              </w:rPr>
              <w:t>15.0</w:t>
            </w:r>
          </w:p>
        </w:tc>
        <w:tc>
          <w:tcPr>
            <w:tcW w:w="1182" w:type="dxa"/>
          </w:tcPr>
          <w:p w14:paraId="077C7CF7" w14:textId="643C0B13" w:rsidR="005B4C82" w:rsidRPr="005B4C82" w:rsidRDefault="005B4C82" w:rsidP="005B4C82">
            <w:pPr>
              <w:jc w:val="center"/>
              <w:rPr>
                <w:sz w:val="20"/>
              </w:rPr>
            </w:pPr>
            <w:r w:rsidRPr="005B4C82">
              <w:rPr>
                <w:sz w:val="20"/>
              </w:rPr>
              <w:t>14.9</w:t>
            </w:r>
          </w:p>
        </w:tc>
        <w:tc>
          <w:tcPr>
            <w:tcW w:w="1418" w:type="dxa"/>
            <w:vMerge/>
          </w:tcPr>
          <w:p w14:paraId="4DD2D051" w14:textId="04FB90B9" w:rsidR="005B4C82" w:rsidRPr="006E20A2" w:rsidRDefault="005B4C82" w:rsidP="005B4C82">
            <w:pPr>
              <w:jc w:val="center"/>
              <w:rPr>
                <w:sz w:val="20"/>
              </w:rPr>
            </w:pPr>
          </w:p>
        </w:tc>
      </w:tr>
      <w:tr w:rsidR="005B4C82" w:rsidRPr="005A0E21" w14:paraId="708334F4" w14:textId="77777777" w:rsidTr="005B4C82">
        <w:trPr>
          <w:cantSplit/>
          <w:trHeight w:val="237"/>
          <w:jc w:val="center"/>
        </w:trPr>
        <w:tc>
          <w:tcPr>
            <w:tcW w:w="1134" w:type="dxa"/>
          </w:tcPr>
          <w:p w14:paraId="25A6471F" w14:textId="0350B8F0" w:rsidR="005B4C82" w:rsidRPr="005B4C82" w:rsidRDefault="005B4C82" w:rsidP="005B4C82">
            <w:pPr>
              <w:pStyle w:val="Paragraph"/>
              <w:ind w:firstLine="0"/>
            </w:pPr>
            <w:r w:rsidRPr="005B4C82">
              <w:t>R3</w:t>
            </w:r>
          </w:p>
        </w:tc>
        <w:tc>
          <w:tcPr>
            <w:tcW w:w="1181" w:type="dxa"/>
          </w:tcPr>
          <w:p w14:paraId="7703398A" w14:textId="6E81D70E" w:rsidR="005B4C82" w:rsidRPr="005B4C82" w:rsidRDefault="005B4C82" w:rsidP="005B4C82">
            <w:pPr>
              <w:jc w:val="center"/>
              <w:rPr>
                <w:sz w:val="20"/>
              </w:rPr>
            </w:pPr>
            <w:r w:rsidRPr="005B4C82">
              <w:rPr>
                <w:sz w:val="20"/>
              </w:rPr>
              <w:t>14.1</w:t>
            </w:r>
          </w:p>
        </w:tc>
        <w:tc>
          <w:tcPr>
            <w:tcW w:w="1181" w:type="dxa"/>
          </w:tcPr>
          <w:p w14:paraId="51C355B3" w14:textId="319E5E9B" w:rsidR="005B4C82" w:rsidRPr="005B4C82" w:rsidRDefault="005B4C82" w:rsidP="005B4C82">
            <w:pPr>
              <w:jc w:val="center"/>
              <w:rPr>
                <w:sz w:val="20"/>
              </w:rPr>
            </w:pPr>
            <w:r w:rsidRPr="005B4C82">
              <w:rPr>
                <w:sz w:val="20"/>
              </w:rPr>
              <w:t>15.4</w:t>
            </w:r>
          </w:p>
        </w:tc>
        <w:tc>
          <w:tcPr>
            <w:tcW w:w="1182" w:type="dxa"/>
          </w:tcPr>
          <w:p w14:paraId="4DBB8387" w14:textId="525CD293" w:rsidR="005B4C82" w:rsidRPr="005B4C82" w:rsidRDefault="005B4C82" w:rsidP="005B4C82">
            <w:pPr>
              <w:jc w:val="center"/>
              <w:rPr>
                <w:sz w:val="20"/>
              </w:rPr>
            </w:pPr>
            <w:r w:rsidRPr="005B4C82">
              <w:rPr>
                <w:sz w:val="20"/>
              </w:rPr>
              <w:t>15.3</w:t>
            </w:r>
          </w:p>
        </w:tc>
        <w:tc>
          <w:tcPr>
            <w:tcW w:w="1418" w:type="dxa"/>
            <w:vMerge/>
          </w:tcPr>
          <w:p w14:paraId="2DB1A12B" w14:textId="41EBC7B3" w:rsidR="005B4C82" w:rsidRPr="006E20A2" w:rsidRDefault="005B4C82" w:rsidP="005B4C82">
            <w:pPr>
              <w:jc w:val="center"/>
              <w:rPr>
                <w:sz w:val="20"/>
              </w:rPr>
            </w:pPr>
          </w:p>
        </w:tc>
      </w:tr>
    </w:tbl>
    <w:p w14:paraId="3F70D589" w14:textId="66BCB3EC" w:rsidR="005B4C82" w:rsidRDefault="005B4C82" w:rsidP="005B4C82">
      <w:pPr>
        <w:pStyle w:val="Paragraph"/>
        <w:rPr>
          <w:lang w:val="en-GB"/>
        </w:rPr>
      </w:pPr>
    </w:p>
    <w:p w14:paraId="0B381EBF" w14:textId="44D6090C" w:rsidR="005B4C82" w:rsidRDefault="005B4C82" w:rsidP="005B4C82">
      <w:pPr>
        <w:pStyle w:val="Paragraph"/>
        <w:rPr>
          <w:lang w:val="en-GB"/>
        </w:rPr>
      </w:pPr>
      <w:r w:rsidRPr="005B4C82">
        <w:rPr>
          <w:lang w:val="en-GB"/>
        </w:rPr>
        <w:t>The hardness values of ST 60 steel after undergoing quenching with water as the cooling medium are presented in Table 2. From this table, it is evident that quenching in water results in a significantly increased average hardness of 48.02 HRC.</w:t>
      </w:r>
    </w:p>
    <w:p w14:paraId="6225E31B" w14:textId="6286632A" w:rsidR="005B4C82" w:rsidRDefault="005B4C82" w:rsidP="005B4C82">
      <w:pPr>
        <w:pStyle w:val="Paragraph"/>
        <w:rPr>
          <w:lang w:val="en-GB"/>
        </w:rPr>
      </w:pPr>
    </w:p>
    <w:tbl>
      <w:tblPr>
        <w:tblW w:w="6096" w:type="dxa"/>
        <w:jc w:val="center"/>
        <w:tblBorders>
          <w:bottom w:val="single" w:sz="4" w:space="0" w:color="auto"/>
        </w:tblBorders>
        <w:tblLayout w:type="fixed"/>
        <w:tblLook w:val="0000" w:firstRow="0" w:lastRow="0" w:firstColumn="0" w:lastColumn="0" w:noHBand="0" w:noVBand="0"/>
      </w:tblPr>
      <w:tblGrid>
        <w:gridCol w:w="1134"/>
        <w:gridCol w:w="1181"/>
        <w:gridCol w:w="1181"/>
        <w:gridCol w:w="1182"/>
        <w:gridCol w:w="1418"/>
      </w:tblGrid>
      <w:tr w:rsidR="005B4C82" w:rsidRPr="00075EA6" w14:paraId="231B1E5D" w14:textId="77777777" w:rsidTr="009A3F8D">
        <w:trPr>
          <w:cantSplit/>
          <w:trHeight w:val="322"/>
          <w:jc w:val="center"/>
        </w:trPr>
        <w:tc>
          <w:tcPr>
            <w:tcW w:w="6096" w:type="dxa"/>
            <w:gridSpan w:val="5"/>
            <w:tcBorders>
              <w:bottom w:val="nil"/>
            </w:tcBorders>
          </w:tcPr>
          <w:p w14:paraId="4BE4C9B6" w14:textId="5B28D81E" w:rsidR="005B4C82" w:rsidRPr="002E6F1D" w:rsidRDefault="005B4C82" w:rsidP="009A3F8D">
            <w:pPr>
              <w:pStyle w:val="TableCaption"/>
              <w:rPr>
                <w:b/>
                <w:bCs/>
              </w:rPr>
            </w:pPr>
            <w:r w:rsidRPr="002E6F1D">
              <w:rPr>
                <w:b/>
                <w:bCs/>
              </w:rPr>
              <w:t xml:space="preserve">TABLE </w:t>
            </w:r>
            <w:r>
              <w:rPr>
                <w:b/>
                <w:bCs/>
              </w:rPr>
              <w:t>2</w:t>
            </w:r>
            <w:r w:rsidRPr="002E6F1D">
              <w:rPr>
                <w:b/>
                <w:bCs/>
              </w:rPr>
              <w:t>.</w:t>
            </w:r>
            <w:r>
              <w:t xml:space="preserve"> </w:t>
            </w:r>
            <w:r w:rsidRPr="005B4C82">
              <w:t>Rockwell Hardness</w:t>
            </w:r>
            <w:r>
              <w:t xml:space="preserve"> Result</w:t>
            </w:r>
            <w:r w:rsidRPr="005B4C82">
              <w:t xml:space="preserve"> with Water Quenching</w:t>
            </w:r>
            <w:r>
              <w:t>.</w:t>
            </w:r>
          </w:p>
        </w:tc>
      </w:tr>
      <w:tr w:rsidR="005B4C82" w:rsidRPr="00075EA6" w14:paraId="7F32053E" w14:textId="77777777" w:rsidTr="009A3F8D">
        <w:trPr>
          <w:cantSplit/>
          <w:trHeight w:val="272"/>
          <w:jc w:val="center"/>
        </w:trPr>
        <w:tc>
          <w:tcPr>
            <w:tcW w:w="1134" w:type="dxa"/>
            <w:vMerge w:val="restart"/>
            <w:tcBorders>
              <w:top w:val="single" w:sz="4" w:space="0" w:color="auto"/>
            </w:tcBorders>
          </w:tcPr>
          <w:p w14:paraId="6268A80E" w14:textId="77777777" w:rsidR="005B4C82" w:rsidRPr="006E20A2" w:rsidRDefault="005B4C82" w:rsidP="009A3F8D">
            <w:pPr>
              <w:rPr>
                <w:b/>
                <w:bCs/>
                <w:sz w:val="18"/>
                <w:szCs w:val="18"/>
              </w:rPr>
            </w:pPr>
            <w:r w:rsidRPr="005B4C82">
              <w:rPr>
                <w:b/>
                <w:bCs/>
                <w:sz w:val="18"/>
                <w:szCs w:val="18"/>
              </w:rPr>
              <w:t>Specimen</w:t>
            </w:r>
          </w:p>
        </w:tc>
        <w:tc>
          <w:tcPr>
            <w:tcW w:w="3544" w:type="dxa"/>
            <w:gridSpan w:val="3"/>
            <w:tcBorders>
              <w:top w:val="single" w:sz="4" w:space="0" w:color="auto"/>
              <w:bottom w:val="single" w:sz="4" w:space="0" w:color="auto"/>
            </w:tcBorders>
          </w:tcPr>
          <w:p w14:paraId="64040BDB" w14:textId="77777777" w:rsidR="005B4C82" w:rsidRPr="006E20A2" w:rsidRDefault="005B4C82" w:rsidP="009A3F8D">
            <w:pPr>
              <w:jc w:val="center"/>
              <w:rPr>
                <w:b/>
                <w:bCs/>
                <w:sz w:val="18"/>
                <w:szCs w:val="18"/>
              </w:rPr>
            </w:pPr>
            <w:r w:rsidRPr="005B4C82">
              <w:rPr>
                <w:b/>
                <w:bCs/>
                <w:sz w:val="18"/>
                <w:szCs w:val="18"/>
              </w:rPr>
              <w:t>Rockwell Hardness Value (HRC)</w:t>
            </w:r>
          </w:p>
        </w:tc>
        <w:tc>
          <w:tcPr>
            <w:tcW w:w="1418" w:type="dxa"/>
            <w:vMerge w:val="restart"/>
            <w:tcBorders>
              <w:top w:val="single" w:sz="4" w:space="0" w:color="auto"/>
            </w:tcBorders>
          </w:tcPr>
          <w:p w14:paraId="0A47CA8C" w14:textId="77777777" w:rsidR="005B4C82" w:rsidRPr="006E20A2" w:rsidRDefault="005B4C82" w:rsidP="009A3F8D">
            <w:pPr>
              <w:jc w:val="center"/>
              <w:rPr>
                <w:b/>
                <w:bCs/>
                <w:sz w:val="18"/>
                <w:szCs w:val="18"/>
              </w:rPr>
            </w:pPr>
            <w:r w:rsidRPr="005B4C82">
              <w:rPr>
                <w:b/>
                <w:bCs/>
                <w:sz w:val="18"/>
                <w:szCs w:val="18"/>
              </w:rPr>
              <w:t>Average</w:t>
            </w:r>
          </w:p>
        </w:tc>
      </w:tr>
      <w:tr w:rsidR="005B4C82" w:rsidRPr="00075EA6" w14:paraId="2EED1886" w14:textId="77777777" w:rsidTr="009A3F8D">
        <w:trPr>
          <w:cantSplit/>
          <w:trHeight w:val="272"/>
          <w:jc w:val="center"/>
        </w:trPr>
        <w:tc>
          <w:tcPr>
            <w:tcW w:w="1134" w:type="dxa"/>
            <w:vMerge/>
            <w:tcBorders>
              <w:bottom w:val="single" w:sz="4" w:space="0" w:color="auto"/>
            </w:tcBorders>
          </w:tcPr>
          <w:p w14:paraId="3D00180E" w14:textId="77777777" w:rsidR="005B4C82" w:rsidRPr="005B4C82" w:rsidRDefault="005B4C82" w:rsidP="009A3F8D">
            <w:pPr>
              <w:rPr>
                <w:b/>
                <w:bCs/>
                <w:sz w:val="18"/>
                <w:szCs w:val="18"/>
              </w:rPr>
            </w:pPr>
          </w:p>
        </w:tc>
        <w:tc>
          <w:tcPr>
            <w:tcW w:w="1181" w:type="dxa"/>
            <w:tcBorders>
              <w:top w:val="single" w:sz="4" w:space="0" w:color="auto"/>
              <w:bottom w:val="single" w:sz="4" w:space="0" w:color="auto"/>
            </w:tcBorders>
          </w:tcPr>
          <w:p w14:paraId="47A7A6BB" w14:textId="77777777" w:rsidR="005B4C82" w:rsidRPr="006E20A2" w:rsidRDefault="005B4C82" w:rsidP="009A3F8D">
            <w:pPr>
              <w:jc w:val="center"/>
              <w:rPr>
                <w:b/>
                <w:bCs/>
                <w:sz w:val="18"/>
                <w:szCs w:val="18"/>
              </w:rPr>
            </w:pPr>
            <w:r>
              <w:rPr>
                <w:b/>
                <w:bCs/>
                <w:sz w:val="18"/>
                <w:szCs w:val="18"/>
              </w:rPr>
              <w:t>Point 1</w:t>
            </w:r>
          </w:p>
        </w:tc>
        <w:tc>
          <w:tcPr>
            <w:tcW w:w="1181" w:type="dxa"/>
            <w:tcBorders>
              <w:top w:val="single" w:sz="4" w:space="0" w:color="auto"/>
              <w:bottom w:val="single" w:sz="4" w:space="0" w:color="auto"/>
            </w:tcBorders>
          </w:tcPr>
          <w:p w14:paraId="05B41F04" w14:textId="77777777" w:rsidR="005B4C82" w:rsidRPr="006E20A2" w:rsidRDefault="005B4C82" w:rsidP="009A3F8D">
            <w:pPr>
              <w:jc w:val="center"/>
              <w:rPr>
                <w:b/>
                <w:bCs/>
                <w:sz w:val="18"/>
                <w:szCs w:val="18"/>
              </w:rPr>
            </w:pPr>
            <w:r>
              <w:rPr>
                <w:b/>
                <w:bCs/>
                <w:sz w:val="18"/>
                <w:szCs w:val="18"/>
              </w:rPr>
              <w:t>Point 2</w:t>
            </w:r>
          </w:p>
        </w:tc>
        <w:tc>
          <w:tcPr>
            <w:tcW w:w="1182" w:type="dxa"/>
            <w:tcBorders>
              <w:top w:val="single" w:sz="4" w:space="0" w:color="auto"/>
              <w:bottom w:val="single" w:sz="4" w:space="0" w:color="auto"/>
            </w:tcBorders>
          </w:tcPr>
          <w:p w14:paraId="6A169014" w14:textId="77777777" w:rsidR="005B4C82" w:rsidRPr="006E20A2" w:rsidRDefault="005B4C82" w:rsidP="009A3F8D">
            <w:pPr>
              <w:jc w:val="center"/>
              <w:rPr>
                <w:b/>
                <w:bCs/>
                <w:sz w:val="18"/>
                <w:szCs w:val="18"/>
              </w:rPr>
            </w:pPr>
            <w:r>
              <w:rPr>
                <w:b/>
                <w:bCs/>
                <w:sz w:val="18"/>
                <w:szCs w:val="18"/>
              </w:rPr>
              <w:t>Point 3</w:t>
            </w:r>
          </w:p>
        </w:tc>
        <w:tc>
          <w:tcPr>
            <w:tcW w:w="1418" w:type="dxa"/>
            <w:vMerge/>
            <w:tcBorders>
              <w:bottom w:val="single" w:sz="4" w:space="0" w:color="auto"/>
            </w:tcBorders>
          </w:tcPr>
          <w:p w14:paraId="7EA22EDF" w14:textId="77777777" w:rsidR="005B4C82" w:rsidRPr="006E20A2" w:rsidRDefault="005B4C82" w:rsidP="009A3F8D">
            <w:pPr>
              <w:jc w:val="center"/>
              <w:rPr>
                <w:b/>
                <w:bCs/>
                <w:sz w:val="18"/>
                <w:szCs w:val="18"/>
              </w:rPr>
            </w:pPr>
          </w:p>
        </w:tc>
      </w:tr>
      <w:tr w:rsidR="005B4C82" w:rsidRPr="005A0E21" w14:paraId="048A279C" w14:textId="77777777" w:rsidTr="009A3F8D">
        <w:trPr>
          <w:cantSplit/>
          <w:jc w:val="center"/>
        </w:trPr>
        <w:tc>
          <w:tcPr>
            <w:tcW w:w="1134" w:type="dxa"/>
            <w:tcBorders>
              <w:top w:val="nil"/>
            </w:tcBorders>
          </w:tcPr>
          <w:p w14:paraId="58D29BBA" w14:textId="77777777" w:rsidR="005B4C82" w:rsidRPr="005B4C82" w:rsidRDefault="005B4C82" w:rsidP="009A3F8D">
            <w:pPr>
              <w:pStyle w:val="Paragraph"/>
              <w:ind w:firstLine="0"/>
            </w:pPr>
            <w:r w:rsidRPr="005B4C82">
              <w:t>R1</w:t>
            </w:r>
          </w:p>
        </w:tc>
        <w:tc>
          <w:tcPr>
            <w:tcW w:w="1181" w:type="dxa"/>
            <w:tcBorders>
              <w:top w:val="nil"/>
            </w:tcBorders>
          </w:tcPr>
          <w:p w14:paraId="22AD209D" w14:textId="30B3B77C" w:rsidR="005B4C82" w:rsidRPr="005B4C82" w:rsidRDefault="005B4C82" w:rsidP="009A3F8D">
            <w:pPr>
              <w:jc w:val="center"/>
              <w:rPr>
                <w:sz w:val="20"/>
              </w:rPr>
            </w:pPr>
            <w:r>
              <w:rPr>
                <w:sz w:val="20"/>
              </w:rPr>
              <w:t>48.3</w:t>
            </w:r>
          </w:p>
        </w:tc>
        <w:tc>
          <w:tcPr>
            <w:tcW w:w="1181" w:type="dxa"/>
            <w:tcBorders>
              <w:top w:val="nil"/>
            </w:tcBorders>
          </w:tcPr>
          <w:p w14:paraId="66C8EC0B" w14:textId="5B807AE3" w:rsidR="005B4C82" w:rsidRPr="005B4C82" w:rsidRDefault="005B4C82" w:rsidP="009A3F8D">
            <w:pPr>
              <w:jc w:val="center"/>
              <w:rPr>
                <w:sz w:val="20"/>
              </w:rPr>
            </w:pPr>
            <w:r>
              <w:rPr>
                <w:sz w:val="20"/>
              </w:rPr>
              <w:t>47.7</w:t>
            </w:r>
          </w:p>
        </w:tc>
        <w:tc>
          <w:tcPr>
            <w:tcW w:w="1182" w:type="dxa"/>
            <w:tcBorders>
              <w:top w:val="nil"/>
            </w:tcBorders>
          </w:tcPr>
          <w:p w14:paraId="45144700" w14:textId="1D3051E9" w:rsidR="005B4C82" w:rsidRPr="005B4C82" w:rsidRDefault="005B4C82" w:rsidP="009A3F8D">
            <w:pPr>
              <w:jc w:val="center"/>
              <w:rPr>
                <w:sz w:val="20"/>
              </w:rPr>
            </w:pPr>
            <w:r>
              <w:rPr>
                <w:sz w:val="20"/>
              </w:rPr>
              <w:t>48.1</w:t>
            </w:r>
          </w:p>
        </w:tc>
        <w:tc>
          <w:tcPr>
            <w:tcW w:w="1418" w:type="dxa"/>
            <w:vMerge w:val="restart"/>
            <w:tcBorders>
              <w:top w:val="nil"/>
            </w:tcBorders>
            <w:vAlign w:val="center"/>
          </w:tcPr>
          <w:p w14:paraId="35F49F25" w14:textId="244F4A6D" w:rsidR="005B4C82" w:rsidRPr="006E20A2" w:rsidRDefault="005B4C82" w:rsidP="009A3F8D">
            <w:pPr>
              <w:jc w:val="center"/>
              <w:rPr>
                <w:sz w:val="20"/>
              </w:rPr>
            </w:pPr>
            <w:r>
              <w:rPr>
                <w:sz w:val="20"/>
              </w:rPr>
              <w:t>48.02</w:t>
            </w:r>
          </w:p>
        </w:tc>
      </w:tr>
      <w:tr w:rsidR="005B4C82" w:rsidRPr="005A0E21" w14:paraId="45FF1FC7" w14:textId="77777777" w:rsidTr="009A3F8D">
        <w:trPr>
          <w:cantSplit/>
          <w:jc w:val="center"/>
        </w:trPr>
        <w:tc>
          <w:tcPr>
            <w:tcW w:w="1134" w:type="dxa"/>
          </w:tcPr>
          <w:p w14:paraId="431E44FE" w14:textId="77777777" w:rsidR="005B4C82" w:rsidRPr="005B4C82" w:rsidRDefault="005B4C82" w:rsidP="009A3F8D">
            <w:pPr>
              <w:pStyle w:val="Paragraph"/>
              <w:ind w:firstLine="0"/>
            </w:pPr>
            <w:r w:rsidRPr="005B4C82">
              <w:t>R2</w:t>
            </w:r>
          </w:p>
        </w:tc>
        <w:tc>
          <w:tcPr>
            <w:tcW w:w="1181" w:type="dxa"/>
          </w:tcPr>
          <w:p w14:paraId="7B499C63" w14:textId="0DFFC819" w:rsidR="005B4C82" w:rsidRPr="005B4C82" w:rsidRDefault="005B4C82" w:rsidP="009A3F8D">
            <w:pPr>
              <w:jc w:val="center"/>
              <w:rPr>
                <w:sz w:val="20"/>
              </w:rPr>
            </w:pPr>
            <w:r>
              <w:rPr>
                <w:sz w:val="20"/>
              </w:rPr>
              <w:t>48.1</w:t>
            </w:r>
          </w:p>
        </w:tc>
        <w:tc>
          <w:tcPr>
            <w:tcW w:w="1181" w:type="dxa"/>
          </w:tcPr>
          <w:p w14:paraId="5201732E" w14:textId="28F94704" w:rsidR="005B4C82" w:rsidRPr="005B4C82" w:rsidRDefault="005B4C82" w:rsidP="009A3F8D">
            <w:pPr>
              <w:jc w:val="center"/>
              <w:rPr>
                <w:sz w:val="20"/>
              </w:rPr>
            </w:pPr>
            <w:r>
              <w:rPr>
                <w:sz w:val="20"/>
              </w:rPr>
              <w:t>48</w:t>
            </w:r>
          </w:p>
        </w:tc>
        <w:tc>
          <w:tcPr>
            <w:tcW w:w="1182" w:type="dxa"/>
          </w:tcPr>
          <w:p w14:paraId="1CAC973C" w14:textId="09496F4D" w:rsidR="005B4C82" w:rsidRPr="005B4C82" w:rsidRDefault="005B4C82" w:rsidP="009A3F8D">
            <w:pPr>
              <w:jc w:val="center"/>
              <w:rPr>
                <w:sz w:val="20"/>
              </w:rPr>
            </w:pPr>
            <w:r>
              <w:rPr>
                <w:sz w:val="20"/>
              </w:rPr>
              <w:t>48.1</w:t>
            </w:r>
          </w:p>
        </w:tc>
        <w:tc>
          <w:tcPr>
            <w:tcW w:w="1418" w:type="dxa"/>
            <w:vMerge/>
          </w:tcPr>
          <w:p w14:paraId="2432A560" w14:textId="77777777" w:rsidR="005B4C82" w:rsidRPr="006E20A2" w:rsidRDefault="005B4C82" w:rsidP="009A3F8D">
            <w:pPr>
              <w:jc w:val="center"/>
              <w:rPr>
                <w:sz w:val="20"/>
              </w:rPr>
            </w:pPr>
          </w:p>
        </w:tc>
      </w:tr>
      <w:tr w:rsidR="005B4C82" w:rsidRPr="005A0E21" w14:paraId="7DE57241" w14:textId="77777777" w:rsidTr="009A3F8D">
        <w:trPr>
          <w:cantSplit/>
          <w:trHeight w:val="237"/>
          <w:jc w:val="center"/>
        </w:trPr>
        <w:tc>
          <w:tcPr>
            <w:tcW w:w="1134" w:type="dxa"/>
          </w:tcPr>
          <w:p w14:paraId="6772EF34" w14:textId="77777777" w:rsidR="005B4C82" w:rsidRPr="005B4C82" w:rsidRDefault="005B4C82" w:rsidP="009A3F8D">
            <w:pPr>
              <w:pStyle w:val="Paragraph"/>
              <w:ind w:firstLine="0"/>
            </w:pPr>
            <w:r w:rsidRPr="005B4C82">
              <w:t>R3</w:t>
            </w:r>
          </w:p>
        </w:tc>
        <w:tc>
          <w:tcPr>
            <w:tcW w:w="1181" w:type="dxa"/>
          </w:tcPr>
          <w:p w14:paraId="3F4F9CE5" w14:textId="71886500" w:rsidR="005B4C82" w:rsidRPr="005B4C82" w:rsidRDefault="005B4C82" w:rsidP="009A3F8D">
            <w:pPr>
              <w:jc w:val="center"/>
              <w:rPr>
                <w:sz w:val="20"/>
              </w:rPr>
            </w:pPr>
            <w:r>
              <w:rPr>
                <w:sz w:val="20"/>
              </w:rPr>
              <w:t>47.7</w:t>
            </w:r>
          </w:p>
        </w:tc>
        <w:tc>
          <w:tcPr>
            <w:tcW w:w="1181" w:type="dxa"/>
          </w:tcPr>
          <w:p w14:paraId="6C42D275" w14:textId="1BF73C36" w:rsidR="005B4C82" w:rsidRPr="005B4C82" w:rsidRDefault="005B4C82" w:rsidP="009A3F8D">
            <w:pPr>
              <w:jc w:val="center"/>
              <w:rPr>
                <w:sz w:val="20"/>
              </w:rPr>
            </w:pPr>
            <w:r>
              <w:rPr>
                <w:sz w:val="20"/>
              </w:rPr>
              <w:t>48.3</w:t>
            </w:r>
          </w:p>
        </w:tc>
        <w:tc>
          <w:tcPr>
            <w:tcW w:w="1182" w:type="dxa"/>
          </w:tcPr>
          <w:p w14:paraId="5A90C777" w14:textId="46C4E443" w:rsidR="005B4C82" w:rsidRPr="005B4C82" w:rsidRDefault="005B4C82" w:rsidP="009A3F8D">
            <w:pPr>
              <w:jc w:val="center"/>
              <w:rPr>
                <w:sz w:val="20"/>
              </w:rPr>
            </w:pPr>
            <w:r>
              <w:rPr>
                <w:sz w:val="20"/>
              </w:rPr>
              <w:t>47.9</w:t>
            </w:r>
          </w:p>
        </w:tc>
        <w:tc>
          <w:tcPr>
            <w:tcW w:w="1418" w:type="dxa"/>
            <w:vMerge/>
          </w:tcPr>
          <w:p w14:paraId="7F410EE5" w14:textId="77777777" w:rsidR="005B4C82" w:rsidRPr="006E20A2" w:rsidRDefault="005B4C82" w:rsidP="009A3F8D">
            <w:pPr>
              <w:jc w:val="center"/>
              <w:rPr>
                <w:sz w:val="20"/>
              </w:rPr>
            </w:pPr>
          </w:p>
        </w:tc>
      </w:tr>
    </w:tbl>
    <w:p w14:paraId="03002CBA" w14:textId="77777777" w:rsidR="005B4C82" w:rsidRPr="005B4C82" w:rsidRDefault="005B4C82" w:rsidP="005B4C82">
      <w:pPr>
        <w:pStyle w:val="Paragraph"/>
        <w:rPr>
          <w:lang w:val="en-GB"/>
        </w:rPr>
      </w:pPr>
    </w:p>
    <w:p w14:paraId="38C09CE9" w14:textId="214B2047" w:rsidR="005B4C82" w:rsidRDefault="005B4C82" w:rsidP="005B4C82">
      <w:pPr>
        <w:pStyle w:val="Paragraph"/>
        <w:rPr>
          <w:lang w:val="en-GB"/>
        </w:rPr>
      </w:pPr>
      <w:r w:rsidRPr="005B4C82">
        <w:rPr>
          <w:lang w:val="en-GB"/>
        </w:rPr>
        <w:t>Table 3 displays the results of the hardness test after quenching with a 3.5% saltwater solution. The average Rockwell hardness achieved through this medium is 43.12 HRC.</w:t>
      </w:r>
    </w:p>
    <w:p w14:paraId="67483F02" w14:textId="77777777" w:rsidR="00CD34E3" w:rsidRDefault="00CD34E3" w:rsidP="00CD34E3">
      <w:pPr>
        <w:pStyle w:val="Paragraph"/>
        <w:rPr>
          <w:lang w:val="en-GB"/>
        </w:rPr>
      </w:pPr>
      <w:r w:rsidRPr="005B4C82">
        <w:rPr>
          <w:lang w:val="en-GB"/>
        </w:rPr>
        <w:t>Furthermore, the hardness values following quenching in a 34% saltwater solution are shown in Table 4. The average hardness obtained in this case reaches 48.84 HRC.</w:t>
      </w:r>
    </w:p>
    <w:p w14:paraId="1412E063" w14:textId="77777777" w:rsidR="00CD34E3" w:rsidRPr="005B4C82" w:rsidRDefault="00CD34E3" w:rsidP="005B4C82">
      <w:pPr>
        <w:pStyle w:val="Paragraph"/>
        <w:rPr>
          <w:lang w:val="en-GB"/>
        </w:rPr>
      </w:pPr>
    </w:p>
    <w:p w14:paraId="5050591C" w14:textId="348A01A3" w:rsidR="005B4C82" w:rsidRDefault="005B4C82" w:rsidP="005B4C82">
      <w:pPr>
        <w:pStyle w:val="Paragraph"/>
        <w:rPr>
          <w:lang w:val="en-GB"/>
        </w:rPr>
      </w:pPr>
    </w:p>
    <w:tbl>
      <w:tblPr>
        <w:tblW w:w="6096" w:type="dxa"/>
        <w:jc w:val="center"/>
        <w:tblBorders>
          <w:bottom w:val="single" w:sz="4" w:space="0" w:color="auto"/>
        </w:tblBorders>
        <w:tblLayout w:type="fixed"/>
        <w:tblLook w:val="0000" w:firstRow="0" w:lastRow="0" w:firstColumn="0" w:lastColumn="0" w:noHBand="0" w:noVBand="0"/>
      </w:tblPr>
      <w:tblGrid>
        <w:gridCol w:w="1134"/>
        <w:gridCol w:w="1181"/>
        <w:gridCol w:w="1181"/>
        <w:gridCol w:w="1182"/>
        <w:gridCol w:w="1418"/>
      </w:tblGrid>
      <w:tr w:rsidR="005B4C82" w:rsidRPr="00075EA6" w14:paraId="296ECF2B" w14:textId="77777777" w:rsidTr="009A3F8D">
        <w:trPr>
          <w:cantSplit/>
          <w:trHeight w:val="322"/>
          <w:jc w:val="center"/>
        </w:trPr>
        <w:tc>
          <w:tcPr>
            <w:tcW w:w="6096" w:type="dxa"/>
            <w:gridSpan w:val="5"/>
            <w:tcBorders>
              <w:bottom w:val="nil"/>
            </w:tcBorders>
          </w:tcPr>
          <w:p w14:paraId="6D607B80" w14:textId="3B795F12" w:rsidR="005B4C82" w:rsidRPr="002E6F1D" w:rsidRDefault="005B4C82" w:rsidP="009A3F8D">
            <w:pPr>
              <w:pStyle w:val="TableCaption"/>
              <w:rPr>
                <w:b/>
                <w:bCs/>
              </w:rPr>
            </w:pPr>
            <w:r w:rsidRPr="002E6F1D">
              <w:rPr>
                <w:b/>
                <w:bCs/>
              </w:rPr>
              <w:lastRenderedPageBreak/>
              <w:t xml:space="preserve">TABLE </w:t>
            </w:r>
            <w:r>
              <w:rPr>
                <w:b/>
                <w:bCs/>
              </w:rPr>
              <w:t>3</w:t>
            </w:r>
            <w:r w:rsidRPr="002E6F1D">
              <w:rPr>
                <w:b/>
                <w:bCs/>
              </w:rPr>
              <w:t>.</w:t>
            </w:r>
            <w:r>
              <w:t xml:space="preserve"> </w:t>
            </w:r>
            <w:r w:rsidRPr="005B4C82">
              <w:t>Rockwell Hardness</w:t>
            </w:r>
            <w:r>
              <w:t xml:space="preserve"> Result</w:t>
            </w:r>
            <w:r w:rsidRPr="005B4C82">
              <w:t xml:space="preserve"> with </w:t>
            </w:r>
            <w:r>
              <w:t xml:space="preserve">3.5% </w:t>
            </w:r>
            <w:r w:rsidRPr="005B4C82">
              <w:t>Salt Solution Quenching</w:t>
            </w:r>
            <w:r>
              <w:t>.</w:t>
            </w:r>
          </w:p>
        </w:tc>
      </w:tr>
      <w:tr w:rsidR="005B4C82" w:rsidRPr="00075EA6" w14:paraId="7CF3D544" w14:textId="77777777" w:rsidTr="009A3F8D">
        <w:trPr>
          <w:cantSplit/>
          <w:trHeight w:val="272"/>
          <w:jc w:val="center"/>
        </w:trPr>
        <w:tc>
          <w:tcPr>
            <w:tcW w:w="1134" w:type="dxa"/>
            <w:vMerge w:val="restart"/>
            <w:tcBorders>
              <w:top w:val="single" w:sz="4" w:space="0" w:color="auto"/>
            </w:tcBorders>
          </w:tcPr>
          <w:p w14:paraId="1B0E6D3B" w14:textId="77777777" w:rsidR="005B4C82" w:rsidRPr="006E20A2" w:rsidRDefault="005B4C82" w:rsidP="009A3F8D">
            <w:pPr>
              <w:rPr>
                <w:b/>
                <w:bCs/>
                <w:sz w:val="18"/>
                <w:szCs w:val="18"/>
              </w:rPr>
            </w:pPr>
            <w:r w:rsidRPr="005B4C82">
              <w:rPr>
                <w:b/>
                <w:bCs/>
                <w:sz w:val="18"/>
                <w:szCs w:val="18"/>
              </w:rPr>
              <w:t>Specimen</w:t>
            </w:r>
          </w:p>
        </w:tc>
        <w:tc>
          <w:tcPr>
            <w:tcW w:w="3544" w:type="dxa"/>
            <w:gridSpan w:val="3"/>
            <w:tcBorders>
              <w:top w:val="single" w:sz="4" w:space="0" w:color="auto"/>
              <w:bottom w:val="single" w:sz="4" w:space="0" w:color="auto"/>
            </w:tcBorders>
          </w:tcPr>
          <w:p w14:paraId="13812449" w14:textId="77777777" w:rsidR="005B4C82" w:rsidRPr="006E20A2" w:rsidRDefault="005B4C82" w:rsidP="009A3F8D">
            <w:pPr>
              <w:jc w:val="center"/>
              <w:rPr>
                <w:b/>
                <w:bCs/>
                <w:sz w:val="18"/>
                <w:szCs w:val="18"/>
              </w:rPr>
            </w:pPr>
            <w:r w:rsidRPr="005B4C82">
              <w:rPr>
                <w:b/>
                <w:bCs/>
                <w:sz w:val="18"/>
                <w:szCs w:val="18"/>
              </w:rPr>
              <w:t>Rockwell Hardness Value (HRC)</w:t>
            </w:r>
          </w:p>
        </w:tc>
        <w:tc>
          <w:tcPr>
            <w:tcW w:w="1418" w:type="dxa"/>
            <w:vMerge w:val="restart"/>
            <w:tcBorders>
              <w:top w:val="single" w:sz="4" w:space="0" w:color="auto"/>
            </w:tcBorders>
          </w:tcPr>
          <w:p w14:paraId="5C59D2AB" w14:textId="77777777" w:rsidR="005B4C82" w:rsidRPr="006E20A2" w:rsidRDefault="005B4C82" w:rsidP="009A3F8D">
            <w:pPr>
              <w:jc w:val="center"/>
              <w:rPr>
                <w:b/>
                <w:bCs/>
                <w:sz w:val="18"/>
                <w:szCs w:val="18"/>
              </w:rPr>
            </w:pPr>
            <w:r w:rsidRPr="005B4C82">
              <w:rPr>
                <w:b/>
                <w:bCs/>
                <w:sz w:val="18"/>
                <w:szCs w:val="18"/>
              </w:rPr>
              <w:t>Average</w:t>
            </w:r>
          </w:p>
        </w:tc>
      </w:tr>
      <w:tr w:rsidR="005B4C82" w:rsidRPr="00075EA6" w14:paraId="5C014651" w14:textId="77777777" w:rsidTr="009A3F8D">
        <w:trPr>
          <w:cantSplit/>
          <w:trHeight w:val="272"/>
          <w:jc w:val="center"/>
        </w:trPr>
        <w:tc>
          <w:tcPr>
            <w:tcW w:w="1134" w:type="dxa"/>
            <w:vMerge/>
            <w:tcBorders>
              <w:bottom w:val="single" w:sz="4" w:space="0" w:color="auto"/>
            </w:tcBorders>
          </w:tcPr>
          <w:p w14:paraId="3149882A" w14:textId="77777777" w:rsidR="005B4C82" w:rsidRPr="005B4C82" w:rsidRDefault="005B4C82" w:rsidP="009A3F8D">
            <w:pPr>
              <w:rPr>
                <w:b/>
                <w:bCs/>
                <w:sz w:val="18"/>
                <w:szCs w:val="18"/>
              </w:rPr>
            </w:pPr>
          </w:p>
        </w:tc>
        <w:tc>
          <w:tcPr>
            <w:tcW w:w="1181" w:type="dxa"/>
            <w:tcBorders>
              <w:top w:val="single" w:sz="4" w:space="0" w:color="auto"/>
              <w:bottom w:val="single" w:sz="4" w:space="0" w:color="auto"/>
            </w:tcBorders>
          </w:tcPr>
          <w:p w14:paraId="6CF993D7" w14:textId="77777777" w:rsidR="005B4C82" w:rsidRPr="006E20A2" w:rsidRDefault="005B4C82" w:rsidP="009A3F8D">
            <w:pPr>
              <w:jc w:val="center"/>
              <w:rPr>
                <w:b/>
                <w:bCs/>
                <w:sz w:val="18"/>
                <w:szCs w:val="18"/>
              </w:rPr>
            </w:pPr>
            <w:r>
              <w:rPr>
                <w:b/>
                <w:bCs/>
                <w:sz w:val="18"/>
                <w:szCs w:val="18"/>
              </w:rPr>
              <w:t>Point 1</w:t>
            </w:r>
          </w:p>
        </w:tc>
        <w:tc>
          <w:tcPr>
            <w:tcW w:w="1181" w:type="dxa"/>
            <w:tcBorders>
              <w:top w:val="single" w:sz="4" w:space="0" w:color="auto"/>
              <w:bottom w:val="single" w:sz="4" w:space="0" w:color="auto"/>
            </w:tcBorders>
          </w:tcPr>
          <w:p w14:paraId="3DA97E1D" w14:textId="77777777" w:rsidR="005B4C82" w:rsidRPr="006E20A2" w:rsidRDefault="005B4C82" w:rsidP="009A3F8D">
            <w:pPr>
              <w:jc w:val="center"/>
              <w:rPr>
                <w:b/>
                <w:bCs/>
                <w:sz w:val="18"/>
                <w:szCs w:val="18"/>
              </w:rPr>
            </w:pPr>
            <w:r>
              <w:rPr>
                <w:b/>
                <w:bCs/>
                <w:sz w:val="18"/>
                <w:szCs w:val="18"/>
              </w:rPr>
              <w:t>Point 2</w:t>
            </w:r>
          </w:p>
        </w:tc>
        <w:tc>
          <w:tcPr>
            <w:tcW w:w="1182" w:type="dxa"/>
            <w:tcBorders>
              <w:top w:val="single" w:sz="4" w:space="0" w:color="auto"/>
              <w:bottom w:val="single" w:sz="4" w:space="0" w:color="auto"/>
            </w:tcBorders>
          </w:tcPr>
          <w:p w14:paraId="2A5804AA" w14:textId="77777777" w:rsidR="005B4C82" w:rsidRPr="006E20A2" w:rsidRDefault="005B4C82" w:rsidP="009A3F8D">
            <w:pPr>
              <w:jc w:val="center"/>
              <w:rPr>
                <w:b/>
                <w:bCs/>
                <w:sz w:val="18"/>
                <w:szCs w:val="18"/>
              </w:rPr>
            </w:pPr>
            <w:r>
              <w:rPr>
                <w:b/>
                <w:bCs/>
                <w:sz w:val="18"/>
                <w:szCs w:val="18"/>
              </w:rPr>
              <w:t>Point 3</w:t>
            </w:r>
          </w:p>
        </w:tc>
        <w:tc>
          <w:tcPr>
            <w:tcW w:w="1418" w:type="dxa"/>
            <w:vMerge/>
            <w:tcBorders>
              <w:bottom w:val="single" w:sz="4" w:space="0" w:color="auto"/>
            </w:tcBorders>
          </w:tcPr>
          <w:p w14:paraId="0DB7B757" w14:textId="77777777" w:rsidR="005B4C82" w:rsidRPr="006E20A2" w:rsidRDefault="005B4C82" w:rsidP="009A3F8D">
            <w:pPr>
              <w:jc w:val="center"/>
              <w:rPr>
                <w:b/>
                <w:bCs/>
                <w:sz w:val="18"/>
                <w:szCs w:val="18"/>
              </w:rPr>
            </w:pPr>
          </w:p>
        </w:tc>
      </w:tr>
      <w:tr w:rsidR="005B4C82" w:rsidRPr="005A0E21" w14:paraId="5DD22FA4" w14:textId="77777777" w:rsidTr="009A3F8D">
        <w:trPr>
          <w:cantSplit/>
          <w:jc w:val="center"/>
        </w:trPr>
        <w:tc>
          <w:tcPr>
            <w:tcW w:w="1134" w:type="dxa"/>
            <w:tcBorders>
              <w:top w:val="nil"/>
            </w:tcBorders>
          </w:tcPr>
          <w:p w14:paraId="37F376BB" w14:textId="77777777" w:rsidR="005B4C82" w:rsidRPr="005B4C82" w:rsidRDefault="005B4C82" w:rsidP="005B4C82">
            <w:pPr>
              <w:pStyle w:val="Paragraph"/>
              <w:ind w:firstLine="0"/>
            </w:pPr>
            <w:r w:rsidRPr="005B4C82">
              <w:t>R1</w:t>
            </w:r>
          </w:p>
        </w:tc>
        <w:tc>
          <w:tcPr>
            <w:tcW w:w="1181" w:type="dxa"/>
            <w:tcBorders>
              <w:top w:val="nil"/>
            </w:tcBorders>
          </w:tcPr>
          <w:p w14:paraId="121EAD97" w14:textId="1B5E09E9" w:rsidR="005B4C82" w:rsidRPr="005B4C82" w:rsidRDefault="005B4C82" w:rsidP="005B4C82">
            <w:pPr>
              <w:jc w:val="center"/>
              <w:rPr>
                <w:sz w:val="20"/>
              </w:rPr>
            </w:pPr>
            <w:r w:rsidRPr="005B4C82">
              <w:rPr>
                <w:sz w:val="20"/>
              </w:rPr>
              <w:t>42.8</w:t>
            </w:r>
          </w:p>
        </w:tc>
        <w:tc>
          <w:tcPr>
            <w:tcW w:w="1181" w:type="dxa"/>
            <w:tcBorders>
              <w:top w:val="nil"/>
            </w:tcBorders>
          </w:tcPr>
          <w:p w14:paraId="3DF64289" w14:textId="01AEFDCD" w:rsidR="005B4C82" w:rsidRPr="005B4C82" w:rsidRDefault="005B4C82" w:rsidP="005B4C82">
            <w:pPr>
              <w:jc w:val="center"/>
              <w:rPr>
                <w:sz w:val="20"/>
              </w:rPr>
            </w:pPr>
            <w:r w:rsidRPr="005B4C82">
              <w:rPr>
                <w:sz w:val="20"/>
              </w:rPr>
              <w:t>43.0</w:t>
            </w:r>
          </w:p>
        </w:tc>
        <w:tc>
          <w:tcPr>
            <w:tcW w:w="1182" w:type="dxa"/>
            <w:tcBorders>
              <w:top w:val="nil"/>
            </w:tcBorders>
          </w:tcPr>
          <w:p w14:paraId="2B6362F4" w14:textId="314B3FE5" w:rsidR="005B4C82" w:rsidRPr="005B4C82" w:rsidRDefault="005B4C82" w:rsidP="005B4C82">
            <w:pPr>
              <w:jc w:val="center"/>
              <w:rPr>
                <w:sz w:val="20"/>
              </w:rPr>
            </w:pPr>
            <w:r w:rsidRPr="005B4C82">
              <w:rPr>
                <w:sz w:val="20"/>
              </w:rPr>
              <w:t>43.5</w:t>
            </w:r>
          </w:p>
        </w:tc>
        <w:tc>
          <w:tcPr>
            <w:tcW w:w="1418" w:type="dxa"/>
            <w:vMerge w:val="restart"/>
            <w:tcBorders>
              <w:top w:val="nil"/>
            </w:tcBorders>
            <w:vAlign w:val="center"/>
          </w:tcPr>
          <w:p w14:paraId="1ED7F4AC" w14:textId="42940A89" w:rsidR="005B4C82" w:rsidRPr="006E20A2" w:rsidRDefault="005B4C82" w:rsidP="005B4C82">
            <w:pPr>
              <w:jc w:val="center"/>
              <w:rPr>
                <w:sz w:val="20"/>
              </w:rPr>
            </w:pPr>
            <w:r>
              <w:rPr>
                <w:sz w:val="20"/>
              </w:rPr>
              <w:t>43.12</w:t>
            </w:r>
          </w:p>
        </w:tc>
      </w:tr>
      <w:tr w:rsidR="005B4C82" w:rsidRPr="005A0E21" w14:paraId="1D9EF9B9" w14:textId="77777777" w:rsidTr="009A3F8D">
        <w:trPr>
          <w:cantSplit/>
          <w:jc w:val="center"/>
        </w:trPr>
        <w:tc>
          <w:tcPr>
            <w:tcW w:w="1134" w:type="dxa"/>
          </w:tcPr>
          <w:p w14:paraId="637A9984" w14:textId="77777777" w:rsidR="005B4C82" w:rsidRPr="005B4C82" w:rsidRDefault="005B4C82" w:rsidP="005B4C82">
            <w:pPr>
              <w:pStyle w:val="Paragraph"/>
              <w:ind w:firstLine="0"/>
            </w:pPr>
            <w:r w:rsidRPr="005B4C82">
              <w:t>R2</w:t>
            </w:r>
          </w:p>
        </w:tc>
        <w:tc>
          <w:tcPr>
            <w:tcW w:w="1181" w:type="dxa"/>
          </w:tcPr>
          <w:p w14:paraId="71604F37" w14:textId="2EDF044B" w:rsidR="005B4C82" w:rsidRPr="005B4C82" w:rsidRDefault="005B4C82" w:rsidP="005B4C82">
            <w:pPr>
              <w:jc w:val="center"/>
              <w:rPr>
                <w:sz w:val="20"/>
              </w:rPr>
            </w:pPr>
            <w:r w:rsidRPr="005B4C82">
              <w:rPr>
                <w:sz w:val="20"/>
              </w:rPr>
              <w:t>42.9</w:t>
            </w:r>
          </w:p>
        </w:tc>
        <w:tc>
          <w:tcPr>
            <w:tcW w:w="1181" w:type="dxa"/>
          </w:tcPr>
          <w:p w14:paraId="16CBF143" w14:textId="3CB48265" w:rsidR="005B4C82" w:rsidRPr="005B4C82" w:rsidRDefault="005B4C82" w:rsidP="005B4C82">
            <w:pPr>
              <w:jc w:val="center"/>
              <w:rPr>
                <w:sz w:val="20"/>
              </w:rPr>
            </w:pPr>
            <w:r w:rsidRPr="005B4C82">
              <w:rPr>
                <w:sz w:val="20"/>
              </w:rPr>
              <w:t>42.9</w:t>
            </w:r>
          </w:p>
        </w:tc>
        <w:tc>
          <w:tcPr>
            <w:tcW w:w="1182" w:type="dxa"/>
          </w:tcPr>
          <w:p w14:paraId="28F3499E" w14:textId="73FB2BAA" w:rsidR="005B4C82" w:rsidRPr="005B4C82" w:rsidRDefault="005B4C82" w:rsidP="005B4C82">
            <w:pPr>
              <w:jc w:val="center"/>
              <w:rPr>
                <w:sz w:val="20"/>
              </w:rPr>
            </w:pPr>
            <w:r w:rsidRPr="005B4C82">
              <w:rPr>
                <w:sz w:val="20"/>
              </w:rPr>
              <w:t>43.3</w:t>
            </w:r>
          </w:p>
        </w:tc>
        <w:tc>
          <w:tcPr>
            <w:tcW w:w="1418" w:type="dxa"/>
            <w:vMerge/>
          </w:tcPr>
          <w:p w14:paraId="185C07AB" w14:textId="77777777" w:rsidR="005B4C82" w:rsidRPr="006E20A2" w:rsidRDefault="005B4C82" w:rsidP="005B4C82">
            <w:pPr>
              <w:jc w:val="center"/>
              <w:rPr>
                <w:sz w:val="20"/>
              </w:rPr>
            </w:pPr>
          </w:p>
        </w:tc>
      </w:tr>
      <w:tr w:rsidR="005B4C82" w:rsidRPr="005A0E21" w14:paraId="45541D4E" w14:textId="77777777" w:rsidTr="009A3F8D">
        <w:trPr>
          <w:cantSplit/>
          <w:trHeight w:val="237"/>
          <w:jc w:val="center"/>
        </w:trPr>
        <w:tc>
          <w:tcPr>
            <w:tcW w:w="1134" w:type="dxa"/>
          </w:tcPr>
          <w:p w14:paraId="76DEF66F" w14:textId="77777777" w:rsidR="005B4C82" w:rsidRPr="005B4C82" w:rsidRDefault="005B4C82" w:rsidP="005B4C82">
            <w:pPr>
              <w:pStyle w:val="Paragraph"/>
              <w:ind w:firstLine="0"/>
            </w:pPr>
            <w:r w:rsidRPr="005B4C82">
              <w:t>R3</w:t>
            </w:r>
          </w:p>
        </w:tc>
        <w:tc>
          <w:tcPr>
            <w:tcW w:w="1181" w:type="dxa"/>
          </w:tcPr>
          <w:p w14:paraId="62A1046C" w14:textId="05C703D6" w:rsidR="005B4C82" w:rsidRPr="005B4C82" w:rsidRDefault="005B4C82" w:rsidP="005B4C82">
            <w:pPr>
              <w:jc w:val="center"/>
              <w:rPr>
                <w:sz w:val="20"/>
              </w:rPr>
            </w:pPr>
            <w:r w:rsidRPr="005B4C82">
              <w:rPr>
                <w:sz w:val="20"/>
              </w:rPr>
              <w:t>43.1</w:t>
            </w:r>
          </w:p>
        </w:tc>
        <w:tc>
          <w:tcPr>
            <w:tcW w:w="1181" w:type="dxa"/>
          </w:tcPr>
          <w:p w14:paraId="56338610" w14:textId="3EEACB96" w:rsidR="005B4C82" w:rsidRPr="005B4C82" w:rsidRDefault="005B4C82" w:rsidP="005B4C82">
            <w:pPr>
              <w:jc w:val="center"/>
              <w:rPr>
                <w:sz w:val="20"/>
              </w:rPr>
            </w:pPr>
            <w:r w:rsidRPr="005B4C82">
              <w:rPr>
                <w:sz w:val="20"/>
              </w:rPr>
              <w:t>43.1</w:t>
            </w:r>
          </w:p>
        </w:tc>
        <w:tc>
          <w:tcPr>
            <w:tcW w:w="1182" w:type="dxa"/>
          </w:tcPr>
          <w:p w14:paraId="11AB040F" w14:textId="5090FEBA" w:rsidR="005B4C82" w:rsidRPr="005B4C82" w:rsidRDefault="005B4C82" w:rsidP="005B4C82">
            <w:pPr>
              <w:jc w:val="center"/>
              <w:rPr>
                <w:sz w:val="20"/>
              </w:rPr>
            </w:pPr>
            <w:r w:rsidRPr="005B4C82">
              <w:rPr>
                <w:sz w:val="20"/>
              </w:rPr>
              <w:t>43.5</w:t>
            </w:r>
          </w:p>
        </w:tc>
        <w:tc>
          <w:tcPr>
            <w:tcW w:w="1418" w:type="dxa"/>
            <w:vMerge/>
          </w:tcPr>
          <w:p w14:paraId="68C76AAB" w14:textId="77777777" w:rsidR="005B4C82" w:rsidRPr="006E20A2" w:rsidRDefault="005B4C82" w:rsidP="005B4C82">
            <w:pPr>
              <w:jc w:val="center"/>
              <w:rPr>
                <w:sz w:val="20"/>
              </w:rPr>
            </w:pPr>
          </w:p>
        </w:tc>
      </w:tr>
    </w:tbl>
    <w:p w14:paraId="721FBAFD" w14:textId="77777777" w:rsidR="005B4C82" w:rsidRPr="005B4C82" w:rsidRDefault="005B4C82" w:rsidP="005B4C82">
      <w:pPr>
        <w:pStyle w:val="Paragraph"/>
        <w:rPr>
          <w:lang w:val="en-GB"/>
        </w:rPr>
      </w:pPr>
    </w:p>
    <w:tbl>
      <w:tblPr>
        <w:tblW w:w="6096" w:type="dxa"/>
        <w:jc w:val="center"/>
        <w:tblBorders>
          <w:bottom w:val="single" w:sz="4" w:space="0" w:color="auto"/>
        </w:tblBorders>
        <w:tblLayout w:type="fixed"/>
        <w:tblLook w:val="0000" w:firstRow="0" w:lastRow="0" w:firstColumn="0" w:lastColumn="0" w:noHBand="0" w:noVBand="0"/>
      </w:tblPr>
      <w:tblGrid>
        <w:gridCol w:w="1134"/>
        <w:gridCol w:w="1181"/>
        <w:gridCol w:w="1181"/>
        <w:gridCol w:w="1182"/>
        <w:gridCol w:w="1418"/>
      </w:tblGrid>
      <w:tr w:rsidR="005B4C82" w:rsidRPr="00075EA6" w14:paraId="7C00CCEE" w14:textId="77777777" w:rsidTr="009A3F8D">
        <w:trPr>
          <w:cantSplit/>
          <w:trHeight w:val="322"/>
          <w:jc w:val="center"/>
        </w:trPr>
        <w:tc>
          <w:tcPr>
            <w:tcW w:w="6096" w:type="dxa"/>
            <w:gridSpan w:val="5"/>
            <w:tcBorders>
              <w:bottom w:val="nil"/>
            </w:tcBorders>
          </w:tcPr>
          <w:p w14:paraId="6A7740E0" w14:textId="14055172" w:rsidR="005B4C82" w:rsidRPr="002E6F1D" w:rsidRDefault="005B4C82" w:rsidP="009A3F8D">
            <w:pPr>
              <w:pStyle w:val="TableCaption"/>
              <w:rPr>
                <w:b/>
                <w:bCs/>
              </w:rPr>
            </w:pPr>
            <w:r w:rsidRPr="002E6F1D">
              <w:rPr>
                <w:b/>
                <w:bCs/>
              </w:rPr>
              <w:t xml:space="preserve">TABLE </w:t>
            </w:r>
            <w:r>
              <w:rPr>
                <w:b/>
                <w:bCs/>
              </w:rPr>
              <w:t>4</w:t>
            </w:r>
            <w:r w:rsidRPr="002E6F1D">
              <w:rPr>
                <w:b/>
                <w:bCs/>
              </w:rPr>
              <w:t>.</w:t>
            </w:r>
            <w:r>
              <w:t xml:space="preserve"> </w:t>
            </w:r>
            <w:r w:rsidRPr="005B4C82">
              <w:t>Rockwell Hardness</w:t>
            </w:r>
            <w:r>
              <w:t xml:space="preserve"> Result</w:t>
            </w:r>
            <w:r w:rsidRPr="005B4C82">
              <w:t xml:space="preserve"> with </w:t>
            </w:r>
            <w:r>
              <w:t xml:space="preserve">34% </w:t>
            </w:r>
            <w:r w:rsidRPr="005B4C82">
              <w:t>Salt Solution Quenching</w:t>
            </w:r>
            <w:r>
              <w:t>.</w:t>
            </w:r>
          </w:p>
        </w:tc>
      </w:tr>
      <w:tr w:rsidR="005B4C82" w:rsidRPr="00075EA6" w14:paraId="72DDCBA5" w14:textId="77777777" w:rsidTr="009A3F8D">
        <w:trPr>
          <w:cantSplit/>
          <w:trHeight w:val="272"/>
          <w:jc w:val="center"/>
        </w:trPr>
        <w:tc>
          <w:tcPr>
            <w:tcW w:w="1134" w:type="dxa"/>
            <w:vMerge w:val="restart"/>
            <w:tcBorders>
              <w:top w:val="single" w:sz="4" w:space="0" w:color="auto"/>
            </w:tcBorders>
          </w:tcPr>
          <w:p w14:paraId="45C2B475" w14:textId="77777777" w:rsidR="005B4C82" w:rsidRPr="006E20A2" w:rsidRDefault="005B4C82" w:rsidP="009A3F8D">
            <w:pPr>
              <w:rPr>
                <w:b/>
                <w:bCs/>
                <w:sz w:val="18"/>
                <w:szCs w:val="18"/>
              </w:rPr>
            </w:pPr>
            <w:r w:rsidRPr="005B4C82">
              <w:rPr>
                <w:b/>
                <w:bCs/>
                <w:sz w:val="18"/>
                <w:szCs w:val="18"/>
              </w:rPr>
              <w:t>Specimen</w:t>
            </w:r>
          </w:p>
        </w:tc>
        <w:tc>
          <w:tcPr>
            <w:tcW w:w="3544" w:type="dxa"/>
            <w:gridSpan w:val="3"/>
            <w:tcBorders>
              <w:top w:val="single" w:sz="4" w:space="0" w:color="auto"/>
              <w:bottom w:val="single" w:sz="4" w:space="0" w:color="auto"/>
            </w:tcBorders>
          </w:tcPr>
          <w:p w14:paraId="5991B8DB" w14:textId="77777777" w:rsidR="005B4C82" w:rsidRPr="006E20A2" w:rsidRDefault="005B4C82" w:rsidP="009A3F8D">
            <w:pPr>
              <w:jc w:val="center"/>
              <w:rPr>
                <w:b/>
                <w:bCs/>
                <w:sz w:val="18"/>
                <w:szCs w:val="18"/>
              </w:rPr>
            </w:pPr>
            <w:r w:rsidRPr="005B4C82">
              <w:rPr>
                <w:b/>
                <w:bCs/>
                <w:sz w:val="18"/>
                <w:szCs w:val="18"/>
              </w:rPr>
              <w:t>Rockwell Hardness Value (HRC)</w:t>
            </w:r>
          </w:p>
        </w:tc>
        <w:tc>
          <w:tcPr>
            <w:tcW w:w="1418" w:type="dxa"/>
            <w:vMerge w:val="restart"/>
            <w:tcBorders>
              <w:top w:val="single" w:sz="4" w:space="0" w:color="auto"/>
            </w:tcBorders>
          </w:tcPr>
          <w:p w14:paraId="466D86EB" w14:textId="77777777" w:rsidR="005B4C82" w:rsidRPr="006E20A2" w:rsidRDefault="005B4C82" w:rsidP="009A3F8D">
            <w:pPr>
              <w:jc w:val="center"/>
              <w:rPr>
                <w:b/>
                <w:bCs/>
                <w:sz w:val="18"/>
                <w:szCs w:val="18"/>
              </w:rPr>
            </w:pPr>
            <w:r w:rsidRPr="005B4C82">
              <w:rPr>
                <w:b/>
                <w:bCs/>
                <w:sz w:val="18"/>
                <w:szCs w:val="18"/>
              </w:rPr>
              <w:t>Average</w:t>
            </w:r>
          </w:p>
        </w:tc>
      </w:tr>
      <w:tr w:rsidR="005B4C82" w:rsidRPr="00075EA6" w14:paraId="19E60218" w14:textId="77777777" w:rsidTr="009A3F8D">
        <w:trPr>
          <w:cantSplit/>
          <w:trHeight w:val="272"/>
          <w:jc w:val="center"/>
        </w:trPr>
        <w:tc>
          <w:tcPr>
            <w:tcW w:w="1134" w:type="dxa"/>
            <w:vMerge/>
            <w:tcBorders>
              <w:bottom w:val="single" w:sz="4" w:space="0" w:color="auto"/>
            </w:tcBorders>
          </w:tcPr>
          <w:p w14:paraId="41DA76D2" w14:textId="77777777" w:rsidR="005B4C82" w:rsidRPr="005B4C82" w:rsidRDefault="005B4C82" w:rsidP="009A3F8D">
            <w:pPr>
              <w:rPr>
                <w:b/>
                <w:bCs/>
                <w:sz w:val="18"/>
                <w:szCs w:val="18"/>
              </w:rPr>
            </w:pPr>
          </w:p>
        </w:tc>
        <w:tc>
          <w:tcPr>
            <w:tcW w:w="1181" w:type="dxa"/>
            <w:tcBorders>
              <w:top w:val="single" w:sz="4" w:space="0" w:color="auto"/>
              <w:bottom w:val="single" w:sz="4" w:space="0" w:color="auto"/>
            </w:tcBorders>
          </w:tcPr>
          <w:p w14:paraId="750D361F" w14:textId="77777777" w:rsidR="005B4C82" w:rsidRPr="006E20A2" w:rsidRDefault="005B4C82" w:rsidP="009A3F8D">
            <w:pPr>
              <w:jc w:val="center"/>
              <w:rPr>
                <w:b/>
                <w:bCs/>
                <w:sz w:val="18"/>
                <w:szCs w:val="18"/>
              </w:rPr>
            </w:pPr>
            <w:r>
              <w:rPr>
                <w:b/>
                <w:bCs/>
                <w:sz w:val="18"/>
                <w:szCs w:val="18"/>
              </w:rPr>
              <w:t>Point 1</w:t>
            </w:r>
          </w:p>
        </w:tc>
        <w:tc>
          <w:tcPr>
            <w:tcW w:w="1181" w:type="dxa"/>
            <w:tcBorders>
              <w:top w:val="single" w:sz="4" w:space="0" w:color="auto"/>
              <w:bottom w:val="single" w:sz="4" w:space="0" w:color="auto"/>
            </w:tcBorders>
          </w:tcPr>
          <w:p w14:paraId="16E22951" w14:textId="77777777" w:rsidR="005B4C82" w:rsidRPr="006E20A2" w:rsidRDefault="005B4C82" w:rsidP="009A3F8D">
            <w:pPr>
              <w:jc w:val="center"/>
              <w:rPr>
                <w:b/>
                <w:bCs/>
                <w:sz w:val="18"/>
                <w:szCs w:val="18"/>
              </w:rPr>
            </w:pPr>
            <w:r>
              <w:rPr>
                <w:b/>
                <w:bCs/>
                <w:sz w:val="18"/>
                <w:szCs w:val="18"/>
              </w:rPr>
              <w:t>Point 2</w:t>
            </w:r>
          </w:p>
        </w:tc>
        <w:tc>
          <w:tcPr>
            <w:tcW w:w="1182" w:type="dxa"/>
            <w:tcBorders>
              <w:top w:val="single" w:sz="4" w:space="0" w:color="auto"/>
              <w:bottom w:val="single" w:sz="4" w:space="0" w:color="auto"/>
            </w:tcBorders>
          </w:tcPr>
          <w:p w14:paraId="7D57CB2F" w14:textId="77777777" w:rsidR="005B4C82" w:rsidRPr="006E20A2" w:rsidRDefault="005B4C82" w:rsidP="009A3F8D">
            <w:pPr>
              <w:jc w:val="center"/>
              <w:rPr>
                <w:b/>
                <w:bCs/>
                <w:sz w:val="18"/>
                <w:szCs w:val="18"/>
              </w:rPr>
            </w:pPr>
            <w:r>
              <w:rPr>
                <w:b/>
                <w:bCs/>
                <w:sz w:val="18"/>
                <w:szCs w:val="18"/>
              </w:rPr>
              <w:t>Point 3</w:t>
            </w:r>
          </w:p>
        </w:tc>
        <w:tc>
          <w:tcPr>
            <w:tcW w:w="1418" w:type="dxa"/>
            <w:vMerge/>
            <w:tcBorders>
              <w:bottom w:val="single" w:sz="4" w:space="0" w:color="auto"/>
            </w:tcBorders>
          </w:tcPr>
          <w:p w14:paraId="2C1AC435" w14:textId="77777777" w:rsidR="005B4C82" w:rsidRPr="006E20A2" w:rsidRDefault="005B4C82" w:rsidP="009A3F8D">
            <w:pPr>
              <w:jc w:val="center"/>
              <w:rPr>
                <w:b/>
                <w:bCs/>
                <w:sz w:val="18"/>
                <w:szCs w:val="18"/>
              </w:rPr>
            </w:pPr>
          </w:p>
        </w:tc>
      </w:tr>
      <w:tr w:rsidR="005B4C82" w:rsidRPr="005A0E21" w14:paraId="754557A3" w14:textId="77777777" w:rsidTr="009A3F8D">
        <w:trPr>
          <w:cantSplit/>
          <w:jc w:val="center"/>
        </w:trPr>
        <w:tc>
          <w:tcPr>
            <w:tcW w:w="1134" w:type="dxa"/>
            <w:tcBorders>
              <w:top w:val="nil"/>
            </w:tcBorders>
          </w:tcPr>
          <w:p w14:paraId="27EB0838" w14:textId="77777777" w:rsidR="005B4C82" w:rsidRPr="005B4C82" w:rsidRDefault="005B4C82" w:rsidP="005B4C82">
            <w:pPr>
              <w:pStyle w:val="Paragraph"/>
              <w:ind w:firstLine="0"/>
            </w:pPr>
            <w:r w:rsidRPr="005B4C82">
              <w:t>R1</w:t>
            </w:r>
          </w:p>
        </w:tc>
        <w:tc>
          <w:tcPr>
            <w:tcW w:w="1181" w:type="dxa"/>
            <w:tcBorders>
              <w:top w:val="nil"/>
            </w:tcBorders>
          </w:tcPr>
          <w:p w14:paraId="7EA71A57" w14:textId="67EF0B0E" w:rsidR="005B4C82" w:rsidRPr="005B4C82" w:rsidRDefault="005B4C82" w:rsidP="005B4C82">
            <w:pPr>
              <w:jc w:val="center"/>
              <w:rPr>
                <w:sz w:val="20"/>
              </w:rPr>
            </w:pPr>
            <w:r w:rsidRPr="005B4C82">
              <w:rPr>
                <w:sz w:val="20"/>
              </w:rPr>
              <w:t>49.4</w:t>
            </w:r>
          </w:p>
        </w:tc>
        <w:tc>
          <w:tcPr>
            <w:tcW w:w="1181" w:type="dxa"/>
            <w:tcBorders>
              <w:top w:val="nil"/>
            </w:tcBorders>
          </w:tcPr>
          <w:p w14:paraId="6BAA7F2D" w14:textId="783B1F00" w:rsidR="005B4C82" w:rsidRPr="005B4C82" w:rsidRDefault="005B4C82" w:rsidP="005B4C82">
            <w:pPr>
              <w:jc w:val="center"/>
              <w:rPr>
                <w:sz w:val="20"/>
              </w:rPr>
            </w:pPr>
            <w:r w:rsidRPr="005B4C82">
              <w:rPr>
                <w:sz w:val="20"/>
              </w:rPr>
              <w:t>48.5</w:t>
            </w:r>
          </w:p>
        </w:tc>
        <w:tc>
          <w:tcPr>
            <w:tcW w:w="1182" w:type="dxa"/>
            <w:tcBorders>
              <w:top w:val="nil"/>
            </w:tcBorders>
          </w:tcPr>
          <w:p w14:paraId="06DDE00E" w14:textId="0861478F" w:rsidR="005B4C82" w:rsidRPr="005B4C82" w:rsidRDefault="005B4C82" w:rsidP="005B4C82">
            <w:pPr>
              <w:jc w:val="center"/>
              <w:rPr>
                <w:sz w:val="20"/>
              </w:rPr>
            </w:pPr>
            <w:r w:rsidRPr="005B4C82">
              <w:rPr>
                <w:sz w:val="20"/>
              </w:rPr>
              <w:t>48.6</w:t>
            </w:r>
          </w:p>
        </w:tc>
        <w:tc>
          <w:tcPr>
            <w:tcW w:w="1418" w:type="dxa"/>
            <w:vMerge w:val="restart"/>
            <w:tcBorders>
              <w:top w:val="nil"/>
            </w:tcBorders>
            <w:vAlign w:val="center"/>
          </w:tcPr>
          <w:p w14:paraId="08E9328F" w14:textId="2F3FC0DB" w:rsidR="005B4C82" w:rsidRPr="006E20A2" w:rsidRDefault="005B4C82" w:rsidP="005B4C82">
            <w:pPr>
              <w:jc w:val="center"/>
              <w:rPr>
                <w:sz w:val="20"/>
              </w:rPr>
            </w:pPr>
            <w:r>
              <w:rPr>
                <w:sz w:val="20"/>
              </w:rPr>
              <w:t>48.84</w:t>
            </w:r>
          </w:p>
        </w:tc>
      </w:tr>
      <w:tr w:rsidR="005B4C82" w:rsidRPr="005A0E21" w14:paraId="12279172" w14:textId="77777777" w:rsidTr="009A3F8D">
        <w:trPr>
          <w:cantSplit/>
          <w:jc w:val="center"/>
        </w:trPr>
        <w:tc>
          <w:tcPr>
            <w:tcW w:w="1134" w:type="dxa"/>
          </w:tcPr>
          <w:p w14:paraId="003FF132" w14:textId="77777777" w:rsidR="005B4C82" w:rsidRPr="005B4C82" w:rsidRDefault="005B4C82" w:rsidP="005B4C82">
            <w:pPr>
              <w:pStyle w:val="Paragraph"/>
              <w:ind w:firstLine="0"/>
            </w:pPr>
            <w:r w:rsidRPr="005B4C82">
              <w:t>R2</w:t>
            </w:r>
          </w:p>
        </w:tc>
        <w:tc>
          <w:tcPr>
            <w:tcW w:w="1181" w:type="dxa"/>
          </w:tcPr>
          <w:p w14:paraId="3014AAB6" w14:textId="648E5647" w:rsidR="005B4C82" w:rsidRPr="005B4C82" w:rsidRDefault="005B4C82" w:rsidP="005B4C82">
            <w:pPr>
              <w:jc w:val="center"/>
              <w:rPr>
                <w:sz w:val="20"/>
              </w:rPr>
            </w:pPr>
            <w:r w:rsidRPr="005B4C82">
              <w:rPr>
                <w:sz w:val="20"/>
              </w:rPr>
              <w:t>48.3</w:t>
            </w:r>
          </w:p>
        </w:tc>
        <w:tc>
          <w:tcPr>
            <w:tcW w:w="1181" w:type="dxa"/>
          </w:tcPr>
          <w:p w14:paraId="23E5CDA7" w14:textId="26F5F3ED" w:rsidR="005B4C82" w:rsidRPr="005B4C82" w:rsidRDefault="005B4C82" w:rsidP="005B4C82">
            <w:pPr>
              <w:jc w:val="center"/>
              <w:rPr>
                <w:sz w:val="20"/>
              </w:rPr>
            </w:pPr>
            <w:r w:rsidRPr="005B4C82">
              <w:rPr>
                <w:sz w:val="20"/>
              </w:rPr>
              <w:t>48.4</w:t>
            </w:r>
          </w:p>
        </w:tc>
        <w:tc>
          <w:tcPr>
            <w:tcW w:w="1182" w:type="dxa"/>
          </w:tcPr>
          <w:p w14:paraId="420F571C" w14:textId="1D0E76AC" w:rsidR="005B4C82" w:rsidRPr="005B4C82" w:rsidRDefault="005B4C82" w:rsidP="005B4C82">
            <w:pPr>
              <w:jc w:val="center"/>
              <w:rPr>
                <w:sz w:val="20"/>
              </w:rPr>
            </w:pPr>
            <w:r w:rsidRPr="005B4C82">
              <w:rPr>
                <w:sz w:val="20"/>
              </w:rPr>
              <w:t>49.6</w:t>
            </w:r>
          </w:p>
        </w:tc>
        <w:tc>
          <w:tcPr>
            <w:tcW w:w="1418" w:type="dxa"/>
            <w:vMerge/>
          </w:tcPr>
          <w:p w14:paraId="618DA609" w14:textId="77777777" w:rsidR="005B4C82" w:rsidRPr="006E20A2" w:rsidRDefault="005B4C82" w:rsidP="005B4C82">
            <w:pPr>
              <w:jc w:val="center"/>
              <w:rPr>
                <w:sz w:val="20"/>
              </w:rPr>
            </w:pPr>
          </w:p>
        </w:tc>
      </w:tr>
      <w:tr w:rsidR="005B4C82" w:rsidRPr="005A0E21" w14:paraId="3DCD05A7" w14:textId="77777777" w:rsidTr="009A3F8D">
        <w:trPr>
          <w:cantSplit/>
          <w:trHeight w:val="237"/>
          <w:jc w:val="center"/>
        </w:trPr>
        <w:tc>
          <w:tcPr>
            <w:tcW w:w="1134" w:type="dxa"/>
          </w:tcPr>
          <w:p w14:paraId="130384A7" w14:textId="77777777" w:rsidR="005B4C82" w:rsidRPr="005B4C82" w:rsidRDefault="005B4C82" w:rsidP="005B4C82">
            <w:pPr>
              <w:pStyle w:val="Paragraph"/>
              <w:ind w:firstLine="0"/>
            </w:pPr>
            <w:r w:rsidRPr="005B4C82">
              <w:t>R3</w:t>
            </w:r>
          </w:p>
        </w:tc>
        <w:tc>
          <w:tcPr>
            <w:tcW w:w="1181" w:type="dxa"/>
          </w:tcPr>
          <w:p w14:paraId="0904C407" w14:textId="35A2E9A7" w:rsidR="005B4C82" w:rsidRPr="005B4C82" w:rsidRDefault="005B4C82" w:rsidP="005B4C82">
            <w:pPr>
              <w:jc w:val="center"/>
              <w:rPr>
                <w:sz w:val="20"/>
              </w:rPr>
            </w:pPr>
            <w:r w:rsidRPr="005B4C82">
              <w:rPr>
                <w:sz w:val="20"/>
              </w:rPr>
              <w:t>48.9</w:t>
            </w:r>
          </w:p>
        </w:tc>
        <w:tc>
          <w:tcPr>
            <w:tcW w:w="1181" w:type="dxa"/>
          </w:tcPr>
          <w:p w14:paraId="16E0ED5A" w14:textId="4F251403" w:rsidR="005B4C82" w:rsidRPr="005B4C82" w:rsidRDefault="005B4C82" w:rsidP="005B4C82">
            <w:pPr>
              <w:jc w:val="center"/>
              <w:rPr>
                <w:sz w:val="20"/>
              </w:rPr>
            </w:pPr>
            <w:r w:rsidRPr="005B4C82">
              <w:rPr>
                <w:sz w:val="20"/>
              </w:rPr>
              <w:t>49.1</w:t>
            </w:r>
          </w:p>
        </w:tc>
        <w:tc>
          <w:tcPr>
            <w:tcW w:w="1182" w:type="dxa"/>
          </w:tcPr>
          <w:p w14:paraId="4DFE60FF" w14:textId="5A3BD477" w:rsidR="005B4C82" w:rsidRPr="005B4C82" w:rsidRDefault="005B4C82" w:rsidP="005B4C82">
            <w:pPr>
              <w:jc w:val="center"/>
              <w:rPr>
                <w:sz w:val="20"/>
              </w:rPr>
            </w:pPr>
            <w:r w:rsidRPr="005B4C82">
              <w:rPr>
                <w:sz w:val="20"/>
              </w:rPr>
              <w:t>48.8</w:t>
            </w:r>
          </w:p>
        </w:tc>
        <w:tc>
          <w:tcPr>
            <w:tcW w:w="1418" w:type="dxa"/>
            <w:vMerge/>
          </w:tcPr>
          <w:p w14:paraId="32DC0588" w14:textId="77777777" w:rsidR="005B4C82" w:rsidRPr="006E20A2" w:rsidRDefault="005B4C82" w:rsidP="005B4C82">
            <w:pPr>
              <w:jc w:val="center"/>
              <w:rPr>
                <w:sz w:val="20"/>
              </w:rPr>
            </w:pPr>
          </w:p>
        </w:tc>
      </w:tr>
    </w:tbl>
    <w:p w14:paraId="7F438B30" w14:textId="7C075C4D" w:rsidR="005B4C82" w:rsidRPr="005B4C82" w:rsidRDefault="005B4C82" w:rsidP="005B4C82">
      <w:pPr>
        <w:pStyle w:val="Heading2"/>
        <w:rPr>
          <w:lang w:val="en-GB"/>
        </w:rPr>
      </w:pPr>
      <w:r w:rsidRPr="005B4C82">
        <w:rPr>
          <w:lang w:val="en-GB"/>
        </w:rPr>
        <w:t>Hardness Comparison</w:t>
      </w:r>
    </w:p>
    <w:p w14:paraId="5D3FBB0E" w14:textId="77777777" w:rsidR="005B4C82" w:rsidRPr="005B4C82" w:rsidRDefault="005B4C82" w:rsidP="005B4C82">
      <w:pPr>
        <w:pStyle w:val="Paragraph"/>
        <w:rPr>
          <w:lang w:val="en-GB"/>
        </w:rPr>
      </w:pPr>
      <w:r w:rsidRPr="005B4C82">
        <w:rPr>
          <w:lang w:val="en-GB"/>
        </w:rPr>
        <w:t>This study reveals that the hardness of ST 60 steel increases substantially after undergoing the quenching process, regardless of the cooling medium used. The untreated (raw) steel had a relatively low hardness of 14.91 HRC, indicating that it was still in a soft and easily machinable state. In contrast, all quenching treatments led to significantly higher hardness values.</w:t>
      </w:r>
    </w:p>
    <w:p w14:paraId="70DC902E" w14:textId="60C134FD" w:rsidR="005B4C82" w:rsidRPr="005B4C82" w:rsidRDefault="005B4C82" w:rsidP="005B4C82">
      <w:pPr>
        <w:pStyle w:val="Paragraph"/>
        <w:rPr>
          <w:lang w:val="en-GB"/>
        </w:rPr>
      </w:pPr>
      <w:r w:rsidRPr="005B4C82">
        <w:rPr>
          <w:lang w:val="en-GB"/>
        </w:rPr>
        <w:t>A graphical representation of the Rockwell hardness values (Fig</w:t>
      </w:r>
      <w:r>
        <w:rPr>
          <w:lang w:val="en-GB"/>
        </w:rPr>
        <w:t>.</w:t>
      </w:r>
      <w:r w:rsidRPr="005B4C82">
        <w:rPr>
          <w:lang w:val="en-GB"/>
        </w:rPr>
        <w:t xml:space="preserve"> </w:t>
      </w:r>
      <w:r>
        <w:rPr>
          <w:lang w:val="en-GB"/>
        </w:rPr>
        <w:t>4</w:t>
      </w:r>
      <w:r w:rsidRPr="005B4C82">
        <w:rPr>
          <w:lang w:val="en-GB"/>
        </w:rPr>
        <w:t>) shows the comparison between the raw material and the quenched specimens using different cooling media.</w:t>
      </w:r>
    </w:p>
    <w:p w14:paraId="58942EEB" w14:textId="6F1AC2F2" w:rsidR="005B4C82" w:rsidRDefault="005B4C82" w:rsidP="005B4C82">
      <w:pPr>
        <w:pStyle w:val="Paragraph"/>
        <w:rPr>
          <w:lang w:val="en-GB"/>
        </w:rPr>
      </w:pPr>
    </w:p>
    <w:p w14:paraId="5D1ECB83" w14:textId="4C83B90B" w:rsidR="000E1B0C" w:rsidRPr="000E1B0C" w:rsidRDefault="00CD34E3" w:rsidP="000E1B0C">
      <w:pPr>
        <w:pStyle w:val="FigureCaption"/>
        <w:rPr>
          <w:b/>
          <w:caps/>
        </w:rPr>
      </w:pPr>
      <w:r>
        <w:rPr>
          <w:noProof/>
        </w:rPr>
        <w:drawing>
          <wp:inline distT="0" distB="0" distL="0" distR="0" wp14:anchorId="745EACE4" wp14:editId="5E10956D">
            <wp:extent cx="4951730" cy="2529205"/>
            <wp:effectExtent l="0" t="0" r="1270" b="4445"/>
            <wp:docPr id="4" name="Picture12"/>
            <wp:cNvGraphicFramePr/>
            <a:graphic xmlns:a="http://schemas.openxmlformats.org/drawingml/2006/main">
              <a:graphicData uri="http://schemas.openxmlformats.org/drawingml/2006/picture">
                <pic:pic xmlns:pic="http://schemas.openxmlformats.org/drawingml/2006/picture">
                  <pic:nvPicPr>
                    <pic:cNvPr id="4" name="Picture12"/>
                    <pic:cNvPicPr/>
                  </pic:nvPicPr>
                  <pic:blipFill rotWithShape="1">
                    <a:blip r:embed="rId14"/>
                    <a:srcRect t="8289"/>
                    <a:stretch/>
                  </pic:blipFill>
                  <pic:spPr bwMode="auto">
                    <a:xfrm>
                      <a:off x="0" y="0"/>
                      <a:ext cx="4951730" cy="2529205"/>
                    </a:xfrm>
                    <a:prstGeom prst="rect">
                      <a:avLst/>
                    </a:prstGeom>
                    <a:noFill/>
                    <a:ln>
                      <a:noFill/>
                    </a:ln>
                    <a:extLst>
                      <a:ext uri="{53640926-AAD7-44D8-BBD7-CCE9431645EC}">
                        <a14:shadowObscured xmlns:a14="http://schemas.microsoft.com/office/drawing/2010/main"/>
                      </a:ext>
                    </a:extLst>
                  </pic:spPr>
                </pic:pic>
              </a:graphicData>
            </a:graphic>
          </wp:inline>
        </w:drawing>
      </w:r>
    </w:p>
    <w:p w14:paraId="0172448C" w14:textId="0D3ABE82" w:rsidR="000E1B0C" w:rsidRDefault="000E1B0C" w:rsidP="000E1B0C">
      <w:pPr>
        <w:pStyle w:val="FigureCaption"/>
      </w:pPr>
      <w:r>
        <w:rPr>
          <w:b/>
          <w:caps/>
        </w:rPr>
        <w:t>Figure 4.</w:t>
      </w:r>
      <w:r>
        <w:t xml:space="preserve"> </w:t>
      </w:r>
      <w:r w:rsidRPr="000E1B0C">
        <w:t>Comparison of Rockwell hardness (HRC) values of ST 60 steel before and after quenching using different cooling media (raw material, water, 3.5% saltwater, and 34% saltwater)</w:t>
      </w:r>
      <w:r w:rsidRPr="005B4C82">
        <w:t>.</w:t>
      </w:r>
    </w:p>
    <w:p w14:paraId="70B5B379" w14:textId="05B32903" w:rsidR="005B4C82" w:rsidRPr="000E1B0C" w:rsidRDefault="005B4C82" w:rsidP="005B4C82">
      <w:pPr>
        <w:pStyle w:val="Paragraph"/>
      </w:pPr>
    </w:p>
    <w:p w14:paraId="45391BE6" w14:textId="3AF02F28" w:rsidR="005B4C82" w:rsidRDefault="005B4C82" w:rsidP="005B4C82">
      <w:pPr>
        <w:pStyle w:val="Paragraph"/>
        <w:rPr>
          <w:lang w:val="en-GB"/>
        </w:rPr>
      </w:pPr>
    </w:p>
    <w:p w14:paraId="2B4DDAE3" w14:textId="77777777" w:rsidR="005B4C82" w:rsidRPr="005B4C82" w:rsidRDefault="005B4C82" w:rsidP="005B4C82">
      <w:pPr>
        <w:pStyle w:val="Paragraph"/>
        <w:rPr>
          <w:lang w:val="en-GB"/>
        </w:rPr>
      </w:pPr>
    </w:p>
    <w:p w14:paraId="47D8D11A" w14:textId="77777777" w:rsidR="005B4C82" w:rsidRPr="005B4C82" w:rsidRDefault="005B4C82" w:rsidP="005B4C82">
      <w:pPr>
        <w:pStyle w:val="Paragraph"/>
        <w:rPr>
          <w:lang w:val="en-GB"/>
        </w:rPr>
      </w:pPr>
      <w:r w:rsidRPr="005B4C82">
        <w:rPr>
          <w:lang w:val="en-GB"/>
        </w:rPr>
        <w:t>Based on the data, it can be concluded that the quenching process significantly enhances the hardness of ST 60 steel. Quenching in fresh water increased the hardness to 48.02 HRC, representing a 222.42% increase compared to the raw material. Meanwhile, quenching in a 3.5% saltwater solution produced a hardness of 43.12 HRC, corresponding to a 189.07% increase, though slightly lower than that achieved with water.</w:t>
      </w:r>
    </w:p>
    <w:p w14:paraId="55B46DD7" w14:textId="77777777" w:rsidR="005B4C82" w:rsidRPr="005B4C82" w:rsidRDefault="005B4C82" w:rsidP="005B4C82">
      <w:pPr>
        <w:pStyle w:val="Paragraph"/>
        <w:rPr>
          <w:lang w:val="en-GB"/>
        </w:rPr>
      </w:pPr>
      <w:r w:rsidRPr="005B4C82">
        <w:rPr>
          <w:lang w:val="en-GB"/>
        </w:rPr>
        <w:t>The use of a higher salt concentration (34%) also had a noticeable impact on the final hardness. Quenching in 34% saltwater solution resulted in an average hardness of 48.84 HRC, reflecting a 227.67% increase from the untreated condition. This result suggests that higher salt concentrations enhance the cooling rate, leading to more effective martensitic transformation and higher steel hardness than the 3.5% solution.</w:t>
      </w:r>
    </w:p>
    <w:p w14:paraId="23E68999" w14:textId="7D24B87D" w:rsidR="005B4C82" w:rsidRPr="005B4C82" w:rsidRDefault="005B4C82" w:rsidP="005B4C82">
      <w:pPr>
        <w:pStyle w:val="Paragraph"/>
        <w:rPr>
          <w:lang w:val="en-GB"/>
        </w:rPr>
      </w:pPr>
      <w:r w:rsidRPr="005B4C82">
        <w:rPr>
          <w:lang w:val="en-GB"/>
        </w:rPr>
        <w:lastRenderedPageBreak/>
        <w:t>Overall, the quenching process is shown to be highly effective in increasing the hardness of ST 60 steel, with the degree of hardness improvement depending on the type and concentration of the cooling medium used.</w:t>
      </w:r>
    </w:p>
    <w:p w14:paraId="1C07BAEA" w14:textId="33363A32" w:rsidR="002E6F1D" w:rsidRDefault="002E6F1D" w:rsidP="002E6F1D">
      <w:pPr>
        <w:pStyle w:val="Heading1"/>
        <w:rPr>
          <w:b w:val="0"/>
          <w:caps w:val="0"/>
          <w:sz w:val="20"/>
        </w:rPr>
      </w:pPr>
      <w:r>
        <w:rPr>
          <w:rFonts w:asciiTheme="majorBidi" w:hAnsiTheme="majorBidi" w:cstheme="majorBidi"/>
        </w:rPr>
        <w:t>CONCLUSION</w:t>
      </w:r>
    </w:p>
    <w:p w14:paraId="19B1304F" w14:textId="77777777" w:rsidR="000E1B0C" w:rsidRPr="000E1B0C" w:rsidRDefault="000E1B0C" w:rsidP="000E1B0C">
      <w:pPr>
        <w:pStyle w:val="Paragraph"/>
        <w:rPr>
          <w:rFonts w:asciiTheme="majorBidi" w:hAnsiTheme="majorBidi" w:cstheme="majorBidi"/>
        </w:rPr>
      </w:pPr>
      <w:r w:rsidRPr="000E1B0C">
        <w:rPr>
          <w:rFonts w:asciiTheme="majorBidi" w:hAnsiTheme="majorBidi" w:cstheme="majorBidi"/>
        </w:rPr>
        <w:t>This study investigated the effect of different quenching media on the hardness of ST 60 steel. The results demonstrated that the quenching process significantly enhances the material's hardness compared to its raw condition. The untreated ST 60 steel exhibited an average hardness of 14.91 HRC. After quenching, the hardness increased substantially depending on the cooling medium used.</w:t>
      </w:r>
    </w:p>
    <w:p w14:paraId="6441DF6E" w14:textId="77777777" w:rsidR="000E1B0C" w:rsidRPr="000E1B0C" w:rsidRDefault="000E1B0C" w:rsidP="000E1B0C">
      <w:pPr>
        <w:pStyle w:val="Paragraph"/>
        <w:rPr>
          <w:rFonts w:asciiTheme="majorBidi" w:hAnsiTheme="majorBidi" w:cstheme="majorBidi"/>
        </w:rPr>
      </w:pPr>
      <w:r w:rsidRPr="000E1B0C">
        <w:rPr>
          <w:rFonts w:asciiTheme="majorBidi" w:hAnsiTheme="majorBidi" w:cstheme="majorBidi"/>
        </w:rPr>
        <w:t>Water quenching resulted in a hardness of 48.02 HRC, representing a 222.42% improvement, while quenching with a 3.5% saltwater solution produced a hardness of 43.12 HRC, an increase of 189.07%. The highest hardness value was achieved through quenching in a 34% saltwater solution, reaching 48.84 HRC—an enhancement of 227.67% over the raw material.</w:t>
      </w:r>
    </w:p>
    <w:p w14:paraId="6F9A6278" w14:textId="3FEF7BD1" w:rsidR="002E6F1D" w:rsidRPr="00A24F3D" w:rsidRDefault="000E1B0C" w:rsidP="000E1B0C">
      <w:pPr>
        <w:pStyle w:val="Paragraph"/>
      </w:pPr>
      <w:r w:rsidRPr="000E1B0C">
        <w:rPr>
          <w:rFonts w:asciiTheme="majorBidi" w:hAnsiTheme="majorBidi" w:cstheme="majorBidi"/>
        </w:rPr>
        <w:t>These findings indicate that higher salt concentration in the quenching medium can accelerate the cooling rate, promoting a more complete martensitic transformation and thus increasing hardness. Overall, the quenching process is proven to be an effective method for improving the mechanical properties of ST 60 steel, with saltwater concentration playing a key role in optimizing the results</w:t>
      </w:r>
      <w:r w:rsidR="00FF6D2F" w:rsidRPr="00FF6D2F">
        <w:rPr>
          <w:rFonts w:asciiTheme="majorBidi" w:hAnsiTheme="majorBidi" w:cstheme="majorBidi"/>
        </w:rPr>
        <w:t>.</w:t>
      </w:r>
    </w:p>
    <w:p w14:paraId="3FADAC35" w14:textId="2162CB9B" w:rsidR="002E6F1D" w:rsidRDefault="002E6F1D" w:rsidP="002E6F1D">
      <w:pPr>
        <w:pStyle w:val="Heading1"/>
        <w:rPr>
          <w:b w:val="0"/>
          <w:caps w:val="0"/>
          <w:sz w:val="20"/>
        </w:rPr>
      </w:pPr>
      <w:r w:rsidRPr="00075EA6">
        <w:rPr>
          <w:rFonts w:asciiTheme="majorBidi" w:hAnsiTheme="majorBidi" w:cstheme="majorBidi"/>
        </w:rPr>
        <w:t>References</w:t>
      </w:r>
    </w:p>
    <w:p w14:paraId="3E096DBE" w14:textId="6D9D4305" w:rsidR="000E1B0C" w:rsidRDefault="000E1B0C" w:rsidP="000E1B0C">
      <w:pPr>
        <w:pStyle w:val="Reference"/>
      </w:pPr>
      <w:r>
        <w:t xml:space="preserve">M. </w:t>
      </w:r>
      <w:proofErr w:type="spellStart"/>
      <w:r>
        <w:t>Andreansyah</w:t>
      </w:r>
      <w:proofErr w:type="spellEnd"/>
      <w:r>
        <w:t xml:space="preserve">, R. D. Anjani, and V. </w:t>
      </w:r>
      <w:proofErr w:type="spellStart"/>
      <w:r>
        <w:t>Naubnome</w:t>
      </w:r>
      <w:proofErr w:type="spellEnd"/>
      <w:r>
        <w:t xml:space="preserve">, “Effect of Heat Treatment Process (Quenching and Tempering) on Hardness and Microstructure of Medium‑Carbon Steel,” J. </w:t>
      </w:r>
      <w:proofErr w:type="spellStart"/>
      <w:r>
        <w:t>Serambi</w:t>
      </w:r>
      <w:proofErr w:type="spellEnd"/>
      <w:r>
        <w:t xml:space="preserve"> Eng., 9 (1), 7864–7872 (2023).</w:t>
      </w:r>
    </w:p>
    <w:p w14:paraId="16650FAE" w14:textId="77777777" w:rsidR="000E1B0C" w:rsidRDefault="000E1B0C" w:rsidP="000E1B0C">
      <w:pPr>
        <w:pStyle w:val="Reference"/>
      </w:pPr>
      <w:r>
        <w:t xml:space="preserve">R. Redi Putra, S. </w:t>
      </w:r>
      <w:proofErr w:type="spellStart"/>
      <w:r>
        <w:t>Jokosisworo</w:t>
      </w:r>
      <w:proofErr w:type="spellEnd"/>
      <w:r>
        <w:t xml:space="preserve">, and A. S. </w:t>
      </w:r>
      <w:proofErr w:type="spellStart"/>
      <w:r>
        <w:t>Wibawa</w:t>
      </w:r>
      <w:proofErr w:type="spellEnd"/>
      <w:r>
        <w:t xml:space="preserve"> Budi, “Use of </w:t>
      </w:r>
      <w:proofErr w:type="spellStart"/>
      <w:r>
        <w:t>Jurnal</w:t>
      </w:r>
      <w:proofErr w:type="spellEnd"/>
      <w:r>
        <w:t xml:space="preserve"> Teknik </w:t>
      </w:r>
      <w:proofErr w:type="spellStart"/>
      <w:r>
        <w:t>Perkapalan</w:t>
      </w:r>
      <w:proofErr w:type="spellEnd"/>
      <w:r>
        <w:t xml:space="preserve"> 60 as Propeller Shaft Material After Tempering Process,” J. Tek. </w:t>
      </w:r>
      <w:proofErr w:type="spellStart"/>
      <w:r>
        <w:t>Perkapalan</w:t>
      </w:r>
      <w:proofErr w:type="spellEnd"/>
      <w:r>
        <w:t>, 6 (1), 83 (2018). [Online]. Available: http://ejournal3.undip.ac.id/index.php/naval</w:t>
      </w:r>
    </w:p>
    <w:p w14:paraId="1D013B9E" w14:textId="6324AB9F" w:rsidR="000E1B0C" w:rsidRDefault="000E1B0C" w:rsidP="000E1B0C">
      <w:pPr>
        <w:pStyle w:val="Reference"/>
      </w:pPr>
      <w:r>
        <w:t xml:space="preserve">N. </w:t>
      </w:r>
      <w:proofErr w:type="spellStart"/>
      <w:r>
        <w:t>Radović</w:t>
      </w:r>
      <w:proofErr w:type="spellEnd"/>
      <w:r>
        <w:t xml:space="preserve">, A. </w:t>
      </w:r>
      <w:proofErr w:type="spellStart"/>
      <w:r>
        <w:t>Koprivica</w:t>
      </w:r>
      <w:proofErr w:type="spellEnd"/>
      <w:r>
        <w:t xml:space="preserve">, D. </w:t>
      </w:r>
      <w:proofErr w:type="spellStart"/>
      <w:r>
        <w:t>Glišić</w:t>
      </w:r>
      <w:proofErr w:type="spellEnd"/>
      <w:r>
        <w:t xml:space="preserve">, A. Fadel, and D. </w:t>
      </w:r>
      <w:proofErr w:type="spellStart"/>
      <w:r>
        <w:t>Drobnjak</w:t>
      </w:r>
      <w:proofErr w:type="spellEnd"/>
      <w:r>
        <w:t>, “Influence of Vanadium and Nitrogen on Transformation Behavior and Mechanical Properties of Medium‑Carbon Forging Steels,” Mater. Sci. Forum, 638–642, 3459–3464 (2010).</w:t>
      </w:r>
    </w:p>
    <w:p w14:paraId="16197D47" w14:textId="201AB668" w:rsidR="000E1B0C" w:rsidRDefault="000E1B0C" w:rsidP="000E1B0C">
      <w:pPr>
        <w:pStyle w:val="Reference"/>
      </w:pPr>
      <w:r>
        <w:t xml:space="preserve">M. </w:t>
      </w:r>
      <w:proofErr w:type="spellStart"/>
      <w:r>
        <w:t>Syaifullah</w:t>
      </w:r>
      <w:proofErr w:type="spellEnd"/>
      <w:r>
        <w:t xml:space="preserve">, M. Subhan, and J. </w:t>
      </w:r>
      <w:proofErr w:type="spellStart"/>
      <w:r>
        <w:t>Juanda</w:t>
      </w:r>
      <w:proofErr w:type="spellEnd"/>
      <w:r>
        <w:t>, “Effect of Salt Water as Quenching Medium on Hardness Value in ST 60 Steel Hardening Process,” J. Syntax Admiration, 2 (8), 1555–1569 (2021).</w:t>
      </w:r>
    </w:p>
    <w:p w14:paraId="56CDD3FD" w14:textId="77777777" w:rsidR="000E1B0C" w:rsidRDefault="000E1B0C" w:rsidP="000E1B0C">
      <w:pPr>
        <w:pStyle w:val="Reference"/>
      </w:pPr>
      <w:r>
        <w:t xml:space="preserve">H. </w:t>
      </w:r>
      <w:proofErr w:type="spellStart"/>
      <w:r>
        <w:t>Iriandoko</w:t>
      </w:r>
      <w:proofErr w:type="spellEnd"/>
      <w:r>
        <w:t xml:space="preserve">, A. Akbar, and Y. S. </w:t>
      </w:r>
      <w:proofErr w:type="spellStart"/>
      <w:r>
        <w:t>Pramesty</w:t>
      </w:r>
      <w:proofErr w:type="spellEnd"/>
      <w:r>
        <w:t>, “Effect of Heat Treatment on ST 60 Steel Hardness Using Vinegar as Cooling Medium,” (2020).</w:t>
      </w:r>
    </w:p>
    <w:p w14:paraId="10DC832E" w14:textId="2D7BBD4C" w:rsidR="000E1B0C" w:rsidRDefault="000E1B0C" w:rsidP="000E1B0C">
      <w:pPr>
        <w:pStyle w:val="Reference"/>
      </w:pPr>
      <w:r>
        <w:t xml:space="preserve">A. </w:t>
      </w:r>
      <w:proofErr w:type="spellStart"/>
      <w:r>
        <w:t>Rosandi</w:t>
      </w:r>
      <w:proofErr w:type="spellEnd"/>
      <w:r>
        <w:t xml:space="preserve">, W. </w:t>
      </w:r>
      <w:proofErr w:type="spellStart"/>
      <w:r>
        <w:t>Sumbodo</w:t>
      </w:r>
      <w:proofErr w:type="spellEnd"/>
      <w:r>
        <w:t xml:space="preserve">, H. </w:t>
      </w:r>
      <w:proofErr w:type="spellStart"/>
      <w:r>
        <w:t>Yudiono</w:t>
      </w:r>
      <w:proofErr w:type="spellEnd"/>
      <w:r>
        <w:t xml:space="preserve">, and K. </w:t>
      </w:r>
      <w:proofErr w:type="spellStart"/>
      <w:r>
        <w:t>Kriswanto</w:t>
      </w:r>
      <w:proofErr w:type="spellEnd"/>
      <w:r>
        <w:t xml:space="preserve">, “Analysis of Cutting Speed and Depth Variations on Surface Roughness and Vibration in Cylindrical Turning of ST 60 Steel,” J. </w:t>
      </w:r>
      <w:proofErr w:type="spellStart"/>
      <w:r>
        <w:t>Inov</w:t>
      </w:r>
      <w:proofErr w:type="spellEnd"/>
      <w:r>
        <w:t xml:space="preserve">. </w:t>
      </w:r>
      <w:proofErr w:type="spellStart"/>
      <w:r>
        <w:t>Mesin</w:t>
      </w:r>
      <w:proofErr w:type="spellEnd"/>
      <w:r>
        <w:t>, 3 (1), 1–12 (2021).</w:t>
      </w:r>
    </w:p>
    <w:p w14:paraId="238D343A" w14:textId="77777777" w:rsidR="000E1B0C" w:rsidRDefault="000E1B0C" w:rsidP="000E1B0C">
      <w:pPr>
        <w:pStyle w:val="Reference"/>
      </w:pPr>
      <w:r>
        <w:t xml:space="preserve">K. </w:t>
      </w:r>
      <w:proofErr w:type="spellStart"/>
      <w:r>
        <w:t>Santoso</w:t>
      </w:r>
      <w:proofErr w:type="spellEnd"/>
      <w:r>
        <w:t xml:space="preserve"> and </w:t>
      </w:r>
      <w:proofErr w:type="spellStart"/>
      <w:r>
        <w:t>Suhardiman</w:t>
      </w:r>
      <w:proofErr w:type="spellEnd"/>
      <w:r>
        <w:t xml:space="preserve">, “Analysis of Heat Treatment Influence on Surface Roughness of Low‑Carbon Steel Workpiece in Kabul Process,” Semin. </w:t>
      </w:r>
      <w:proofErr w:type="spellStart"/>
      <w:r>
        <w:t>Nas</w:t>
      </w:r>
      <w:proofErr w:type="spellEnd"/>
      <w:r>
        <w:t xml:space="preserve">. Ind. dan </w:t>
      </w:r>
      <w:proofErr w:type="spellStart"/>
      <w:r>
        <w:t>Teknol</w:t>
      </w:r>
      <w:proofErr w:type="spellEnd"/>
      <w:r>
        <w:t xml:space="preserve">. </w:t>
      </w:r>
      <w:proofErr w:type="spellStart"/>
      <w:r>
        <w:t>Politek</w:t>
      </w:r>
      <w:proofErr w:type="spellEnd"/>
      <w:r>
        <w:t xml:space="preserve">. Negeri </w:t>
      </w:r>
      <w:proofErr w:type="spellStart"/>
      <w:r>
        <w:t>Bengkalis</w:t>
      </w:r>
      <w:proofErr w:type="spellEnd"/>
      <w:r>
        <w:t>, 160–178 (2019).</w:t>
      </w:r>
    </w:p>
    <w:p w14:paraId="18DABCAA" w14:textId="6912A6A5" w:rsidR="000E1B0C" w:rsidRDefault="000E1B0C" w:rsidP="000E1B0C">
      <w:pPr>
        <w:pStyle w:val="Reference"/>
      </w:pPr>
      <w:r>
        <w:t>A. N. S. HD and S. Widodo, “Improvement of Mechanical Properties of Gray Cast Iron Through Tempering Process,” J. Mech. Eng., 2 (2), 8–17 (2018).</w:t>
      </w:r>
    </w:p>
    <w:p w14:paraId="6A8A1DAB" w14:textId="77777777" w:rsidR="000E1B0C" w:rsidRDefault="000E1B0C" w:rsidP="000E1B0C">
      <w:pPr>
        <w:pStyle w:val="Reference"/>
      </w:pPr>
      <w:r>
        <w:t>A. A. Prabowo, “Effect of Cooling Medium in Process,” pp. 1–109 (2019).</w:t>
      </w:r>
    </w:p>
    <w:p w14:paraId="735C7699" w14:textId="77777777" w:rsidR="000E1B0C" w:rsidRDefault="000E1B0C" w:rsidP="000E1B0C">
      <w:pPr>
        <w:pStyle w:val="Reference"/>
      </w:pPr>
      <w:r>
        <w:t xml:space="preserve">N. </w:t>
      </w:r>
      <w:proofErr w:type="spellStart"/>
      <w:r>
        <w:t>Mulyaningsih</w:t>
      </w:r>
      <w:proofErr w:type="spellEnd"/>
      <w:r>
        <w:t>, B. Widodo, et al., “Hardness and Wear of ST 60 Steel Quenched Using Variations of Salt Solution,” J. Mech., 6 (1), 38–42 (2022). [Online]. Available: https://jurnal.untidar.ac.id/index.php/mechanical/article/view/7430/3008</w:t>
      </w:r>
    </w:p>
    <w:p w14:paraId="2DA6A98F" w14:textId="77777777" w:rsidR="000E1B0C" w:rsidRDefault="000E1B0C" w:rsidP="000E1B0C">
      <w:pPr>
        <w:pStyle w:val="Reference"/>
      </w:pPr>
      <w:r>
        <w:t xml:space="preserve">F. Ostwald, M. L. </w:t>
      </w:r>
      <w:proofErr w:type="spellStart"/>
      <w:r>
        <w:t>Begeman</w:t>
      </w:r>
      <w:proofErr w:type="spellEnd"/>
      <w:r>
        <w:t xml:space="preserve">, and S. </w:t>
      </w:r>
      <w:proofErr w:type="spellStart"/>
      <w:r>
        <w:t>Djaprie</w:t>
      </w:r>
      <w:proofErr w:type="spellEnd"/>
      <w:r>
        <w:t>, Mechanical Technology Volume 1 (</w:t>
      </w:r>
      <w:proofErr w:type="spellStart"/>
      <w:r>
        <w:t>Amstead</w:t>
      </w:r>
      <w:proofErr w:type="spellEnd"/>
      <w:r>
        <w:t> B. H., 1997), p. 1997.</w:t>
      </w:r>
    </w:p>
    <w:p w14:paraId="06DCB227" w14:textId="53C707CE" w:rsidR="000E1B0C" w:rsidRDefault="000E1B0C" w:rsidP="000E1B0C">
      <w:pPr>
        <w:pStyle w:val="Reference"/>
      </w:pPr>
      <w:r>
        <w:t xml:space="preserve">A. Setiawan and H. E. P. </w:t>
      </w:r>
      <w:proofErr w:type="spellStart"/>
      <w:r>
        <w:t>Tambunan</w:t>
      </w:r>
      <w:proofErr w:type="spellEnd"/>
      <w:r>
        <w:t>, “Effect of Quenching‑Tempering Process in Improving Mechanical Properties of Low‑Carbon Low‑Alloy Steel Grade J55 into Grade P110,” J. Metall. Eng. Process. Technol., 2 (2), 75 (2022).</w:t>
      </w:r>
    </w:p>
    <w:p w14:paraId="53947CD6" w14:textId="481AB532" w:rsidR="000E1B0C" w:rsidRDefault="000E1B0C" w:rsidP="000E1B0C">
      <w:pPr>
        <w:pStyle w:val="Reference"/>
      </w:pPr>
      <w:r>
        <w:t xml:space="preserve">D. </w:t>
      </w:r>
      <w:proofErr w:type="spellStart"/>
      <w:r>
        <w:t>Setiadi</w:t>
      </w:r>
      <w:proofErr w:type="spellEnd"/>
      <w:r>
        <w:t xml:space="preserve"> and A. K. </w:t>
      </w:r>
      <w:proofErr w:type="spellStart"/>
      <w:r>
        <w:t>Samlawi</w:t>
      </w:r>
      <w:proofErr w:type="spellEnd"/>
      <w:r>
        <w:t xml:space="preserve">, “Effect of Quenching with Water and Oil Cooling Media on Mechanical Properties of S45C Steel,” </w:t>
      </w:r>
      <w:proofErr w:type="spellStart"/>
      <w:r>
        <w:t>Jtam</w:t>
      </w:r>
      <w:proofErr w:type="spellEnd"/>
      <w:r>
        <w:t xml:space="preserve"> Rotary, 1 (2), 183 (2019).</w:t>
      </w:r>
    </w:p>
    <w:p w14:paraId="67CB688F" w14:textId="6F45F9CE" w:rsidR="000E1B0C" w:rsidRDefault="000E1B0C" w:rsidP="000E1B0C">
      <w:pPr>
        <w:pStyle w:val="Reference"/>
      </w:pPr>
      <w:r>
        <w:t xml:space="preserve">H. </w:t>
      </w:r>
      <w:proofErr w:type="spellStart"/>
      <w:r>
        <w:t>Hariningsih</w:t>
      </w:r>
      <w:proofErr w:type="spellEnd"/>
      <w:r>
        <w:t xml:space="preserve">, T. </w:t>
      </w:r>
      <w:proofErr w:type="spellStart"/>
      <w:r>
        <w:t>Daryanto</w:t>
      </w:r>
      <w:proofErr w:type="spellEnd"/>
      <w:r>
        <w:t xml:space="preserve">, and L. </w:t>
      </w:r>
      <w:proofErr w:type="spellStart"/>
      <w:r>
        <w:t>Lutiyatmi</w:t>
      </w:r>
      <w:proofErr w:type="spellEnd"/>
      <w:r>
        <w:t xml:space="preserve">, “Effect of Quenching and Tempering Media Variation on Microstructure and Hardness of AISI 1045 Steel,” </w:t>
      </w:r>
      <w:proofErr w:type="spellStart"/>
      <w:r>
        <w:t>Creat</w:t>
      </w:r>
      <w:proofErr w:type="spellEnd"/>
      <w:r>
        <w:t>. Res. Eng., 2 (2), 52 (2022).</w:t>
      </w:r>
    </w:p>
    <w:p w14:paraId="5223C459" w14:textId="77777777" w:rsidR="000E1B0C" w:rsidRDefault="000E1B0C" w:rsidP="000E1B0C">
      <w:pPr>
        <w:pStyle w:val="Reference"/>
      </w:pPr>
      <w:proofErr w:type="spellStart"/>
      <w:r>
        <w:t>Yopi</w:t>
      </w:r>
      <w:proofErr w:type="spellEnd"/>
      <w:r>
        <w:t xml:space="preserve"> </w:t>
      </w:r>
      <w:proofErr w:type="spellStart"/>
      <w:r>
        <w:t>Handoyo</w:t>
      </w:r>
      <w:proofErr w:type="spellEnd"/>
      <w:r>
        <w:t xml:space="preserve">, “Effect of Quenching and Tempering on Mechanical Properties of S45C JIS Grade Steel,” J. </w:t>
      </w:r>
      <w:proofErr w:type="spellStart"/>
      <w:r>
        <w:t>Ilm</w:t>
      </w:r>
      <w:proofErr w:type="spellEnd"/>
      <w:r>
        <w:t xml:space="preserve">. Tek. </w:t>
      </w:r>
      <w:proofErr w:type="spellStart"/>
      <w:r>
        <w:t>Mesin</w:t>
      </w:r>
      <w:proofErr w:type="spellEnd"/>
      <w:r>
        <w:t>, 3 (2), 104–105 (2015). [Online]. Available: http://ejournal.unismabekasi.ac.id/</w:t>
      </w:r>
    </w:p>
    <w:p w14:paraId="77F2EF74" w14:textId="44EB87EF" w:rsidR="000E1B0C" w:rsidRDefault="000E1B0C" w:rsidP="000E1B0C">
      <w:pPr>
        <w:pStyle w:val="Reference"/>
      </w:pPr>
      <w:r>
        <w:t xml:space="preserve">F. </w:t>
      </w:r>
      <w:proofErr w:type="spellStart"/>
      <w:r>
        <w:t>Diah</w:t>
      </w:r>
      <w:proofErr w:type="spellEnd"/>
      <w:r>
        <w:t xml:space="preserve"> and A. </w:t>
      </w:r>
      <w:proofErr w:type="spellStart"/>
      <w:r>
        <w:t>Verayanti</w:t>
      </w:r>
      <w:proofErr w:type="spellEnd"/>
      <w:r>
        <w:t>, “Experimental Design: Effect of Cooling Media Variations on Hardness and Tensile Strength of ST 41 Steel in Heat Treatment Process,” 2020, 175–182.</w:t>
      </w:r>
    </w:p>
    <w:p w14:paraId="511F7FDF" w14:textId="77777777" w:rsidR="000E1B0C" w:rsidRDefault="000E1B0C" w:rsidP="000E1B0C">
      <w:pPr>
        <w:pStyle w:val="Reference"/>
      </w:pPr>
      <w:r>
        <w:t>S. Flip and S. Absorption, “S; R S; R,” (1980).</w:t>
      </w:r>
    </w:p>
    <w:p w14:paraId="0B7554AD" w14:textId="561AB72F" w:rsidR="000E1B0C" w:rsidRDefault="000E1B0C" w:rsidP="000E1B0C">
      <w:pPr>
        <w:pStyle w:val="Reference"/>
      </w:pPr>
      <w:r>
        <w:lastRenderedPageBreak/>
        <w:t xml:space="preserve">A. T. Wibowo and A. K. </w:t>
      </w:r>
      <w:proofErr w:type="spellStart"/>
      <w:r>
        <w:t>Samlawi</w:t>
      </w:r>
      <w:proofErr w:type="spellEnd"/>
      <w:r>
        <w:t xml:space="preserve">, “Effect of Quenching Process with Water and Oil Cooling Media on Hardness and Microstructure of S45C Steel,” </w:t>
      </w:r>
      <w:proofErr w:type="spellStart"/>
      <w:r>
        <w:t>Jtam</w:t>
      </w:r>
      <w:proofErr w:type="spellEnd"/>
      <w:r>
        <w:t xml:space="preserve"> Rotary, 2 (2), 137 (2020).</w:t>
      </w:r>
    </w:p>
    <w:p w14:paraId="7BD98EC8" w14:textId="77777777" w:rsidR="000E1B0C" w:rsidRDefault="000E1B0C" w:rsidP="000E1B0C">
      <w:pPr>
        <w:pStyle w:val="Reference"/>
      </w:pPr>
      <w:r>
        <w:t>ISO, “ISO 6508‑1:2016 – Metallic Materials — Rockwell Hardness Test — Part 1: Test Method,” Int. Stand., 4, 1–32 (2016).</w:t>
      </w:r>
    </w:p>
    <w:p w14:paraId="26A55217" w14:textId="1A8504B2" w:rsidR="000E1B0C" w:rsidRDefault="000E1B0C" w:rsidP="000E1B0C">
      <w:pPr>
        <w:pStyle w:val="Reference"/>
      </w:pPr>
      <w:r>
        <w:t xml:space="preserve">M. Sulfate, </w:t>
      </w:r>
      <w:proofErr w:type="spellStart"/>
      <w:r>
        <w:t>iTeh</w:t>
      </w:r>
      <w:proofErr w:type="spellEnd"/>
      <w:r>
        <w:t xml:space="preserve"> Standards, Des. E 778‑87 (Reapproved 2004), 3–5 (2018).</w:t>
      </w:r>
    </w:p>
    <w:p w14:paraId="11A0CF43" w14:textId="6AE218E6" w:rsidR="00EA6E71" w:rsidRDefault="000E1B0C" w:rsidP="000E1B0C">
      <w:pPr>
        <w:pStyle w:val="Reference"/>
      </w:pPr>
      <w:r>
        <w:t>H. Setiawan, “Hardness Testing and Chemical Composition of Gray Cast Propeller Aluminum Product,” Proc. SNST Semarang, 4 (6), 31–36 (2014).</w:t>
      </w:r>
    </w:p>
    <w:p w14:paraId="7405E717" w14:textId="71647E24" w:rsidR="002E6F1D" w:rsidRDefault="002E6F1D" w:rsidP="00EA6E71">
      <w:pPr>
        <w:pStyle w:val="Reference"/>
        <w:numPr>
          <w:ilvl w:val="0"/>
          <w:numId w:val="0"/>
        </w:numPr>
        <w:ind w:left="426"/>
      </w:pPr>
    </w:p>
    <w:sectPr w:rsidR="002E6F1D" w:rsidSect="003C5EA4">
      <w:pgSz w:w="12240" w:h="15840"/>
      <w:pgMar w:top="1440" w:right="1440" w:bottom="1276"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49BB8" w14:textId="77777777" w:rsidR="00BF0541" w:rsidRDefault="00BF0541" w:rsidP="003C5EA4">
      <w:r>
        <w:separator/>
      </w:r>
    </w:p>
  </w:endnote>
  <w:endnote w:type="continuationSeparator" w:id="0">
    <w:p w14:paraId="2A9845E3" w14:textId="77777777" w:rsidR="00BF0541" w:rsidRDefault="00BF0541" w:rsidP="003C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C7085" w14:textId="77777777" w:rsidR="00BF0541" w:rsidRDefault="00BF0541" w:rsidP="003C5EA4">
      <w:r>
        <w:separator/>
      </w:r>
    </w:p>
  </w:footnote>
  <w:footnote w:type="continuationSeparator" w:id="0">
    <w:p w14:paraId="5E4D0F1D" w14:textId="77777777" w:rsidR="00BF0541" w:rsidRDefault="00BF0541" w:rsidP="003C5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83253"/>
    <w:multiLevelType w:val="hybridMultilevel"/>
    <w:tmpl w:val="BA803DB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3"/>
  </w:num>
  <w:num w:numId="2">
    <w:abstractNumId w:val="2"/>
  </w:num>
  <w:num w:numId="3">
    <w:abstractNumId w:val="4"/>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xMjQ3NTCyNDU1tjRU0lEKTi0uzszPAykwqQUApMmbgywAAAA="/>
  </w:docVars>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1B0C"/>
    <w:rsid w:val="000E382F"/>
    <w:rsid w:val="000E75CD"/>
    <w:rsid w:val="001036BA"/>
    <w:rsid w:val="001146DC"/>
    <w:rsid w:val="00114AB1"/>
    <w:rsid w:val="001230FF"/>
    <w:rsid w:val="00130BD7"/>
    <w:rsid w:val="00155B67"/>
    <w:rsid w:val="001562AF"/>
    <w:rsid w:val="00161A5B"/>
    <w:rsid w:val="0016385D"/>
    <w:rsid w:val="0016782F"/>
    <w:rsid w:val="0018789A"/>
    <w:rsid w:val="001937E9"/>
    <w:rsid w:val="001964E5"/>
    <w:rsid w:val="001A6226"/>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E6F1D"/>
    <w:rsid w:val="002F5298"/>
    <w:rsid w:val="00326AE0"/>
    <w:rsid w:val="00337E4F"/>
    <w:rsid w:val="00340C36"/>
    <w:rsid w:val="00346A9D"/>
    <w:rsid w:val="0039376F"/>
    <w:rsid w:val="003A2052"/>
    <w:rsid w:val="003A287B"/>
    <w:rsid w:val="003A5C85"/>
    <w:rsid w:val="003A61B1"/>
    <w:rsid w:val="003B0050"/>
    <w:rsid w:val="003C5EA4"/>
    <w:rsid w:val="003D6312"/>
    <w:rsid w:val="003E7C74"/>
    <w:rsid w:val="003F31C6"/>
    <w:rsid w:val="0040225B"/>
    <w:rsid w:val="00402DA2"/>
    <w:rsid w:val="00425AC2"/>
    <w:rsid w:val="0044771F"/>
    <w:rsid w:val="004A0F23"/>
    <w:rsid w:val="004B151D"/>
    <w:rsid w:val="004C7243"/>
    <w:rsid w:val="004E21DE"/>
    <w:rsid w:val="004E3C57"/>
    <w:rsid w:val="004E3CB2"/>
    <w:rsid w:val="005163A2"/>
    <w:rsid w:val="00525813"/>
    <w:rsid w:val="0053513F"/>
    <w:rsid w:val="00574405"/>
    <w:rsid w:val="005854B0"/>
    <w:rsid w:val="005A0E21"/>
    <w:rsid w:val="005B3A34"/>
    <w:rsid w:val="005B4C82"/>
    <w:rsid w:val="005C5551"/>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20A2"/>
    <w:rsid w:val="006E4474"/>
    <w:rsid w:val="00701388"/>
    <w:rsid w:val="00723B7F"/>
    <w:rsid w:val="00725861"/>
    <w:rsid w:val="0073393A"/>
    <w:rsid w:val="0073539D"/>
    <w:rsid w:val="00767B8A"/>
    <w:rsid w:val="00775481"/>
    <w:rsid w:val="007A233B"/>
    <w:rsid w:val="007B4863"/>
    <w:rsid w:val="007C65E6"/>
    <w:rsid w:val="007D406B"/>
    <w:rsid w:val="007D4407"/>
    <w:rsid w:val="007E1CA3"/>
    <w:rsid w:val="007F3836"/>
    <w:rsid w:val="00812D62"/>
    <w:rsid w:val="00812F29"/>
    <w:rsid w:val="00813D0F"/>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42802"/>
    <w:rsid w:val="00A5596B"/>
    <w:rsid w:val="00A646B3"/>
    <w:rsid w:val="00A6739B"/>
    <w:rsid w:val="00A90413"/>
    <w:rsid w:val="00AA728C"/>
    <w:rsid w:val="00AB0A9C"/>
    <w:rsid w:val="00AB7119"/>
    <w:rsid w:val="00AD5855"/>
    <w:rsid w:val="00AD74BB"/>
    <w:rsid w:val="00AE7500"/>
    <w:rsid w:val="00AE7F87"/>
    <w:rsid w:val="00AF3542"/>
    <w:rsid w:val="00AF5ABE"/>
    <w:rsid w:val="00B00415"/>
    <w:rsid w:val="00B03C2A"/>
    <w:rsid w:val="00B1000D"/>
    <w:rsid w:val="00B10134"/>
    <w:rsid w:val="00B16BFE"/>
    <w:rsid w:val="00B500E5"/>
    <w:rsid w:val="00B56946"/>
    <w:rsid w:val="00BA39BB"/>
    <w:rsid w:val="00BA3B3D"/>
    <w:rsid w:val="00BB7EEA"/>
    <w:rsid w:val="00BD1909"/>
    <w:rsid w:val="00BE5E16"/>
    <w:rsid w:val="00BE5FD1"/>
    <w:rsid w:val="00BF0541"/>
    <w:rsid w:val="00C06E05"/>
    <w:rsid w:val="00C14B14"/>
    <w:rsid w:val="00C17370"/>
    <w:rsid w:val="00C2054D"/>
    <w:rsid w:val="00C252EB"/>
    <w:rsid w:val="00C26EC0"/>
    <w:rsid w:val="00C56C77"/>
    <w:rsid w:val="00C84923"/>
    <w:rsid w:val="00CB7B3E"/>
    <w:rsid w:val="00CC739D"/>
    <w:rsid w:val="00CD34E3"/>
    <w:rsid w:val="00D04468"/>
    <w:rsid w:val="00D30640"/>
    <w:rsid w:val="00D36257"/>
    <w:rsid w:val="00D4687E"/>
    <w:rsid w:val="00D50CED"/>
    <w:rsid w:val="00D53A12"/>
    <w:rsid w:val="00D87E2A"/>
    <w:rsid w:val="00DB0C43"/>
    <w:rsid w:val="00DB63CA"/>
    <w:rsid w:val="00DE3354"/>
    <w:rsid w:val="00DF7DCD"/>
    <w:rsid w:val="00E50B7D"/>
    <w:rsid w:val="00E904A1"/>
    <w:rsid w:val="00EA6E71"/>
    <w:rsid w:val="00EB7D28"/>
    <w:rsid w:val="00EC0D0C"/>
    <w:rsid w:val="00ED4A2C"/>
    <w:rsid w:val="00EF3DF6"/>
    <w:rsid w:val="00EF6940"/>
    <w:rsid w:val="00F2044A"/>
    <w:rsid w:val="00F20BFC"/>
    <w:rsid w:val="00F24D5F"/>
    <w:rsid w:val="00F726C3"/>
    <w:rsid w:val="00F7571A"/>
    <w:rsid w:val="00F820CA"/>
    <w:rsid w:val="00F8554C"/>
    <w:rsid w:val="00F95F82"/>
    <w:rsid w:val="00F97A90"/>
    <w:rsid w:val="00FC2F35"/>
    <w:rsid w:val="00FC371D"/>
    <w:rsid w:val="00FC3FD7"/>
    <w:rsid w:val="00FD1FC6"/>
    <w:rsid w:val="00FD2F11"/>
    <w:rsid w:val="00FE5869"/>
    <w:rsid w:val="00FF6D2F"/>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B4C82"/>
    <w:rPr>
      <w:sz w:val="24"/>
      <w:lang w:val="en-US" w:eastAsia="en-US"/>
    </w:rPr>
  </w:style>
  <w:style w:type="paragraph" w:styleId="Heading1">
    <w:name w:val="heading 1"/>
    <w:basedOn w:val="Normal"/>
    <w:next w:val="Paragraph"/>
    <w:link w:val="Heading1Char"/>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link w:val="Heading3Char"/>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Heading1Char">
    <w:name w:val="Heading 1 Char"/>
    <w:basedOn w:val="DefaultParagraphFont"/>
    <w:link w:val="Heading1"/>
    <w:rsid w:val="00EF3DF6"/>
    <w:rPr>
      <w:b/>
      <w:caps/>
      <w:sz w:val="24"/>
      <w:lang w:val="en-US" w:eastAsia="en-US"/>
    </w:rPr>
  </w:style>
  <w:style w:type="character" w:customStyle="1" w:styleId="Heading2Char">
    <w:name w:val="Heading 2 Char"/>
    <w:basedOn w:val="DefaultParagraphFont"/>
    <w:link w:val="Heading2"/>
    <w:rsid w:val="002E6F1D"/>
    <w:rPr>
      <w:b/>
      <w:sz w:val="24"/>
      <w:lang w:val="en-US" w:eastAsia="en-US"/>
    </w:rPr>
  </w:style>
  <w:style w:type="paragraph" w:customStyle="1" w:styleId="Catatan">
    <w:name w:val="Catatan"/>
    <w:basedOn w:val="Normal"/>
    <w:qFormat/>
    <w:rsid w:val="002E6F1D"/>
    <w:pPr>
      <w:tabs>
        <w:tab w:val="left" w:pos="425"/>
        <w:tab w:val="left" w:pos="851"/>
        <w:tab w:val="left" w:pos="1134"/>
        <w:tab w:val="left" w:pos="1418"/>
      </w:tabs>
      <w:ind w:firstLine="567"/>
      <w:jc w:val="both"/>
    </w:pPr>
    <w:rPr>
      <w:rFonts w:ascii="Arial" w:eastAsia="Arial" w:hAnsi="Arial" w:cs="Arial"/>
      <w:color w:val="FF0000"/>
      <w:sz w:val="20"/>
      <w:lang w:eastAsia="id-ID"/>
    </w:rPr>
  </w:style>
  <w:style w:type="character" w:customStyle="1" w:styleId="Heading3Char">
    <w:name w:val="Heading 3 Char"/>
    <w:basedOn w:val="DefaultParagraphFont"/>
    <w:link w:val="Heading3"/>
    <w:rsid w:val="00AD74BB"/>
    <w:rPr>
      <w:i/>
      <w:iCs/>
    </w:rPr>
  </w:style>
  <w:style w:type="paragraph" w:styleId="Header">
    <w:name w:val="header"/>
    <w:basedOn w:val="Normal"/>
    <w:link w:val="HeaderChar"/>
    <w:unhideWhenUsed/>
    <w:rsid w:val="003C5EA4"/>
    <w:pPr>
      <w:tabs>
        <w:tab w:val="center" w:pos="4513"/>
        <w:tab w:val="right" w:pos="9026"/>
      </w:tabs>
    </w:pPr>
  </w:style>
  <w:style w:type="character" w:customStyle="1" w:styleId="HeaderChar">
    <w:name w:val="Header Char"/>
    <w:basedOn w:val="DefaultParagraphFont"/>
    <w:link w:val="Header"/>
    <w:rsid w:val="003C5EA4"/>
    <w:rPr>
      <w:sz w:val="24"/>
      <w:lang w:val="en-US" w:eastAsia="en-US"/>
    </w:rPr>
  </w:style>
  <w:style w:type="paragraph" w:styleId="Footer">
    <w:name w:val="footer"/>
    <w:basedOn w:val="Normal"/>
    <w:link w:val="FooterChar"/>
    <w:unhideWhenUsed/>
    <w:rsid w:val="003C5EA4"/>
    <w:pPr>
      <w:tabs>
        <w:tab w:val="center" w:pos="4513"/>
        <w:tab w:val="right" w:pos="9026"/>
      </w:tabs>
    </w:pPr>
  </w:style>
  <w:style w:type="character" w:customStyle="1" w:styleId="FooterChar">
    <w:name w:val="Footer Char"/>
    <w:basedOn w:val="DefaultParagraphFont"/>
    <w:link w:val="Footer"/>
    <w:rsid w:val="003C5EA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297535">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619</TotalTime>
  <Pages>7</Pages>
  <Words>2638</Words>
  <Characters>15039</Characters>
  <Application>Microsoft Office Word</Application>
  <DocSecurity>0</DocSecurity>
  <Lines>125</Lines>
  <Paragraphs>35</Paragraphs>
  <ScaleCrop>false</ScaleCrop>
  <Company>PPI</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27</cp:revision>
  <cp:lastPrinted>2011-03-03T08:29:00Z</cp:lastPrinted>
  <dcterms:created xsi:type="dcterms:W3CDTF">2025-07-29T13:54:00Z</dcterms:created>
  <dcterms:modified xsi:type="dcterms:W3CDTF">2025-12-16T11:10:00Z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