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9B7EA" w14:textId="4E272762" w:rsidR="00015319" w:rsidRPr="008B2CBF" w:rsidRDefault="00015319" w:rsidP="009A108A">
      <w:pPr>
        <w:pStyle w:val="PaperTitle"/>
        <w:pageBreakBefore/>
        <w:spacing w:before="0"/>
      </w:pPr>
      <w:bookmarkStart w:id="0" w:name="_Hlk212807923"/>
      <w:r w:rsidRPr="008B2CBF">
        <w:t>A Sustainable Approach to Develop Moroccan Phosphate Resources for Lithium-ion Batteries</w:t>
      </w:r>
    </w:p>
    <w:p w14:paraId="3507E48D" w14:textId="5DF1B8AB" w:rsidR="00015319" w:rsidRPr="008B2CBF" w:rsidRDefault="00015319" w:rsidP="0098237E">
      <w:pPr>
        <w:pStyle w:val="AuthorName"/>
        <w:ind w:right="-138"/>
        <w:rPr>
          <w:vertAlign w:val="superscript"/>
          <w:lang w:eastAsia="de-DE"/>
        </w:rPr>
      </w:pPr>
      <w:r w:rsidRPr="008B2CBF">
        <w:rPr>
          <w:lang w:eastAsia="de-DE"/>
        </w:rPr>
        <w:t xml:space="preserve">Said Azerblou </w:t>
      </w:r>
      <w:r w:rsidRPr="008B2CBF">
        <w:rPr>
          <w:vertAlign w:val="superscript"/>
          <w:lang w:eastAsia="de-DE"/>
        </w:rPr>
        <w:t>1, a</w:t>
      </w:r>
      <w:r w:rsidR="0098237E" w:rsidRPr="008B2CBF">
        <w:rPr>
          <w:vertAlign w:val="superscript"/>
          <w:lang w:eastAsia="de-DE"/>
        </w:rPr>
        <w:t>)</w:t>
      </w:r>
      <w:r w:rsidRPr="008B2CBF">
        <w:rPr>
          <w:lang w:eastAsia="de-DE"/>
        </w:rPr>
        <w:t xml:space="preserve">, Redouane </w:t>
      </w:r>
      <w:proofErr w:type="spellStart"/>
      <w:r w:rsidRPr="008B2CBF">
        <w:rPr>
          <w:lang w:eastAsia="de-DE"/>
        </w:rPr>
        <w:t>Oubah</w:t>
      </w:r>
      <w:proofErr w:type="spellEnd"/>
      <w:r w:rsidRPr="008B2CBF">
        <w:rPr>
          <w:lang w:eastAsia="de-DE"/>
        </w:rPr>
        <w:t xml:space="preserve"> </w:t>
      </w:r>
      <w:r w:rsidRPr="008B2CBF">
        <w:rPr>
          <w:vertAlign w:val="superscript"/>
          <w:lang w:eastAsia="de-DE"/>
        </w:rPr>
        <w:t>2</w:t>
      </w:r>
      <w:r w:rsidR="0098237E" w:rsidRPr="008B2CBF">
        <w:rPr>
          <w:vertAlign w:val="superscript"/>
          <w:lang w:eastAsia="de-DE"/>
        </w:rPr>
        <w:t>, b)</w:t>
      </w:r>
      <w:r w:rsidRPr="008B2CBF">
        <w:rPr>
          <w:lang w:eastAsia="de-DE"/>
        </w:rPr>
        <w:t xml:space="preserve">, Hamza Ouachtouk </w:t>
      </w:r>
      <w:r w:rsidRPr="008B2CBF">
        <w:rPr>
          <w:vertAlign w:val="superscript"/>
          <w:lang w:eastAsia="de-DE"/>
        </w:rPr>
        <w:t>1</w:t>
      </w:r>
      <w:r w:rsidR="0098237E" w:rsidRPr="008B2CBF">
        <w:rPr>
          <w:vertAlign w:val="superscript"/>
          <w:lang w:eastAsia="de-DE"/>
        </w:rPr>
        <w:t>, c)</w:t>
      </w:r>
      <w:r w:rsidRPr="008B2CBF">
        <w:rPr>
          <w:lang w:eastAsia="de-DE"/>
        </w:rPr>
        <w:t xml:space="preserve">, Elmostafa Tace </w:t>
      </w:r>
      <w:r w:rsidRPr="008B2CBF">
        <w:rPr>
          <w:vertAlign w:val="superscript"/>
          <w:lang w:eastAsia="de-DE"/>
        </w:rPr>
        <w:t>1</w:t>
      </w:r>
      <w:r w:rsidR="0098237E" w:rsidRPr="008B2CBF">
        <w:rPr>
          <w:vertAlign w:val="superscript"/>
          <w:lang w:eastAsia="de-DE"/>
        </w:rPr>
        <w:t>, d)</w:t>
      </w:r>
    </w:p>
    <w:p w14:paraId="0AD7BF55" w14:textId="77777777" w:rsidR="00015319" w:rsidRPr="008B2CBF" w:rsidRDefault="00015319" w:rsidP="00015319">
      <w:pPr>
        <w:tabs>
          <w:tab w:val="left" w:pos="136"/>
        </w:tabs>
        <w:spacing w:after="60" w:line="280" w:lineRule="exact"/>
        <w:jc w:val="center"/>
        <w:rPr>
          <w:b/>
          <w:sz w:val="22"/>
          <w:szCs w:val="28"/>
          <w:lang w:eastAsia="de-DE"/>
        </w:rPr>
      </w:pPr>
    </w:p>
    <w:p w14:paraId="11D3C5A5" w14:textId="77777777" w:rsidR="00015319" w:rsidRPr="008B2CBF" w:rsidRDefault="00015319" w:rsidP="009A108A">
      <w:pPr>
        <w:pStyle w:val="AuthorAffiliation"/>
        <w:rPr>
          <w:lang w:eastAsia="de-DE"/>
        </w:rPr>
      </w:pPr>
      <w:r w:rsidRPr="008B2CBF">
        <w:rPr>
          <w:vertAlign w:val="superscript"/>
          <w:lang w:eastAsia="de-DE"/>
        </w:rPr>
        <w:t>1</w:t>
      </w:r>
      <w:r w:rsidRPr="008B2CBF">
        <w:rPr>
          <w:lang w:eastAsia="de-DE"/>
        </w:rPr>
        <w:t xml:space="preserve"> Laboratory of Chemistry-Physics of Materials, Faculty of Sciences Ben </w:t>
      </w:r>
      <w:proofErr w:type="spellStart"/>
      <w:r w:rsidRPr="008B2CBF">
        <w:rPr>
          <w:lang w:eastAsia="de-DE"/>
        </w:rPr>
        <w:t>M’Sick</w:t>
      </w:r>
      <w:proofErr w:type="spellEnd"/>
      <w:r w:rsidRPr="008B2CBF">
        <w:rPr>
          <w:lang w:eastAsia="de-DE"/>
        </w:rPr>
        <w:t xml:space="preserve"> B. P. 7955, University Hassan II of Casablanca, Morocco</w:t>
      </w:r>
    </w:p>
    <w:p w14:paraId="04521367" w14:textId="77777777" w:rsidR="00015319" w:rsidRPr="008B2CBF" w:rsidRDefault="00015319" w:rsidP="009A108A">
      <w:pPr>
        <w:pStyle w:val="AuthorAffiliation"/>
        <w:rPr>
          <w:lang w:eastAsia="de-DE"/>
        </w:rPr>
      </w:pPr>
      <w:r w:rsidRPr="008B2CBF">
        <w:rPr>
          <w:vertAlign w:val="superscript"/>
          <w:lang w:eastAsia="de-DE"/>
        </w:rPr>
        <w:t>2</w:t>
      </w:r>
      <w:r w:rsidRPr="008B2CBF">
        <w:rPr>
          <w:lang w:eastAsia="de-DE"/>
        </w:rPr>
        <w:t xml:space="preserve"> Laboratory of Applied Geophysics, Geotechnics, Engineering Geology and Environment, </w:t>
      </w:r>
      <w:proofErr w:type="spellStart"/>
      <w:r w:rsidRPr="008B2CBF">
        <w:rPr>
          <w:lang w:eastAsia="de-DE"/>
        </w:rPr>
        <w:t>Mohammadia</w:t>
      </w:r>
      <w:proofErr w:type="spellEnd"/>
      <w:r w:rsidRPr="008B2CBF">
        <w:rPr>
          <w:lang w:eastAsia="de-DE"/>
        </w:rPr>
        <w:t xml:space="preserve"> School of Engineers, Mohammed V University in Rabat, 10090, Morocco</w:t>
      </w:r>
    </w:p>
    <w:p w14:paraId="5BBEFC55" w14:textId="77777777" w:rsidR="00015319" w:rsidRPr="008B2CBF" w:rsidRDefault="00015319" w:rsidP="00015319">
      <w:pPr>
        <w:tabs>
          <w:tab w:val="left" w:pos="136"/>
        </w:tabs>
        <w:spacing w:after="60" w:line="280" w:lineRule="exact"/>
        <w:jc w:val="center"/>
        <w:rPr>
          <w:b/>
          <w:sz w:val="22"/>
          <w:szCs w:val="28"/>
          <w:lang w:eastAsia="de-DE"/>
        </w:rPr>
      </w:pPr>
    </w:p>
    <w:p w14:paraId="48E31F45" w14:textId="38014C55" w:rsidR="00015319" w:rsidRPr="008B2CBF" w:rsidRDefault="009A108A" w:rsidP="009A108A">
      <w:pPr>
        <w:pStyle w:val="AuthorEmail"/>
        <w:rPr>
          <w:lang w:eastAsia="de-DE"/>
        </w:rPr>
      </w:pPr>
      <w:r w:rsidRPr="008B2CBF">
        <w:rPr>
          <w:vertAlign w:val="superscript"/>
          <w:lang w:eastAsia="de-DE"/>
        </w:rPr>
        <w:t>a</w:t>
      </w:r>
      <w:r w:rsidR="0098237E" w:rsidRPr="008B2CBF">
        <w:rPr>
          <w:vertAlign w:val="superscript"/>
          <w:lang w:eastAsia="de-DE"/>
        </w:rPr>
        <w:t>)</w:t>
      </w:r>
      <w:r w:rsidR="00015319" w:rsidRPr="008B2CBF">
        <w:rPr>
          <w:lang w:eastAsia="de-DE"/>
        </w:rPr>
        <w:t xml:space="preserve"> Corresponding </w:t>
      </w:r>
      <w:r w:rsidRPr="008B2CBF">
        <w:rPr>
          <w:lang w:eastAsia="de-DE"/>
        </w:rPr>
        <w:t>author:</w:t>
      </w:r>
      <w:r w:rsidR="00015319" w:rsidRPr="008B2CBF">
        <w:rPr>
          <w:lang w:eastAsia="de-DE"/>
        </w:rPr>
        <w:t xml:space="preserve"> </w:t>
      </w:r>
      <w:hyperlink r:id="rId11" w:history="1">
        <w:r w:rsidR="00015319" w:rsidRPr="008B2CBF">
          <w:rPr>
            <w:lang w:eastAsia="de-DE"/>
          </w:rPr>
          <w:t>saidazerblou@gmail.com</w:t>
        </w:r>
      </w:hyperlink>
    </w:p>
    <w:p w14:paraId="189C889A" w14:textId="58471BCD" w:rsidR="0098237E" w:rsidRPr="008B2CBF" w:rsidRDefault="0098237E" w:rsidP="0098237E">
      <w:pPr>
        <w:pStyle w:val="AuthorEmail"/>
        <w:rPr>
          <w:lang w:eastAsia="de-DE"/>
        </w:rPr>
      </w:pPr>
      <w:r w:rsidRPr="008B2CBF">
        <w:rPr>
          <w:vertAlign w:val="superscript"/>
          <w:lang w:eastAsia="de-DE"/>
        </w:rPr>
        <w:t>b)</w:t>
      </w:r>
      <w:r w:rsidRPr="008B2CBF">
        <w:rPr>
          <w:lang w:eastAsia="de-DE"/>
        </w:rPr>
        <w:t xml:space="preserve"> </w:t>
      </w:r>
      <w:r w:rsidRPr="008B2CBF">
        <w:rPr>
          <w:lang w:val="en-GB" w:eastAsia="de-DE"/>
        </w:rPr>
        <w:t>oubah.redouane@gmail.com</w:t>
      </w:r>
    </w:p>
    <w:p w14:paraId="0C2B3D06" w14:textId="6963BD76" w:rsidR="0098237E" w:rsidRPr="008B2CBF" w:rsidRDefault="0098237E" w:rsidP="0098237E">
      <w:pPr>
        <w:pStyle w:val="AuthorEmail"/>
        <w:rPr>
          <w:lang w:eastAsia="de-DE"/>
        </w:rPr>
      </w:pPr>
      <w:r w:rsidRPr="008B2CBF">
        <w:rPr>
          <w:vertAlign w:val="superscript"/>
          <w:lang w:eastAsia="de-DE"/>
        </w:rPr>
        <w:t>c)</w:t>
      </w:r>
      <w:r w:rsidRPr="008B2CBF">
        <w:rPr>
          <w:lang w:eastAsia="de-DE"/>
        </w:rPr>
        <w:t xml:space="preserve"> hamzawachtouk@gmail.com</w:t>
      </w:r>
    </w:p>
    <w:p w14:paraId="73B41F7A" w14:textId="1D465901" w:rsidR="009A108A" w:rsidRPr="008B2CBF" w:rsidRDefault="0098237E" w:rsidP="0098237E">
      <w:pPr>
        <w:pStyle w:val="AuthorEmail"/>
        <w:rPr>
          <w:lang w:eastAsia="de-DE"/>
        </w:rPr>
      </w:pPr>
      <w:r w:rsidRPr="008B2CBF">
        <w:rPr>
          <w:vertAlign w:val="superscript"/>
          <w:lang w:eastAsia="de-DE"/>
        </w:rPr>
        <w:t>d)</w:t>
      </w:r>
      <w:r w:rsidRPr="008B2CBF">
        <w:t xml:space="preserve"> </w:t>
      </w:r>
      <w:proofErr w:type="spellStart"/>
      <w:r w:rsidRPr="008B2CBF">
        <w:t>elmostafa.tace</w:t>
      </w:r>
      <w:proofErr w:type="spellEnd"/>
      <w:r w:rsidRPr="008B2CBF">
        <w:rPr>
          <w:lang w:val="en-GB" w:eastAsia="de-DE"/>
        </w:rPr>
        <w:t>@univh2c.ma</w:t>
      </w:r>
    </w:p>
    <w:bookmarkEnd w:id="0"/>
    <w:p w14:paraId="67663725" w14:textId="77777777" w:rsidR="00177878" w:rsidRPr="008B2CBF" w:rsidRDefault="00177878" w:rsidP="00DC72ED">
      <w:pPr>
        <w:pStyle w:val="Paragraph"/>
        <w:ind w:firstLine="0"/>
        <w:rPr>
          <w:b/>
          <w:bCs/>
          <w:lang w:eastAsia="de-DE"/>
        </w:rPr>
      </w:pPr>
    </w:p>
    <w:p w14:paraId="1045C084" w14:textId="78E07AF4" w:rsidR="00885E8B" w:rsidRPr="008B2CBF" w:rsidRDefault="00885E8B" w:rsidP="005C4978">
      <w:pPr>
        <w:pStyle w:val="Abstract"/>
        <w:rPr>
          <w:lang w:eastAsia="de-DE"/>
        </w:rPr>
      </w:pPr>
      <w:r w:rsidRPr="008B2CBF">
        <w:rPr>
          <w:b/>
          <w:bCs/>
          <w:lang w:eastAsia="de-DE"/>
        </w:rPr>
        <w:t>Abstract.</w:t>
      </w:r>
      <w:r w:rsidRPr="008B2CBF">
        <w:rPr>
          <w:lang w:eastAsia="de-DE"/>
        </w:rPr>
        <w:t xml:space="preserve"> L</w:t>
      </w:r>
      <w:bookmarkStart w:id="1" w:name="_Hlk199858365"/>
      <w:r w:rsidRPr="008B2CBF">
        <w:rPr>
          <w:lang w:eastAsia="de-DE"/>
        </w:rPr>
        <w:t xml:space="preserve">ithium Iron Phosphate </w:t>
      </w:r>
      <w:bookmarkEnd w:id="1"/>
      <w:r w:rsidRPr="008B2CBF">
        <w:rPr>
          <w:lang w:eastAsia="de-DE"/>
        </w:rPr>
        <w:t xml:space="preserve">(LFP) cathode materials </w:t>
      </w:r>
      <w:r w:rsidR="00973B27" w:rsidRPr="008B2CBF">
        <w:rPr>
          <w:lang w:eastAsia="de-DE"/>
        </w:rPr>
        <w:t>have</w:t>
      </w:r>
      <w:r w:rsidRPr="008B2CBF">
        <w:rPr>
          <w:lang w:eastAsia="de-DE"/>
        </w:rPr>
        <w:t xml:space="preserve"> attracted </w:t>
      </w:r>
      <w:r w:rsidR="00F758F1" w:rsidRPr="008B2CBF">
        <w:rPr>
          <w:lang w:eastAsia="de-DE"/>
        </w:rPr>
        <w:t>enormous</w:t>
      </w:r>
      <w:r w:rsidRPr="008B2CBF">
        <w:rPr>
          <w:lang w:eastAsia="de-DE"/>
        </w:rPr>
        <w:t xml:space="preserve"> </w:t>
      </w:r>
      <w:r w:rsidR="00F758F1" w:rsidRPr="008B2CBF">
        <w:rPr>
          <w:lang w:eastAsia="de-DE"/>
        </w:rPr>
        <w:t>attention</w:t>
      </w:r>
      <w:r w:rsidRPr="008B2CBF">
        <w:rPr>
          <w:lang w:eastAsia="de-DE"/>
        </w:rPr>
        <w:t xml:space="preserve"> and </w:t>
      </w:r>
      <w:r w:rsidR="009C51C5" w:rsidRPr="008B2CBF">
        <w:rPr>
          <w:lang w:eastAsia="de-DE"/>
        </w:rPr>
        <w:t>are</w:t>
      </w:r>
      <w:r w:rsidRPr="008B2CBF">
        <w:rPr>
          <w:lang w:eastAsia="de-DE"/>
        </w:rPr>
        <w:t xml:space="preserve"> considered</w:t>
      </w:r>
      <w:r w:rsidR="000615FF" w:rsidRPr="008B2CBF">
        <w:rPr>
          <w:lang w:eastAsia="de-DE"/>
        </w:rPr>
        <w:t xml:space="preserve"> </w:t>
      </w:r>
      <w:r w:rsidRPr="008B2CBF">
        <w:rPr>
          <w:lang w:eastAsia="de-DE"/>
        </w:rPr>
        <w:t xml:space="preserve">an outstanding </w:t>
      </w:r>
      <w:r w:rsidR="00140FF2" w:rsidRPr="008B2CBF">
        <w:rPr>
          <w:lang w:eastAsia="de-DE"/>
        </w:rPr>
        <w:t xml:space="preserve">electrode </w:t>
      </w:r>
      <w:r w:rsidRPr="008B2CBF">
        <w:rPr>
          <w:lang w:eastAsia="de-DE"/>
        </w:rPr>
        <w:t>for Lithium-Ion Batteries (LIB)</w:t>
      </w:r>
      <w:r w:rsidR="00425A66" w:rsidRPr="008B2CBF">
        <w:rPr>
          <w:lang w:eastAsia="de-DE"/>
        </w:rPr>
        <w:t>; a</w:t>
      </w:r>
      <w:r w:rsidR="00CF4057" w:rsidRPr="008B2CBF">
        <w:rPr>
          <w:lang w:eastAsia="de-DE"/>
        </w:rPr>
        <w:t xml:space="preserve"> vital</w:t>
      </w:r>
      <w:r w:rsidR="00425A66" w:rsidRPr="008B2CBF">
        <w:rPr>
          <w:lang w:eastAsia="de-DE"/>
        </w:rPr>
        <w:t xml:space="preserve"> component</w:t>
      </w:r>
      <w:r w:rsidRPr="008B2CBF">
        <w:rPr>
          <w:lang w:eastAsia="de-DE"/>
        </w:rPr>
        <w:t xml:space="preserve"> in</w:t>
      </w:r>
      <w:r w:rsidR="00140FF2" w:rsidRPr="008B2CBF">
        <w:rPr>
          <w:lang w:eastAsia="de-DE"/>
        </w:rPr>
        <w:t xml:space="preserve"> the</w:t>
      </w:r>
      <w:r w:rsidRPr="008B2CBF">
        <w:rPr>
          <w:lang w:eastAsia="de-DE"/>
        </w:rPr>
        <w:t xml:space="preserve"> </w:t>
      </w:r>
      <w:r w:rsidR="007D0FAB" w:rsidRPr="008B2CBF">
        <w:rPr>
          <w:lang w:eastAsia="de-DE"/>
        </w:rPr>
        <w:t>sustainable</w:t>
      </w:r>
      <w:r w:rsidRPr="008B2CBF">
        <w:rPr>
          <w:lang w:eastAsia="de-DE"/>
        </w:rPr>
        <w:t xml:space="preserve"> energy transition. Leading countries are competing to </w:t>
      </w:r>
      <w:r w:rsidR="007D0FAB" w:rsidRPr="008B2CBF">
        <w:rPr>
          <w:lang w:eastAsia="de-DE"/>
        </w:rPr>
        <w:t>secure an independent supply of strategic raw materials, especially those required for the manufactur</w:t>
      </w:r>
      <w:r w:rsidR="009B2416" w:rsidRPr="008B2CBF">
        <w:rPr>
          <w:lang w:eastAsia="de-DE"/>
        </w:rPr>
        <w:t>e</w:t>
      </w:r>
      <w:r w:rsidR="007D0FAB" w:rsidRPr="008B2CBF">
        <w:rPr>
          <w:lang w:eastAsia="de-DE"/>
        </w:rPr>
        <w:t xml:space="preserve"> of LFP cathodes</w:t>
      </w:r>
      <w:r w:rsidRPr="008B2CBF">
        <w:rPr>
          <w:lang w:eastAsia="de-DE"/>
        </w:rPr>
        <w:t xml:space="preserve">. Morocco </w:t>
      </w:r>
      <w:r w:rsidR="00D3567F">
        <w:rPr>
          <w:lang w:eastAsia="de-DE"/>
        </w:rPr>
        <w:t>possesses</w:t>
      </w:r>
      <w:r w:rsidRPr="008B2CBF">
        <w:rPr>
          <w:lang w:eastAsia="de-DE"/>
        </w:rPr>
        <w:t xml:space="preserve"> </w:t>
      </w:r>
      <w:r w:rsidR="00D3567F">
        <w:rPr>
          <w:lang w:eastAsia="de-DE"/>
        </w:rPr>
        <w:t>large</w:t>
      </w:r>
      <w:r w:rsidR="005C2E9C" w:rsidRPr="008B2CBF">
        <w:rPr>
          <w:lang w:eastAsia="de-DE"/>
        </w:rPr>
        <w:t xml:space="preserve"> </w:t>
      </w:r>
      <w:r w:rsidR="00D3567F">
        <w:rPr>
          <w:lang w:eastAsia="de-DE"/>
        </w:rPr>
        <w:t>mineral</w:t>
      </w:r>
      <w:r w:rsidR="005C2E9C" w:rsidRPr="008B2CBF">
        <w:rPr>
          <w:lang w:eastAsia="de-DE"/>
        </w:rPr>
        <w:t xml:space="preserve"> resources and production capabilities essential for LFP cathodes</w:t>
      </w:r>
      <w:r w:rsidR="00425A66" w:rsidRPr="008B2CBF">
        <w:rPr>
          <w:lang w:eastAsia="de-DE"/>
        </w:rPr>
        <w:t>,</w:t>
      </w:r>
      <w:r w:rsidR="005C2E9C" w:rsidRPr="008B2CBF">
        <w:rPr>
          <w:lang w:eastAsia="de-DE"/>
        </w:rPr>
        <w:t xml:space="preserve"> </w:t>
      </w:r>
      <w:r w:rsidR="00796AC7">
        <w:rPr>
          <w:lang w:eastAsia="de-DE"/>
        </w:rPr>
        <w:t>with</w:t>
      </w:r>
      <w:r w:rsidR="00D3567F">
        <w:rPr>
          <w:lang w:eastAsia="de-DE"/>
        </w:rPr>
        <w:t xml:space="preserve"> a production capacity of</w:t>
      </w:r>
      <w:r w:rsidR="005C2E9C" w:rsidRPr="008B2CBF">
        <w:rPr>
          <w:lang w:eastAsia="de-DE"/>
        </w:rPr>
        <w:t xml:space="preserve"> 30 million tons of phosphates</w:t>
      </w:r>
      <w:r w:rsidRPr="008B2CBF">
        <w:rPr>
          <w:lang w:eastAsia="de-DE"/>
        </w:rPr>
        <w:t xml:space="preserve">. </w:t>
      </w:r>
      <w:r w:rsidR="00B75EC9">
        <w:rPr>
          <w:lang w:eastAsia="de-DE"/>
        </w:rPr>
        <w:t xml:space="preserve">The actual </w:t>
      </w:r>
      <w:r w:rsidR="00B75EC9" w:rsidRPr="008B2CBF">
        <w:rPr>
          <w:lang w:eastAsia="de-DE"/>
        </w:rPr>
        <w:t>commercialized product</w:t>
      </w:r>
      <w:r w:rsidR="00B75EC9">
        <w:rPr>
          <w:lang w:eastAsia="de-DE"/>
        </w:rPr>
        <w:t xml:space="preserve"> is the </w:t>
      </w:r>
      <w:r w:rsidR="00796AC7">
        <w:t>M</w:t>
      </w:r>
      <w:r w:rsidR="00796AC7" w:rsidRPr="008B2CBF">
        <w:t>erchant-</w:t>
      </w:r>
      <w:r w:rsidR="00796AC7">
        <w:t>G</w:t>
      </w:r>
      <w:r w:rsidR="00796AC7" w:rsidRPr="008B2CBF">
        <w:t xml:space="preserve">rade </w:t>
      </w:r>
      <w:r w:rsidR="00796AC7">
        <w:t>A</w:t>
      </w:r>
      <w:r w:rsidR="00796AC7" w:rsidRPr="008B2CBF">
        <w:t>cid (MGA)</w:t>
      </w:r>
      <w:r w:rsidR="00796AC7">
        <w:rPr>
          <w:lang w:eastAsia="de-DE"/>
        </w:rPr>
        <w:t xml:space="preserve"> </w:t>
      </w:r>
      <w:r w:rsidR="004A40C6" w:rsidRPr="008B2CBF">
        <w:rPr>
          <w:lang w:eastAsia="de-DE"/>
        </w:rPr>
        <w:t>with 54% P</w:t>
      </w:r>
      <w:r w:rsidR="004A40C6" w:rsidRPr="008B2CBF">
        <w:rPr>
          <w:vertAlign w:val="subscript"/>
          <w:lang w:eastAsia="de-DE"/>
        </w:rPr>
        <w:t>2</w:t>
      </w:r>
      <w:r w:rsidR="004A40C6" w:rsidRPr="008B2CBF">
        <w:rPr>
          <w:lang w:eastAsia="de-DE"/>
        </w:rPr>
        <w:t>O</w:t>
      </w:r>
      <w:r w:rsidR="004A40C6" w:rsidRPr="008B2CBF">
        <w:rPr>
          <w:vertAlign w:val="subscript"/>
          <w:lang w:eastAsia="de-DE"/>
        </w:rPr>
        <w:t>5</w:t>
      </w:r>
      <w:r w:rsidR="00B75EC9">
        <w:rPr>
          <w:lang w:eastAsia="de-DE"/>
        </w:rPr>
        <w:t>,</w:t>
      </w:r>
      <w:r w:rsidR="004A40C6" w:rsidRPr="008B2CBF">
        <w:rPr>
          <w:lang w:eastAsia="de-DE"/>
        </w:rPr>
        <w:t xml:space="preserve"> </w:t>
      </w:r>
      <w:r w:rsidR="00B75EC9">
        <w:rPr>
          <w:lang w:eastAsia="de-DE"/>
        </w:rPr>
        <w:t>while</w:t>
      </w:r>
      <w:r w:rsidR="007C3A2B" w:rsidRPr="008B2CBF">
        <w:rPr>
          <w:lang w:eastAsia="de-DE"/>
        </w:rPr>
        <w:t xml:space="preserve"> the</w:t>
      </w:r>
      <w:r w:rsidR="004A40C6" w:rsidRPr="008B2CBF">
        <w:rPr>
          <w:lang w:eastAsia="de-DE"/>
        </w:rPr>
        <w:t xml:space="preserve"> production of LFP cathodes require</w:t>
      </w:r>
      <w:r w:rsidR="00186D90" w:rsidRPr="008B2CBF">
        <w:rPr>
          <w:lang w:eastAsia="de-DE"/>
        </w:rPr>
        <w:t>s</w:t>
      </w:r>
      <w:r w:rsidR="004A40C6" w:rsidRPr="008B2CBF">
        <w:rPr>
          <w:lang w:eastAsia="de-DE"/>
        </w:rPr>
        <w:t xml:space="preserve"> a more concentrated </w:t>
      </w:r>
      <w:r w:rsidR="00186D90" w:rsidRPr="008B2CBF">
        <w:rPr>
          <w:lang w:eastAsia="de-DE"/>
        </w:rPr>
        <w:t>T</w:t>
      </w:r>
      <w:r w:rsidR="004A40C6" w:rsidRPr="008B2CBF">
        <w:rPr>
          <w:lang w:eastAsia="de-DE"/>
        </w:rPr>
        <w:t>echnical</w:t>
      </w:r>
      <w:r w:rsidR="00186D90" w:rsidRPr="008B2CBF">
        <w:rPr>
          <w:lang w:eastAsia="de-DE"/>
        </w:rPr>
        <w:t xml:space="preserve"> Grade Acid</w:t>
      </w:r>
      <w:r w:rsidR="004A40C6" w:rsidRPr="008B2CBF">
        <w:rPr>
          <w:lang w:eastAsia="de-DE"/>
        </w:rPr>
        <w:t xml:space="preserve"> (TGA) that contains 62% of P</w:t>
      </w:r>
      <w:r w:rsidR="004A40C6" w:rsidRPr="008B2CBF">
        <w:rPr>
          <w:vertAlign w:val="subscript"/>
          <w:lang w:eastAsia="de-DE"/>
        </w:rPr>
        <w:t>2</w:t>
      </w:r>
      <w:r w:rsidR="004A40C6" w:rsidRPr="008B2CBF">
        <w:rPr>
          <w:lang w:eastAsia="de-DE"/>
        </w:rPr>
        <w:t>O</w:t>
      </w:r>
      <w:r w:rsidR="004A40C6" w:rsidRPr="008B2CBF">
        <w:rPr>
          <w:vertAlign w:val="subscript"/>
          <w:lang w:eastAsia="de-DE"/>
        </w:rPr>
        <w:t>5</w:t>
      </w:r>
      <w:r w:rsidR="007C3A2B" w:rsidRPr="008B2CBF">
        <w:rPr>
          <w:lang w:eastAsia="de-DE"/>
        </w:rPr>
        <w:t>, indicating that an upgrade of the phosphorus concentration is necessary.</w:t>
      </w:r>
      <w:r w:rsidR="00973B27" w:rsidRPr="008B2CBF">
        <w:rPr>
          <w:lang w:eastAsia="de-DE"/>
        </w:rPr>
        <w:t xml:space="preserve"> Our article proposes an innovative approach based on various patented transformations and circular economy practices, with the aim of increasing the concentration of phosphoric acid to create battery-grade precursors, essential </w:t>
      </w:r>
      <w:r w:rsidR="00CF4057" w:rsidRPr="008B2CBF">
        <w:rPr>
          <w:lang w:eastAsia="de-DE"/>
        </w:rPr>
        <w:t>to produce</w:t>
      </w:r>
      <w:r w:rsidR="00973B27" w:rsidRPr="008B2CBF">
        <w:rPr>
          <w:lang w:eastAsia="de-DE"/>
        </w:rPr>
        <w:t xml:space="preserve"> LFP cathodes</w:t>
      </w:r>
      <w:r w:rsidR="00CF4057" w:rsidRPr="008B2CBF">
        <w:rPr>
          <w:lang w:eastAsia="de-DE"/>
        </w:rPr>
        <w:t xml:space="preserve">. A detailed study of previous </w:t>
      </w:r>
      <w:r w:rsidR="00186D90" w:rsidRPr="008B2CBF">
        <w:rPr>
          <w:lang w:eastAsia="de-DE"/>
        </w:rPr>
        <w:t>works</w:t>
      </w:r>
      <w:r w:rsidR="00CF4057" w:rsidRPr="008B2CBF">
        <w:rPr>
          <w:lang w:eastAsia="de-DE"/>
        </w:rPr>
        <w:t xml:space="preserve"> reveals that the use of hydrothermal synthesis, with phosphoric acid as the main metal precursor, remains the dominant technique</w:t>
      </w:r>
      <w:r w:rsidR="00652D17" w:rsidRPr="008B2CBF">
        <w:rPr>
          <w:lang w:eastAsia="de-DE"/>
        </w:rPr>
        <w:t xml:space="preserve"> and precursor</w:t>
      </w:r>
      <w:r w:rsidR="00CF4057" w:rsidRPr="008B2CBF">
        <w:rPr>
          <w:lang w:eastAsia="de-DE"/>
        </w:rPr>
        <w:t xml:space="preserve"> for the manufacture of LFP cathodes, both in academic</w:t>
      </w:r>
      <w:r w:rsidR="008C569C" w:rsidRPr="008B2CBF">
        <w:rPr>
          <w:lang w:eastAsia="de-DE"/>
        </w:rPr>
        <w:t xml:space="preserve"> </w:t>
      </w:r>
      <w:r w:rsidR="00CF4057" w:rsidRPr="008B2CBF">
        <w:rPr>
          <w:lang w:eastAsia="de-DE"/>
        </w:rPr>
        <w:t xml:space="preserve">and industrial </w:t>
      </w:r>
      <w:r w:rsidR="008C569C" w:rsidRPr="008B2CBF">
        <w:rPr>
          <w:lang w:eastAsia="de-DE"/>
        </w:rPr>
        <w:t>scale</w:t>
      </w:r>
      <w:r w:rsidR="00CF4057" w:rsidRPr="008B2CBF">
        <w:rPr>
          <w:lang w:eastAsia="de-DE"/>
        </w:rPr>
        <w:t xml:space="preserve">s. </w:t>
      </w:r>
      <w:r w:rsidR="008C569C" w:rsidRPr="008B2CBF">
        <w:rPr>
          <w:lang w:eastAsia="de-DE"/>
        </w:rPr>
        <w:t>Subsequently,</w:t>
      </w:r>
      <w:r w:rsidR="00B9044B" w:rsidRPr="008B2CBF">
        <w:rPr>
          <w:lang w:eastAsia="de-DE"/>
        </w:rPr>
        <w:t xml:space="preserve"> </w:t>
      </w:r>
      <w:r w:rsidR="00CF4057" w:rsidRPr="008B2CBF">
        <w:rPr>
          <w:lang w:eastAsia="de-DE"/>
        </w:rPr>
        <w:t>sustainable methods have been established, using renewable energy sources, non-conventional resources</w:t>
      </w:r>
      <w:r w:rsidR="00186D90" w:rsidRPr="008B2CBF">
        <w:rPr>
          <w:lang w:eastAsia="de-DE"/>
        </w:rPr>
        <w:t>,</w:t>
      </w:r>
      <w:r w:rsidR="00CF4057" w:rsidRPr="008B2CBF">
        <w:rPr>
          <w:lang w:eastAsia="de-DE"/>
        </w:rPr>
        <w:t xml:space="preserve"> and </w:t>
      </w:r>
      <w:r w:rsidR="00B9044B" w:rsidRPr="008B2CBF">
        <w:rPr>
          <w:lang w:eastAsia="de-DE"/>
        </w:rPr>
        <w:t>waste recycling approaches, including impurity removal, liquid-liquid extraction, and evaporation, to achieve the required TGA.</w:t>
      </w:r>
      <w:r w:rsidR="005C4978" w:rsidRPr="008B2CBF">
        <w:rPr>
          <w:lang w:eastAsia="de-DE"/>
        </w:rPr>
        <w:t xml:space="preserve"> </w:t>
      </w:r>
      <w:r w:rsidRPr="008B2CBF">
        <w:rPr>
          <w:lang w:eastAsia="de-DE"/>
        </w:rPr>
        <w:t xml:space="preserve">These processes will </w:t>
      </w:r>
      <w:r w:rsidR="005C4978" w:rsidRPr="008B2CBF">
        <w:rPr>
          <w:lang w:eastAsia="de-DE"/>
        </w:rPr>
        <w:t>allow</w:t>
      </w:r>
      <w:r w:rsidRPr="008B2CBF">
        <w:rPr>
          <w:lang w:eastAsia="de-DE"/>
        </w:rPr>
        <w:t xml:space="preserve"> Morocco to produce</w:t>
      </w:r>
      <w:r w:rsidR="00130692" w:rsidRPr="008B2CBF">
        <w:rPr>
          <w:lang w:eastAsia="de-DE"/>
        </w:rPr>
        <w:t xml:space="preserve"> </w:t>
      </w:r>
      <w:r w:rsidRPr="008B2CBF">
        <w:rPr>
          <w:lang w:eastAsia="de-DE"/>
        </w:rPr>
        <w:t>1 million tons of P</w:t>
      </w:r>
      <w:r w:rsidR="00186D90" w:rsidRPr="008B2CBF">
        <w:rPr>
          <w:vertAlign w:val="subscript"/>
          <w:lang w:eastAsia="de-DE"/>
        </w:rPr>
        <w:t>2</w:t>
      </w:r>
      <w:r w:rsidRPr="008B2CBF">
        <w:rPr>
          <w:lang w:eastAsia="de-DE"/>
        </w:rPr>
        <w:t>O</w:t>
      </w:r>
      <w:r w:rsidR="00186D90" w:rsidRPr="008B2CBF">
        <w:rPr>
          <w:vertAlign w:val="subscript"/>
          <w:lang w:eastAsia="de-DE"/>
        </w:rPr>
        <w:t>5</w:t>
      </w:r>
      <w:r w:rsidRPr="008B2CBF">
        <w:rPr>
          <w:lang w:eastAsia="de-DE"/>
        </w:rPr>
        <w:t xml:space="preserve"> yearly</w:t>
      </w:r>
      <w:r w:rsidR="00130692" w:rsidRPr="008B2CBF">
        <w:rPr>
          <w:lang w:eastAsia="de-DE"/>
        </w:rPr>
        <w:t xml:space="preserve"> (TGA</w:t>
      </w:r>
      <w:r w:rsidR="000F1909" w:rsidRPr="008B2CBF">
        <w:rPr>
          <w:lang w:eastAsia="de-DE"/>
        </w:rPr>
        <w:t xml:space="preserve"> quality</w:t>
      </w:r>
      <w:r w:rsidR="00130692" w:rsidRPr="008B2CBF">
        <w:rPr>
          <w:lang w:eastAsia="de-DE"/>
        </w:rPr>
        <w:t>)</w:t>
      </w:r>
      <w:r w:rsidRPr="008B2CBF">
        <w:rPr>
          <w:lang w:eastAsia="de-DE"/>
        </w:rPr>
        <w:t xml:space="preserve">, enabling a manufacturing capacity of 8 million </w:t>
      </w:r>
      <w:r w:rsidR="000F1909" w:rsidRPr="008B2CBF">
        <w:rPr>
          <w:lang w:eastAsia="de-DE"/>
        </w:rPr>
        <w:t>E</w:t>
      </w:r>
      <w:r w:rsidRPr="008B2CBF">
        <w:rPr>
          <w:lang w:eastAsia="de-DE"/>
        </w:rPr>
        <w:t xml:space="preserve">lectric </w:t>
      </w:r>
      <w:r w:rsidR="000F1909" w:rsidRPr="008B2CBF">
        <w:rPr>
          <w:lang w:eastAsia="de-DE"/>
        </w:rPr>
        <w:t>V</w:t>
      </w:r>
      <w:r w:rsidRPr="008B2CBF">
        <w:rPr>
          <w:lang w:eastAsia="de-DE"/>
        </w:rPr>
        <w:t>ehicles</w:t>
      </w:r>
      <w:r w:rsidR="000F1909" w:rsidRPr="008B2CBF">
        <w:rPr>
          <w:lang w:eastAsia="de-DE"/>
        </w:rPr>
        <w:t xml:space="preserve"> (EVs)</w:t>
      </w:r>
      <w:r w:rsidRPr="008B2CBF">
        <w:rPr>
          <w:lang w:eastAsia="de-DE"/>
        </w:rPr>
        <w:t xml:space="preserve"> per year utilizing LFP chemistry. This work </w:t>
      </w:r>
      <w:r w:rsidR="00130692" w:rsidRPr="008B2CBF">
        <w:rPr>
          <w:lang w:eastAsia="de-DE"/>
        </w:rPr>
        <w:t>lays the foundation for sustainable electric mobility in Morocco</w:t>
      </w:r>
      <w:r w:rsidR="000F1909" w:rsidRPr="008B2CBF">
        <w:rPr>
          <w:lang w:eastAsia="de-DE"/>
        </w:rPr>
        <w:t xml:space="preserve"> </w:t>
      </w:r>
      <w:r w:rsidRPr="008B2CBF">
        <w:rPr>
          <w:lang w:eastAsia="de-DE"/>
        </w:rPr>
        <w:t>by developing a local manufacturing ecosystem for LIB.</w:t>
      </w:r>
    </w:p>
    <w:p w14:paraId="37E611CD" w14:textId="7A6008D1" w:rsidR="00885E8B" w:rsidRPr="008B2CBF" w:rsidRDefault="00885E8B" w:rsidP="000F1909">
      <w:pPr>
        <w:pStyle w:val="Abstract"/>
        <w:rPr>
          <w:lang w:eastAsia="de-DE"/>
        </w:rPr>
      </w:pPr>
      <w:r w:rsidRPr="008B2CBF">
        <w:rPr>
          <w:lang w:eastAsia="de-DE"/>
        </w:rPr>
        <w:t>Keywords:</w:t>
      </w:r>
      <w:r w:rsidRPr="008B2CBF">
        <w:t xml:space="preserve"> </w:t>
      </w:r>
      <w:r w:rsidR="00DC72ED" w:rsidRPr="008B2CBF">
        <w:rPr>
          <w:lang w:eastAsia="de-DE"/>
        </w:rPr>
        <w:t xml:space="preserve">Battery-grade precursors; </w:t>
      </w:r>
      <w:r w:rsidR="000F1909" w:rsidRPr="008B2CBF">
        <w:rPr>
          <w:lang w:eastAsia="de-DE"/>
        </w:rPr>
        <w:t xml:space="preserve">Sustainable processes; </w:t>
      </w:r>
      <w:r w:rsidR="00DC72ED" w:rsidRPr="008B2CBF">
        <w:rPr>
          <w:lang w:eastAsia="de-DE"/>
        </w:rPr>
        <w:t xml:space="preserve">Technical Grade Acid; Lithium-on batteries; </w:t>
      </w:r>
      <w:r w:rsidR="00DC72ED" w:rsidRPr="008B2CBF">
        <w:t>L</w:t>
      </w:r>
      <w:r w:rsidR="00DC72ED" w:rsidRPr="008B2CBF">
        <w:rPr>
          <w:lang w:eastAsia="de-DE"/>
        </w:rPr>
        <w:t>ithium iron phosphate</w:t>
      </w:r>
      <w:r w:rsidR="000F1909" w:rsidRPr="008B2CBF">
        <w:rPr>
          <w:lang w:eastAsia="de-DE"/>
        </w:rPr>
        <w:t>.</w:t>
      </w:r>
      <w:r w:rsidR="00DC72ED" w:rsidRPr="008B2CBF">
        <w:rPr>
          <w:lang w:eastAsia="de-DE"/>
        </w:rPr>
        <w:t xml:space="preserve"> </w:t>
      </w:r>
    </w:p>
    <w:p w14:paraId="1E419B24" w14:textId="77777777" w:rsidR="004A2655" w:rsidRPr="008B2CBF" w:rsidRDefault="004A2655" w:rsidP="004A2655">
      <w:pPr>
        <w:spacing w:before="120" w:line="276" w:lineRule="auto"/>
        <w:jc w:val="center"/>
        <w:rPr>
          <w:bCs/>
          <w:i/>
          <w:iCs/>
          <w:sz w:val="22"/>
          <w:szCs w:val="24"/>
          <w:lang w:eastAsia="de-DE"/>
        </w:rPr>
      </w:pPr>
      <w:r w:rsidRPr="008B2CBF">
        <w:rPr>
          <w:noProof/>
          <w:sz w:val="16"/>
          <w:szCs w:val="24"/>
          <w:lang w:val="fr-FR" w:eastAsia="de-DE"/>
        </w:rPr>
        <w:drawing>
          <wp:inline distT="0" distB="0" distL="0" distR="0" wp14:anchorId="64D491DD" wp14:editId="50FB9126">
            <wp:extent cx="3310890" cy="2369488"/>
            <wp:effectExtent l="0" t="0" r="3810" b="0"/>
            <wp:docPr id="1246352687"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52687" name="Image 4" descr="Une image contenant text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2233" cy="2370449"/>
                    </a:xfrm>
                    <a:prstGeom prst="rect">
                      <a:avLst/>
                    </a:prstGeom>
                    <a:noFill/>
                    <a:ln>
                      <a:noFill/>
                    </a:ln>
                  </pic:spPr>
                </pic:pic>
              </a:graphicData>
            </a:graphic>
          </wp:inline>
        </w:drawing>
      </w:r>
    </w:p>
    <w:p w14:paraId="55E98141" w14:textId="19F3A892" w:rsidR="004A2655" w:rsidRPr="008B2CBF" w:rsidRDefault="004A2655" w:rsidP="00A60904">
      <w:pPr>
        <w:pStyle w:val="FigureCaption"/>
        <w:spacing w:before="0"/>
      </w:pPr>
      <w:r w:rsidRPr="008B2CBF">
        <w:t>Graphical abstract</w:t>
      </w:r>
    </w:p>
    <w:p w14:paraId="7A1077E5" w14:textId="2C63C406" w:rsidR="004A2655" w:rsidRPr="008B2CBF" w:rsidRDefault="0056275C" w:rsidP="0056275C">
      <w:pPr>
        <w:pStyle w:val="Titre1"/>
        <w:rPr>
          <w:lang w:val="en-GB" w:eastAsia="de-DE"/>
        </w:rPr>
      </w:pPr>
      <w:r w:rsidRPr="008B2CBF">
        <w:rPr>
          <w:lang w:val="en-GB" w:eastAsia="de-DE"/>
        </w:rPr>
        <w:lastRenderedPageBreak/>
        <w:t>Introduction</w:t>
      </w:r>
    </w:p>
    <w:p w14:paraId="74D5FD90" w14:textId="4289B0D5" w:rsidR="009C08BB" w:rsidRPr="008B2CBF" w:rsidRDefault="00F01C95" w:rsidP="00012843">
      <w:pPr>
        <w:pStyle w:val="Paragraph"/>
      </w:pPr>
      <w:r w:rsidRPr="008B2CBF">
        <w:rPr>
          <w:rFonts w:eastAsia="Calibri"/>
        </w:rPr>
        <w:t xml:space="preserve">The shift from fossil fuels to green and sustainable energy </w:t>
      </w:r>
      <w:r w:rsidR="006677EF" w:rsidRPr="008B2CBF">
        <w:rPr>
          <w:rFonts w:eastAsia="Calibri"/>
        </w:rPr>
        <w:t xml:space="preserve">is regarded as a viable alternative </w:t>
      </w:r>
      <w:r w:rsidRPr="008B2CBF">
        <w:rPr>
          <w:rFonts w:eastAsia="Calibri"/>
        </w:rPr>
        <w:t xml:space="preserve">to achieve carbon and climate neutrality, </w:t>
      </w:r>
      <w:r w:rsidR="006677EF" w:rsidRPr="008B2CBF">
        <w:rPr>
          <w:rFonts w:eastAsia="Calibri"/>
        </w:rPr>
        <w:t>while</w:t>
      </w:r>
      <w:r w:rsidRPr="008B2CBF">
        <w:rPr>
          <w:rFonts w:eastAsia="Calibri"/>
        </w:rPr>
        <w:t xml:space="preserve"> address</w:t>
      </w:r>
      <w:r w:rsidR="006677EF" w:rsidRPr="008B2CBF">
        <w:rPr>
          <w:rFonts w:eastAsia="Calibri"/>
        </w:rPr>
        <w:t>ing</w:t>
      </w:r>
      <w:r w:rsidRPr="008B2CBF">
        <w:rPr>
          <w:rFonts w:eastAsia="Calibri"/>
        </w:rPr>
        <w:t xml:space="preserve"> the major environmental issues related to the overconsumption of limited fossil resources, such as global warming and greenhouse gas emissions</w:t>
      </w:r>
      <w:r w:rsidR="00C84F6E" w:rsidRPr="008B2CBF">
        <w:rPr>
          <w:rFonts w:eastAsia="Calibri"/>
        </w:rPr>
        <w:t xml:space="preserve"> </w:t>
      </w:r>
      <w:r w:rsidR="002F3E87" w:rsidRPr="008B2CBF">
        <w:fldChar w:fldCharType="begin"/>
      </w:r>
      <w:r w:rsidR="004963D0">
        <w:rPr>
          <w:rFonts w:eastAsia="Calibri"/>
        </w:rPr>
        <w:instrText xml:space="preserve"> ADDIN ZOTERO_ITEM CSL_CITATION {"citationID":"gPdxGmvd","properties":{"formattedCitation":"[1\\uc0\\u8211{}3]","plainCitation":"[1–3]","noteIndex":0},"citationItems":[{"id":248,"uris":["http://zotero.org/users/local/sgjZ3m4d/items/TKN7FDN9","http://zotero.org/users/14336916/items/TKN7FDN9"],"itemData":{"id":248,"type":"article-journal","abstract":"Sodium-ion batteries have attracted extensive concern and research for smart grids and large-scale energy storage systems owing to the low cost and high natural abundance of Na resource. Selecting appropriate elec­ trode materials is beneficial to the development and research of SIBs. Compared with typical NASICON-structure Na3V2(PO4)3, Mn-based NASICON-type cathodes for sodium-ion batteries reveal highly attractive application prospects due to their high earth-abundance and rich valence states of elemental Mn. Besides, the adjustable merit of NASICON structure endows a big family of Mn-based material system with enriched compositions. In this review, Mn-based NASICON-type sodium ion cathodes are briefed to provide a comprehensive overview of their recent advance. The structure, electrochemical reaction mechanism and properties are demonstrated. Moreover, the critical issues happened to lots of Mn-based materials, such as Mn dissolution, Jahn–Teller distortion, the influence of liquid electrolyte, etc., are discussed. At last, perspectives and challenges about the future development of Mn-based NASICON-type cathodes are presented as well. We believe that this review can serve as a reference for preparing Mn-based NASICONs toward the utilization of both nonaqueous and aqueous rechargeable devices beyond sodium ion batteries.","container-title":"Energy Storage Materials","DOI":"10.1016/j.ensm.2023.02.005","ISSN":"24058297","journalAbbreviation":"Energy Storage Materials","language":"en","page":"69-80","source":"DOI.org (Crossref)","title":"Recent progress of Mn-based NASICON-type sodium ion cathodes","volume":"57","author":[{"family":"Liu","given":"Yang"},{"family":"Sun","given":"Chen"},{"family":"Li","given":"Yang"},{"family":"Jin","given":"Haibo"},{"family":"Zhao","given":"Yongjie"}],"issued":{"date-parts":[["2023",3]]}}},{"id":247,"uris":["http://zotero.org/users/local/sgjZ3m4d/items/KDCNJX6R","http://zotero.org/users/14336916/items/KDCNJX6R"],"itemData":{"id":247,"type":"article-journal","abstract":"A critical overview of the latest developments in the lithium ion batteries technology is reported. We first describe the evolution in the electrolyte area with particular attention to ionic liquids, discussing the expected application of these room temperature molten salts and listing the issues that still prevent their practical implementation. The attention is then focused on the electrode materials presently considered the most promising for enhancing the energy density of the batteries. At the anode side a discussion is provided on the status of development of high capacity tin and silicon lithium alloys. We show that the morphology that is the most likely to ensure commercial exploitation of these alloy electrodes is that involving carbon-based nanocomposites. We finally touch on super-high-capacity batteries, discussing the key cases of lithium-sulfur and lithium-air and attempting to forecast their chances to eventually reach the status of practically appealing energy storage systems. We conclude with a brief reflection on the amount of lithium reserves in view of its large use in the case of global conversion from gasoline-powered cars to hybrid and electric cars.","container-title":"Energy &amp; Environmental Science","DOI":"10.1039/C1EE01388B","ISSN":"1754-5706","issue":"9","journalAbbreviation":"Energy Environ. Sci.","language":"en","note":"publisher: The Royal Society of Chemistry","page":"3287-3295","source":"pubs.rsc.org","title":"Lithium-ion batteries. A look into the future","volume":"4","author":[{"family":"Scrosati","given":"Bruno"},{"family":"Hassoun","given":"Jusef"},{"family":"Sun","given":"Yang-Kook"}],"issued":{"date-parts":[["2011",8,26]]}}},{"id":9452,"uris":["http://zotero.org/users/14336916/items/DAJLN89X"],"itemData":{"id":9452,"type":"article-journal","abstract":"The perovskite La2ZnMnO6 was successfully synthesised using the conventional solid-state reaction. X-ray diffraction shows that the perovskite La2ZnMnO6 crystallizes in a monoclinic structure P21/n space group, where Zn and Mn atoms are regularly distributed. The Raman spectrum result reveals three peaks at 696 cm−1, 655 cm−1 and 505 cm−1, corresponding to the Ag stretching mode, Bg anti-stretching, and bending vibrations modes of Ni/Co-O and Mn-O bonds in the structure. The experimental value of the band gap energy was calculated using Tauc’s formula and the result reveals a semiconducting behaviour. We investigated the structural, elastic, magnetic, and electronic properties using the spin-polarized density functional theory. The partial density of state indicates that the material exhibits a antiferromagnetic semiconducting behaviour. The antiferromagnetic ordering is explained by the super-exchange interaction between empty eg orbitals of Mn4+( $${t}_{2 g}^{3}$$$${e}_{g}^{0}$$). The obtained Neel temperature is TN </w:instrText>
      </w:r>
      <w:r w:rsidR="004963D0">
        <w:rPr>
          <w:rFonts w:ascii="Cambria Math" w:eastAsia="Calibri" w:hAnsi="Cambria Math" w:cs="Cambria Math"/>
        </w:rPr>
        <w:instrText>∼</w:instrText>
      </w:r>
      <w:r w:rsidR="004963D0">
        <w:rPr>
          <w:rFonts w:eastAsia="Calibri"/>
        </w:rPr>
        <w:instrText xml:space="preserve"> 28 K which is comparable with the experiment results. Elastic constants and their derivative parameters show a high mechanical stability of this material with a ductile nature. The investigation of the transport properties encompassed an analysis of the electrical conductivity, the figure of merit, the Seebeck coefficient, and thermal conductivity. The results show that electronic and thermal conductivities increase linearly with temperature. The computed values of the figure of merit are close to unity, suggesting that this material is a promising candidate for thermoelectric application.","container-title":"Journal of Superconductivity and Novel Magnetism","DOI":"10.1007/s10948-024-06776-9","ISSN":"1557-1947","issue":"8","journalAbbreviation":"J Supercond Nov Magn","language":"en","page":"1541-1550","source":"Springer Link","title":"Synthesis, Characterization, Magnetic, Elastic, and Electronic Properties of La2ZnMnO6 Double Perovskite","volume":"37","author":[{"family":"Ouachtouk","given":"H."},{"family":"Harbi","given":"A."},{"family":"Azerblou","given":"S."},{"family":"Azouaoui","given":"A."},{"family":"Moutaabbid","given":"M."},{"family":"Tace","given":"El."}],"issued":{"date-parts":[["2024",10,1]]}}}],"schema":"https://github.com/citation-style-language/schema/raw/master/csl-citation.json"} </w:instrText>
      </w:r>
      <w:r w:rsidR="002F3E87" w:rsidRPr="008B2CBF">
        <w:fldChar w:fldCharType="separate"/>
      </w:r>
      <w:r w:rsidR="004963D0" w:rsidRPr="004963D0">
        <w:t>[1–3]</w:t>
      </w:r>
      <w:r w:rsidR="002F3E87" w:rsidRPr="008B2CBF">
        <w:fldChar w:fldCharType="end"/>
      </w:r>
      <w:r w:rsidR="002F3E87" w:rsidRPr="008B2CBF">
        <w:t>.</w:t>
      </w:r>
      <w:r w:rsidR="000756AC" w:rsidRPr="008B2CBF">
        <w:t xml:space="preserve"> </w:t>
      </w:r>
      <w:r w:rsidR="006677EF" w:rsidRPr="008B2CBF">
        <w:t>Since its i</w:t>
      </w:r>
      <w:r w:rsidR="00670908" w:rsidRPr="008B2CBF">
        <w:t>ntroduc</w:t>
      </w:r>
      <w:r w:rsidR="005449B1" w:rsidRPr="008B2CBF">
        <w:t>tion</w:t>
      </w:r>
      <w:r w:rsidR="00670908" w:rsidRPr="008B2CBF">
        <w:t xml:space="preserve"> in the 1990s by SONY, LIB</w:t>
      </w:r>
      <w:r w:rsidR="00CF2562" w:rsidRPr="008B2CBF">
        <w:t xml:space="preserve"> played a pivotal role in</w:t>
      </w:r>
      <w:r w:rsidR="00670908" w:rsidRPr="008B2CBF">
        <w:t xml:space="preserve"> the energy</w:t>
      </w:r>
      <w:r w:rsidR="00CF2562" w:rsidRPr="008B2CBF">
        <w:t xml:space="preserve"> transition</w:t>
      </w:r>
      <w:r w:rsidR="00670908" w:rsidRPr="008B2CBF">
        <w:t>, particularly in EVs and portable electronic devices, thanks to their advantages such as high energy density,</w:t>
      </w:r>
      <w:r w:rsidR="006C28D3" w:rsidRPr="008B2CBF">
        <w:t xml:space="preserve"> </w:t>
      </w:r>
      <w:r w:rsidR="00670908" w:rsidRPr="008B2CBF">
        <w:t>long lifespan</w:t>
      </w:r>
      <w:r w:rsidR="00FD4AB2" w:rsidRPr="008B2CBF">
        <w:t>,</w:t>
      </w:r>
      <w:r w:rsidR="00670908" w:rsidRPr="008B2CBF">
        <w:t xml:space="preserve"> and low self-discharge</w:t>
      </w:r>
      <w:r w:rsidR="00B04DD6" w:rsidRPr="008B2CBF">
        <w:t xml:space="preserve"> </w:t>
      </w:r>
      <w:r w:rsidR="00B04DD6" w:rsidRPr="008B2CBF">
        <w:fldChar w:fldCharType="begin"/>
      </w:r>
      <w:r w:rsidR="00012843">
        <w:instrText xml:space="preserve"> ADDIN ZOTERO_ITEM CSL_CITATION {"citationID":"XRljhnWB","properties":{"unsorted":true,"formattedCitation":"[4\\uc0\\u8211{}6]","plainCitation":"[4–6]","noteIndex":0},"citationItems":[{"id":784,"uris":["http://zotero.org/users/local/sgjZ3m4d/items/KNFKYFRY","http://zotero.org/users/14336916/items/KNFKYFRY"],"itemData":{"id":784,"type":"article-journal","container-title":"Solid State Ionics","DOI":"https://doi.org/10.1016/0167-2738(94)90411-1","issue":"3-4","note":"publisher: Elsevier","page":"212–221","source":"Google Scholar","title":"Lithium-ion rechargeable batteries with LiCoO2 and carbon electrodes: the LiCoO2/C system","title-short":"Lithium-ion rechargeable batteries with LiCoO2 and carbon electrodes","volume":"69","author":[{"family":"Ozawa","given":"Kazunori"}],"issued":{"date-parts":[["1994"]]}}},{"id":242,"uris":["http://zotero.org/users/14336916/items/D6K6YMBS"],"itemData":{"id":242,"type":"article-journal","container-title":"Electrochemical Energy Reviews","DOI":"10.1007/s41918-018-0022-z","ISSN":"2520-8489, 2520-8136","issue":"1","journalAbbreviation":"Electrochem. Energ. Rev.","language":"en","page":"1-28","source":"DOI.org (Crossref)","title":"Automotive Li-Ion Batteries: Current Status and Future Perspectives","title-short":"Automotive Li-Ion Batteries","volume":"2","author":[{"family":"Ding","given":"Yuanli"},{"family":"Cano","given":"Zachary P."},{"family":"Yu","given":"Aiping"},{"family":"Lu","given":"Jun"},{"family":"Chen","given":"Zhongwei"}],"issued":{"date-parts":[["2019",3]]}}},{"id":782,"uris":["http://zotero.org/users/local/sgjZ3m4d/items/CISVTSGX","http://zotero.org/users/14336916/items/CISVTSGX"],"itemData":{"id":782,"type":"article-journal","container-title":"Renewable and sustainable energy reviews","DOI":"https://doi.org/10.1016/j.rser.2018.03.002","note":"publisher: Elsevier","page":"292–308","source":"Google Scholar","title":"The lithium-ion battery: State of the art and future perspectives","title-short":"The lithium-ion battery","volume":"89","author":[{"family":"Zubi","given":"Ghassan"},{"family":"Dufo-López","given":"Rodolfo"},{"family":"Carvalho","given":"Monica"},{"family":"Pasaoglu","given":"Guzay"}],"issued":{"date-parts":[["2018"]]}}}],"schema":"https://github.com/citation-style-language/schema/raw/master/csl-citation.json"} </w:instrText>
      </w:r>
      <w:r w:rsidR="00B04DD6" w:rsidRPr="008B2CBF">
        <w:fldChar w:fldCharType="separate"/>
      </w:r>
      <w:r w:rsidR="00012843" w:rsidRPr="00012843">
        <w:t>[4–6]</w:t>
      </w:r>
      <w:r w:rsidR="00B04DD6" w:rsidRPr="008B2CBF">
        <w:fldChar w:fldCharType="end"/>
      </w:r>
      <w:r w:rsidR="00516326" w:rsidRPr="008B2CBF">
        <w:t>.</w:t>
      </w:r>
      <w:r w:rsidR="00352C6E" w:rsidRPr="008B2CBF">
        <w:t xml:space="preserve"> </w:t>
      </w:r>
      <w:r w:rsidR="00CF2562" w:rsidRPr="008B2CBF">
        <w:t xml:space="preserve">Since then, researchers have </w:t>
      </w:r>
      <w:r w:rsidR="00D40487" w:rsidRPr="008B2CBF">
        <w:t>explored</w:t>
      </w:r>
      <w:r w:rsidR="00CF2562" w:rsidRPr="008B2CBF">
        <w:t xml:space="preserve"> </w:t>
      </w:r>
      <w:r w:rsidR="00D40487" w:rsidRPr="008B2CBF">
        <w:t>multiple</w:t>
      </w:r>
      <w:r w:rsidR="00CF2562" w:rsidRPr="008B2CBF">
        <w:t xml:space="preserve"> </w:t>
      </w:r>
      <w:r w:rsidR="00D40487" w:rsidRPr="008B2CBF">
        <w:t>types</w:t>
      </w:r>
      <w:r w:rsidR="00CF2562" w:rsidRPr="008B2CBF">
        <w:t xml:space="preserve"> of cathode materials</w:t>
      </w:r>
      <w:r w:rsidR="00CD766F" w:rsidRPr="008B2CBF">
        <w:t>, including NMC (lithium-nickel-manganese-cobalt oxide), NCA (lithium-nickel-cobalt-aluminum oxide)</w:t>
      </w:r>
      <w:r w:rsidR="00FD4AB2" w:rsidRPr="008B2CBF">
        <w:t>,</w:t>
      </w:r>
      <w:r w:rsidR="00CD766F" w:rsidRPr="008B2CBF">
        <w:t xml:space="preserve"> and LFP (lithium iron phosphate)</w:t>
      </w:r>
      <w:r w:rsidR="003111B6" w:rsidRPr="008B2CBF">
        <w:t xml:space="preserve"> </w:t>
      </w:r>
      <w:r w:rsidR="0007399B" w:rsidRPr="008B2CBF">
        <w:fldChar w:fldCharType="begin"/>
      </w:r>
      <w:r w:rsidR="00012843">
        <w:instrText xml:space="preserve"> ADDIN ZOTERO_ITEM CSL_CITATION {"citationID":"HHj6OT6P","properties":{"unsorted":true,"formattedCitation":"[7, 8]","plainCitation":"[7, 8]","noteIndex":0},"citationItems":[{"id":233,"uris":["http://zotero.org/users/local/sgjZ3m4d/items/DUTGD79T","http://zotero.org/users/14336916/items/DUTGD79T"],"itemData":{"id":233,"type":"article-journal","abstract":"Abstract\n            \n              Since their successful commercialization in 1990s, lithium‐ion batteries (LIBs) have been widely applied in portable digital products. The energy density and power density of LIBs are inadequate, however, to satisfy the continuous growth in demand. Considering the cost distribution in battery system, it is essential to explore cathode/anode materials with excellent rate capability and long cycle life. Nanometer‐sized electrode materials could quickly take up and store numerous Li\n              +\n              ions, afforded by short diffusion channels and large surface area. Unfortunately, low thermodynamic stability of nanoparticles results in electrochemical agglomeration and raises the risk of side reactions on electrolyte. Thus, micro/nano and hetero/hierarchical structures, characterized by ordered assembly of different sizes, phases, and/or pores, have been developed, which enable us to effectively improve the utilization, reaction kinetics, and structural stability of electrode materials. This review summarizes the recent efforts on electrode materials with hierarchical structures, and discusses the effects of hierarchical structures on electrochemical performance in detail. Multidimensional self‐assembled structures can achieve integration of the advantages of materials with different sizes. Core/yolk–shell structures provide synergistic effects between the shell and the core/yolk. Porous structures with macro‐, meso‐, and micropores can accommodate volume expansion and facilitate electrolyte infiltration.","container-title":"Advanced Energy Materials","DOI":"10.1002/aenm.201701415","ISSN":"1614-6832, 1614-6840","issue":"6","journalAbbreviation":"Advanced Energy Materials","language":"en","license":"http://onlinelibrary.wiley.com/termsAndConditions#vor","page":"1701415","source":"DOI.org (Crossref)","title":"Recent Developments on and Prospects for Electrode Materials with Hierarchical Structures for Lithium‐Ion Batteries","volume":"8","author":[{"family":"Zhou","given":"Limin"},{"family":"Zhang","given":"Kai"},{"family":"Hu","given":"Zhe"},{"family":"Tao","given":"Zhanliang"},{"family":"Mai","given":"Liqiang"},{"family":"Kang","given":"Yong‐Mook"},{"family":"Chou","given":"Shu‐Lei"},{"family":"Chen","given":"Jun"}],"issued":{"date-parts":[["2018",2]]}}},{"id":232,"uris":["http://zotero.org/users/local/sgjZ3m4d/items/LAYSE6W2","http://zotero.org/users/14336916/items/LAYSE6W2"],"itemData":{"id":232,"type":"article-journal","abstract":"Abstract\n            We examine the relationship between electric vehicle battery chemistry and supply chain disruption vulnerability for four critical minerals: lithium, cobalt, nickel, and manganese. We compare the nickel manganese cobalt (NMC) and lithium iron phosphate (LFP) cathode chemistries by (1) mapping the supply chains for these four materials, (2) calculating a vulnerability index for each cathode chemistry for various focal countries and (3) using network flow optimization to bound uncertainties. World supply is currently vulnerable to disruptions in China for both chemistries: 80% [71% to 100%] of NMC cathodes and 92% [90% to 93%] of LFP cathodes include minerals that pass through China. NMC has additional risks due to concentrations of nickel, cobalt, and manganese in other countries. The combined vulnerability of multiple supply chain stages is substantially larger than at individual steps alone. Our results suggest that reducing risk requires addressing vulnerabilities across the entire battery supply chain.","container-title":"Nature Communications","DOI":"10.1038/s41467-024-46418-1","ISSN":"2041-1723","issue":"1","journalAbbreviation":"Nat Commun","language":"en","page":"2143","source":"DOI.org (Crossref)","title":"Electric vehicle battery chemistry affects supply chain disruption vulnerabilities","volume":"15","author":[{"family":"Cheng","given":"Anthony L."},{"family":"Fuchs","given":"Erica R. H."},{"family":"Karplus","given":"Valerie J."},{"family":"Michalek","given":"Jeremy J."}],"issued":{"date-parts":[["2024",3,8]]}}}],"schema":"https://github.com/citation-style-language/schema/raw/master/csl-citation.json"} </w:instrText>
      </w:r>
      <w:r w:rsidR="0007399B" w:rsidRPr="008B2CBF">
        <w:fldChar w:fldCharType="separate"/>
      </w:r>
      <w:r w:rsidR="00012843" w:rsidRPr="00012843">
        <w:t>[7, 8]</w:t>
      </w:r>
      <w:r w:rsidR="0007399B" w:rsidRPr="008B2CBF">
        <w:fldChar w:fldCharType="end"/>
      </w:r>
      <w:r w:rsidR="0007399B" w:rsidRPr="008B2CBF">
        <w:t>.</w:t>
      </w:r>
      <w:r w:rsidR="0007399B" w:rsidRPr="008B2CBF">
        <w:rPr>
          <w:rFonts w:eastAsia="Calibri"/>
        </w:rPr>
        <w:t xml:space="preserve"> </w:t>
      </w:r>
      <w:r w:rsidR="00CD766F" w:rsidRPr="008B2CBF">
        <w:t xml:space="preserve">The LFP has </w:t>
      </w:r>
      <w:r w:rsidR="00D40487" w:rsidRPr="008B2CBF">
        <w:t>attracted significant</w:t>
      </w:r>
      <w:r w:rsidR="00CD766F" w:rsidRPr="008B2CBF">
        <w:t xml:space="preserve"> interest and is recognized as a</w:t>
      </w:r>
      <w:r w:rsidR="00A23CE9" w:rsidRPr="008B2CBF">
        <w:t xml:space="preserve"> distinguished </w:t>
      </w:r>
      <w:r w:rsidR="00CD766F" w:rsidRPr="008B2CBF">
        <w:t xml:space="preserve">cathode for </w:t>
      </w:r>
      <w:r w:rsidR="00A23CE9" w:rsidRPr="008B2CBF">
        <w:t>LIB.</w:t>
      </w:r>
      <w:r w:rsidR="00CD766F" w:rsidRPr="008B2CBF">
        <w:t xml:space="preserve"> It</w:t>
      </w:r>
      <w:r w:rsidR="00E94584" w:rsidRPr="008B2CBF">
        <w:t xml:space="preserve"> is</w:t>
      </w:r>
      <w:r w:rsidR="00CD766F" w:rsidRPr="008B2CBF">
        <w:t xml:space="preserve"> </w:t>
      </w:r>
      <w:r w:rsidR="00A23CE9" w:rsidRPr="008B2CBF">
        <w:t>widely employed</w:t>
      </w:r>
      <w:r w:rsidR="00E94584" w:rsidRPr="008B2CBF">
        <w:t>,</w:t>
      </w:r>
      <w:r w:rsidR="00CD766F" w:rsidRPr="008B2CBF">
        <w:t xml:space="preserve"> notably for electr</w:t>
      </w:r>
      <w:r w:rsidR="00A23CE9" w:rsidRPr="008B2CBF">
        <w:t xml:space="preserve">ic </w:t>
      </w:r>
      <w:r w:rsidR="00CD766F" w:rsidRPr="008B2CBF">
        <w:t>mobility, and</w:t>
      </w:r>
      <w:r w:rsidR="006C28D3" w:rsidRPr="008B2CBF">
        <w:t xml:space="preserve"> </w:t>
      </w:r>
      <w:r w:rsidR="00CD766F" w:rsidRPr="008B2CBF">
        <w:t xml:space="preserve">considered more cost-effective than NMC and NCA compounds, while ensuring thermal stability and a longer life compared to other </w:t>
      </w:r>
      <w:r w:rsidR="006C28D3" w:rsidRPr="008B2CBF">
        <w:t>conventional</w:t>
      </w:r>
      <w:r w:rsidR="00CD766F" w:rsidRPr="008B2CBF">
        <w:t xml:space="preserve"> cathodes </w:t>
      </w:r>
      <w:r w:rsidR="00B67CF9" w:rsidRPr="008B2CBF">
        <w:fldChar w:fldCharType="begin"/>
      </w:r>
      <w:r w:rsidR="00012843">
        <w:instrText xml:space="preserve"> ADDIN ZOTERO_ITEM CSL_CITATION {"citationID":"yptVN33P","properties":{"formattedCitation":"[9\\uc0\\u8211{}11]","plainCitation":"[9–11]","noteIndex":0},"citationItems":[{"id":354,"uris":["http://zotero.org/users/14336916/items/AQ7BVCFF"],"itemData":{"id":354,"type":"article-journal","abstract":"This paper presents a life cycle assessment (LCA) study that examines a number of scenarios that complement the primary use phase of electric vehicle (EV) batteries with a secondary application in smart buildings in Spain, as a means of extending their useful life under less demanding conditions, when they no longer meet the requirements for automotive purposes. Specifically, it considers a lithium iron phosphate (LFP) battery to analyze four second life application scenarios by combining the following cases: (i) either reuse of the EV battery or manufacturing of a new battery as energy storage unit in the building; and (ii) either use of the Spanish electricity mix or energy supply by solar photovoltaic (PV) panels. Based on the Eco-indicator 99 and IPCC 2007 GWP 20a methods, the evaluation of the scenario results shows that there is significant environmental benefit from reusing the existing EV battery in the secondary application instead of manufacturing a new battery to be used for the same purpose and time frame. Moreover, the findings of this work exemplify the dependence of the results on the energy source in the smart building application, and thus highlight the importance of PVs on the reduction of the environmental impact.","container-title":"Sustainability","DOI":"10.3390/su11092527","ISSN":"2071-1050","issue":"9","language":"en","license":"http://creativecommons.org/licenses/by/3.0/","note":"number: 9\npublisher: Multidisciplinary Digital Publishing Institute","page":"2527","source":"www.mdpi.com","title":"Life Cycle Assessment of a Lithium Iron Phosphate (LFP) Electric Vehicle Battery in Second Life Application Scenarios","volume":"11","author":[{"family":"Ioakimidis","given":"Christos S."},{"family":"Murillo-Marrodán","given":"Alberto"},{"family":"Bagheri","given":"Ali"},{"family":"Thomas","given":"Dimitrios"},{"family":"Genikomsakis","given":"Konstantinos N."}],"issued":{"date-parts":[["2019",1]]}}},{"id":355,"uris":["http://zotero.org/users/14336916/items/B5SAHW97"],"itemData":{"id":355,"type":"article-journal","abstract":"While electric vehicles are promising to reduce carbon emissions on the road, from a holistic life-cycle view, further environmental considerations in the production and end-of-life management of their batteries are required. Recently, circular end-of-life thinking has been promoted with strategies to increase retired batteries' lifetime through second-life as lifetime extension is typically favoured in life cycle assessment. However, standardization of these strategies toward recycling or repurposing paths is recommended for different Li-ion chemistries. This categorization mainly concerns the cobalt-containing cathode Li-ion batteries i.e., NMC which is the dominant technology for transportation, and the alternative technology i.e., LFPs with a more recent attention toward them in automobile sector due the cobalt scarcity in the supply chain. This technology shift will impact their end-of-life management at the retirement. In this arrangement, the economic priority of repurposing such battery chemistries needs quantification. This study evaluated the financial return of repurposing retired Li-ion NMC and LFP batteries for energy arbitrage applications in power systems. The feasibility of repurposing is examined in the Irish and Queensland's markets. Results show that retired Li-ion LFPs respond to price fluctuations more frequently with a higher financial return compared to NMCs; thus, they have higher potential for repurposing as such their greater integration in new vehicles is promising from a circular economy perspective. Different rates of return have been observed for various sizes of systems and battery durations. The financial benefits are more prominent for a one-hour battery in a medium system compared to half and two-hour durations and a smaller system. A sensitivity analysis shows that even spending the same capital cost as a new system for a repurposed system results in a marginal financial return in a competitive electricity market like Queensland's, whereas further incentives toward circular-enabling business models from local authorities will effectively make such investments feasible.","container-title":"Journal of Energy Storage","DOI":"10.1016/j.est.2023.107740","ISSN":"2352-152X","journalAbbreviation":"Journal of Energy Storage","page":"107740","source":"ScienceDirect","title":"Is shifting from Li-ion NMC to LFP in EVs beneficial for second-life storages in electricity markets?","volume":"68","author":[{"family":"Fallah","given":"Narjes"},{"family":"Fitzpatrick","given":"Colin"}],"issued":{"date-parts":[["2023",9,15]]}}},{"id":250,"uris":["http://zotero.org/users/14336916/items/5DR4P5GF"],"itemData":{"id":250,"type":"article-journal","abstract":"Abstract\n            Over the past 30 years, significant commercial and academic progress has been made on Li‐based battery technologies. From the early Li‐metal anode iterations to the current commercial Li‐ion batteries (LIBs), the story of the Li‐based battery is full of breakthroughs and back tracing steps. This review will discuss the main roles of material science in the development of LIBs. As LIB research progresses and the materials of interest change, different emphases on the different subdisciplines of material science are placed. Early works on LIBs focus more on solid state physics whereas near the end of the 20th century, researchers began to focus more on the morphological aspects (surface coating, porosity, size, and shape) of electrode materials. While it is easy to point out which specific cathode and anode materials are currently good candidates for the next‐generation of batteries, it is difficult to explain exactly why those are chosen. In this review, for the reader a complete developmental story of LIB should be clearly drawn, along with an explanation of the reasons responsible for the various technological shifts. The review will end with a statement of caution for the current modern battery research along with a brief discussion on beyond lithium‐ion battery chemistries.","container-title":"Advanced Materials","DOI":"10.1002/adma.201800561","ISSN":"0935-9648, 1521-4095","issue":"33","journalAbbreviation":"Advanced Materials","language":"en","page":"1800561","source":"DOI.org (Crossref)","title":"30 Years of Lithium‐Ion Batteries","volume":"30","author":[{"family":"Li","given":"Matthew"},{"family":"Lu","given":"Jun"},{"family":"Chen","given":"Zhongwei"},{"family":"Amine","given":"Khalil"}],"issued":{"date-parts":[["2018",8]]}}}],"schema":"https://github.com/citation-style-language/schema/raw/master/csl-citation.json"} </w:instrText>
      </w:r>
      <w:r w:rsidR="00B67CF9" w:rsidRPr="008B2CBF">
        <w:fldChar w:fldCharType="separate"/>
      </w:r>
      <w:r w:rsidR="00012843" w:rsidRPr="00012843">
        <w:t>[9–11]</w:t>
      </w:r>
      <w:r w:rsidR="00B67CF9" w:rsidRPr="008B2CBF">
        <w:fldChar w:fldCharType="end"/>
      </w:r>
      <w:r w:rsidR="005318BC" w:rsidRPr="008B2CBF">
        <w:t>.</w:t>
      </w:r>
      <w:r w:rsidR="00470192" w:rsidRPr="008B2CBF">
        <w:t xml:space="preserve"> </w:t>
      </w:r>
      <w:r w:rsidR="00D435BC" w:rsidRPr="008B2CBF">
        <w:t xml:space="preserve">LFP chemistry is projected to dominate a substantial portion of the LIB market, rising from 14.63 billion USD in 2023 to 72.76 billion USD by 2034, as seen in </w:t>
      </w:r>
      <w:r w:rsidR="001B53F8" w:rsidRPr="008B2CBF">
        <w:t>Fig. 1-</w:t>
      </w:r>
      <w:r w:rsidR="00291603">
        <w:t>b</w:t>
      </w:r>
      <w:r w:rsidR="001B53F8" w:rsidRPr="008B2CBF">
        <w:t>.</w:t>
      </w:r>
      <w:r w:rsidR="00D435BC" w:rsidRPr="008B2CBF">
        <w:t xml:space="preserve"> In China, LFP batteries have surpassed other chemistries to become the predominant battery cathode, and their popularity is increasing outside China as patents expired in </w:t>
      </w:r>
      <w:r w:rsidR="00F24863" w:rsidRPr="008B2CBF">
        <w:t>2022–2023</w:t>
      </w:r>
      <w:r w:rsidR="00D435BC" w:rsidRPr="008B2CBF">
        <w:t>, eliminating previous use limitations</w:t>
      </w:r>
      <w:r w:rsidR="00F82623" w:rsidRPr="008B2CBF">
        <w:t xml:space="preserve"> </w:t>
      </w:r>
      <w:r w:rsidR="00BF535C" w:rsidRPr="008B2CBF">
        <w:fldChar w:fldCharType="begin"/>
      </w:r>
      <w:r w:rsidR="00012843">
        <w:instrText xml:space="preserve"> ADDIN ZOTERO_ITEM CSL_CITATION {"citationID":"8P0VekO6","properties":{"unsorted":true,"formattedCitation":"[12, 13]","plainCitation":"[12, 13]","noteIndex":0},"citationItems":[{"id":791,"uris":["http://zotero.org/users/local/sgjZ3m4d/items/JH7GBFKH","http://zotero.org/users/14336916/items/JH7GBFKH"],"itemData":{"id":791,"type":"report","language":"en","publisher":"Goldman Sachs","source":"Zotero","title":"Global Batteries The Greenflation Challenge","URL":"https://www.goldmansachs.com/insights/goldman-sachs-research/batteries-the-greenflation-challenge","author":[{"family":"Nikhil Bhandari","given":""},{"family":"Amber Cai","given":""},{"family":"Kota Yuzawa","given":""},{"family":"Joy Zhang","given":""},{"family":"Vinit Joshi","given":""},{"family":"Fei Fang","given":""},{"family":"Giuni Lee","given":""},{"family":"Ryo Harada","given":""},{"family":"Shawn Shin","given":""}],"issued":{"date-parts":[["2022"]]}}},{"id":792,"uris":["http://zotero.org/users/14336916/items/QN7W4CQX"],"itemData":{"id":792,"type":"article-journal","container-title":"International Energy Agency","language":"en","source":"Zotero","title":"Global EV Outlook 2024- Moving towards increased affordability","URL":"https://iea.blob.core.windows.net/assets/a9e3544b-0b12-4e15-b407-65f5c8ce1b5f/GlobalEVOutlook2024.pdf","volume":"April 2024","author":[{"family":"Oskaras","given":"Alšauskas"},{"family":"Elizabeth","given":"Connelly"},{"family":"Mathilde","given":"Huismans"},{"family":"Ethan","given":"Jenness"},{"family":"Javier","given":"Jorquera Copier"}],"issued":{"date-parts":[["2024"]]}}}],"schema":"https://github.com/citation-style-language/schema/raw/master/csl-citation.json"} </w:instrText>
      </w:r>
      <w:r w:rsidR="00BF535C" w:rsidRPr="008B2CBF">
        <w:fldChar w:fldCharType="separate"/>
      </w:r>
      <w:r w:rsidR="00012843" w:rsidRPr="00012843">
        <w:t>[12, 13]</w:t>
      </w:r>
      <w:r w:rsidR="00BF535C" w:rsidRPr="008B2CBF">
        <w:fldChar w:fldCharType="end"/>
      </w:r>
      <w:r w:rsidR="00BF535C" w:rsidRPr="008B2CBF">
        <w:t xml:space="preserve">. </w:t>
      </w:r>
      <w:r w:rsidR="00D12747" w:rsidRPr="008B2CBF">
        <w:t xml:space="preserve">Numerous </w:t>
      </w:r>
      <w:r w:rsidR="008E73D1" w:rsidRPr="008B2CBF">
        <w:t>current-production</w:t>
      </w:r>
      <w:r w:rsidR="00D12747" w:rsidRPr="008B2CBF">
        <w:t xml:space="preserve"> </w:t>
      </w:r>
      <w:r w:rsidR="00E24DF7" w:rsidRPr="008B2CBF">
        <w:t>EV</w:t>
      </w:r>
      <w:r w:rsidR="00D12747" w:rsidRPr="008B2CBF">
        <w:t xml:space="preserve">s use LFP batteries, such as the Beyond Your Dream (BYD) Tang, the MG 4, and the Tesla Model 3 Standard </w:t>
      </w:r>
      <w:r w:rsidR="00D91C57" w:rsidRPr="008B2CBF">
        <w:t>Range</w:t>
      </w:r>
      <w:r w:rsidR="00D12747" w:rsidRPr="008B2CBF">
        <w:t xml:space="preserve"> </w:t>
      </w:r>
      <w:r w:rsidR="00D12747" w:rsidRPr="008B2CBF">
        <w:fldChar w:fldCharType="begin"/>
      </w:r>
      <w:r w:rsidR="00012843">
        <w:instrText xml:space="preserve"> ADDIN ZOTERO_ITEM CSL_CITATION {"citationID":"8uyaYmJZ","properties":{"formattedCitation":"[14]","plainCitation":"[14]","noteIndex":0},"citationItems":[{"id":659,"uris":["http://zotero.org/users/14336916/items/DDF25GRN"],"itemData":{"id":659,"type":"article-journal","abstract":"The introduction of battery electric vehicles on the global market has triggered a sustained upheaval in the automotive industry. In this process, the new properties of a battery-electric powertrain lead to a different set of central requirements, such as increasing the range, lifetime or the fast-charging capability of the vehicle battery. This paper develops a bottom-up systematic model to assess the current and future impact of different battery technologies on vehicle costs. For this purpose, it summarises the scientiﬁc ﬁndings of automotive battery cell chemistries and, ﬂanked by novel expert interviews and teardown data, derives key values for them. Based on the data obtained, modelling is carried out to demonstrate the technical and economic suitability of the identiﬁed cell chemistries and their impact on the range and total cost of electric vehicles. Lithium iron phosphate batteries appear to be able to achieve a price saving of up to 21% in the small vehicle segment compared to nickel-rich cell chemistries, provided that customers are prepared to accept a reduced range. At the same time, further efﬁciency improvements of the powertrain lead us to expect that, in combination with future high-energy cells, ranges of more than 800 km can be achieved even in the mid-size vehicle segment. It turns out that depending on whether the focus of the vehicle is on cost, range or performance, different battery technologies are likely to be used in the future.","container-title":"Batteries","DOI":"10.3390/batteries9070379","ISSN":"2313-0105","issue":"7","journalAbbreviation":"Batteries","language":"en","license":"https://creativecommons.org/licenses/by/4.0/","page":"379","source":"DOI.org (Crossref)","title":"Techno-Economic Analysis of Different Battery Cell Chemistries for the Passenger Vehicle Market","volume":"9","author":[{"family":"Hasselwander","given":"Samuel"},{"family":"Meyer","given":"Markus"},{"family":"Österle","given":"Ines"}],"issued":{"date-parts":[["2023",7,15]]}}}],"schema":"https://github.com/citation-style-language/schema/raw/master/csl-citation.json"} </w:instrText>
      </w:r>
      <w:r w:rsidR="00D12747" w:rsidRPr="008B2CBF">
        <w:fldChar w:fldCharType="separate"/>
      </w:r>
      <w:r w:rsidR="00012843" w:rsidRPr="00012843">
        <w:t>[14]</w:t>
      </w:r>
      <w:r w:rsidR="00D12747" w:rsidRPr="008B2CBF">
        <w:fldChar w:fldCharType="end"/>
      </w:r>
      <w:r w:rsidR="00D12747" w:rsidRPr="008B2CBF">
        <w:t xml:space="preserve">. At the same time, LFP has gained increasing significance as a research subject, as </w:t>
      </w:r>
      <w:r w:rsidR="00470192" w:rsidRPr="008B2CBF">
        <w:t>illustrated</w:t>
      </w:r>
      <w:r w:rsidR="00D12747" w:rsidRPr="008B2CBF">
        <w:t xml:space="preserve"> in </w:t>
      </w:r>
      <w:r w:rsidR="00F24863" w:rsidRPr="008B2CBF">
        <w:t>Fig. 1-</w:t>
      </w:r>
      <w:r w:rsidR="00291603">
        <w:t>a</w:t>
      </w:r>
      <w:r w:rsidR="00F24863" w:rsidRPr="008B2CBF">
        <w:t>,</w:t>
      </w:r>
      <w:r w:rsidR="00D12747" w:rsidRPr="008B2CBF">
        <w:t xml:space="preserve"> which depicts the substantial rise in the volume of published works on the use of LFP in </w:t>
      </w:r>
      <w:r w:rsidR="00EE4D2B" w:rsidRPr="008B2CBF">
        <w:t xml:space="preserve">LIB </w:t>
      </w:r>
      <w:r w:rsidR="00D12747" w:rsidRPr="008B2CBF">
        <w:t>during the last two decades (2005-2024).</w:t>
      </w:r>
    </w:p>
    <w:p w14:paraId="7B8FF993" w14:textId="77777777" w:rsidR="003E4F8C" w:rsidRPr="008B2CBF" w:rsidRDefault="003E4F8C" w:rsidP="00B06B2D">
      <w:pPr>
        <w:pStyle w:val="Paragraph"/>
      </w:pPr>
    </w:p>
    <w:p w14:paraId="4D7BE801" w14:textId="77777777" w:rsidR="00DA374D" w:rsidRPr="008B2CBF" w:rsidRDefault="00EF10CC" w:rsidP="0099353E">
      <w:pPr>
        <w:pStyle w:val="Paragraph"/>
        <w:keepNext/>
        <w:ind w:firstLine="0"/>
        <w:jc w:val="center"/>
      </w:pPr>
      <w:r w:rsidRPr="008B2CBF">
        <w:rPr>
          <w:noProof/>
        </w:rPr>
        <w:drawing>
          <wp:inline distT="0" distB="0" distL="0" distR="0" wp14:anchorId="60A23D39" wp14:editId="62DE60A8">
            <wp:extent cx="5875244" cy="1786890"/>
            <wp:effectExtent l="19050" t="19050" r="11430" b="22860"/>
            <wp:docPr id="1117745699" name="Image 8" descr="Une image contenant texte, ligne, Tracé,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45699" name="Image 8" descr="Une image contenant texte, ligne, Tracé, capture d’écran&#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5656" cy="1802222"/>
                    </a:xfrm>
                    <a:prstGeom prst="rect">
                      <a:avLst/>
                    </a:prstGeom>
                    <a:noFill/>
                    <a:ln>
                      <a:solidFill>
                        <a:schemeClr val="bg1">
                          <a:lumMod val="85000"/>
                        </a:schemeClr>
                      </a:solidFill>
                    </a:ln>
                  </pic:spPr>
                </pic:pic>
              </a:graphicData>
            </a:graphic>
          </wp:inline>
        </w:drawing>
      </w:r>
    </w:p>
    <w:p w14:paraId="4537A062" w14:textId="046CAA71" w:rsidR="004A2655" w:rsidRPr="008B2CBF" w:rsidRDefault="00345D60" w:rsidP="00A60904">
      <w:pPr>
        <w:pStyle w:val="FigureCaption"/>
        <w:spacing w:before="0"/>
        <w:rPr>
          <w:lang w:val="en-GB"/>
        </w:rPr>
      </w:pPr>
      <w:r w:rsidRPr="008B2CBF">
        <w:rPr>
          <w:b/>
          <w:bCs/>
        </w:rPr>
        <w:t>FIGURE</w:t>
      </w:r>
      <w:r w:rsidR="00DA374D" w:rsidRPr="008B2CBF">
        <w:rPr>
          <w:b/>
          <w:bCs/>
        </w:rPr>
        <w:t xml:space="preserve"> </w:t>
      </w:r>
      <w:r w:rsidR="00DA374D" w:rsidRPr="008B2CBF">
        <w:rPr>
          <w:b/>
          <w:bCs/>
        </w:rPr>
        <w:fldChar w:fldCharType="begin"/>
      </w:r>
      <w:r w:rsidR="00DA374D" w:rsidRPr="008B2CBF">
        <w:rPr>
          <w:b/>
          <w:bCs/>
        </w:rPr>
        <w:instrText xml:space="preserve"> SEQ Figure \* ARABIC </w:instrText>
      </w:r>
      <w:r w:rsidR="00DA374D" w:rsidRPr="008B2CBF">
        <w:rPr>
          <w:b/>
          <w:bCs/>
        </w:rPr>
        <w:fldChar w:fldCharType="separate"/>
      </w:r>
      <w:r w:rsidR="0022547E">
        <w:rPr>
          <w:b/>
          <w:bCs/>
          <w:noProof/>
        </w:rPr>
        <w:t>1</w:t>
      </w:r>
      <w:r w:rsidR="00DA374D" w:rsidRPr="008B2CBF">
        <w:rPr>
          <w:b/>
          <w:bCs/>
        </w:rPr>
        <w:fldChar w:fldCharType="end"/>
      </w:r>
      <w:r w:rsidRPr="008B2CBF">
        <w:t>.</w:t>
      </w:r>
      <w:r w:rsidR="00DA374D" w:rsidRPr="008B2CBF">
        <w:rPr>
          <w:lang w:val="en-GB"/>
        </w:rPr>
        <w:t xml:space="preserve">  </w:t>
      </w:r>
      <w:r w:rsidR="00416B71" w:rsidRPr="008B2CBF">
        <w:rPr>
          <w:lang w:val="en-GB"/>
        </w:rPr>
        <w:t xml:space="preserve">a) The </w:t>
      </w:r>
      <w:r w:rsidR="00AF5C9D" w:rsidRPr="008B2CBF">
        <w:rPr>
          <w:lang w:val="en-GB"/>
        </w:rPr>
        <w:t>rise in the volume of papers related to LFP LIBs over the past two decades</w:t>
      </w:r>
      <w:r w:rsidR="00416B71" w:rsidRPr="008B2CBF">
        <w:rPr>
          <w:lang w:val="en-GB"/>
        </w:rPr>
        <w:t xml:space="preserve"> </w:t>
      </w:r>
      <w:r w:rsidR="00F24863" w:rsidRPr="008B2CBF">
        <w:rPr>
          <w:lang w:val="en-GB"/>
        </w:rPr>
        <w:t>(2005-2024),</w:t>
      </w:r>
      <w:r w:rsidR="00AF5C9D" w:rsidRPr="008B2CBF">
        <w:rPr>
          <w:lang w:val="en-GB"/>
        </w:rPr>
        <w:t xml:space="preserve"> as sourced from </w:t>
      </w:r>
      <w:r w:rsidR="00F24863" w:rsidRPr="008B2CBF">
        <w:rPr>
          <w:lang w:val="en-GB"/>
        </w:rPr>
        <w:t>the Scopus</w:t>
      </w:r>
      <w:r w:rsidR="00AF5C9D" w:rsidRPr="008B2CBF">
        <w:rPr>
          <w:lang w:val="en-GB"/>
        </w:rPr>
        <w:t xml:space="preserve"> </w:t>
      </w:r>
      <w:r w:rsidR="003248BF" w:rsidRPr="008B2CBF">
        <w:rPr>
          <w:lang w:val="en-GB"/>
        </w:rPr>
        <w:t>database</w:t>
      </w:r>
      <w:r w:rsidR="00AF5C9D" w:rsidRPr="008B2CBF">
        <w:rPr>
          <w:lang w:val="en-GB"/>
        </w:rPr>
        <w:t>,</w:t>
      </w:r>
      <w:r w:rsidR="00416B71" w:rsidRPr="008B2CBF">
        <w:rPr>
          <w:lang w:val="en-GB"/>
        </w:rPr>
        <w:t xml:space="preserve"> using </w:t>
      </w:r>
      <w:r w:rsidR="00C665A6" w:rsidRPr="008B2CBF">
        <w:rPr>
          <w:lang w:val="en-GB"/>
        </w:rPr>
        <w:t xml:space="preserve">the following query : </w:t>
      </w:r>
      <w:r w:rsidR="00803810" w:rsidRPr="008B2CBF">
        <w:rPr>
          <w:lang w:val="en-GB"/>
        </w:rPr>
        <w:t>(</w:t>
      </w:r>
      <w:r w:rsidR="00A41C7B" w:rsidRPr="008B2CBF">
        <w:rPr>
          <w:lang w:val="en-GB"/>
        </w:rPr>
        <w:t>TITLE-ABS-KEY</w:t>
      </w:r>
      <w:r w:rsidR="00803810" w:rsidRPr="008B2CBF">
        <w:rPr>
          <w:lang w:val="en-GB"/>
        </w:rPr>
        <w:t xml:space="preserve"> (</w:t>
      </w:r>
      <w:r w:rsidR="00A41C7B" w:rsidRPr="008B2CBF">
        <w:rPr>
          <w:lang w:val="en-GB"/>
        </w:rPr>
        <w:t>lithium</w:t>
      </w:r>
      <w:r w:rsidR="00803810" w:rsidRPr="008B2CBF">
        <w:rPr>
          <w:lang w:val="en-GB"/>
        </w:rPr>
        <w:t xml:space="preserve"> AND ion AND batteries</w:t>
      </w:r>
      <w:r w:rsidR="00A41C7B" w:rsidRPr="008B2CBF">
        <w:rPr>
          <w:lang w:val="en-GB"/>
        </w:rPr>
        <w:t>)</w:t>
      </w:r>
      <w:r w:rsidR="00803810" w:rsidRPr="008B2CBF">
        <w:rPr>
          <w:lang w:val="en-GB"/>
        </w:rPr>
        <w:t xml:space="preserve"> AND TITLE-ABS-KEY (</w:t>
      </w:r>
      <w:r w:rsidR="00A41C7B" w:rsidRPr="008B2CBF">
        <w:rPr>
          <w:lang w:val="en-GB"/>
        </w:rPr>
        <w:t>lithium</w:t>
      </w:r>
      <w:r w:rsidR="00803810" w:rsidRPr="008B2CBF">
        <w:rPr>
          <w:lang w:val="en-GB"/>
        </w:rPr>
        <w:t xml:space="preserve"> AND iron AND phosphate</w:t>
      </w:r>
      <w:r w:rsidR="00A41C7B" w:rsidRPr="008B2CBF">
        <w:rPr>
          <w:lang w:val="en-GB"/>
        </w:rPr>
        <w:t>)</w:t>
      </w:r>
      <w:r w:rsidR="00803810" w:rsidRPr="008B2CBF">
        <w:rPr>
          <w:lang w:val="en-GB"/>
        </w:rPr>
        <w:t xml:space="preserve"> OR TITLE-ABS-KEY (</w:t>
      </w:r>
      <w:r w:rsidR="00A41C7B" w:rsidRPr="008B2CBF">
        <w:rPr>
          <w:lang w:val="en-GB"/>
        </w:rPr>
        <w:t>LFP)</w:t>
      </w:r>
      <w:r w:rsidR="00803810" w:rsidRPr="008B2CBF">
        <w:rPr>
          <w:lang w:val="en-GB"/>
        </w:rPr>
        <w:t xml:space="preserve"> OR TITLE-ABS-KEY (</w:t>
      </w:r>
      <w:proofErr w:type="spellStart"/>
      <w:r w:rsidR="00A41C7B" w:rsidRPr="008B2CBF">
        <w:rPr>
          <w:lang w:val="en-GB"/>
        </w:rPr>
        <w:t>LiFePO</w:t>
      </w:r>
      <w:proofErr w:type="spellEnd"/>
      <w:r w:rsidR="00A41C7B" w:rsidRPr="008B2CBF">
        <w:rPr>
          <w:lang w:val="en-GB"/>
        </w:rPr>
        <w:t>₄)</w:t>
      </w:r>
      <w:r w:rsidR="00803810" w:rsidRPr="008B2CBF">
        <w:rPr>
          <w:lang w:val="en-GB"/>
        </w:rPr>
        <w:t xml:space="preserve"> AND PUBYEAR &gt; 2004 AND PUBYEAR &lt; 2025 )</w:t>
      </w:r>
      <w:r w:rsidR="003248BF" w:rsidRPr="008B2CBF">
        <w:rPr>
          <w:lang w:val="en-GB"/>
        </w:rPr>
        <w:t>, b) The expected</w:t>
      </w:r>
      <w:r w:rsidR="0076262E" w:rsidRPr="008B2CBF">
        <w:rPr>
          <w:lang w:val="en-GB"/>
        </w:rPr>
        <w:t xml:space="preserve"> industrial</w:t>
      </w:r>
      <w:r w:rsidR="003248BF" w:rsidRPr="008B2CBF">
        <w:rPr>
          <w:lang w:val="en-GB"/>
        </w:rPr>
        <w:t xml:space="preserve"> </w:t>
      </w:r>
      <w:r w:rsidR="0076262E" w:rsidRPr="008B2CBF">
        <w:rPr>
          <w:lang w:val="en-GB"/>
        </w:rPr>
        <w:t xml:space="preserve">growth of the LFP batteries from </w:t>
      </w:r>
      <w:r w:rsidRPr="008B2CBF">
        <w:rPr>
          <w:lang w:val="en-GB"/>
        </w:rPr>
        <w:t>2023 to 2034</w:t>
      </w:r>
    </w:p>
    <w:p w14:paraId="67CAE6FD" w14:textId="77777777" w:rsidR="00D5463B" w:rsidRPr="008B2CBF" w:rsidRDefault="00D5463B" w:rsidP="008A2357">
      <w:pPr>
        <w:pStyle w:val="Paragraph"/>
        <w:ind w:firstLine="0"/>
      </w:pPr>
    </w:p>
    <w:p w14:paraId="0A1E711B" w14:textId="78AF9138" w:rsidR="00B25FA8" w:rsidRPr="008B2CBF" w:rsidRDefault="00DA5719" w:rsidP="00012843">
      <w:pPr>
        <w:pStyle w:val="Paragraph"/>
      </w:pPr>
      <w:r w:rsidRPr="008B2CBF">
        <w:t xml:space="preserve">The substantial demand for this chemistry drives nations to strengthen </w:t>
      </w:r>
      <w:r w:rsidR="000B74D1" w:rsidRPr="008B2CBF">
        <w:t xml:space="preserve">the entire value chain of these </w:t>
      </w:r>
      <w:r w:rsidR="0004262F" w:rsidRPr="008B2CBF">
        <w:t>elements</w:t>
      </w:r>
      <w:r w:rsidR="000B74D1" w:rsidRPr="008B2CBF">
        <w:t xml:space="preserve">, commencing with the mining and manufacture of raw materials, </w:t>
      </w:r>
      <w:r w:rsidR="00A41C7B" w:rsidRPr="008B2CBF">
        <w:t>which</w:t>
      </w:r>
      <w:r w:rsidR="00E934BF" w:rsidRPr="008B2CBF">
        <w:t xml:space="preserve"> is </w:t>
      </w:r>
      <w:r w:rsidRPr="008B2CBF">
        <w:t>crucial for ensuring market independence.</w:t>
      </w:r>
      <w:r w:rsidR="00D70F31" w:rsidRPr="008B2CBF">
        <w:t xml:space="preserve"> </w:t>
      </w:r>
      <w:r w:rsidR="002626EB" w:rsidRPr="008B2CBF">
        <w:t xml:space="preserve">The European Union (EU) developed a strategy to improve existing raw </w:t>
      </w:r>
      <w:r w:rsidR="00A41C7B" w:rsidRPr="008B2CBF">
        <w:t>material</w:t>
      </w:r>
      <w:r w:rsidR="002626EB" w:rsidRPr="008B2CBF">
        <w:t xml:space="preserve"> refining facilities and use circular economy approaches to reduce dependence on foreign sources and foster local production of battery-grade precursors </w:t>
      </w:r>
      <w:r w:rsidR="0082671A" w:rsidRPr="008B2CBF">
        <w:rPr>
          <w:rFonts w:eastAsia="Calibri"/>
          <w:kern w:val="2"/>
          <w:szCs w:val="24"/>
          <w:lang w:val="en-GB"/>
          <w14:ligatures w14:val="standardContextual"/>
        </w:rPr>
        <w:fldChar w:fldCharType="begin"/>
      </w:r>
      <w:r w:rsidR="00012843">
        <w:rPr>
          <w:rFonts w:eastAsia="Calibri"/>
          <w:kern w:val="2"/>
          <w:szCs w:val="24"/>
          <w:lang w:val="en-GB"/>
          <w14:ligatures w14:val="standardContextual"/>
        </w:rPr>
        <w:instrText xml:space="preserve"> ADDIN ZOTERO_ITEM CSL_CITATION {"citationID":"TkamJZNI","properties":{"formattedCitation":"[15\\uc0\\u8211{}17]","plainCitation":"[15–17]","noteIndex":0},"citationItems":[{"id":1566,"uris":["http://zotero.org/users/14336916/items/NX2TY9L3"],"itemData":{"id":1566,"type":"article-journal","container-title":"CORDIS - EU research results","language":"en","title":"Sustainable processing, refining and recycling of raw materials (Batteries Partnership)","URL":"https://cordis.europa.eu/programme/id/HORIZON_HORIZON-CL5-2021-D2-01-01","volume":"CL5-2021-D2-01-01","author":[{"family":"Horizon Europe","given":""}],"accessed":{"date-parts":[["2024",12,31]]},"issued":{"date-parts":[["2021"]]}},"label":"page"},{"id":1567,"uris":["http://zotero.org/users/14336916/items/BN4M6LK7"],"itemData":{"id":1567,"type":"report","publisher":"Batteries Europe","title":"Powering Europe's Green Revolution: Paving the Way to a More Resilient and Sustainable Battery Industry-Research and Innovation Roadmap on Battery Technologies","author":[{"family":"Ahlbrecht","given":"Katharina"},{"family":"Eisenträger","given":"Marlene"},{"family":"Gino Macchi","given":"Edoardo"},{"family":"Ajuria","given":"Jon"},{"family":"Herrero Ponce","given":"Cristina"}],"issued":{"date-parts":[["2023"]]}}},{"id":1565,"uris":["http://zotero.org/users/14336916/items/C6A7LCEG"],"itemData":{"id":1565,"type":"article-journal","container-title":"EMIRI, RECHARGE, EUCAR","title":"BATTERIES | Towards a competitive European industrial battery value chain for stationary applications and e-mobility","author":[{"family":"Jacques","given":"Philippe"}],"issued":{"date-parts":[["2020"]]}}}],"schema":"https://github.com/citation-style-language/schema/raw/master/csl-citation.json"} </w:instrText>
      </w:r>
      <w:r w:rsidR="0082671A" w:rsidRPr="008B2CBF">
        <w:rPr>
          <w:rFonts w:eastAsia="Calibri"/>
          <w:kern w:val="2"/>
          <w:szCs w:val="24"/>
          <w:lang w:val="en-GB"/>
          <w14:ligatures w14:val="standardContextual"/>
        </w:rPr>
        <w:fldChar w:fldCharType="separate"/>
      </w:r>
      <w:r w:rsidR="00012843" w:rsidRPr="00012843">
        <w:t>[15–17]</w:t>
      </w:r>
      <w:r w:rsidR="0082671A" w:rsidRPr="008B2CBF">
        <w:rPr>
          <w:rFonts w:eastAsia="Calibri"/>
          <w:kern w:val="2"/>
          <w:szCs w:val="24"/>
          <w:lang w:val="en-GB"/>
          <w14:ligatures w14:val="standardContextual"/>
        </w:rPr>
        <w:fldChar w:fldCharType="end"/>
      </w:r>
      <w:r w:rsidR="0082671A" w:rsidRPr="008B2CBF">
        <w:rPr>
          <w:rFonts w:eastAsia="Calibri"/>
          <w:kern w:val="2"/>
          <w:szCs w:val="24"/>
          <w:lang w:val="en-GB"/>
          <w14:ligatures w14:val="standardContextual"/>
        </w:rPr>
        <w:t>.</w:t>
      </w:r>
      <w:r w:rsidR="00D70F31" w:rsidRPr="008B2CBF">
        <w:rPr>
          <w:rFonts w:eastAsia="Calibri"/>
          <w:kern w:val="2"/>
          <w:szCs w:val="24"/>
          <w:lang w:val="en-GB"/>
          <w14:ligatures w14:val="standardContextual"/>
        </w:rPr>
        <w:t xml:space="preserve"> </w:t>
      </w:r>
      <w:r w:rsidR="00C12DB9" w:rsidRPr="008B2CBF">
        <w:rPr>
          <w:rFonts w:eastAsia="Calibri"/>
          <w:kern w:val="2"/>
          <w:szCs w:val="24"/>
          <w:lang w:val="en-GB"/>
          <w14:ligatures w14:val="standardContextual"/>
        </w:rPr>
        <w:t xml:space="preserve">China, </w:t>
      </w:r>
      <w:r w:rsidR="00981296" w:rsidRPr="008B2CBF">
        <w:rPr>
          <w:rFonts w:eastAsia="Calibri"/>
          <w:kern w:val="2"/>
          <w:szCs w:val="24"/>
          <w:lang w:val="en-GB"/>
          <w14:ligatures w14:val="standardContextual"/>
        </w:rPr>
        <w:t>a</w:t>
      </w:r>
      <w:r w:rsidR="002758B7" w:rsidRPr="008B2CBF">
        <w:rPr>
          <w:rFonts w:eastAsia="Calibri"/>
          <w:kern w:val="2"/>
          <w:szCs w:val="24"/>
          <w:lang w:val="en-GB"/>
          <w14:ligatures w14:val="standardContextual"/>
        </w:rPr>
        <w:t xml:space="preserve"> key player in the battery market, is building up its</w:t>
      </w:r>
      <w:r w:rsidR="00981296" w:rsidRPr="008B2CBF">
        <w:rPr>
          <w:rFonts w:eastAsia="Calibri"/>
          <w:kern w:val="2"/>
          <w:szCs w:val="24"/>
          <w:lang w:val="en-GB"/>
          <w14:ligatures w14:val="standardContextual"/>
        </w:rPr>
        <w:t xml:space="preserve"> </w:t>
      </w:r>
      <w:r w:rsidR="001C7692" w:rsidRPr="008B2CBF">
        <w:rPr>
          <w:rFonts w:eastAsia="Calibri"/>
          <w:kern w:val="2"/>
          <w:szCs w:val="24"/>
          <w:lang w:val="en-GB"/>
          <w14:ligatures w14:val="standardContextual"/>
        </w:rPr>
        <w:t>precursor</w:t>
      </w:r>
      <w:r w:rsidR="00981296" w:rsidRPr="008B2CBF">
        <w:rPr>
          <w:rFonts w:eastAsia="Calibri"/>
          <w:kern w:val="2"/>
          <w:szCs w:val="24"/>
          <w:lang w:val="en-GB"/>
          <w14:ligatures w14:val="standardContextual"/>
        </w:rPr>
        <w:t xml:space="preserve"> Cathode Active Materials (</w:t>
      </w:r>
      <w:proofErr w:type="spellStart"/>
      <w:r w:rsidR="0063629E" w:rsidRPr="008B2CBF">
        <w:rPr>
          <w:rFonts w:eastAsia="Calibri"/>
          <w:kern w:val="2"/>
          <w:szCs w:val="24"/>
          <w:lang w:val="en-GB"/>
          <w14:ligatures w14:val="standardContextual"/>
        </w:rPr>
        <w:t>pCAM</w:t>
      </w:r>
      <w:proofErr w:type="spellEnd"/>
      <w:r w:rsidR="00981296" w:rsidRPr="008B2CBF">
        <w:rPr>
          <w:rFonts w:eastAsia="Calibri"/>
          <w:kern w:val="2"/>
          <w:szCs w:val="24"/>
          <w:lang w:val="en-GB"/>
          <w14:ligatures w14:val="standardContextual"/>
        </w:rPr>
        <w:t>)</w:t>
      </w:r>
      <w:r w:rsidR="0063629E" w:rsidRPr="008B2CBF">
        <w:rPr>
          <w:rFonts w:eastAsia="Calibri"/>
          <w:kern w:val="2"/>
          <w:szCs w:val="24"/>
          <w:lang w:val="en-GB"/>
          <w14:ligatures w14:val="standardContextual"/>
        </w:rPr>
        <w:t xml:space="preserve"> production capabilities through </w:t>
      </w:r>
      <w:r w:rsidR="00D72C41" w:rsidRPr="008B2CBF">
        <w:rPr>
          <w:rFonts w:eastAsia="Calibri"/>
          <w:kern w:val="2"/>
          <w:szCs w:val="24"/>
          <w:lang w:val="en-GB"/>
          <w14:ligatures w14:val="standardContextual"/>
        </w:rPr>
        <w:t>collaborations</w:t>
      </w:r>
      <w:r w:rsidR="0063629E" w:rsidRPr="008B2CBF">
        <w:rPr>
          <w:rFonts w:eastAsia="Calibri"/>
          <w:kern w:val="2"/>
          <w:szCs w:val="24"/>
          <w:lang w:val="en-GB"/>
          <w14:ligatures w14:val="standardContextual"/>
        </w:rPr>
        <w:t xml:space="preserve"> and new </w:t>
      </w:r>
      <w:r w:rsidR="00F94592" w:rsidRPr="008B2CBF">
        <w:rPr>
          <w:rFonts w:eastAsia="Calibri"/>
          <w:kern w:val="2"/>
          <w:szCs w:val="24"/>
          <w:lang w:val="en-GB"/>
          <w14:ligatures w14:val="standardContextual"/>
        </w:rPr>
        <w:t>initiatives;</w:t>
      </w:r>
      <w:r w:rsidR="0063629E" w:rsidRPr="008B2CBF">
        <w:rPr>
          <w:rFonts w:eastAsia="Calibri"/>
          <w:kern w:val="2"/>
          <w:szCs w:val="24"/>
          <w:lang w:val="en-GB"/>
          <w14:ligatures w14:val="standardContextual"/>
        </w:rPr>
        <w:t xml:space="preserve"> </w:t>
      </w:r>
      <w:r w:rsidR="00B44BF2" w:rsidRPr="008B2CBF">
        <w:rPr>
          <w:rFonts w:eastAsia="Calibri"/>
          <w:kern w:val="2"/>
          <w:szCs w:val="24"/>
          <w:lang w:val="en-GB"/>
          <w14:ligatures w14:val="standardContextual"/>
        </w:rPr>
        <w:t>for</w:t>
      </w:r>
      <w:r w:rsidR="00B511D4" w:rsidRPr="008B2CBF">
        <w:rPr>
          <w:rFonts w:eastAsia="Calibri"/>
          <w:kern w:val="2"/>
          <w:szCs w:val="24"/>
          <w:lang w:val="en-GB"/>
          <w14:ligatures w14:val="standardContextual"/>
        </w:rPr>
        <w:t xml:space="preserve"> </w:t>
      </w:r>
      <w:r w:rsidR="00D72C41" w:rsidRPr="008B2CBF">
        <w:rPr>
          <w:rFonts w:eastAsia="Calibri"/>
          <w:kern w:val="2"/>
          <w:szCs w:val="24"/>
          <w:lang w:val="en-GB"/>
          <w14:ligatures w14:val="standardContextual"/>
        </w:rPr>
        <w:t>instance</w:t>
      </w:r>
      <w:r w:rsidR="00B511D4" w:rsidRPr="008B2CBF">
        <w:rPr>
          <w:rFonts w:eastAsia="Calibri"/>
          <w:kern w:val="2"/>
          <w:szCs w:val="24"/>
          <w:lang w:val="en-GB"/>
          <w14:ligatures w14:val="standardContextual"/>
        </w:rPr>
        <w:t xml:space="preserve">, the capacity augmentation </w:t>
      </w:r>
      <w:r w:rsidR="00CD2E39" w:rsidRPr="008B2CBF">
        <w:rPr>
          <w:rFonts w:eastAsia="Calibri"/>
          <w:kern w:val="2"/>
          <w:szCs w:val="24"/>
          <w:lang w:val="en-GB"/>
          <w14:ligatures w14:val="standardContextual"/>
        </w:rPr>
        <w:t>achiev</w:t>
      </w:r>
      <w:r w:rsidR="00B511D4" w:rsidRPr="008B2CBF">
        <w:rPr>
          <w:rFonts w:eastAsia="Calibri"/>
          <w:kern w:val="2"/>
          <w:szCs w:val="24"/>
          <w:lang w:val="en-GB"/>
          <w14:ligatures w14:val="standardContextual"/>
        </w:rPr>
        <w:t>ed with the founding of CNGR Advanced Materials in 2014</w:t>
      </w:r>
      <w:r w:rsidR="00B1754C" w:rsidRPr="008B2CBF">
        <w:rPr>
          <w:rFonts w:eastAsia="Calibri"/>
          <w:kern w:val="2"/>
          <w:szCs w:val="24"/>
          <w:lang w:val="en-GB"/>
          <w14:ligatures w14:val="standardContextual"/>
        </w:rPr>
        <w:t xml:space="preserve"> and </w:t>
      </w:r>
      <w:r w:rsidR="00C6147E" w:rsidRPr="008B2CBF">
        <w:rPr>
          <w:rFonts w:eastAsia="Calibri"/>
          <w:kern w:val="2"/>
          <w:szCs w:val="24"/>
          <w:lang w:val="en-GB"/>
          <w14:ligatures w14:val="standardContextual"/>
        </w:rPr>
        <w:t>the “BASF and Shanshan Joint Venture</w:t>
      </w:r>
      <w:r w:rsidR="00F94592" w:rsidRPr="008B2CBF">
        <w:rPr>
          <w:rFonts w:eastAsia="Calibri"/>
          <w:kern w:val="2"/>
          <w:szCs w:val="24"/>
          <w:lang w:val="en-GB"/>
          <w14:ligatures w14:val="standardContextual"/>
        </w:rPr>
        <w:t>,”</w:t>
      </w:r>
      <w:r w:rsidR="001E2488" w:rsidRPr="008B2CBF">
        <w:rPr>
          <w:rFonts w:eastAsia="Calibri"/>
          <w:kern w:val="2"/>
          <w:szCs w:val="24"/>
          <w:lang w:val="en-GB"/>
          <w14:ligatures w14:val="standardContextual"/>
        </w:rPr>
        <w:t xml:space="preserve"> </w:t>
      </w:r>
      <w:r w:rsidR="00956396" w:rsidRPr="008B2CBF">
        <w:rPr>
          <w:rFonts w:eastAsia="Calibri"/>
          <w:kern w:val="2"/>
          <w:szCs w:val="24"/>
          <w:lang w:val="en-GB"/>
          <w14:ligatures w14:val="standardContextual"/>
        </w:rPr>
        <w:t xml:space="preserve">which encompasses </w:t>
      </w:r>
      <w:r w:rsidR="00B511D4" w:rsidRPr="008B2CBF">
        <w:rPr>
          <w:rFonts w:eastAsia="Calibri"/>
          <w:kern w:val="2"/>
          <w:szCs w:val="24"/>
          <w:lang w:val="en-GB"/>
          <w14:ligatures w14:val="standardContextual"/>
        </w:rPr>
        <w:t>facilities for</w:t>
      </w:r>
      <w:r w:rsidR="00397690" w:rsidRPr="008B2CBF">
        <w:rPr>
          <w:rFonts w:eastAsia="Calibri"/>
          <w:kern w:val="2"/>
          <w:szCs w:val="24"/>
          <w:lang w:val="en-GB"/>
          <w14:ligatures w14:val="standardContextual"/>
        </w:rPr>
        <w:t xml:space="preserve"> </w:t>
      </w:r>
      <w:r w:rsidR="00B511D4" w:rsidRPr="008B2CBF">
        <w:rPr>
          <w:rFonts w:eastAsia="Calibri"/>
          <w:kern w:val="2"/>
          <w:szCs w:val="24"/>
          <w:lang w:val="en-GB"/>
          <w14:ligatures w14:val="standardContextual"/>
        </w:rPr>
        <w:t>raw material</w:t>
      </w:r>
      <w:r w:rsidR="00A83B13" w:rsidRPr="008B2CBF">
        <w:rPr>
          <w:rFonts w:eastAsia="Calibri"/>
          <w:kern w:val="2"/>
          <w:szCs w:val="24"/>
          <w:lang w:val="en-GB"/>
          <w14:ligatures w14:val="standardContextual"/>
        </w:rPr>
        <w:t xml:space="preserve"> transforming</w:t>
      </w:r>
      <w:r w:rsidR="00B511D4" w:rsidRPr="008B2CBF">
        <w:rPr>
          <w:rFonts w:eastAsia="Calibri"/>
          <w:kern w:val="2"/>
          <w:szCs w:val="24"/>
          <w:lang w:val="en-GB"/>
          <w14:ligatures w14:val="standardContextual"/>
        </w:rPr>
        <w:t xml:space="preserve">, </w:t>
      </w:r>
      <w:proofErr w:type="spellStart"/>
      <w:r w:rsidR="00B511D4" w:rsidRPr="008B2CBF">
        <w:rPr>
          <w:rFonts w:eastAsia="Calibri"/>
          <w:kern w:val="2"/>
          <w:szCs w:val="24"/>
          <w:lang w:val="en-GB"/>
          <w14:ligatures w14:val="standardContextual"/>
        </w:rPr>
        <w:t>pCAM</w:t>
      </w:r>
      <w:proofErr w:type="spellEnd"/>
      <w:r w:rsidR="00B511D4" w:rsidRPr="008B2CBF">
        <w:rPr>
          <w:rFonts w:eastAsia="Calibri"/>
          <w:kern w:val="2"/>
          <w:szCs w:val="24"/>
          <w:lang w:val="en-GB"/>
          <w14:ligatures w14:val="standardContextual"/>
        </w:rPr>
        <w:t xml:space="preserve"> production, and recycling</w:t>
      </w:r>
      <w:r w:rsidR="00A83B13" w:rsidRPr="008B2CBF">
        <w:rPr>
          <w:rFonts w:eastAsia="Calibri"/>
          <w:kern w:val="2"/>
          <w:szCs w:val="24"/>
          <w:lang w:val="en-GB"/>
          <w14:ligatures w14:val="standardContextual"/>
        </w:rPr>
        <w:t xml:space="preserve"> </w:t>
      </w:r>
      <w:r w:rsidR="0082671A" w:rsidRPr="008B2CBF">
        <w:rPr>
          <w:rFonts w:eastAsia="Calibri"/>
          <w:kern w:val="2"/>
          <w:szCs w:val="24"/>
          <w:lang w:val="en-GB"/>
          <w14:ligatures w14:val="standardContextual"/>
        </w:rPr>
        <w:fldChar w:fldCharType="begin"/>
      </w:r>
      <w:r w:rsidR="00012843">
        <w:rPr>
          <w:rFonts w:eastAsia="Calibri"/>
          <w:kern w:val="2"/>
          <w:szCs w:val="24"/>
          <w:lang w:val="en-GB"/>
          <w14:ligatures w14:val="standardContextual"/>
        </w:rPr>
        <w:instrText xml:space="preserve"> ADDIN ZOTERO_ITEM CSL_CITATION {"citationID":"iZT2DHai","properties":{"formattedCitation":"[18]","plainCitation":"[18]","noteIndex":0},"citationItems":[{"id":1563,"uris":["http://zotero.org/users/14336916/items/CPBMN4RC"],"itemData":{"id":1563,"type":"article-journal","abstract":"Ludwigshafen/Germany and Shanghai/China, August 31, 2021 – Following the approval of all relevant authorities, BASF and Shanshan have formed the joint venture “BASF Shanshan Battery Materials Co., Ltd.”. The new entity will be majority owned by BASF (BASF 51% and Shanshan 49%).","container-title":"BASF Shanshan Battery Materials Co., Ltd","language":"en-DE","title":"BASF and Shanshan form battery materials joint venture in China","URL":"https://www.basf.com/basf/www/global/en/media/news-releases/2021/08/p-21-294","author":[{"family":"Rechenberger","given":"Daniela"},{"family":"Fuhu","given":"Chen"}],"accessed":{"date-parts":[["2024",12,31]]},"issued":{"date-parts":[["2021"]]}}}],"schema":"https://github.com/citation-style-language/schema/raw/master/csl-citation.json"} </w:instrText>
      </w:r>
      <w:r w:rsidR="0082671A" w:rsidRPr="008B2CBF">
        <w:rPr>
          <w:rFonts w:eastAsia="Calibri"/>
          <w:kern w:val="2"/>
          <w:szCs w:val="24"/>
          <w:lang w:val="en-GB"/>
          <w14:ligatures w14:val="standardContextual"/>
        </w:rPr>
        <w:fldChar w:fldCharType="separate"/>
      </w:r>
      <w:r w:rsidR="00012843" w:rsidRPr="00012843">
        <w:t>[18]</w:t>
      </w:r>
      <w:r w:rsidR="0082671A" w:rsidRPr="008B2CBF">
        <w:rPr>
          <w:rFonts w:eastAsia="Calibri"/>
          <w:kern w:val="2"/>
          <w:szCs w:val="24"/>
          <w:lang w:val="en-GB"/>
          <w14:ligatures w14:val="standardContextual"/>
        </w:rPr>
        <w:fldChar w:fldCharType="end"/>
      </w:r>
      <w:r w:rsidR="0082671A" w:rsidRPr="008B2CBF">
        <w:rPr>
          <w:rFonts w:eastAsia="Calibri"/>
          <w:kern w:val="2"/>
          <w:szCs w:val="24"/>
          <w:lang w:val="en-GB"/>
          <w14:ligatures w14:val="standardContextual"/>
        </w:rPr>
        <w:t>.</w:t>
      </w:r>
      <w:r w:rsidR="00A65E53" w:rsidRPr="008B2CBF">
        <w:rPr>
          <w:rFonts w:eastAsia="Calibri"/>
          <w:kern w:val="2"/>
          <w:szCs w:val="24"/>
          <w:lang w:val="en-GB"/>
          <w14:ligatures w14:val="standardContextual"/>
        </w:rPr>
        <w:t xml:space="preserve"> </w:t>
      </w:r>
      <w:r w:rsidR="00B25FA8" w:rsidRPr="008B2CBF">
        <w:rPr>
          <w:lang w:val="en-GB"/>
        </w:rPr>
        <w:t>South Korea and other developing countries</w:t>
      </w:r>
      <w:r w:rsidR="00C54241" w:rsidRPr="008B2CBF">
        <w:rPr>
          <w:lang w:val="en-GB"/>
        </w:rPr>
        <w:t>,</w:t>
      </w:r>
      <w:r w:rsidR="00B25FA8" w:rsidRPr="008B2CBF">
        <w:rPr>
          <w:lang w:val="en-GB"/>
        </w:rPr>
        <w:t xml:space="preserve"> such as Indonesia</w:t>
      </w:r>
      <w:r w:rsidR="00C54241" w:rsidRPr="008B2CBF">
        <w:rPr>
          <w:lang w:val="en-GB"/>
        </w:rPr>
        <w:t>,</w:t>
      </w:r>
      <w:r w:rsidR="00B25FA8" w:rsidRPr="008B2CBF">
        <w:rPr>
          <w:lang w:val="en-GB"/>
        </w:rPr>
        <w:t xml:space="preserve"> have taken steps to improve</w:t>
      </w:r>
      <w:r w:rsidR="00C54241" w:rsidRPr="008B2CBF">
        <w:rPr>
          <w:lang w:val="en-GB"/>
        </w:rPr>
        <w:t xml:space="preserve"> their</w:t>
      </w:r>
      <w:r w:rsidR="00B25FA8" w:rsidRPr="008B2CBF">
        <w:rPr>
          <w:lang w:val="en-GB"/>
        </w:rPr>
        <w:t xml:space="preserve"> national resources by creating an integrated industrial ecosystem for the production of local battery-grade precursors</w:t>
      </w:r>
      <w:r w:rsidR="005A1CBC" w:rsidRPr="008B2CBF">
        <w:rPr>
          <w:rFonts w:eastAsia="Calibri"/>
          <w:kern w:val="2"/>
          <w:szCs w:val="24"/>
          <w:lang w:val="en-GB"/>
          <w14:ligatures w14:val="standardContextual"/>
        </w:rPr>
        <w:t xml:space="preserve"> </w:t>
      </w:r>
      <w:r w:rsidR="005A1CBC" w:rsidRPr="008B2CBF">
        <w:fldChar w:fldCharType="begin"/>
      </w:r>
      <w:r w:rsidR="00012843">
        <w:instrText xml:space="preserve"> ADDIN ZOTERO_ITEM CSL_CITATION {"citationID":"0hwQYSYq","properties":{"formattedCitation":"[19, 20]","plainCitation":"[19, 20]","noteIndex":0},"citationItems":[{"id":1561,"uris":["http://zotero.org/users/14336916/items/K8AKHANR"],"itemData":{"id":1561,"type":"article-journal","container-title":"GEM Recycling for future","title":"GEM Secures the South Korean Market and Enters the North American Market by Joining Hands with SK On &amp; ECOPRO","URL":"https://www.gemindonesia.com/CompanyNews/info_itemid_7291.html?utm_source=chatgpt.com","author":[{"family":"Hubungi","given":""}],"accessed":{"date-parts":[["2024",12,31]]},"issued":{"date-parts":[["2023"]]}}},{"id":1560,"uris":["http://zotero.org/users/14336916/items/X5VVYN3C"],"itemData":{"id":1560,"type":"article-journal","container-title":"Huayou Cobalt","title":"Huayou Cobalt Completes Its First Overseas Ternary Precursor Project and Successfully Begins Production-News Releases-Huayou New Energy Technology (Quzhou) Co., Ltd.","URL":"https://www.huayou.com/en/news/corporate-news/260?utm_source=chatgpt.com","author":[{"family":"Huanneng New Materials (Indonesia) Co., Ltd.","given":""}],"accessed":{"date-parts":[["2024",12,31]]},"issued":{"date-parts":[["2023"]]}}}],"schema":"https://github.com/citation-style-language/schema/raw/master/csl-citation.json"} </w:instrText>
      </w:r>
      <w:r w:rsidR="005A1CBC" w:rsidRPr="008B2CBF">
        <w:fldChar w:fldCharType="separate"/>
      </w:r>
      <w:r w:rsidR="00012843" w:rsidRPr="00012843">
        <w:t>[19, 20]</w:t>
      </w:r>
      <w:r w:rsidR="005A1CBC" w:rsidRPr="008B2CBF">
        <w:fldChar w:fldCharType="end"/>
      </w:r>
      <w:r w:rsidR="002F3B33" w:rsidRPr="008B2CBF">
        <w:t>.</w:t>
      </w:r>
      <w:r w:rsidR="00C54241" w:rsidRPr="008B2CBF">
        <w:t xml:space="preserve"> </w:t>
      </w:r>
      <w:r w:rsidR="00B25FA8" w:rsidRPr="008B2CBF">
        <w:rPr>
          <w:rFonts w:eastAsia="Calibri"/>
          <w:kern w:val="2"/>
          <w:szCs w:val="24"/>
          <w:lang w:val="en-GB"/>
          <w14:ligatures w14:val="standardContextual"/>
        </w:rPr>
        <w:t>In Morocco, although the country has considerable mineral resources, with a production of 30 million metric tons of phosphates, the</w:t>
      </w:r>
      <w:r w:rsidR="00F84569" w:rsidRPr="008B2CBF">
        <w:rPr>
          <w:rFonts w:eastAsia="Calibri"/>
          <w:kern w:val="2"/>
          <w:szCs w:val="24"/>
          <w:lang w:val="en-GB"/>
          <w14:ligatures w14:val="standardContextual"/>
        </w:rPr>
        <w:t xml:space="preserve"> marketed</w:t>
      </w:r>
      <w:r w:rsidR="00B25FA8" w:rsidRPr="008B2CBF">
        <w:rPr>
          <w:rFonts w:eastAsia="Calibri"/>
          <w:kern w:val="2"/>
          <w:szCs w:val="24"/>
          <w:lang w:val="en-GB"/>
          <w14:ligatures w14:val="standardContextual"/>
        </w:rPr>
        <w:t xml:space="preserve"> product is not immediately used to manufacture LFP cathodes and must be refined to meet battery quality requirements.</w:t>
      </w:r>
    </w:p>
    <w:p w14:paraId="32D374D3" w14:textId="7D4F48DD" w:rsidR="00A65E53" w:rsidRPr="008B2CBF" w:rsidRDefault="00B25FA8" w:rsidP="00B25FA8">
      <w:pPr>
        <w:pStyle w:val="Paragraph"/>
        <w:rPr>
          <w:rFonts w:eastAsia="Calibri"/>
          <w:kern w:val="2"/>
          <w:szCs w:val="24"/>
          <w:lang w:val="en-GB"/>
          <w14:ligatures w14:val="standardContextual"/>
        </w:rPr>
      </w:pPr>
      <w:r w:rsidRPr="008B2CBF">
        <w:rPr>
          <w:rFonts w:eastAsia="Calibri"/>
          <w:kern w:val="2"/>
          <w:szCs w:val="24"/>
          <w:lang w:val="en-GB"/>
          <w14:ligatures w14:val="standardContextual"/>
        </w:rPr>
        <w:t xml:space="preserve">This research aims to bridge the gap between Morocco’s underground resources and the needs of the battery industry for local LFP precursors. First, through a bibliographical study, we determined the precursors used for the synthesis of LFP cathodes. We then </w:t>
      </w:r>
      <w:r w:rsidR="00F84569" w:rsidRPr="008B2CBF">
        <w:rPr>
          <w:rFonts w:eastAsia="Calibri"/>
          <w:kern w:val="2"/>
          <w:szCs w:val="24"/>
          <w:lang w:val="en-GB"/>
          <w14:ligatures w14:val="standardContextual"/>
        </w:rPr>
        <w:t>shed light on</w:t>
      </w:r>
      <w:r w:rsidRPr="008B2CBF">
        <w:rPr>
          <w:rFonts w:eastAsia="Calibri"/>
          <w:kern w:val="2"/>
          <w:szCs w:val="24"/>
          <w:lang w:val="en-GB"/>
          <w14:ligatures w14:val="standardContextual"/>
        </w:rPr>
        <w:t xml:space="preserve"> </w:t>
      </w:r>
      <w:r w:rsidR="00F84569" w:rsidRPr="008B2CBF">
        <w:rPr>
          <w:rFonts w:eastAsia="Calibri"/>
          <w:kern w:val="2"/>
          <w:szCs w:val="24"/>
          <w:lang w:val="en-GB"/>
          <w14:ligatures w14:val="standardContextual"/>
        </w:rPr>
        <w:t xml:space="preserve">the Moroccan resources </w:t>
      </w:r>
      <w:r w:rsidR="00067AE5" w:rsidRPr="008B2CBF">
        <w:rPr>
          <w:rFonts w:eastAsia="Calibri"/>
          <w:kern w:val="2"/>
          <w:szCs w:val="24"/>
          <w:lang w:val="en-GB"/>
          <w14:ligatures w14:val="standardContextual"/>
        </w:rPr>
        <w:t>and</w:t>
      </w:r>
      <w:r w:rsidRPr="008B2CBF">
        <w:rPr>
          <w:rFonts w:eastAsia="Calibri"/>
          <w:kern w:val="2"/>
          <w:szCs w:val="24"/>
          <w:lang w:val="en-GB"/>
          <w14:ligatures w14:val="standardContextual"/>
        </w:rPr>
        <w:t xml:space="preserve"> capacities on these essential precursors. Finally, we proposed a </w:t>
      </w:r>
      <w:r w:rsidR="00067AE5" w:rsidRPr="008B2CBF">
        <w:rPr>
          <w:rFonts w:eastAsia="Calibri"/>
          <w:kern w:val="2"/>
          <w:szCs w:val="24"/>
          <w:lang w:val="en-GB"/>
          <w14:ligatures w14:val="standardContextual"/>
        </w:rPr>
        <w:t>sustainable processes</w:t>
      </w:r>
      <w:r w:rsidRPr="008B2CBF">
        <w:rPr>
          <w:rFonts w:eastAsia="Calibri"/>
          <w:kern w:val="2"/>
          <w:szCs w:val="24"/>
          <w:lang w:val="en-GB"/>
          <w14:ligatures w14:val="standardContextual"/>
        </w:rPr>
        <w:t xml:space="preserve"> to transform the current commercial product into </w:t>
      </w:r>
      <w:r w:rsidR="00067AE5" w:rsidRPr="008B2CBF">
        <w:rPr>
          <w:rFonts w:eastAsia="Calibri"/>
          <w:kern w:val="2"/>
          <w:szCs w:val="24"/>
          <w:lang w:val="en-GB"/>
          <w14:ligatures w14:val="standardContextual"/>
        </w:rPr>
        <w:t>TGA</w:t>
      </w:r>
      <w:r w:rsidRPr="008B2CBF">
        <w:rPr>
          <w:rFonts w:eastAsia="Calibri"/>
          <w:kern w:val="2"/>
          <w:szCs w:val="24"/>
          <w:lang w:val="en-GB"/>
          <w14:ligatures w14:val="standardContextual"/>
        </w:rPr>
        <w:t xml:space="preserve"> for the manufacture of LFP cathodes. Our work constitutes a step towards a green and sustainable energy transition by proposing </w:t>
      </w:r>
      <w:r w:rsidR="00C54241" w:rsidRPr="008B2CBF">
        <w:rPr>
          <w:rFonts w:eastAsia="Calibri"/>
          <w:kern w:val="2"/>
          <w:szCs w:val="24"/>
          <w:lang w:val="en-GB"/>
          <w14:ligatures w14:val="standardContextual"/>
        </w:rPr>
        <w:t>transformational techniques</w:t>
      </w:r>
      <w:r w:rsidRPr="008B2CBF">
        <w:rPr>
          <w:rFonts w:eastAsia="Calibri"/>
          <w:kern w:val="2"/>
          <w:szCs w:val="24"/>
          <w:lang w:val="en-GB"/>
          <w14:ligatures w14:val="standardContextual"/>
        </w:rPr>
        <w:t xml:space="preserve"> of local natural resources for the manufacturing of </w:t>
      </w:r>
      <w:r w:rsidR="00067AE5" w:rsidRPr="008B2CBF">
        <w:rPr>
          <w:rFonts w:eastAsia="Calibri"/>
          <w:kern w:val="2"/>
          <w:szCs w:val="24"/>
          <w:lang w:val="en-GB"/>
          <w14:ligatures w14:val="standardContextual"/>
        </w:rPr>
        <w:t>EVs.</w:t>
      </w:r>
    </w:p>
    <w:p w14:paraId="232EF18E" w14:textId="77777777" w:rsidR="00A65E53" w:rsidRPr="008B2CBF" w:rsidRDefault="00A65E53" w:rsidP="00A83B13">
      <w:pPr>
        <w:pStyle w:val="Paragraph"/>
        <w:rPr>
          <w:rFonts w:eastAsia="Calibri"/>
          <w:kern w:val="2"/>
          <w:szCs w:val="24"/>
          <w:lang w:val="en-GB"/>
          <w14:ligatures w14:val="standardContextual"/>
        </w:rPr>
      </w:pPr>
    </w:p>
    <w:p w14:paraId="4AF092F0" w14:textId="77777777" w:rsidR="00F84569" w:rsidRPr="008B2CBF" w:rsidRDefault="00F84569" w:rsidP="00A83B13">
      <w:pPr>
        <w:pStyle w:val="Paragraph"/>
        <w:rPr>
          <w:rFonts w:eastAsia="Calibri"/>
          <w:kern w:val="2"/>
          <w:szCs w:val="24"/>
          <w:lang w:val="en-GB"/>
          <w14:ligatures w14:val="standardContextual"/>
        </w:rPr>
      </w:pPr>
    </w:p>
    <w:p w14:paraId="03A8355B" w14:textId="77777777" w:rsidR="00583170" w:rsidRPr="008B2CBF" w:rsidRDefault="00583170" w:rsidP="00750E07">
      <w:pPr>
        <w:pStyle w:val="Paragraph"/>
      </w:pPr>
    </w:p>
    <w:p w14:paraId="2DE2005B" w14:textId="7431FC90" w:rsidR="00E94E42" w:rsidRPr="008B2CBF" w:rsidRDefault="00583170" w:rsidP="00FA6134">
      <w:pPr>
        <w:pStyle w:val="Titre1"/>
      </w:pPr>
      <w:r w:rsidRPr="008B2CBF">
        <w:lastRenderedPageBreak/>
        <w:t>Methodo</w:t>
      </w:r>
      <w:r w:rsidR="00EE6A78" w:rsidRPr="008B2CBF">
        <w:t>L</w:t>
      </w:r>
      <w:r w:rsidRPr="008B2CBF">
        <w:t>o</w:t>
      </w:r>
      <w:r w:rsidR="00CC3233" w:rsidRPr="008B2CBF">
        <w:t>gy</w:t>
      </w:r>
    </w:p>
    <w:p w14:paraId="3DF924E0" w14:textId="69C51910" w:rsidR="00FA6134" w:rsidRPr="008B2CBF" w:rsidRDefault="00B25FA8" w:rsidP="00E94E42">
      <w:pPr>
        <w:pStyle w:val="Paragraph"/>
        <w:rPr>
          <w:lang w:val="en-GB"/>
        </w:rPr>
      </w:pPr>
      <w:r w:rsidRPr="008B2CBF">
        <w:rPr>
          <w:lang w:val="en-GB"/>
        </w:rPr>
        <w:t xml:space="preserve">Our approach is based on a methodology that </w:t>
      </w:r>
      <w:r w:rsidR="00C113C7" w:rsidRPr="008B2CBF">
        <w:rPr>
          <w:lang w:val="en-GB"/>
        </w:rPr>
        <w:t>combine</w:t>
      </w:r>
      <w:r w:rsidR="007B5BE3" w:rsidRPr="008B2CBF">
        <w:rPr>
          <w:lang w:val="en-GB"/>
        </w:rPr>
        <w:t>s</w:t>
      </w:r>
      <w:r w:rsidRPr="008B2CBF">
        <w:rPr>
          <w:lang w:val="en-GB"/>
        </w:rPr>
        <w:t xml:space="preserve"> the analysis of </w:t>
      </w:r>
      <w:r w:rsidR="00C113C7" w:rsidRPr="008B2CBF">
        <w:rPr>
          <w:lang w:val="en-GB"/>
        </w:rPr>
        <w:t xml:space="preserve">previous </w:t>
      </w:r>
      <w:r w:rsidRPr="008B2CBF">
        <w:rPr>
          <w:lang w:val="en-GB"/>
        </w:rPr>
        <w:t>studies and practical cases to propose transformation</w:t>
      </w:r>
      <w:r w:rsidR="007B5BE3" w:rsidRPr="008B2CBF">
        <w:rPr>
          <w:lang w:val="en-GB"/>
        </w:rPr>
        <w:t>al</w:t>
      </w:r>
      <w:r w:rsidRPr="008B2CBF">
        <w:rPr>
          <w:lang w:val="en-GB"/>
        </w:rPr>
        <w:t xml:space="preserve"> proce</w:t>
      </w:r>
      <w:r w:rsidRPr="00254E1C">
        <w:rPr>
          <w:lang w:val="en-GB"/>
        </w:rPr>
        <w:t xml:space="preserve">sses </w:t>
      </w:r>
      <w:r w:rsidR="00C113C7" w:rsidRPr="008B2CBF">
        <w:rPr>
          <w:lang w:val="en-GB"/>
        </w:rPr>
        <w:t>of</w:t>
      </w:r>
      <w:r w:rsidRPr="008B2CBF">
        <w:rPr>
          <w:lang w:val="en-GB"/>
        </w:rPr>
        <w:t xml:space="preserve"> Morocco’s mineral resources to commercial LFP cathodes. Fig</w:t>
      </w:r>
      <w:r w:rsidR="00CF4C72" w:rsidRPr="008B2CBF">
        <w:rPr>
          <w:lang w:val="en-GB"/>
        </w:rPr>
        <w:t xml:space="preserve">. </w:t>
      </w:r>
      <w:r w:rsidRPr="008B2CBF">
        <w:rPr>
          <w:lang w:val="en-GB"/>
        </w:rPr>
        <w:t>2 presents the approach followed.</w:t>
      </w:r>
    </w:p>
    <w:p w14:paraId="32ECFE7D" w14:textId="77777777" w:rsidR="00B25FA8" w:rsidRPr="00254E1C" w:rsidRDefault="00B25FA8" w:rsidP="00E94E42">
      <w:pPr>
        <w:pStyle w:val="Paragraph"/>
        <w:rPr>
          <w:lang w:val="en-GB"/>
        </w:rPr>
      </w:pPr>
    </w:p>
    <w:p w14:paraId="18A50798" w14:textId="0E76F8EA" w:rsidR="000B1AF7" w:rsidRPr="008B2CBF" w:rsidRDefault="000323E1" w:rsidP="00FB05C7">
      <w:pPr>
        <w:pStyle w:val="Paragraph"/>
        <w:ind w:left="284" w:hanging="284"/>
      </w:pPr>
      <w:r w:rsidRPr="008B2CBF">
        <w:t xml:space="preserve">(1) </w:t>
      </w:r>
      <w:r w:rsidR="00B04B79" w:rsidRPr="008B2CBF">
        <w:t xml:space="preserve">Thorough </w:t>
      </w:r>
      <w:r w:rsidR="00B25FA8" w:rsidRPr="008B2CBF">
        <w:rPr>
          <w:lang w:val="en-GB"/>
        </w:rPr>
        <w:t xml:space="preserve">Study </w:t>
      </w:r>
      <w:r w:rsidR="00B04B79" w:rsidRPr="008B2CBF">
        <w:rPr>
          <w:lang w:val="en-GB"/>
        </w:rPr>
        <w:t xml:space="preserve">of </w:t>
      </w:r>
      <w:r w:rsidR="00B25FA8" w:rsidRPr="008B2CBF">
        <w:rPr>
          <w:lang w:val="en-GB"/>
        </w:rPr>
        <w:t xml:space="preserve">the existing manufacturing processes to </w:t>
      </w:r>
      <w:r w:rsidR="00CF4C72" w:rsidRPr="008B2CBF">
        <w:rPr>
          <w:lang w:val="en-GB"/>
        </w:rPr>
        <w:t>define</w:t>
      </w:r>
      <w:r w:rsidR="00B25FA8" w:rsidRPr="008B2CBF">
        <w:rPr>
          <w:lang w:val="en-GB"/>
        </w:rPr>
        <w:t xml:space="preserve"> </w:t>
      </w:r>
      <w:r w:rsidR="00393535" w:rsidRPr="008B2CBF">
        <w:rPr>
          <w:lang w:val="en-GB"/>
        </w:rPr>
        <w:t>the</w:t>
      </w:r>
      <w:r w:rsidR="00B25FA8" w:rsidRPr="008B2CBF">
        <w:rPr>
          <w:lang w:val="en-GB"/>
        </w:rPr>
        <w:t xml:space="preserve"> raw materials</w:t>
      </w:r>
      <w:r w:rsidR="007B5BE3" w:rsidRPr="008B2CBF">
        <w:rPr>
          <w:lang w:val="en-GB"/>
        </w:rPr>
        <w:t xml:space="preserve"> and minerals </w:t>
      </w:r>
      <w:r w:rsidR="00B25FA8" w:rsidRPr="008B2CBF">
        <w:rPr>
          <w:lang w:val="en-GB"/>
        </w:rPr>
        <w:t xml:space="preserve">needed for </w:t>
      </w:r>
      <w:r w:rsidR="00CF4C72" w:rsidRPr="008B2CBF">
        <w:rPr>
          <w:lang w:val="en-GB"/>
        </w:rPr>
        <w:t>LFP</w:t>
      </w:r>
      <w:r w:rsidR="00B25FA8" w:rsidRPr="008B2CBF">
        <w:rPr>
          <w:lang w:val="en-GB"/>
        </w:rPr>
        <w:t xml:space="preserve"> cathodes</w:t>
      </w:r>
      <w:r w:rsidR="00B04B79" w:rsidRPr="008B2CBF">
        <w:rPr>
          <w:lang w:val="en-GB"/>
        </w:rPr>
        <w:t xml:space="preserve"> production</w:t>
      </w:r>
      <w:r w:rsidR="00B25FA8" w:rsidRPr="008B2CBF">
        <w:rPr>
          <w:lang w:val="en-GB"/>
        </w:rPr>
        <w:t>.</w:t>
      </w:r>
    </w:p>
    <w:p w14:paraId="11445EE9" w14:textId="0E2117D5" w:rsidR="000323E1" w:rsidRPr="008B2CBF" w:rsidRDefault="000323E1" w:rsidP="000323E1">
      <w:pPr>
        <w:pStyle w:val="Paragraph"/>
      </w:pPr>
    </w:p>
    <w:p w14:paraId="0D339F89" w14:textId="4C82D9DF" w:rsidR="00CA2A87" w:rsidRPr="008B2CBF" w:rsidRDefault="00BC6807" w:rsidP="00FB05C7">
      <w:pPr>
        <w:pStyle w:val="Paragraph"/>
        <w:ind w:left="284" w:hanging="284"/>
      </w:pPr>
      <w:r w:rsidRPr="008B2CBF">
        <w:t xml:space="preserve">(2) </w:t>
      </w:r>
      <w:r w:rsidR="00B25FA8" w:rsidRPr="008B2CBF">
        <w:t>Determine the phosphorus source used for LFP cathodes</w:t>
      </w:r>
      <w:r w:rsidR="00754C00" w:rsidRPr="008B2CBF">
        <w:t>;</w:t>
      </w:r>
      <w:r w:rsidR="00B25FA8" w:rsidRPr="008B2CBF">
        <w:t xml:space="preserve"> </w:t>
      </w:r>
      <w:r w:rsidR="00754C00" w:rsidRPr="008B2CBF">
        <w:t>T</w:t>
      </w:r>
      <w:r w:rsidR="00B25FA8" w:rsidRPr="008B2CBF">
        <w:t>he Scopus database</w:t>
      </w:r>
      <w:r w:rsidR="00754C00" w:rsidRPr="008B2CBF">
        <w:t xml:space="preserve"> is employed</w:t>
      </w:r>
      <w:r w:rsidR="00B25FA8" w:rsidRPr="008B2CBF">
        <w:t xml:space="preserve"> to </w:t>
      </w:r>
      <w:r w:rsidR="00754C00" w:rsidRPr="008B2CBF">
        <w:t>figure out</w:t>
      </w:r>
      <w:r w:rsidR="00B25FA8" w:rsidRPr="008B2CBF">
        <w:t xml:space="preserve"> the most used phosphorus precursor for LFP cathode synthesis. The research methodology </w:t>
      </w:r>
      <w:r w:rsidR="00F71986" w:rsidRPr="008B2CBF">
        <w:t>follow</w:t>
      </w:r>
      <w:r w:rsidR="00DB0E84" w:rsidRPr="008B2CBF">
        <w:t>s</w:t>
      </w:r>
      <w:r w:rsidR="00F71986" w:rsidRPr="008B2CBF">
        <w:t xml:space="preserve"> </w:t>
      </w:r>
      <w:r w:rsidR="00B25FA8" w:rsidRPr="008B2CBF">
        <w:t>strict</w:t>
      </w:r>
      <w:r w:rsidR="00F71986" w:rsidRPr="008B2CBF">
        <w:t xml:space="preserve"> criteri</w:t>
      </w:r>
      <w:r w:rsidR="00DB0E84" w:rsidRPr="008B2CBF">
        <w:t>a</w:t>
      </w:r>
      <w:r w:rsidR="00F71986" w:rsidRPr="008B2CBF">
        <w:t>, such as</w:t>
      </w:r>
      <w:r w:rsidR="00B25FA8" w:rsidRPr="008B2CBF">
        <w:t xml:space="preserve"> sources of high impact and peer-reviewed journals, recent publications (2015-2025), relevance with battery materials</w:t>
      </w:r>
      <w:r w:rsidR="00DB0E84" w:rsidRPr="008B2CBF">
        <w:t>,</w:t>
      </w:r>
      <w:r w:rsidR="00B25FA8" w:rsidRPr="008B2CBF">
        <w:t xml:space="preserve"> and use of specific keyword queries (for example, Lithium Iron Phosphate, LFP, LiFePO</w:t>
      </w:r>
      <w:r w:rsidR="00B25FA8" w:rsidRPr="008B2CBF">
        <w:rPr>
          <w:vertAlign w:val="subscript"/>
        </w:rPr>
        <w:t>4</w:t>
      </w:r>
      <w:r w:rsidR="00B25FA8" w:rsidRPr="008B2CBF">
        <w:t>, etc.). The search yielded 270 documents, which were classified in the Zotero reference manager. Each article was screened for its technical relevance, data quality</w:t>
      </w:r>
      <w:r w:rsidR="00DB0E84" w:rsidRPr="008B2CBF">
        <w:t>,</w:t>
      </w:r>
      <w:r w:rsidR="00B25FA8" w:rsidRPr="008B2CBF">
        <w:t xml:space="preserve"> and precursor definition. After analysis, 172 articles were selected for in-depth reading. Then, relevant information was extracted, including phosphorus precursors and electrochemical performance in battery applications.</w:t>
      </w:r>
    </w:p>
    <w:p w14:paraId="7F5FADDB" w14:textId="77777777" w:rsidR="00CA2A87" w:rsidRPr="008B2CBF" w:rsidRDefault="00CA2A87" w:rsidP="00F71986">
      <w:pPr>
        <w:pStyle w:val="Paragraph"/>
        <w:ind w:firstLine="0"/>
      </w:pPr>
    </w:p>
    <w:p w14:paraId="1EF3E3B9" w14:textId="0E4EDAAC" w:rsidR="006F1D37" w:rsidRPr="008B2CBF" w:rsidRDefault="006F1D37" w:rsidP="00B712F1">
      <w:pPr>
        <w:pStyle w:val="Paragraph"/>
        <w:ind w:left="284" w:hanging="284"/>
      </w:pPr>
      <w:r w:rsidRPr="008B2CBF">
        <w:t xml:space="preserve">(3) </w:t>
      </w:r>
      <w:r w:rsidR="008F06BE" w:rsidRPr="008B2CBF">
        <w:t xml:space="preserve">Following the identification of the most often used phosphorus precursor in LFP manufacture, an analysis was carried out to assess the availability of this crucial component in Morocco, as well as the current refining </w:t>
      </w:r>
      <w:r w:rsidR="003B6A40" w:rsidRPr="008B2CBF">
        <w:t>processes</w:t>
      </w:r>
      <w:r w:rsidR="008F06BE" w:rsidRPr="008B2CBF">
        <w:t xml:space="preserve"> and their </w:t>
      </w:r>
      <w:r w:rsidR="00837A04" w:rsidRPr="008B2CBF">
        <w:t>appropriateness</w:t>
      </w:r>
      <w:r w:rsidR="008F06BE" w:rsidRPr="008B2CBF">
        <w:t xml:space="preserve"> to the production of</w:t>
      </w:r>
      <w:r w:rsidR="00837A04" w:rsidRPr="008B2CBF">
        <w:t xml:space="preserve"> LFP’s</w:t>
      </w:r>
      <w:r w:rsidR="008F06BE" w:rsidRPr="008B2CBF">
        <w:t xml:space="preserve"> battery-grade precursors</w:t>
      </w:r>
      <w:r w:rsidR="00837A04" w:rsidRPr="008B2CBF">
        <w:t>.</w:t>
      </w:r>
    </w:p>
    <w:p w14:paraId="688468EC" w14:textId="61DDA90C" w:rsidR="008F06BE" w:rsidRPr="008B2CBF" w:rsidRDefault="008F06BE" w:rsidP="003B6A40">
      <w:pPr>
        <w:pStyle w:val="Paragraph"/>
        <w:ind w:firstLine="0"/>
      </w:pPr>
    </w:p>
    <w:p w14:paraId="2CC6BF5D" w14:textId="509E6D7D" w:rsidR="001E6C28" w:rsidRPr="008B2CBF" w:rsidRDefault="006F1D37" w:rsidP="00B712F1">
      <w:pPr>
        <w:pStyle w:val="Paragraph"/>
        <w:ind w:left="284" w:hanging="284"/>
      </w:pPr>
      <w:r w:rsidRPr="008B2CBF">
        <w:t>(4)</w:t>
      </w:r>
      <w:r w:rsidR="00B712F1" w:rsidRPr="008B2CBF">
        <w:t xml:space="preserve"> </w:t>
      </w:r>
      <w:r w:rsidR="00816F8E" w:rsidRPr="008B2CBF">
        <w:t xml:space="preserve">To further develop the existing refining processes and produce domestic LFP battery-grade precursors from Moroccan phosphorus resources, upgraded transformational processes have been </w:t>
      </w:r>
      <w:r w:rsidR="00C25E3D" w:rsidRPr="008B2CBF">
        <w:t>develop</w:t>
      </w:r>
      <w:r w:rsidR="00816F8E" w:rsidRPr="008B2CBF">
        <w:t xml:space="preserve">ed to </w:t>
      </w:r>
      <w:r w:rsidR="00C25E3D" w:rsidRPr="008B2CBF">
        <w:t>enable</w:t>
      </w:r>
      <w:r w:rsidR="00816F8E" w:rsidRPr="008B2CBF">
        <w:t xml:space="preserve"> the </w:t>
      </w:r>
      <w:r w:rsidR="00C25E3D" w:rsidRPr="008B2CBF">
        <w:t>manufactu</w:t>
      </w:r>
      <w:r w:rsidR="00F049A4" w:rsidRPr="008B2CBF">
        <w:t xml:space="preserve">ring </w:t>
      </w:r>
      <w:r w:rsidR="00816F8E" w:rsidRPr="008B2CBF">
        <w:t>of compatible battery-grade materials.</w:t>
      </w:r>
    </w:p>
    <w:p w14:paraId="694E254E" w14:textId="77777777" w:rsidR="001E7EDF" w:rsidRPr="008B2CBF" w:rsidRDefault="001E7EDF" w:rsidP="001B3E3A">
      <w:pPr>
        <w:pStyle w:val="Paragraph"/>
        <w:ind w:firstLine="0"/>
        <w:jc w:val="center"/>
      </w:pPr>
    </w:p>
    <w:p w14:paraId="099D399F" w14:textId="77777777" w:rsidR="005000A8" w:rsidRPr="008B2CBF" w:rsidRDefault="001B3E3A" w:rsidP="005000A8">
      <w:pPr>
        <w:pStyle w:val="Paragraph"/>
        <w:keepNext/>
        <w:ind w:firstLine="0"/>
        <w:jc w:val="center"/>
      </w:pPr>
      <w:r w:rsidRPr="008B2CBF">
        <w:rPr>
          <w:noProof/>
        </w:rPr>
        <w:drawing>
          <wp:inline distT="0" distB="0" distL="0" distR="0" wp14:anchorId="7331CC6A" wp14:editId="77C55568">
            <wp:extent cx="5848539" cy="1983105"/>
            <wp:effectExtent l="19050" t="19050" r="19050" b="17145"/>
            <wp:docPr id="622399892" name="Image 6" descr="Une image contenant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99892" name="Image 6" descr="Une image contenant texte&#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6514" cy="1989200"/>
                    </a:xfrm>
                    <a:prstGeom prst="rect">
                      <a:avLst/>
                    </a:prstGeom>
                    <a:noFill/>
                    <a:ln w="3175">
                      <a:solidFill>
                        <a:schemeClr val="tx1"/>
                      </a:solidFill>
                    </a:ln>
                  </pic:spPr>
                </pic:pic>
              </a:graphicData>
            </a:graphic>
          </wp:inline>
        </w:drawing>
      </w:r>
    </w:p>
    <w:p w14:paraId="1DBC57C4" w14:textId="6248C8D6" w:rsidR="00771F46" w:rsidRPr="008B2CBF" w:rsidRDefault="001411A4" w:rsidP="00337E66">
      <w:pPr>
        <w:pStyle w:val="FigureCaption"/>
        <w:spacing w:before="0"/>
      </w:pPr>
      <w:r w:rsidRPr="008B2CBF">
        <w:rPr>
          <w:b/>
          <w:bCs/>
        </w:rPr>
        <w:t xml:space="preserve">FIGURE </w:t>
      </w:r>
      <w:r w:rsidR="00B7144A" w:rsidRPr="008B2CBF">
        <w:rPr>
          <w:b/>
          <w:bCs/>
        </w:rPr>
        <w:t>2</w:t>
      </w:r>
      <w:r w:rsidR="001E3283" w:rsidRPr="008B2CBF">
        <w:rPr>
          <w:b/>
          <w:bCs/>
        </w:rPr>
        <w:t>.</w:t>
      </w:r>
      <w:r w:rsidR="005000A8" w:rsidRPr="008B2CBF">
        <w:t xml:space="preserve"> </w:t>
      </w:r>
      <w:r w:rsidR="00EC003C" w:rsidRPr="008B2CBF">
        <w:t>Research</w:t>
      </w:r>
      <w:r w:rsidR="005000A8" w:rsidRPr="008B2CBF">
        <w:t xml:space="preserve"> methodology</w:t>
      </w:r>
    </w:p>
    <w:p w14:paraId="65127D67" w14:textId="61D21A91" w:rsidR="00EE6A78" w:rsidRPr="008B2CBF" w:rsidRDefault="00EE6A78" w:rsidP="00EE6A78">
      <w:pPr>
        <w:pStyle w:val="Titre1"/>
      </w:pPr>
      <w:r w:rsidRPr="008B2CBF">
        <w:t>Results and discussion</w:t>
      </w:r>
    </w:p>
    <w:p w14:paraId="2B25F711" w14:textId="0C132810" w:rsidR="004B04A1" w:rsidRPr="008B2CBF" w:rsidRDefault="004A52AD" w:rsidP="00814942">
      <w:pPr>
        <w:pStyle w:val="Titre2"/>
      </w:pPr>
      <w:r w:rsidRPr="008B2CBF">
        <w:t xml:space="preserve">Minerals </w:t>
      </w:r>
      <w:r w:rsidR="00897F64" w:rsidRPr="008B2CBF">
        <w:t xml:space="preserve">and precursors </w:t>
      </w:r>
      <w:r w:rsidR="00D843E2" w:rsidRPr="008B2CBF">
        <w:t xml:space="preserve">required </w:t>
      </w:r>
      <w:r w:rsidR="00814942" w:rsidRPr="008B2CBF">
        <w:t>for LFP manufacturing</w:t>
      </w:r>
    </w:p>
    <w:p w14:paraId="36C77037" w14:textId="387FC8E7" w:rsidR="00B62415" w:rsidRPr="008B2CBF" w:rsidRDefault="00C3503E" w:rsidP="00012843">
      <w:pPr>
        <w:pStyle w:val="Paragraph"/>
        <w:rPr>
          <w:rFonts w:eastAsia="Calibri"/>
        </w:rPr>
      </w:pPr>
      <w:r w:rsidRPr="008B2CBF">
        <w:t>Raw minerals</w:t>
      </w:r>
      <w:r w:rsidRPr="008B2CBF">
        <w:rPr>
          <w:lang w:val="en-GB"/>
        </w:rPr>
        <w:t xml:space="preserve"> are critical components in the production of LFP cathodes, constituting more than fifty percent of the total cell cost. </w:t>
      </w:r>
      <w:r w:rsidR="00843320" w:rsidRPr="008B2CBF">
        <w:rPr>
          <w:lang w:val="en-GB"/>
        </w:rPr>
        <w:fldChar w:fldCharType="begin"/>
      </w:r>
      <w:r w:rsidR="00012843">
        <w:rPr>
          <w:lang w:val="en-GB"/>
        </w:rPr>
        <w:instrText xml:space="preserve"> ADDIN ZOTERO_ITEM CSL_CITATION {"citationID":"zlyxS9D5","properties":{"formattedCitation":"[5]","plainCitation":"[5]","noteIndex":0},"citationItems":[{"id":242,"uris":["http://zotero.org/users/14336916/items/D6K6YMBS"],"itemData":{"id":242,"type":"article-journal","container-title":"Electrochemical Energy Reviews","DOI":"10.1007/s41918-018-0022-z","ISSN":"2520-8489, 2520-8136","issue":"1","journalAbbreviation":"Electrochem. Energ. Rev.","language":"en","page":"1-28","source":"DOI.org (Crossref)","title":"Automotive Li-Ion Batteries: Current Status and Future Perspectives","title-short":"Automotive Li-Ion Batteries","volume":"2","author":[{"family":"Ding","given":"Yuanli"},{"family":"Cano","given":"Zachary P."},{"family":"Yu","given":"Aiping"},{"family":"Lu","given":"Jun"},{"family":"Chen","given":"Zhongwei"}],"issued":{"date-parts":[["2019",3]]}}}],"schema":"https://github.com/citation-style-language/schema/raw/master/csl-citation.json"} </w:instrText>
      </w:r>
      <w:r w:rsidR="00843320" w:rsidRPr="008B2CBF">
        <w:rPr>
          <w:lang w:val="en-GB"/>
        </w:rPr>
        <w:fldChar w:fldCharType="separate"/>
      </w:r>
      <w:r w:rsidR="00012843" w:rsidRPr="00012843">
        <w:t>[5]</w:t>
      </w:r>
      <w:r w:rsidR="00843320" w:rsidRPr="008B2CBF">
        <w:rPr>
          <w:lang w:val="en-GB"/>
        </w:rPr>
        <w:fldChar w:fldCharType="end"/>
      </w:r>
      <w:r w:rsidR="00843320" w:rsidRPr="008B2CBF">
        <w:rPr>
          <w:lang w:val="en-GB"/>
        </w:rPr>
        <w:t>.</w:t>
      </w:r>
      <w:r w:rsidR="00843320" w:rsidRPr="008B2CBF">
        <w:rPr>
          <w:rFonts w:eastAsia="Calibri"/>
          <w:i/>
          <w:iCs/>
          <w:kern w:val="2"/>
          <w:sz w:val="24"/>
          <w:szCs w:val="24"/>
          <w:lang w:val="en-GB"/>
          <w14:ligatures w14:val="standardContextual"/>
        </w:rPr>
        <w:t xml:space="preserve"> </w:t>
      </w:r>
      <w:r w:rsidR="00BB2CAB" w:rsidRPr="008B2CBF">
        <w:rPr>
          <w:rFonts w:eastAsia="Calibri"/>
          <w:lang w:val="en-GB"/>
        </w:rPr>
        <w:t xml:space="preserve">The predicted demand for metals for LIB is expected to reach 13.5 million metric tons by 2030, representing a ninefold increase compared to 2020 </w:t>
      </w:r>
      <w:r w:rsidR="00BE5BFA" w:rsidRPr="008B2CBF">
        <w:fldChar w:fldCharType="begin"/>
      </w:r>
      <w:r w:rsidR="00012843">
        <w:instrText xml:space="preserve"> ADDIN ZOTERO_ITEM CSL_CITATION {"citationID":"aFBTVLVE","properties":{"formattedCitation":"[21]","plainCitation":"[21]","noteIndex":0},"citationItems":[{"id":793,"uris":["http://zotero.org/users/14336916/items/LG46LIQM"],"itemData":{"id":793,"type":"article-journal","container-title":"BloombergNEF","title":"The Cost of Producing Battery Precursors in the DRC","URL":"https://assets.bbhub.io/professional/sites/24/BNEF-The-Cost-of-Producing-Battery-Precursors-in-the-DRC_FINAL.pdf","author":[{"family":"Kwasi","given":"Ampofo"},{"family":"Frith","given":"James"},{"family":"Mustri","given":"Sharon"},{"family":"Sethia","given":"Ashish"}],"issued":{"date-parts":[["2021"]]}}}],"schema":"https://github.com/citation-style-language/schema/raw/master/csl-citation.json"} </w:instrText>
      </w:r>
      <w:r w:rsidR="00BE5BFA" w:rsidRPr="008B2CBF">
        <w:fldChar w:fldCharType="separate"/>
      </w:r>
      <w:r w:rsidR="00012843" w:rsidRPr="00012843">
        <w:t>[21]</w:t>
      </w:r>
      <w:r w:rsidR="00BE5BFA" w:rsidRPr="008B2CBF">
        <w:fldChar w:fldCharType="end"/>
      </w:r>
      <w:r w:rsidR="00BB2CAB" w:rsidRPr="008B2CBF">
        <w:t xml:space="preserve">. </w:t>
      </w:r>
      <w:r w:rsidR="002966DC" w:rsidRPr="008B2CBF">
        <w:t>An individual EV working with LFP chemistry requires</w:t>
      </w:r>
      <w:r w:rsidR="0088032F" w:rsidRPr="008B2CBF">
        <w:t xml:space="preserve"> 2</w:t>
      </w:r>
      <w:r w:rsidR="00436D1D" w:rsidRPr="008B2CBF">
        <w:t>6</w:t>
      </w:r>
      <w:r w:rsidR="0088032F" w:rsidRPr="008B2CBF">
        <w:t xml:space="preserve"> kg of phosphorus</w:t>
      </w:r>
      <w:r w:rsidR="001420B2" w:rsidRPr="008B2CBF">
        <w:t>,</w:t>
      </w:r>
      <w:r w:rsidR="002966DC" w:rsidRPr="008B2CBF">
        <w:t xml:space="preserve"> </w:t>
      </w:r>
      <w:r w:rsidR="007917C0" w:rsidRPr="008B2CBF">
        <w:t>41 kg of iron</w:t>
      </w:r>
      <w:r w:rsidR="00CD51ED" w:rsidRPr="008B2CBF">
        <w:t>,</w:t>
      </w:r>
      <w:r w:rsidR="001A0E0A" w:rsidRPr="008B2CBF">
        <w:t xml:space="preserve"> and 6 </w:t>
      </w:r>
      <w:r w:rsidR="0023135D" w:rsidRPr="008B2CBF">
        <w:t>kg</w:t>
      </w:r>
      <w:r w:rsidR="001A0E0A" w:rsidRPr="008B2CBF">
        <w:t xml:space="preserve"> of lithium </w:t>
      </w:r>
      <w:r w:rsidR="00406C94" w:rsidRPr="008B2CBF">
        <w:t xml:space="preserve">for the </w:t>
      </w:r>
      <w:r w:rsidR="00225500" w:rsidRPr="008B2CBF">
        <w:t>manufacturing of</w:t>
      </w:r>
      <w:r w:rsidR="00406C94" w:rsidRPr="008B2CBF">
        <w:t xml:space="preserve"> the battery cathode </w:t>
      </w:r>
      <w:r w:rsidR="00406C94" w:rsidRPr="008B2CBF">
        <w:fldChar w:fldCharType="begin"/>
      </w:r>
      <w:r w:rsidR="00012843">
        <w:instrText xml:space="preserve"> ADDIN ZOTERO_ITEM CSL_CITATION {"citationID":"oMFmifrc","properties":{"formattedCitation":"[22]","plainCitation":"[22]","noteIndex":0},"citationItems":[{"id":1554,"uris":["http://zotero.org/users/14336916/items/Z6XYI982"],"itemData":{"id":1554,"type":"article-journal","abstract":"Electric Vehicles (EVs) are a viable option for achieving carbon neutrality in the transportation sector. A key component of this alternative, lithium-ion batteries (LIB), contributes to developing sustainable and energyefficient vehicles. Recognising the significance of mineral raw materials for a sustainable LIB supply chain, leading countries have established policies and initiatives to enhance their autonomous sourcing of these critical components. This article examines, for the first time, the Moroccan resources and policies concerning these vital minerals, highlighting the opportunities and challenges in building a robust mining supply chain to support local LIB production. A rigorous examination of prior works has pinpointed the key vital minerals used in LIB, fol­ lowed by a discussion on Morocco’s potential regarding these critical minerals. Morocco benefits from political stability and possesses significant reserves and production capacity for battery raw materials, including 30 million metric tonnes of phosphates, 1.5 million metric tonnes of manganese, 45 million metric tonnes of cobalt and nickel, 5 million metric tonnes of copper, and further prospective deposits of iron, lithium, and graphite. The findings indicate that although the country’s resource wealth and political stability offer a strong foundation, it is necessary to improve mineral exploration and production levels of these critical minerals, as well as to valorise these reserves, which are currently being exported in their raw or intermediate forms without substantial additional value for the nation. The present study establishes a foundation for sustainable electric mobility through the development of a local industrial ecosystem for LIB.","container-title":"Sustainable Energy Technologies and Assessments","DOI":"10.1016/j.seta.2025.104245","ISSN":"22131388","journalAbbreviation":"Sustainable Energy Technologies and Assessments","language":"en","page":"104245","source":"DOI.org (Crossref)","title":"Toward carbon–neutral transportation: Harnessing Morocco’s critical minerals for sustainable lithium-ion batteries","title-short":"Toward carbon–neutral transportation","volume":"75","author":[{"family":"Azerblou","given":"Said"},{"family":"Oubah","given":"Redouane"},{"family":"Ouachtouk","given":"Hamza"},{"family":"Tace","given":"Elmostafa"}],"issued":{"date-parts":[["2025",3]]}}}],"schema":"https://github.com/citation-style-language/schema/raw/master/csl-citation.json"} </w:instrText>
      </w:r>
      <w:r w:rsidR="00406C94" w:rsidRPr="008B2CBF">
        <w:fldChar w:fldCharType="separate"/>
      </w:r>
      <w:r w:rsidR="00012843" w:rsidRPr="00012843">
        <w:t>[22]</w:t>
      </w:r>
      <w:r w:rsidR="00406C94" w:rsidRPr="008B2CBF">
        <w:fldChar w:fldCharType="end"/>
      </w:r>
      <w:r w:rsidR="002571B5" w:rsidRPr="008B2CBF">
        <w:t xml:space="preserve">. </w:t>
      </w:r>
      <w:r w:rsidR="00E44525" w:rsidRPr="008B2CBF">
        <w:t>Fig. 3</w:t>
      </w:r>
      <w:r w:rsidR="00684039" w:rsidRPr="008B2CBF">
        <w:t xml:space="preserve"> </w:t>
      </w:r>
      <w:r w:rsidR="00F05081" w:rsidRPr="008B2CBF">
        <w:t>illustrates the elemental composition of an isolated electric vehicle employing LFP cathodes</w:t>
      </w:r>
      <w:r w:rsidR="00AB1D83" w:rsidRPr="008B2CBF">
        <w:t>.</w:t>
      </w:r>
    </w:p>
    <w:p w14:paraId="763896AF" w14:textId="77777777" w:rsidR="00400A1A" w:rsidRPr="008B2CBF" w:rsidRDefault="00D93DAF" w:rsidP="00A60904">
      <w:pPr>
        <w:pStyle w:val="NormalWeb"/>
        <w:keepNext/>
        <w:spacing w:after="0" w:afterAutospacing="0"/>
        <w:jc w:val="center"/>
      </w:pPr>
      <w:r w:rsidRPr="008B2CBF">
        <w:rPr>
          <w:noProof/>
        </w:rPr>
        <w:lastRenderedPageBreak/>
        <w:drawing>
          <wp:inline distT="0" distB="0" distL="0" distR="0" wp14:anchorId="281CF2EE" wp14:editId="0F7C95CD">
            <wp:extent cx="2303362" cy="2053664"/>
            <wp:effectExtent l="19050" t="19050" r="20955" b="22860"/>
            <wp:docPr id="1520857225" name="Image 7" descr="Une image contenant texte, capture d’écran, cercl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57225" name="Image 7" descr="Une image contenant texte, capture d’écran, cercle, Police&#10;&#10;Le contenu généré par l’IA peut êtr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17333" t="7636" r="15287"/>
                    <a:stretch/>
                  </pic:blipFill>
                  <pic:spPr bwMode="auto">
                    <a:xfrm>
                      <a:off x="0" y="0"/>
                      <a:ext cx="2308845" cy="205855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D77691E" w14:textId="0FF09647" w:rsidR="00D36958" w:rsidRPr="008B2CBF" w:rsidRDefault="00400A1A" w:rsidP="00012843">
      <w:pPr>
        <w:pStyle w:val="FigureCaption"/>
        <w:spacing w:before="0"/>
        <w:rPr>
          <w:lang w:val="en-GB" w:eastAsia="fr-FR"/>
        </w:rPr>
      </w:pPr>
      <w:r w:rsidRPr="008B2CBF">
        <w:rPr>
          <w:b/>
          <w:bCs/>
        </w:rPr>
        <w:t xml:space="preserve">FIGURE </w:t>
      </w:r>
      <w:r w:rsidR="00B7144A" w:rsidRPr="008B2CBF">
        <w:rPr>
          <w:b/>
          <w:bCs/>
        </w:rPr>
        <w:t>3</w:t>
      </w:r>
      <w:r w:rsidRPr="008B2CBF">
        <w:rPr>
          <w:b/>
          <w:bCs/>
          <w:lang w:val="en-GB"/>
        </w:rPr>
        <w:t>.</w:t>
      </w:r>
      <w:r w:rsidRPr="008B2CBF">
        <w:rPr>
          <w:lang w:val="en-GB"/>
        </w:rPr>
        <w:t xml:space="preserve"> Elemental share of LFP cathodes (data from </w:t>
      </w:r>
      <w:r w:rsidRPr="008B2CBF">
        <w:rPr>
          <w:lang w:val="en-GB"/>
        </w:rPr>
        <w:fldChar w:fldCharType="begin"/>
      </w:r>
      <w:r w:rsidR="00012843">
        <w:rPr>
          <w:lang w:val="en-GB"/>
        </w:rPr>
        <w:instrText xml:space="preserve"> ADDIN ZOTERO_ITEM CSL_CITATION {"citationID":"WYBtRqGy","properties":{"formattedCitation":"[23]","plainCitation":"[23]","noteIndex":0},"citationItems":[{"id":51,"uris":["http://zotero.org/users/14336916/items/J9KQR6TK"],"itemData":{"id":51,"type":"article-journal","archive":"Scopus","container-title":"Materials Science and Engineering R: Reports","DOI":"10.1016/j.mser.2024.100797","title":"Sustainable LiFePO4 and LiMnxFe1-xPO4 (x=0.1–1) cathode materials for lithium-ion batteries: A systematic review from mine to chassis","URL":"https://www.scopus.com/inward/record.uri?eid=2-s2.0-85192083476&amp;doi=10.1016%2fj.mser.2024.100797&amp;partnerID=40&amp;md5=ccc69f63789e88f29897f0f8db94ddd5","volume":"159","author":[{"family":"Nekahi","given":"A."},{"family":"Kumar M.R.","given":"A."},{"family":"Deng","given":"S."},{"family":"Zaghib","given":"K."}],"issued":{"date-parts":[["2024"]]}}}],"schema":"https://github.com/citation-style-language/schema/raw/master/csl-citation.json"} </w:instrText>
      </w:r>
      <w:r w:rsidRPr="008B2CBF">
        <w:rPr>
          <w:lang w:val="en-GB"/>
        </w:rPr>
        <w:fldChar w:fldCharType="separate"/>
      </w:r>
      <w:r w:rsidR="00012843" w:rsidRPr="00012843">
        <w:t>[23]</w:t>
      </w:r>
      <w:r w:rsidRPr="008B2CBF">
        <w:rPr>
          <w:lang w:val="en-GB"/>
        </w:rPr>
        <w:fldChar w:fldCharType="end"/>
      </w:r>
      <w:r w:rsidRPr="008B2CBF">
        <w:rPr>
          <w:lang w:val="en-GB"/>
        </w:rPr>
        <w:t>)</w:t>
      </w:r>
    </w:p>
    <w:p w14:paraId="49410E57" w14:textId="77777777" w:rsidR="00400A1A" w:rsidRPr="008B2CBF" w:rsidRDefault="00400A1A" w:rsidP="00F97730">
      <w:pPr>
        <w:pStyle w:val="Paragraph"/>
      </w:pPr>
    </w:p>
    <w:p w14:paraId="7C8E8039" w14:textId="472D1910" w:rsidR="00815A8E" w:rsidRPr="008B2CBF" w:rsidRDefault="009174BB" w:rsidP="003C1305">
      <w:pPr>
        <w:pStyle w:val="Paragraph"/>
      </w:pPr>
      <w:r w:rsidRPr="008B2CBF">
        <w:t xml:space="preserve">To examine the </w:t>
      </w:r>
      <w:r w:rsidR="00D344F4" w:rsidRPr="008B2CBF">
        <w:t>phosphorus precursor sources utilized in LFP batteries, an in-depth examination of recent publications from the past decade (2015–2024</w:t>
      </w:r>
      <w:r w:rsidRPr="008B2CBF">
        <w:t xml:space="preserve">) in </w:t>
      </w:r>
      <w:r w:rsidR="00744076" w:rsidRPr="008B2CBF">
        <w:t>the</w:t>
      </w:r>
      <w:r w:rsidR="00856EE5" w:rsidRPr="008B2CBF">
        <w:t xml:space="preserve"> </w:t>
      </w:r>
      <w:r w:rsidRPr="008B2CBF">
        <w:t>Scopus</w:t>
      </w:r>
      <w:r w:rsidR="00744076" w:rsidRPr="008B2CBF">
        <w:t xml:space="preserve"> database</w:t>
      </w:r>
      <w:r w:rsidRPr="008B2CBF">
        <w:t xml:space="preserve"> has been conducted</w:t>
      </w:r>
      <w:r w:rsidR="006B28CE" w:rsidRPr="008B2CBF">
        <w:t xml:space="preserve">. </w:t>
      </w:r>
      <w:r w:rsidR="003036CE" w:rsidRPr="008B2CBF">
        <w:t>It is noteworthy that hydrothermal synthesis has been employed</w:t>
      </w:r>
      <w:r w:rsidR="003A59D1" w:rsidRPr="008B2CBF">
        <w:t xml:space="preserve"> in the research query</w:t>
      </w:r>
      <w:r w:rsidR="003036CE" w:rsidRPr="008B2CBF">
        <w:t xml:space="preserve"> </w:t>
      </w:r>
      <w:r w:rsidR="00850649" w:rsidRPr="008B2CBF">
        <w:t>because</w:t>
      </w:r>
      <w:r w:rsidR="003036CE" w:rsidRPr="008B2CBF">
        <w:t xml:space="preserve"> it is the major and industrially established method for making LFP cathodes.</w:t>
      </w:r>
      <w:r w:rsidR="00C967E5" w:rsidRPr="008B2CBF">
        <w:t xml:space="preserve"> </w:t>
      </w:r>
      <w:r w:rsidR="002C13F5" w:rsidRPr="008B2CBF">
        <w:t xml:space="preserve"> </w:t>
      </w:r>
      <w:r w:rsidR="00F50223" w:rsidRPr="008B2CBF">
        <w:t>The hydrothermal process involves combining stoichiometric ratios of precursors in an aqueous solution, which is then subjected to autoclave treatment at temperatures exceeding 100</w:t>
      </w:r>
      <w:r w:rsidR="00D344F4" w:rsidRPr="008B2CBF">
        <w:t>°C,</w:t>
      </w:r>
      <w:r w:rsidR="00F50223" w:rsidRPr="008B2CBF">
        <w:t xml:space="preserve"> typically between 120</w:t>
      </w:r>
      <w:r w:rsidR="00D344F4" w:rsidRPr="008B2CBF">
        <w:t xml:space="preserve"> and 220°C,</w:t>
      </w:r>
      <w:r w:rsidR="00F50223" w:rsidRPr="008B2CBF">
        <w:t xml:space="preserve"> in a controlled environment (pH, temperature, and duration), followed by high-temperature sintering with a carbon source to improve material conductivity</w:t>
      </w:r>
      <w:r w:rsidR="00577129" w:rsidRPr="008B2CBF">
        <w:t xml:space="preserve">. </w:t>
      </w:r>
      <w:r w:rsidR="00FA0BFB" w:rsidRPr="008B2CBF">
        <w:t xml:space="preserve">Hydrothermal synthesis </w:t>
      </w:r>
      <w:r w:rsidR="00A374CA" w:rsidRPr="008B2CBF">
        <w:t>enable</w:t>
      </w:r>
      <w:r w:rsidR="002C13F5" w:rsidRPr="008B2CBF">
        <w:t>s</w:t>
      </w:r>
      <w:r w:rsidR="00A374CA" w:rsidRPr="008B2CBF">
        <w:t xml:space="preserve"> the production of</w:t>
      </w:r>
      <w:r w:rsidR="00FA0BFB" w:rsidRPr="008B2CBF">
        <w:t xml:space="preserve"> pure, homogeneous</w:t>
      </w:r>
      <w:r w:rsidR="002C13F5" w:rsidRPr="008B2CBF">
        <w:t>,</w:t>
      </w:r>
      <w:r w:rsidR="00FA0BFB" w:rsidRPr="008B2CBF">
        <w:t xml:space="preserve"> and well-crystallized powders</w:t>
      </w:r>
      <w:r w:rsidR="006E5E74" w:rsidRPr="008B2CBF">
        <w:t xml:space="preserve"> </w:t>
      </w:r>
      <w:r w:rsidR="006E5E74" w:rsidRPr="008B2CBF">
        <w:fldChar w:fldCharType="begin"/>
      </w:r>
      <w:r w:rsidR="004963D0">
        <w:instrText xml:space="preserve"> ADDIN ZOTERO_ITEM CSL_CITATION {"citationID":"eDZ3PpAr","properties":{"unsorted":true,"formattedCitation":"[24\\uc0\\u8211{}26]","plainCitation":"[24–26]","noteIndex":0},"citationItems":[{"id":543,"uris":["http://zotero.org/users/14336916/items/AGJ2R2FS"],"itemData":{"id":543,"type":"article-journal","abstract":"Abstract\n            \n              The sluggish Li‐ion diffusivity in LiFePO\n              4\n              , a famous cathode material, relies heavily on the employment of a broad spectrum of modifications to accelerate the slow kinetics, including size and orientation control, coating with electron‐conducting layer, aliovalent ion doping, and defect control. These strategies are generally implemented by employing the hydrothermal/solvothermal synthesis, as reflected by the hundreds of publications on hydrothermal/solvothermal synthesis in recent years. However, LiFePO\n              4\n              is far from the level of controllable preparation, due to the lack of the understanding of the relations between the synthesis condition and the nucleation‐and‐growth of LiFePO\n              4\n              . In this paper, the recent progress in controlled hydrothermal/solvothermal synthesis of LiFePO\n              4\n              is first summarized, before an insight into the relations between the synthesis condition and the nucleation‐and‐growth of LiFePO\n              4\n              is obtained. Thereafter, a review over surface decoration, lattice substitution, and defect control is provided. Moreover, new research directions and future trends are also discussed.","container-title":"Small Methods","DOI":"10.1002/smtd.202100193","ISSN":"2366-9608, 2366-9608","issue":"6","journalAbbreviation":"Small Methods","language":"en","page":"2100193","source":"DOI.org (Crossref)","title":"Controlled Hydrothermal/Solvothermal Synthesis of High‐Performance LiFePO &lt;sub&gt;4&lt;/sub&gt; for Li‐Ion Batteries","volume":"5","author":[{"family":"Li","given":"Zhaojin"},{"family":"Yang","given":"Jinxing"},{"family":"Guang","given":"Tianjia"},{"family":"Fan","given":"Bingbing"},{"family":"Zhu","given":"Kongjun"},{"family":"Wang","given":"Xiaohui"}],"issued":{"date-parts":[["2021",6]]}}},{"id":545,"uris":["http://zotero.org/users/14336916/items/TNUWIQGZ"],"itemData":{"id":545,"type":"article-journal","abstract":"Large amounts of titanium white waste are generated in the production of titanium dioxide using sulphate method, which in turn can be used to prepare LiFePO4 cathode material, thereby reducing environmental risks and achieving resource recovery. However, a key challenge lies in the elimination of impurities. In this work, a cost-efficient and straightforward approach based on phase transformation during hydrothermal treatment was proposed to utilize titanium white waste with calcium dihydrogen phosphate for the preparation of LiFePO4 cathode material. The content of Fe in the leachate was enriched to 81.5 g/L after purification, while 99.9 % of Ti and 98.36 % of Al and were successfully removed. In the subsequent process for Fe/P mother liquor preparation, the losses of Fe and P were only 5.82 % and 2.81 %, respectively. The Fe and P contents of the synthesized FePO4 product were 29.47 % and 17.08 %, respectively, and the Fe/P molar ratio was 0.986. Crystal phase of the product matched well with standard iron phosphate, and the lamellar microstructure of FePO4 was uniform with the particle size ranging from 3 to 5 μm. Moreover, the contents of impurities in the product were far below the standard. The initial discharge of LiFePO4 synthesized by the iron phosphate was 160.6 mAh.g−1 at 0.1C and maintained good reversible capacity after 100 cycles. This work may provide new strategy for preparing LiFePO4 cathode material from industrial solid waste.","container-title":"Waste Management","DOI":"10.1016/j.wasman.2023.12.019","ISSN":"0956-053X","journalAbbreviation":"Waste Management","page":"362-370","source":"ScienceDirect","title":"Clean and efficient synthesis of LiFePO4 cathode material using titanium white waste and calcium dihydrogen phosphate","volume":"174","author":[{"family":"Lei","given":"Qingyuan"},{"family":"Zhou","given":"Kanggen"},{"family":"Zhang","given":"Xuekai"},{"family":"Salih","given":"Khalid A. M."},{"family":"Peng","given":"Changhong"},{"family":"He","given":"Dewen"},{"family":"Chen","given":"Wei"}],"issued":{"date-parts":[["2024",2,15]]}},"label":"page"},{"id":546,"uris":["http://zotero.org/users/14336916/items/ZPPCN4R5"],"itemData":{"id":546,"type":"article-journal","abstract":"The problems of enhancing tap density and electrochemical performance of LiFePO4/C were studied when FePO4 was prepared by in-situ polymerization-precipitation method and LiFePO4/C was prepared by carbothermal reduction method. The morphology of LiFePO4/C can be controlled by adjusting the preparation conditions of precursor FePO4. Spherical morphology of particles is beneficial to improve the tap density and high rate performance of LiFePO4/C. Although the high compactness of LiFePO4 particles results in high tap density, high compactness of particles is not conducive to improving the electrochemical performance of the materials. Therefore, when improving the compactness of materials to increase their tap density, it is necessary to consider their negative impact on electrochemical performance. The influence of filling effects between different particles on improving the tap density was studied. With LiFePO4/C prepared by in-situ polymeration-coprecipitation method as the first principal particle size, and LiFePO4/C prepared by in-situ polymeration-hydrothermal method as the second principal particle size, when particle size and mass ratios conform to Hudon and Horsfield filling theory, small particles can fill the void formed by the accumulation of large particles. The tap density of LiFePO4 is 1.3649 g cm−3, and the specific capacity is 94.85 mA h g−1 at 5C.","container-title":"Solid State Ionics","DOI":"10.1016/j.ssi.2024.116535","ISSN":"0167-2738","journalAbbreviation":"Solid State Ionics","page":"116535","source":"ScienceDirect","title":"Control and influence of morphology, particle size and structure of LiFePO4 on its properties","volume":"410","author":[{"family":"Yan","given":"Xunshuai"},{"family":"Li","given":"Ying"},{"family":"Li","given":"Caihong"},{"family":"Wang","given":"Hongqiang"},{"family":"Wang","given":"Tengda"},{"family":"Ma","given":"Yihan"},{"family":"Zhang","given":"Shihui"},{"family":"Zhang","given":"Xu"},{"family":"He","given":"Weiyan"}],"issued":{"date-parts":[["2024",7,1]]}}}],"schema":"https://github.com/citation-style-language/schema/raw/master/csl-citation.json"} </w:instrText>
      </w:r>
      <w:r w:rsidR="006E5E74" w:rsidRPr="008B2CBF">
        <w:fldChar w:fldCharType="separate"/>
      </w:r>
      <w:r w:rsidR="004963D0" w:rsidRPr="004963D0">
        <w:t>[24–26]</w:t>
      </w:r>
      <w:r w:rsidR="006E5E74" w:rsidRPr="008B2CBF">
        <w:fldChar w:fldCharType="end"/>
      </w:r>
      <w:r w:rsidR="002C13F5" w:rsidRPr="008B2CBF">
        <w:t xml:space="preserve">, </w:t>
      </w:r>
      <w:r w:rsidR="00FA0BFB" w:rsidRPr="008B2CBF">
        <w:t>while reducing the drawbacks encountered by other synthesis methods, such as the solid</w:t>
      </w:r>
      <w:r w:rsidR="002C13F5" w:rsidRPr="008B2CBF">
        <w:t>-</w:t>
      </w:r>
      <w:r w:rsidR="00FA0BFB" w:rsidRPr="008B2CBF">
        <w:t>state method</w:t>
      </w:r>
      <w:r w:rsidR="002C13F5" w:rsidRPr="008B2CBF">
        <w:t>,</w:t>
      </w:r>
      <w:r w:rsidR="00FA0BFB" w:rsidRPr="008B2CBF">
        <w:t xml:space="preserve"> which presents difficulties in controlling the synthesis parameters. (temperature, particle size, processing time), high energy consumption and environmental consequences due to the use of fossil fuels</w:t>
      </w:r>
      <w:r w:rsidR="00A374CA" w:rsidRPr="008B2CBF">
        <w:t>.</w:t>
      </w:r>
    </w:p>
    <w:p w14:paraId="490896FD" w14:textId="33D35BF2" w:rsidR="00D36958" w:rsidRPr="008B2CBF" w:rsidRDefault="00FA1889" w:rsidP="003C1305">
      <w:pPr>
        <w:pStyle w:val="Paragraph"/>
      </w:pPr>
      <w:r w:rsidRPr="008B2CBF">
        <w:t xml:space="preserve">Multiple precursors are utilized in the synthesis of LFP cathodes, including phosphoric acid, ammonium salts, and lithium/sodium phosphates, among others. </w:t>
      </w:r>
      <w:r w:rsidR="00E56569" w:rsidRPr="008B2CBF">
        <w:t>Fig. 4</w:t>
      </w:r>
      <w:r w:rsidR="00684039" w:rsidRPr="008B2CBF">
        <w:t xml:space="preserve"> </w:t>
      </w:r>
      <w:r w:rsidRPr="008B2CBF">
        <w:t>demonstrates that phosphoric acid is the primary phosphorus precursor employed in the production of LFP cathodes</w:t>
      </w:r>
      <w:r w:rsidR="00201134" w:rsidRPr="008B2CBF">
        <w:t>;</w:t>
      </w:r>
      <w:r w:rsidRPr="008B2CBF">
        <w:t xml:space="preserve"> </w:t>
      </w:r>
      <w:r w:rsidR="00201134" w:rsidRPr="008B2CBF">
        <w:t>this acid</w:t>
      </w:r>
      <w:r w:rsidRPr="008B2CBF">
        <w:t xml:space="preserve"> results from the treatment of beneficiated phosphate with sulfuric acid (</w:t>
      </w:r>
      <w:r w:rsidR="00225500" w:rsidRPr="008B2CBF">
        <w:t>H</w:t>
      </w:r>
      <w:r w:rsidR="00044893" w:rsidRPr="008B2CBF">
        <w:rPr>
          <w:vertAlign w:val="subscript"/>
        </w:rPr>
        <w:t>2</w:t>
      </w:r>
      <w:r w:rsidR="00044893" w:rsidRPr="008B2CBF">
        <w:t>SO</w:t>
      </w:r>
      <w:r w:rsidR="00044893" w:rsidRPr="008B2CBF">
        <w:rPr>
          <w:vertAlign w:val="subscript"/>
        </w:rPr>
        <w:t>4</w:t>
      </w:r>
      <w:r w:rsidRPr="008B2CBF">
        <w:t>).</w:t>
      </w:r>
    </w:p>
    <w:p w14:paraId="6889386B" w14:textId="4CDB0C01" w:rsidR="004B04A1" w:rsidRPr="008B2CBF" w:rsidRDefault="004B04A1" w:rsidP="00D36958">
      <w:pPr>
        <w:pStyle w:val="Paragraph"/>
        <w:jc w:val="center"/>
      </w:pPr>
    </w:p>
    <w:p w14:paraId="48704861" w14:textId="77777777" w:rsidR="002D448B" w:rsidRPr="008B2CBF" w:rsidRDefault="00541DD7" w:rsidP="002D448B">
      <w:pPr>
        <w:pStyle w:val="Paragraph"/>
        <w:keepNext/>
        <w:jc w:val="center"/>
      </w:pPr>
      <w:r w:rsidRPr="008B2CBF">
        <w:rPr>
          <w:noProof/>
        </w:rPr>
        <w:drawing>
          <wp:inline distT="0" distB="0" distL="0" distR="0" wp14:anchorId="0E441F70" wp14:editId="2C37B31F">
            <wp:extent cx="3048000" cy="2153027"/>
            <wp:effectExtent l="19050" t="19050" r="19050" b="19050"/>
            <wp:docPr id="141401647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8993" cy="2160792"/>
                    </a:xfrm>
                    <a:prstGeom prst="rect">
                      <a:avLst/>
                    </a:prstGeom>
                    <a:noFill/>
                    <a:ln w="3175">
                      <a:solidFill>
                        <a:schemeClr val="tx1"/>
                      </a:solidFill>
                    </a:ln>
                  </pic:spPr>
                </pic:pic>
              </a:graphicData>
            </a:graphic>
          </wp:inline>
        </w:drawing>
      </w:r>
    </w:p>
    <w:p w14:paraId="73EEBAB9" w14:textId="31FFD203" w:rsidR="00814942" w:rsidRPr="008B2CBF" w:rsidRDefault="002D448B" w:rsidP="00A60904">
      <w:pPr>
        <w:pStyle w:val="FigureCaption"/>
        <w:spacing w:before="0"/>
        <w:rPr>
          <w:lang w:val="en-GB"/>
        </w:rPr>
      </w:pPr>
      <w:r w:rsidRPr="008B2CBF">
        <w:rPr>
          <w:b/>
          <w:bCs/>
        </w:rPr>
        <w:t xml:space="preserve">FIGURE </w:t>
      </w:r>
      <w:r w:rsidR="00B7144A" w:rsidRPr="008B2CBF">
        <w:rPr>
          <w:b/>
          <w:bCs/>
        </w:rPr>
        <w:t>4</w:t>
      </w:r>
      <w:r w:rsidRPr="008B2CBF">
        <w:rPr>
          <w:b/>
          <w:bCs/>
        </w:rPr>
        <w:t>.</w:t>
      </w:r>
      <w:r w:rsidRPr="008B2CBF">
        <w:rPr>
          <w:lang w:val="en-GB"/>
        </w:rPr>
        <w:t xml:space="preserve"> Phosphorus precursors used to produce LFP cathodes</w:t>
      </w:r>
      <w:r w:rsidR="006B28CE" w:rsidRPr="008B2CBF">
        <w:rPr>
          <w:lang w:val="en-GB"/>
        </w:rPr>
        <w:t xml:space="preserve">, sourced from </w:t>
      </w:r>
      <w:r w:rsidR="00E56569" w:rsidRPr="008B2CBF">
        <w:rPr>
          <w:lang w:val="en-GB"/>
        </w:rPr>
        <w:t>the Scopus</w:t>
      </w:r>
      <w:r w:rsidR="006B28CE" w:rsidRPr="008B2CBF">
        <w:rPr>
          <w:lang w:val="en-GB"/>
        </w:rPr>
        <w:t xml:space="preserve"> database using the following </w:t>
      </w:r>
      <w:r w:rsidR="00E56569" w:rsidRPr="008B2CBF">
        <w:rPr>
          <w:lang w:val="en-GB"/>
        </w:rPr>
        <w:t>query:</w:t>
      </w:r>
      <w:r w:rsidR="006B28CE" w:rsidRPr="008B2CBF">
        <w:t>(TITLE-ABS-KEY (lithium AND iron AND phosphate</w:t>
      </w:r>
      <w:r w:rsidR="00E56569" w:rsidRPr="008B2CBF">
        <w:t>)</w:t>
      </w:r>
      <w:r w:rsidR="006B28CE" w:rsidRPr="008B2CBF">
        <w:t xml:space="preserve"> OR TITLE-ABS-KEY (</w:t>
      </w:r>
      <w:proofErr w:type="spellStart"/>
      <w:r w:rsidR="006B28CE" w:rsidRPr="008B2CBF">
        <w:t>lfp</w:t>
      </w:r>
      <w:proofErr w:type="spellEnd"/>
      <w:r w:rsidR="006B28CE" w:rsidRPr="008B2CBF">
        <w:t>) OR TITLE-ABS-KEY (LiFePO4) AND TITLE-ABS-KEY (hydro-thermal) OR TITLE-ABS-KEY (hydrothermal) AND TITLE-ABS-KEY (lithium AND ion)) AND PUBYEAR &gt; 2014 AND PUBYEAR &lt; 2025,</w:t>
      </w:r>
    </w:p>
    <w:p w14:paraId="10760904" w14:textId="2038B86F" w:rsidR="00814942" w:rsidRPr="008B2CBF" w:rsidRDefault="00814942" w:rsidP="00814942">
      <w:pPr>
        <w:pStyle w:val="Titre2"/>
      </w:pPr>
      <w:r w:rsidRPr="008B2CBF">
        <w:t>Moroccan reserves and refining processes:</w:t>
      </w:r>
    </w:p>
    <w:p w14:paraId="44D2DE4E" w14:textId="535E97FA" w:rsidR="00287ED2" w:rsidRPr="008B2CBF" w:rsidRDefault="00632979" w:rsidP="00012843">
      <w:pPr>
        <w:pStyle w:val="Paragraph"/>
      </w:pPr>
      <w:r w:rsidRPr="008B2CBF">
        <w:t xml:space="preserve">Morocco is a major player in the worldwide phosphate industry. The country has the largest phosphate deposits and has produced </w:t>
      </w:r>
      <w:r w:rsidR="0041688F" w:rsidRPr="008B2CBF">
        <w:t>well over</w:t>
      </w:r>
      <w:r w:rsidRPr="008B2CBF">
        <w:t xml:space="preserve"> 30 million metric tons per year </w:t>
      </w:r>
      <w:r w:rsidR="00051722" w:rsidRPr="008B2CBF">
        <w:fldChar w:fldCharType="begin"/>
      </w:r>
      <w:r w:rsidR="00012843">
        <w:instrText xml:space="preserve"> ADDIN ZOTERO_ITEM CSL_CITATION {"citationID":"EmlvzkUf","properties":{"formattedCitation":"[22]","plainCitation":"[22]","noteIndex":0},"citationItems":[{"id":1554,"uris":["http://zotero.org/users/14336916/items/Z6XYI982"],"itemData":{"id":1554,"type":"article-journal","abstract":"Electric Vehicles (EVs) are a viable option for achieving carbon neutrality in the transportation sector. A key component of this alternative, lithium-ion batteries (LIB), contributes to developing sustainable and energyefficient vehicles. Recognising the significance of mineral raw materials for a sustainable LIB supply chain, leading countries have established policies and initiatives to enhance their autonomous sourcing of these critical components. This article examines, for the first time, the Moroccan resources and policies concerning these vital minerals, highlighting the opportunities and challenges in building a robust mining supply chain to support local LIB production. A rigorous examination of prior works has pinpointed the key vital minerals used in LIB, fol­ lowed by a discussion on Morocco’s potential regarding these critical minerals. Morocco benefits from political stability and possesses significant reserves and production capacity for battery raw materials, including 30 million metric tonnes of phosphates, 1.5 million metric tonnes of manganese, 45 million metric tonnes of cobalt and nickel, 5 million metric tonnes of copper, and further prospective deposits of iron, lithium, and graphite. The findings indicate that although the country’s resource wealth and political stability offer a strong foundation, it is necessary to improve mineral exploration and production levels of these critical minerals, as well as to valorise these reserves, which are currently being exported in their raw or intermediate forms without substantial additional value for the nation. The present study establishes a foundation for sustainable electric mobility through the development of a local industrial ecosystem for LIB.","container-title":"Sustainable Energy Technologies and Assessments","DOI":"10.1016/j.seta.2025.104245","ISSN":"22131388","journalAbbreviation":"Sustainable Energy Technologies and Assessments","language":"en","page":"104245","source":"DOI.org (Crossref)","title":"Toward carbon–neutral transportation: Harnessing Morocco’s critical minerals for sustainable lithium-ion batteries","title-short":"Toward carbon–neutral transportation","volume":"75","author":[{"family":"Azerblou","given":"Said"},{"family":"Oubah","given":"Redouane"},{"family":"Ouachtouk","given":"Hamza"},{"family":"Tace","given":"Elmostafa"}],"issued":{"date-parts":[["2025",3]]}}}],"schema":"https://github.com/citation-style-language/schema/raw/master/csl-citation.json"} </w:instrText>
      </w:r>
      <w:r w:rsidR="00051722" w:rsidRPr="008B2CBF">
        <w:fldChar w:fldCharType="separate"/>
      </w:r>
      <w:r w:rsidR="00012843" w:rsidRPr="00012843">
        <w:t>[22]</w:t>
      </w:r>
      <w:r w:rsidR="00051722" w:rsidRPr="008B2CBF">
        <w:fldChar w:fldCharType="end"/>
      </w:r>
      <w:r w:rsidR="00774AB6" w:rsidRPr="008B2CBF">
        <w:t xml:space="preserve">. </w:t>
      </w:r>
      <w:r w:rsidR="0041688F" w:rsidRPr="008B2CBF">
        <w:t>Figs. 5-a</w:t>
      </w:r>
      <w:r w:rsidR="00723205" w:rsidRPr="008B2CBF">
        <w:t xml:space="preserve"> and 5-b </w:t>
      </w:r>
      <w:r w:rsidR="006C7DF1" w:rsidRPr="008B2CBF">
        <w:t>display</w:t>
      </w:r>
      <w:r w:rsidR="00723205" w:rsidRPr="008B2CBF">
        <w:t xml:space="preserve"> the </w:t>
      </w:r>
      <w:r w:rsidR="000D6DA6" w:rsidRPr="008B2CBF">
        <w:t>resources</w:t>
      </w:r>
      <w:r w:rsidR="00723205" w:rsidRPr="008B2CBF">
        <w:t xml:space="preserve"> and production of phosphate rock in Morocco, respectively.</w:t>
      </w:r>
      <w:r w:rsidR="00774AB6" w:rsidRPr="008B2CBF">
        <w:t xml:space="preserve"> </w:t>
      </w:r>
      <w:r w:rsidR="00F04F95" w:rsidRPr="008B2CBF">
        <w:t>The Moroccan phosph</w:t>
      </w:r>
      <w:r w:rsidR="000D6DA6" w:rsidRPr="008B2CBF">
        <w:t>orus</w:t>
      </w:r>
      <w:r w:rsidR="00F04F95" w:rsidRPr="008B2CBF">
        <w:t xml:space="preserve"> re</w:t>
      </w:r>
      <w:r w:rsidR="000D6DA6" w:rsidRPr="008B2CBF">
        <w:t>serves</w:t>
      </w:r>
      <w:r w:rsidR="00F04F95" w:rsidRPr="008B2CBF">
        <w:t xml:space="preserve"> include four production sites: </w:t>
      </w:r>
      <w:proofErr w:type="spellStart"/>
      <w:r w:rsidR="00F04F95" w:rsidRPr="008B2CBF">
        <w:t>Khouribga</w:t>
      </w:r>
      <w:proofErr w:type="spellEnd"/>
      <w:r w:rsidR="00F04F95" w:rsidRPr="008B2CBF">
        <w:t xml:space="preserve">, </w:t>
      </w:r>
      <w:proofErr w:type="spellStart"/>
      <w:r w:rsidR="00F04F95" w:rsidRPr="008B2CBF">
        <w:t>Benguerir</w:t>
      </w:r>
      <w:proofErr w:type="spellEnd"/>
      <w:r w:rsidR="00F04F95" w:rsidRPr="008B2CBF">
        <w:t xml:space="preserve">, </w:t>
      </w:r>
      <w:proofErr w:type="spellStart"/>
      <w:r w:rsidR="00F04F95" w:rsidRPr="008B2CBF">
        <w:t>Youssoufia</w:t>
      </w:r>
      <w:proofErr w:type="spellEnd"/>
      <w:r w:rsidR="00F04F95" w:rsidRPr="008B2CBF">
        <w:t xml:space="preserve">, and </w:t>
      </w:r>
      <w:proofErr w:type="spellStart"/>
      <w:r w:rsidR="00F04F95" w:rsidRPr="008B2CBF">
        <w:t>Boucraa</w:t>
      </w:r>
      <w:proofErr w:type="spellEnd"/>
      <w:r w:rsidR="00F04F95" w:rsidRPr="008B2CBF">
        <w:t xml:space="preserve">, along with one project development site. The locations are shown </w:t>
      </w:r>
      <w:r w:rsidR="00D5244A" w:rsidRPr="008B2CBF">
        <w:t>in</w:t>
      </w:r>
      <w:r w:rsidR="00F04F95" w:rsidRPr="008B2CBF">
        <w:t xml:space="preserve"> </w:t>
      </w:r>
      <w:r w:rsidR="0041688F" w:rsidRPr="008B2CBF">
        <w:t>Fig. 6.</w:t>
      </w:r>
    </w:p>
    <w:p w14:paraId="6C3A9B1D" w14:textId="77777777" w:rsidR="0044589A" w:rsidRPr="008B2CBF" w:rsidRDefault="00956E21" w:rsidP="00A60904">
      <w:pPr>
        <w:pStyle w:val="NormalWeb"/>
        <w:keepNext/>
        <w:spacing w:after="0" w:afterAutospacing="0"/>
        <w:jc w:val="center"/>
      </w:pPr>
      <w:r w:rsidRPr="008B2CBF">
        <w:rPr>
          <w:noProof/>
        </w:rPr>
        <w:lastRenderedPageBreak/>
        <w:drawing>
          <wp:inline distT="0" distB="0" distL="0" distR="0" wp14:anchorId="39F40646" wp14:editId="3764D295">
            <wp:extent cx="5715988" cy="2289362"/>
            <wp:effectExtent l="19050" t="19050" r="18415" b="15875"/>
            <wp:docPr id="1563536155" name="Image 8" descr="Une image contenant texte, cercl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36155" name="Image 8" descr="Une image contenant texte, cercle, capture d’écran, Police&#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7832" cy="2310127"/>
                    </a:xfrm>
                    <a:prstGeom prst="rect">
                      <a:avLst/>
                    </a:prstGeom>
                    <a:noFill/>
                    <a:ln w="3175">
                      <a:solidFill>
                        <a:schemeClr val="tx1"/>
                      </a:solidFill>
                    </a:ln>
                  </pic:spPr>
                </pic:pic>
              </a:graphicData>
            </a:graphic>
          </wp:inline>
        </w:drawing>
      </w:r>
    </w:p>
    <w:p w14:paraId="17BE858D" w14:textId="761A8448" w:rsidR="00EE6A78" w:rsidRPr="008B2CBF" w:rsidRDefault="0022230C" w:rsidP="00012843">
      <w:pPr>
        <w:pStyle w:val="FigureCaption"/>
        <w:spacing w:before="0"/>
        <w:rPr>
          <w:lang w:val="en-GB"/>
        </w:rPr>
      </w:pPr>
      <w:r w:rsidRPr="008B2CBF">
        <w:rPr>
          <w:b/>
          <w:bCs/>
        </w:rPr>
        <w:t>FIGURE</w:t>
      </w:r>
      <w:r w:rsidR="00E45744" w:rsidRPr="008B2CBF">
        <w:rPr>
          <w:b/>
          <w:bCs/>
        </w:rPr>
        <w:t xml:space="preserve"> </w:t>
      </w:r>
      <w:r w:rsidR="00B7144A" w:rsidRPr="008B2CBF">
        <w:rPr>
          <w:b/>
          <w:bCs/>
        </w:rPr>
        <w:t>5</w:t>
      </w:r>
      <w:r w:rsidR="00E45744" w:rsidRPr="008B2CBF">
        <w:rPr>
          <w:b/>
          <w:bCs/>
        </w:rPr>
        <w:t>.</w:t>
      </w:r>
      <w:r w:rsidR="0044589A" w:rsidRPr="008B2CBF">
        <w:rPr>
          <w:lang w:val="en-GB"/>
        </w:rPr>
        <w:t xml:space="preserve"> a</w:t>
      </w:r>
      <w:r w:rsidR="00BE2700" w:rsidRPr="008B2CBF">
        <w:rPr>
          <w:lang w:val="en-GB"/>
        </w:rPr>
        <w:t xml:space="preserve">) </w:t>
      </w:r>
      <w:r w:rsidR="0044589A" w:rsidRPr="008B2CBF">
        <w:rPr>
          <w:lang w:val="en-GB"/>
        </w:rPr>
        <w:t>Global phosphate production, b</w:t>
      </w:r>
      <w:r w:rsidR="00BE2700" w:rsidRPr="008B2CBF">
        <w:rPr>
          <w:lang w:val="en-GB"/>
        </w:rPr>
        <w:t xml:space="preserve">) </w:t>
      </w:r>
      <w:r w:rsidRPr="008B2CBF">
        <w:rPr>
          <w:lang w:val="en-GB"/>
        </w:rPr>
        <w:t>phosphate production share in the world</w:t>
      </w:r>
      <w:r w:rsidR="00EC003C" w:rsidRPr="008B2CBF">
        <w:rPr>
          <w:lang w:val="en-GB"/>
        </w:rPr>
        <w:t xml:space="preserve"> (data from </w:t>
      </w:r>
      <w:r w:rsidR="00EC003C" w:rsidRPr="008B2CBF">
        <w:rPr>
          <w:lang w:val="en-GB"/>
        </w:rPr>
        <w:fldChar w:fldCharType="begin"/>
      </w:r>
      <w:r w:rsidR="00012843">
        <w:rPr>
          <w:lang w:val="en-GB"/>
        </w:rPr>
        <w:instrText xml:space="preserve"> ADDIN ZOTERO_ITEM CSL_CITATION {"citationID":"D5HQbyxe","properties":{"formattedCitation":"[22]","plainCitation":"[22]","noteIndex":0},"citationItems":[{"id":1554,"uris":["http://zotero.org/users/14336916/items/Z6XYI982"],"itemData":{"id":1554,"type":"article-journal","abstract":"Electric Vehicles (EVs) are a viable option for achieving carbon neutrality in the transportation sector. A key component of this alternative, lithium-ion batteries (LIB), contributes to developing sustainable and energyefficient vehicles. Recognising the significance of mineral raw materials for a sustainable LIB supply chain, leading countries have established policies and initiatives to enhance their autonomous sourcing of these critical components. This article examines, for the first time, the Moroccan resources and policies concerning these vital minerals, highlighting the opportunities and challenges in building a robust mining supply chain to support local LIB production. A rigorous examination of prior works has pinpointed the key vital minerals used in LIB, fol­ lowed by a discussion on Morocco’s potential regarding these critical minerals. Morocco benefits from political stability and possesses significant reserves and production capacity for battery raw materials, including 30 million metric tonnes of phosphates, 1.5 million metric tonnes of manganese, 45 million metric tonnes of cobalt and nickel, 5 million metric tonnes of copper, and further prospective deposits of iron, lithium, and graphite. The findings indicate that although the country’s resource wealth and political stability offer a strong foundation, it is necessary to improve mineral exploration and production levels of these critical minerals, as well as to valorise these reserves, which are currently being exported in their raw or intermediate forms without substantial additional value for the nation. The present study establishes a foundation for sustainable electric mobility through the development of a local industrial ecosystem for LIB.","container-title":"Sustainable Energy Technologies and Assessments","DOI":"10.1016/j.seta.2025.104245","ISSN":"22131388","journalAbbreviation":"Sustainable Energy Technologies and Assessments","language":"en","page":"104245","source":"DOI.org (Crossref)","title":"Toward carbon–neutral transportation: Harnessing Morocco’s critical minerals for sustainable lithium-ion batteries","title-short":"Toward carbon–neutral transportation","volume":"75","author":[{"family":"Azerblou","given":"Said"},{"family":"Oubah","given":"Redouane"},{"family":"Ouachtouk","given":"Hamza"},{"family":"Tace","given":"Elmostafa"}],"issued":{"date-parts":[["2025",3]]}}}],"schema":"https://github.com/citation-style-language/schema/raw/master/csl-citation.json"} </w:instrText>
      </w:r>
      <w:r w:rsidR="00EC003C" w:rsidRPr="008B2CBF">
        <w:rPr>
          <w:lang w:val="en-GB"/>
        </w:rPr>
        <w:fldChar w:fldCharType="separate"/>
      </w:r>
      <w:r w:rsidR="00012843" w:rsidRPr="00012843">
        <w:t>[22]</w:t>
      </w:r>
      <w:r w:rsidR="00EC003C" w:rsidRPr="008B2CBF">
        <w:rPr>
          <w:lang w:val="en-GB"/>
        </w:rPr>
        <w:fldChar w:fldCharType="end"/>
      </w:r>
      <w:r w:rsidR="00260A4A" w:rsidRPr="008B2CBF">
        <w:rPr>
          <w:lang w:val="en-GB"/>
        </w:rPr>
        <w:t>)</w:t>
      </w:r>
    </w:p>
    <w:p w14:paraId="27B8E295" w14:textId="77777777" w:rsidR="0033340E" w:rsidRPr="008B2CBF" w:rsidRDefault="00F1540E" w:rsidP="00A60904">
      <w:pPr>
        <w:pStyle w:val="NormalWeb"/>
        <w:keepNext/>
        <w:spacing w:after="0" w:afterAutospacing="0"/>
        <w:jc w:val="center"/>
      </w:pPr>
      <w:r w:rsidRPr="008B2CBF">
        <w:rPr>
          <w:noProof/>
        </w:rPr>
        <w:drawing>
          <wp:inline distT="0" distB="0" distL="0" distR="0" wp14:anchorId="57AF2A35" wp14:editId="7560A956">
            <wp:extent cx="4238625" cy="3178063"/>
            <wp:effectExtent l="19050" t="19050" r="9525" b="22860"/>
            <wp:docPr id="1191894541" name="Image 9" descr="Une image contenant texte, carte,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94541" name="Image 9" descr="Une image contenant texte, carte, diagramme, Police&#10;&#10;Le contenu généré par l’IA peut êtr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8167" cy="3185217"/>
                    </a:xfrm>
                    <a:prstGeom prst="rect">
                      <a:avLst/>
                    </a:prstGeom>
                    <a:noFill/>
                    <a:ln w="6350">
                      <a:solidFill>
                        <a:schemeClr val="tx1"/>
                      </a:solidFill>
                    </a:ln>
                  </pic:spPr>
                </pic:pic>
              </a:graphicData>
            </a:graphic>
          </wp:inline>
        </w:drawing>
      </w:r>
    </w:p>
    <w:p w14:paraId="20D71E75" w14:textId="2C981AB0" w:rsidR="00F3209F" w:rsidRPr="008B2CBF" w:rsidRDefault="0033340E" w:rsidP="00A60904">
      <w:pPr>
        <w:pStyle w:val="FigureCaption"/>
        <w:spacing w:before="0"/>
        <w:rPr>
          <w:lang w:val="en-GB" w:eastAsia="fr-FR"/>
        </w:rPr>
      </w:pPr>
      <w:r w:rsidRPr="008B2CBF">
        <w:rPr>
          <w:b/>
          <w:bCs/>
        </w:rPr>
        <w:t xml:space="preserve">FIGURE </w:t>
      </w:r>
      <w:r w:rsidR="00B7144A" w:rsidRPr="008B2CBF">
        <w:rPr>
          <w:b/>
          <w:bCs/>
        </w:rPr>
        <w:t>6</w:t>
      </w:r>
      <w:r w:rsidRPr="008B2CBF">
        <w:rPr>
          <w:b/>
          <w:bCs/>
        </w:rPr>
        <w:t>.</w:t>
      </w:r>
      <w:r w:rsidRPr="008B2CBF">
        <w:rPr>
          <w:lang w:val="en-GB"/>
        </w:rPr>
        <w:t xml:space="preserve"> Phosphate production and project development sites in Morocco</w:t>
      </w:r>
    </w:p>
    <w:p w14:paraId="0F7EF27A" w14:textId="77777777" w:rsidR="0033340E" w:rsidRPr="008B2CBF" w:rsidRDefault="0033340E" w:rsidP="00400A1A">
      <w:pPr>
        <w:pStyle w:val="Paragraph"/>
        <w:rPr>
          <w:rFonts w:eastAsiaTheme="minorHAnsi"/>
        </w:rPr>
      </w:pPr>
    </w:p>
    <w:p w14:paraId="3E714E12" w14:textId="1E35DF34" w:rsidR="009F179D" w:rsidRPr="008B2CBF" w:rsidRDefault="009F179D" w:rsidP="00044893">
      <w:pPr>
        <w:pStyle w:val="Paragraph"/>
        <w:ind w:firstLine="0"/>
        <w:rPr>
          <w:rFonts w:eastAsiaTheme="minorHAnsi"/>
        </w:rPr>
      </w:pPr>
      <w:r w:rsidRPr="008B2CBF">
        <w:rPr>
          <w:rFonts w:eastAsiaTheme="minorHAnsi"/>
        </w:rPr>
        <w:t xml:space="preserve">The most exploited technique for producing phosphoric acid is the wet process (known as WPPA: Wet Process Phosphoric Acid), which uses </w:t>
      </w:r>
      <w:r w:rsidR="0019382D" w:rsidRPr="008B2CBF">
        <w:rPr>
          <w:rFonts w:eastAsiaTheme="minorHAnsi"/>
        </w:rPr>
        <w:t>sulfuric</w:t>
      </w:r>
      <w:r w:rsidRPr="008B2CBF">
        <w:rPr>
          <w:rFonts w:eastAsiaTheme="minorHAnsi"/>
        </w:rPr>
        <w:t xml:space="preserve"> acid (</w:t>
      </w:r>
      <w:r w:rsidR="00044893" w:rsidRPr="008B2CBF">
        <w:rPr>
          <w:rFonts w:eastAsiaTheme="minorHAnsi"/>
        </w:rPr>
        <w:t>H</w:t>
      </w:r>
      <w:r w:rsidR="00044893" w:rsidRPr="008B2CBF">
        <w:rPr>
          <w:rFonts w:eastAsiaTheme="minorHAnsi"/>
          <w:vertAlign w:val="subscript"/>
        </w:rPr>
        <w:t>2</w:t>
      </w:r>
      <w:r w:rsidR="00044893" w:rsidRPr="008B2CBF">
        <w:rPr>
          <w:rFonts w:eastAsiaTheme="minorHAnsi"/>
        </w:rPr>
        <w:t>SO</w:t>
      </w:r>
      <w:r w:rsidR="00044893" w:rsidRPr="008B2CBF">
        <w:rPr>
          <w:rFonts w:eastAsiaTheme="minorHAnsi"/>
          <w:vertAlign w:val="subscript"/>
        </w:rPr>
        <w:t>4</w:t>
      </w:r>
      <w:r w:rsidR="00044893" w:rsidRPr="008B2CBF">
        <w:rPr>
          <w:rFonts w:eastAsiaTheme="minorHAnsi"/>
        </w:rPr>
        <w:t>)</w:t>
      </w:r>
      <w:r w:rsidRPr="008B2CBF">
        <w:rPr>
          <w:rFonts w:eastAsiaTheme="minorHAnsi"/>
        </w:rPr>
        <w:t xml:space="preserve"> to acidulate phosphate rocks. As seen in </w:t>
      </w:r>
      <w:r w:rsidR="0041688F" w:rsidRPr="008B2CBF">
        <w:t>Fig. 7,</w:t>
      </w:r>
      <w:r w:rsidRPr="008B2CBF">
        <w:rPr>
          <w:rFonts w:eastAsiaTheme="minorHAnsi"/>
        </w:rPr>
        <w:t xml:space="preserve"> </w:t>
      </w:r>
      <w:r w:rsidR="0019382D" w:rsidRPr="008B2CBF">
        <w:rPr>
          <w:rFonts w:eastAsiaTheme="minorHAnsi"/>
        </w:rPr>
        <w:t>the</w:t>
      </w:r>
      <w:r w:rsidRPr="008B2CBF">
        <w:rPr>
          <w:rFonts w:eastAsiaTheme="minorHAnsi"/>
        </w:rPr>
        <w:t xml:space="preserve"> wet method involves the </w:t>
      </w:r>
      <w:r w:rsidR="0019382D" w:rsidRPr="008B2CBF">
        <w:rPr>
          <w:rFonts w:eastAsiaTheme="minorHAnsi"/>
        </w:rPr>
        <w:t>sulfuric</w:t>
      </w:r>
      <w:r w:rsidRPr="008B2CBF">
        <w:rPr>
          <w:rFonts w:eastAsiaTheme="minorHAnsi"/>
        </w:rPr>
        <w:t xml:space="preserve"> attack of phosphate rock in a reactor and the filtering of the generated gypsum (</w:t>
      </w:r>
      <w:r w:rsidR="00044893" w:rsidRPr="008B2CBF">
        <w:rPr>
          <w:rFonts w:eastAsiaTheme="minorHAnsi"/>
        </w:rPr>
        <w:t>CaSO</w:t>
      </w:r>
      <w:r w:rsidR="00044893" w:rsidRPr="008B2CBF">
        <w:rPr>
          <w:rFonts w:eastAsiaTheme="minorHAnsi"/>
          <w:vertAlign w:val="subscript"/>
        </w:rPr>
        <w:t>4</w:t>
      </w:r>
      <w:r w:rsidR="0019382D" w:rsidRPr="008B2CBF">
        <w:rPr>
          <w:rFonts w:eastAsiaTheme="minorHAnsi"/>
        </w:rPr>
        <w:t>).</w:t>
      </w:r>
      <w:r w:rsidRPr="008B2CBF">
        <w:rPr>
          <w:rFonts w:eastAsiaTheme="minorHAnsi"/>
        </w:rPr>
        <w:t xml:space="preserve"> </w:t>
      </w:r>
      <w:r w:rsidR="006955A8" w:rsidRPr="008B2CBF">
        <w:rPr>
          <w:rFonts w:eastAsiaTheme="minorHAnsi"/>
        </w:rPr>
        <w:t>Finally</w:t>
      </w:r>
      <w:r w:rsidRPr="008B2CBF">
        <w:rPr>
          <w:rFonts w:eastAsiaTheme="minorHAnsi"/>
        </w:rPr>
        <w:t>, water is removed by the evaporation process, and the obtained</w:t>
      </w:r>
      <w:r w:rsidRPr="008B2CBF">
        <w:rPr>
          <w:rStyle w:val="CitationintenseCar"/>
          <w:rFonts w:asciiTheme="majorBidi" w:hAnsiTheme="majorBidi" w:cstheme="majorBidi"/>
          <w:color w:val="auto"/>
          <w:sz w:val="24"/>
          <w:szCs w:val="24"/>
        </w:rPr>
        <w:t xml:space="preserve"> </w:t>
      </w:r>
      <w:r w:rsidRPr="008B2CBF">
        <w:rPr>
          <w:rFonts w:eastAsiaTheme="minorHAnsi"/>
        </w:rPr>
        <w:t xml:space="preserve">product is called </w:t>
      </w:r>
      <w:r w:rsidRPr="008B2CBF">
        <w:t xml:space="preserve">merchant-grade acid (MGA) that contains 52-55% </w:t>
      </w:r>
      <w:r w:rsidR="00044893" w:rsidRPr="008B2CBF">
        <w:t>P</w:t>
      </w:r>
      <w:r w:rsidR="00044893" w:rsidRPr="008B2CBF">
        <w:rPr>
          <w:vertAlign w:val="subscript"/>
        </w:rPr>
        <w:t>2</w:t>
      </w:r>
      <w:r w:rsidR="00044893" w:rsidRPr="008B2CBF">
        <w:t>O</w:t>
      </w:r>
      <w:r w:rsidR="00044893" w:rsidRPr="008B2CBF">
        <w:rPr>
          <w:vertAlign w:val="subscript"/>
        </w:rPr>
        <w:t xml:space="preserve">5 </w:t>
      </w:r>
      <w:r w:rsidRPr="008B2CBF">
        <w:rPr>
          <w:rFonts w:eastAsiaTheme="minorHAnsi"/>
        </w:rPr>
        <w:fldChar w:fldCharType="begin"/>
      </w:r>
      <w:r w:rsidR="00012843">
        <w:rPr>
          <w:rFonts w:eastAsiaTheme="minorHAnsi"/>
        </w:rPr>
        <w:instrText xml:space="preserve"> ADDIN ZOTERO_ITEM CSL_CITATION {"citationID":"AJVwyHjH","properties":{"formattedCitation":"[27\\uc0\\u8211{}29]","plainCitation":"[27–29]","noteIndex":0},"citationItems":[{"id":167,"uris":["http://zotero.org/users/14336916/items/CRF85HMP"],"itemData":{"id":167,"type":"chapter","abstract":"The demand of phosphate fertilizers is growing as a result of a rising population, changing human diets resulting in the increasing (meat) consumption per capita, and an expansion in the production of biofuels. Besides the fertilizer industry, there is a steady growth of using phosphorus compounds in the chemical industry for applications in, e.g., soft drinks, pharmaceuticals, and flame retardants. To meet this growth, it is important to know if the P reserves are sufficient and what kind of processes are used to produce such phosphorus compounds. Reserves are not equally spread around the world, with three-quarters located in Morocco and The Western Sahara. Prices can be volatile, as shown in 2008 with an eightfold price increase. Moreover, the estimated time till depletion of phosphate rock differs substantially between several studies. Therefore, phosphate rock was added on the critical material list of the European Commission. An important aspect for the processing of phosphate rock is the quality of the rock, which is dependent on the ore type (sedimentary or igneous), level of radioactivity, and hazardous metal contents. The main intermediary compounds for phosphorus products are phosphoric acid and white phosphorus. About 95% of the phosphoric acid is made via the wet process: acidulation of phosphate rock to create wet phosphoric acid and the main by-­ products phosphogypsum and hydrogen fluoride. The purity and thus the reusability of phosphogypsum are dependent on the type of digestion process. However, at the moment, reusing phosphogypsum is not a common practice. Wet phosphoric acid can be purified via several processes. The most common processes are extraction and precipitation. Via extraction, wet phosphoric acid can be purified up to phosphoric acid comparable to that produced with the thermal process. Separation of specific compounds can be done through precipitation. Additionally, cationic impurities can be removed via precipitation, but the product will then be changed into a phosphate salt, which is unfavorable for its use in industrial applications.","container-title":"Phosphorus Recovery and Recycling","event-place":"Singapore","ISBN":"978-981-10-8030-2","language":"en","note":"DOI: 10.1007/978-981-10-8031-9_5","page":"75-100","publisher":"Springer Singapore","publisher-place":"Singapore","source":"DOI.org (Crossref)","title":"Phosphorus: Reserves, Production, and Applications","title-short":"Phosphorus","URL":"http://link.springer.com/10.1007/978-981-10-8031-9_5","editor":[{"family":"Ohtake","given":"Hisao"},{"family":"Tsuneda","given":"Satoshi"}],"author":[{"family":"De Boer","given":"Marissa A."},{"family":"Wolzak","given":"Lukas"},{"family":"Slootweg","given":"J. Chris"}],"accessed":{"date-parts":[["2024",8,12]]},"issued":{"date-parts":[["2019"]]}}},{"id":165,"uris":["http://zotero.org/users/14336916/items/Q4MRAJ77"],"itemData":{"id":165,"type":"article-journal","abstract":"The wet-process phosphoric acid (WPPA) production is generally based on the use of sulfuric acid (H2SO4) for phosphate ore attack. One of the main issues encountered in this process is related to the uncontrolled formation of mineral deposits at sensitive steps. In the generated complex aqueous systems, the dissolved species and the resulting physicochemical interactions are closely dependent on the variability of both the phosphate rock quality and the operating conditions of the process (40-95 °C; H3PO4 and H2SO4 concentrations up to 20 mol/kg H2O, typically). A collaborative project (CA2PHOS) between OCP and BRGM aims to develop a computational tool dedicated to predict and quantify these mineral deposits in the context of WPPA production. The integrated work presented allows one to gain insight into the understanding of the complex behavior of such systems. It involves specific data such as the activity of water, measured by the hygroscopic method, the density and the chemical composition of the very highly saline aqueous solutions of interest, characteristics of the deposited minerals, and the use of the Pitzer formalism for the thermodynamic modeling of such complex system.","container-title":"Procedia Engineering","DOI":"10.1016/j.proeng.2012.09.447","ISSN":"18777058","journalAbbreviation":"Procedia Engineering","language":"en","license":"https://www.elsevier.com/tdm/userlicense/1.0/","page":"68-75","source":"DOI.org (Crossref)","title":"Thermo-kinetic and Physico-Chemical Modeling of Processes Generating Scaling Problems in Phosphoric Acid and Fertilizers Production Industries","volume":"46","author":[{"family":"Azaroual","given":"Mohamed"},{"family":"Kervevan","given":"Christophe"},{"family":"Lassin","given":"Arnault"},{"family":"André","given":"Laurent"},{"family":"Amalhay","given":"Mohamed"},{"family":"Khamar","given":"Lhachmi"},{"family":"Guendouzi","given":"Mohamed E.L."}],"issued":{"date-parts":[["2012"]]}}},{"id":796,"uris":["http://zotero.org/users/14336916/items/GHNXKWV2"],"itemData":{"id":796,"type":"article-journal","abstract":"Phosphorus is a non-substitutable element required for the storage of genetic information, energy transfer and the structural integrity of biological systems. Agricultural use of phosphorus fertilizers and supplements aims to balance the biological phosphorus stoichiometry, for optimal growth and yield of crops and animals. Most of the commercial phosphorus industry aims to produce phosphates and polyphosphates for fertilizers. However, about 10% of the mineral resources are allocated for non-fertilizer uses via purification of phosphoric acid, or thermal processing of phosphate rock to elemental phosphorus to white phosphorus (P4), which serves as the parent compound for hundreds of phosphorus-containing derivatives with diverse chemistry and practical uses. True P4 derivatives are made only from P4 and include intermediates such as phosphorus pentoxide (P2O5), phosphorus trichloride (PCl3), phosphorus oxychloride (POCl3), phosphorus pentachloride (PCl5), phosphorus pentasulphide (P2S5), phosphines (containing PH3), red P (amorphous elemental P), hypophosphites (H2PO2-) and phosphides (P3-). This review explains the synthesis and applications of these non-fertilizer phosphorus compounds as flame retardants and plastic stabilizers, for metal sequestration and extraction, in catalyst ligands, as electrolytes in batteries, as crop protection agents and as anti-wear substances.","container-title":"Global Phosphorus Institute (GPI)","DOI":"10.26434/chemrxiv-2024-8kw51-v2","language":"en","source":"Cambridge Engage Preprints","title":"Non-fertilizer uses of phosphorus : An overview","URL":"https://chemrxiv.org/engage/chemrxiv/article-details/667255475101a2ffa8eb0ae7","author":[{"family":"Schipper","given":"Willem"}],"accessed":{"date-parts":[["2024",9,5]]},"issued":{"date-parts":[["2024",6,19]]}}}],"schema":"https://github.com/citation-style-language/schema/raw/master/csl-citation.json"} </w:instrText>
      </w:r>
      <w:r w:rsidRPr="008B2CBF">
        <w:rPr>
          <w:rFonts w:eastAsiaTheme="minorHAnsi"/>
        </w:rPr>
        <w:fldChar w:fldCharType="separate"/>
      </w:r>
      <w:r w:rsidR="00012843" w:rsidRPr="00012843">
        <w:t>[27–29]</w:t>
      </w:r>
      <w:r w:rsidRPr="008B2CBF">
        <w:rPr>
          <w:rFonts w:eastAsiaTheme="minorHAnsi"/>
        </w:rPr>
        <w:fldChar w:fldCharType="end"/>
      </w:r>
      <w:r w:rsidRPr="008B2CBF">
        <w:rPr>
          <w:rFonts w:eastAsiaTheme="minorHAnsi"/>
        </w:rPr>
        <w:t>.</w:t>
      </w:r>
    </w:p>
    <w:p w14:paraId="3D7888AE" w14:textId="77777777" w:rsidR="00B712F1" w:rsidRPr="008B2CBF" w:rsidRDefault="00B712F1" w:rsidP="00044893">
      <w:pPr>
        <w:pStyle w:val="Paragraph"/>
        <w:ind w:firstLine="0"/>
        <w:rPr>
          <w:rStyle w:val="CitationintenseCar"/>
          <w:rFonts w:asciiTheme="majorBidi" w:hAnsiTheme="majorBidi" w:cstheme="majorBidi"/>
          <w:i w:val="0"/>
          <w:iCs w:val="0"/>
          <w:color w:val="auto"/>
          <w:sz w:val="24"/>
          <w:szCs w:val="24"/>
        </w:rPr>
      </w:pPr>
    </w:p>
    <w:p w14:paraId="75189916" w14:textId="77777777" w:rsidR="006B10E7" w:rsidRPr="008B2CBF" w:rsidRDefault="001F76C4" w:rsidP="006B10E7">
      <w:pPr>
        <w:pStyle w:val="Paragraph"/>
        <w:keepNext/>
        <w:jc w:val="center"/>
      </w:pPr>
      <w:r w:rsidRPr="008B2CBF">
        <w:rPr>
          <w:noProof/>
        </w:rPr>
        <w:drawing>
          <wp:inline distT="0" distB="0" distL="0" distR="0" wp14:anchorId="0EC29CFF" wp14:editId="14DC64A0">
            <wp:extent cx="4436409" cy="1745853"/>
            <wp:effectExtent l="19050" t="19050" r="21590" b="26035"/>
            <wp:docPr id="1504855514" name="Image 1" descr="Une image contenant texte, capture d’écran, Police, diagramme&#10;&#10;Description générée automatiquement">
              <a:extLst xmlns:a="http://schemas.openxmlformats.org/drawingml/2006/main">
                <a:ext uri="{FF2B5EF4-FFF2-40B4-BE49-F238E27FC236}">
                  <a16:creationId xmlns:a16="http://schemas.microsoft.com/office/drawing/2014/main" id="{8B1AE4F3-6D54-BB11-AC2A-1D08ACB25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capture d’écran, Police, diagramme&#10;&#10;Description générée automatiquement">
                      <a:extLst>
                        <a:ext uri="{FF2B5EF4-FFF2-40B4-BE49-F238E27FC236}">
                          <a16:creationId xmlns:a16="http://schemas.microsoft.com/office/drawing/2014/main" id="{8B1AE4F3-6D54-BB11-AC2A-1D08ACB258C6}"/>
                        </a:ext>
                      </a:extLst>
                    </pic:cNvPr>
                    <pic:cNvPicPr>
                      <a:picLocks noChangeAspect="1"/>
                    </pic:cNvPicPr>
                  </pic:nvPicPr>
                  <pic:blipFill>
                    <a:blip r:embed="rId19"/>
                    <a:stretch>
                      <a:fillRect/>
                    </a:stretch>
                  </pic:blipFill>
                  <pic:spPr>
                    <a:xfrm>
                      <a:off x="0" y="0"/>
                      <a:ext cx="4496682" cy="1769572"/>
                    </a:xfrm>
                    <a:prstGeom prst="rect">
                      <a:avLst/>
                    </a:prstGeom>
                    <a:ln w="3175">
                      <a:solidFill>
                        <a:schemeClr val="tx1"/>
                      </a:solidFill>
                    </a:ln>
                  </pic:spPr>
                </pic:pic>
              </a:graphicData>
            </a:graphic>
          </wp:inline>
        </w:drawing>
      </w:r>
    </w:p>
    <w:p w14:paraId="5971D925" w14:textId="2EB1BE19" w:rsidR="00295C11" w:rsidRPr="008B2CBF" w:rsidRDefault="006B10E7" w:rsidP="00FE2293">
      <w:pPr>
        <w:pStyle w:val="FigureCaption"/>
        <w:spacing w:before="0"/>
        <w:rPr>
          <w:lang w:val="en-GB"/>
        </w:rPr>
      </w:pPr>
      <w:r w:rsidRPr="008B2CBF">
        <w:rPr>
          <w:b/>
          <w:bCs/>
        </w:rPr>
        <w:t xml:space="preserve">FIGURE </w:t>
      </w:r>
      <w:r w:rsidR="00B7144A" w:rsidRPr="008B2CBF">
        <w:rPr>
          <w:b/>
          <w:bCs/>
        </w:rPr>
        <w:t>7</w:t>
      </w:r>
      <w:r w:rsidRPr="008B2CBF">
        <w:rPr>
          <w:b/>
          <w:bCs/>
        </w:rPr>
        <w:t>.</w:t>
      </w:r>
      <w:r w:rsidRPr="008B2CBF">
        <w:rPr>
          <w:lang w:val="en-GB"/>
        </w:rPr>
        <w:t xml:space="preserve"> Principal steps in producing Phosphoric Acid by </w:t>
      </w:r>
      <w:r w:rsidR="0041688F" w:rsidRPr="008B2CBF">
        <w:rPr>
          <w:lang w:val="en-GB"/>
        </w:rPr>
        <w:t>the wet</w:t>
      </w:r>
      <w:r w:rsidRPr="008B2CBF">
        <w:rPr>
          <w:lang w:val="en-GB"/>
        </w:rPr>
        <w:t xml:space="preserve"> process (WPPA)</w:t>
      </w:r>
    </w:p>
    <w:p w14:paraId="5A73ACCB" w14:textId="27ECE9B1" w:rsidR="00295C11" w:rsidRPr="008B2CBF" w:rsidRDefault="00A730E9" w:rsidP="00A730E9">
      <w:pPr>
        <w:pStyle w:val="Titre2"/>
      </w:pPr>
      <w:r w:rsidRPr="008B2CBF">
        <w:lastRenderedPageBreak/>
        <w:t>Phosphorus upgrading to meet battery requirements</w:t>
      </w:r>
    </w:p>
    <w:p w14:paraId="65F4E5A5" w14:textId="50DEFC05" w:rsidR="0058336A" w:rsidRPr="008B2CBF" w:rsidRDefault="002335E6" w:rsidP="00012843">
      <w:pPr>
        <w:pStyle w:val="Paragraph"/>
      </w:pPr>
      <w:r w:rsidRPr="008B2CBF">
        <w:t xml:space="preserve">To further improve the phosphorus concentration in MGA from 54% to 62% </w:t>
      </w:r>
      <w:r w:rsidR="00044893" w:rsidRPr="008B2CBF">
        <w:t>P</w:t>
      </w:r>
      <w:r w:rsidR="00044893" w:rsidRPr="008B2CBF">
        <w:rPr>
          <w:vertAlign w:val="subscript"/>
        </w:rPr>
        <w:t>2</w:t>
      </w:r>
      <w:r w:rsidR="00044893" w:rsidRPr="008B2CBF">
        <w:t>O</w:t>
      </w:r>
      <w:r w:rsidR="00044893" w:rsidRPr="008B2CBF">
        <w:rPr>
          <w:vertAlign w:val="subscript"/>
        </w:rPr>
        <w:t>5</w:t>
      </w:r>
      <w:r w:rsidRPr="008B2CBF">
        <w:t xml:space="preserve">, aligning it with battery-grade </w:t>
      </w:r>
      <w:r w:rsidR="003A5432" w:rsidRPr="008B2CBF">
        <w:t>phosphoric acid</w:t>
      </w:r>
      <w:r w:rsidRPr="008B2CBF">
        <w:t xml:space="preserve">, impurities must be eliminated. These impurities may originate from the process itself, such as sulfuric acid and process water, or phosphate ore, including calcium, carbonates, sodium, aluminum, organic matter, and trace contaminants, primarily heavy metals </w:t>
      </w:r>
      <w:r w:rsidRPr="008B2CBF">
        <w:fldChar w:fldCharType="begin"/>
      </w:r>
      <w:r w:rsidR="00012843">
        <w:instrText xml:space="preserve"> ADDIN ZOTERO_ITEM CSL_CITATION {"citationID":"lUnUHbSU","properties":{"formattedCitation":"[28]","plainCitation":"[28]","noteIndex":0},"citationItems":[{"id":165,"uris":["http://zotero.org/users/14336916/items/Q4MRAJ77"],"itemData":{"id":165,"type":"article-journal","abstract":"The wet-process phosphoric acid (WPPA) production is generally based on the use of sulfuric acid (H2SO4) for phosphate ore attack. One of the main issues encountered in this process is related to the uncontrolled formation of mineral deposits at sensitive steps. In the generated complex aqueous systems, the dissolved species and the resulting physicochemical interactions are closely dependent on the variability of both the phosphate rock quality and the operating conditions of the process (40-95 °C; H3PO4 and H2SO4 concentrations up to 20 mol/kg H2O, typically). A collaborative project (CA2PHOS) between OCP and BRGM aims to develop a computational tool dedicated to predict and quantify these mineral deposits in the context of WPPA production. The integrated work presented allows one to gain insight into the understanding of the complex behavior of such systems. It involves specific data such as the activity of water, measured by the hygroscopic method, the density and the chemical composition of the very highly saline aqueous solutions of interest, characteristics of the deposited minerals, and the use of the Pitzer formalism for the thermodynamic modeling of such complex system.","container-title":"Procedia Engineering","DOI":"10.1016/j.proeng.2012.09.447","ISSN":"18777058","journalAbbreviation":"Procedia Engineering","language":"en","license":"https://www.elsevier.com/tdm/userlicense/1.0/","page":"68-75","source":"DOI.org (Crossref)","title":"Thermo-kinetic and Physico-Chemical Modeling of Processes Generating Scaling Problems in Phosphoric Acid and Fertilizers Production Industries","volume":"46","author":[{"family":"Azaroual","given":"Mohamed"},{"family":"Kervevan","given":"Christophe"},{"family":"Lassin","given":"Arnault"},{"family":"André","given":"Laurent"},{"family":"Amalhay","given":"Mohamed"},{"family":"Khamar","given":"Lhachmi"},{"family":"Guendouzi","given":"Mohamed E.L."}],"issued":{"date-parts":[["2012"]]}}}],"schema":"https://github.com/citation-style-language/schema/raw/master/csl-citation.json"} </w:instrText>
      </w:r>
      <w:r w:rsidRPr="008B2CBF">
        <w:fldChar w:fldCharType="separate"/>
      </w:r>
      <w:r w:rsidR="00012843" w:rsidRPr="00012843">
        <w:t>[28]</w:t>
      </w:r>
      <w:r w:rsidRPr="008B2CBF">
        <w:fldChar w:fldCharType="end"/>
      </w:r>
      <w:r w:rsidR="000E45A7" w:rsidRPr="008B2CBF">
        <w:t>.</w:t>
      </w:r>
      <w:r w:rsidR="00DD090F" w:rsidRPr="008B2CBF">
        <w:t xml:space="preserve"> </w:t>
      </w:r>
      <w:r w:rsidRPr="008B2CBF">
        <w:t xml:space="preserve">Multiple purification techniques have been employed to yield high-quality phosphoric acid, including ion exchange, precipitation, adsorption, liquid-liquid extraction, reverse osmosis, and nanofiltration </w:t>
      </w:r>
      <w:r w:rsidR="000E45A7" w:rsidRPr="008B2CBF">
        <w:fldChar w:fldCharType="begin"/>
      </w:r>
      <w:r w:rsidR="004963D0">
        <w:instrText xml:space="preserve"> ADDIN ZOTERO_ITEM CSL_CITATION {"citationID":"k4Y4ZTmC","properties":{"formattedCitation":"[30\\uc0\\u8211{}32]","plainCitation":"[30–32]","noteIndex":0},"citationItems":[{"id":161,"uris":["http://zotero.org/users/14336916/items/SBCKNR7Z"],"itemData":{"id":161,"type":"article-journal","abstract":"The phosphoric acid produced by the nitric acid method cannot be used as an industrial-grade product as a result of the high calcium nitrate content. It can only be used for fertilizer production due to difficulty of complete removal of calcium nitrate. Herein, an efficient approach for the removal of calcium nitrate from the phosphoric acid produced by the nitric acid process was studied. The proposed process is based on solvent extraction with N, N, N′, N′-tetracyclohexyl-3-oxyglutaramide (TCHDGA). The effects of time, diluent, temperature, impurity ions, and the concentrations of extractant and nitric acid on the extraction of Ca2+ were considered. A series of characterization tests involving FT-IR spectroscopy, XPS analysis, slope analysis and X-ray single crystal diffracted analysis revealed that the stoichiometry of the complex is (Ca(NO3)2)(TCHDGA)3. The concentration of Ca2+ in phosphoric acid drops below 5 mg/L a three-stage cross-current extraction process. The stripping efficiency of calcium nitrate in the organic phase by water is above 99.9%. The extraction efficiency of Ca2+ by TCHDGA remained above 96.8% after ten extraction-stripping cycles, realizing the efficient removal of calcium nitrate in the phosphoric acid produced by nitric acid process without changing the traditional production conditions.","container-title":"Hydrometallurgy","DOI":"10.1016/j.hydromet.2024.106379","ISSN":"0304-386X","journalAbbreviation":"Hydrometallurgy","page":"106379","source":"ScienceDirect","title":"Removal of calcium from phosphoric acid produced by the nitric acid process using solvent extraction with TCHDGA and stripping with water","volume":"229","author":[{"family":"Xu","given":"Chengjin"},{"family":"Zhang","given":"Miaomiao"},{"family":"Su","given":"Jianhui"},{"family":"Peng","given":"Xiujing"},{"family":"Kong","given":"Xiangfeng"},{"family":"Luo","given":"Yanping"},{"family":"Sun","given":"Jiahui"},{"family":"Cui","given":"Yu"},{"family":"Jiang","given":"Xuchuan"},{"family":"Sun","given":"Guoxin"}],"issued":{"date-parts":[["2024",11,1]]}},"label":"page"},{"id":162,"uris":["http://zotero.org/users/14336916/items/9FXYPEZR"],"itemData":{"id":162,"type":"article-journal","abstract":"High grade phosphoric acid was obtained using liquid–liquid extraction with aliphatic alcohols to separate metal and ﬂuoride ion impurities in the aqueous phase. The inﬂuence of alcohol chain length, alcohol concentration, organic/aqueous phase ratio, temperature, shaking time and phosphoric acid concentration on P2O5 extraction was studied. Scrubbing with acid and stripping with water were also investigated. nOctanol proved to be the most efﬁcient and selective alcohol. The temperature had a slight positive effect and the extraction was enhanced by increasing P2O5 and with the increase of organic/aqueous phase ratio. The optimum organic/aqueous phase ratio for stripping was determined to be 2.0. For 9.2 M H3PO4, 98% of ﬂuoride ion was removed whereas almost complete removal of iron, manganese, copper, cadmium and zinc was attained.","container-title":"Hydrometallurgy","DOI":"10.1016/j.hydromet.2010.08.007","ISSN":"0304386X","issue":"1-2","journalAbbreviation":"Hydrometallurgy","language":"en","license":"https://www.elsevier.com/tdm/userlicense/1.0/","page":"115-119","source":"DOI.org (Crossref)","title":"Recovery of high grade phosphoric acid from wet process acid by solvent extraction with aliphatic alcohols","volume":"105","author":[{"family":"Amin","given":"M.I."},{"family":"Ali","given":"M.M."},{"family":"Kamal","given":"H.M."},{"family":"Youssef","given":"A.M."},{"family":"Akl","given":"M.A."}],"issued":{"date-parts":[["2010",12]]}},"label":"page"},{"id":163,"uris":["http://zotero.org/users/14336916/items/MFKHD6D9"],"itemData":{"id":163,"type":"article-journal","abstract":"Commercial phosphoric acid manufactured using wet process has been puriﬁed by minimizing the iron, cadmium, copper and ﬂuoride content. Bentonite clay is found suitable for removal of humic acids and suspended materials from crude phosphoric acid. An attempt to minimize the iron content by the addition of potassium sulfate, calcium sulfate, sodium sulfate, individually; silicon dioxide + sodium carbonate + potassium sulfate, in combination, and potassium amyl xanthate is the main goal of this work. The efﬁciency of potassium amyl xanthate in minimizing iron content was found 79.19% with a small decrease of P2O5. Temperature, stirring time and the amount of additives were studied. Minimizing of ﬂuoride from phosphoric acid is carried out using silicon dioxide followed by the addition of sodium carbonate. Adjusting the stoichiometric amounts, additives and heating temperature, the efﬁciency of minimizing of ﬂuoride is 93.89%. Copper and cadmium were also removed.","container-title":"Separation and Purification Technology","DOI":"10.1016/j.seppur.2007.11.004","ISSN":"13835866","issue":"3","journalAbbreviation":"Separation and Purification Technology","language":"en","license":"https://www.elsevier.com/tdm/userlicense/1.0/","page":"287-292","source":"DOI.org (Crossref)","title":"Purification of phosphoric acid by minimizing iron, copper, cadmium and fluoride","volume":"61","author":[{"family":"El-Asmy","given":"Ahmed A."},{"family":"Serag","given":"Homam M."},{"family":"Mahdy","given":"Mohammad A."},{"family":"Amin","given":"Moustafa I."}],"issued":{"date-parts":[["2008",7,15]]}},"label":"page"}],"schema":"https://github.com/citation-style-language/schema/raw/master/csl-citation.json"} </w:instrText>
      </w:r>
      <w:r w:rsidR="000E45A7" w:rsidRPr="008B2CBF">
        <w:fldChar w:fldCharType="separate"/>
      </w:r>
      <w:r w:rsidR="004963D0" w:rsidRPr="004963D0">
        <w:t>[30–32]</w:t>
      </w:r>
      <w:r w:rsidR="000E45A7" w:rsidRPr="008B2CBF">
        <w:fldChar w:fldCharType="end"/>
      </w:r>
      <w:r w:rsidR="000E45A7" w:rsidRPr="008B2CBF">
        <w:t xml:space="preserve">. </w:t>
      </w:r>
      <w:r w:rsidRPr="008B2CBF">
        <w:t xml:space="preserve">Liquid-liquid extraction is regarded as one of the most prevalent </w:t>
      </w:r>
      <w:r w:rsidR="007856A0" w:rsidRPr="008B2CBF">
        <w:t>methods for purifying phosphoric acid; therefore, this approach is recommended</w:t>
      </w:r>
      <w:r w:rsidRPr="008B2CBF">
        <w:t xml:space="preserve"> for refining Moroccan phosphoric acid to provide a suitable phosphorus source for battery production. </w:t>
      </w:r>
      <w:r w:rsidR="003433CC" w:rsidRPr="008B2CBF">
        <w:t>Several techniques are involved in the extractive purification of aqueous phosphoric acid. They include the process of purification of crude phosphoric acid, extraction, washing of the extract</w:t>
      </w:r>
      <w:r w:rsidR="00DD090F" w:rsidRPr="008B2CBF">
        <w:t>,</w:t>
      </w:r>
      <w:r w:rsidR="003433CC" w:rsidRPr="008B2CBF">
        <w:t xml:space="preserve"> and recovery of phosphoric acid.</w:t>
      </w:r>
      <w:r w:rsidR="00DD090F" w:rsidRPr="008B2CBF">
        <w:t xml:space="preserve"> </w:t>
      </w:r>
      <w:r w:rsidR="0058336A" w:rsidRPr="008B2CBF">
        <w:t>Fig. 8 illustrates the proposed processes involved in synthesizing TGA for battery manufacturing</w:t>
      </w:r>
      <w:r w:rsidR="003E0CD0" w:rsidRPr="008B2CBF">
        <w:t>.</w:t>
      </w:r>
    </w:p>
    <w:p w14:paraId="09205654" w14:textId="77777777" w:rsidR="0058336A" w:rsidRPr="008B2CBF" w:rsidRDefault="0058336A" w:rsidP="0058336A">
      <w:pPr>
        <w:pStyle w:val="Paragraph"/>
        <w:ind w:firstLine="0"/>
      </w:pPr>
    </w:p>
    <w:p w14:paraId="48669F98" w14:textId="2D126467" w:rsidR="00F06D31" w:rsidRPr="008B2CBF" w:rsidRDefault="000B1333" w:rsidP="0058336A">
      <w:pPr>
        <w:pStyle w:val="Paragraph"/>
        <w:ind w:firstLine="0"/>
        <w:jc w:val="center"/>
      </w:pPr>
      <w:r w:rsidRPr="008B2CBF">
        <w:rPr>
          <w:noProof/>
        </w:rPr>
        <w:drawing>
          <wp:inline distT="0" distB="0" distL="0" distR="0" wp14:anchorId="5A16B1EA" wp14:editId="46A41B15">
            <wp:extent cx="3457575" cy="3221529"/>
            <wp:effectExtent l="19050" t="19050" r="9525" b="17145"/>
            <wp:docPr id="2117457599" name="Image 5"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57599" name="Image 5" descr="Une image contenant texte, capture d’écran, Police, nombre&#10;&#10;Le contenu généré par l’IA peut êtr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2435" cy="3226057"/>
                    </a:xfrm>
                    <a:prstGeom prst="rect">
                      <a:avLst/>
                    </a:prstGeom>
                    <a:ln w="3175">
                      <a:solidFill>
                        <a:schemeClr val="tx1"/>
                      </a:solidFill>
                    </a:ln>
                  </pic:spPr>
                </pic:pic>
              </a:graphicData>
            </a:graphic>
          </wp:inline>
        </w:drawing>
      </w:r>
    </w:p>
    <w:p w14:paraId="243B94EA" w14:textId="1AE263A9" w:rsidR="004C5812" w:rsidRPr="008B2CBF" w:rsidRDefault="00F06D31" w:rsidP="00F77EDF">
      <w:pPr>
        <w:pStyle w:val="FigureCaption"/>
        <w:spacing w:before="0"/>
        <w:rPr>
          <w:sz w:val="24"/>
          <w:lang w:val="en-GB" w:eastAsia="fr-FR"/>
        </w:rPr>
      </w:pPr>
      <w:r w:rsidRPr="008B2CBF">
        <w:rPr>
          <w:b/>
          <w:bCs/>
          <w:lang w:val="en-GB"/>
        </w:rPr>
        <w:t>FIGURE 8.</w:t>
      </w:r>
      <w:r w:rsidRPr="008B2CBF">
        <w:rPr>
          <w:lang w:val="en-GB"/>
        </w:rPr>
        <w:t xml:space="preserve"> </w:t>
      </w:r>
      <w:r w:rsidR="003433CC" w:rsidRPr="008B2CBF">
        <w:rPr>
          <w:lang w:val="en-GB"/>
        </w:rPr>
        <w:t>Suggested methods for upgrading and purifying phosphoric acid</w:t>
      </w:r>
    </w:p>
    <w:p w14:paraId="63577CAD" w14:textId="77777777" w:rsidR="00BB6B3B" w:rsidRPr="008B2CBF" w:rsidRDefault="00BB6B3B" w:rsidP="00BB6B3B">
      <w:pPr>
        <w:tabs>
          <w:tab w:val="left" w:pos="5332"/>
        </w:tabs>
      </w:pPr>
    </w:p>
    <w:p w14:paraId="26D0BACD" w14:textId="59BA9019" w:rsidR="00524743" w:rsidRPr="008B2CBF" w:rsidRDefault="00C84B7B" w:rsidP="00012843">
      <w:pPr>
        <w:pStyle w:val="Paragraph"/>
      </w:pPr>
      <w:r w:rsidRPr="008B2CBF">
        <w:t xml:space="preserve">Firstly, the crude phosphoric acid is pretreated to eliminate suspended </w:t>
      </w:r>
      <w:r w:rsidR="00D15C02" w:rsidRPr="008B2CBF">
        <w:t xml:space="preserve">materials and organic compounds using flocculating agents. After that, impurities such as iron, arsenic, and fluoride are extracted </w:t>
      </w:r>
      <w:r w:rsidR="005456B3" w:rsidRPr="008B2CBF">
        <w:t xml:space="preserve">by precipitating agents like sulfates (sodium, potassium, or calcium), silicate, </w:t>
      </w:r>
      <w:proofErr w:type="spellStart"/>
      <w:r w:rsidR="005456B3" w:rsidRPr="008B2CBF">
        <w:t>etc</w:t>
      </w:r>
      <w:proofErr w:type="spellEnd"/>
      <w:r w:rsidR="00646251" w:rsidRPr="008B2CBF">
        <w:t xml:space="preserve">, simultaneously with a complexing agent, particularly </w:t>
      </w:r>
      <w:proofErr w:type="spellStart"/>
      <w:r w:rsidR="00646251" w:rsidRPr="008B2CBF">
        <w:t>dialkyl</w:t>
      </w:r>
      <w:proofErr w:type="spellEnd"/>
      <w:r w:rsidR="00646251" w:rsidRPr="008B2CBF">
        <w:t xml:space="preserve"> </w:t>
      </w:r>
      <w:proofErr w:type="spellStart"/>
      <w:r w:rsidR="00646251" w:rsidRPr="008B2CBF">
        <w:t>dithiophosphoric</w:t>
      </w:r>
      <w:proofErr w:type="spellEnd"/>
      <w:r w:rsidR="00646251" w:rsidRPr="008B2CBF">
        <w:t xml:space="preserve"> acid, to remove cadmium and arsenic</w:t>
      </w:r>
      <w:r w:rsidR="00AB624D" w:rsidRPr="008B2CBF">
        <w:t xml:space="preserve"> </w:t>
      </w:r>
      <w:r w:rsidR="00AB624D" w:rsidRPr="008B2CBF">
        <w:fldChar w:fldCharType="begin"/>
      </w:r>
      <w:r w:rsidR="00012843">
        <w:instrText xml:space="preserve"> ADDIN ZOTERO_ITEM CSL_CITATION {"citationID":"fGCLSWBH","properties":{"unsorted":true,"formattedCitation":"[27, 32]","plainCitation":"[27, 32]","noteIndex":0},"citationItems":[{"id":167,"uris":["http://zotero.org/users/14336916/items/CRF85HMP"],"itemData":{"id":167,"type":"chapter","abstract":"The demand of phosphate fertilizers is growing as a result of a rising population, changing human diets resulting in the increasing (meat) consumption per capita, and an expansion in the production of biofuels. Besides the fertilizer industry, there is a steady growth of using phosphorus compounds in the chemical industry for applications in, e.g., soft drinks, pharmaceuticals, and flame retardants. To meet this growth, it is important to know if the P reserves are sufficient and what kind of processes are used to produce such phosphorus compounds. Reserves are not equally spread around the world, with three-quarters located in Morocco and The Western Sahara. Prices can be volatile, as shown in 2008 with an eightfold price increase. Moreover, the estimated time till depletion of phosphate rock differs substantially between several studies. Therefore, phosphate rock was added on the critical material list of the European Commission. An important aspect for the processing of phosphate rock is the quality of the rock, which is dependent on the ore type (sedimentary or igneous), level of radioactivity, and hazardous metal contents. The main intermediary compounds for phosphorus products are phosphoric acid and white phosphorus. About 95% of the phosphoric acid is made via the wet process: acidulation of phosphate rock to create wet phosphoric acid and the main by-­ products phosphogypsum and hydrogen fluoride. The purity and thus the reusability of phosphogypsum are dependent on the type of digestion process. However, at the moment, reusing phosphogypsum is not a common practice. Wet phosphoric acid can be purified via several processes. The most common processes are extraction and precipitation. Via extraction, wet phosphoric acid can be purified up to phosphoric acid comparable to that produced with the thermal process. Separation of specific compounds can be done through precipitation. Additionally, cationic impurities can be removed via precipitation, but the product will then be changed into a phosphate salt, which is unfavorable for its use in industrial applications.","container-title":"Phosphorus Recovery and Recycling","event-place":"Singapore","ISBN":"978-981-10-8030-2","language":"en","note":"DOI: 10.1007/978-981-10-8031-9_5","page":"75-100","publisher":"Springer Singapore","publisher-place":"Singapore","source":"DOI.org (Crossref)","title":"Phosphorus: Reserves, Production, and Applications","title-short":"Phosphorus","URL":"http://link.springer.com/10.1007/978-981-10-8031-9_5","editor":[{"family":"Ohtake","given":"Hisao"},{"family":"Tsuneda","given":"Satoshi"}],"author":[{"family":"De Boer","given":"Marissa A."},{"family":"Wolzak","given":"Lukas"},{"family":"Slootweg","given":"J. Chris"}],"accessed":{"date-parts":[["2024",8,12]]},"issued":{"date-parts":[["2019"]]}}},{"id":163,"uris":["http://zotero.org/users/14336916/items/MFKHD6D9"],"itemData":{"id":163,"type":"article-journal","abstract":"Commercial phosphoric acid manufactured using wet process has been puriﬁed by minimizing the iron, cadmium, copper and ﬂuoride content. Bentonite clay is found suitable for removal of humic acids and suspended materials from crude phosphoric acid. An attempt to minimize the iron content by the addition of potassium sulfate, calcium sulfate, sodium sulfate, individually; silicon dioxide + sodium carbonate + potassium sulfate, in combination, and potassium amyl xanthate is the main goal of this work. The efﬁciency of potassium amyl xanthate in minimizing iron content was found 79.19% with a small decrease of P2O5. Temperature, stirring time and the amount of additives were studied. Minimizing of ﬂuoride from phosphoric acid is carried out using silicon dioxide followed by the addition of sodium carbonate. Adjusting the stoichiometric amounts, additives and heating temperature, the efﬁciency of minimizing of ﬂuoride is 93.89%. Copper and cadmium were also removed.","container-title":"Separation and Purification Technology","DOI":"10.1016/j.seppur.2007.11.004","ISSN":"13835866","issue":"3","journalAbbreviation":"Separation and Purification Technology","language":"en","license":"https://www.elsevier.com/tdm/userlicense/1.0/","page":"287-292","source":"DOI.org (Crossref)","title":"Purification of phosphoric acid by minimizing iron, copper, cadmium and fluoride","volume":"61","author":[{"family":"El-Asmy","given":"Ahmed A."},{"family":"Serag","given":"Homam M."},{"family":"Mahdy","given":"Mohammad A."},{"family":"Amin","given":"Moustafa I."}],"issued":{"date-parts":[["2008",7,15]]}}}],"schema":"https://github.com/citation-style-language/schema/raw/master/csl-citation.json"} </w:instrText>
      </w:r>
      <w:r w:rsidR="00AB624D" w:rsidRPr="008B2CBF">
        <w:fldChar w:fldCharType="separate"/>
      </w:r>
      <w:r w:rsidR="00012843" w:rsidRPr="00012843">
        <w:t>[27, 32]</w:t>
      </w:r>
      <w:r w:rsidR="00AB624D" w:rsidRPr="008B2CBF">
        <w:fldChar w:fldCharType="end"/>
      </w:r>
      <w:r w:rsidR="00AB624D" w:rsidRPr="008B2CBF">
        <w:t>. Subsequently,</w:t>
      </w:r>
      <w:r w:rsidR="00EE1377" w:rsidRPr="008B2CBF">
        <w:t xml:space="preserve"> is utilized to dissolve the pre-purified phosphoric acid is dissolved via counter-current flow of</w:t>
      </w:r>
      <w:r w:rsidR="00AB624D" w:rsidRPr="008B2CBF">
        <w:t xml:space="preserve"> an organic solvent, like esters, alcohols, ketones, or a mixture of </w:t>
      </w:r>
      <w:r w:rsidR="00EE1377" w:rsidRPr="008B2CBF">
        <w:t xml:space="preserve">these </w:t>
      </w:r>
      <w:r w:rsidR="00AB624D" w:rsidRPr="008B2CBF">
        <w:t xml:space="preserve">solvents </w:t>
      </w:r>
      <w:r w:rsidR="00AB624D" w:rsidRPr="008B2CBF">
        <w:fldChar w:fldCharType="begin"/>
      </w:r>
      <w:r w:rsidR="004963D0">
        <w:instrText xml:space="preserve"> ADDIN ZOTERO_ITEM CSL_CITATION {"citationID":"w3XLXy4s","properties":{"formattedCitation":"[33\\uc0\\u8211{}35]","plainCitation":"[33–35]","noteIndex":0},"citationItems":[{"id":159,"uris":["http://zotero.org/users/14336916/items/G3ZA5W3H"],"itemData":{"id":159,"type":"article-journal","abstract":"Wet-process phosphoric acid is developed with the lack of a quality mineral. More and more research focuses on the purification of wet-process phosphoric acid with solvent extraction method. Liquid–liquid equilibrium data are of important significance in the industrial reality. In this work, equilibria data have been obtained for the two quaternary systems phosphoric acid–sodium sulfate–water–tri-n-butyl phosphate and phosphoric acid–potassium sulfate–water–tri-n-butyl phosphate, which contain concentrations of components and densities and viscosities of the equilibrium phases, and also the varieties of distribution coefficient of phosphoric acid are analyzed. In different systems (phosphoric acid solution with sodium sulfate or potassium sulfate at 303.2 K), the distribution coefficient of phosphoric acid with sodium was found to be higher than that of potassium ion, which demonstrates that the extraction of phosphoric acid with sodium is greater than that with potassium ion. In addition, NRTL model and Pitzer’s equation are used to correlate the experimental data. The result shows that it is suitable for both systems and obtains adjustable binary parameters of the NRTL model.","container-title":"Journal of Chemical &amp; Engineering Data","DOI":"10.1021/acs.jced.5b00867","ISSN":"0021-9568","issue":"5","journalAbbreviation":"J. Chem. Eng. Data","note":"publisher: American Chemical Society","page":"1735-1742","source":"ACS Publications","title":"Liquid–Liquid Equilibrium Data of Extraction with Tri-n-butyl Phosphate on Phosphoric Acid Containing Sodium Sulfate or Potassium Sulfate","volume":"61","author":[{"family":"Ren","given":"Yongsheng"},{"family":"Liu","given":"Chengqi"},{"family":"Cao","given":"Jing"},{"family":"Mu","given":"Wenfang"},{"family":"Ding","given":"Xiaoxiang"}],"issued":{"date-parts":[["2016",5,12]]}}},{"id":156,"uris":["http://zotero.org/users/14336916/items/JLQCZQ6K"],"itemData":{"id":156,"type":"article-journal","abstract":"Solvent extraction using organic solvents is an important technology for the purification of wet process phosphoric acid (WPA). In this study, the purification process of WPA, using a new type of solvent extraction system, cyclohexanol diluted in kerosene, was investigated. The equilibrium phase diagram of the system H3PO4-H2O-solvent mixtures at 313.2K was obtained. The effects of extraction time, phosphoric acid concentration, cyclohexanol concentration, temperature, phase ratio on extraction efficiency were studied. The extracted species was shown to be 2H3PO4 · 2C6H12O. The extraction process of H3PO4 is exothermic and the enthalpy change, </w:instrText>
      </w:r>
      <w:r w:rsidR="004963D0">
        <w:rPr>
          <w:rFonts w:ascii="Cambria Math" w:hAnsi="Cambria Math" w:cs="Cambria Math"/>
        </w:rPr>
        <w:instrText>△</w:instrText>
      </w:r>
      <w:r w:rsidR="004963D0">
        <w:instrText xml:space="preserve">H, was obtained. Via a cross-current three-stage extraction, the solvent mixtures have a high efficiency for phosphoric acid purification from the actual industrial WPA with an H3PO4 extraction yield of 90.2% at room temperature. The study is capable of enriching theoretical foundation and technical guidance for the phosphoric acid purification process.","container-title":"Solvent Extraction Research and Development, Japan","DOI":"10.15261/serdj.24.23","issue":"1","page":"23-35","source":"J-Stage","title":"Purification of Wet Process Phosphoric Acid by Solvent Extraction using Cyclohexanol","volume":"24","author":[{"family":"Li","given":"Xing"},{"family":"Li","given":"Jun"},{"family":"Luo","given":"JianHong"},{"family":"Jin","given":"Yang"},{"family":"Zou","given":"Da"}],"issued":{"date-parts":[["2017"]]}}},{"id":155,"uris":["http://zotero.org/users/14336916/items/ENTKH4TD"],"itemData":{"id":155,"type":"article-journal","abstract":"BACKGROUND Solvent extraction using organic extractants is an important technology for purifying wet process phosphoric acid. The purification of the wet process phosphoric acid by liquid–liquid extraction using solvent mixtures of N-octanol and tributylphosphate has been investigated. RESULTS The purification process comprised extraction, scrubbing and stripping operations. The extraction conditions, i.e. shaking time, temperature, composition of solvent mixtures and P2O5 concentration for purification of the wet process phosphoric acid were studied. The phase diagram of the pseudo-ternary system H3PO4-H2O-solvent mixtures at 313.15 K was determined. The McCabe–Thiele diagram showed that three counter-current stages achieved about 91 wt% P2O5 extraction at 313.15 K. Scrubbing and stripping operations using pure phosphoric acid with 10 wt% P2O5 and doubly distilled water, respectively, were studied. CONCLUSIONS The phosphoric acid finally produced was found to be high grade which met the special requirements of the user. Optimization of the extraction conditions and system was capable of providing academic and technical foundations to realize industrial production. © 2012 Society of Chemical Industry","container-title":"Journal of Chemical Technology &amp; Biotechnology","DOI":"10.1002/jctb.4023","ISSN":"1097-4660","issue":"9","language":"en","license":"© 2012 Society of Chemical Industry","note":"_eprint: https://onlinelibrary.wiley.com/doi/pdf/10.1002/jctb.4023","page":"1715-1720","source":"Wiley Online Library","title":"Wet process phosphoric acid purification by solvent extraction using N-octanol and tributylphosphate mixtures","volume":"88","author":[{"family":"Ye","given":"Changwen"},{"family":"Li","given":"Jun"}],"issued":{"date-parts":[["2013"]]}}}],"schema":"https://github.com/citation-style-language/schema/raw/master/csl-citation.json"} </w:instrText>
      </w:r>
      <w:r w:rsidR="00AB624D" w:rsidRPr="008B2CBF">
        <w:fldChar w:fldCharType="separate"/>
      </w:r>
      <w:r w:rsidR="004963D0" w:rsidRPr="004963D0">
        <w:t>[33–35]</w:t>
      </w:r>
      <w:r w:rsidR="00AB624D" w:rsidRPr="008B2CBF">
        <w:fldChar w:fldCharType="end"/>
      </w:r>
      <w:r w:rsidR="00EE1377" w:rsidRPr="008B2CBF">
        <w:t>. After extracting P</w:t>
      </w:r>
      <w:r w:rsidR="00EE1377" w:rsidRPr="008B2CBF">
        <w:rPr>
          <w:vertAlign w:val="subscript"/>
        </w:rPr>
        <w:t>2</w:t>
      </w:r>
      <w:r w:rsidR="00EE1377" w:rsidRPr="008B2CBF">
        <w:t>O</w:t>
      </w:r>
      <w:r w:rsidR="00EE1377" w:rsidRPr="008B2CBF">
        <w:rPr>
          <w:vertAlign w:val="subscript"/>
        </w:rPr>
        <w:t>5</w:t>
      </w:r>
      <w:r w:rsidR="00A55687" w:rsidRPr="008B2CBF">
        <w:t xml:space="preserve"> into the organic phase (with impurity traces), most</w:t>
      </w:r>
      <w:r w:rsidR="003F0FAA" w:rsidRPr="008B2CBF">
        <w:t xml:space="preserve"> of the</w:t>
      </w:r>
      <w:r w:rsidR="00A55687" w:rsidRPr="008B2CBF">
        <w:t xml:space="preserve"> co</w:t>
      </w:r>
      <w:r w:rsidR="003F0FAA" w:rsidRPr="008B2CBF">
        <w:t>n</w:t>
      </w:r>
      <w:r w:rsidR="00A55687" w:rsidRPr="008B2CBF">
        <w:t>taminants remain in the aqueous part</w:t>
      </w:r>
      <w:r w:rsidR="003F0FAA" w:rsidRPr="008B2CBF">
        <w:t xml:space="preserve">. The </w:t>
      </w:r>
      <w:r w:rsidR="00F658D0" w:rsidRPr="008B2CBF">
        <w:t>scrubbi</w:t>
      </w:r>
      <w:r w:rsidR="003F0FAA" w:rsidRPr="008B2CBF">
        <w:t>ng (washing) operation is performed using purified phosphoric acid to eliminate</w:t>
      </w:r>
      <w:r w:rsidR="00F658D0" w:rsidRPr="008B2CBF">
        <w:t xml:space="preserve"> extracted</w:t>
      </w:r>
      <w:r w:rsidR="003F0FAA" w:rsidRPr="008B2CBF">
        <w:t xml:space="preserve"> </w:t>
      </w:r>
      <w:r w:rsidR="00F658D0" w:rsidRPr="008B2CBF">
        <w:t>impurity traces from the organic phase. Following that, distilled water is used to transfer the P</w:t>
      </w:r>
      <w:r w:rsidR="00F658D0" w:rsidRPr="008B2CBF">
        <w:rPr>
          <w:vertAlign w:val="subscript"/>
        </w:rPr>
        <w:t>2</w:t>
      </w:r>
      <w:r w:rsidR="00F658D0" w:rsidRPr="008B2CBF">
        <w:t>O</w:t>
      </w:r>
      <w:r w:rsidR="00F658D0" w:rsidRPr="008B2CBF">
        <w:rPr>
          <w:vertAlign w:val="subscript"/>
        </w:rPr>
        <w:t>5</w:t>
      </w:r>
      <w:r w:rsidR="00F658D0" w:rsidRPr="008B2CBF">
        <w:t xml:space="preserve"> from the organic solvent to the aqueous </w:t>
      </w:r>
      <w:r w:rsidR="00BE2D6A" w:rsidRPr="008B2CBF">
        <w:t>solution (stripping stage)</w:t>
      </w:r>
      <w:r w:rsidR="00D00CA6" w:rsidRPr="008B2CBF">
        <w:t>.</w:t>
      </w:r>
      <w:r w:rsidR="00F378BC" w:rsidRPr="008B2CBF">
        <w:t xml:space="preserve"> T</w:t>
      </w:r>
      <w:r w:rsidR="00D00CA6" w:rsidRPr="008B2CBF">
        <w:t xml:space="preserve">he </w:t>
      </w:r>
      <w:r w:rsidR="00DD7902" w:rsidRPr="008B2CBF">
        <w:t>obtained</w:t>
      </w:r>
      <w:r w:rsidR="00D00CA6" w:rsidRPr="008B2CBF">
        <w:t xml:space="preserve"> product is a dilute phosphoric acid free of impurities</w:t>
      </w:r>
      <w:r w:rsidR="00DD7902" w:rsidRPr="008B2CBF">
        <w:t xml:space="preserve"> that need concentration</w:t>
      </w:r>
      <w:r w:rsidR="00D00CA6" w:rsidRPr="008B2CBF">
        <w:t>. Finally, concentrated phosphoric acid of high purity (62% P</w:t>
      </w:r>
      <w:r w:rsidR="00D00CA6" w:rsidRPr="008B2CBF">
        <w:rPr>
          <w:vertAlign w:val="subscript"/>
        </w:rPr>
        <w:t>2</w:t>
      </w:r>
      <w:r w:rsidR="00D00CA6" w:rsidRPr="008B2CBF">
        <w:t>O</w:t>
      </w:r>
      <w:r w:rsidR="00D00CA6" w:rsidRPr="008B2CBF">
        <w:rPr>
          <w:vertAlign w:val="subscript"/>
        </w:rPr>
        <w:t>5</w:t>
      </w:r>
      <w:r w:rsidR="00D00CA6" w:rsidRPr="008B2CBF">
        <w:t>) was obtained through evaporation. The suggested method uses a closed</w:t>
      </w:r>
      <w:r w:rsidR="00DD090F" w:rsidRPr="008B2CBF">
        <w:t>-</w:t>
      </w:r>
      <w:r w:rsidR="00D00CA6" w:rsidRPr="008B2CBF">
        <w:t xml:space="preserve">loop system for the recovery and reuse of agents, including solvents and dilute phosphoric acid, to promote circular economy </w:t>
      </w:r>
      <w:r w:rsidR="00EB4A6A" w:rsidRPr="008B2CBF">
        <w:t>practice</w:t>
      </w:r>
      <w:r w:rsidR="00D00CA6" w:rsidRPr="008B2CBF">
        <w:t>s.</w:t>
      </w:r>
    </w:p>
    <w:p w14:paraId="30EE5001" w14:textId="7A1CB8E4" w:rsidR="002A55A3" w:rsidRPr="008B2CBF" w:rsidRDefault="00524743" w:rsidP="00012843">
      <w:pPr>
        <w:pStyle w:val="Paragraph"/>
      </w:pPr>
      <w:r w:rsidRPr="008B2CBF">
        <w:t>Concer</w:t>
      </w:r>
      <w:r w:rsidR="00C6021A" w:rsidRPr="008B2CBF">
        <w:t>ning</w:t>
      </w:r>
      <w:r w:rsidRPr="008B2CBF">
        <w:t xml:space="preserve"> the environmental impact of the suggested processes, </w:t>
      </w:r>
      <w:r w:rsidR="00C6021A" w:rsidRPr="008B2CBF">
        <w:t xml:space="preserve">and </w:t>
      </w:r>
      <w:r w:rsidRPr="008B2CBF">
        <w:t xml:space="preserve">according to ISO 14067 standard and the GHG (Greenhouse Gas) </w:t>
      </w:r>
      <w:r w:rsidR="00C6021A" w:rsidRPr="008B2CBF">
        <w:t>Protocol Product Life Cycle Accounting and Reporting Standard</w:t>
      </w:r>
      <w:r w:rsidRPr="008B2CBF">
        <w:t>, it is estimated that the carbon footprint of purified phosphoric acid is 5,30 kg CO</w:t>
      </w:r>
      <w:r w:rsidRPr="008B2CBF">
        <w:rPr>
          <w:vertAlign w:val="subscript"/>
        </w:rPr>
        <w:t>2</w:t>
      </w:r>
      <w:r w:rsidRPr="008B2CBF">
        <w:t xml:space="preserve"> equivalent for each kilogram of purified acid </w:t>
      </w:r>
      <w:r w:rsidRPr="008B2CBF">
        <w:fldChar w:fldCharType="begin"/>
      </w:r>
      <w:r w:rsidR="00012843">
        <w:instrText xml:space="preserve"> ADDIN ZOTERO_ITEM CSL_CITATION {"citationID":"VbGSkpFY","properties":{"formattedCitation":"[36]","plainCitation":"[36]","noteIndex":0},"citationItems":[{"id":2903,"uris":["http://zotero.org/users/14336916/items/44H6S7XM"],"itemData":{"id":2903,"type":"report","publisher":"Climate Hub","title":"Phosphoric acid (H3PO4), purified. E338","URL":"https://apps.carboncloud.com/climatehub/product-reports/id/216857142454","author":[{"family":"Carbon Cloud","given":""}],"accessed":{"date-parts":[["2025",8,11]]},"issued":{"date-parts":[["2025"]]}}}],"schema":"https://github.com/citation-style-language/schema/raw/master/csl-citation.json"} </w:instrText>
      </w:r>
      <w:r w:rsidRPr="008B2CBF">
        <w:fldChar w:fldCharType="separate"/>
      </w:r>
      <w:r w:rsidR="00012843" w:rsidRPr="00012843">
        <w:t>[36]</w:t>
      </w:r>
      <w:r w:rsidRPr="008B2CBF">
        <w:fldChar w:fldCharType="end"/>
      </w:r>
      <w:r w:rsidRPr="008B2CBF">
        <w:t>, includ</w:t>
      </w:r>
      <w:r w:rsidR="002D00D7" w:rsidRPr="008B2CBF">
        <w:t>ing</w:t>
      </w:r>
      <w:r w:rsidRPr="008B2CBF">
        <w:t xml:space="preserve"> all steps </w:t>
      </w:r>
      <w:r w:rsidR="002D00D7" w:rsidRPr="008B2CBF">
        <w:t>within</w:t>
      </w:r>
      <w:r w:rsidRPr="008B2CBF">
        <w:t xml:space="preserve"> the phosphorus value chain: raw material extraction, processing and transport. In order to address this ecological issue, the OCP </w:t>
      </w:r>
      <w:r w:rsidR="002D00D7" w:rsidRPr="008B2CBF">
        <w:t>group</w:t>
      </w:r>
      <w:r w:rsidRPr="008B2CBF">
        <w:t xml:space="preserve"> is developing </w:t>
      </w:r>
      <w:r w:rsidR="00D877A7" w:rsidRPr="008B2CBF">
        <w:t>initiatives</w:t>
      </w:r>
      <w:r w:rsidRPr="008B2CBF">
        <w:t xml:space="preserve"> to capture CO</w:t>
      </w:r>
      <w:r w:rsidRPr="008B2CBF">
        <w:rPr>
          <w:vertAlign w:val="subscript"/>
        </w:rPr>
        <w:t xml:space="preserve">2 </w:t>
      </w:r>
      <w:r w:rsidRPr="008B2CBF">
        <w:t xml:space="preserve">emissions and reduce their impact on energy and water use: the objective is to recover 100% of the emissions generated by the process and to transform them into </w:t>
      </w:r>
      <w:r w:rsidR="00D877A7" w:rsidRPr="008B2CBF">
        <w:t>green</w:t>
      </w:r>
      <w:r w:rsidRPr="008B2CBF">
        <w:t xml:space="preserve"> </w:t>
      </w:r>
      <w:r w:rsidR="00C007B0" w:rsidRPr="008B2CBF">
        <w:t>by-</w:t>
      </w:r>
      <w:r w:rsidRPr="008B2CBF">
        <w:t xml:space="preserve">products. It includes the implementation of a process to reduce fluorinated gases in phosphoric acid production units, which led to a 48% decrease in annual fluorinated gaseous emissions in 2023 compared to 2020. Furthermore, </w:t>
      </w:r>
      <w:r w:rsidR="00D877A7" w:rsidRPr="008B2CBF">
        <w:t>washing systems</w:t>
      </w:r>
      <w:r w:rsidRPr="008B2CBF">
        <w:t xml:space="preserve"> for the purification of hydrogen sulfide gases ha</w:t>
      </w:r>
      <w:r w:rsidR="00D877A7" w:rsidRPr="008B2CBF">
        <w:t>ve</w:t>
      </w:r>
      <w:r w:rsidRPr="008B2CBF">
        <w:t xml:space="preserve"> </w:t>
      </w:r>
      <w:r w:rsidR="00D877A7" w:rsidRPr="008B2CBF">
        <w:t>been installed</w:t>
      </w:r>
      <w:r w:rsidRPr="008B2CBF">
        <w:t xml:space="preserve"> for all phosphoric acid pretreatment units, ensuring compliance with national and international emission </w:t>
      </w:r>
      <w:r w:rsidR="00FB6ED7" w:rsidRPr="008B2CBF">
        <w:t>limits</w:t>
      </w:r>
      <w:r w:rsidRPr="008B2CBF">
        <w:t xml:space="preserve"> for H</w:t>
      </w:r>
      <w:r w:rsidRPr="008B2CBF">
        <w:rPr>
          <w:vertAlign w:val="subscript"/>
        </w:rPr>
        <w:t>2</w:t>
      </w:r>
      <w:r w:rsidRPr="008B2CBF">
        <w:t>S.</w:t>
      </w:r>
      <w:r w:rsidR="002E2EBB" w:rsidRPr="008B2CBF">
        <w:t xml:space="preserve"> In addition, the carbonates el</w:t>
      </w:r>
      <w:r w:rsidR="0019627A" w:rsidRPr="008B2CBF">
        <w:t>iminated from the washing plants are gathered to minimize the CO</w:t>
      </w:r>
      <w:r w:rsidR="0019627A" w:rsidRPr="008B2CBF">
        <w:rPr>
          <w:vertAlign w:val="subscript"/>
        </w:rPr>
        <w:t>2</w:t>
      </w:r>
      <w:r w:rsidR="0019627A" w:rsidRPr="008B2CBF">
        <w:t xml:space="preserve"> content before phosphoric acid processing. Furthermore,</w:t>
      </w:r>
      <w:r w:rsidR="00C55E01" w:rsidRPr="008B2CBF">
        <w:t xml:space="preserve"> the company (OCP group) changed </w:t>
      </w:r>
      <w:r w:rsidR="0019627A" w:rsidRPr="008B2CBF">
        <w:t>the phosphate transport</w:t>
      </w:r>
      <w:r w:rsidR="00C55E01" w:rsidRPr="008B2CBF">
        <w:t xml:space="preserve"> between production sites by </w:t>
      </w:r>
      <w:r w:rsidR="00C55E01" w:rsidRPr="008B2CBF">
        <w:lastRenderedPageBreak/>
        <w:t>using slurry pipelines instead of conventional trains. This action significantly</w:t>
      </w:r>
      <w:r w:rsidR="00FA7FED" w:rsidRPr="008B2CBF">
        <w:t xml:space="preserve"> reduced</w:t>
      </w:r>
      <w:r w:rsidR="00C55E01" w:rsidRPr="008B2CBF">
        <w:t xml:space="preserve"> the relative CO2 emissions</w:t>
      </w:r>
      <w:r w:rsidR="00FA7FED" w:rsidRPr="008B2CBF">
        <w:t xml:space="preserve">. Regarding energy consumption, </w:t>
      </w:r>
      <w:r w:rsidR="009C0C2C" w:rsidRPr="008B2CBF">
        <w:t xml:space="preserve">interesting initiatives have been taken by the group to use renewable energy sources such as photovoltaic systems </w:t>
      </w:r>
      <w:r w:rsidR="007E32FB" w:rsidRPr="008B2CBF">
        <w:t xml:space="preserve">and </w:t>
      </w:r>
      <w:r w:rsidR="009C0C2C" w:rsidRPr="008B2CBF">
        <w:t>wind turbines</w:t>
      </w:r>
      <w:r w:rsidR="007E32FB" w:rsidRPr="008B2CBF">
        <w:t>. The objective of these actions is to satisfy the energy needs of the mining sites and chemical facilities with carbon-free sources</w:t>
      </w:r>
      <w:r w:rsidR="005014D1" w:rsidRPr="008B2CBF">
        <w:t>. On the other hand, to attain full autonomy of water need using unconventional water, OCP devel</w:t>
      </w:r>
      <w:r w:rsidR="00262825" w:rsidRPr="008B2CBF">
        <w:t>o</w:t>
      </w:r>
      <w:r w:rsidR="005014D1" w:rsidRPr="008B2CBF">
        <w:t xml:space="preserve">ped strategies focusing on </w:t>
      </w:r>
      <w:r w:rsidR="00410B91" w:rsidRPr="008B2CBF">
        <w:t>seawater</w:t>
      </w:r>
      <w:r w:rsidR="005014D1" w:rsidRPr="008B2CBF">
        <w:t xml:space="preserve"> desalination </w:t>
      </w:r>
      <w:r w:rsidR="00410B91" w:rsidRPr="008B2CBF">
        <w:t>and reused water recycling, while leveraging the circular economy practices</w:t>
      </w:r>
      <w:r w:rsidR="00262825" w:rsidRPr="008B2CBF">
        <w:t>. Further technical investigations are recommended to precisely analy</w:t>
      </w:r>
      <w:r w:rsidR="00190C48" w:rsidRPr="008B2CBF">
        <w:t>z</w:t>
      </w:r>
      <w:r w:rsidR="00262825" w:rsidRPr="008B2CBF">
        <w:t xml:space="preserve">e the potential environmental impact </w:t>
      </w:r>
      <w:r w:rsidR="002A55A3" w:rsidRPr="008B2CBF">
        <w:t xml:space="preserve">of the proposed processes, mainly using Life Cycle Analysis (LCA). The yield of the suggested transformation is nearly 90-95% </w:t>
      </w:r>
      <w:r w:rsidR="002A55A3" w:rsidRPr="008B2CBF">
        <w:fldChar w:fldCharType="begin"/>
      </w:r>
      <w:r w:rsidR="004963D0">
        <w:instrText xml:space="preserve"> ADDIN ZOTERO_ITEM CSL_CITATION {"citationID":"P1Grzcwl","properties":{"formattedCitation":"[33\\uc0\\u8211{}35]","plainCitation":"[33–35]","noteIndex":0},"citationItems":[{"id":159,"uris":["http://zotero.org/users/14336916/items/G3ZA5W3H"],"itemData":{"id":159,"type":"article-journal","abstract":"Wet-process phosphoric acid is developed with the lack of a quality mineral. More and more research focuses on the purification of wet-process phosphoric acid with solvent extraction method. Liquid–liquid equilibrium data are of important significance in the industrial reality. In this work, equilibria data have been obtained for the two quaternary systems phosphoric acid–sodium sulfate–water–tri-n-butyl phosphate and phosphoric acid–potassium sulfate–water–tri-n-butyl phosphate, which contain concentrations of components and densities and viscosities of the equilibrium phases, and also the varieties of distribution coefficient of phosphoric acid are analyzed. In different systems (phosphoric acid solution with sodium sulfate or potassium sulfate at 303.2 K), the distribution coefficient of phosphoric acid with sodium was found to be higher than that of potassium ion, which demonstrates that the extraction of phosphoric acid with sodium is greater than that with potassium ion. In addition, NRTL model and Pitzer’s equation are used to correlate the experimental data. The result shows that it is suitable for both systems and obtains adjustable binary parameters of the NRTL model.","container-title":"Journal of Chemical &amp; Engineering Data","DOI":"10.1021/acs.jced.5b00867","ISSN":"0021-9568","issue":"5","journalAbbreviation":"J. Chem. Eng. Data","note":"publisher: American Chemical Society","page":"1735-1742","source":"ACS Publications","title":"Liquid–Liquid Equilibrium Data of Extraction with Tri-n-butyl Phosphate on Phosphoric Acid Containing Sodium Sulfate or Potassium Sulfate","volume":"61","author":[{"family":"Ren","given":"Yongsheng"},{"family":"Liu","given":"Chengqi"},{"family":"Cao","given":"Jing"},{"family":"Mu","given":"Wenfang"},{"family":"Ding","given":"Xiaoxiang"}],"issued":{"date-parts":[["2016",5,12]]}},"label":"page"},{"id":156,"uris":["http://zotero.org/users/14336916/items/JLQCZQ6K"],"itemData":{"id":156,"type":"article-journal","abstract":"Solvent extraction using organic solvents is an important technology for the purification of wet process phosphoric acid (WPA). In this study, the purification process of WPA, using a new type of solvent extraction system, cyclohexanol diluted in kerosene, was investigated. The equilibrium phase diagram of the system H3PO4-H2O-solvent mixtures at 313.2K was obtained. The effects of extraction time, phosphoric acid concentration, cyclohexanol concentration, temperature, phase ratio on extraction efficiency were studied. The extracted species was shown to be 2H3PO4 · 2C6H12O. The extraction process of H3PO4 is exothermic and the enthalpy change, </w:instrText>
      </w:r>
      <w:r w:rsidR="004963D0">
        <w:rPr>
          <w:rFonts w:ascii="Cambria Math" w:hAnsi="Cambria Math" w:cs="Cambria Math"/>
        </w:rPr>
        <w:instrText>△</w:instrText>
      </w:r>
      <w:r w:rsidR="004963D0">
        <w:instrText xml:space="preserve">H, was obtained. Via a cross-current three-stage extraction, the solvent mixtures have a high efficiency for phosphoric acid purification from the actual industrial WPA with an H3PO4 extraction yield of 90.2% at room temperature. The study is capable of enriching theoretical foundation and technical guidance for the phosphoric acid purification process.","container-title":"Solvent Extraction Research and Development, Japan","DOI":"10.15261/serdj.24.23","issue":"1","page":"23-35","source":"J-Stage","title":"Purification of Wet Process Phosphoric Acid by Solvent Extraction using Cyclohexanol","volume":"24","author":[{"family":"Li","given":"Xing"},{"family":"Li","given":"Jun"},{"family":"Luo","given":"JianHong"},{"family":"Jin","given":"Yang"},{"family":"Zou","given":"Da"}],"issued":{"date-parts":[["2017"]]}},"label":"page"},{"id":155,"uris":["http://zotero.org/users/14336916/items/ENTKH4TD"],"itemData":{"id":155,"type":"article-journal","abstract":"BACKGROUND Solvent extraction using organic extractants is an important technology for purifying wet process phosphoric acid. The purification of the wet process phosphoric acid by liquid–liquid extraction using solvent mixtures of N-octanol and tributylphosphate has been investigated. RESULTS The purification process comprised extraction, scrubbing and stripping operations. The extraction conditions, i.e. shaking time, temperature, composition of solvent mixtures and P2O5 concentration for purification of the wet process phosphoric acid were studied. The phase diagram of the pseudo-ternary system H3PO4-H2O-solvent mixtures at 313.15 K was determined. The McCabe–Thiele diagram showed that three counter-current stages achieved about 91 wt% P2O5 extraction at 313.15 K. Scrubbing and stripping operations using pure phosphoric acid with 10 wt% P2O5 and doubly distilled water, respectively, were studied. CONCLUSIONS The phosphoric acid finally produced was found to be high grade which met the special requirements of the user. Optimization of the extraction conditions and system was capable of providing academic and technical foundations to realize industrial production. © 2012 Society of Chemical Industry","container-title":"Journal of Chemical Technology &amp; Biotechnology","DOI":"10.1002/jctb.4023","ISSN":"1097-4660","issue":"9","language":"en","license":"© 2012 Society of Chemical Industry","note":"_eprint: https://onlinelibrary.wiley.com/doi/pdf/10.1002/jctb.4023","page":"1715-1720","source":"Wiley Online Library","title":"Wet process phosphoric acid purification by solvent extraction using N-octanol and tributylphosphate mixtures","volume":"88","author":[{"family":"Ye","given":"Changwen"},{"family":"Li","given":"Jun"}],"issued":{"date-parts":[["2013"]]}},"label":"page"}],"schema":"https://github.com/citation-style-language/schema/raw/master/csl-citation.json"} </w:instrText>
      </w:r>
      <w:r w:rsidR="002A55A3" w:rsidRPr="008B2CBF">
        <w:fldChar w:fldCharType="separate"/>
      </w:r>
      <w:r w:rsidR="004963D0" w:rsidRPr="004963D0">
        <w:t>[33–35]</w:t>
      </w:r>
      <w:r w:rsidR="002A55A3" w:rsidRPr="008B2CBF">
        <w:fldChar w:fldCharType="end"/>
      </w:r>
      <w:r w:rsidR="002A55A3" w:rsidRPr="008B2CBF">
        <w:t xml:space="preserve">. </w:t>
      </w:r>
      <w:r w:rsidR="00385C08" w:rsidRPr="008B2CBF">
        <w:t>The current phosphate processing plant generates 1.2 million tons of P</w:t>
      </w:r>
      <w:r w:rsidR="00385C08" w:rsidRPr="008B2CBF">
        <w:rPr>
          <w:vertAlign w:val="subscript"/>
        </w:rPr>
        <w:t>2</w:t>
      </w:r>
      <w:r w:rsidR="00385C08" w:rsidRPr="008B2CBF">
        <w:t>O</w:t>
      </w:r>
      <w:r w:rsidR="00385C08" w:rsidRPr="008B2CBF">
        <w:rPr>
          <w:vertAlign w:val="subscript"/>
        </w:rPr>
        <w:t xml:space="preserve">5  </w:t>
      </w:r>
      <w:r w:rsidR="00385C08" w:rsidRPr="008B2CBF">
        <w:t>annually as a</w:t>
      </w:r>
      <w:r w:rsidR="00B2323E">
        <w:t>n</w:t>
      </w:r>
      <w:r w:rsidR="00385C08" w:rsidRPr="008B2CBF">
        <w:t xml:space="preserve"> MGA (54%) </w:t>
      </w:r>
      <w:r w:rsidR="00385C08" w:rsidRPr="008B2CBF">
        <w:fldChar w:fldCharType="begin"/>
      </w:r>
      <w:r w:rsidR="00385C08" w:rsidRPr="008B2CBF">
        <w:instrText xml:space="preserve"> ADDIN ZOTERO_ITEM CSL_CITATION {"citationID":"C9r5MxyI","properties":{"formattedCitation":"[37]","plainCitation":"[37]","noteIndex":0},"citationItems":[{"id":841,"uris":["http://zotero.org/users/14336916/items/88LKM3MV"],"itemData":{"id":841,"type":"article-journal","container-title":"Annual Financial Report","title":"Annual Financial Report 2023","URL":"https://ocpsiteprodsa.blob.core.windows.net/media/2024-04/Rapport%20Financier%20Annuel%202023.pdf","author":[{"family":"OCP Group","given":""}],"issued":{"date-parts":[["2024"]]}}}],"schema":"https://github.com/citation-style-language/schema/raw/master/csl-citation.json"} </w:instrText>
      </w:r>
      <w:r w:rsidR="00385C08" w:rsidRPr="008B2CBF">
        <w:fldChar w:fldCharType="separate"/>
      </w:r>
      <w:r w:rsidR="00385C08" w:rsidRPr="008B2CBF">
        <w:t>[37]</w:t>
      </w:r>
      <w:r w:rsidR="00385C08" w:rsidRPr="008B2CBF">
        <w:fldChar w:fldCharType="end"/>
      </w:r>
      <w:r w:rsidR="00385C08" w:rsidRPr="008B2CBF">
        <w:t xml:space="preserve">. </w:t>
      </w:r>
      <w:r w:rsidR="00F42FB0" w:rsidRPr="008B2CBF">
        <w:t>The implementation of suggested transformational processes is intended to produce more than one million tons of P</w:t>
      </w:r>
      <w:r w:rsidR="00F42FB0" w:rsidRPr="008B2CBF">
        <w:rPr>
          <w:vertAlign w:val="subscript"/>
        </w:rPr>
        <w:t>2</w:t>
      </w:r>
      <w:r w:rsidR="00F42FB0" w:rsidRPr="008B2CBF">
        <w:t>O</w:t>
      </w:r>
      <w:r w:rsidR="00F42FB0" w:rsidRPr="008B2CBF">
        <w:rPr>
          <w:vertAlign w:val="subscript"/>
        </w:rPr>
        <w:t>5</w:t>
      </w:r>
      <w:r w:rsidR="00F42FB0" w:rsidRPr="008B2CBF">
        <w:t xml:space="preserve"> per year, in a TGA concentration (62%), compatible with battery requirements.</w:t>
      </w:r>
    </w:p>
    <w:p w14:paraId="592023BD" w14:textId="48DA34BB" w:rsidR="00043406" w:rsidRPr="008B2CBF" w:rsidRDefault="00190C48" w:rsidP="000C479E">
      <w:pPr>
        <w:pStyle w:val="Paragraph"/>
      </w:pPr>
      <w:r w:rsidRPr="008B2CBF">
        <w:t xml:space="preserve">As mentioned earlier, 26 Kg of elemental phosphorus is required to manufacture an LFP battery for each EV. Given that </w:t>
      </w:r>
      <w:r w:rsidR="00D658F0" w:rsidRPr="008B2CBF">
        <w:t>1 mole of P</w:t>
      </w:r>
      <w:r w:rsidR="00D658F0" w:rsidRPr="008B2CBF">
        <w:rPr>
          <w:vertAlign w:val="subscript"/>
        </w:rPr>
        <w:t>2</w:t>
      </w:r>
      <w:r w:rsidR="00D658F0" w:rsidRPr="008B2CBF">
        <w:t>O</w:t>
      </w:r>
      <w:r w:rsidR="00D658F0" w:rsidRPr="008B2CBF">
        <w:rPr>
          <w:vertAlign w:val="subscript"/>
        </w:rPr>
        <w:t>5</w:t>
      </w:r>
      <w:r w:rsidR="00D658F0" w:rsidRPr="008B2CBF">
        <w:t xml:space="preserve"> contains 2 moles of pure phosphorus, the weight ratio between P</w:t>
      </w:r>
      <w:r w:rsidR="00D658F0" w:rsidRPr="008B2CBF">
        <w:rPr>
          <w:vertAlign w:val="subscript"/>
        </w:rPr>
        <w:t>2</w:t>
      </w:r>
      <w:r w:rsidR="00D658F0" w:rsidRPr="008B2CBF">
        <w:t>O</w:t>
      </w:r>
      <w:r w:rsidR="00D658F0" w:rsidRPr="008B2CBF">
        <w:rPr>
          <w:vertAlign w:val="subscript"/>
        </w:rPr>
        <w:t>5</w:t>
      </w:r>
      <w:r w:rsidR="00D658F0" w:rsidRPr="008B2CBF">
        <w:t xml:space="preserve"> and P is expressed by R</w:t>
      </w:r>
      <w:r w:rsidR="00D658F0" w:rsidRPr="008B2CBF">
        <w:rPr>
          <w:vertAlign w:val="subscript"/>
        </w:rPr>
        <w:t>1</w:t>
      </w:r>
      <w:r w:rsidR="00D658F0" w:rsidRPr="008B2CBF">
        <w:t>.</w:t>
      </w:r>
    </w:p>
    <w:p w14:paraId="4107E7C5" w14:textId="2D731A4D" w:rsidR="00043406" w:rsidRPr="008B2CBF" w:rsidRDefault="00000000" w:rsidP="00043406">
      <w:pPr>
        <w:pStyle w:val="Equation"/>
      </w:pPr>
      <m:oMathPara>
        <m:oMath>
          <m:sSub>
            <m:sSubPr>
              <m:ctrlPr>
                <w:rPr>
                  <w:rFonts w:ascii="Cambria Math" w:eastAsia="Calibri" w:hAnsi="Cambria Math"/>
                </w:rPr>
              </m:ctrlPr>
            </m:sSubPr>
            <m:e>
              <m:r>
                <m:rPr>
                  <m:sty m:val="p"/>
                </m:rPr>
                <w:rPr>
                  <w:rFonts w:ascii="Cambria Math" w:eastAsia="Calibri" w:hAnsi="Cambria Math"/>
                </w:rPr>
                <m:t>R</m:t>
              </m:r>
            </m:e>
            <m:sub>
              <m:r>
                <m:rPr>
                  <m:sty m:val="p"/>
                </m:rPr>
                <w:rPr>
                  <w:rFonts w:ascii="Cambria Math" w:eastAsia="Calibri" w:hAnsi="Cambria Math"/>
                </w:rPr>
                <m:t>1</m:t>
              </m:r>
            </m:sub>
          </m:sSub>
          <m:r>
            <m:rPr>
              <m:sty m:val="p"/>
            </m:rPr>
            <w:rPr>
              <w:rFonts w:ascii="Cambria Math" w:eastAsia="Calibri" w:hAnsi="Cambria Math"/>
            </w:rPr>
            <m:t>=</m:t>
          </m:r>
          <m:f>
            <m:fPr>
              <m:ctrlPr>
                <w:rPr>
                  <w:rFonts w:ascii="Cambria Math" w:eastAsia="Calibri" w:hAnsi="Cambria Math"/>
                </w:rPr>
              </m:ctrlPr>
            </m:fPr>
            <m:num>
              <m:r>
                <w:rPr>
                  <w:rFonts w:ascii="Cambria Math" w:eastAsia="Calibri" w:hAnsi="Cambria Math"/>
                </w:rPr>
                <m:t>Molecular</m:t>
              </m:r>
              <m:r>
                <m:rPr>
                  <m:sty m:val="p"/>
                </m:rPr>
                <w:rPr>
                  <w:rFonts w:ascii="Cambria Math" w:eastAsia="Calibri" w:hAnsi="Cambria Math"/>
                </w:rPr>
                <m:t xml:space="preserve"> </m:t>
              </m:r>
              <m:r>
                <w:rPr>
                  <w:rFonts w:ascii="Cambria Math" w:eastAsia="Calibri" w:hAnsi="Cambria Math"/>
                </w:rPr>
                <m:t>weight</m:t>
              </m:r>
              <m:r>
                <m:rPr>
                  <m:sty m:val="p"/>
                </m:rPr>
                <w:rPr>
                  <w:rFonts w:ascii="Cambria Math" w:eastAsia="Calibri" w:hAnsi="Cambria Math"/>
                </w:rPr>
                <m:t xml:space="preserve"> </m:t>
              </m:r>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P</m:t>
                      </m:r>
                    </m:e>
                    <m:sub>
                      <m:r>
                        <m:rPr>
                          <m:sty m:val="p"/>
                        </m:rPr>
                        <w:rPr>
                          <w:rFonts w:ascii="Cambria Math" w:eastAsia="Calibri" w:hAnsi="Cambria Math"/>
                        </w:rPr>
                        <m:t>2</m:t>
                      </m:r>
                    </m:sub>
                  </m:sSub>
                  <m:sSub>
                    <m:sSubPr>
                      <m:ctrlPr>
                        <w:rPr>
                          <w:rFonts w:ascii="Cambria Math" w:eastAsia="Calibri" w:hAnsi="Cambria Math"/>
                        </w:rPr>
                      </m:ctrlPr>
                    </m:sSubPr>
                    <m:e>
                      <m:r>
                        <m:rPr>
                          <m:sty m:val="p"/>
                        </m:rPr>
                        <w:rPr>
                          <w:rFonts w:ascii="Cambria Math" w:eastAsia="Calibri" w:hAnsi="Cambria Math"/>
                        </w:rPr>
                        <m:t>O</m:t>
                      </m:r>
                    </m:e>
                    <m:sub>
                      <m:r>
                        <m:rPr>
                          <m:sty m:val="p"/>
                        </m:rPr>
                        <w:rPr>
                          <w:rFonts w:ascii="Cambria Math" w:eastAsia="Calibri" w:hAnsi="Cambria Math"/>
                        </w:rPr>
                        <m:t>5</m:t>
                      </m:r>
                    </m:sub>
                  </m:sSub>
                </m:e>
              </m:d>
            </m:num>
            <m:den>
              <m:r>
                <w:rPr>
                  <w:rFonts w:ascii="Cambria Math" w:eastAsia="Calibri" w:hAnsi="Cambria Math"/>
                </w:rPr>
                <m:t>Molecular</m:t>
              </m:r>
              <m:r>
                <m:rPr>
                  <m:sty m:val="p"/>
                </m:rPr>
                <w:rPr>
                  <w:rFonts w:ascii="Cambria Math" w:eastAsia="Calibri" w:hAnsi="Cambria Math"/>
                </w:rPr>
                <m:t xml:space="preserve"> </m:t>
              </m:r>
              <m:r>
                <w:rPr>
                  <w:rFonts w:ascii="Cambria Math" w:eastAsia="Calibri" w:hAnsi="Cambria Math"/>
                </w:rPr>
                <m:t>weight</m:t>
              </m:r>
              <m:r>
                <m:rPr>
                  <m:sty m:val="p"/>
                </m:rPr>
                <w:rPr>
                  <w:rFonts w:ascii="Cambria Math" w:eastAsia="Calibri" w:hAnsi="Cambria Math"/>
                </w:rPr>
                <m:t xml:space="preserve"> </m:t>
              </m:r>
              <m:d>
                <m:dPr>
                  <m:ctrlPr>
                    <w:rPr>
                      <w:rFonts w:ascii="Cambria Math" w:eastAsia="Calibri" w:hAnsi="Cambria Math"/>
                    </w:rPr>
                  </m:ctrlPr>
                </m:dPr>
                <m:e>
                  <m:r>
                    <w:rPr>
                      <w:rFonts w:ascii="Cambria Math" w:eastAsia="Calibri" w:hAnsi="Cambria Math"/>
                    </w:rPr>
                    <m:t>P</m:t>
                  </m:r>
                </m:e>
              </m:d>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142</m:t>
              </m:r>
            </m:num>
            <m:den>
              <m:r>
                <m:rPr>
                  <m:sty m:val="p"/>
                </m:rPr>
                <w:rPr>
                  <w:rFonts w:ascii="Cambria Math" w:eastAsia="Calibri" w:hAnsi="Cambria Math"/>
                </w:rPr>
                <m:t>2*31</m:t>
              </m:r>
            </m:den>
          </m:f>
          <m:r>
            <m:rPr>
              <m:sty m:val="p"/>
            </m:rPr>
            <w:rPr>
              <w:rFonts w:ascii="Cambria Math" w:eastAsia="Calibri" w:hAnsi="Cambria Math"/>
            </w:rPr>
            <m:t xml:space="preserve"> ≈ 2.3</m:t>
          </m:r>
        </m:oMath>
      </m:oMathPara>
    </w:p>
    <w:p w14:paraId="67534FCC" w14:textId="77777777" w:rsidR="00043406" w:rsidRPr="008B2CBF" w:rsidRDefault="00043406" w:rsidP="00043406">
      <w:pPr>
        <w:pStyle w:val="Paragraph"/>
        <w:ind w:firstLine="0"/>
      </w:pPr>
    </w:p>
    <w:p w14:paraId="28EDE16E" w14:textId="6409AFBA" w:rsidR="00011257" w:rsidRPr="008B2CBF" w:rsidRDefault="00442F19" w:rsidP="00B17798">
      <w:pPr>
        <w:pStyle w:val="Paragraph"/>
      </w:pPr>
      <w:r w:rsidRPr="008B2CBF">
        <w:t xml:space="preserve">According to this ratio, the phosphoric acid treatment process in Morocco is expected to generate around 430,000 tons of elemental phosphorus annually. </w:t>
      </w:r>
      <w:r w:rsidR="00916437" w:rsidRPr="008B2CBF">
        <w:t xml:space="preserve">Due to the crucial role played by Moroccan phosphate in the worldwide food security, we suppose that only half of the production quantity will be employed in </w:t>
      </w:r>
      <w:r w:rsidR="0058438C" w:rsidRPr="008B2CBF">
        <w:t xml:space="preserve">the LFP manufacturing; this corresponds to an annual production of 215,000 tons of elemental P. </w:t>
      </w:r>
      <w:r w:rsidR="008406CD" w:rsidRPr="008B2CBF">
        <w:t xml:space="preserve">An amount that enables the manufacturing of almost 8 million EVs annually. Despite the lack of </w:t>
      </w:r>
      <w:r w:rsidR="00ED5229" w:rsidRPr="008B2CBF">
        <w:t xml:space="preserve">an </w:t>
      </w:r>
      <w:r w:rsidR="008406CD" w:rsidRPr="008B2CBF">
        <w:t xml:space="preserve">official </w:t>
      </w:r>
      <w:r w:rsidR="00ED5229" w:rsidRPr="008B2CBF">
        <w:t xml:space="preserve">technical specification of the intended Moroccan LFP. This locally fabricated cathode (from TGA) is expected to strictly adhere to the international </w:t>
      </w:r>
      <w:r w:rsidR="00C91563" w:rsidRPr="008B2CBF">
        <w:t xml:space="preserve">exigencies in terms of purity, gravimetric capacity (160 </w:t>
      </w:r>
      <w:proofErr w:type="spellStart"/>
      <w:r w:rsidR="00C91563" w:rsidRPr="008B2CBF">
        <w:t>mAh</w:t>
      </w:r>
      <w:proofErr w:type="spellEnd"/>
      <w:r w:rsidR="00C91563" w:rsidRPr="008B2CBF">
        <w:t>/g), and voltage (3.3 V)</w:t>
      </w:r>
      <w:r w:rsidR="00E661D3" w:rsidRPr="008B2CBF">
        <w:rPr>
          <w:color w:val="EE0000"/>
        </w:rPr>
        <w:t xml:space="preserve">. </w:t>
      </w:r>
      <w:r w:rsidR="00E661D3" w:rsidRPr="008B2CBF">
        <w:t xml:space="preserve">These expectations are frequently supported, particularly by the </w:t>
      </w:r>
      <w:r w:rsidR="00011257" w:rsidRPr="008B2CBF">
        <w:t>ambitio</w:t>
      </w:r>
      <w:r w:rsidR="001A592F" w:rsidRPr="008B2CBF">
        <w:t>n</w:t>
      </w:r>
      <w:r w:rsidR="00011257" w:rsidRPr="008B2CBF">
        <w:t>s</w:t>
      </w:r>
      <w:r w:rsidR="00E661D3" w:rsidRPr="008B2CBF">
        <w:t xml:space="preserve"> of world-renowned companies that aim to manufacture LFP cathodes by exploiting phosphate from Morocco. Notably, LG Chem and its subsidiary, </w:t>
      </w:r>
      <w:proofErr w:type="spellStart"/>
      <w:r w:rsidR="00E661D3" w:rsidRPr="008B2CBF">
        <w:t>Youshan</w:t>
      </w:r>
      <w:proofErr w:type="spellEnd"/>
      <w:r w:rsidR="00DC7780" w:rsidRPr="008B2CBF">
        <w:t xml:space="preserve">, are </w:t>
      </w:r>
      <w:r w:rsidR="00E661D3" w:rsidRPr="008B2CBF">
        <w:t>plan</w:t>
      </w:r>
      <w:r w:rsidR="00DC7780" w:rsidRPr="008B2CBF">
        <w:t>ning</w:t>
      </w:r>
      <w:r w:rsidR="00E661D3" w:rsidRPr="008B2CBF">
        <w:t xml:space="preserve"> to build a plant with an annual capacity of 50,000 tons of LFP cathode materials. In addition, the joint company AL MADA-CNGR Advanced Materials </w:t>
      </w:r>
      <w:r w:rsidR="00FC27AF" w:rsidRPr="008B2CBF">
        <w:t>is expecting</w:t>
      </w:r>
      <w:r w:rsidR="00E661D3" w:rsidRPr="008B2CBF">
        <w:t xml:space="preserve"> to produce 60,000 tons of these cathode elements within the COBCO complex </w:t>
      </w:r>
      <w:r w:rsidR="00E661D3" w:rsidRPr="008B2CBF">
        <w:fldChar w:fldCharType="begin"/>
      </w:r>
      <w:r w:rsidR="00E661D3" w:rsidRPr="008B2CBF">
        <w:instrText xml:space="preserve"> ADDIN ZOTERO_ITEM CSL_CITATION {"citationID":"u3Rt6OLx","properties":{"unsorted":true,"formattedCitation":"[38, 39]","plainCitation":"[38, 39]","noteIndex":0},"citationItems":[{"id":2907,"uris":["http://zotero.org/users/14336916/items/2GC3S3CA"],"itemData":{"id":2907,"type":"report","language":"en","title":"LG Chem to Build LFP Cathode Plant in Morocco","title-short":"https","URL":"https://www.plastics-technology.com/news/lg-chem-to-build-lfp-cathode-plant-in-morocco","author":[{"family":"Plastics Technology","given":""}],"accessed":{"date-parts":[["2025",8,13]]},"issued":{"date-parts":[["2023",9,25]]}}},{"id":2909,"uris":["http://zotero.org/users/14336916/items/P92E83X4"],"itemData":{"id":2909,"type":"report","abstract":"On June 25, 2025, COBCO officially inaugurated the first phase of its cutting-edge integrated industrial complex for nickel-manganese-cobalt (NMC) precursor cathodes (pCAM) in Jorf Lasfar, Morocco. This pioneering facility, with an initial capacity of 40,000 tons,","language":"fr-FR","note":"section: Economie","title":"COBCO Launches Morocco’s First Lithium-Ion Battery Materials Manufacturing Plant in Jorf Lasfar","URL":"https://industries.ma/cobco-launches-moroccos-first-lithium-ion-battery-materials-manufacturing-plant-in-jorf-lasfar/","author":[{"family":"Industrie.ma","given":""}],"accessed":{"date-parts":[["2025",8,13]]},"issued":{"date-parts":[["2025",6,25]]}}}],"schema":"https://github.com/citation-style-language/schema/raw/master/csl-citation.json"} </w:instrText>
      </w:r>
      <w:r w:rsidR="00E661D3" w:rsidRPr="008B2CBF">
        <w:fldChar w:fldCharType="separate"/>
      </w:r>
      <w:r w:rsidR="00E661D3" w:rsidRPr="008B2CBF">
        <w:t>[38, 39]</w:t>
      </w:r>
      <w:r w:rsidR="00E661D3" w:rsidRPr="008B2CBF">
        <w:fldChar w:fldCharType="end"/>
      </w:r>
      <w:r w:rsidR="00E661D3" w:rsidRPr="008B2CBF">
        <w:t xml:space="preserve">. </w:t>
      </w:r>
    </w:p>
    <w:p w14:paraId="0FBED014" w14:textId="5E73D42A" w:rsidR="00F43C8A" w:rsidRPr="008B2CBF" w:rsidRDefault="00694784" w:rsidP="00012843">
      <w:pPr>
        <w:pStyle w:val="Paragraph"/>
      </w:pPr>
      <w:r w:rsidRPr="008B2CBF">
        <w:t>From another perspective, Morocco’s ability to implement TGA production facilities is facing geopolitical, regulatory</w:t>
      </w:r>
      <w:r w:rsidR="001A592F" w:rsidRPr="008B2CBF">
        <w:t>,</w:t>
      </w:r>
      <w:r w:rsidRPr="008B2CBF">
        <w:t xml:space="preserve"> and supply chain threats. Despite political stability in the country, the international phosphate market is still vulnerable to trade limitations, export strategies</w:t>
      </w:r>
      <w:r w:rsidR="001A592F" w:rsidRPr="008B2CBF">
        <w:t>,</w:t>
      </w:r>
      <w:r w:rsidRPr="008B2CBF">
        <w:t xml:space="preserve"> and competition from major producers such as China. These factors may affect market access and prices</w:t>
      </w:r>
      <w:r w:rsidR="00043406" w:rsidRPr="008B2CBF">
        <w:t xml:space="preserve">. Insufficient regulatory framework for battery-grade critical minerals hinders investment in upgrading phosphoric acid from 54% to 62% P₂O₅. Regarding the phosphate supply chain, the OCP group today is still prioritizing raw and intermediate exports with </w:t>
      </w:r>
      <w:r w:rsidR="006363BF" w:rsidRPr="008B2CBF">
        <w:t>no</w:t>
      </w:r>
      <w:r w:rsidR="00043406" w:rsidRPr="008B2CBF">
        <w:t xml:space="preserve"> domestic battery-grade refining capacity. Delays in infrastructure development, market volatility, and stricter environmental compliance requirements could hinder the creation of a reliable, large-scale TGA supply chain in the short term. This suggests that significant technical obstacles are emerging, particularly highlighted by the example of phosphoric acid, which points to the restricted ability to process Moroccan raw materials into battery-grade precursors and the lack of sophisticated processing infrastructure and industrial synergy with LIB manufacturing </w:t>
      </w:r>
      <w:r w:rsidR="00043406" w:rsidRPr="008B2CBF">
        <w:fldChar w:fldCharType="begin"/>
      </w:r>
      <w:r w:rsidR="00012843">
        <w:instrText xml:space="preserve"> ADDIN ZOTERO_ITEM CSL_CITATION {"citationID":"a230b0dj3rl","properties":{"formattedCitation":"[22]","plainCitation":"[22]","noteIndex":0},"citationItems":[{"id":1554,"uris":["http://zotero.org/users/14336916/items/Z6XYI982"],"itemData":{"id":1554,"type":"article-journal","abstract":"Electric Vehicles (EVs) are a viable option for achieving carbon neutrality in the transportation sector. A key component of this alternative, lithium-ion batteries (LIB), contributes to developing sustainable and energyefficient vehicles. Recognising the significance of mineral raw materials for a sustainable LIB supply chain, leading countries have established policies and initiatives to enhance their autonomous sourcing of these critical components. This article examines, for the first time, the Moroccan resources and policies concerning these vital minerals, highlighting the opportunities and challenges in building a robust mining supply chain to support local LIB production. A rigorous examination of prior works has pinpointed the key vital minerals used in LIB, fol­ lowed by a discussion on Morocco’s potential regarding these critical minerals. Morocco benefits from political stability and possesses significant reserves and production capacity for battery raw materials, including 30 million metric tonnes of phosphates, 1.5 million metric tonnes of manganese, 45 million metric tonnes of cobalt and nickel, 5 million metric tonnes of copper, and further prospective deposits of iron, lithium, and graphite. The findings indicate that although the country’s resource wealth and political stability offer a strong foundation, it is necessary to improve mineral exploration and production levels of these critical minerals, as well as to valorise these reserves, which are currently being exported in their raw or intermediate forms without substantial additional value for the nation. The present study establishes a foundation for sustainable electric mobility through the development of a local industrial ecosystem for LIB.","container-title":"Sustainable Energy Technologies and Assessments","DOI":"10.1016/j.seta.2025.104245","ISSN":"22131388","journalAbbreviation":"Sustainable Energy Technologies and Assessments","language":"en","page":"104245","source":"DOI.org (Crossref)","title":"Toward carbon–neutral transportation: Harnessing Morocco’s critical minerals for sustainable lithium-ion batteries","title-short":"Toward carbon–neutral transportation","volume":"75","author":[{"family":"Azerblou","given":"Said"},{"family":"Oubah","given":"Redouane"},{"family":"Ouachtouk","given":"Hamza"},{"family":"Tace","given":"Elmostafa"}],"issued":{"date-parts":[["2025",3]]}}}],"schema":"https://github.com/citation-style-language/schema/raw/master/csl-citation.json"} </w:instrText>
      </w:r>
      <w:r w:rsidR="00043406" w:rsidRPr="008B2CBF">
        <w:fldChar w:fldCharType="separate"/>
      </w:r>
      <w:r w:rsidR="00012843" w:rsidRPr="00012843">
        <w:t>[22]</w:t>
      </w:r>
      <w:r w:rsidR="00043406" w:rsidRPr="008B2CBF">
        <w:fldChar w:fldCharType="end"/>
      </w:r>
      <w:r w:rsidR="002F0ACC" w:rsidRPr="008B2CBF">
        <w:t xml:space="preserve">. </w:t>
      </w:r>
      <w:r w:rsidR="00043406" w:rsidRPr="008B2CBF">
        <w:t xml:space="preserve">Enabling local TGA production will allow for the valorization of domestic phosphate reserves, rather than exporting low-value raw materials, and will generate high-quality battery-grade precursors essential for LFP cathodes, thereby reducing dependence on imported high-purity phosphoric acid or LFP precursors. </w:t>
      </w:r>
      <w:r w:rsidR="00F43C8A" w:rsidRPr="008B2CBF">
        <w:t>As China largely dominates the global LFP market, the suggested model would guarantee Morocco a constant, sustainable</w:t>
      </w:r>
      <w:r w:rsidR="00012843">
        <w:t>,</w:t>
      </w:r>
      <w:r w:rsidR="00F43C8A" w:rsidRPr="008B2CBF">
        <w:t xml:space="preserve"> and stable supply for </w:t>
      </w:r>
      <w:r w:rsidR="002F0ACC" w:rsidRPr="008B2CBF">
        <w:t>Europe</w:t>
      </w:r>
      <w:r w:rsidR="00F43C8A" w:rsidRPr="008B2CBF">
        <w:t xml:space="preserve"> and </w:t>
      </w:r>
      <w:r w:rsidR="002F0ACC" w:rsidRPr="008B2CBF">
        <w:t>Africa</w:t>
      </w:r>
      <w:r w:rsidR="00F43C8A" w:rsidRPr="008B2CBF">
        <w:t>. It would benefit from its strategic geographical location as well as advantageous trade and tax agreements, while mitigating the effects of fluctuation in international markets and trade disputes.</w:t>
      </w:r>
    </w:p>
    <w:p w14:paraId="0B0124E0" w14:textId="77777777" w:rsidR="00043406" w:rsidRPr="008B2CBF" w:rsidRDefault="00043406" w:rsidP="00043406">
      <w:pPr>
        <w:pStyle w:val="Titre1"/>
      </w:pPr>
      <w:r w:rsidRPr="008B2CBF">
        <w:t>CONCLUSION</w:t>
      </w:r>
    </w:p>
    <w:p w14:paraId="399E50D7" w14:textId="3554A9A4" w:rsidR="00CA34D5" w:rsidRDefault="009116FB" w:rsidP="00091AA3">
      <w:pPr>
        <w:pStyle w:val="Paragraph"/>
        <w:ind w:right="4"/>
        <w:rPr>
          <w:lang w:eastAsia="de-DE"/>
        </w:rPr>
      </w:pPr>
      <w:r w:rsidRPr="008B2CBF">
        <w:t>Countries are competing to establish independence on minerals essential for the clean energy transition. This work explores Morocco’s ability to transform its natural resources in order to ensure its autonomy in terms of essential raw materials for LIB. Morocco has significant deposits and production capacities in phosphate resources, crucial for the manufacture of LFP cathodes</w:t>
      </w:r>
      <w:r w:rsidR="0030353A" w:rsidRPr="008B2CBF">
        <w:t>,</w:t>
      </w:r>
      <w:r w:rsidRPr="008B2CBF">
        <w:t xml:space="preserve"> the </w:t>
      </w:r>
      <w:r w:rsidR="0030353A" w:rsidRPr="008B2CBF">
        <w:t>prominent</w:t>
      </w:r>
      <w:r w:rsidRPr="008B2CBF">
        <w:t xml:space="preserve"> electrode of LIB. A</w:t>
      </w:r>
      <w:r w:rsidR="0071439C" w:rsidRPr="008B2CBF">
        <w:t xml:space="preserve"> thorough</w:t>
      </w:r>
      <w:r w:rsidRPr="008B2CBF">
        <w:t xml:space="preserve"> analysis revealed that high</w:t>
      </w:r>
      <w:r w:rsidR="001A592F" w:rsidRPr="008B2CBF">
        <w:t>-</w:t>
      </w:r>
      <w:r w:rsidRPr="008B2CBF">
        <w:t xml:space="preserve">purity phosphoric acid </w:t>
      </w:r>
      <w:r w:rsidR="0071439C" w:rsidRPr="008B2CBF">
        <w:t xml:space="preserve">(TGA) </w:t>
      </w:r>
      <w:r w:rsidRPr="008B2CBF">
        <w:t>is the main phosphorus precursor employed in the production of LFP. Although the country has vast mineral resources and a potential production of 30 million metric tons of phosphates, the</w:t>
      </w:r>
      <w:r w:rsidR="0071439C" w:rsidRPr="008B2CBF">
        <w:t xml:space="preserve"> commercialized</w:t>
      </w:r>
      <w:r w:rsidRPr="008B2CBF">
        <w:t xml:space="preserve"> product is</w:t>
      </w:r>
      <w:r w:rsidR="0071439C" w:rsidRPr="008B2CBF">
        <w:t xml:space="preserve"> the</w:t>
      </w:r>
      <w:r w:rsidRPr="008B2CBF">
        <w:t xml:space="preserve"> phosphoric acid containing 54% </w:t>
      </w:r>
      <w:bookmarkStart w:id="2" w:name="_Hlk212911172"/>
      <w:r w:rsidRPr="008B2CBF">
        <w:t>P</w:t>
      </w:r>
      <w:r w:rsidRPr="008B2CBF">
        <w:rPr>
          <w:vertAlign w:val="subscript"/>
        </w:rPr>
        <w:t>2</w:t>
      </w:r>
      <w:r w:rsidRPr="008B2CBF">
        <w:t>O</w:t>
      </w:r>
      <w:r w:rsidRPr="008B2CBF">
        <w:rPr>
          <w:vertAlign w:val="subscript"/>
        </w:rPr>
        <w:t>5</w:t>
      </w:r>
      <w:bookmarkEnd w:id="2"/>
      <w:r w:rsidR="0099381F" w:rsidRPr="008B2CBF">
        <w:t xml:space="preserve">, which </w:t>
      </w:r>
      <w:r w:rsidRPr="008B2CBF">
        <w:t xml:space="preserve">is not </w:t>
      </w:r>
      <w:r w:rsidR="0099381F" w:rsidRPr="008B2CBF">
        <w:t>suitable for</w:t>
      </w:r>
      <w:r w:rsidRPr="008B2CBF">
        <w:t xml:space="preserve"> the production of LFP cathodes and requires additional refining processes to achieve the </w:t>
      </w:r>
      <w:r w:rsidR="0099381F" w:rsidRPr="008B2CBF">
        <w:t>battery-grade specifications</w:t>
      </w:r>
      <w:r w:rsidRPr="008B2CBF">
        <w:t>. Thus, purification processes, including impurity removal, liquid-liquid extraction</w:t>
      </w:r>
      <w:r w:rsidR="001A592F" w:rsidRPr="008B2CBF">
        <w:t>,</w:t>
      </w:r>
      <w:r w:rsidRPr="008B2CBF">
        <w:t xml:space="preserve"> and evaporation, were set up to </w:t>
      </w:r>
      <w:r w:rsidR="004C1AF8" w:rsidRPr="008B2CBF">
        <w:t>upgrade</w:t>
      </w:r>
      <w:r w:rsidRPr="008B2CBF">
        <w:t xml:space="preserve"> the concentration of phosphoric acid at a level corresponding to TGA quality</w:t>
      </w:r>
      <w:r w:rsidR="004C1AF8" w:rsidRPr="008B2CBF">
        <w:t xml:space="preserve"> (</w:t>
      </w:r>
      <w:r w:rsidRPr="008B2CBF">
        <w:t>62% P</w:t>
      </w:r>
      <w:r w:rsidRPr="008B2CBF">
        <w:rPr>
          <w:vertAlign w:val="subscript"/>
        </w:rPr>
        <w:t>2</w:t>
      </w:r>
      <w:r w:rsidRPr="008B2CBF">
        <w:t>O</w:t>
      </w:r>
      <w:r w:rsidRPr="008B2CBF">
        <w:rPr>
          <w:vertAlign w:val="subscript"/>
        </w:rPr>
        <w:t>5</w:t>
      </w:r>
      <w:r w:rsidR="004C1AF8" w:rsidRPr="008B2CBF">
        <w:t>)</w:t>
      </w:r>
      <w:r w:rsidRPr="008B2CBF">
        <w:t xml:space="preserve"> required for the production of the LFP</w:t>
      </w:r>
      <w:r w:rsidR="00091AA3" w:rsidRPr="008B2CBF">
        <w:t xml:space="preserve"> cathodes</w:t>
      </w:r>
      <w:r w:rsidRPr="008B2CBF">
        <w:t xml:space="preserve">. </w:t>
      </w:r>
      <w:r w:rsidR="004C1AF8" w:rsidRPr="008B2CBF">
        <w:t>By dev</w:t>
      </w:r>
      <w:r w:rsidR="001A592F" w:rsidRPr="008B2CBF">
        <w:t>e</w:t>
      </w:r>
      <w:r w:rsidR="004C1AF8" w:rsidRPr="008B2CBF">
        <w:t>l</w:t>
      </w:r>
      <w:r w:rsidR="001A592F" w:rsidRPr="008B2CBF">
        <w:t>o</w:t>
      </w:r>
      <w:r w:rsidR="004C1AF8" w:rsidRPr="008B2CBF">
        <w:t>ping these processes,</w:t>
      </w:r>
      <w:r w:rsidRPr="008B2CBF">
        <w:t xml:space="preserve"> Morocco w</w:t>
      </w:r>
      <w:r w:rsidR="004C1AF8" w:rsidRPr="008B2CBF">
        <w:t>ould</w:t>
      </w:r>
      <w:r w:rsidRPr="008B2CBF">
        <w:t xml:space="preserve"> be able to </w:t>
      </w:r>
      <w:r w:rsidR="00211D77" w:rsidRPr="008B2CBF">
        <w:t xml:space="preserve">generate </w:t>
      </w:r>
      <w:r w:rsidR="00211D77" w:rsidRPr="008B2CBF">
        <w:rPr>
          <w:lang w:eastAsia="de-DE"/>
        </w:rPr>
        <w:t>TGA-grade equivalents of over 1 million tons of P₂O₅ annually, enabling a production capacity of 8 million electric vehicles per year using LFP chemistry</w:t>
      </w:r>
      <w:r w:rsidRPr="008B2CBF">
        <w:t xml:space="preserve">. The application of these transformation procedures could increase Morocco’s competitiveness on the international stage of </w:t>
      </w:r>
      <w:r w:rsidR="00211D77" w:rsidRPr="008B2CBF">
        <w:t>LIB</w:t>
      </w:r>
      <w:r w:rsidRPr="008B2CBF">
        <w:t xml:space="preserve">, encourage the establishment of a </w:t>
      </w:r>
      <w:r w:rsidR="00ED7711" w:rsidRPr="008B2CBF">
        <w:t>domestic</w:t>
      </w:r>
      <w:r w:rsidRPr="008B2CBF">
        <w:t xml:space="preserve"> batter</w:t>
      </w:r>
      <w:r w:rsidR="00ED7711" w:rsidRPr="008B2CBF">
        <w:t>ies industry</w:t>
      </w:r>
      <w:r w:rsidR="009D30DE" w:rsidRPr="008B2CBF">
        <w:t>,</w:t>
      </w:r>
      <w:r w:rsidRPr="008B2CBF">
        <w:t xml:space="preserve"> and reduce dependence</w:t>
      </w:r>
      <w:r w:rsidR="009D30DE" w:rsidRPr="008B2CBF">
        <w:t xml:space="preserve"> on</w:t>
      </w:r>
      <w:r w:rsidR="00ED7711" w:rsidRPr="008B2CBF">
        <w:t xml:space="preserve"> </w:t>
      </w:r>
      <w:r w:rsidRPr="008B2CBF">
        <w:t>import</w:t>
      </w:r>
      <w:r w:rsidR="00ED7711" w:rsidRPr="008B2CBF">
        <w:t>ation</w:t>
      </w:r>
      <w:r w:rsidRPr="008B2CBF">
        <w:t xml:space="preserve">, thus </w:t>
      </w:r>
      <w:r w:rsidRPr="008B2CBF">
        <w:lastRenderedPageBreak/>
        <w:t xml:space="preserve">placing the country in a strategic supplier position within the framework of the energy transition. </w:t>
      </w:r>
      <w:r w:rsidR="00043406" w:rsidRPr="008B2CBF">
        <w:t xml:space="preserve">This work is mainly a study of concepts and process design that aims to come up with a workable flow sheet for turning Moroccan phosphate into battery-grade materials needed for LFP cathodes. </w:t>
      </w:r>
      <w:r w:rsidR="00043406" w:rsidRPr="008B2CBF">
        <w:rPr>
          <w:lang w:eastAsia="de-DE"/>
        </w:rPr>
        <w:t>However, more economic and techn</w:t>
      </w:r>
      <w:r w:rsidR="00AB3C6D" w:rsidRPr="008B2CBF">
        <w:rPr>
          <w:lang w:eastAsia="de-DE"/>
        </w:rPr>
        <w:t>ica</w:t>
      </w:r>
      <w:r w:rsidR="00043406" w:rsidRPr="008B2CBF">
        <w:rPr>
          <w:lang w:eastAsia="de-DE"/>
        </w:rPr>
        <w:t>l studies are needed to validate the proposed processes in order to reach the final goal of building an integrated industrial ecosystem for local EV manufacturing.</w:t>
      </w:r>
    </w:p>
    <w:p w14:paraId="231D1673" w14:textId="77777777" w:rsidR="004366DE" w:rsidRPr="00470A27" w:rsidRDefault="004366DE" w:rsidP="004366DE">
      <w:pPr>
        <w:pStyle w:val="Titre1"/>
        <w:spacing w:after="0"/>
      </w:pPr>
      <w:r w:rsidRPr="00470A27">
        <w:t>REFERENCES</w:t>
      </w:r>
    </w:p>
    <w:p w14:paraId="2DF2F3A0" w14:textId="77777777" w:rsidR="004366DE" w:rsidRPr="00470A27" w:rsidRDefault="004366DE" w:rsidP="004366DE">
      <w:pPr>
        <w:pStyle w:val="Paragraph"/>
      </w:pPr>
    </w:p>
    <w:p w14:paraId="00C9BA5D" w14:textId="77777777" w:rsidR="00012843" w:rsidRPr="00012843" w:rsidRDefault="004366DE" w:rsidP="00012843">
      <w:pPr>
        <w:pStyle w:val="Bibliographie"/>
        <w:spacing w:after="0"/>
        <w:rPr>
          <w:sz w:val="20"/>
        </w:rPr>
      </w:pPr>
      <w:r w:rsidRPr="00470A27">
        <w:fldChar w:fldCharType="begin"/>
      </w:r>
      <w:r w:rsidR="00012843">
        <w:instrText xml:space="preserve"> ADDIN ZOTERO_BIBL {"uncited":[],"omitted":[],"custom":[]} CSL_BIBLIOGRAPHY </w:instrText>
      </w:r>
      <w:r w:rsidRPr="00470A27">
        <w:fldChar w:fldCharType="separate"/>
      </w:r>
      <w:r w:rsidR="00012843" w:rsidRPr="00012843">
        <w:rPr>
          <w:sz w:val="20"/>
        </w:rPr>
        <w:t xml:space="preserve">1. </w:t>
      </w:r>
      <w:r w:rsidR="00012843" w:rsidRPr="00012843">
        <w:rPr>
          <w:sz w:val="20"/>
        </w:rPr>
        <w:tab/>
        <w:t xml:space="preserve">Liu, Y. et al., </w:t>
      </w:r>
      <w:r w:rsidR="00012843" w:rsidRPr="00012843">
        <w:rPr>
          <w:i/>
          <w:iCs/>
          <w:sz w:val="20"/>
        </w:rPr>
        <w:t>Recent progress of Mn-based NASICON-type sodium ion cathodes</w:t>
      </w:r>
      <w:r w:rsidR="00012843" w:rsidRPr="00012843">
        <w:rPr>
          <w:sz w:val="20"/>
        </w:rPr>
        <w:t xml:space="preserve">. Energy Storage Materials, 2023. </w:t>
      </w:r>
      <w:r w:rsidR="00012843" w:rsidRPr="00012843">
        <w:rPr>
          <w:b/>
          <w:bCs/>
          <w:sz w:val="20"/>
        </w:rPr>
        <w:t>57</w:t>
      </w:r>
      <w:r w:rsidR="00012843" w:rsidRPr="00012843">
        <w:rPr>
          <w:sz w:val="20"/>
        </w:rPr>
        <w:t>: p. 69–80. https://doi.org/10.1016/j.ensm.2023.02.005.</w:t>
      </w:r>
    </w:p>
    <w:p w14:paraId="55FF303D" w14:textId="77777777" w:rsidR="00012843" w:rsidRPr="00012843" w:rsidRDefault="00012843" w:rsidP="00012843">
      <w:pPr>
        <w:pStyle w:val="Bibliographie"/>
        <w:spacing w:after="0"/>
        <w:rPr>
          <w:sz w:val="20"/>
        </w:rPr>
      </w:pPr>
      <w:r w:rsidRPr="00012843">
        <w:rPr>
          <w:sz w:val="20"/>
        </w:rPr>
        <w:t xml:space="preserve">2. </w:t>
      </w:r>
      <w:r w:rsidRPr="00012843">
        <w:rPr>
          <w:sz w:val="20"/>
        </w:rPr>
        <w:tab/>
        <w:t xml:space="preserve">Scrosati, B., Hassoun, J., Sun, Y.-K., </w:t>
      </w:r>
      <w:r w:rsidRPr="00012843">
        <w:rPr>
          <w:i/>
          <w:iCs/>
          <w:sz w:val="20"/>
        </w:rPr>
        <w:t>Lithium-ion batteries. A look into the future</w:t>
      </w:r>
      <w:r w:rsidRPr="00012843">
        <w:rPr>
          <w:sz w:val="20"/>
        </w:rPr>
        <w:t xml:space="preserve">. Energy &amp; Environmental Science, 2011. </w:t>
      </w:r>
      <w:r w:rsidRPr="00012843">
        <w:rPr>
          <w:b/>
          <w:bCs/>
          <w:sz w:val="20"/>
        </w:rPr>
        <w:t>4</w:t>
      </w:r>
      <w:r w:rsidRPr="00012843">
        <w:rPr>
          <w:sz w:val="20"/>
        </w:rPr>
        <w:t>(9): p. 3287–3295. https://doi.org/10.1039/C1EE01388B.</w:t>
      </w:r>
    </w:p>
    <w:p w14:paraId="39EA85AE" w14:textId="77777777" w:rsidR="00012843" w:rsidRPr="00012843" w:rsidRDefault="00012843" w:rsidP="00012843">
      <w:pPr>
        <w:pStyle w:val="Bibliographie"/>
        <w:spacing w:after="0"/>
        <w:rPr>
          <w:sz w:val="20"/>
        </w:rPr>
      </w:pPr>
      <w:r w:rsidRPr="00012843">
        <w:rPr>
          <w:sz w:val="20"/>
        </w:rPr>
        <w:t xml:space="preserve">3. </w:t>
      </w:r>
      <w:r w:rsidRPr="00012843">
        <w:rPr>
          <w:sz w:val="20"/>
        </w:rPr>
        <w:tab/>
        <w:t xml:space="preserve">Ouachtouk, H. et al., </w:t>
      </w:r>
      <w:r w:rsidRPr="00012843">
        <w:rPr>
          <w:i/>
          <w:iCs/>
          <w:sz w:val="20"/>
        </w:rPr>
        <w:t>Synthesis, Characterization, Magnetic, Elastic, and Electronic Properties of La2ZnMnO6 Double Perovskite</w:t>
      </w:r>
      <w:r w:rsidRPr="00012843">
        <w:rPr>
          <w:sz w:val="20"/>
        </w:rPr>
        <w:t xml:space="preserve">. Journal of Superconductivity and Novel Magnetism, 2024. </w:t>
      </w:r>
      <w:r w:rsidRPr="00012843">
        <w:rPr>
          <w:b/>
          <w:bCs/>
          <w:sz w:val="20"/>
        </w:rPr>
        <w:t>37</w:t>
      </w:r>
      <w:r w:rsidRPr="00012843">
        <w:rPr>
          <w:sz w:val="20"/>
        </w:rPr>
        <w:t>(8): p. 1541–1550. https://doi.org/10.1007/s10948-024-06776-9.</w:t>
      </w:r>
    </w:p>
    <w:p w14:paraId="75172A44" w14:textId="77777777" w:rsidR="00012843" w:rsidRPr="00012843" w:rsidRDefault="00012843" w:rsidP="00012843">
      <w:pPr>
        <w:pStyle w:val="Bibliographie"/>
        <w:spacing w:after="0"/>
        <w:rPr>
          <w:sz w:val="20"/>
        </w:rPr>
      </w:pPr>
      <w:r w:rsidRPr="00012843">
        <w:rPr>
          <w:sz w:val="20"/>
        </w:rPr>
        <w:t xml:space="preserve">4. </w:t>
      </w:r>
      <w:r w:rsidRPr="00012843">
        <w:rPr>
          <w:sz w:val="20"/>
        </w:rPr>
        <w:tab/>
        <w:t xml:space="preserve">Ozawa, K., </w:t>
      </w:r>
      <w:r w:rsidRPr="00012843">
        <w:rPr>
          <w:i/>
          <w:iCs/>
          <w:sz w:val="20"/>
        </w:rPr>
        <w:t>Lithium-ion rechargeable batteries with LiCoO2 and carbon electrodes: the LiCoO2/C system</w:t>
      </w:r>
      <w:r w:rsidRPr="00012843">
        <w:rPr>
          <w:sz w:val="20"/>
        </w:rPr>
        <w:t xml:space="preserve">. Solid State Ionics, 1994. </w:t>
      </w:r>
      <w:r w:rsidRPr="00012843">
        <w:rPr>
          <w:b/>
          <w:bCs/>
          <w:sz w:val="20"/>
        </w:rPr>
        <w:t>69</w:t>
      </w:r>
      <w:r w:rsidRPr="00012843">
        <w:rPr>
          <w:sz w:val="20"/>
        </w:rPr>
        <w:t>(3–4): p. 212–221. https://doi.org/10.1016/0167-2738(94)90411-1.</w:t>
      </w:r>
    </w:p>
    <w:p w14:paraId="14BD6C8A" w14:textId="77777777" w:rsidR="00012843" w:rsidRPr="00012843" w:rsidRDefault="00012843" w:rsidP="00012843">
      <w:pPr>
        <w:pStyle w:val="Bibliographie"/>
        <w:spacing w:after="0"/>
        <w:rPr>
          <w:sz w:val="20"/>
        </w:rPr>
      </w:pPr>
      <w:r w:rsidRPr="00012843">
        <w:rPr>
          <w:sz w:val="20"/>
        </w:rPr>
        <w:t xml:space="preserve">5. </w:t>
      </w:r>
      <w:r w:rsidRPr="00012843">
        <w:rPr>
          <w:sz w:val="20"/>
        </w:rPr>
        <w:tab/>
        <w:t xml:space="preserve">Ding, Y. et al., </w:t>
      </w:r>
      <w:r w:rsidRPr="00012843">
        <w:rPr>
          <w:i/>
          <w:iCs/>
          <w:sz w:val="20"/>
        </w:rPr>
        <w:t>Automotive Li-Ion Batteries: Current Status and Future Perspectives</w:t>
      </w:r>
      <w:r w:rsidRPr="00012843">
        <w:rPr>
          <w:sz w:val="20"/>
        </w:rPr>
        <w:t xml:space="preserve">. Electrochemical Energy Reviews, 2019. </w:t>
      </w:r>
      <w:r w:rsidRPr="00012843">
        <w:rPr>
          <w:b/>
          <w:bCs/>
          <w:sz w:val="20"/>
        </w:rPr>
        <w:t>2</w:t>
      </w:r>
      <w:r w:rsidRPr="00012843">
        <w:rPr>
          <w:sz w:val="20"/>
        </w:rPr>
        <w:t>(1): p. 1–28. https://doi.org/10.1007/s41918-018-0022-z.</w:t>
      </w:r>
    </w:p>
    <w:p w14:paraId="41F9AB19" w14:textId="77777777" w:rsidR="00012843" w:rsidRPr="00012843" w:rsidRDefault="00012843" w:rsidP="00012843">
      <w:pPr>
        <w:pStyle w:val="Bibliographie"/>
        <w:spacing w:after="0"/>
        <w:rPr>
          <w:sz w:val="20"/>
        </w:rPr>
      </w:pPr>
      <w:r w:rsidRPr="00012843">
        <w:rPr>
          <w:sz w:val="20"/>
        </w:rPr>
        <w:t xml:space="preserve">6. </w:t>
      </w:r>
      <w:r w:rsidRPr="00012843">
        <w:rPr>
          <w:sz w:val="20"/>
        </w:rPr>
        <w:tab/>
        <w:t xml:space="preserve">Zubi, G. et al., </w:t>
      </w:r>
      <w:r w:rsidRPr="00012843">
        <w:rPr>
          <w:i/>
          <w:iCs/>
          <w:sz w:val="20"/>
        </w:rPr>
        <w:t>The lithium-ion battery: State of the art and future perspectives</w:t>
      </w:r>
      <w:r w:rsidRPr="00012843">
        <w:rPr>
          <w:sz w:val="20"/>
        </w:rPr>
        <w:t xml:space="preserve">. Renewable and sustainable energy reviews, 2018. </w:t>
      </w:r>
      <w:r w:rsidRPr="00012843">
        <w:rPr>
          <w:b/>
          <w:bCs/>
          <w:sz w:val="20"/>
        </w:rPr>
        <w:t>89</w:t>
      </w:r>
      <w:r w:rsidRPr="00012843">
        <w:rPr>
          <w:sz w:val="20"/>
        </w:rPr>
        <w:t>: p. 292–308. https://doi.org/10.1016/j.rser.2018.03.002.</w:t>
      </w:r>
    </w:p>
    <w:p w14:paraId="2225A411" w14:textId="77777777" w:rsidR="00012843" w:rsidRPr="00012843" w:rsidRDefault="00012843" w:rsidP="00012843">
      <w:pPr>
        <w:pStyle w:val="Bibliographie"/>
        <w:spacing w:after="0"/>
        <w:rPr>
          <w:sz w:val="20"/>
        </w:rPr>
      </w:pPr>
      <w:r w:rsidRPr="00012843">
        <w:rPr>
          <w:sz w:val="20"/>
        </w:rPr>
        <w:t xml:space="preserve">7. </w:t>
      </w:r>
      <w:r w:rsidRPr="00012843">
        <w:rPr>
          <w:sz w:val="20"/>
        </w:rPr>
        <w:tab/>
        <w:t xml:space="preserve">Zhou, L. et al., </w:t>
      </w:r>
      <w:r w:rsidRPr="00012843">
        <w:rPr>
          <w:i/>
          <w:iCs/>
          <w:sz w:val="20"/>
        </w:rPr>
        <w:t>Recent Developments on and Prospects for Electrode Materials with Hierarchical Structures for Lithium‐Ion Batteries</w:t>
      </w:r>
      <w:r w:rsidRPr="00012843">
        <w:rPr>
          <w:sz w:val="20"/>
        </w:rPr>
        <w:t xml:space="preserve">. Advanced Energy Materials, 2018. </w:t>
      </w:r>
      <w:r w:rsidRPr="00012843">
        <w:rPr>
          <w:b/>
          <w:bCs/>
          <w:sz w:val="20"/>
        </w:rPr>
        <w:t>8</w:t>
      </w:r>
      <w:r w:rsidRPr="00012843">
        <w:rPr>
          <w:sz w:val="20"/>
        </w:rPr>
        <w:t>(6): p. 1701415. https://doi.org/10.1002/aenm.201701415.</w:t>
      </w:r>
    </w:p>
    <w:p w14:paraId="1913ECAE" w14:textId="77777777" w:rsidR="00012843" w:rsidRPr="00012843" w:rsidRDefault="00012843" w:rsidP="00012843">
      <w:pPr>
        <w:pStyle w:val="Bibliographie"/>
        <w:spacing w:after="0"/>
        <w:rPr>
          <w:sz w:val="20"/>
        </w:rPr>
      </w:pPr>
      <w:r w:rsidRPr="00012843">
        <w:rPr>
          <w:sz w:val="20"/>
        </w:rPr>
        <w:t xml:space="preserve">8. </w:t>
      </w:r>
      <w:r w:rsidRPr="00012843">
        <w:rPr>
          <w:sz w:val="20"/>
        </w:rPr>
        <w:tab/>
        <w:t xml:space="preserve">Cheng, A.L. et al., </w:t>
      </w:r>
      <w:r w:rsidRPr="00012843">
        <w:rPr>
          <w:i/>
          <w:iCs/>
          <w:sz w:val="20"/>
        </w:rPr>
        <w:t>Electric vehicle battery chemistry affects supply chain disruption vulnerabilities</w:t>
      </w:r>
      <w:r w:rsidRPr="00012843">
        <w:rPr>
          <w:sz w:val="20"/>
        </w:rPr>
        <w:t xml:space="preserve">. Nature Communications, 2024. </w:t>
      </w:r>
      <w:r w:rsidRPr="00012843">
        <w:rPr>
          <w:b/>
          <w:bCs/>
          <w:sz w:val="20"/>
        </w:rPr>
        <w:t>15</w:t>
      </w:r>
      <w:r w:rsidRPr="00012843">
        <w:rPr>
          <w:sz w:val="20"/>
        </w:rPr>
        <w:t>(1): p. 2143. https://doi.org/10.1038/s41467-024-46418-1.</w:t>
      </w:r>
    </w:p>
    <w:p w14:paraId="2C6B9426" w14:textId="77777777" w:rsidR="00012843" w:rsidRPr="00012843" w:rsidRDefault="00012843" w:rsidP="00012843">
      <w:pPr>
        <w:pStyle w:val="Bibliographie"/>
        <w:spacing w:after="0"/>
        <w:rPr>
          <w:sz w:val="20"/>
        </w:rPr>
      </w:pPr>
      <w:r w:rsidRPr="00012843">
        <w:rPr>
          <w:sz w:val="20"/>
        </w:rPr>
        <w:t xml:space="preserve">9. </w:t>
      </w:r>
      <w:r w:rsidRPr="00012843">
        <w:rPr>
          <w:sz w:val="20"/>
        </w:rPr>
        <w:tab/>
        <w:t xml:space="preserve">Ioakimidis, C.S. et al., </w:t>
      </w:r>
      <w:r w:rsidRPr="00012843">
        <w:rPr>
          <w:i/>
          <w:iCs/>
          <w:sz w:val="20"/>
        </w:rPr>
        <w:t>Life Cycle Assessment of a Lithium Iron Phosphate (LFP) Electric Vehicle Battery in Second Life Application Scenarios</w:t>
      </w:r>
      <w:r w:rsidRPr="00012843">
        <w:rPr>
          <w:sz w:val="20"/>
        </w:rPr>
        <w:t xml:space="preserve">. Sustainability, 2019. </w:t>
      </w:r>
      <w:r w:rsidRPr="00012843">
        <w:rPr>
          <w:b/>
          <w:bCs/>
          <w:sz w:val="20"/>
        </w:rPr>
        <w:t>11</w:t>
      </w:r>
      <w:r w:rsidRPr="00012843">
        <w:rPr>
          <w:sz w:val="20"/>
        </w:rPr>
        <w:t>(9): p. 2527. https://doi.org/10.3390/su11092527.</w:t>
      </w:r>
    </w:p>
    <w:p w14:paraId="361F2D7A" w14:textId="77777777" w:rsidR="00012843" w:rsidRPr="00012843" w:rsidRDefault="00012843" w:rsidP="00012843">
      <w:pPr>
        <w:pStyle w:val="Bibliographie"/>
        <w:spacing w:after="0"/>
        <w:rPr>
          <w:sz w:val="20"/>
        </w:rPr>
      </w:pPr>
      <w:r w:rsidRPr="00012843">
        <w:rPr>
          <w:sz w:val="20"/>
        </w:rPr>
        <w:t xml:space="preserve">10. </w:t>
      </w:r>
      <w:r w:rsidRPr="00012843">
        <w:rPr>
          <w:sz w:val="20"/>
        </w:rPr>
        <w:tab/>
        <w:t xml:space="preserve">Fallah, N., Fitzpatrick, C., </w:t>
      </w:r>
      <w:r w:rsidRPr="00012843">
        <w:rPr>
          <w:i/>
          <w:iCs/>
          <w:sz w:val="20"/>
        </w:rPr>
        <w:t>Is shifting from Li-ion NMC to LFP in EVs beneficial for second-life storages in electricity markets?</w:t>
      </w:r>
      <w:r w:rsidRPr="00012843">
        <w:rPr>
          <w:sz w:val="20"/>
        </w:rPr>
        <w:t xml:space="preserve">. Journal of Energy Storage, 2023. </w:t>
      </w:r>
      <w:r w:rsidRPr="00012843">
        <w:rPr>
          <w:b/>
          <w:bCs/>
          <w:sz w:val="20"/>
        </w:rPr>
        <w:t>68</w:t>
      </w:r>
      <w:r w:rsidRPr="00012843">
        <w:rPr>
          <w:sz w:val="20"/>
        </w:rPr>
        <w:t>: p. 107740. https://doi.org/10.1016/j.est.2023.107740.</w:t>
      </w:r>
    </w:p>
    <w:p w14:paraId="65207995" w14:textId="77777777" w:rsidR="00012843" w:rsidRPr="00012843" w:rsidRDefault="00012843" w:rsidP="00012843">
      <w:pPr>
        <w:pStyle w:val="Bibliographie"/>
        <w:spacing w:after="0"/>
        <w:rPr>
          <w:sz w:val="20"/>
        </w:rPr>
      </w:pPr>
      <w:r w:rsidRPr="00012843">
        <w:rPr>
          <w:sz w:val="20"/>
        </w:rPr>
        <w:t xml:space="preserve">11. </w:t>
      </w:r>
      <w:r w:rsidRPr="00012843">
        <w:rPr>
          <w:sz w:val="20"/>
        </w:rPr>
        <w:tab/>
        <w:t xml:space="preserve">Li, M. et al., </w:t>
      </w:r>
      <w:r w:rsidRPr="00012843">
        <w:rPr>
          <w:i/>
          <w:iCs/>
          <w:sz w:val="20"/>
        </w:rPr>
        <w:t>30 Years of Lithium‐Ion Batteries</w:t>
      </w:r>
      <w:r w:rsidRPr="00012843">
        <w:rPr>
          <w:sz w:val="20"/>
        </w:rPr>
        <w:t xml:space="preserve">. Advanced Materials, 2018. </w:t>
      </w:r>
      <w:r w:rsidRPr="00012843">
        <w:rPr>
          <w:b/>
          <w:bCs/>
          <w:sz w:val="20"/>
        </w:rPr>
        <w:t>30</w:t>
      </w:r>
      <w:r w:rsidRPr="00012843">
        <w:rPr>
          <w:sz w:val="20"/>
        </w:rPr>
        <w:t>(33): p. 1800561. https://doi.org/10.1002/adma.201800561.</w:t>
      </w:r>
    </w:p>
    <w:p w14:paraId="29E54849" w14:textId="77777777" w:rsidR="00012843" w:rsidRPr="00012843" w:rsidRDefault="00012843" w:rsidP="00012843">
      <w:pPr>
        <w:pStyle w:val="Bibliographie"/>
        <w:spacing w:after="0"/>
        <w:rPr>
          <w:sz w:val="20"/>
        </w:rPr>
      </w:pPr>
      <w:r w:rsidRPr="00012843">
        <w:rPr>
          <w:sz w:val="20"/>
        </w:rPr>
        <w:t xml:space="preserve">12. </w:t>
      </w:r>
      <w:r w:rsidRPr="00012843">
        <w:rPr>
          <w:sz w:val="20"/>
        </w:rPr>
        <w:tab/>
        <w:t xml:space="preserve">Nikhil Bhandari et al., </w:t>
      </w:r>
      <w:r w:rsidRPr="00012843">
        <w:rPr>
          <w:i/>
          <w:iCs/>
          <w:sz w:val="20"/>
        </w:rPr>
        <w:t>Global Batteries The Greenflation Challenge</w:t>
      </w:r>
      <w:r w:rsidRPr="00012843">
        <w:rPr>
          <w:sz w:val="20"/>
        </w:rPr>
        <w:t>. 2022. https://www.goldmansachs.com/insights/goldman-sachs-research/batteries-the-greenflation-challenge.</w:t>
      </w:r>
    </w:p>
    <w:p w14:paraId="5C12D55C" w14:textId="77777777" w:rsidR="00012843" w:rsidRPr="00012843" w:rsidRDefault="00012843" w:rsidP="00012843">
      <w:pPr>
        <w:pStyle w:val="Bibliographie"/>
        <w:spacing w:after="0"/>
        <w:rPr>
          <w:sz w:val="20"/>
        </w:rPr>
      </w:pPr>
      <w:r w:rsidRPr="00012843">
        <w:rPr>
          <w:sz w:val="20"/>
        </w:rPr>
        <w:t xml:space="preserve">13. </w:t>
      </w:r>
      <w:r w:rsidRPr="00012843">
        <w:rPr>
          <w:sz w:val="20"/>
        </w:rPr>
        <w:tab/>
        <w:t xml:space="preserve">Oskaras, A. et al., </w:t>
      </w:r>
      <w:r w:rsidRPr="00012843">
        <w:rPr>
          <w:i/>
          <w:iCs/>
          <w:sz w:val="20"/>
        </w:rPr>
        <w:t>Global EV Outlook 2024- Moving towards increased affordability</w:t>
      </w:r>
      <w:r w:rsidRPr="00012843">
        <w:rPr>
          <w:sz w:val="20"/>
        </w:rPr>
        <w:t xml:space="preserve">. International Energy Agency, 2024. </w:t>
      </w:r>
      <w:r w:rsidRPr="00012843">
        <w:rPr>
          <w:b/>
          <w:bCs/>
          <w:sz w:val="20"/>
        </w:rPr>
        <w:t>April 2024</w:t>
      </w:r>
      <w:r w:rsidRPr="00012843">
        <w:rPr>
          <w:sz w:val="20"/>
        </w:rPr>
        <w:t>: . https://iea.blob.core.windows.net/assets/a9e3544b-0b12-4e15-b407-65f5c8ce1b5f/GlobalEVOutlook2024.pdf.</w:t>
      </w:r>
    </w:p>
    <w:p w14:paraId="59901724" w14:textId="77777777" w:rsidR="00012843" w:rsidRPr="00012843" w:rsidRDefault="00012843" w:rsidP="00012843">
      <w:pPr>
        <w:pStyle w:val="Bibliographie"/>
        <w:spacing w:after="0"/>
        <w:rPr>
          <w:sz w:val="20"/>
        </w:rPr>
      </w:pPr>
      <w:r w:rsidRPr="00012843">
        <w:rPr>
          <w:sz w:val="20"/>
        </w:rPr>
        <w:t xml:space="preserve">14. </w:t>
      </w:r>
      <w:r w:rsidRPr="00012843">
        <w:rPr>
          <w:sz w:val="20"/>
        </w:rPr>
        <w:tab/>
        <w:t xml:space="preserve">Hasselwander, S., Meyer, M., Österle, I., </w:t>
      </w:r>
      <w:r w:rsidRPr="00012843">
        <w:rPr>
          <w:i/>
          <w:iCs/>
          <w:sz w:val="20"/>
        </w:rPr>
        <w:t>Techno-Economic Analysis of Different Battery Cell Chemistries for the Passenger Vehicle Market</w:t>
      </w:r>
      <w:r w:rsidRPr="00012843">
        <w:rPr>
          <w:sz w:val="20"/>
        </w:rPr>
        <w:t xml:space="preserve">. Batteries, 2023. </w:t>
      </w:r>
      <w:r w:rsidRPr="00012843">
        <w:rPr>
          <w:b/>
          <w:bCs/>
          <w:sz w:val="20"/>
        </w:rPr>
        <w:t>9</w:t>
      </w:r>
      <w:r w:rsidRPr="00012843">
        <w:rPr>
          <w:sz w:val="20"/>
        </w:rPr>
        <w:t>(7): p. 379. https://doi.org/10.3390/batteries9070379.</w:t>
      </w:r>
    </w:p>
    <w:p w14:paraId="07D4AF6D" w14:textId="77777777" w:rsidR="00012843" w:rsidRPr="00012843" w:rsidRDefault="00012843" w:rsidP="00012843">
      <w:pPr>
        <w:pStyle w:val="Bibliographie"/>
        <w:spacing w:after="0"/>
        <w:rPr>
          <w:sz w:val="20"/>
        </w:rPr>
      </w:pPr>
      <w:r w:rsidRPr="00012843">
        <w:rPr>
          <w:sz w:val="20"/>
        </w:rPr>
        <w:t xml:space="preserve">15. </w:t>
      </w:r>
      <w:r w:rsidRPr="00012843">
        <w:rPr>
          <w:sz w:val="20"/>
        </w:rPr>
        <w:tab/>
        <w:t xml:space="preserve">Horizon Europe, </w:t>
      </w:r>
      <w:r w:rsidRPr="00012843">
        <w:rPr>
          <w:i/>
          <w:iCs/>
          <w:sz w:val="20"/>
        </w:rPr>
        <w:t>Sustainable processing, refining and recycling of raw materials (Batteries Partnership)</w:t>
      </w:r>
      <w:r w:rsidRPr="00012843">
        <w:rPr>
          <w:sz w:val="20"/>
        </w:rPr>
        <w:t xml:space="preserve">. CORDIS - EU research results, 2021. </w:t>
      </w:r>
      <w:r w:rsidRPr="00012843">
        <w:rPr>
          <w:b/>
          <w:bCs/>
          <w:sz w:val="20"/>
        </w:rPr>
        <w:t>CL5-2021-D2-01–01</w:t>
      </w:r>
      <w:r w:rsidRPr="00012843">
        <w:rPr>
          <w:sz w:val="20"/>
        </w:rPr>
        <w:t>: . https://cordis.europa.eu/programme/id/HORIZON_HORIZON-CL5-2021-D2-01-01.</w:t>
      </w:r>
    </w:p>
    <w:p w14:paraId="055A98EE" w14:textId="77777777" w:rsidR="00012843" w:rsidRPr="00012843" w:rsidRDefault="00012843" w:rsidP="00012843">
      <w:pPr>
        <w:pStyle w:val="Bibliographie"/>
        <w:spacing w:after="0"/>
        <w:rPr>
          <w:sz w:val="20"/>
        </w:rPr>
      </w:pPr>
      <w:r w:rsidRPr="00012843">
        <w:rPr>
          <w:sz w:val="20"/>
        </w:rPr>
        <w:t xml:space="preserve">16. </w:t>
      </w:r>
      <w:r w:rsidRPr="00012843">
        <w:rPr>
          <w:sz w:val="20"/>
        </w:rPr>
        <w:tab/>
        <w:t xml:space="preserve">Ahlbrecht, K. et al., </w:t>
      </w:r>
      <w:r w:rsidRPr="00012843">
        <w:rPr>
          <w:i/>
          <w:iCs/>
          <w:sz w:val="20"/>
        </w:rPr>
        <w:t>Powering Europe’s Green Revolution: Paving the Way to a More Resilient and Sustainable Battery Industry-Research and Innovation Roadmap on Battery Technologies</w:t>
      </w:r>
      <w:r w:rsidRPr="00012843">
        <w:rPr>
          <w:sz w:val="20"/>
        </w:rPr>
        <w:t>. 2023.</w:t>
      </w:r>
    </w:p>
    <w:p w14:paraId="7FA99C01" w14:textId="77777777" w:rsidR="00012843" w:rsidRPr="00012843" w:rsidRDefault="00012843" w:rsidP="00012843">
      <w:pPr>
        <w:pStyle w:val="Bibliographie"/>
        <w:spacing w:after="0"/>
        <w:rPr>
          <w:sz w:val="20"/>
        </w:rPr>
      </w:pPr>
      <w:r w:rsidRPr="00012843">
        <w:rPr>
          <w:sz w:val="20"/>
        </w:rPr>
        <w:t xml:space="preserve">17. </w:t>
      </w:r>
      <w:r w:rsidRPr="00012843">
        <w:rPr>
          <w:sz w:val="20"/>
        </w:rPr>
        <w:tab/>
        <w:t xml:space="preserve">Jacques, P., </w:t>
      </w:r>
      <w:r w:rsidRPr="00012843">
        <w:rPr>
          <w:i/>
          <w:iCs/>
          <w:sz w:val="20"/>
        </w:rPr>
        <w:t>BATTERIES | Towards a competitive European industrial battery value chain for stationary applications and e-mobility</w:t>
      </w:r>
      <w:r w:rsidRPr="00012843">
        <w:rPr>
          <w:sz w:val="20"/>
        </w:rPr>
        <w:t>. EMIRI, RECHARGE, EUCAR, 2020.</w:t>
      </w:r>
    </w:p>
    <w:p w14:paraId="28D2BF63" w14:textId="77777777" w:rsidR="00012843" w:rsidRPr="00012843" w:rsidRDefault="00012843" w:rsidP="00012843">
      <w:pPr>
        <w:pStyle w:val="Bibliographie"/>
        <w:spacing w:after="0"/>
        <w:rPr>
          <w:sz w:val="20"/>
        </w:rPr>
      </w:pPr>
      <w:r w:rsidRPr="00012843">
        <w:rPr>
          <w:sz w:val="20"/>
        </w:rPr>
        <w:t xml:space="preserve">18. </w:t>
      </w:r>
      <w:r w:rsidRPr="00012843">
        <w:rPr>
          <w:sz w:val="20"/>
        </w:rPr>
        <w:tab/>
        <w:t xml:space="preserve">Rechenberger, D., Fuhu, C., </w:t>
      </w:r>
      <w:r w:rsidRPr="00012843">
        <w:rPr>
          <w:i/>
          <w:iCs/>
          <w:sz w:val="20"/>
        </w:rPr>
        <w:t>BASF and Shanshan form battery materials joint venture in China</w:t>
      </w:r>
      <w:r w:rsidRPr="00012843">
        <w:rPr>
          <w:sz w:val="20"/>
        </w:rPr>
        <w:t>. BASF Shanshan Battery Materials Co., Ltd, 2021. https://www.basf.com/basf/www/global/en/media/news-releases/2021/08/p-21-294.</w:t>
      </w:r>
    </w:p>
    <w:p w14:paraId="3804F788" w14:textId="77777777" w:rsidR="00012843" w:rsidRPr="00012843" w:rsidRDefault="00012843" w:rsidP="00012843">
      <w:pPr>
        <w:pStyle w:val="Bibliographie"/>
        <w:spacing w:after="0"/>
        <w:rPr>
          <w:sz w:val="20"/>
        </w:rPr>
      </w:pPr>
      <w:r w:rsidRPr="00012843">
        <w:rPr>
          <w:sz w:val="20"/>
        </w:rPr>
        <w:t xml:space="preserve">19. </w:t>
      </w:r>
      <w:r w:rsidRPr="00012843">
        <w:rPr>
          <w:sz w:val="20"/>
        </w:rPr>
        <w:tab/>
        <w:t xml:space="preserve">Hubungi, </w:t>
      </w:r>
      <w:r w:rsidRPr="00012843">
        <w:rPr>
          <w:i/>
          <w:iCs/>
          <w:sz w:val="20"/>
        </w:rPr>
        <w:t>GEM Secures the South Korean Market and Enters the North American Market by Joining Hands with SK On &amp; ECOPRO</w:t>
      </w:r>
      <w:r w:rsidRPr="00012843">
        <w:rPr>
          <w:sz w:val="20"/>
        </w:rPr>
        <w:t>. GEM Recycling for future, 2023. https://www.gemindonesia.com/CompanyNews/info_itemid_7291.html?utm_source=chatgpt.com.</w:t>
      </w:r>
    </w:p>
    <w:p w14:paraId="3198E995" w14:textId="77777777" w:rsidR="00012843" w:rsidRPr="00012843" w:rsidRDefault="00012843" w:rsidP="00012843">
      <w:pPr>
        <w:pStyle w:val="Bibliographie"/>
        <w:spacing w:after="0"/>
        <w:rPr>
          <w:sz w:val="20"/>
        </w:rPr>
      </w:pPr>
      <w:r w:rsidRPr="00012843">
        <w:rPr>
          <w:sz w:val="20"/>
        </w:rPr>
        <w:t xml:space="preserve">20. </w:t>
      </w:r>
      <w:r w:rsidRPr="00012843">
        <w:rPr>
          <w:sz w:val="20"/>
        </w:rPr>
        <w:tab/>
        <w:t xml:space="preserve">Huanneng New Materials (Indonesia) Co., Ltd., </w:t>
      </w:r>
      <w:r w:rsidRPr="00012843">
        <w:rPr>
          <w:i/>
          <w:iCs/>
          <w:sz w:val="20"/>
        </w:rPr>
        <w:t>Huayou Cobalt Completes Its First Overseas Ternary Precursor Project and Successfully Begins Production-News Releases-Huayou New Energy Technology (Quzhou) Co., Ltd.</w:t>
      </w:r>
      <w:r w:rsidRPr="00012843">
        <w:rPr>
          <w:sz w:val="20"/>
        </w:rPr>
        <w:t xml:space="preserve"> Huayou Cobalt, 2023. https://www.huayou.com/en/news/corporate-news/260?utm_source=chatgpt.com.</w:t>
      </w:r>
    </w:p>
    <w:p w14:paraId="5245D66A" w14:textId="77777777" w:rsidR="00012843" w:rsidRPr="00012843" w:rsidRDefault="00012843" w:rsidP="00012843">
      <w:pPr>
        <w:pStyle w:val="Bibliographie"/>
        <w:spacing w:after="0"/>
        <w:rPr>
          <w:sz w:val="20"/>
        </w:rPr>
      </w:pPr>
      <w:r w:rsidRPr="00012843">
        <w:rPr>
          <w:sz w:val="20"/>
        </w:rPr>
        <w:t xml:space="preserve">21. </w:t>
      </w:r>
      <w:r w:rsidRPr="00012843">
        <w:rPr>
          <w:sz w:val="20"/>
        </w:rPr>
        <w:tab/>
        <w:t xml:space="preserve">Kwasi, A. et al., </w:t>
      </w:r>
      <w:r w:rsidRPr="00012843">
        <w:rPr>
          <w:i/>
          <w:iCs/>
          <w:sz w:val="20"/>
        </w:rPr>
        <w:t>The Cost of Producing Battery Precursors in the DRC</w:t>
      </w:r>
      <w:r w:rsidRPr="00012843">
        <w:rPr>
          <w:sz w:val="20"/>
        </w:rPr>
        <w:t>. BloombergNEF, 2021. https://assets.bbhub.io/professional/sites/24/BNEF-The-Cost-of-Producing-Battery-Precursors-in-the-DRC_FINAL.pdf.</w:t>
      </w:r>
    </w:p>
    <w:p w14:paraId="5C3F7FD1" w14:textId="77777777" w:rsidR="00012843" w:rsidRPr="00012843" w:rsidRDefault="00012843" w:rsidP="00012843">
      <w:pPr>
        <w:pStyle w:val="Bibliographie"/>
        <w:spacing w:after="0"/>
        <w:rPr>
          <w:sz w:val="20"/>
        </w:rPr>
      </w:pPr>
      <w:r w:rsidRPr="00012843">
        <w:rPr>
          <w:sz w:val="20"/>
        </w:rPr>
        <w:lastRenderedPageBreak/>
        <w:t xml:space="preserve">22. </w:t>
      </w:r>
      <w:r w:rsidRPr="00012843">
        <w:rPr>
          <w:sz w:val="20"/>
        </w:rPr>
        <w:tab/>
        <w:t xml:space="preserve">Azerblou, S. et al., </w:t>
      </w:r>
      <w:r w:rsidRPr="00012843">
        <w:rPr>
          <w:i/>
          <w:iCs/>
          <w:sz w:val="20"/>
        </w:rPr>
        <w:t>Toward carbon–neutral transportation: Harnessing Morocco’s critical minerals for sustainable lithium-ion batteries</w:t>
      </w:r>
      <w:r w:rsidRPr="00012843">
        <w:rPr>
          <w:sz w:val="20"/>
        </w:rPr>
        <w:t xml:space="preserve">. Sustainable Energy Technologies and Assessments, 2025. </w:t>
      </w:r>
      <w:r w:rsidRPr="00012843">
        <w:rPr>
          <w:b/>
          <w:bCs/>
          <w:sz w:val="20"/>
        </w:rPr>
        <w:t>75</w:t>
      </w:r>
      <w:r w:rsidRPr="00012843">
        <w:rPr>
          <w:sz w:val="20"/>
        </w:rPr>
        <w:t>: p. 104245. https://doi.org/10.1016/j.seta.2025.104245.</w:t>
      </w:r>
    </w:p>
    <w:p w14:paraId="0B175091" w14:textId="77777777" w:rsidR="00012843" w:rsidRPr="00012843" w:rsidRDefault="00012843" w:rsidP="00012843">
      <w:pPr>
        <w:pStyle w:val="Bibliographie"/>
        <w:spacing w:after="0"/>
        <w:rPr>
          <w:sz w:val="20"/>
        </w:rPr>
      </w:pPr>
      <w:r w:rsidRPr="00012843">
        <w:rPr>
          <w:sz w:val="20"/>
        </w:rPr>
        <w:t xml:space="preserve">23. </w:t>
      </w:r>
      <w:r w:rsidRPr="00012843">
        <w:rPr>
          <w:sz w:val="20"/>
        </w:rPr>
        <w:tab/>
        <w:t xml:space="preserve">Nekahi, A. et al., </w:t>
      </w:r>
      <w:r w:rsidRPr="00012843">
        <w:rPr>
          <w:i/>
          <w:iCs/>
          <w:sz w:val="20"/>
        </w:rPr>
        <w:t>Sustainable LiFePO4 and LiMnxFe1-xPO4 (x=0.1–1) cathode materials for lithium-ion batteries: A systematic review from mine to chassis</w:t>
      </w:r>
      <w:r w:rsidRPr="00012843">
        <w:rPr>
          <w:sz w:val="20"/>
        </w:rPr>
        <w:t xml:space="preserve">. Materials Science and Engineering R: Reports, 2024. </w:t>
      </w:r>
      <w:r w:rsidRPr="00012843">
        <w:rPr>
          <w:b/>
          <w:bCs/>
          <w:sz w:val="20"/>
        </w:rPr>
        <w:t>159</w:t>
      </w:r>
      <w:r w:rsidRPr="00012843">
        <w:rPr>
          <w:sz w:val="20"/>
        </w:rPr>
        <w:t>: . https://doi.org/10.1016/j.mser.2024.100797 https://www.scopus.com/inward/record.uri?eid=2-s2.0-85192083476&amp;doi=10.1016%2fj.mser.2024.100797&amp;partnerID=40&amp;md5=ccc69f63789e88f29897f0f8db94ddd5.</w:t>
      </w:r>
    </w:p>
    <w:p w14:paraId="187A83C6" w14:textId="77777777" w:rsidR="00012843" w:rsidRPr="00012843" w:rsidRDefault="00012843" w:rsidP="00012843">
      <w:pPr>
        <w:pStyle w:val="Bibliographie"/>
        <w:spacing w:after="0"/>
        <w:rPr>
          <w:sz w:val="20"/>
        </w:rPr>
      </w:pPr>
      <w:r w:rsidRPr="00012843">
        <w:rPr>
          <w:sz w:val="20"/>
        </w:rPr>
        <w:t xml:space="preserve">24. </w:t>
      </w:r>
      <w:r w:rsidRPr="00012843">
        <w:rPr>
          <w:sz w:val="20"/>
        </w:rPr>
        <w:tab/>
        <w:t xml:space="preserve">Li, Z. et al., </w:t>
      </w:r>
      <w:r w:rsidRPr="00012843">
        <w:rPr>
          <w:i/>
          <w:iCs/>
          <w:sz w:val="20"/>
        </w:rPr>
        <w:t xml:space="preserve">Controlled Hydrothermal/Solvothermal Synthesis of High‐Performance LiFePO </w:t>
      </w:r>
      <w:r w:rsidRPr="00012843">
        <w:rPr>
          <w:i/>
          <w:iCs/>
          <w:sz w:val="20"/>
          <w:vertAlign w:val="subscript"/>
        </w:rPr>
        <w:t>4</w:t>
      </w:r>
      <w:r w:rsidRPr="00012843">
        <w:rPr>
          <w:i/>
          <w:iCs/>
          <w:sz w:val="20"/>
        </w:rPr>
        <w:t xml:space="preserve"> for Li‐Ion Batteries</w:t>
      </w:r>
      <w:r w:rsidRPr="00012843">
        <w:rPr>
          <w:sz w:val="20"/>
        </w:rPr>
        <w:t xml:space="preserve">. Small Methods, 2021. </w:t>
      </w:r>
      <w:r w:rsidRPr="00012843">
        <w:rPr>
          <w:b/>
          <w:bCs/>
          <w:sz w:val="20"/>
        </w:rPr>
        <w:t>5</w:t>
      </w:r>
      <w:r w:rsidRPr="00012843">
        <w:rPr>
          <w:sz w:val="20"/>
        </w:rPr>
        <w:t>(6): p. 2100193. https://doi.org/10.1002/smtd.202100193.</w:t>
      </w:r>
    </w:p>
    <w:p w14:paraId="2F1E0624" w14:textId="77777777" w:rsidR="00012843" w:rsidRPr="00012843" w:rsidRDefault="00012843" w:rsidP="00012843">
      <w:pPr>
        <w:pStyle w:val="Bibliographie"/>
        <w:spacing w:after="0"/>
        <w:rPr>
          <w:sz w:val="20"/>
        </w:rPr>
      </w:pPr>
      <w:r w:rsidRPr="00012843">
        <w:rPr>
          <w:sz w:val="20"/>
        </w:rPr>
        <w:t xml:space="preserve">25. </w:t>
      </w:r>
      <w:r w:rsidRPr="00012843">
        <w:rPr>
          <w:sz w:val="20"/>
        </w:rPr>
        <w:tab/>
        <w:t xml:space="preserve">Lei, Q. et al., </w:t>
      </w:r>
      <w:r w:rsidRPr="00012843">
        <w:rPr>
          <w:i/>
          <w:iCs/>
          <w:sz w:val="20"/>
        </w:rPr>
        <w:t>Clean and efficient synthesis of LiFePO4 cathode material using titanium white waste and calcium dihydrogen phosphate</w:t>
      </w:r>
      <w:r w:rsidRPr="00012843">
        <w:rPr>
          <w:sz w:val="20"/>
        </w:rPr>
        <w:t xml:space="preserve">. Waste Management, 2024. </w:t>
      </w:r>
      <w:r w:rsidRPr="00012843">
        <w:rPr>
          <w:b/>
          <w:bCs/>
          <w:sz w:val="20"/>
        </w:rPr>
        <w:t>174</w:t>
      </w:r>
      <w:r w:rsidRPr="00012843">
        <w:rPr>
          <w:sz w:val="20"/>
        </w:rPr>
        <w:t>: p. 362–370. https://doi.org/10.1016/j.wasman.2023.12.019.</w:t>
      </w:r>
    </w:p>
    <w:p w14:paraId="2DDE6A4C" w14:textId="77777777" w:rsidR="00012843" w:rsidRPr="00012843" w:rsidRDefault="00012843" w:rsidP="00012843">
      <w:pPr>
        <w:pStyle w:val="Bibliographie"/>
        <w:spacing w:after="0"/>
        <w:rPr>
          <w:sz w:val="20"/>
        </w:rPr>
      </w:pPr>
      <w:r w:rsidRPr="00012843">
        <w:rPr>
          <w:sz w:val="20"/>
        </w:rPr>
        <w:t xml:space="preserve">26. </w:t>
      </w:r>
      <w:r w:rsidRPr="00012843">
        <w:rPr>
          <w:sz w:val="20"/>
        </w:rPr>
        <w:tab/>
        <w:t xml:space="preserve">Yan, X. et al., </w:t>
      </w:r>
      <w:r w:rsidRPr="00012843">
        <w:rPr>
          <w:i/>
          <w:iCs/>
          <w:sz w:val="20"/>
        </w:rPr>
        <w:t>Control and influence of morphology, particle size and structure of LiFePO4 on its properties</w:t>
      </w:r>
      <w:r w:rsidRPr="00012843">
        <w:rPr>
          <w:sz w:val="20"/>
        </w:rPr>
        <w:t xml:space="preserve">. Solid State Ionics, 2024. </w:t>
      </w:r>
      <w:r w:rsidRPr="00012843">
        <w:rPr>
          <w:b/>
          <w:bCs/>
          <w:sz w:val="20"/>
        </w:rPr>
        <w:t>410</w:t>
      </w:r>
      <w:r w:rsidRPr="00012843">
        <w:rPr>
          <w:sz w:val="20"/>
        </w:rPr>
        <w:t>: p. 116535. https://doi.org/10.1016/j.ssi.2024.116535.</w:t>
      </w:r>
    </w:p>
    <w:p w14:paraId="48A0A992" w14:textId="77777777" w:rsidR="00012843" w:rsidRPr="00012843" w:rsidRDefault="00012843" w:rsidP="00012843">
      <w:pPr>
        <w:pStyle w:val="Bibliographie"/>
        <w:spacing w:after="0"/>
        <w:rPr>
          <w:sz w:val="20"/>
        </w:rPr>
      </w:pPr>
      <w:r w:rsidRPr="00012843">
        <w:rPr>
          <w:sz w:val="20"/>
        </w:rPr>
        <w:t xml:space="preserve">27. </w:t>
      </w:r>
      <w:r w:rsidRPr="00012843">
        <w:rPr>
          <w:sz w:val="20"/>
        </w:rPr>
        <w:tab/>
        <w:t xml:space="preserve">De Boer, M.A., Wolzak, L., Slootweg, J.C., </w:t>
      </w:r>
      <w:r w:rsidRPr="00012843">
        <w:rPr>
          <w:i/>
          <w:iCs/>
          <w:sz w:val="20"/>
        </w:rPr>
        <w:t>Phosphorus: Reserves, Production, and Applications</w:t>
      </w:r>
      <w:r w:rsidRPr="00012843">
        <w:rPr>
          <w:sz w:val="20"/>
        </w:rPr>
        <w:t>. Phosphorus Recovery and Recycling, 2019.p. 75–100. https://doi.org/10.1007/978-981-10-8031-9_5 http://link.springer.com/10.1007/978-981-10-8031-9_5.</w:t>
      </w:r>
    </w:p>
    <w:p w14:paraId="56961636" w14:textId="77777777" w:rsidR="00012843" w:rsidRPr="00012843" w:rsidRDefault="00012843" w:rsidP="00012843">
      <w:pPr>
        <w:pStyle w:val="Bibliographie"/>
        <w:spacing w:after="0"/>
        <w:rPr>
          <w:sz w:val="20"/>
        </w:rPr>
      </w:pPr>
      <w:r w:rsidRPr="00012843">
        <w:rPr>
          <w:sz w:val="20"/>
        </w:rPr>
        <w:t xml:space="preserve">28. </w:t>
      </w:r>
      <w:r w:rsidRPr="00012843">
        <w:rPr>
          <w:sz w:val="20"/>
        </w:rPr>
        <w:tab/>
        <w:t xml:space="preserve">Azaroual, M. et al., </w:t>
      </w:r>
      <w:r w:rsidRPr="00012843">
        <w:rPr>
          <w:i/>
          <w:iCs/>
          <w:sz w:val="20"/>
        </w:rPr>
        <w:t>Thermo-kinetic and Physico-Chemical Modeling of Processes Generating Scaling Problems in Phosphoric Acid and Fertilizers Production Industries</w:t>
      </w:r>
      <w:r w:rsidRPr="00012843">
        <w:rPr>
          <w:sz w:val="20"/>
        </w:rPr>
        <w:t xml:space="preserve">. Procedia Engineering, 2012. </w:t>
      </w:r>
      <w:r w:rsidRPr="00012843">
        <w:rPr>
          <w:b/>
          <w:bCs/>
          <w:sz w:val="20"/>
        </w:rPr>
        <w:t>46</w:t>
      </w:r>
      <w:r w:rsidRPr="00012843">
        <w:rPr>
          <w:sz w:val="20"/>
        </w:rPr>
        <w:t>: p. 68–75. https://doi.org/10.1016/j.proeng.2012.09.447.</w:t>
      </w:r>
    </w:p>
    <w:p w14:paraId="56DEFD18" w14:textId="77777777" w:rsidR="00012843" w:rsidRPr="00012843" w:rsidRDefault="00012843" w:rsidP="00012843">
      <w:pPr>
        <w:pStyle w:val="Bibliographie"/>
        <w:spacing w:after="0"/>
        <w:rPr>
          <w:sz w:val="20"/>
        </w:rPr>
      </w:pPr>
      <w:r w:rsidRPr="00012843">
        <w:rPr>
          <w:sz w:val="20"/>
        </w:rPr>
        <w:t xml:space="preserve">29. </w:t>
      </w:r>
      <w:r w:rsidRPr="00012843">
        <w:rPr>
          <w:sz w:val="20"/>
        </w:rPr>
        <w:tab/>
        <w:t xml:space="preserve">Schipper, W., </w:t>
      </w:r>
      <w:r w:rsidRPr="00012843">
        <w:rPr>
          <w:i/>
          <w:iCs/>
          <w:sz w:val="20"/>
        </w:rPr>
        <w:t>Non-fertilizer uses of phosphorus : An overview</w:t>
      </w:r>
      <w:r w:rsidRPr="00012843">
        <w:rPr>
          <w:sz w:val="20"/>
        </w:rPr>
        <w:t>. Global Phosphorus Institute (GPI), 2024. https://doi.org/10.26434/chemrxiv-2024-8kw51-v2 https://chemrxiv.org/engage/chemrxiv/article-details/667255475101a2ffa8eb0ae7.</w:t>
      </w:r>
    </w:p>
    <w:p w14:paraId="43A055A3" w14:textId="77777777" w:rsidR="00012843" w:rsidRPr="00012843" w:rsidRDefault="00012843" w:rsidP="00012843">
      <w:pPr>
        <w:pStyle w:val="Bibliographie"/>
        <w:spacing w:after="0"/>
        <w:rPr>
          <w:sz w:val="20"/>
        </w:rPr>
      </w:pPr>
      <w:r w:rsidRPr="00012843">
        <w:rPr>
          <w:sz w:val="20"/>
        </w:rPr>
        <w:t xml:space="preserve">30. </w:t>
      </w:r>
      <w:r w:rsidRPr="00012843">
        <w:rPr>
          <w:sz w:val="20"/>
        </w:rPr>
        <w:tab/>
        <w:t xml:space="preserve">Xu, C. et al., </w:t>
      </w:r>
      <w:r w:rsidRPr="00012843">
        <w:rPr>
          <w:i/>
          <w:iCs/>
          <w:sz w:val="20"/>
        </w:rPr>
        <w:t>Removal of calcium from phosphoric acid produced by the nitric acid process using solvent extraction with TCHDGA and stripping with water</w:t>
      </w:r>
      <w:r w:rsidRPr="00012843">
        <w:rPr>
          <w:sz w:val="20"/>
        </w:rPr>
        <w:t xml:space="preserve">. Hydrometallurgy, 2024. </w:t>
      </w:r>
      <w:r w:rsidRPr="00012843">
        <w:rPr>
          <w:b/>
          <w:bCs/>
          <w:sz w:val="20"/>
        </w:rPr>
        <w:t>229</w:t>
      </w:r>
      <w:r w:rsidRPr="00012843">
        <w:rPr>
          <w:sz w:val="20"/>
        </w:rPr>
        <w:t>: p. 106379. https://doi.org/10.1016/j.hydromet.2024.106379.</w:t>
      </w:r>
    </w:p>
    <w:p w14:paraId="790238D6" w14:textId="77777777" w:rsidR="00012843" w:rsidRPr="00012843" w:rsidRDefault="00012843" w:rsidP="00012843">
      <w:pPr>
        <w:pStyle w:val="Bibliographie"/>
        <w:spacing w:after="0"/>
        <w:rPr>
          <w:sz w:val="20"/>
        </w:rPr>
      </w:pPr>
      <w:r w:rsidRPr="00012843">
        <w:rPr>
          <w:sz w:val="20"/>
        </w:rPr>
        <w:t xml:space="preserve">31. </w:t>
      </w:r>
      <w:r w:rsidRPr="00012843">
        <w:rPr>
          <w:sz w:val="20"/>
        </w:rPr>
        <w:tab/>
        <w:t xml:space="preserve">Amin, M.I. et al., </w:t>
      </w:r>
      <w:r w:rsidRPr="00012843">
        <w:rPr>
          <w:i/>
          <w:iCs/>
          <w:sz w:val="20"/>
        </w:rPr>
        <w:t>Recovery of high grade phosphoric acid from wet process acid by solvent extraction with aliphatic alcohols</w:t>
      </w:r>
      <w:r w:rsidRPr="00012843">
        <w:rPr>
          <w:sz w:val="20"/>
        </w:rPr>
        <w:t xml:space="preserve">. Hydrometallurgy, 2010. </w:t>
      </w:r>
      <w:r w:rsidRPr="00012843">
        <w:rPr>
          <w:b/>
          <w:bCs/>
          <w:sz w:val="20"/>
        </w:rPr>
        <w:t>105</w:t>
      </w:r>
      <w:r w:rsidRPr="00012843">
        <w:rPr>
          <w:sz w:val="20"/>
        </w:rPr>
        <w:t>(1–2): p. 115–119. https://doi.org/10.1016/j.hydromet.2010.08.007.</w:t>
      </w:r>
    </w:p>
    <w:p w14:paraId="654B55C9" w14:textId="77777777" w:rsidR="00012843" w:rsidRPr="00012843" w:rsidRDefault="00012843" w:rsidP="00012843">
      <w:pPr>
        <w:pStyle w:val="Bibliographie"/>
        <w:spacing w:after="0"/>
        <w:rPr>
          <w:sz w:val="20"/>
        </w:rPr>
      </w:pPr>
      <w:r w:rsidRPr="00012843">
        <w:rPr>
          <w:sz w:val="20"/>
        </w:rPr>
        <w:t xml:space="preserve">32. </w:t>
      </w:r>
      <w:r w:rsidRPr="00012843">
        <w:rPr>
          <w:sz w:val="20"/>
        </w:rPr>
        <w:tab/>
        <w:t xml:space="preserve">El-Asmy, A.A. et al., </w:t>
      </w:r>
      <w:r w:rsidRPr="00012843">
        <w:rPr>
          <w:i/>
          <w:iCs/>
          <w:sz w:val="20"/>
        </w:rPr>
        <w:t>Purification of phosphoric acid by minimizing iron, copper, cadmium and fluoride</w:t>
      </w:r>
      <w:r w:rsidRPr="00012843">
        <w:rPr>
          <w:sz w:val="20"/>
        </w:rPr>
        <w:t xml:space="preserve">. Separation and Purification Technology, 2008. </w:t>
      </w:r>
      <w:r w:rsidRPr="00012843">
        <w:rPr>
          <w:b/>
          <w:bCs/>
          <w:sz w:val="20"/>
        </w:rPr>
        <w:t>61</w:t>
      </w:r>
      <w:r w:rsidRPr="00012843">
        <w:rPr>
          <w:sz w:val="20"/>
        </w:rPr>
        <w:t>(3): p. 287–292. https://doi.org/10.1016/j.seppur.2007.11.004.</w:t>
      </w:r>
    </w:p>
    <w:p w14:paraId="1626FD87" w14:textId="77777777" w:rsidR="00012843" w:rsidRPr="00012843" w:rsidRDefault="00012843" w:rsidP="00012843">
      <w:pPr>
        <w:pStyle w:val="Bibliographie"/>
        <w:spacing w:after="0"/>
        <w:rPr>
          <w:sz w:val="20"/>
        </w:rPr>
      </w:pPr>
      <w:r w:rsidRPr="00012843">
        <w:rPr>
          <w:sz w:val="20"/>
        </w:rPr>
        <w:t xml:space="preserve">33. </w:t>
      </w:r>
      <w:r w:rsidRPr="00012843">
        <w:rPr>
          <w:sz w:val="20"/>
        </w:rPr>
        <w:tab/>
        <w:t xml:space="preserve">Ren, Y. et al., </w:t>
      </w:r>
      <w:r w:rsidRPr="00012843">
        <w:rPr>
          <w:i/>
          <w:iCs/>
          <w:sz w:val="20"/>
        </w:rPr>
        <w:t>Liquid–Liquid Equilibrium Data of Extraction with Tri-n-butyl Phosphate on Phosphoric Acid Containing Sodium Sulfate or Potassium Sulfate</w:t>
      </w:r>
      <w:r w:rsidRPr="00012843">
        <w:rPr>
          <w:sz w:val="20"/>
        </w:rPr>
        <w:t xml:space="preserve">. Journal of Chemical &amp; Engineering Data, 2016. </w:t>
      </w:r>
      <w:r w:rsidRPr="00012843">
        <w:rPr>
          <w:b/>
          <w:bCs/>
          <w:sz w:val="20"/>
        </w:rPr>
        <w:t>61</w:t>
      </w:r>
      <w:r w:rsidRPr="00012843">
        <w:rPr>
          <w:sz w:val="20"/>
        </w:rPr>
        <w:t>(5): p. 1735–1742. https://doi.org/10.1021/acs.jced.5b00867.</w:t>
      </w:r>
    </w:p>
    <w:p w14:paraId="70D8E108" w14:textId="77777777" w:rsidR="00012843" w:rsidRPr="00012843" w:rsidRDefault="00012843" w:rsidP="00012843">
      <w:pPr>
        <w:pStyle w:val="Bibliographie"/>
        <w:spacing w:after="0"/>
        <w:rPr>
          <w:sz w:val="20"/>
        </w:rPr>
      </w:pPr>
      <w:r w:rsidRPr="00012843">
        <w:rPr>
          <w:sz w:val="20"/>
        </w:rPr>
        <w:t xml:space="preserve">34. </w:t>
      </w:r>
      <w:r w:rsidRPr="00012843">
        <w:rPr>
          <w:sz w:val="20"/>
        </w:rPr>
        <w:tab/>
        <w:t xml:space="preserve">Li, X. et al., </w:t>
      </w:r>
      <w:r w:rsidRPr="00012843">
        <w:rPr>
          <w:i/>
          <w:iCs/>
          <w:sz w:val="20"/>
        </w:rPr>
        <w:t>Purification of Wet Process Phosphoric Acid by Solvent Extraction using Cyclohexanol</w:t>
      </w:r>
      <w:r w:rsidRPr="00012843">
        <w:rPr>
          <w:sz w:val="20"/>
        </w:rPr>
        <w:t xml:space="preserve">. Solvent Extraction Research and Development, Japan, 2017. </w:t>
      </w:r>
      <w:r w:rsidRPr="00012843">
        <w:rPr>
          <w:b/>
          <w:bCs/>
          <w:sz w:val="20"/>
        </w:rPr>
        <w:t>24</w:t>
      </w:r>
      <w:r w:rsidRPr="00012843">
        <w:rPr>
          <w:sz w:val="20"/>
        </w:rPr>
        <w:t>(1): p. 23–35. https://doi.org/10.15261/serdj.24.23.</w:t>
      </w:r>
    </w:p>
    <w:p w14:paraId="4B3DEA90" w14:textId="77777777" w:rsidR="00012843" w:rsidRPr="00012843" w:rsidRDefault="00012843" w:rsidP="00012843">
      <w:pPr>
        <w:pStyle w:val="Bibliographie"/>
        <w:spacing w:after="0"/>
        <w:rPr>
          <w:sz w:val="20"/>
        </w:rPr>
      </w:pPr>
      <w:r w:rsidRPr="00012843">
        <w:rPr>
          <w:sz w:val="20"/>
        </w:rPr>
        <w:t xml:space="preserve">35. </w:t>
      </w:r>
      <w:r w:rsidRPr="00012843">
        <w:rPr>
          <w:sz w:val="20"/>
        </w:rPr>
        <w:tab/>
        <w:t xml:space="preserve">Ye, C., Li, J., </w:t>
      </w:r>
      <w:r w:rsidRPr="00012843">
        <w:rPr>
          <w:i/>
          <w:iCs/>
          <w:sz w:val="20"/>
        </w:rPr>
        <w:t>Wet process phosphoric acid purification by solvent extraction using N-octanol and tributylphosphate mixtures</w:t>
      </w:r>
      <w:r w:rsidRPr="00012843">
        <w:rPr>
          <w:sz w:val="20"/>
        </w:rPr>
        <w:t xml:space="preserve">. Journal of Chemical Technology &amp; Biotechnology, 2013. </w:t>
      </w:r>
      <w:r w:rsidRPr="00012843">
        <w:rPr>
          <w:b/>
          <w:bCs/>
          <w:sz w:val="20"/>
        </w:rPr>
        <w:t>88</w:t>
      </w:r>
      <w:r w:rsidRPr="00012843">
        <w:rPr>
          <w:sz w:val="20"/>
        </w:rPr>
        <w:t>(9): p. 1715–1720. https://doi.org/10.1002/jctb.4023.</w:t>
      </w:r>
    </w:p>
    <w:p w14:paraId="215C7D7E" w14:textId="77777777" w:rsidR="00012843" w:rsidRPr="00012843" w:rsidRDefault="00012843" w:rsidP="00012843">
      <w:pPr>
        <w:pStyle w:val="Bibliographie"/>
        <w:spacing w:after="0"/>
        <w:rPr>
          <w:sz w:val="20"/>
        </w:rPr>
      </w:pPr>
      <w:r w:rsidRPr="00012843">
        <w:rPr>
          <w:sz w:val="20"/>
        </w:rPr>
        <w:t xml:space="preserve">36. </w:t>
      </w:r>
      <w:r w:rsidRPr="00012843">
        <w:rPr>
          <w:sz w:val="20"/>
        </w:rPr>
        <w:tab/>
        <w:t xml:space="preserve">Carbon Cloud, </w:t>
      </w:r>
      <w:r w:rsidRPr="00012843">
        <w:rPr>
          <w:i/>
          <w:iCs/>
          <w:sz w:val="20"/>
        </w:rPr>
        <w:t>Phosphoric acid (H3PO4), purified. E338</w:t>
      </w:r>
      <w:r w:rsidRPr="00012843">
        <w:rPr>
          <w:sz w:val="20"/>
        </w:rPr>
        <w:t>. 2025. https://apps.carboncloud.com/climatehub/product-reports/id/216857142454.</w:t>
      </w:r>
    </w:p>
    <w:p w14:paraId="744702D1" w14:textId="77777777" w:rsidR="00012843" w:rsidRPr="00012843" w:rsidRDefault="00012843" w:rsidP="00012843">
      <w:pPr>
        <w:pStyle w:val="Bibliographie"/>
        <w:spacing w:after="0"/>
        <w:rPr>
          <w:sz w:val="20"/>
        </w:rPr>
      </w:pPr>
      <w:r w:rsidRPr="00012843">
        <w:rPr>
          <w:sz w:val="20"/>
        </w:rPr>
        <w:t xml:space="preserve">37. </w:t>
      </w:r>
      <w:r w:rsidRPr="00012843">
        <w:rPr>
          <w:sz w:val="20"/>
        </w:rPr>
        <w:tab/>
        <w:t xml:space="preserve">OCP Group, </w:t>
      </w:r>
      <w:r w:rsidRPr="00012843">
        <w:rPr>
          <w:i/>
          <w:iCs/>
          <w:sz w:val="20"/>
        </w:rPr>
        <w:t>Annual Financial Report 2023</w:t>
      </w:r>
      <w:r w:rsidRPr="00012843">
        <w:rPr>
          <w:sz w:val="20"/>
        </w:rPr>
        <w:t>. Annual Financial Report, 2024. https://ocpsiteprodsa.blob.core.windows.net/media/2024-04/Rapport%20Financier%20Annuel%202023.pdf.</w:t>
      </w:r>
    </w:p>
    <w:p w14:paraId="63440708" w14:textId="77777777" w:rsidR="00012843" w:rsidRPr="00012843" w:rsidRDefault="00012843" w:rsidP="00012843">
      <w:pPr>
        <w:pStyle w:val="Bibliographie"/>
        <w:spacing w:after="0"/>
        <w:rPr>
          <w:sz w:val="20"/>
        </w:rPr>
      </w:pPr>
      <w:r w:rsidRPr="00012843">
        <w:rPr>
          <w:sz w:val="20"/>
        </w:rPr>
        <w:t xml:space="preserve">38. </w:t>
      </w:r>
      <w:r w:rsidRPr="00012843">
        <w:rPr>
          <w:sz w:val="20"/>
        </w:rPr>
        <w:tab/>
        <w:t xml:space="preserve">Plastics Technology, </w:t>
      </w:r>
      <w:r w:rsidRPr="00012843">
        <w:rPr>
          <w:i/>
          <w:iCs/>
          <w:sz w:val="20"/>
        </w:rPr>
        <w:t>LG Chem to Build LFP Cathode Plant in Morocco</w:t>
      </w:r>
      <w:r w:rsidRPr="00012843">
        <w:rPr>
          <w:sz w:val="20"/>
        </w:rPr>
        <w:t>. 2023. https://www.plastics-technology.com/news/lg-chem-to-build-lfp-cathode-plant-in-morocco.</w:t>
      </w:r>
    </w:p>
    <w:p w14:paraId="43CEA888" w14:textId="77777777" w:rsidR="00012843" w:rsidRPr="00012843" w:rsidRDefault="00012843" w:rsidP="00012843">
      <w:pPr>
        <w:pStyle w:val="Bibliographie"/>
        <w:spacing w:after="0"/>
        <w:rPr>
          <w:sz w:val="20"/>
        </w:rPr>
      </w:pPr>
      <w:r w:rsidRPr="00012843">
        <w:rPr>
          <w:sz w:val="20"/>
        </w:rPr>
        <w:t xml:space="preserve">39. </w:t>
      </w:r>
      <w:r w:rsidRPr="00012843">
        <w:rPr>
          <w:sz w:val="20"/>
        </w:rPr>
        <w:tab/>
        <w:t xml:space="preserve">Industrie.ma, </w:t>
      </w:r>
      <w:r w:rsidRPr="00012843">
        <w:rPr>
          <w:i/>
          <w:iCs/>
          <w:sz w:val="20"/>
        </w:rPr>
        <w:t>COBCO Launches Morocco’s First Lithium-Ion Battery Materials Manufacturing Plant in Jorf Lasfar</w:t>
      </w:r>
      <w:r w:rsidRPr="00012843">
        <w:rPr>
          <w:sz w:val="20"/>
        </w:rPr>
        <w:t>. 2025. https://industries.ma/cobco-launches-moroccos-first-lithium-ion-battery-materials-manufacturing-plant-in-jorf-lasfar/.</w:t>
      </w:r>
    </w:p>
    <w:p w14:paraId="1EC06795" w14:textId="092F5C5A" w:rsidR="004366DE" w:rsidRPr="00AB12ED" w:rsidRDefault="004366DE" w:rsidP="00012843">
      <w:pPr>
        <w:pStyle w:val="Paragraph"/>
        <w:ind w:right="-563" w:firstLine="0"/>
      </w:pPr>
      <w:r w:rsidRPr="00470A27">
        <w:fldChar w:fldCharType="end"/>
      </w:r>
    </w:p>
    <w:p w14:paraId="42ABB144" w14:textId="77777777" w:rsidR="00B2323E" w:rsidRPr="003E459E" w:rsidRDefault="00B2323E" w:rsidP="00091AA3">
      <w:pPr>
        <w:pStyle w:val="Paragraph"/>
        <w:ind w:right="4"/>
        <w:rPr>
          <w:lang w:eastAsia="de-DE"/>
        </w:rPr>
      </w:pPr>
    </w:p>
    <w:sectPr w:rsidR="00B2323E" w:rsidRPr="003E459E" w:rsidSect="00BF6BBC">
      <w:pgSz w:w="12240" w:h="15840"/>
      <w:pgMar w:top="993" w:right="1440" w:bottom="426"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9CFD2" w14:textId="77777777" w:rsidR="00CA02F3" w:rsidRDefault="00CA02F3" w:rsidP="00041F79">
      <w:r>
        <w:separator/>
      </w:r>
    </w:p>
  </w:endnote>
  <w:endnote w:type="continuationSeparator" w:id="0">
    <w:p w14:paraId="7B9770F6" w14:textId="77777777" w:rsidR="00CA02F3" w:rsidRDefault="00CA02F3" w:rsidP="00041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F867D" w14:textId="77777777" w:rsidR="00CA02F3" w:rsidRDefault="00CA02F3" w:rsidP="00041F79">
      <w:r>
        <w:separator/>
      </w:r>
    </w:p>
  </w:footnote>
  <w:footnote w:type="continuationSeparator" w:id="0">
    <w:p w14:paraId="08B2E673" w14:textId="77777777" w:rsidR="00CA02F3" w:rsidRDefault="00CA02F3" w:rsidP="00041F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21E94"/>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6E243F"/>
    <w:multiLevelType w:val="hybridMultilevel"/>
    <w:tmpl w:val="9780A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5" w15:restartNumberingAfterBreak="0">
    <w:nsid w:val="24517C32"/>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64A8ABA"/>
    <w:multiLevelType w:val="hybridMultilevel"/>
    <w:tmpl w:val="FFFFFFFF"/>
    <w:lvl w:ilvl="0" w:tplc="28D84C9E">
      <w:start w:val="1"/>
      <w:numFmt w:val="bullet"/>
      <w:lvlText w:val=""/>
      <w:lvlJc w:val="left"/>
      <w:pPr>
        <w:ind w:left="720" w:hanging="360"/>
      </w:pPr>
      <w:rPr>
        <w:rFonts w:ascii="Symbol" w:hAnsi="Symbol" w:hint="default"/>
      </w:rPr>
    </w:lvl>
    <w:lvl w:ilvl="1" w:tplc="C28AA018">
      <w:start w:val="1"/>
      <w:numFmt w:val="bullet"/>
      <w:lvlText w:val="o"/>
      <w:lvlJc w:val="left"/>
      <w:pPr>
        <w:ind w:left="1440" w:hanging="360"/>
      </w:pPr>
      <w:rPr>
        <w:rFonts w:ascii="Courier New" w:hAnsi="Courier New" w:hint="default"/>
      </w:rPr>
    </w:lvl>
    <w:lvl w:ilvl="2" w:tplc="44642D30">
      <w:start w:val="1"/>
      <w:numFmt w:val="bullet"/>
      <w:lvlText w:val=""/>
      <w:lvlJc w:val="left"/>
      <w:pPr>
        <w:ind w:left="2160" w:hanging="360"/>
      </w:pPr>
      <w:rPr>
        <w:rFonts w:ascii="Wingdings" w:hAnsi="Wingdings" w:hint="default"/>
      </w:rPr>
    </w:lvl>
    <w:lvl w:ilvl="3" w:tplc="F5CE71FE">
      <w:start w:val="1"/>
      <w:numFmt w:val="bullet"/>
      <w:lvlText w:val=""/>
      <w:lvlJc w:val="left"/>
      <w:pPr>
        <w:ind w:left="2880" w:hanging="360"/>
      </w:pPr>
      <w:rPr>
        <w:rFonts w:ascii="Symbol" w:hAnsi="Symbol" w:hint="default"/>
      </w:rPr>
    </w:lvl>
    <w:lvl w:ilvl="4" w:tplc="9CB4499C">
      <w:start w:val="1"/>
      <w:numFmt w:val="bullet"/>
      <w:lvlText w:val="o"/>
      <w:lvlJc w:val="left"/>
      <w:pPr>
        <w:ind w:left="3600" w:hanging="360"/>
      </w:pPr>
      <w:rPr>
        <w:rFonts w:ascii="Courier New" w:hAnsi="Courier New" w:hint="default"/>
      </w:rPr>
    </w:lvl>
    <w:lvl w:ilvl="5" w:tplc="642A0B7A">
      <w:start w:val="1"/>
      <w:numFmt w:val="bullet"/>
      <w:lvlText w:val=""/>
      <w:lvlJc w:val="left"/>
      <w:pPr>
        <w:ind w:left="4320" w:hanging="360"/>
      </w:pPr>
      <w:rPr>
        <w:rFonts w:ascii="Wingdings" w:hAnsi="Wingdings" w:hint="default"/>
      </w:rPr>
    </w:lvl>
    <w:lvl w:ilvl="6" w:tplc="83025E4E">
      <w:start w:val="1"/>
      <w:numFmt w:val="bullet"/>
      <w:lvlText w:val=""/>
      <w:lvlJc w:val="left"/>
      <w:pPr>
        <w:ind w:left="5040" w:hanging="360"/>
      </w:pPr>
      <w:rPr>
        <w:rFonts w:ascii="Symbol" w:hAnsi="Symbol" w:hint="default"/>
      </w:rPr>
    </w:lvl>
    <w:lvl w:ilvl="7" w:tplc="31B426BA">
      <w:start w:val="1"/>
      <w:numFmt w:val="bullet"/>
      <w:lvlText w:val="o"/>
      <w:lvlJc w:val="left"/>
      <w:pPr>
        <w:ind w:left="5760" w:hanging="360"/>
      </w:pPr>
      <w:rPr>
        <w:rFonts w:ascii="Courier New" w:hAnsi="Courier New" w:hint="default"/>
      </w:rPr>
    </w:lvl>
    <w:lvl w:ilvl="8" w:tplc="29E0BA1E">
      <w:start w:val="1"/>
      <w:numFmt w:val="bullet"/>
      <w:lvlText w:val=""/>
      <w:lvlJc w:val="left"/>
      <w:pPr>
        <w:ind w:left="6480" w:hanging="360"/>
      </w:pPr>
      <w:rPr>
        <w:rFonts w:ascii="Wingdings" w:hAnsi="Wingdings" w:hint="default"/>
      </w:rPr>
    </w:lvl>
  </w:abstractNum>
  <w:abstractNum w:abstractNumId="7"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1"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592400424">
    <w:abstractNumId w:val="7"/>
  </w:num>
  <w:num w:numId="2" w16cid:durableId="17316395">
    <w:abstractNumId w:val="9"/>
  </w:num>
  <w:num w:numId="3" w16cid:durableId="522716534">
    <w:abstractNumId w:val="8"/>
  </w:num>
  <w:num w:numId="4" w16cid:durableId="1834296188">
    <w:abstractNumId w:val="10"/>
    <w:lvlOverride w:ilvl="0">
      <w:startOverride w:val="1"/>
    </w:lvlOverride>
  </w:num>
  <w:num w:numId="5" w16cid:durableId="195851870">
    <w:abstractNumId w:val="10"/>
    <w:lvlOverride w:ilvl="0">
      <w:startOverride w:val="1"/>
    </w:lvlOverride>
  </w:num>
  <w:num w:numId="6" w16cid:durableId="1652439221">
    <w:abstractNumId w:val="10"/>
  </w:num>
  <w:num w:numId="7" w16cid:durableId="1704553044">
    <w:abstractNumId w:val="3"/>
  </w:num>
  <w:num w:numId="8" w16cid:durableId="1031878537">
    <w:abstractNumId w:val="0"/>
  </w:num>
  <w:num w:numId="9" w16cid:durableId="1070225340">
    <w:abstractNumId w:val="6"/>
  </w:num>
  <w:num w:numId="10" w16cid:durableId="1937900305">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intPostScriptOverText/>
  <w:embedSystemFont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0150"/>
    <w:rsid w:val="0000099D"/>
    <w:rsid w:val="00003D7C"/>
    <w:rsid w:val="00004834"/>
    <w:rsid w:val="00004F7E"/>
    <w:rsid w:val="00005966"/>
    <w:rsid w:val="00007A1A"/>
    <w:rsid w:val="00007E87"/>
    <w:rsid w:val="00010957"/>
    <w:rsid w:val="00011257"/>
    <w:rsid w:val="000127B2"/>
    <w:rsid w:val="00012843"/>
    <w:rsid w:val="00014140"/>
    <w:rsid w:val="00015277"/>
    <w:rsid w:val="00015319"/>
    <w:rsid w:val="00016C4D"/>
    <w:rsid w:val="000170FC"/>
    <w:rsid w:val="00017F14"/>
    <w:rsid w:val="0002101F"/>
    <w:rsid w:val="0002432A"/>
    <w:rsid w:val="00024868"/>
    <w:rsid w:val="000263DE"/>
    <w:rsid w:val="00027428"/>
    <w:rsid w:val="00027C82"/>
    <w:rsid w:val="0003055A"/>
    <w:rsid w:val="00031EC9"/>
    <w:rsid w:val="000323E1"/>
    <w:rsid w:val="00034086"/>
    <w:rsid w:val="00034B44"/>
    <w:rsid w:val="00040B4F"/>
    <w:rsid w:val="00041F79"/>
    <w:rsid w:val="0004214F"/>
    <w:rsid w:val="0004262F"/>
    <w:rsid w:val="00042C27"/>
    <w:rsid w:val="00043406"/>
    <w:rsid w:val="00044893"/>
    <w:rsid w:val="00051722"/>
    <w:rsid w:val="000544CD"/>
    <w:rsid w:val="000557B6"/>
    <w:rsid w:val="00055C37"/>
    <w:rsid w:val="000615FF"/>
    <w:rsid w:val="000628E2"/>
    <w:rsid w:val="00062EB5"/>
    <w:rsid w:val="00066FED"/>
    <w:rsid w:val="000677AB"/>
    <w:rsid w:val="00067AE5"/>
    <w:rsid w:val="00070C0C"/>
    <w:rsid w:val="00071D8A"/>
    <w:rsid w:val="000724C5"/>
    <w:rsid w:val="00072CE0"/>
    <w:rsid w:val="0007399B"/>
    <w:rsid w:val="0007411E"/>
    <w:rsid w:val="00074C18"/>
    <w:rsid w:val="000756AC"/>
    <w:rsid w:val="00075EA6"/>
    <w:rsid w:val="00076509"/>
    <w:rsid w:val="0007709F"/>
    <w:rsid w:val="000803AF"/>
    <w:rsid w:val="000821B4"/>
    <w:rsid w:val="00083045"/>
    <w:rsid w:val="00084CD8"/>
    <w:rsid w:val="000865D6"/>
    <w:rsid w:val="00086F62"/>
    <w:rsid w:val="00087A79"/>
    <w:rsid w:val="00090674"/>
    <w:rsid w:val="00091807"/>
    <w:rsid w:val="00091AA3"/>
    <w:rsid w:val="00091C94"/>
    <w:rsid w:val="0009320B"/>
    <w:rsid w:val="0009341F"/>
    <w:rsid w:val="00093B95"/>
    <w:rsid w:val="00094282"/>
    <w:rsid w:val="000949B7"/>
    <w:rsid w:val="000953AE"/>
    <w:rsid w:val="00096A1C"/>
    <w:rsid w:val="00096AE0"/>
    <w:rsid w:val="000978EF"/>
    <w:rsid w:val="000A0289"/>
    <w:rsid w:val="000A089F"/>
    <w:rsid w:val="000A27CD"/>
    <w:rsid w:val="000A3EE2"/>
    <w:rsid w:val="000A683E"/>
    <w:rsid w:val="000A6A84"/>
    <w:rsid w:val="000B036F"/>
    <w:rsid w:val="000B06AE"/>
    <w:rsid w:val="000B1333"/>
    <w:rsid w:val="000B1AF7"/>
    <w:rsid w:val="000B1B74"/>
    <w:rsid w:val="000B2EE7"/>
    <w:rsid w:val="000B375F"/>
    <w:rsid w:val="000B3A2D"/>
    <w:rsid w:val="000B49C0"/>
    <w:rsid w:val="000B60B8"/>
    <w:rsid w:val="000B7313"/>
    <w:rsid w:val="000B74D1"/>
    <w:rsid w:val="000C1D87"/>
    <w:rsid w:val="000C479E"/>
    <w:rsid w:val="000C6402"/>
    <w:rsid w:val="000C6D2E"/>
    <w:rsid w:val="000D3FCB"/>
    <w:rsid w:val="000D4FF0"/>
    <w:rsid w:val="000D6DA6"/>
    <w:rsid w:val="000D6EF5"/>
    <w:rsid w:val="000E017C"/>
    <w:rsid w:val="000E019D"/>
    <w:rsid w:val="000E0548"/>
    <w:rsid w:val="000E1A8C"/>
    <w:rsid w:val="000E1F42"/>
    <w:rsid w:val="000E2CC2"/>
    <w:rsid w:val="000E382F"/>
    <w:rsid w:val="000E3EE9"/>
    <w:rsid w:val="000E45A7"/>
    <w:rsid w:val="000E45BF"/>
    <w:rsid w:val="000E75CD"/>
    <w:rsid w:val="000F0E64"/>
    <w:rsid w:val="000F148E"/>
    <w:rsid w:val="000F1909"/>
    <w:rsid w:val="000F209D"/>
    <w:rsid w:val="000F5ADE"/>
    <w:rsid w:val="000F6EA2"/>
    <w:rsid w:val="00102AF4"/>
    <w:rsid w:val="00102CF8"/>
    <w:rsid w:val="001036BA"/>
    <w:rsid w:val="00104E0F"/>
    <w:rsid w:val="00106716"/>
    <w:rsid w:val="001102F6"/>
    <w:rsid w:val="00110E81"/>
    <w:rsid w:val="00113080"/>
    <w:rsid w:val="00113932"/>
    <w:rsid w:val="001146DC"/>
    <w:rsid w:val="00114AB1"/>
    <w:rsid w:val="0011689B"/>
    <w:rsid w:val="00116CA8"/>
    <w:rsid w:val="00121E14"/>
    <w:rsid w:val="00122560"/>
    <w:rsid w:val="001230FF"/>
    <w:rsid w:val="0012397E"/>
    <w:rsid w:val="00127324"/>
    <w:rsid w:val="00130692"/>
    <w:rsid w:val="00130BD7"/>
    <w:rsid w:val="0013105A"/>
    <w:rsid w:val="00131182"/>
    <w:rsid w:val="00137554"/>
    <w:rsid w:val="00140FF2"/>
    <w:rsid w:val="001411A4"/>
    <w:rsid w:val="0014137C"/>
    <w:rsid w:val="00142051"/>
    <w:rsid w:val="001420B2"/>
    <w:rsid w:val="00142119"/>
    <w:rsid w:val="00144798"/>
    <w:rsid w:val="0014558C"/>
    <w:rsid w:val="00147763"/>
    <w:rsid w:val="001479F6"/>
    <w:rsid w:val="00147B09"/>
    <w:rsid w:val="00151641"/>
    <w:rsid w:val="0015219B"/>
    <w:rsid w:val="00155B67"/>
    <w:rsid w:val="00155E4D"/>
    <w:rsid w:val="001562AF"/>
    <w:rsid w:val="00157BC7"/>
    <w:rsid w:val="00161038"/>
    <w:rsid w:val="00161A5B"/>
    <w:rsid w:val="00162892"/>
    <w:rsid w:val="0016385D"/>
    <w:rsid w:val="0016782F"/>
    <w:rsid w:val="00167921"/>
    <w:rsid w:val="00167D8D"/>
    <w:rsid w:val="00167DA9"/>
    <w:rsid w:val="00172A46"/>
    <w:rsid w:val="00172F89"/>
    <w:rsid w:val="00177878"/>
    <w:rsid w:val="00180626"/>
    <w:rsid w:val="001819F5"/>
    <w:rsid w:val="001826FF"/>
    <w:rsid w:val="001830B9"/>
    <w:rsid w:val="00183966"/>
    <w:rsid w:val="00186D90"/>
    <w:rsid w:val="00187062"/>
    <w:rsid w:val="001876C4"/>
    <w:rsid w:val="00190C48"/>
    <w:rsid w:val="001937E9"/>
    <w:rsid w:val="0019382D"/>
    <w:rsid w:val="00195315"/>
    <w:rsid w:val="001955B8"/>
    <w:rsid w:val="00195FD7"/>
    <w:rsid w:val="0019623D"/>
    <w:rsid w:val="0019627A"/>
    <w:rsid w:val="001964E5"/>
    <w:rsid w:val="001A08BC"/>
    <w:rsid w:val="001A0E0A"/>
    <w:rsid w:val="001A1EFF"/>
    <w:rsid w:val="001A25AB"/>
    <w:rsid w:val="001A3200"/>
    <w:rsid w:val="001A50C3"/>
    <w:rsid w:val="001A592F"/>
    <w:rsid w:val="001A68F4"/>
    <w:rsid w:val="001B1F9A"/>
    <w:rsid w:val="001B263B"/>
    <w:rsid w:val="001B3E3A"/>
    <w:rsid w:val="001B40D2"/>
    <w:rsid w:val="001B46A2"/>
    <w:rsid w:val="001B476A"/>
    <w:rsid w:val="001B53F8"/>
    <w:rsid w:val="001B6B88"/>
    <w:rsid w:val="001C0B3A"/>
    <w:rsid w:val="001C48CD"/>
    <w:rsid w:val="001C5F9E"/>
    <w:rsid w:val="001C6CB9"/>
    <w:rsid w:val="001C764F"/>
    <w:rsid w:val="001C7692"/>
    <w:rsid w:val="001C7BB3"/>
    <w:rsid w:val="001C7E83"/>
    <w:rsid w:val="001D42CA"/>
    <w:rsid w:val="001D469C"/>
    <w:rsid w:val="001D4C0D"/>
    <w:rsid w:val="001E10AB"/>
    <w:rsid w:val="001E173C"/>
    <w:rsid w:val="001E2194"/>
    <w:rsid w:val="001E2488"/>
    <w:rsid w:val="001E2C50"/>
    <w:rsid w:val="001E3283"/>
    <w:rsid w:val="001E4C97"/>
    <w:rsid w:val="001E6C28"/>
    <w:rsid w:val="001E7EDF"/>
    <w:rsid w:val="001F12E9"/>
    <w:rsid w:val="001F231F"/>
    <w:rsid w:val="001F3871"/>
    <w:rsid w:val="001F3897"/>
    <w:rsid w:val="001F494E"/>
    <w:rsid w:val="001F495C"/>
    <w:rsid w:val="001F5F7C"/>
    <w:rsid w:val="001F6280"/>
    <w:rsid w:val="001F6BD8"/>
    <w:rsid w:val="001F76C4"/>
    <w:rsid w:val="00201134"/>
    <w:rsid w:val="002015F4"/>
    <w:rsid w:val="002019DE"/>
    <w:rsid w:val="00203C9D"/>
    <w:rsid w:val="00207C23"/>
    <w:rsid w:val="00211202"/>
    <w:rsid w:val="002119C7"/>
    <w:rsid w:val="00211D77"/>
    <w:rsid w:val="00212D01"/>
    <w:rsid w:val="00213FE2"/>
    <w:rsid w:val="0021619E"/>
    <w:rsid w:val="0021702D"/>
    <w:rsid w:val="00217A55"/>
    <w:rsid w:val="0022230C"/>
    <w:rsid w:val="0022316E"/>
    <w:rsid w:val="00224BEF"/>
    <w:rsid w:val="0022547E"/>
    <w:rsid w:val="00225500"/>
    <w:rsid w:val="002255FB"/>
    <w:rsid w:val="00226DCF"/>
    <w:rsid w:val="00227215"/>
    <w:rsid w:val="0023135D"/>
    <w:rsid w:val="002315BC"/>
    <w:rsid w:val="0023171B"/>
    <w:rsid w:val="00231AB0"/>
    <w:rsid w:val="002335E6"/>
    <w:rsid w:val="0023620C"/>
    <w:rsid w:val="00236BFC"/>
    <w:rsid w:val="00237437"/>
    <w:rsid w:val="002400E8"/>
    <w:rsid w:val="00240C2A"/>
    <w:rsid w:val="00241431"/>
    <w:rsid w:val="00241D36"/>
    <w:rsid w:val="002420BA"/>
    <w:rsid w:val="002435DB"/>
    <w:rsid w:val="002455CD"/>
    <w:rsid w:val="002468E0"/>
    <w:rsid w:val="002502FD"/>
    <w:rsid w:val="002507FF"/>
    <w:rsid w:val="002519CC"/>
    <w:rsid w:val="00252F00"/>
    <w:rsid w:val="00253486"/>
    <w:rsid w:val="00254E1C"/>
    <w:rsid w:val="002557A3"/>
    <w:rsid w:val="002571B5"/>
    <w:rsid w:val="00257EAA"/>
    <w:rsid w:val="00260A4A"/>
    <w:rsid w:val="002626EB"/>
    <w:rsid w:val="00262825"/>
    <w:rsid w:val="00263E46"/>
    <w:rsid w:val="00265007"/>
    <w:rsid w:val="00271223"/>
    <w:rsid w:val="00272BA1"/>
    <w:rsid w:val="00273334"/>
    <w:rsid w:val="0027445D"/>
    <w:rsid w:val="00274622"/>
    <w:rsid w:val="00274C8D"/>
    <w:rsid w:val="00275090"/>
    <w:rsid w:val="002758B7"/>
    <w:rsid w:val="002770A4"/>
    <w:rsid w:val="00285D24"/>
    <w:rsid w:val="0028728E"/>
    <w:rsid w:val="00287ED2"/>
    <w:rsid w:val="00290390"/>
    <w:rsid w:val="00291398"/>
    <w:rsid w:val="002915D3"/>
    <w:rsid w:val="00291603"/>
    <w:rsid w:val="002924DB"/>
    <w:rsid w:val="00292A3C"/>
    <w:rsid w:val="002941C8"/>
    <w:rsid w:val="002941DA"/>
    <w:rsid w:val="00295C11"/>
    <w:rsid w:val="002964AB"/>
    <w:rsid w:val="002966DC"/>
    <w:rsid w:val="00297A5B"/>
    <w:rsid w:val="002A0EA4"/>
    <w:rsid w:val="002A3B8A"/>
    <w:rsid w:val="002A4293"/>
    <w:rsid w:val="002A4FA5"/>
    <w:rsid w:val="002A55A3"/>
    <w:rsid w:val="002B0EB1"/>
    <w:rsid w:val="002B1963"/>
    <w:rsid w:val="002B28A3"/>
    <w:rsid w:val="002B5648"/>
    <w:rsid w:val="002B6083"/>
    <w:rsid w:val="002B6EC8"/>
    <w:rsid w:val="002B7FF1"/>
    <w:rsid w:val="002C13F5"/>
    <w:rsid w:val="002C19D2"/>
    <w:rsid w:val="002C5499"/>
    <w:rsid w:val="002C7604"/>
    <w:rsid w:val="002D00D7"/>
    <w:rsid w:val="002D27B1"/>
    <w:rsid w:val="002D448B"/>
    <w:rsid w:val="002D45CE"/>
    <w:rsid w:val="002D6360"/>
    <w:rsid w:val="002E04C2"/>
    <w:rsid w:val="002E1CEA"/>
    <w:rsid w:val="002E28DE"/>
    <w:rsid w:val="002E2EBB"/>
    <w:rsid w:val="002E3C35"/>
    <w:rsid w:val="002E51E2"/>
    <w:rsid w:val="002E6012"/>
    <w:rsid w:val="002E708E"/>
    <w:rsid w:val="002E7768"/>
    <w:rsid w:val="002E7994"/>
    <w:rsid w:val="002F08C5"/>
    <w:rsid w:val="002F0ACC"/>
    <w:rsid w:val="002F2345"/>
    <w:rsid w:val="002F35CE"/>
    <w:rsid w:val="002F3A7E"/>
    <w:rsid w:val="002F3B33"/>
    <w:rsid w:val="002F3E87"/>
    <w:rsid w:val="002F4131"/>
    <w:rsid w:val="002F4736"/>
    <w:rsid w:val="002F523F"/>
    <w:rsid w:val="002F5298"/>
    <w:rsid w:val="002F58E3"/>
    <w:rsid w:val="003010B3"/>
    <w:rsid w:val="00302225"/>
    <w:rsid w:val="00302421"/>
    <w:rsid w:val="00302B9D"/>
    <w:rsid w:val="0030353A"/>
    <w:rsid w:val="003036CE"/>
    <w:rsid w:val="00306B89"/>
    <w:rsid w:val="00310B0A"/>
    <w:rsid w:val="003111B6"/>
    <w:rsid w:val="003122CA"/>
    <w:rsid w:val="0031373D"/>
    <w:rsid w:val="00314F97"/>
    <w:rsid w:val="00317617"/>
    <w:rsid w:val="00317691"/>
    <w:rsid w:val="00317F7A"/>
    <w:rsid w:val="00321E05"/>
    <w:rsid w:val="003233EA"/>
    <w:rsid w:val="003248BF"/>
    <w:rsid w:val="00326ADD"/>
    <w:rsid w:val="00326AE0"/>
    <w:rsid w:val="00326F1B"/>
    <w:rsid w:val="00331648"/>
    <w:rsid w:val="003322BE"/>
    <w:rsid w:val="0033340E"/>
    <w:rsid w:val="003367FE"/>
    <w:rsid w:val="003375A6"/>
    <w:rsid w:val="00337E4F"/>
    <w:rsid w:val="00337E66"/>
    <w:rsid w:val="00340410"/>
    <w:rsid w:val="00340C36"/>
    <w:rsid w:val="003421E8"/>
    <w:rsid w:val="0034284A"/>
    <w:rsid w:val="003433CC"/>
    <w:rsid w:val="00343D75"/>
    <w:rsid w:val="00344CE5"/>
    <w:rsid w:val="003451C5"/>
    <w:rsid w:val="00345D60"/>
    <w:rsid w:val="00346A9D"/>
    <w:rsid w:val="003507CF"/>
    <w:rsid w:val="003509A4"/>
    <w:rsid w:val="00352C6E"/>
    <w:rsid w:val="0035384C"/>
    <w:rsid w:val="0035749B"/>
    <w:rsid w:val="00357B1E"/>
    <w:rsid w:val="003646F7"/>
    <w:rsid w:val="0036608C"/>
    <w:rsid w:val="00366293"/>
    <w:rsid w:val="003674FB"/>
    <w:rsid w:val="00372510"/>
    <w:rsid w:val="00372C7D"/>
    <w:rsid w:val="00385C08"/>
    <w:rsid w:val="00386463"/>
    <w:rsid w:val="003866B3"/>
    <w:rsid w:val="0038788D"/>
    <w:rsid w:val="00387A04"/>
    <w:rsid w:val="0039141E"/>
    <w:rsid w:val="00393535"/>
    <w:rsid w:val="00393677"/>
    <w:rsid w:val="0039376F"/>
    <w:rsid w:val="00394129"/>
    <w:rsid w:val="00394791"/>
    <w:rsid w:val="00394C5D"/>
    <w:rsid w:val="00396422"/>
    <w:rsid w:val="00397690"/>
    <w:rsid w:val="00397AF8"/>
    <w:rsid w:val="003A0899"/>
    <w:rsid w:val="003A1E8B"/>
    <w:rsid w:val="003A287B"/>
    <w:rsid w:val="003A3042"/>
    <w:rsid w:val="003A424E"/>
    <w:rsid w:val="003A5432"/>
    <w:rsid w:val="003A573C"/>
    <w:rsid w:val="003A59D1"/>
    <w:rsid w:val="003A5C85"/>
    <w:rsid w:val="003A61B1"/>
    <w:rsid w:val="003B0050"/>
    <w:rsid w:val="003B38B2"/>
    <w:rsid w:val="003B4A4F"/>
    <w:rsid w:val="003B6016"/>
    <w:rsid w:val="003B6093"/>
    <w:rsid w:val="003B64EF"/>
    <w:rsid w:val="003B6A40"/>
    <w:rsid w:val="003C1305"/>
    <w:rsid w:val="003C6CC8"/>
    <w:rsid w:val="003C783D"/>
    <w:rsid w:val="003C7A05"/>
    <w:rsid w:val="003D0FE7"/>
    <w:rsid w:val="003D50A3"/>
    <w:rsid w:val="003D51AE"/>
    <w:rsid w:val="003D6312"/>
    <w:rsid w:val="003D637A"/>
    <w:rsid w:val="003D781E"/>
    <w:rsid w:val="003E0CD0"/>
    <w:rsid w:val="003E16B2"/>
    <w:rsid w:val="003E187B"/>
    <w:rsid w:val="003E36F5"/>
    <w:rsid w:val="003E459E"/>
    <w:rsid w:val="003E4E46"/>
    <w:rsid w:val="003E4F8C"/>
    <w:rsid w:val="003E7C74"/>
    <w:rsid w:val="003F0FAA"/>
    <w:rsid w:val="003F11D3"/>
    <w:rsid w:val="003F1D7F"/>
    <w:rsid w:val="003F2975"/>
    <w:rsid w:val="003F30E5"/>
    <w:rsid w:val="003F31C6"/>
    <w:rsid w:val="003F36C3"/>
    <w:rsid w:val="003F4A70"/>
    <w:rsid w:val="003F53B3"/>
    <w:rsid w:val="004000C1"/>
    <w:rsid w:val="00400A1A"/>
    <w:rsid w:val="0040225B"/>
    <w:rsid w:val="00402DA2"/>
    <w:rsid w:val="00403AB9"/>
    <w:rsid w:val="00403F11"/>
    <w:rsid w:val="00406C94"/>
    <w:rsid w:val="00407700"/>
    <w:rsid w:val="00410B91"/>
    <w:rsid w:val="004114EC"/>
    <w:rsid w:val="0041182C"/>
    <w:rsid w:val="00413261"/>
    <w:rsid w:val="00414BAD"/>
    <w:rsid w:val="0041688F"/>
    <w:rsid w:val="00416B30"/>
    <w:rsid w:val="00416B71"/>
    <w:rsid w:val="00425A66"/>
    <w:rsid w:val="00425AC2"/>
    <w:rsid w:val="004331CF"/>
    <w:rsid w:val="004346DE"/>
    <w:rsid w:val="00434FDB"/>
    <w:rsid w:val="004360D6"/>
    <w:rsid w:val="004366DE"/>
    <w:rsid w:val="00436D1D"/>
    <w:rsid w:val="00436F92"/>
    <w:rsid w:val="00440029"/>
    <w:rsid w:val="004401C1"/>
    <w:rsid w:val="004407DD"/>
    <w:rsid w:val="00442F19"/>
    <w:rsid w:val="0044589A"/>
    <w:rsid w:val="00446F4D"/>
    <w:rsid w:val="0044771F"/>
    <w:rsid w:val="00447D35"/>
    <w:rsid w:val="004573E9"/>
    <w:rsid w:val="00463BC7"/>
    <w:rsid w:val="00467384"/>
    <w:rsid w:val="00467AD0"/>
    <w:rsid w:val="00470192"/>
    <w:rsid w:val="00470A27"/>
    <w:rsid w:val="004769A1"/>
    <w:rsid w:val="00476B20"/>
    <w:rsid w:val="004777D3"/>
    <w:rsid w:val="00480D58"/>
    <w:rsid w:val="00485011"/>
    <w:rsid w:val="00491A78"/>
    <w:rsid w:val="0049606D"/>
    <w:rsid w:val="00496323"/>
    <w:rsid w:val="004963D0"/>
    <w:rsid w:val="00497189"/>
    <w:rsid w:val="004A2655"/>
    <w:rsid w:val="004A40C6"/>
    <w:rsid w:val="004A4A15"/>
    <w:rsid w:val="004A52AD"/>
    <w:rsid w:val="004A539C"/>
    <w:rsid w:val="004A7AFC"/>
    <w:rsid w:val="004B04A1"/>
    <w:rsid w:val="004B0927"/>
    <w:rsid w:val="004B12BA"/>
    <w:rsid w:val="004B14A4"/>
    <w:rsid w:val="004B151D"/>
    <w:rsid w:val="004B3D36"/>
    <w:rsid w:val="004B484B"/>
    <w:rsid w:val="004B77E0"/>
    <w:rsid w:val="004C1AF8"/>
    <w:rsid w:val="004C3655"/>
    <w:rsid w:val="004C5812"/>
    <w:rsid w:val="004C6512"/>
    <w:rsid w:val="004C716D"/>
    <w:rsid w:val="004C7243"/>
    <w:rsid w:val="004D1053"/>
    <w:rsid w:val="004D207B"/>
    <w:rsid w:val="004D5668"/>
    <w:rsid w:val="004D5C5F"/>
    <w:rsid w:val="004D6A03"/>
    <w:rsid w:val="004E21DE"/>
    <w:rsid w:val="004E3C57"/>
    <w:rsid w:val="004E3CB2"/>
    <w:rsid w:val="004E4302"/>
    <w:rsid w:val="004E4374"/>
    <w:rsid w:val="004E52EB"/>
    <w:rsid w:val="004E62F8"/>
    <w:rsid w:val="004E7C93"/>
    <w:rsid w:val="004F375E"/>
    <w:rsid w:val="004F5CE7"/>
    <w:rsid w:val="004F7BC5"/>
    <w:rsid w:val="004F7BFD"/>
    <w:rsid w:val="005000A8"/>
    <w:rsid w:val="005014D1"/>
    <w:rsid w:val="00504616"/>
    <w:rsid w:val="0050529D"/>
    <w:rsid w:val="0050786C"/>
    <w:rsid w:val="00507FC7"/>
    <w:rsid w:val="005106D8"/>
    <w:rsid w:val="005132B6"/>
    <w:rsid w:val="005134B1"/>
    <w:rsid w:val="00516326"/>
    <w:rsid w:val="00521785"/>
    <w:rsid w:val="00521B00"/>
    <w:rsid w:val="00524743"/>
    <w:rsid w:val="00524759"/>
    <w:rsid w:val="00525813"/>
    <w:rsid w:val="00526C1E"/>
    <w:rsid w:val="005316BE"/>
    <w:rsid w:val="005318BC"/>
    <w:rsid w:val="00532095"/>
    <w:rsid w:val="0053513F"/>
    <w:rsid w:val="00540D49"/>
    <w:rsid w:val="00541698"/>
    <w:rsid w:val="00541748"/>
    <w:rsid w:val="00541DD7"/>
    <w:rsid w:val="00543013"/>
    <w:rsid w:val="00543320"/>
    <w:rsid w:val="005444BE"/>
    <w:rsid w:val="005449B1"/>
    <w:rsid w:val="005456B3"/>
    <w:rsid w:val="00545D11"/>
    <w:rsid w:val="00546122"/>
    <w:rsid w:val="005500B6"/>
    <w:rsid w:val="005526C2"/>
    <w:rsid w:val="00556B77"/>
    <w:rsid w:val="00556CEB"/>
    <w:rsid w:val="00561E28"/>
    <w:rsid w:val="0056275C"/>
    <w:rsid w:val="00562F0C"/>
    <w:rsid w:val="005659F3"/>
    <w:rsid w:val="00567B5B"/>
    <w:rsid w:val="0057180B"/>
    <w:rsid w:val="00574405"/>
    <w:rsid w:val="00575AEF"/>
    <w:rsid w:val="005764D5"/>
    <w:rsid w:val="0057701F"/>
    <w:rsid w:val="00577129"/>
    <w:rsid w:val="005773A2"/>
    <w:rsid w:val="00583170"/>
    <w:rsid w:val="0058336A"/>
    <w:rsid w:val="0058438C"/>
    <w:rsid w:val="005854B0"/>
    <w:rsid w:val="00586EB7"/>
    <w:rsid w:val="005938C0"/>
    <w:rsid w:val="00595E63"/>
    <w:rsid w:val="005962B3"/>
    <w:rsid w:val="005973EC"/>
    <w:rsid w:val="005A0E21"/>
    <w:rsid w:val="005A1CBC"/>
    <w:rsid w:val="005A369C"/>
    <w:rsid w:val="005A4096"/>
    <w:rsid w:val="005B1CD4"/>
    <w:rsid w:val="005B1E6F"/>
    <w:rsid w:val="005B3A34"/>
    <w:rsid w:val="005C0F4D"/>
    <w:rsid w:val="005C2D2B"/>
    <w:rsid w:val="005C2E9C"/>
    <w:rsid w:val="005C4978"/>
    <w:rsid w:val="005C5727"/>
    <w:rsid w:val="005C7609"/>
    <w:rsid w:val="005C794A"/>
    <w:rsid w:val="005D1A55"/>
    <w:rsid w:val="005D3921"/>
    <w:rsid w:val="005D49AF"/>
    <w:rsid w:val="005D56A9"/>
    <w:rsid w:val="005D6BC8"/>
    <w:rsid w:val="005D7A20"/>
    <w:rsid w:val="005E11EC"/>
    <w:rsid w:val="005E148A"/>
    <w:rsid w:val="005E31EE"/>
    <w:rsid w:val="005E415C"/>
    <w:rsid w:val="005E596B"/>
    <w:rsid w:val="005E6D23"/>
    <w:rsid w:val="005E71ED"/>
    <w:rsid w:val="005E7946"/>
    <w:rsid w:val="005F2EF6"/>
    <w:rsid w:val="005F33FF"/>
    <w:rsid w:val="005F4FC5"/>
    <w:rsid w:val="005F68D1"/>
    <w:rsid w:val="005F7475"/>
    <w:rsid w:val="0061071E"/>
    <w:rsid w:val="00610B41"/>
    <w:rsid w:val="00611299"/>
    <w:rsid w:val="006130E6"/>
    <w:rsid w:val="00613B4D"/>
    <w:rsid w:val="00614AA8"/>
    <w:rsid w:val="00616365"/>
    <w:rsid w:val="00616F3B"/>
    <w:rsid w:val="0061737A"/>
    <w:rsid w:val="0062335D"/>
    <w:rsid w:val="006248BE"/>
    <w:rsid w:val="006249A7"/>
    <w:rsid w:val="0062507D"/>
    <w:rsid w:val="00625918"/>
    <w:rsid w:val="0063230B"/>
    <w:rsid w:val="00632979"/>
    <w:rsid w:val="0063629E"/>
    <w:rsid w:val="006363BF"/>
    <w:rsid w:val="00636EA2"/>
    <w:rsid w:val="006402AE"/>
    <w:rsid w:val="0064225B"/>
    <w:rsid w:val="00643135"/>
    <w:rsid w:val="00646251"/>
    <w:rsid w:val="00647696"/>
    <w:rsid w:val="00650A22"/>
    <w:rsid w:val="00652B6D"/>
    <w:rsid w:val="00652D17"/>
    <w:rsid w:val="006554C7"/>
    <w:rsid w:val="006557F9"/>
    <w:rsid w:val="00662FCD"/>
    <w:rsid w:val="006631E7"/>
    <w:rsid w:val="0066681C"/>
    <w:rsid w:val="006677EF"/>
    <w:rsid w:val="00670908"/>
    <w:rsid w:val="00671722"/>
    <w:rsid w:val="00672E9C"/>
    <w:rsid w:val="00673224"/>
    <w:rsid w:val="006734AE"/>
    <w:rsid w:val="006763F9"/>
    <w:rsid w:val="00676B38"/>
    <w:rsid w:val="00676C6E"/>
    <w:rsid w:val="00677B8F"/>
    <w:rsid w:val="0068024D"/>
    <w:rsid w:val="006803B4"/>
    <w:rsid w:val="00681EDD"/>
    <w:rsid w:val="00683F2B"/>
    <w:rsid w:val="00684039"/>
    <w:rsid w:val="00694784"/>
    <w:rsid w:val="006949BC"/>
    <w:rsid w:val="006955A8"/>
    <w:rsid w:val="00696FF5"/>
    <w:rsid w:val="006976C7"/>
    <w:rsid w:val="00697F88"/>
    <w:rsid w:val="006A2C1C"/>
    <w:rsid w:val="006A3889"/>
    <w:rsid w:val="006A4C23"/>
    <w:rsid w:val="006A544F"/>
    <w:rsid w:val="006A6063"/>
    <w:rsid w:val="006A66D3"/>
    <w:rsid w:val="006B04D1"/>
    <w:rsid w:val="006B0B75"/>
    <w:rsid w:val="006B10E7"/>
    <w:rsid w:val="006B246F"/>
    <w:rsid w:val="006B270C"/>
    <w:rsid w:val="006B28CE"/>
    <w:rsid w:val="006B474B"/>
    <w:rsid w:val="006B65B8"/>
    <w:rsid w:val="006B7504"/>
    <w:rsid w:val="006B77F7"/>
    <w:rsid w:val="006C0BCF"/>
    <w:rsid w:val="006C0E16"/>
    <w:rsid w:val="006C16C5"/>
    <w:rsid w:val="006C1945"/>
    <w:rsid w:val="006C28D3"/>
    <w:rsid w:val="006C2FFA"/>
    <w:rsid w:val="006C34AC"/>
    <w:rsid w:val="006C3584"/>
    <w:rsid w:val="006C39C7"/>
    <w:rsid w:val="006C50CB"/>
    <w:rsid w:val="006C7DF1"/>
    <w:rsid w:val="006D0DA6"/>
    <w:rsid w:val="006D1229"/>
    <w:rsid w:val="006D19EF"/>
    <w:rsid w:val="006D2762"/>
    <w:rsid w:val="006D2F8D"/>
    <w:rsid w:val="006D3233"/>
    <w:rsid w:val="006D372F"/>
    <w:rsid w:val="006D4991"/>
    <w:rsid w:val="006D64E6"/>
    <w:rsid w:val="006D6627"/>
    <w:rsid w:val="006D6FA6"/>
    <w:rsid w:val="006D76B2"/>
    <w:rsid w:val="006D7A18"/>
    <w:rsid w:val="006E012C"/>
    <w:rsid w:val="006E0D58"/>
    <w:rsid w:val="006E31A1"/>
    <w:rsid w:val="006E4474"/>
    <w:rsid w:val="006E4524"/>
    <w:rsid w:val="006E5E74"/>
    <w:rsid w:val="006E641E"/>
    <w:rsid w:val="006E649C"/>
    <w:rsid w:val="006E73BB"/>
    <w:rsid w:val="006F0B02"/>
    <w:rsid w:val="006F1D37"/>
    <w:rsid w:val="006F35A3"/>
    <w:rsid w:val="0070013B"/>
    <w:rsid w:val="00701388"/>
    <w:rsid w:val="00704815"/>
    <w:rsid w:val="00704978"/>
    <w:rsid w:val="00713F34"/>
    <w:rsid w:val="0071439C"/>
    <w:rsid w:val="0071544B"/>
    <w:rsid w:val="00715FFD"/>
    <w:rsid w:val="007161DF"/>
    <w:rsid w:val="00716F19"/>
    <w:rsid w:val="007215D7"/>
    <w:rsid w:val="0072244D"/>
    <w:rsid w:val="00722BCB"/>
    <w:rsid w:val="00723205"/>
    <w:rsid w:val="00723B7F"/>
    <w:rsid w:val="00725861"/>
    <w:rsid w:val="00726148"/>
    <w:rsid w:val="00727DF4"/>
    <w:rsid w:val="00731972"/>
    <w:rsid w:val="00732D32"/>
    <w:rsid w:val="0073393A"/>
    <w:rsid w:val="0073539D"/>
    <w:rsid w:val="007358C3"/>
    <w:rsid w:val="00740493"/>
    <w:rsid w:val="007413DA"/>
    <w:rsid w:val="0074209B"/>
    <w:rsid w:val="007422F3"/>
    <w:rsid w:val="00742442"/>
    <w:rsid w:val="00743888"/>
    <w:rsid w:val="00744076"/>
    <w:rsid w:val="00750E07"/>
    <w:rsid w:val="00751CC4"/>
    <w:rsid w:val="00754C00"/>
    <w:rsid w:val="0076016A"/>
    <w:rsid w:val="00761B63"/>
    <w:rsid w:val="0076262E"/>
    <w:rsid w:val="0076263E"/>
    <w:rsid w:val="00763202"/>
    <w:rsid w:val="00764E34"/>
    <w:rsid w:val="007659D8"/>
    <w:rsid w:val="00767B8A"/>
    <w:rsid w:val="00770218"/>
    <w:rsid w:val="0077035D"/>
    <w:rsid w:val="00771F28"/>
    <w:rsid w:val="00771F46"/>
    <w:rsid w:val="00774AB6"/>
    <w:rsid w:val="007750D4"/>
    <w:rsid w:val="00775481"/>
    <w:rsid w:val="00776C9E"/>
    <w:rsid w:val="007814D4"/>
    <w:rsid w:val="007839BC"/>
    <w:rsid w:val="007856A0"/>
    <w:rsid w:val="007856C3"/>
    <w:rsid w:val="00787338"/>
    <w:rsid w:val="007917C0"/>
    <w:rsid w:val="00791E6F"/>
    <w:rsid w:val="00795335"/>
    <w:rsid w:val="0079606F"/>
    <w:rsid w:val="00796AC7"/>
    <w:rsid w:val="007A2316"/>
    <w:rsid w:val="007A233B"/>
    <w:rsid w:val="007A23EE"/>
    <w:rsid w:val="007A476F"/>
    <w:rsid w:val="007A47EC"/>
    <w:rsid w:val="007A5ACD"/>
    <w:rsid w:val="007A6514"/>
    <w:rsid w:val="007B00D0"/>
    <w:rsid w:val="007B0A12"/>
    <w:rsid w:val="007B20A2"/>
    <w:rsid w:val="007B316F"/>
    <w:rsid w:val="007B3CB5"/>
    <w:rsid w:val="007B4863"/>
    <w:rsid w:val="007B5BE3"/>
    <w:rsid w:val="007B7175"/>
    <w:rsid w:val="007C3A2B"/>
    <w:rsid w:val="007C522B"/>
    <w:rsid w:val="007C65E6"/>
    <w:rsid w:val="007D038C"/>
    <w:rsid w:val="007D0FAB"/>
    <w:rsid w:val="007D21FD"/>
    <w:rsid w:val="007D2440"/>
    <w:rsid w:val="007D2465"/>
    <w:rsid w:val="007D2F0A"/>
    <w:rsid w:val="007D406B"/>
    <w:rsid w:val="007D4194"/>
    <w:rsid w:val="007D4407"/>
    <w:rsid w:val="007D4FD7"/>
    <w:rsid w:val="007D77C8"/>
    <w:rsid w:val="007E1CA3"/>
    <w:rsid w:val="007E32FB"/>
    <w:rsid w:val="007F11FC"/>
    <w:rsid w:val="007F191D"/>
    <w:rsid w:val="007F45B1"/>
    <w:rsid w:val="007F49AC"/>
    <w:rsid w:val="007F5B3F"/>
    <w:rsid w:val="007F7402"/>
    <w:rsid w:val="00802CA9"/>
    <w:rsid w:val="00803637"/>
    <w:rsid w:val="00803810"/>
    <w:rsid w:val="0080476D"/>
    <w:rsid w:val="008048E3"/>
    <w:rsid w:val="00811291"/>
    <w:rsid w:val="00811D87"/>
    <w:rsid w:val="00812D62"/>
    <w:rsid w:val="00812F29"/>
    <w:rsid w:val="00813FA8"/>
    <w:rsid w:val="00814942"/>
    <w:rsid w:val="00815A8E"/>
    <w:rsid w:val="00815D57"/>
    <w:rsid w:val="00816BF5"/>
    <w:rsid w:val="00816F8E"/>
    <w:rsid w:val="00817E85"/>
    <w:rsid w:val="00821713"/>
    <w:rsid w:val="00822A96"/>
    <w:rsid w:val="00822E9B"/>
    <w:rsid w:val="008236C4"/>
    <w:rsid w:val="008242D6"/>
    <w:rsid w:val="0082671A"/>
    <w:rsid w:val="00827050"/>
    <w:rsid w:val="0083278B"/>
    <w:rsid w:val="008329F0"/>
    <w:rsid w:val="0083417A"/>
    <w:rsid w:val="00834538"/>
    <w:rsid w:val="00835691"/>
    <w:rsid w:val="00837213"/>
    <w:rsid w:val="00837A04"/>
    <w:rsid w:val="008406CD"/>
    <w:rsid w:val="00842BD0"/>
    <w:rsid w:val="00843320"/>
    <w:rsid w:val="00845368"/>
    <w:rsid w:val="008460FD"/>
    <w:rsid w:val="00847FA8"/>
    <w:rsid w:val="00850649"/>
    <w:rsid w:val="00850E89"/>
    <w:rsid w:val="008514B3"/>
    <w:rsid w:val="00853820"/>
    <w:rsid w:val="008569AC"/>
    <w:rsid w:val="00856D71"/>
    <w:rsid w:val="00856EE5"/>
    <w:rsid w:val="00857406"/>
    <w:rsid w:val="00860271"/>
    <w:rsid w:val="00862A69"/>
    <w:rsid w:val="00863EB0"/>
    <w:rsid w:val="008647EF"/>
    <w:rsid w:val="008649D0"/>
    <w:rsid w:val="00865489"/>
    <w:rsid w:val="00867464"/>
    <w:rsid w:val="00867616"/>
    <w:rsid w:val="008714A6"/>
    <w:rsid w:val="0087181F"/>
    <w:rsid w:val="00872C45"/>
    <w:rsid w:val="008744C8"/>
    <w:rsid w:val="0087494E"/>
    <w:rsid w:val="0088032F"/>
    <w:rsid w:val="0088253C"/>
    <w:rsid w:val="00885E8B"/>
    <w:rsid w:val="00886BAE"/>
    <w:rsid w:val="00887D90"/>
    <w:rsid w:val="00891C78"/>
    <w:rsid w:val="0089200E"/>
    <w:rsid w:val="008930E4"/>
    <w:rsid w:val="008931F6"/>
    <w:rsid w:val="00893821"/>
    <w:rsid w:val="00894B23"/>
    <w:rsid w:val="0089568E"/>
    <w:rsid w:val="00897F64"/>
    <w:rsid w:val="008A2357"/>
    <w:rsid w:val="008A69FB"/>
    <w:rsid w:val="008A7B9C"/>
    <w:rsid w:val="008B2CBF"/>
    <w:rsid w:val="008B39FA"/>
    <w:rsid w:val="008B4560"/>
    <w:rsid w:val="008B4754"/>
    <w:rsid w:val="008B560F"/>
    <w:rsid w:val="008B6605"/>
    <w:rsid w:val="008B66AD"/>
    <w:rsid w:val="008B6F27"/>
    <w:rsid w:val="008B7348"/>
    <w:rsid w:val="008C2CF5"/>
    <w:rsid w:val="008C4358"/>
    <w:rsid w:val="008C43EE"/>
    <w:rsid w:val="008C50FE"/>
    <w:rsid w:val="008C569C"/>
    <w:rsid w:val="008C715A"/>
    <w:rsid w:val="008D7B46"/>
    <w:rsid w:val="008E1FB7"/>
    <w:rsid w:val="008E2856"/>
    <w:rsid w:val="008E316F"/>
    <w:rsid w:val="008E3484"/>
    <w:rsid w:val="008E46A7"/>
    <w:rsid w:val="008E5379"/>
    <w:rsid w:val="008E54CE"/>
    <w:rsid w:val="008E5B59"/>
    <w:rsid w:val="008E6A7A"/>
    <w:rsid w:val="008E6BC3"/>
    <w:rsid w:val="008E73D1"/>
    <w:rsid w:val="008F06BE"/>
    <w:rsid w:val="008F0DD4"/>
    <w:rsid w:val="008F1038"/>
    <w:rsid w:val="008F1AAB"/>
    <w:rsid w:val="008F3C45"/>
    <w:rsid w:val="008F5408"/>
    <w:rsid w:val="008F6032"/>
    <w:rsid w:val="008F6137"/>
    <w:rsid w:val="008F7046"/>
    <w:rsid w:val="009005FC"/>
    <w:rsid w:val="009019E1"/>
    <w:rsid w:val="00907B48"/>
    <w:rsid w:val="009116FB"/>
    <w:rsid w:val="00916437"/>
    <w:rsid w:val="00916745"/>
    <w:rsid w:val="009174BB"/>
    <w:rsid w:val="00920AA7"/>
    <w:rsid w:val="00921DE7"/>
    <w:rsid w:val="00922E5A"/>
    <w:rsid w:val="00924E18"/>
    <w:rsid w:val="00925BBC"/>
    <w:rsid w:val="009265B1"/>
    <w:rsid w:val="0092772F"/>
    <w:rsid w:val="00932444"/>
    <w:rsid w:val="0093357B"/>
    <w:rsid w:val="009364B2"/>
    <w:rsid w:val="009366FA"/>
    <w:rsid w:val="009374D4"/>
    <w:rsid w:val="009416A3"/>
    <w:rsid w:val="00941D41"/>
    <w:rsid w:val="00943315"/>
    <w:rsid w:val="00945667"/>
    <w:rsid w:val="009457E4"/>
    <w:rsid w:val="00946B04"/>
    <w:rsid w:val="00946C27"/>
    <w:rsid w:val="00947942"/>
    <w:rsid w:val="009500AE"/>
    <w:rsid w:val="0095039C"/>
    <w:rsid w:val="009534DC"/>
    <w:rsid w:val="00956034"/>
    <w:rsid w:val="00956396"/>
    <w:rsid w:val="00956E21"/>
    <w:rsid w:val="0096599A"/>
    <w:rsid w:val="00971DFB"/>
    <w:rsid w:val="00972CB2"/>
    <w:rsid w:val="00973B27"/>
    <w:rsid w:val="00974209"/>
    <w:rsid w:val="00975EB7"/>
    <w:rsid w:val="00976937"/>
    <w:rsid w:val="00981296"/>
    <w:rsid w:val="00981454"/>
    <w:rsid w:val="00981C9D"/>
    <w:rsid w:val="0098237E"/>
    <w:rsid w:val="0098406A"/>
    <w:rsid w:val="00984794"/>
    <w:rsid w:val="00987282"/>
    <w:rsid w:val="0099353E"/>
    <w:rsid w:val="0099381F"/>
    <w:rsid w:val="0099434E"/>
    <w:rsid w:val="00994DDB"/>
    <w:rsid w:val="009957D2"/>
    <w:rsid w:val="00996159"/>
    <w:rsid w:val="009A0220"/>
    <w:rsid w:val="009A0534"/>
    <w:rsid w:val="009A108A"/>
    <w:rsid w:val="009A132D"/>
    <w:rsid w:val="009A1E38"/>
    <w:rsid w:val="009A1ECE"/>
    <w:rsid w:val="009A41A6"/>
    <w:rsid w:val="009A4F3D"/>
    <w:rsid w:val="009A62D3"/>
    <w:rsid w:val="009B0E15"/>
    <w:rsid w:val="009B1724"/>
    <w:rsid w:val="009B2416"/>
    <w:rsid w:val="009B34FD"/>
    <w:rsid w:val="009B4FB3"/>
    <w:rsid w:val="009B58B3"/>
    <w:rsid w:val="009B696B"/>
    <w:rsid w:val="009B7671"/>
    <w:rsid w:val="009B7BBF"/>
    <w:rsid w:val="009C08BB"/>
    <w:rsid w:val="009C0C2C"/>
    <w:rsid w:val="009C0CCE"/>
    <w:rsid w:val="009C10E1"/>
    <w:rsid w:val="009C1BD4"/>
    <w:rsid w:val="009C2D19"/>
    <w:rsid w:val="009C436D"/>
    <w:rsid w:val="009C4D46"/>
    <w:rsid w:val="009C51C5"/>
    <w:rsid w:val="009C7AB0"/>
    <w:rsid w:val="009D0979"/>
    <w:rsid w:val="009D30DE"/>
    <w:rsid w:val="009D6702"/>
    <w:rsid w:val="009E15A0"/>
    <w:rsid w:val="009E5BA1"/>
    <w:rsid w:val="009F01B6"/>
    <w:rsid w:val="009F056E"/>
    <w:rsid w:val="009F179D"/>
    <w:rsid w:val="009F65CD"/>
    <w:rsid w:val="009F7517"/>
    <w:rsid w:val="00A020F2"/>
    <w:rsid w:val="00A041EC"/>
    <w:rsid w:val="00A05103"/>
    <w:rsid w:val="00A06B7E"/>
    <w:rsid w:val="00A06CB2"/>
    <w:rsid w:val="00A07C3F"/>
    <w:rsid w:val="00A07E68"/>
    <w:rsid w:val="00A1422B"/>
    <w:rsid w:val="00A149BF"/>
    <w:rsid w:val="00A16534"/>
    <w:rsid w:val="00A20543"/>
    <w:rsid w:val="00A23CE9"/>
    <w:rsid w:val="00A24F3D"/>
    <w:rsid w:val="00A253BE"/>
    <w:rsid w:val="00A26DCD"/>
    <w:rsid w:val="00A314BB"/>
    <w:rsid w:val="00A32B7D"/>
    <w:rsid w:val="00A33CAC"/>
    <w:rsid w:val="00A3600A"/>
    <w:rsid w:val="00A3603F"/>
    <w:rsid w:val="00A36C61"/>
    <w:rsid w:val="00A374CA"/>
    <w:rsid w:val="00A40530"/>
    <w:rsid w:val="00A41B60"/>
    <w:rsid w:val="00A41C7B"/>
    <w:rsid w:val="00A43054"/>
    <w:rsid w:val="00A468F6"/>
    <w:rsid w:val="00A47BE7"/>
    <w:rsid w:val="00A517F7"/>
    <w:rsid w:val="00A541A0"/>
    <w:rsid w:val="00A5431C"/>
    <w:rsid w:val="00A54EA5"/>
    <w:rsid w:val="00A551A1"/>
    <w:rsid w:val="00A55687"/>
    <w:rsid w:val="00A5596B"/>
    <w:rsid w:val="00A60904"/>
    <w:rsid w:val="00A62B89"/>
    <w:rsid w:val="00A6461B"/>
    <w:rsid w:val="00A646B3"/>
    <w:rsid w:val="00A65E53"/>
    <w:rsid w:val="00A66706"/>
    <w:rsid w:val="00A6739B"/>
    <w:rsid w:val="00A67C86"/>
    <w:rsid w:val="00A70671"/>
    <w:rsid w:val="00A724E4"/>
    <w:rsid w:val="00A730E9"/>
    <w:rsid w:val="00A806A3"/>
    <w:rsid w:val="00A810AC"/>
    <w:rsid w:val="00A81FCD"/>
    <w:rsid w:val="00A83B13"/>
    <w:rsid w:val="00A90413"/>
    <w:rsid w:val="00A911B8"/>
    <w:rsid w:val="00A9168D"/>
    <w:rsid w:val="00A91FC2"/>
    <w:rsid w:val="00A9301A"/>
    <w:rsid w:val="00A93F6B"/>
    <w:rsid w:val="00A95D57"/>
    <w:rsid w:val="00A96A39"/>
    <w:rsid w:val="00A97925"/>
    <w:rsid w:val="00AA1AA3"/>
    <w:rsid w:val="00AA1B8C"/>
    <w:rsid w:val="00AA2A94"/>
    <w:rsid w:val="00AA3A7D"/>
    <w:rsid w:val="00AA53C1"/>
    <w:rsid w:val="00AA5862"/>
    <w:rsid w:val="00AA5BC3"/>
    <w:rsid w:val="00AA5DE4"/>
    <w:rsid w:val="00AA62FF"/>
    <w:rsid w:val="00AA728C"/>
    <w:rsid w:val="00AB0A9C"/>
    <w:rsid w:val="00AB12ED"/>
    <w:rsid w:val="00AB1D83"/>
    <w:rsid w:val="00AB3C0F"/>
    <w:rsid w:val="00AB3C6D"/>
    <w:rsid w:val="00AB3CF8"/>
    <w:rsid w:val="00AB46B4"/>
    <w:rsid w:val="00AB503C"/>
    <w:rsid w:val="00AB624D"/>
    <w:rsid w:val="00AB7119"/>
    <w:rsid w:val="00AC3166"/>
    <w:rsid w:val="00AC5B71"/>
    <w:rsid w:val="00AC6225"/>
    <w:rsid w:val="00AC6AE8"/>
    <w:rsid w:val="00AC7334"/>
    <w:rsid w:val="00AD5855"/>
    <w:rsid w:val="00AE5595"/>
    <w:rsid w:val="00AE6407"/>
    <w:rsid w:val="00AE7461"/>
    <w:rsid w:val="00AE7500"/>
    <w:rsid w:val="00AE7E8F"/>
    <w:rsid w:val="00AE7F87"/>
    <w:rsid w:val="00AF0733"/>
    <w:rsid w:val="00AF3542"/>
    <w:rsid w:val="00AF536E"/>
    <w:rsid w:val="00AF5ABE"/>
    <w:rsid w:val="00AF5C9D"/>
    <w:rsid w:val="00AF6F93"/>
    <w:rsid w:val="00AF7AB4"/>
    <w:rsid w:val="00AF7D1A"/>
    <w:rsid w:val="00B00415"/>
    <w:rsid w:val="00B00CFD"/>
    <w:rsid w:val="00B01D87"/>
    <w:rsid w:val="00B02BD0"/>
    <w:rsid w:val="00B03C2A"/>
    <w:rsid w:val="00B04B79"/>
    <w:rsid w:val="00B04DD6"/>
    <w:rsid w:val="00B05890"/>
    <w:rsid w:val="00B06B2D"/>
    <w:rsid w:val="00B07CF2"/>
    <w:rsid w:val="00B1000D"/>
    <w:rsid w:val="00B10134"/>
    <w:rsid w:val="00B11F17"/>
    <w:rsid w:val="00B12A8E"/>
    <w:rsid w:val="00B14B1F"/>
    <w:rsid w:val="00B150F3"/>
    <w:rsid w:val="00B16BFE"/>
    <w:rsid w:val="00B16E08"/>
    <w:rsid w:val="00B1754C"/>
    <w:rsid w:val="00B17798"/>
    <w:rsid w:val="00B20A07"/>
    <w:rsid w:val="00B22BD5"/>
    <w:rsid w:val="00B2323E"/>
    <w:rsid w:val="00B2453C"/>
    <w:rsid w:val="00B25478"/>
    <w:rsid w:val="00B25FA8"/>
    <w:rsid w:val="00B267A7"/>
    <w:rsid w:val="00B311FD"/>
    <w:rsid w:val="00B32132"/>
    <w:rsid w:val="00B32CD7"/>
    <w:rsid w:val="00B342D9"/>
    <w:rsid w:val="00B3545F"/>
    <w:rsid w:val="00B35B4F"/>
    <w:rsid w:val="00B36BB6"/>
    <w:rsid w:val="00B40E43"/>
    <w:rsid w:val="00B422D6"/>
    <w:rsid w:val="00B42B27"/>
    <w:rsid w:val="00B4329C"/>
    <w:rsid w:val="00B44BF2"/>
    <w:rsid w:val="00B462EC"/>
    <w:rsid w:val="00B4654F"/>
    <w:rsid w:val="00B500E5"/>
    <w:rsid w:val="00B511D4"/>
    <w:rsid w:val="00B514A2"/>
    <w:rsid w:val="00B56554"/>
    <w:rsid w:val="00B5724A"/>
    <w:rsid w:val="00B6074A"/>
    <w:rsid w:val="00B6198E"/>
    <w:rsid w:val="00B62415"/>
    <w:rsid w:val="00B627D4"/>
    <w:rsid w:val="00B628D0"/>
    <w:rsid w:val="00B62931"/>
    <w:rsid w:val="00B63C3F"/>
    <w:rsid w:val="00B652E6"/>
    <w:rsid w:val="00B67CF9"/>
    <w:rsid w:val="00B70DD6"/>
    <w:rsid w:val="00B712F1"/>
    <w:rsid w:val="00B7144A"/>
    <w:rsid w:val="00B733DD"/>
    <w:rsid w:val="00B75EC9"/>
    <w:rsid w:val="00B76C99"/>
    <w:rsid w:val="00B7735C"/>
    <w:rsid w:val="00B81D95"/>
    <w:rsid w:val="00B8385D"/>
    <w:rsid w:val="00B84214"/>
    <w:rsid w:val="00B8579C"/>
    <w:rsid w:val="00B8759D"/>
    <w:rsid w:val="00B9044B"/>
    <w:rsid w:val="00B90636"/>
    <w:rsid w:val="00B91F4F"/>
    <w:rsid w:val="00B9298E"/>
    <w:rsid w:val="00B9373D"/>
    <w:rsid w:val="00B96972"/>
    <w:rsid w:val="00BA08E4"/>
    <w:rsid w:val="00BA1731"/>
    <w:rsid w:val="00BA184B"/>
    <w:rsid w:val="00BA273B"/>
    <w:rsid w:val="00BA2943"/>
    <w:rsid w:val="00BA39BB"/>
    <w:rsid w:val="00BA3B3D"/>
    <w:rsid w:val="00BA3B51"/>
    <w:rsid w:val="00BA5323"/>
    <w:rsid w:val="00BA5A97"/>
    <w:rsid w:val="00BB00BC"/>
    <w:rsid w:val="00BB03BA"/>
    <w:rsid w:val="00BB07AE"/>
    <w:rsid w:val="00BB1564"/>
    <w:rsid w:val="00BB27FD"/>
    <w:rsid w:val="00BB2CAB"/>
    <w:rsid w:val="00BB5318"/>
    <w:rsid w:val="00BB6B3B"/>
    <w:rsid w:val="00BB7291"/>
    <w:rsid w:val="00BB7EEA"/>
    <w:rsid w:val="00BC2557"/>
    <w:rsid w:val="00BC2DD8"/>
    <w:rsid w:val="00BC3BDA"/>
    <w:rsid w:val="00BC6807"/>
    <w:rsid w:val="00BC75DB"/>
    <w:rsid w:val="00BD0FAF"/>
    <w:rsid w:val="00BD1909"/>
    <w:rsid w:val="00BD2015"/>
    <w:rsid w:val="00BD43FC"/>
    <w:rsid w:val="00BD4527"/>
    <w:rsid w:val="00BD7D0D"/>
    <w:rsid w:val="00BE20EC"/>
    <w:rsid w:val="00BE2700"/>
    <w:rsid w:val="00BE2D6A"/>
    <w:rsid w:val="00BE5BFA"/>
    <w:rsid w:val="00BE5E16"/>
    <w:rsid w:val="00BE5FD1"/>
    <w:rsid w:val="00BE6E10"/>
    <w:rsid w:val="00BF0DCA"/>
    <w:rsid w:val="00BF191E"/>
    <w:rsid w:val="00BF30D9"/>
    <w:rsid w:val="00BF40A6"/>
    <w:rsid w:val="00BF45B3"/>
    <w:rsid w:val="00BF50C9"/>
    <w:rsid w:val="00BF535C"/>
    <w:rsid w:val="00BF6BBC"/>
    <w:rsid w:val="00C00789"/>
    <w:rsid w:val="00C007B0"/>
    <w:rsid w:val="00C0156B"/>
    <w:rsid w:val="00C03933"/>
    <w:rsid w:val="00C06E05"/>
    <w:rsid w:val="00C07A4C"/>
    <w:rsid w:val="00C10BA3"/>
    <w:rsid w:val="00C113C7"/>
    <w:rsid w:val="00C118F2"/>
    <w:rsid w:val="00C12DB9"/>
    <w:rsid w:val="00C1345A"/>
    <w:rsid w:val="00C14B14"/>
    <w:rsid w:val="00C15BA2"/>
    <w:rsid w:val="00C16FB6"/>
    <w:rsid w:val="00C17370"/>
    <w:rsid w:val="00C2054D"/>
    <w:rsid w:val="00C2062C"/>
    <w:rsid w:val="00C21950"/>
    <w:rsid w:val="00C21CDD"/>
    <w:rsid w:val="00C22930"/>
    <w:rsid w:val="00C2451A"/>
    <w:rsid w:val="00C252EB"/>
    <w:rsid w:val="00C25BF0"/>
    <w:rsid w:val="00C25E3D"/>
    <w:rsid w:val="00C263F9"/>
    <w:rsid w:val="00C26EC0"/>
    <w:rsid w:val="00C273C2"/>
    <w:rsid w:val="00C274C4"/>
    <w:rsid w:val="00C31782"/>
    <w:rsid w:val="00C33857"/>
    <w:rsid w:val="00C3442B"/>
    <w:rsid w:val="00C3503E"/>
    <w:rsid w:val="00C3690D"/>
    <w:rsid w:val="00C36C43"/>
    <w:rsid w:val="00C406E1"/>
    <w:rsid w:val="00C44B95"/>
    <w:rsid w:val="00C44C38"/>
    <w:rsid w:val="00C44C7F"/>
    <w:rsid w:val="00C458C4"/>
    <w:rsid w:val="00C45C5A"/>
    <w:rsid w:val="00C508AB"/>
    <w:rsid w:val="00C54241"/>
    <w:rsid w:val="00C544D3"/>
    <w:rsid w:val="00C545E6"/>
    <w:rsid w:val="00C5527C"/>
    <w:rsid w:val="00C55286"/>
    <w:rsid w:val="00C55E01"/>
    <w:rsid w:val="00C566ED"/>
    <w:rsid w:val="00C56C77"/>
    <w:rsid w:val="00C6021A"/>
    <w:rsid w:val="00C6147E"/>
    <w:rsid w:val="00C63376"/>
    <w:rsid w:val="00C64AD9"/>
    <w:rsid w:val="00C657FA"/>
    <w:rsid w:val="00C65DD5"/>
    <w:rsid w:val="00C665A6"/>
    <w:rsid w:val="00C705B9"/>
    <w:rsid w:val="00C7104A"/>
    <w:rsid w:val="00C7195A"/>
    <w:rsid w:val="00C72729"/>
    <w:rsid w:val="00C75CD6"/>
    <w:rsid w:val="00C7645A"/>
    <w:rsid w:val="00C801EE"/>
    <w:rsid w:val="00C80A0E"/>
    <w:rsid w:val="00C81460"/>
    <w:rsid w:val="00C84923"/>
    <w:rsid w:val="00C84B7B"/>
    <w:rsid w:val="00C84F6E"/>
    <w:rsid w:val="00C853A5"/>
    <w:rsid w:val="00C854AC"/>
    <w:rsid w:val="00C8778D"/>
    <w:rsid w:val="00C9015E"/>
    <w:rsid w:val="00C90E71"/>
    <w:rsid w:val="00C91563"/>
    <w:rsid w:val="00C92B52"/>
    <w:rsid w:val="00C95443"/>
    <w:rsid w:val="00C959AE"/>
    <w:rsid w:val="00C967E5"/>
    <w:rsid w:val="00CA02F3"/>
    <w:rsid w:val="00CA12D6"/>
    <w:rsid w:val="00CA2407"/>
    <w:rsid w:val="00CA2A87"/>
    <w:rsid w:val="00CA34D5"/>
    <w:rsid w:val="00CA500C"/>
    <w:rsid w:val="00CA6209"/>
    <w:rsid w:val="00CA6E0F"/>
    <w:rsid w:val="00CA7C45"/>
    <w:rsid w:val="00CB0827"/>
    <w:rsid w:val="00CB2817"/>
    <w:rsid w:val="00CB4190"/>
    <w:rsid w:val="00CB46DD"/>
    <w:rsid w:val="00CB4733"/>
    <w:rsid w:val="00CB47B6"/>
    <w:rsid w:val="00CB6B01"/>
    <w:rsid w:val="00CB6B16"/>
    <w:rsid w:val="00CB7154"/>
    <w:rsid w:val="00CB7B3E"/>
    <w:rsid w:val="00CC05E4"/>
    <w:rsid w:val="00CC2CF4"/>
    <w:rsid w:val="00CC3233"/>
    <w:rsid w:val="00CC6FD7"/>
    <w:rsid w:val="00CC739D"/>
    <w:rsid w:val="00CD1940"/>
    <w:rsid w:val="00CD2C14"/>
    <w:rsid w:val="00CD2E39"/>
    <w:rsid w:val="00CD3F9F"/>
    <w:rsid w:val="00CD51ED"/>
    <w:rsid w:val="00CD5B5D"/>
    <w:rsid w:val="00CD6B8C"/>
    <w:rsid w:val="00CD766F"/>
    <w:rsid w:val="00CE0CD2"/>
    <w:rsid w:val="00CE5EAD"/>
    <w:rsid w:val="00CE7669"/>
    <w:rsid w:val="00CF2390"/>
    <w:rsid w:val="00CF2562"/>
    <w:rsid w:val="00CF30D2"/>
    <w:rsid w:val="00CF321E"/>
    <w:rsid w:val="00CF4057"/>
    <w:rsid w:val="00CF4C72"/>
    <w:rsid w:val="00CF6F49"/>
    <w:rsid w:val="00D00948"/>
    <w:rsid w:val="00D00CA6"/>
    <w:rsid w:val="00D017AB"/>
    <w:rsid w:val="00D03252"/>
    <w:rsid w:val="00D03CB6"/>
    <w:rsid w:val="00D04468"/>
    <w:rsid w:val="00D066E9"/>
    <w:rsid w:val="00D10BA3"/>
    <w:rsid w:val="00D126A7"/>
    <w:rsid w:val="00D126BE"/>
    <w:rsid w:val="00D12747"/>
    <w:rsid w:val="00D128BD"/>
    <w:rsid w:val="00D1456A"/>
    <w:rsid w:val="00D149DC"/>
    <w:rsid w:val="00D1515A"/>
    <w:rsid w:val="00D15AD6"/>
    <w:rsid w:val="00D15C02"/>
    <w:rsid w:val="00D16D64"/>
    <w:rsid w:val="00D17FCD"/>
    <w:rsid w:val="00D21497"/>
    <w:rsid w:val="00D22212"/>
    <w:rsid w:val="00D2427F"/>
    <w:rsid w:val="00D24B18"/>
    <w:rsid w:val="00D2518D"/>
    <w:rsid w:val="00D256A7"/>
    <w:rsid w:val="00D304FE"/>
    <w:rsid w:val="00D30640"/>
    <w:rsid w:val="00D30AA2"/>
    <w:rsid w:val="00D344F4"/>
    <w:rsid w:val="00D3567F"/>
    <w:rsid w:val="00D36257"/>
    <w:rsid w:val="00D36923"/>
    <w:rsid w:val="00D36958"/>
    <w:rsid w:val="00D37285"/>
    <w:rsid w:val="00D40487"/>
    <w:rsid w:val="00D40CA4"/>
    <w:rsid w:val="00D41450"/>
    <w:rsid w:val="00D435BC"/>
    <w:rsid w:val="00D45FAA"/>
    <w:rsid w:val="00D4631B"/>
    <w:rsid w:val="00D464A1"/>
    <w:rsid w:val="00D4687E"/>
    <w:rsid w:val="00D47A15"/>
    <w:rsid w:val="00D5244A"/>
    <w:rsid w:val="00D52677"/>
    <w:rsid w:val="00D52A64"/>
    <w:rsid w:val="00D53A12"/>
    <w:rsid w:val="00D5463B"/>
    <w:rsid w:val="00D55826"/>
    <w:rsid w:val="00D5747B"/>
    <w:rsid w:val="00D6196B"/>
    <w:rsid w:val="00D62540"/>
    <w:rsid w:val="00D63255"/>
    <w:rsid w:val="00D658F0"/>
    <w:rsid w:val="00D65BA7"/>
    <w:rsid w:val="00D66E05"/>
    <w:rsid w:val="00D678A6"/>
    <w:rsid w:val="00D70F31"/>
    <w:rsid w:val="00D72C41"/>
    <w:rsid w:val="00D777BB"/>
    <w:rsid w:val="00D828DE"/>
    <w:rsid w:val="00D843E2"/>
    <w:rsid w:val="00D85FA6"/>
    <w:rsid w:val="00D86E9E"/>
    <w:rsid w:val="00D877A7"/>
    <w:rsid w:val="00D87E2A"/>
    <w:rsid w:val="00D91C57"/>
    <w:rsid w:val="00D93573"/>
    <w:rsid w:val="00D93DAF"/>
    <w:rsid w:val="00D93E03"/>
    <w:rsid w:val="00D947C8"/>
    <w:rsid w:val="00D977A8"/>
    <w:rsid w:val="00DA165A"/>
    <w:rsid w:val="00DA374D"/>
    <w:rsid w:val="00DA5719"/>
    <w:rsid w:val="00DB0C0A"/>
    <w:rsid w:val="00DB0C43"/>
    <w:rsid w:val="00DB0E19"/>
    <w:rsid w:val="00DB0E84"/>
    <w:rsid w:val="00DB38D3"/>
    <w:rsid w:val="00DB43D0"/>
    <w:rsid w:val="00DB5F2F"/>
    <w:rsid w:val="00DC065A"/>
    <w:rsid w:val="00DC72ED"/>
    <w:rsid w:val="00DC7780"/>
    <w:rsid w:val="00DC7B4A"/>
    <w:rsid w:val="00DD090F"/>
    <w:rsid w:val="00DD09A7"/>
    <w:rsid w:val="00DD0A2F"/>
    <w:rsid w:val="00DD0E1B"/>
    <w:rsid w:val="00DD3FFC"/>
    <w:rsid w:val="00DD4C2B"/>
    <w:rsid w:val="00DD7902"/>
    <w:rsid w:val="00DE1487"/>
    <w:rsid w:val="00DE2D8F"/>
    <w:rsid w:val="00DE3354"/>
    <w:rsid w:val="00DE3C68"/>
    <w:rsid w:val="00DE4325"/>
    <w:rsid w:val="00DF1A28"/>
    <w:rsid w:val="00DF23F3"/>
    <w:rsid w:val="00DF296A"/>
    <w:rsid w:val="00DF2E88"/>
    <w:rsid w:val="00DF30A3"/>
    <w:rsid w:val="00DF3647"/>
    <w:rsid w:val="00DF38F7"/>
    <w:rsid w:val="00DF3C75"/>
    <w:rsid w:val="00DF652E"/>
    <w:rsid w:val="00DF7B27"/>
    <w:rsid w:val="00DF7DCD"/>
    <w:rsid w:val="00E030B5"/>
    <w:rsid w:val="00E03971"/>
    <w:rsid w:val="00E060FC"/>
    <w:rsid w:val="00E06EC8"/>
    <w:rsid w:val="00E0711F"/>
    <w:rsid w:val="00E103A6"/>
    <w:rsid w:val="00E10632"/>
    <w:rsid w:val="00E118AB"/>
    <w:rsid w:val="00E15FD8"/>
    <w:rsid w:val="00E17FC6"/>
    <w:rsid w:val="00E24DF7"/>
    <w:rsid w:val="00E25E1F"/>
    <w:rsid w:val="00E2709D"/>
    <w:rsid w:val="00E312CC"/>
    <w:rsid w:val="00E31B5A"/>
    <w:rsid w:val="00E3315A"/>
    <w:rsid w:val="00E41A04"/>
    <w:rsid w:val="00E41E35"/>
    <w:rsid w:val="00E4298C"/>
    <w:rsid w:val="00E43FDC"/>
    <w:rsid w:val="00E44525"/>
    <w:rsid w:val="00E45744"/>
    <w:rsid w:val="00E474CB"/>
    <w:rsid w:val="00E50605"/>
    <w:rsid w:val="00E50B7D"/>
    <w:rsid w:val="00E5308C"/>
    <w:rsid w:val="00E54125"/>
    <w:rsid w:val="00E55DCC"/>
    <w:rsid w:val="00E56569"/>
    <w:rsid w:val="00E61F5C"/>
    <w:rsid w:val="00E623B7"/>
    <w:rsid w:val="00E631FC"/>
    <w:rsid w:val="00E661D3"/>
    <w:rsid w:val="00E6626B"/>
    <w:rsid w:val="00E73146"/>
    <w:rsid w:val="00E74929"/>
    <w:rsid w:val="00E777DF"/>
    <w:rsid w:val="00E77FE9"/>
    <w:rsid w:val="00E842BF"/>
    <w:rsid w:val="00E87A9A"/>
    <w:rsid w:val="00E87E29"/>
    <w:rsid w:val="00E904A1"/>
    <w:rsid w:val="00E9079B"/>
    <w:rsid w:val="00E91D3A"/>
    <w:rsid w:val="00E9319E"/>
    <w:rsid w:val="00E934BF"/>
    <w:rsid w:val="00E93C5F"/>
    <w:rsid w:val="00E94584"/>
    <w:rsid w:val="00E94E42"/>
    <w:rsid w:val="00E96643"/>
    <w:rsid w:val="00E96672"/>
    <w:rsid w:val="00EA00A1"/>
    <w:rsid w:val="00EA1021"/>
    <w:rsid w:val="00EA574F"/>
    <w:rsid w:val="00EB0E8D"/>
    <w:rsid w:val="00EB10C8"/>
    <w:rsid w:val="00EB164D"/>
    <w:rsid w:val="00EB3EC1"/>
    <w:rsid w:val="00EB4A6A"/>
    <w:rsid w:val="00EB62D9"/>
    <w:rsid w:val="00EB743F"/>
    <w:rsid w:val="00EB7D28"/>
    <w:rsid w:val="00EC003C"/>
    <w:rsid w:val="00EC0382"/>
    <w:rsid w:val="00EC0D0C"/>
    <w:rsid w:val="00EC52A0"/>
    <w:rsid w:val="00EC6B4B"/>
    <w:rsid w:val="00ED0CF9"/>
    <w:rsid w:val="00ED20FB"/>
    <w:rsid w:val="00ED298B"/>
    <w:rsid w:val="00ED354C"/>
    <w:rsid w:val="00ED3CDE"/>
    <w:rsid w:val="00ED4A2C"/>
    <w:rsid w:val="00ED4E19"/>
    <w:rsid w:val="00ED5229"/>
    <w:rsid w:val="00ED53C6"/>
    <w:rsid w:val="00ED6E48"/>
    <w:rsid w:val="00ED7711"/>
    <w:rsid w:val="00ED7765"/>
    <w:rsid w:val="00ED7921"/>
    <w:rsid w:val="00EE1377"/>
    <w:rsid w:val="00EE1CF7"/>
    <w:rsid w:val="00EE20B9"/>
    <w:rsid w:val="00EE3680"/>
    <w:rsid w:val="00EE3B48"/>
    <w:rsid w:val="00EE4C67"/>
    <w:rsid w:val="00EE4D2B"/>
    <w:rsid w:val="00EE6A78"/>
    <w:rsid w:val="00EE736D"/>
    <w:rsid w:val="00EF0CE3"/>
    <w:rsid w:val="00EF10CC"/>
    <w:rsid w:val="00EF1737"/>
    <w:rsid w:val="00EF3015"/>
    <w:rsid w:val="00EF4C5A"/>
    <w:rsid w:val="00EF5FEF"/>
    <w:rsid w:val="00EF6940"/>
    <w:rsid w:val="00EF7034"/>
    <w:rsid w:val="00F0123C"/>
    <w:rsid w:val="00F01C95"/>
    <w:rsid w:val="00F01E69"/>
    <w:rsid w:val="00F02FF8"/>
    <w:rsid w:val="00F049A4"/>
    <w:rsid w:val="00F04F95"/>
    <w:rsid w:val="00F05081"/>
    <w:rsid w:val="00F06761"/>
    <w:rsid w:val="00F06D31"/>
    <w:rsid w:val="00F11FB3"/>
    <w:rsid w:val="00F1540E"/>
    <w:rsid w:val="00F154F2"/>
    <w:rsid w:val="00F2044A"/>
    <w:rsid w:val="00F20BFC"/>
    <w:rsid w:val="00F218FF"/>
    <w:rsid w:val="00F23DAA"/>
    <w:rsid w:val="00F24863"/>
    <w:rsid w:val="00F24D5F"/>
    <w:rsid w:val="00F30C53"/>
    <w:rsid w:val="00F3209F"/>
    <w:rsid w:val="00F33206"/>
    <w:rsid w:val="00F33562"/>
    <w:rsid w:val="00F372D8"/>
    <w:rsid w:val="00F378BC"/>
    <w:rsid w:val="00F400AA"/>
    <w:rsid w:val="00F40E8D"/>
    <w:rsid w:val="00F41B24"/>
    <w:rsid w:val="00F42FB0"/>
    <w:rsid w:val="00F4339F"/>
    <w:rsid w:val="00F43C8A"/>
    <w:rsid w:val="00F46F08"/>
    <w:rsid w:val="00F50223"/>
    <w:rsid w:val="00F50234"/>
    <w:rsid w:val="00F50AFA"/>
    <w:rsid w:val="00F51770"/>
    <w:rsid w:val="00F53A65"/>
    <w:rsid w:val="00F54C82"/>
    <w:rsid w:val="00F55959"/>
    <w:rsid w:val="00F56DA1"/>
    <w:rsid w:val="00F60A6F"/>
    <w:rsid w:val="00F6234B"/>
    <w:rsid w:val="00F63EF6"/>
    <w:rsid w:val="00F653F9"/>
    <w:rsid w:val="00F658BC"/>
    <w:rsid w:val="00F658D0"/>
    <w:rsid w:val="00F65F3E"/>
    <w:rsid w:val="00F71986"/>
    <w:rsid w:val="00F71C62"/>
    <w:rsid w:val="00F726C3"/>
    <w:rsid w:val="00F758F1"/>
    <w:rsid w:val="00F77EDF"/>
    <w:rsid w:val="00F806F1"/>
    <w:rsid w:val="00F820CA"/>
    <w:rsid w:val="00F82623"/>
    <w:rsid w:val="00F84569"/>
    <w:rsid w:val="00F846DC"/>
    <w:rsid w:val="00F853A3"/>
    <w:rsid w:val="00F85478"/>
    <w:rsid w:val="00F8554C"/>
    <w:rsid w:val="00F91018"/>
    <w:rsid w:val="00F938DC"/>
    <w:rsid w:val="00F9440F"/>
    <w:rsid w:val="00F94592"/>
    <w:rsid w:val="00F94939"/>
    <w:rsid w:val="00F94A3A"/>
    <w:rsid w:val="00F95F82"/>
    <w:rsid w:val="00F97730"/>
    <w:rsid w:val="00F97A90"/>
    <w:rsid w:val="00FA0BFB"/>
    <w:rsid w:val="00FA0D11"/>
    <w:rsid w:val="00FA1889"/>
    <w:rsid w:val="00FA1906"/>
    <w:rsid w:val="00FA26CA"/>
    <w:rsid w:val="00FA37CA"/>
    <w:rsid w:val="00FA4D08"/>
    <w:rsid w:val="00FA6134"/>
    <w:rsid w:val="00FA725F"/>
    <w:rsid w:val="00FA7FED"/>
    <w:rsid w:val="00FB05C7"/>
    <w:rsid w:val="00FB25E4"/>
    <w:rsid w:val="00FB3736"/>
    <w:rsid w:val="00FB6912"/>
    <w:rsid w:val="00FB6ED7"/>
    <w:rsid w:val="00FB7AEF"/>
    <w:rsid w:val="00FC03FD"/>
    <w:rsid w:val="00FC0DDD"/>
    <w:rsid w:val="00FC1D0A"/>
    <w:rsid w:val="00FC27AF"/>
    <w:rsid w:val="00FC2F35"/>
    <w:rsid w:val="00FC3FD7"/>
    <w:rsid w:val="00FC5C27"/>
    <w:rsid w:val="00FC7BED"/>
    <w:rsid w:val="00FD1FC6"/>
    <w:rsid w:val="00FD2448"/>
    <w:rsid w:val="00FD3F16"/>
    <w:rsid w:val="00FD4AB2"/>
    <w:rsid w:val="00FD6633"/>
    <w:rsid w:val="00FD7166"/>
    <w:rsid w:val="00FD7C7A"/>
    <w:rsid w:val="00FE2293"/>
    <w:rsid w:val="00FE5869"/>
    <w:rsid w:val="00FE7BA4"/>
    <w:rsid w:val="00FF4352"/>
    <w:rsid w:val="00FF4EC8"/>
    <w:rsid w:val="00FF52F7"/>
    <w:rsid w:val="00FF63FF"/>
    <w:rsid w:val="04F5CA3A"/>
    <w:rsid w:val="0538DDB7"/>
    <w:rsid w:val="060A9D66"/>
    <w:rsid w:val="071B6D4B"/>
    <w:rsid w:val="09047FF9"/>
    <w:rsid w:val="0A3163B7"/>
    <w:rsid w:val="0B1E8874"/>
    <w:rsid w:val="14745E86"/>
    <w:rsid w:val="16F7896B"/>
    <w:rsid w:val="19D094BB"/>
    <w:rsid w:val="1AE4298A"/>
    <w:rsid w:val="1AF0CC8C"/>
    <w:rsid w:val="1EE08ECF"/>
    <w:rsid w:val="2172AF89"/>
    <w:rsid w:val="22257E58"/>
    <w:rsid w:val="22E9FD4F"/>
    <w:rsid w:val="2605E36B"/>
    <w:rsid w:val="2BBBFE06"/>
    <w:rsid w:val="2CD9F087"/>
    <w:rsid w:val="2DE0BEDA"/>
    <w:rsid w:val="2F830975"/>
    <w:rsid w:val="319C2213"/>
    <w:rsid w:val="31ED1993"/>
    <w:rsid w:val="3853B9E2"/>
    <w:rsid w:val="395509E6"/>
    <w:rsid w:val="3C4A13BC"/>
    <w:rsid w:val="3DC27736"/>
    <w:rsid w:val="3E2A71B2"/>
    <w:rsid w:val="4117546B"/>
    <w:rsid w:val="4444F4B6"/>
    <w:rsid w:val="4A9FEF8C"/>
    <w:rsid w:val="4AAA6C35"/>
    <w:rsid w:val="4D5DCAE6"/>
    <w:rsid w:val="50F0CF5D"/>
    <w:rsid w:val="53E9380D"/>
    <w:rsid w:val="540AF25A"/>
    <w:rsid w:val="5E2D81F9"/>
    <w:rsid w:val="5E513AB7"/>
    <w:rsid w:val="5F638628"/>
    <w:rsid w:val="618E82D8"/>
    <w:rsid w:val="684E4D65"/>
    <w:rsid w:val="68F5AA46"/>
    <w:rsid w:val="6ADFC94F"/>
    <w:rsid w:val="6D7AB5B0"/>
    <w:rsid w:val="6F1D4632"/>
    <w:rsid w:val="72E92C4B"/>
    <w:rsid w:val="74001AFD"/>
    <w:rsid w:val="7489B96C"/>
    <w:rsid w:val="76035D4A"/>
    <w:rsid w:val="76051D10"/>
    <w:rsid w:val="77C9C5B7"/>
    <w:rsid w:val="79163070"/>
    <w:rsid w:val="7B9017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7DAFF2"/>
  <w14:defaultImageDpi w14:val="32767"/>
  <w15:docId w15:val="{B5910ED1-17BF-432B-91F4-65146263F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Titre1">
    <w:name w:val="heading 1"/>
    <w:basedOn w:val="Normal"/>
    <w:next w:val="Paragraph"/>
    <w:link w:val="Titre1Car"/>
    <w:qFormat/>
    <w:pPr>
      <w:keepNext/>
      <w:spacing w:before="240" w:after="240"/>
      <w:jc w:val="center"/>
      <w:outlineLvl w:val="0"/>
    </w:pPr>
    <w:rPr>
      <w:b/>
      <w:caps/>
    </w:rPr>
  </w:style>
  <w:style w:type="paragraph" w:styleId="Titre2">
    <w:name w:val="heading 2"/>
    <w:basedOn w:val="Normal"/>
    <w:next w:val="Paragraph"/>
    <w:qFormat/>
    <w:pPr>
      <w:keepNext/>
      <w:spacing w:before="240" w:after="240"/>
      <w:jc w:val="center"/>
      <w:outlineLvl w:val="1"/>
    </w:pPr>
    <w:rPr>
      <w:b/>
    </w:rPr>
  </w:style>
  <w:style w:type="paragraph" w:styleId="Titre3">
    <w:name w:val="heading 3"/>
    <w:basedOn w:val="Normal"/>
    <w:next w:val="Normal"/>
    <w:link w:val="Titre3Car"/>
    <w:qFormat/>
    <w:rsid w:val="005854B0"/>
    <w:pPr>
      <w:keepNext/>
      <w:spacing w:before="240" w:after="240"/>
      <w:jc w:val="center"/>
      <w:outlineLvl w:val="2"/>
    </w:pPr>
    <w:rPr>
      <w:i/>
      <w:iCs/>
      <w:sz w:val="20"/>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Titre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Appelnotedebasdep">
    <w:name w:val="footnote reference"/>
    <w:semiHidden/>
    <w:rPr>
      <w:vertAlign w:val="superscript"/>
    </w:rPr>
  </w:style>
  <w:style w:type="paragraph" w:customStyle="1" w:styleId="Reference">
    <w:name w:val="Reference"/>
    <w:basedOn w:val="Paragraph"/>
    <w:rsid w:val="00AE7500"/>
    <w:pPr>
      <w:numPr>
        <w:numId w:val="2"/>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Textedebulles">
    <w:name w:val="Balloon Text"/>
    <w:basedOn w:val="Normal"/>
    <w:link w:val="TextedebullesCar"/>
    <w:rsid w:val="00114AB1"/>
    <w:rPr>
      <w:rFonts w:ascii="Tahoma" w:hAnsi="Tahoma" w:cs="Tahoma"/>
      <w:sz w:val="16"/>
      <w:szCs w:val="16"/>
    </w:rPr>
  </w:style>
  <w:style w:type="character" w:customStyle="1" w:styleId="TextedebullesCar">
    <w:name w:val="Texte de bulles Car"/>
    <w:basedOn w:val="Policepardfaut"/>
    <w:link w:val="Textedebulles"/>
    <w:rsid w:val="00114AB1"/>
    <w:rPr>
      <w:rFonts w:ascii="Tahoma" w:hAnsi="Tahoma" w:cs="Tahoma"/>
      <w:sz w:val="16"/>
      <w:szCs w:val="16"/>
      <w:lang w:val="en-US" w:eastAsia="en-US"/>
    </w:rPr>
  </w:style>
  <w:style w:type="character" w:styleId="Lienhypertexte">
    <w:name w:val="Hyperlink"/>
    <w:rPr>
      <w:color w:val="0000FF"/>
      <w:u w:val="single"/>
    </w:rPr>
  </w:style>
  <w:style w:type="table" w:styleId="Grilledutableau">
    <w:name w:val="Table Grid"/>
    <w:basedOn w:val="Tableau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3"/>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lev">
    <w:name w:val="Strong"/>
    <w:basedOn w:val="Policepardfaut"/>
    <w:uiPriority w:val="22"/>
    <w:qFormat/>
    <w:rsid w:val="005F7475"/>
    <w:rPr>
      <w:b/>
      <w:bCs/>
    </w:rPr>
  </w:style>
  <w:style w:type="character" w:styleId="Accentuation">
    <w:name w:val="Emphasis"/>
    <w:basedOn w:val="Policepardfau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6"/>
      </w:numPr>
      <w:jc w:val="both"/>
    </w:pPr>
    <w:rPr>
      <w:lang w:val="en-US" w:eastAsia="en-US"/>
    </w:rPr>
  </w:style>
  <w:style w:type="character" w:styleId="Mentionnonrsolue">
    <w:name w:val="Unresolved Mention"/>
    <w:basedOn w:val="Policepardfaut"/>
    <w:uiPriority w:val="99"/>
    <w:semiHidden/>
    <w:unhideWhenUsed/>
    <w:rsid w:val="00613B4D"/>
    <w:rPr>
      <w:color w:val="808080"/>
      <w:shd w:val="clear" w:color="auto" w:fill="E6E6E6"/>
    </w:rPr>
  </w:style>
  <w:style w:type="paragraph" w:styleId="Paragraphedeliste">
    <w:name w:val="List Paragraph"/>
    <w:basedOn w:val="Normal"/>
    <w:uiPriority w:val="34"/>
    <w:rsid w:val="006E4474"/>
    <w:pPr>
      <w:ind w:left="720"/>
      <w:contextualSpacing/>
    </w:pPr>
  </w:style>
  <w:style w:type="character" w:styleId="Marquedecommentaire">
    <w:name w:val="annotation reference"/>
    <w:basedOn w:val="Policepardfaut"/>
    <w:semiHidden/>
    <w:unhideWhenUsed/>
    <w:rsid w:val="005E71ED"/>
    <w:rPr>
      <w:sz w:val="16"/>
      <w:szCs w:val="16"/>
    </w:rPr>
  </w:style>
  <w:style w:type="paragraph" w:styleId="Commentaire">
    <w:name w:val="annotation text"/>
    <w:basedOn w:val="Normal"/>
    <w:link w:val="CommentaireCar"/>
    <w:unhideWhenUsed/>
    <w:rsid w:val="005E71ED"/>
    <w:rPr>
      <w:sz w:val="20"/>
    </w:rPr>
  </w:style>
  <w:style w:type="character" w:customStyle="1" w:styleId="CommentaireCar">
    <w:name w:val="Commentaire Car"/>
    <w:basedOn w:val="Policepardfaut"/>
    <w:link w:val="Commentaire"/>
    <w:rsid w:val="005E71ED"/>
    <w:rPr>
      <w:lang w:val="en-US" w:eastAsia="en-US"/>
    </w:rPr>
  </w:style>
  <w:style w:type="paragraph" w:styleId="Objetducommentaire">
    <w:name w:val="annotation subject"/>
    <w:basedOn w:val="Commentaire"/>
    <w:next w:val="Commentaire"/>
    <w:link w:val="ObjetducommentaireCar"/>
    <w:semiHidden/>
    <w:unhideWhenUsed/>
    <w:rsid w:val="005E71ED"/>
    <w:rPr>
      <w:b/>
      <w:bCs/>
    </w:rPr>
  </w:style>
  <w:style w:type="character" w:customStyle="1" w:styleId="ObjetducommentaireCar">
    <w:name w:val="Objet du commentaire Car"/>
    <w:basedOn w:val="CommentaireCar"/>
    <w:link w:val="Objetducommentaire"/>
    <w:semiHidden/>
    <w:rsid w:val="005E71ED"/>
    <w:rPr>
      <w:b/>
      <w:bCs/>
      <w:lang w:val="en-US" w:eastAsia="en-US"/>
    </w:rPr>
  </w:style>
  <w:style w:type="paragraph" w:styleId="Lgende">
    <w:name w:val="caption"/>
    <w:basedOn w:val="Normal"/>
    <w:next w:val="Normal"/>
    <w:unhideWhenUsed/>
    <w:qFormat/>
    <w:rsid w:val="004A2655"/>
    <w:pPr>
      <w:spacing w:after="200"/>
    </w:pPr>
    <w:rPr>
      <w:i/>
      <w:iCs/>
      <w:color w:val="1F497D" w:themeColor="text2"/>
      <w:sz w:val="18"/>
      <w:szCs w:val="18"/>
    </w:rPr>
  </w:style>
  <w:style w:type="paragraph" w:styleId="En-tte">
    <w:name w:val="header"/>
    <w:basedOn w:val="Normal"/>
    <w:link w:val="En-tteCar"/>
    <w:unhideWhenUsed/>
    <w:rsid w:val="00041F79"/>
    <w:pPr>
      <w:tabs>
        <w:tab w:val="center" w:pos="4536"/>
        <w:tab w:val="right" w:pos="9072"/>
      </w:tabs>
    </w:pPr>
  </w:style>
  <w:style w:type="character" w:customStyle="1" w:styleId="En-tteCar">
    <w:name w:val="En-tête Car"/>
    <w:basedOn w:val="Policepardfaut"/>
    <w:link w:val="En-tte"/>
    <w:rsid w:val="00041F79"/>
    <w:rPr>
      <w:sz w:val="24"/>
      <w:lang w:val="en-US" w:eastAsia="en-US"/>
    </w:rPr>
  </w:style>
  <w:style w:type="paragraph" w:styleId="Pieddepage">
    <w:name w:val="footer"/>
    <w:basedOn w:val="Normal"/>
    <w:link w:val="PieddepageCar"/>
    <w:unhideWhenUsed/>
    <w:rsid w:val="00041F79"/>
    <w:pPr>
      <w:tabs>
        <w:tab w:val="center" w:pos="4536"/>
        <w:tab w:val="right" w:pos="9072"/>
      </w:tabs>
    </w:pPr>
  </w:style>
  <w:style w:type="character" w:customStyle="1" w:styleId="PieddepageCar">
    <w:name w:val="Pied de page Car"/>
    <w:basedOn w:val="Policepardfaut"/>
    <w:link w:val="Pieddepage"/>
    <w:rsid w:val="00041F79"/>
    <w:rPr>
      <w:sz w:val="24"/>
      <w:lang w:val="en-US" w:eastAsia="en-US"/>
    </w:rPr>
  </w:style>
  <w:style w:type="paragraph" w:styleId="Citationintense">
    <w:name w:val="Intense Quote"/>
    <w:basedOn w:val="Normal"/>
    <w:next w:val="Normal"/>
    <w:link w:val="CitationintenseCar"/>
    <w:uiPriority w:val="30"/>
    <w:qFormat/>
    <w:rsid w:val="00187062"/>
    <w:pPr>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HAnsi" w:hAnsiTheme="minorHAnsi" w:cstheme="minorBidi"/>
      <w:i/>
      <w:iCs/>
      <w:color w:val="4F81BD" w:themeColor="accent1"/>
      <w:kern w:val="2"/>
      <w:sz w:val="22"/>
      <w:szCs w:val="22"/>
      <w:lang w:val="en-GB"/>
      <w14:ligatures w14:val="standardContextual"/>
    </w:rPr>
  </w:style>
  <w:style w:type="character" w:customStyle="1" w:styleId="CitationintenseCar">
    <w:name w:val="Citation intense Car"/>
    <w:basedOn w:val="Policepardfaut"/>
    <w:link w:val="Citationintense"/>
    <w:uiPriority w:val="30"/>
    <w:rsid w:val="00187062"/>
    <w:rPr>
      <w:rFonts w:asciiTheme="minorHAnsi" w:eastAsiaTheme="minorHAnsi" w:hAnsiTheme="minorHAnsi" w:cstheme="minorBidi"/>
      <w:i/>
      <w:iCs/>
      <w:color w:val="4F81BD" w:themeColor="accent1"/>
      <w:kern w:val="2"/>
      <w:sz w:val="22"/>
      <w:szCs w:val="22"/>
      <w:lang w:eastAsia="en-US"/>
      <w14:ligatures w14:val="standardContextual"/>
    </w:rPr>
  </w:style>
  <w:style w:type="character" w:customStyle="1" w:styleId="Titre1Car">
    <w:name w:val="Titre 1 Car"/>
    <w:basedOn w:val="Policepardfaut"/>
    <w:link w:val="Titre1"/>
    <w:rsid w:val="00485011"/>
    <w:rPr>
      <w:b/>
      <w:caps/>
      <w:sz w:val="24"/>
      <w:lang w:val="en-US" w:eastAsia="en-US"/>
    </w:rPr>
  </w:style>
  <w:style w:type="character" w:customStyle="1" w:styleId="Titre3Car">
    <w:name w:val="Titre 3 Car"/>
    <w:basedOn w:val="Policepardfaut"/>
    <w:link w:val="Titre3"/>
    <w:rsid w:val="00485011"/>
    <w:rPr>
      <w:i/>
      <w:iCs/>
    </w:rPr>
  </w:style>
  <w:style w:type="paragraph" w:styleId="Bibliographie">
    <w:name w:val="Bibliography"/>
    <w:basedOn w:val="Normal"/>
    <w:next w:val="Normal"/>
    <w:uiPriority w:val="37"/>
    <w:unhideWhenUsed/>
    <w:rsid w:val="00485011"/>
    <w:pPr>
      <w:tabs>
        <w:tab w:val="left" w:pos="504"/>
      </w:tabs>
      <w:spacing w:after="240"/>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17377">
      <w:bodyDiv w:val="1"/>
      <w:marLeft w:val="0"/>
      <w:marRight w:val="0"/>
      <w:marTop w:val="0"/>
      <w:marBottom w:val="0"/>
      <w:divBdr>
        <w:top w:val="none" w:sz="0" w:space="0" w:color="auto"/>
        <w:left w:val="none" w:sz="0" w:space="0" w:color="auto"/>
        <w:bottom w:val="none" w:sz="0" w:space="0" w:color="auto"/>
        <w:right w:val="none" w:sz="0" w:space="0" w:color="auto"/>
      </w:divBdr>
    </w:div>
    <w:div w:id="446434859">
      <w:bodyDiv w:val="1"/>
      <w:marLeft w:val="0"/>
      <w:marRight w:val="0"/>
      <w:marTop w:val="0"/>
      <w:marBottom w:val="0"/>
      <w:divBdr>
        <w:top w:val="none" w:sz="0" w:space="0" w:color="auto"/>
        <w:left w:val="none" w:sz="0" w:space="0" w:color="auto"/>
        <w:bottom w:val="none" w:sz="0" w:space="0" w:color="auto"/>
        <w:right w:val="none" w:sz="0" w:space="0" w:color="auto"/>
      </w:divBdr>
    </w:div>
    <w:div w:id="996345057">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91152093">
      <w:bodyDiv w:val="1"/>
      <w:marLeft w:val="0"/>
      <w:marRight w:val="0"/>
      <w:marTop w:val="0"/>
      <w:marBottom w:val="0"/>
      <w:divBdr>
        <w:top w:val="none" w:sz="0" w:space="0" w:color="auto"/>
        <w:left w:val="none" w:sz="0" w:space="0" w:color="auto"/>
        <w:bottom w:val="none" w:sz="0" w:space="0" w:color="auto"/>
        <w:right w:val="none" w:sz="0" w:space="0" w:color="auto"/>
      </w:divBdr>
    </w:div>
    <w:div w:id="1659381645">
      <w:bodyDiv w:val="1"/>
      <w:marLeft w:val="0"/>
      <w:marRight w:val="0"/>
      <w:marTop w:val="0"/>
      <w:marBottom w:val="0"/>
      <w:divBdr>
        <w:top w:val="none" w:sz="0" w:space="0" w:color="auto"/>
        <w:left w:val="none" w:sz="0" w:space="0" w:color="auto"/>
        <w:bottom w:val="none" w:sz="0" w:space="0" w:color="auto"/>
        <w:right w:val="none" w:sz="0" w:space="0" w:color="auto"/>
      </w:divBdr>
    </w:div>
    <w:div w:id="1722289147">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9216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idazerblou@gmail.com"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CF25D7B-D955-4D5F-A5D7-605B41FF118C}">
  <we:reference id="wa200000368" version="1.0.0.0" store="fr-FR" storeType="OMEX"/>
  <we:alternateReferences>
    <we:reference id="WA200000368" version="1.0.0.0" store="" storeType="OMEX"/>
  </we:alternateReferences>
  <we:properties>
    <we:property name="documentId" value="&quot;b76b81ae61e090b1&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6B42589BDE3364FB5881FCA55AC9789" ma:contentTypeVersion="16" ma:contentTypeDescription="Create a new document." ma:contentTypeScope="" ma:versionID="3b5e553f8476e1dbcba027ecc0c94b80">
  <xsd:schema xmlns:xsd="http://www.w3.org/2001/XMLSchema" xmlns:xs="http://www.w3.org/2001/XMLSchema" xmlns:p="http://schemas.microsoft.com/office/2006/metadata/properties" xmlns:ns3="71aa46aa-c804-47f4-aa00-9f05911be346" xmlns:ns4="88284dd0-5043-48c5-8e43-5e16305b9f19" targetNamespace="http://schemas.microsoft.com/office/2006/metadata/properties" ma:root="true" ma:fieldsID="d4253c7c3c8fe41fb84d0fd1e8419f80" ns3:_="" ns4:_="">
    <xsd:import namespace="71aa46aa-c804-47f4-aa00-9f05911be346"/>
    <xsd:import namespace="88284dd0-5043-48c5-8e43-5e16305b9f1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_activity" minOccurs="0"/>
                <xsd:element ref="ns3:MediaServiceObjectDetectorVersions" minOccurs="0"/>
                <xsd:element ref="ns3:MediaServiceSearchProperties" minOccurs="0"/>
                <xsd:element ref="ns3:MediaServiceSystemTag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a46aa-c804-47f4-aa00-9f05911be3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284dd0-5043-48c5-8e43-5e16305b9f1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1aa46aa-c804-47f4-aa00-9f05911be346" xsi:nil="true"/>
  </documentManagement>
</p:properties>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3.xml><?xml version="1.0" encoding="utf-8"?>
<ds:datastoreItem xmlns:ds="http://schemas.openxmlformats.org/officeDocument/2006/customXml" ds:itemID="{D4DB88C5-30E2-4E37-839D-DF168334F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a46aa-c804-47f4-aa00-9f05911be346"/>
    <ds:schemaRef ds:uri="88284dd0-5043-48c5-8e43-5e16305b9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 ds:uri="71aa46aa-c804-47f4-aa00-9f05911be346"/>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16</TotalTime>
  <Pages>9</Pages>
  <Words>15607</Words>
  <Characters>100354</Characters>
  <Application>Microsoft Office Word</Application>
  <DocSecurity>0</DocSecurity>
  <Lines>1338</Lines>
  <Paragraphs>364</Paragraphs>
  <ScaleCrop>false</ScaleCrop>
  <HeadingPairs>
    <vt:vector size="2" baseType="variant">
      <vt:variant>
        <vt:lpstr>Titre</vt:lpstr>
      </vt:variant>
      <vt:variant>
        <vt:i4>1</vt:i4>
      </vt:variant>
    </vt:vector>
  </HeadingPairs>
  <TitlesOfParts>
    <vt:vector size="1" baseType="lpstr">
      <vt:lpstr>Title Goes Here</vt:lpstr>
    </vt:vector>
  </TitlesOfParts>
  <Company>PPI</Company>
  <LinksUpToDate>false</LinksUpToDate>
  <CharactersWithSpaces>115597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cp:lastModifiedBy>SAID AZERBLOU</cp:lastModifiedBy>
  <cp:revision>25</cp:revision>
  <cp:lastPrinted>2025-11-05T16:32:00Z</cp:lastPrinted>
  <dcterms:created xsi:type="dcterms:W3CDTF">2025-11-05T16:12:00Z</dcterms:created>
  <dcterms:modified xsi:type="dcterms:W3CDTF">2025-11-05T16:35:00Z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0x010100B6B42589BDE3364FB5881FCA55AC9789</vt:lpwstr>
  </property>
  <property fmtid="{D5CDD505-2E9C-101B-9397-08002B2CF9AE}" pid="3" name="GrammarlyDocumentId">
    <vt:lpwstr>fd1e5027-b5c3-4901-8cf7-6c678ca70389</vt:lpwstr>
  </property>
  <property fmtid="{D5CDD505-2E9C-101B-9397-08002B2CF9AE}" pid="4" name="ZOTERO_PREF_1">
    <vt:lpwstr>&lt;data data-version="3" zotero-version="7.0.16"&gt;&lt;session id="BtG7Dmjc"/&gt;&lt;style id="http://www.zotero.org/styles/battery-numeric-brackets-ranges-fixed" hasBibliography="1" bibliographyStyleHasBeenSet="1"/&gt;&lt;prefs&gt;&lt;pref name="fieldType" value="Field"/&gt;&lt;pref n</vt:lpwstr>
  </property>
  <property fmtid="{D5CDD505-2E9C-101B-9397-08002B2CF9AE}" pid="5" name="ZOTERO_PREF_2">
    <vt:lpwstr>ame="dontAskDelayCitationUpdates" value="true"/&gt;&lt;/prefs&gt;&lt;/data&gt;</vt:lpwstr>
  </property>
</Properties>
</file>