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407D565C" w:rsidR="0016385D" w:rsidRPr="005D31FC" w:rsidRDefault="00D33721" w:rsidP="00E24863">
      <w:pPr>
        <w:pStyle w:val="PaperTitle"/>
        <w:spacing w:before="0"/>
        <w:rPr>
          <w:b w:val="0"/>
          <w:bCs/>
          <w:sz w:val="24"/>
          <w:szCs w:val="24"/>
        </w:rPr>
      </w:pPr>
      <w:r w:rsidRPr="005D31FC">
        <w:t xml:space="preserve">Techno-economic study and comparison between electrical and green hydrogen vehicle charging </w:t>
      </w:r>
      <w:r w:rsidR="00E24863" w:rsidRPr="005D31FC">
        <w:t>stations</w:t>
      </w:r>
    </w:p>
    <w:p w14:paraId="548D96A3" w14:textId="59F185F8" w:rsidR="00C14B14" w:rsidRPr="005D31FC" w:rsidRDefault="00D33721" w:rsidP="00E24863">
      <w:pPr>
        <w:pStyle w:val="AuthorName"/>
        <w:rPr>
          <w:sz w:val="20"/>
          <w:lang w:eastAsia="en-GB"/>
        </w:rPr>
      </w:pPr>
      <w:proofErr w:type="spellStart"/>
      <w:proofErr w:type="gramStart"/>
      <w:r w:rsidRPr="005D31FC">
        <w:t>Ikram</w:t>
      </w:r>
      <w:proofErr w:type="spellEnd"/>
      <w:r w:rsidRPr="005D31FC">
        <w:t xml:space="preserve">  </w:t>
      </w:r>
      <w:r w:rsidR="00E24863" w:rsidRPr="005D31FC">
        <w:t>El</w:t>
      </w:r>
      <w:proofErr w:type="gramEnd"/>
      <w:r w:rsidR="00E24863" w:rsidRPr="005D31FC">
        <w:t xml:space="preserve"> haji </w:t>
      </w:r>
      <w:r w:rsidR="00EF6940" w:rsidRPr="005D31FC">
        <w:rPr>
          <w:vertAlign w:val="superscript"/>
        </w:rPr>
        <w:t>1,</w:t>
      </w:r>
      <w:r w:rsidR="003A5C85" w:rsidRPr="005D31FC">
        <w:rPr>
          <w:vertAlign w:val="superscript"/>
        </w:rPr>
        <w:t xml:space="preserve"> </w:t>
      </w:r>
      <w:r w:rsidR="00EF6940" w:rsidRPr="005D31FC">
        <w:rPr>
          <w:vertAlign w:val="superscript"/>
        </w:rPr>
        <w:t>a)</w:t>
      </w:r>
      <w:r w:rsidR="00E24863" w:rsidRPr="005D31FC">
        <w:t xml:space="preserve">, </w:t>
      </w:r>
      <w:proofErr w:type="spellStart"/>
      <w:r w:rsidR="00D545E3" w:rsidRPr="005D31FC">
        <w:t>Btissam</w:t>
      </w:r>
      <w:proofErr w:type="spellEnd"/>
      <w:r w:rsidR="00D545E3" w:rsidRPr="005D31FC">
        <w:t xml:space="preserve"> </w:t>
      </w:r>
      <w:proofErr w:type="spellStart"/>
      <w:r w:rsidR="00E24863" w:rsidRPr="005D31FC">
        <w:t>Mekaoui</w:t>
      </w:r>
      <w:proofErr w:type="spellEnd"/>
      <w:r w:rsidR="00D545E3" w:rsidRPr="005D31FC">
        <w:t xml:space="preserve"> </w:t>
      </w:r>
      <w:r w:rsidR="00EF6940" w:rsidRPr="005D31FC">
        <w:rPr>
          <w:vertAlign w:val="superscript"/>
        </w:rPr>
        <w:t>2</w:t>
      </w:r>
      <w:r w:rsidR="003A5C85" w:rsidRPr="005D31FC">
        <w:rPr>
          <w:vertAlign w:val="superscript"/>
        </w:rPr>
        <w:t>, b)</w:t>
      </w:r>
      <w:r w:rsidR="00E24863" w:rsidRPr="005D31FC">
        <w:t xml:space="preserve">, </w:t>
      </w:r>
      <w:r w:rsidR="00F26362" w:rsidRPr="005D31FC">
        <w:t xml:space="preserve">Mustapha </w:t>
      </w:r>
      <w:proofErr w:type="spellStart"/>
      <w:r w:rsidR="00E24863" w:rsidRPr="005D31FC">
        <w:t>Kchikach</w:t>
      </w:r>
      <w:proofErr w:type="spellEnd"/>
      <w:r w:rsidR="00F26362" w:rsidRPr="005D31FC">
        <w:t xml:space="preserve"> </w:t>
      </w:r>
      <w:r w:rsidR="00F26362" w:rsidRPr="005D31FC">
        <w:rPr>
          <w:vertAlign w:val="superscript"/>
        </w:rPr>
        <w:t>1</w:t>
      </w:r>
      <w:r w:rsidR="00706B9A" w:rsidRPr="005D31FC">
        <w:rPr>
          <w:vertAlign w:val="superscript"/>
        </w:rPr>
        <w:t>,</w:t>
      </w:r>
      <w:r w:rsidR="00E24863" w:rsidRPr="005D31FC">
        <w:t>, Jamila El haini</w:t>
      </w:r>
      <w:r w:rsidR="00F26362" w:rsidRPr="005D31FC">
        <w:rPr>
          <w:vertAlign w:val="superscript"/>
        </w:rPr>
        <w:t>2</w:t>
      </w:r>
      <w:r w:rsidR="00706B9A" w:rsidRPr="005D31FC">
        <w:rPr>
          <w:vertAlign w:val="superscript"/>
        </w:rPr>
        <w:t>,</w:t>
      </w:r>
      <w:r w:rsidR="00E24863" w:rsidRPr="005D31FC">
        <w:t xml:space="preserve">, </w:t>
      </w:r>
      <w:r w:rsidR="00F26362" w:rsidRPr="005D31FC">
        <w:t xml:space="preserve"> </w:t>
      </w:r>
      <w:r w:rsidR="00E24863" w:rsidRPr="005D31FC">
        <w:t xml:space="preserve">and </w:t>
      </w:r>
      <w:proofErr w:type="spellStart"/>
      <w:r w:rsidR="00F26362" w:rsidRPr="005D31FC">
        <w:t>Abdennebi</w:t>
      </w:r>
      <w:proofErr w:type="spellEnd"/>
      <w:r w:rsidR="00F26362" w:rsidRPr="005D31FC">
        <w:t xml:space="preserve"> </w:t>
      </w:r>
      <w:r w:rsidR="00E24863" w:rsidRPr="005D31FC">
        <w:t xml:space="preserve">El </w:t>
      </w:r>
      <w:proofErr w:type="spellStart"/>
      <w:r w:rsidR="00E24863" w:rsidRPr="005D31FC">
        <w:t>hasnaoui</w:t>
      </w:r>
      <w:proofErr w:type="spellEnd"/>
      <w:r w:rsidR="00E24863" w:rsidRPr="005D31FC">
        <w:t xml:space="preserve"> </w:t>
      </w:r>
      <w:r w:rsidR="00F26362" w:rsidRPr="005D31FC">
        <w:rPr>
          <w:vertAlign w:val="superscript"/>
        </w:rPr>
        <w:t>1</w:t>
      </w:r>
      <w:r w:rsidR="00E24863" w:rsidRPr="005D31FC">
        <w:rPr>
          <w:vertAlign w:val="superscript"/>
        </w:rPr>
        <w:t>,</w:t>
      </w:r>
    </w:p>
    <w:p w14:paraId="5CFA9C09" w14:textId="413C32A3" w:rsidR="00C14B14" w:rsidRPr="005D31FC" w:rsidRDefault="00027428" w:rsidP="00706B9A">
      <w:pPr>
        <w:pStyle w:val="AuthorAffiliation"/>
      </w:pPr>
      <w:r w:rsidRPr="005D31FC">
        <w:rPr>
          <w:i w:val="0"/>
          <w:iCs/>
          <w:vertAlign w:val="superscript"/>
        </w:rPr>
        <w:t>1</w:t>
      </w:r>
      <w:r w:rsidR="00706B9A" w:rsidRPr="005D31FC">
        <w:t xml:space="preserve">Mechanical &amp; Thermal, Control, Piloting and Monitoring of Electrical Equipment Laboratory (LMTCPS2E), Control and Command of Renewable Energy Systems (CCSER), Higher National School </w:t>
      </w:r>
      <w:proofErr w:type="gramStart"/>
      <w:r w:rsidR="00706B9A" w:rsidRPr="005D31FC">
        <w:t>Of</w:t>
      </w:r>
      <w:proofErr w:type="gramEnd"/>
      <w:r w:rsidR="00706B9A" w:rsidRPr="005D31FC">
        <w:t xml:space="preserve"> Mines Rabat, Morocco</w:t>
      </w:r>
    </w:p>
    <w:p w14:paraId="15CE2B9A" w14:textId="3C72635E" w:rsidR="00706B9A" w:rsidRPr="005D31FC" w:rsidRDefault="0016782F" w:rsidP="00706B9A">
      <w:pPr>
        <w:pStyle w:val="AuthorAffiliation"/>
      </w:pPr>
      <w:r w:rsidRPr="005D31FC">
        <w:t xml:space="preserve"> </w:t>
      </w:r>
      <w:r w:rsidR="00C14B14" w:rsidRPr="005D31FC">
        <w:rPr>
          <w:i w:val="0"/>
          <w:iCs/>
          <w:vertAlign w:val="superscript"/>
        </w:rPr>
        <w:t>2</w:t>
      </w:r>
      <w:r w:rsidR="00F26362" w:rsidRPr="005D31FC">
        <w:t xml:space="preserve"> Engineering, Systems and Applications Laboratory, National School of Applied Sciences, </w:t>
      </w:r>
      <w:proofErr w:type="spellStart"/>
      <w:r w:rsidR="00F26362" w:rsidRPr="005D31FC">
        <w:t>Sidi</w:t>
      </w:r>
      <w:proofErr w:type="spellEnd"/>
      <w:r w:rsidR="00F26362" w:rsidRPr="005D31FC">
        <w:t xml:space="preserve"> Mohamed Ben </w:t>
      </w:r>
      <w:proofErr w:type="spellStart"/>
      <w:r w:rsidR="00F26362" w:rsidRPr="005D31FC">
        <w:t>Abdellah</w:t>
      </w:r>
      <w:proofErr w:type="spellEnd"/>
      <w:r w:rsidR="00F26362" w:rsidRPr="005D31FC">
        <w:t xml:space="preserve"> University</w:t>
      </w:r>
      <w:r w:rsidR="00C14B14" w:rsidRPr="005D31FC">
        <w:br/>
      </w:r>
      <w:r w:rsidR="00ED4A2C" w:rsidRPr="005D31FC">
        <w:br/>
      </w:r>
      <w:r w:rsidR="00003D7C" w:rsidRPr="005D31FC">
        <w:rPr>
          <w:szCs w:val="28"/>
          <w:vertAlign w:val="superscript"/>
        </w:rPr>
        <w:t>a)</w:t>
      </w:r>
      <w:r w:rsidR="00003D7C" w:rsidRPr="005D31FC">
        <w:t xml:space="preserve"> </w:t>
      </w:r>
      <w:hyperlink r:id="rId9" w:history="1">
        <w:r w:rsidR="00706B9A" w:rsidRPr="005D31FC">
          <w:rPr>
            <w:rStyle w:val="Lienhypertexte"/>
          </w:rPr>
          <w:t>ikram.elhaji@enim.ac.ma</w:t>
        </w:r>
      </w:hyperlink>
    </w:p>
    <w:p w14:paraId="5E05E235" w14:textId="52B8C799" w:rsidR="003A5C85" w:rsidRPr="005D31FC" w:rsidRDefault="001D469C" w:rsidP="00706B9A">
      <w:pPr>
        <w:pStyle w:val="AuthorAffiliation"/>
      </w:pPr>
      <w:r w:rsidRPr="005D31FC">
        <w:br/>
      </w:r>
      <w:r w:rsidR="003A5C85" w:rsidRPr="005D31FC">
        <w:rPr>
          <w:szCs w:val="28"/>
          <w:vertAlign w:val="superscript"/>
        </w:rPr>
        <w:t>b)</w:t>
      </w:r>
      <w:r w:rsidR="001A5B95" w:rsidRPr="005D31FC">
        <w:t xml:space="preserve"> </w:t>
      </w:r>
      <w:hyperlink r:id="rId10" w:history="1">
        <w:r w:rsidR="00706B9A" w:rsidRPr="005D31FC">
          <w:rPr>
            <w:rStyle w:val="Lienhypertexte"/>
          </w:rPr>
          <w:t>btissam.mekaoui@usmba.ac.ma</w:t>
        </w:r>
      </w:hyperlink>
    </w:p>
    <w:p w14:paraId="4B08FC0C" w14:textId="77777777" w:rsidR="00706B9A" w:rsidRPr="005D31FC" w:rsidRDefault="00706B9A" w:rsidP="006C0D8E">
      <w:pPr>
        <w:pStyle w:val="AuthorAffiliation"/>
      </w:pPr>
    </w:p>
    <w:p w14:paraId="35277A7F" w14:textId="4ADFF441" w:rsidR="00706B9A" w:rsidRPr="005D31FC" w:rsidRDefault="00706B9A" w:rsidP="00C35B3F">
      <w:pPr>
        <w:pStyle w:val="AuthorAffiliation"/>
        <w:jc w:val="left"/>
      </w:pPr>
    </w:p>
    <w:p w14:paraId="22C3F2A8" w14:textId="5A3D4B65" w:rsidR="0016385D" w:rsidRPr="005D31FC" w:rsidRDefault="0016385D" w:rsidP="00C356DE">
      <w:pPr>
        <w:pStyle w:val="Abstract"/>
      </w:pPr>
      <w:r w:rsidRPr="005D31FC">
        <w:rPr>
          <w:b/>
          <w:bCs/>
        </w:rPr>
        <w:t>Abstract.</w:t>
      </w:r>
      <w:r w:rsidRPr="005D31FC">
        <w:t xml:space="preserve"> </w:t>
      </w:r>
      <w:r w:rsidR="00D545E3" w:rsidRPr="005D31FC">
        <w:t xml:space="preserve">Nowadays, the integration of electric vehicles and hydrogen fuel cell vehicles into the automotive market </w:t>
      </w:r>
      <w:r w:rsidR="00C356DE" w:rsidRPr="005D31FC">
        <w:t>appears to be a promising solution to the dependence on environmentally polluting</w:t>
      </w:r>
      <w:r w:rsidR="00D545E3" w:rsidRPr="005D31FC">
        <w:t xml:space="preserve"> and </w:t>
      </w:r>
      <w:r w:rsidR="00E24863" w:rsidRPr="005D31FC">
        <w:t>costly</w:t>
      </w:r>
      <w:r w:rsidR="00D545E3" w:rsidRPr="005D31FC">
        <w:t xml:space="preserve"> fossil fuels. However, the performance evaluation of these two </w:t>
      </w:r>
      <w:r w:rsidR="00E24863" w:rsidRPr="005D31FC">
        <w:t>vehicles'</w:t>
      </w:r>
      <w:r w:rsidR="00D545E3" w:rsidRPr="005D31FC">
        <w:t xml:space="preserve"> charging technologies is not highly discussed, especially regarding their implementation in the residential sector. This paperwork presents a techno-economic study and comparison between the electrical vehicle (EV) charging mechanisms and green hydrogen ones. The performance is evaluated with different loads and storage systems. The two charging systems are generally composed of a photovoltaic</w:t>
      </w:r>
      <w:r w:rsidR="00842403" w:rsidRPr="005D31FC">
        <w:t xml:space="preserve"> system</w:t>
      </w:r>
      <w:r w:rsidR="00D545E3" w:rsidRPr="005D31FC">
        <w:t xml:space="preserve">, </w:t>
      </w:r>
      <w:r w:rsidR="00E24863" w:rsidRPr="005D31FC">
        <w:t xml:space="preserve">a </w:t>
      </w:r>
      <w:r w:rsidR="00D545E3" w:rsidRPr="005D31FC">
        <w:t xml:space="preserve">battery, </w:t>
      </w:r>
      <w:r w:rsidR="00842403" w:rsidRPr="005D31FC">
        <w:t xml:space="preserve">a </w:t>
      </w:r>
      <w:r w:rsidR="00D545E3" w:rsidRPr="005D31FC">
        <w:t xml:space="preserve">grid, and </w:t>
      </w:r>
      <w:r w:rsidR="00E24863" w:rsidRPr="005D31FC">
        <w:t xml:space="preserve">an </w:t>
      </w:r>
      <w:r w:rsidR="00D545E3" w:rsidRPr="005D31FC">
        <w:t xml:space="preserve">inverter, which are used to produce electricity for individual stations located at residential buildings in Morocco. A commercial software tool is used to determine the most cost-effective system. The simulation results indicate that the electrical charging system relying only on the grid as a source of electricity is the most optimal, with 94250,91€ of Net Present Cost (NPC), 0,08111€ of Load Cost </w:t>
      </w:r>
      <w:proofErr w:type="gramStart"/>
      <w:r w:rsidR="00D545E3" w:rsidRPr="005D31FC">
        <w:t>Of</w:t>
      </w:r>
      <w:proofErr w:type="gramEnd"/>
      <w:r w:rsidR="00D545E3" w:rsidRPr="005D31FC">
        <w:t xml:space="preserve"> Energy (LCOE), and 7290,72 € of operating cost. As for the green hydrogen-powered vehicle, the charging cost is the greatest. However, it gave a high renewable energy fraction, proving its effective exploitation as an energy source, namely PV generators, compared to electric </w:t>
      </w:r>
      <w:r w:rsidR="000D4700" w:rsidRPr="005D31FC">
        <w:t>vehicles</w:t>
      </w:r>
      <w:r w:rsidR="00D545E3" w:rsidRPr="005D31FC">
        <w:t>.</w:t>
      </w:r>
    </w:p>
    <w:p w14:paraId="5219D945" w14:textId="4EF5E26F" w:rsidR="00977161" w:rsidRPr="005D31FC" w:rsidRDefault="00887E5C" w:rsidP="00AD6418">
      <w:pPr>
        <w:pStyle w:val="Titre1"/>
      </w:pPr>
      <w:r w:rsidRPr="005D31FC">
        <w:t>INTRODUCTION</w:t>
      </w:r>
    </w:p>
    <w:p w14:paraId="456C0DA3" w14:textId="77777777" w:rsidR="00977161" w:rsidRPr="005D31FC" w:rsidRDefault="00977161" w:rsidP="00977161">
      <w:pPr>
        <w:pStyle w:val="Paragraph"/>
      </w:pPr>
    </w:p>
    <w:p w14:paraId="533A0846" w14:textId="70F3D2FF" w:rsidR="00510E3B" w:rsidRPr="005D31FC" w:rsidRDefault="00510E3B" w:rsidP="00D1377E">
      <w:pPr>
        <w:pStyle w:val="Text"/>
        <w:ind w:firstLine="720"/>
      </w:pPr>
      <w:r w:rsidRPr="005D31FC">
        <w:t xml:space="preserve">About 30% of the final energy consumption and over 55% of the world's power demand have been used for building operations in the last decade. As </w:t>
      </w:r>
      <w:r w:rsidR="000D4700" w:rsidRPr="005D31FC">
        <w:t xml:space="preserve">a </w:t>
      </w:r>
      <w:r w:rsidRPr="005D31FC">
        <w:t>consequence, many countries in the world have chosen renewable energy resources to reduce the deficiency and satisfy their need for energy.  The gradual implementation of decentralized electricity generation, such as photovoltaic (PV), in buildings, can be seen as a positive chance to transform these consumer facilities into prosumers, i.e.</w:t>
      </w:r>
      <w:r w:rsidR="00883EAB" w:rsidRPr="005D31FC">
        <w:t>,</w:t>
      </w:r>
      <w:r w:rsidRPr="005D31FC">
        <w:t xml:space="preserve"> those who consume can produce energy at the same time</w:t>
      </w:r>
      <w:r w:rsidRPr="005D31FC">
        <w:fldChar w:fldCharType="begin"/>
      </w:r>
      <w:r w:rsidR="006B3A0E" w:rsidRPr="005D31FC">
        <w:instrText xml:space="preserve"> ADDIN ZOTERO_ITEM CSL_CITATION {"citationID":"PdPYB2Bn","properties":{"formattedCitation":"[2]","plainCitation":"[2]","dontUpdate":true,"noteIndex":0},"citationItems":[{"id":"G6sP9rta/qt0NlmmJ","uris":["http://zotero.org/users/9202029/items/5RV9W6RH"],"itemData":{"id":47,"type":"webpage","title":"Power Factor Correction in Feeders With Distributed Photovoltaics Using Residential Appliances as Virtual Batteries | IEEE Journals &amp; Magazine | IEEE Xplore","URL":"https://ieeexplore.ieee.org/document/8766975","accessed":{"date-parts":[["2024",3,13]]}}}],"schema":"https://github.com/citation-style-language/schema/raw/master/csl-citation.json"} </w:instrText>
      </w:r>
      <w:r w:rsidRPr="005D31FC">
        <w:fldChar w:fldCharType="separate"/>
      </w:r>
      <w:r w:rsidRPr="005D31FC">
        <w:t xml:space="preserve"> [1]</w:t>
      </w:r>
      <w:r w:rsidRPr="005D31FC">
        <w:fldChar w:fldCharType="end"/>
      </w:r>
      <w:r w:rsidRPr="005D31FC">
        <w:t xml:space="preserve">, then it enables them to reduce the electricity bills. The PV technology has demonstrated its value in the electrical distribution grid by reducing power losses and improving the grid voltage profile, adding its advantages as a green energy source </w:t>
      </w:r>
      <w:r w:rsidRPr="005D31FC">
        <w:fldChar w:fldCharType="begin"/>
      </w:r>
      <w:r w:rsidR="006B3A0E" w:rsidRPr="005D31FC">
        <w:instrText xml:space="preserve"> ADDIN ZOTERO_ITEM CSL_CITATION {"citationID":"eglkkkne","properties":{"formattedCitation":"[2]","plainCitation":"[2]","noteIndex":0},"citationItems":[{"id":"G6sP9rta/qC0KqDTn","uris":["http://zotero.org/users/9202029/items/2XR446I2"],"itemData":{"id":46,"type":"webpage","title":"Discussion on “Short-Term Reactive Power Planning to Minimize Cost of Energy Losses Considering PV Systems” | IEEE Journals &amp; Magazine | IEEE Xplore","URL":"https://ieeexplore.ieee.org/document/9003365","accessed":{"date-parts":[["2024",3,13]]}}}],"schema":"https://github.com/citation-style-language/schema/raw/master/csl-citation.json"} </w:instrText>
      </w:r>
      <w:r w:rsidRPr="005D31FC">
        <w:fldChar w:fldCharType="separate"/>
      </w:r>
      <w:r w:rsidR="008202D0" w:rsidRPr="005D31FC">
        <w:rPr>
          <w:rFonts w:cs="Times"/>
        </w:rPr>
        <w:t>[2]</w:t>
      </w:r>
      <w:r w:rsidRPr="005D31FC">
        <w:fldChar w:fldCharType="end"/>
      </w:r>
      <w:r w:rsidRPr="005D31FC">
        <w:t xml:space="preserve">. These distributed generation </w:t>
      </w:r>
      <w:proofErr w:type="gramStart"/>
      <w:r w:rsidRPr="005D31FC">
        <w:t>units</w:t>
      </w:r>
      <w:proofErr w:type="gramEnd"/>
      <w:r w:rsidRPr="005D31FC">
        <w:t xml:space="preserve"> function in an intermittent mode depending on solar resource availability. Consequently, Distributed Generation (DG) </w:t>
      </w:r>
      <w:r w:rsidR="00D8710B" w:rsidRPr="005D31FC">
        <w:t>systems'</w:t>
      </w:r>
      <w:r w:rsidRPr="005D31FC">
        <w:t xml:space="preserve"> power output and unit demand are not exactly equivalent.</w:t>
      </w:r>
      <w:r w:rsidR="008C3171" w:rsidRPr="005D31FC">
        <w:t xml:space="preserve"> </w:t>
      </w:r>
      <w:r w:rsidRPr="005D31FC">
        <w:t xml:space="preserve">For this reason, distributed storage devices are employed to decrease intermittent energy production patterns, regulate voltage fluctuation impacts, and stabilize system functioning </w:t>
      </w:r>
      <w:r w:rsidRPr="005D31FC">
        <w:fldChar w:fldCharType="begin"/>
      </w:r>
      <w:r w:rsidR="006B3A0E" w:rsidRPr="005D31FC">
        <w:instrText xml:space="preserve"> ADDIN ZOTERO_ITEM CSL_CITATION {"citationID":"f1SMp7h6","properties":{"formattedCitation":"[3]","plainCitation":"[3]","noteIndex":0},"citationItems":[{"id":"G6sP9rta/OfcA7hGA","uris":["http://zotero.org/users/9202029/items/PIWYRQZX"],"itemData":{"id":45,"type":"webpage","title":"Microgrids: A review of technologies, key drivers, and outstanding issues - ScienceDirect","URL":"https://www.sciencedirect.com/science/article/pii/S136403211830128X","accessed":{"date-parts":[["2024",3,13]]}}}],"schema":"https://github.com/citation-style-language/schema/raw/master/csl-citation.json"} </w:instrText>
      </w:r>
      <w:r w:rsidRPr="005D31FC">
        <w:fldChar w:fldCharType="separate"/>
      </w:r>
      <w:r w:rsidR="008202D0" w:rsidRPr="005D31FC">
        <w:rPr>
          <w:rFonts w:cs="Times"/>
        </w:rPr>
        <w:t>[3]</w:t>
      </w:r>
      <w:r w:rsidRPr="005D31FC">
        <w:fldChar w:fldCharType="end"/>
      </w:r>
      <w:r w:rsidRPr="005D31FC">
        <w:t xml:space="preserve">. In this manner, the storage devices enhance system efficiency. Indeed, researchers have proposed that electric vehicles (EVs) performing as storage devices can regulate the energy demand and the flow of power supply via the grid. The installed batteries used by EV motors can be provided by grid power. On the other hand, EVs can function as a component of a vehicle-to-grid (V2G) system as shown in Fig. 2, supplying the grid with energy in advantageous circumstances </w:t>
      </w:r>
      <w:r w:rsidRPr="005D31FC">
        <w:fldChar w:fldCharType="begin"/>
      </w:r>
      <w:r w:rsidR="006B3A0E" w:rsidRPr="005D31FC">
        <w:instrText xml:space="preserve"> ADDIN ZOTERO_ITEM CSL_CITATION {"citationID":"s06Rrxed","properties":{"formattedCitation":"[4], [5]","plainCitation":"[4], [5]","dontUpdate":true,"noteIndex":0},"citationItems":[{"id":"G6sP9rta/PrD0jpDc","uris":["http://zotero.org/users/9202029/items/6PHNY7J3"],"itemData":{"id":44,"type":"article-journal","abstract":"Electric vehicles (EVs) and renewable energy sources offer the potential to substantially decrease carbon emissions from both the transportation and power generation sectors of the economy. Mass adoption of EVs will have a number of impacts and benefits, including the ability to assist in the integration of renewable energy into existing electric grids. This paper reviews the current literature on EVs, the electric grid, and renewable energy integration. Key methods and assumptions of the literature are discussed. The economic, environmental and grid impacts of EVs are reviewed. Numerous studies assessing the ability of EVs to integrate renewable energy sources are assessed; the literature indicates that EVs can significantly reduce the amount of excess renewable energy produced in an electric system. Studies on wind–EV interaction are much more detailed than those on solar photovoltaics (PV) and EVs. The paper concludes with recommendations for future research.","container-title":"Renewable and Sustainable Energy Reviews","DOI":"10.1016/j.rser.2012.11.042","ISSN":"1364-0321","journalAbbreviation":"Renewable and Sustainable Energy Reviews","page":"247-254","source":"ScienceDirect","title":"Electric vehicles and the electric grid: A review of modeling approaches, Impacts, and renewable energy integration","title-short":"Electric vehicles and the electric grid","volume":"19","author":[{"family":"Richardson","given":"David B."}],"issued":{"date-parts":[["2013",3,1]]}},"label":"page"},{"id":"G6sP9rta/XQLfbGCY","uris":["http://zotero.org/users/9202029/items/B86NFB5L"],"itemData":{"id":43,"type":"webpage","title":"Impact analysis of vehicle-to-grid technology and charging strategies of electric vehicles on distribution networks – A review - ScienceDirect","URL":"https://www.sciencedirect.com/science/article/abs/pii/S0378775314020370","accessed":{"date-parts":[["2024",3,13]]}},"label":"page"}],"schema":"https://github.com/citation-style-language/schema/raw/master/csl-citation.json"} </w:instrText>
      </w:r>
      <w:r w:rsidRPr="005D31FC">
        <w:fldChar w:fldCharType="separate"/>
      </w:r>
      <w:r w:rsidR="00D1377E" w:rsidRPr="005D31FC">
        <w:rPr>
          <w:rFonts w:cs="Times"/>
        </w:rPr>
        <w:t>[4</w:t>
      </w:r>
      <w:r w:rsidR="008202D0" w:rsidRPr="005D31FC">
        <w:rPr>
          <w:rFonts w:cs="Times"/>
        </w:rPr>
        <w:t>]</w:t>
      </w:r>
      <w:r w:rsidRPr="005D31FC">
        <w:fldChar w:fldCharType="end"/>
      </w:r>
      <w:r w:rsidRPr="005D31FC">
        <w:t>. According to</w:t>
      </w:r>
      <w:r w:rsidR="00E13184" w:rsidRPr="005D31FC">
        <w:t xml:space="preserve"> </w:t>
      </w:r>
      <w:r w:rsidR="00D1377E" w:rsidRPr="005D31FC">
        <w:t xml:space="preserve"> several </w:t>
      </w:r>
      <w:r w:rsidR="00E13184" w:rsidRPr="005D31FC">
        <w:t>studies in</w:t>
      </w:r>
      <w:r w:rsidRPr="005D31FC">
        <w:t xml:space="preserve"> the literature</w:t>
      </w:r>
      <w:r w:rsidR="00D1377E" w:rsidRPr="005D31FC">
        <w:t>, including</w:t>
      </w:r>
      <w:r w:rsidRPr="005D31FC">
        <w:t xml:space="preserve"> </w:t>
      </w:r>
      <w:r w:rsidRPr="005D31FC">
        <w:fldChar w:fldCharType="begin"/>
      </w:r>
      <w:r w:rsidR="006B3A0E" w:rsidRPr="005D31FC">
        <w:instrText xml:space="preserve"> ADDIN ZOTERO_ITEM CSL_CITATION {"citationID":"eXr88iJB","properties":{"formattedCitation":"[6]","plainCitation":"[6]","noteIndex":0},"citationItems":[{"id":"G6sP9rta/uGc9d4Y7","uris":["http://zotero.org/users/9202029/items/I4LU42GJ"],"itemData":{"id":38,"type":"webpage","title":"(3) Co-Benefits of Large Scale Plug-In Hybrid Electric Vehicle and Solar PV Deployment | Request PDF","URL":"https://www.researchgate.net/publication/255813993_Co-Benefits_of_Large_Scale_Plug-In_Hybrid_Electric_Vehicle_and_Solar_PV_Deployment","accessed":{"date-parts":[["2024",3,18]]}}}],"schema":"https://github.com/citation-style-language/schema/raw/master/csl-citation.json"} </w:instrText>
      </w:r>
      <w:r w:rsidRPr="005D31FC">
        <w:fldChar w:fldCharType="separate"/>
      </w:r>
      <w:r w:rsidR="008202D0" w:rsidRPr="005D31FC">
        <w:rPr>
          <w:rFonts w:cs="Times"/>
        </w:rPr>
        <w:t>[6]</w:t>
      </w:r>
      <w:r w:rsidRPr="005D31FC">
        <w:fldChar w:fldCharType="end"/>
      </w:r>
      <w:r w:rsidRPr="005D31FC">
        <w:t xml:space="preserve">, the significant investments in renewable energy sources across the world and the growth of the electric vehicle (EV) sector will have the potential to improve energy security while lowering the usage of fossil fuel and greenhouse gas (GHG) emissions. Therefore, the use of EVs with renewable energies can provide a cost-effective solution for managing the intermittency of distributed generation and meeting the growing demand for </w:t>
      </w:r>
      <w:r w:rsidRPr="005D31FC">
        <w:lastRenderedPageBreak/>
        <w:t>electricity brought on by the switch from fuel-powered cars to electric cars.</w:t>
      </w:r>
      <w:r w:rsidR="008C3171" w:rsidRPr="005D31FC">
        <w:t xml:space="preserve"> </w:t>
      </w:r>
      <w:r w:rsidRPr="005D31FC">
        <w:t xml:space="preserve">For all </w:t>
      </w:r>
      <w:r w:rsidR="0075249E" w:rsidRPr="005D31FC">
        <w:t>these reasons</w:t>
      </w:r>
      <w:r w:rsidRPr="005D31FC">
        <w:t xml:space="preserve">, planning strategically for EV charging projects is becoming more important than before. </w:t>
      </w:r>
      <w:r w:rsidR="00AD6418" w:rsidRPr="005D31FC">
        <w:t>T</w:t>
      </w:r>
      <w:r w:rsidRPr="005D31FC">
        <w:t>echno-economic studies ar</w:t>
      </w:r>
      <w:r w:rsidR="00A10349" w:rsidRPr="005D31FC">
        <w:t xml:space="preserve">e carried out </w:t>
      </w:r>
      <w:r w:rsidRPr="005D31FC">
        <w:t>to validate the parameters and variables that make the transition feasible. For instance,</w:t>
      </w:r>
      <w:r w:rsidRPr="005D31FC">
        <w:fldChar w:fldCharType="begin"/>
      </w:r>
      <w:r w:rsidR="006B3A0E" w:rsidRPr="005D31FC">
        <w:instrText xml:space="preserve"> ADDIN ZOTERO_ITEM CSL_CITATION {"citationID":"yLBlRqln","properties":{"formattedCitation":"[7]","plainCitation":"[7]","noteIndex":0},"citationItems":[{"id":"G6sP9rta/8dQGT37e","uris":["http://zotero.org/users/9202029/items/BU4BLTEV"],"itemData":{"id":33,"type":"webpage","title":"Solar-to-vehicle (S2V) systems for powering commuters of the future - ScienceDirect","URL":"https://www.sciencedirect.com/science/article/abs/pii/S0378775308018946","accessed":{"date-parts":[["2024",3,18]]}}}],"schema":"https://github.com/citation-style-language/schema/raw/master/csl-citation.json"} </w:instrText>
      </w:r>
      <w:r w:rsidRPr="005D31FC">
        <w:fldChar w:fldCharType="separate"/>
      </w:r>
      <w:r w:rsidR="00D1377E" w:rsidRPr="005D31FC">
        <w:rPr>
          <w:rFonts w:cs="Times"/>
        </w:rPr>
        <w:t>[7]</w:t>
      </w:r>
      <w:r w:rsidRPr="005D31FC">
        <w:fldChar w:fldCharType="end"/>
      </w:r>
      <w:r w:rsidRPr="005D31FC">
        <w:t>, investigated the viabil</w:t>
      </w:r>
      <w:r w:rsidR="002B06A4" w:rsidRPr="005D31FC">
        <w:t xml:space="preserve">ity of charging EVs privately </w:t>
      </w:r>
      <w:r w:rsidRPr="005D31FC">
        <w:t xml:space="preserve">with solar PV systems placed on workplaces. </w:t>
      </w:r>
      <w:r w:rsidR="00AD6418" w:rsidRPr="005D31FC">
        <w:t xml:space="preserve"> Additionally, </w:t>
      </w:r>
      <w:r w:rsidRPr="005D31FC">
        <w:fldChar w:fldCharType="begin"/>
      </w:r>
      <w:r w:rsidR="006B3A0E" w:rsidRPr="005D31FC">
        <w:instrText xml:space="preserve"> ADDIN ZOTERO_ITEM CSL_CITATION {"citationID":"hwRAmRA3","properties":{"formattedCitation":"[8]","plainCitation":"[8]","noteIndex":0},"citationItems":[{"id":"G6sP9rta/OoCLUy7Z","uris":["http://zotero.org/users/9202029/items/4HY6JIET"],"itemData":{"id":72,"type":"article-journal","abstract":"Abstract\n            This work simulated the economic viability of electric vehicles (EVs) and renewable energy charging integration at a university campus. Homer energy simulation software was used to determine the optimal solution for the power loading, energy dispatch, and economic feasibility of each electricity source. Three scenarios were considered: case 1 (C1) is the baseline that provided the electric parameters considering a grid without renewable energy integration; case 2 (C2) is the addition of solar and wind systems supplying power to the grid and EVs; case 3 (C3) is the same conditions as C2, but EVs operate on vehicle‐to‐grid (V2G) scheme supplying energy to grid. Economic output solutions were classified according to the lowest net present value (NPV). The V2G mechanism considered on the C3 offered conditions that decreased the costs of operation of the system, estimating the lowest NPV among the options analyzed. In C2, the simulations recorded higher costs due to the system operation associated with extra local load to power the EVs. In both C2 and C3 scenarios, EVs aided the renewable energy sources' penetration on the system; however, the operation of EVs on a V2G mechanism contributed to the highest rate of renewable energy penetration.","container-title":"Energy Storage","DOI":"10.1002/est2.197","ISSN":"2578-4862, 2578-4862","issue":"6","journalAbbreviation":"Energy Storage","language":"en","page":"e197","source":"DOI.org (Crossref)","title":"&lt;span style=\"font-variant:small-caps;\"&gt;Techno‐economic&lt;/span&gt; feasibility study on electric vehicle and renewable energy integration: A case study","title-short":"&lt;span style=\"font-variant","volume":"2","author":[{"family":"Schetinger","given":"Annelys Machado"},{"family":"Dias","given":"Daniel Henrique Nogueira"},{"family":"Borba","given":"Bruno Soares Moreira César"},{"family":"Pimentel Da Silva","given":"Gardenio Diogo"}],"issued":{"date-parts":[["2020",12]]}}}],"schema":"https://github.com/citation-style-language/schema/raw/master/csl-citation.json"} </w:instrText>
      </w:r>
      <w:r w:rsidRPr="005D31FC">
        <w:fldChar w:fldCharType="separate"/>
      </w:r>
      <w:r w:rsidR="00D1377E" w:rsidRPr="005D31FC">
        <w:rPr>
          <w:rFonts w:cs="Times"/>
        </w:rPr>
        <w:t>[8]</w:t>
      </w:r>
      <w:r w:rsidRPr="005D31FC">
        <w:fldChar w:fldCharType="end"/>
      </w:r>
      <w:r w:rsidRPr="005D31FC">
        <w:t xml:space="preserve">, </w:t>
      </w:r>
      <w:r w:rsidRPr="005D31FC">
        <w:fldChar w:fldCharType="begin"/>
      </w:r>
      <w:r w:rsidR="006B3A0E" w:rsidRPr="005D31FC">
        <w:instrText xml:space="preserve"> ADDIN ZOTERO_ITEM CSL_CITATION {"citationID":"tDCwz08Q","properties":{"formattedCitation":"[9]","plainCitation":"[9]","noteIndex":0},"citationItems":[{"id":"G6sP9rta/zWQHqTYr","uris":["http://zotero.org/users/9202029/items/KTS2UCEN"],"itemData":{"id":63,"type":"article-newspaper","title":"Optimization of Solar Energy System for the Electric Vehicle at University Campus in Dhaka, Bangladesh","author":[{"family":"Nusrat","given":"Chowdhury"}],"issued":{"date-parts":[["2018"]]}}}],"schema":"https://github.com/citation-style-language/schema/raw/master/csl-citation.json"} </w:instrText>
      </w:r>
      <w:r w:rsidRPr="005D31FC">
        <w:fldChar w:fldCharType="separate"/>
      </w:r>
      <w:r w:rsidR="00D1377E" w:rsidRPr="005D31FC">
        <w:rPr>
          <w:rFonts w:cs="Times"/>
        </w:rPr>
        <w:t>[9]</w:t>
      </w:r>
      <w:r w:rsidRPr="005D31FC">
        <w:fldChar w:fldCharType="end"/>
      </w:r>
      <w:r w:rsidRPr="005D31FC">
        <w:t xml:space="preserve">, and </w:t>
      </w:r>
      <w:r w:rsidRPr="005D31FC">
        <w:fldChar w:fldCharType="begin"/>
      </w:r>
      <w:r w:rsidR="006B3A0E" w:rsidRPr="005D31FC">
        <w:instrText xml:space="preserve"> ADDIN ZOTERO_ITEM CSL_CITATION {"citationID":"wcMwr8Zq","properties":{"formattedCitation":"[10]","plainCitation":"[10]","noteIndex":0},"citationItems":[{"id":"G6sP9rta/wv235aRL","uris":["http://zotero.org/users/9202029/items/AIALZPH7"],"itemData":{"id":28,"type":"article-journal","abstract":"To mitigate the hazardous effect of increasing energy demand and global warming, the Renewable Energy Sources (RESs)-based smart microgrids are gaining massive attention. However, intermittency, as well as the volatile nature of RESs, make it challengeable task. To confront the wavering of voltage profile and power flow in microgrids, the Energy Storage System (ESS) and Diesel Generators are being used as a backup power\nsupply. On national as well as international scale, a vast list of the Universities with a growing number of departments, centers, and hostels add up a mass amount of energy demand. The study of electricity consumption trend in Aligarh Muslim University (AMU) provides vital information to analyze, design, and implement a suitable solution for the deployment of the microgrid. In this work, Polygeneration based on various smart microgrid topologies in both modes of operation (i.e. grid-connected and off-grid mode) is studied. To execute the economic and feasibility analysis, HOMER® is used as simulating and optimizing tool. On the basis of minimum Net Present Cost (NPC) from the various topologies, the best solution is recommended. The obtained results show that the total system cost under solar PV + Battery (PV + B) mode is 1419.6 million INR, which is approx. 64.2% higher as compared to the current existing scenario (864.2 million INR), while, the total system cost under (Grid + Solar PV) G + PV mode is 494.92 million, which is approx. 57.2 %\nlower as compared to the current existing scenario. The comparative study of the environmental and economic structure of proposed topology with existing one reveals that, under the proposed topology, 3.636*106 kg of CO2, 1.578*104 kg of SO2, and 7.7*103 kg of NOX will be mitigated.","container-title":"Smart Science","DOI":"10.1080/23080477.2017.1417005","journalAbbreviation":"Smart Science","page":"150-157","source":"ResearchGate","title":"Optimal Sizing and Analysis of Solar PV, Wind, and Energy Storage Hybrid System for Campus Microgrid","volume":"6","author":[{"family":"Ahmad","given":"Furkan"},{"family":"Alam","given":"Mohammad"}],"issued":{"date-parts":[["2017",12,18]]}}}],"schema":"https://github.com/citation-style-language/schema/raw/master/csl-citation.json"} </w:instrText>
      </w:r>
      <w:r w:rsidRPr="005D31FC">
        <w:fldChar w:fldCharType="separate"/>
      </w:r>
      <w:r w:rsidR="00D1377E" w:rsidRPr="005D31FC">
        <w:rPr>
          <w:rFonts w:cs="Times"/>
        </w:rPr>
        <w:t>[10]</w:t>
      </w:r>
      <w:r w:rsidRPr="005D31FC">
        <w:fldChar w:fldCharType="end"/>
      </w:r>
      <w:r w:rsidRPr="005D31FC">
        <w:t xml:space="preserve"> </w:t>
      </w:r>
      <w:r w:rsidR="00AD6418" w:rsidRPr="005D31FC">
        <w:t xml:space="preserve">discuss </w:t>
      </w:r>
      <w:r w:rsidRPr="005D31FC">
        <w:t>the effects of integrating renewable energy sources and plug-in electric v</w:t>
      </w:r>
      <w:r w:rsidR="00AD6418" w:rsidRPr="005D31FC">
        <w:t>ehicles on university campuses</w:t>
      </w:r>
      <w:r w:rsidRPr="005D31FC">
        <w:t>. With the use of a central charging network system,</w:t>
      </w:r>
      <w:r w:rsidRPr="005D31FC">
        <w:fldChar w:fldCharType="begin"/>
      </w:r>
      <w:r w:rsidR="006B3A0E" w:rsidRPr="005D31FC">
        <w:instrText xml:space="preserve"> ADDIN ZOTERO_ITEM CSL_CITATION {"citationID":"HBNdE03w","properties":{"formattedCitation":"[11]","plainCitation":"[11]","noteIndex":0},"citationItems":[{"id":"G6sP9rta/bBiGfXyO","uris":["http://zotero.org/users/9202029/items/JEA8HYDT"],"itemData":{"id":27,"type":"webpage","title":"A novel consumer-friendly electric vehicle charging scheme with vehicle to grid provision supported by genetic algorithm based optimization | Request PDF","URL":"https://www.researchgate.net/publication/360432609_A_novel_consumer-friendly_electric_vehicle_charging_scheme_with_vehicle_to_grid_provision_supported_by_genetic_algorithm_based_optimization","accessed":{"date-parts":[["2024",3,18]]}}}],"schema":"https://github.com/citation-style-language/schema/raw/master/csl-citation.json"} </w:instrText>
      </w:r>
      <w:r w:rsidRPr="005D31FC">
        <w:fldChar w:fldCharType="separate"/>
      </w:r>
      <w:r w:rsidR="00D1377E" w:rsidRPr="005D31FC">
        <w:rPr>
          <w:rFonts w:cs="Times"/>
        </w:rPr>
        <w:t>[11]</w:t>
      </w:r>
      <w:r w:rsidRPr="005D31FC">
        <w:fldChar w:fldCharType="end"/>
      </w:r>
      <w:r w:rsidRPr="005D31FC">
        <w:t xml:space="preserve"> has presented a valley-filling electric vehicle charging-based system for meeting residential energy demand. </w:t>
      </w:r>
      <w:r w:rsidR="00B34EF0" w:rsidRPr="005D31FC">
        <w:t xml:space="preserve"> In addition, m</w:t>
      </w:r>
      <w:r w:rsidRPr="005D31FC">
        <w:t>ore similar studies have used citywide data to see how private EV owners charge their vehicles</w:t>
      </w:r>
      <w:r w:rsidRPr="005D31FC">
        <w:fldChar w:fldCharType="begin"/>
      </w:r>
      <w:r w:rsidR="006B3A0E" w:rsidRPr="005D31FC">
        <w:instrText xml:space="preserve"> ADDIN ZOTERO_ITEM CSL_CITATION {"citationID":"POEvPfsP","properties":{"formattedCitation":"[8]","plainCitation":"[8]","noteIndex":0},"citationItems":[{"id":"G6sP9rta/OoCLUy7Z","uris":["http://zotero.org/users/9202029/items/4HY6JIET"],"itemData":{"id":72,"type":"article-journal","abstract":"Abstract\n            This work simulated the economic viability of electric vehicles (EVs) and renewable energy charging integration at a university campus. Homer energy simulation software was used to determine the optimal solution for the power loading, energy dispatch, and economic feasibility of each electricity source. Three scenarios were considered: case 1 (C1) is the baseline that provided the electric parameters considering a grid without renewable energy integration; case 2 (C2) is the addition of solar and wind systems supplying power to the grid and EVs; case 3 (C3) is the same conditions as C2, but EVs operate on vehicle‐to‐grid (V2G) scheme supplying energy to grid. Economic output solutions were classified according to the lowest net present value (NPV). The V2G mechanism considered on the C3 offered conditions that decreased the costs of operation of the system, estimating the lowest NPV among the options analyzed. In C2, the simulations recorded higher costs due to the system operation associated with extra local load to power the EVs. In both C2 and C3 scenarios, EVs aided the renewable energy sources' penetration on the system; however, the operation of EVs on a V2G mechanism contributed to the highest rate of renewable energy penetration.","container-title":"Energy Storage","DOI":"10.1002/est2.197","ISSN":"2578-4862, 2578-4862","issue":"6","journalAbbreviation":"Energy Storage","language":"en","page":"e197","source":"DOI.org (Crossref)","title":"&lt;span style=\"font-variant:small-caps;\"&gt;Techno‐economic&lt;/span&gt; feasibility study on electric vehicle and renewable energy integration: A case study","title-short":"&lt;span style=\"font-variant","volume":"2","author":[{"family":"Schetinger","given":"Annelys Machado"},{"family":"Dias","given":"Daniel Henrique Nogueira"},{"family":"Borba","given":"Bruno Soares Moreira César"},{"family":"Pimentel Da Silva","given":"Gardenio Diogo"}],"issued":{"date-parts":[["2020",12]]}}}],"schema":"https://github.com/citation-style-language/schema/raw/master/csl-citation.json"} </w:instrText>
      </w:r>
      <w:r w:rsidRPr="005D31FC">
        <w:fldChar w:fldCharType="separate"/>
      </w:r>
      <w:r w:rsidR="00D1377E" w:rsidRPr="005D31FC">
        <w:rPr>
          <w:rFonts w:cs="Times"/>
        </w:rPr>
        <w:t>[8]</w:t>
      </w:r>
      <w:r w:rsidRPr="005D31FC">
        <w:fldChar w:fldCharType="end"/>
      </w:r>
      <w:r w:rsidRPr="005D31FC">
        <w:t>.</w:t>
      </w:r>
      <w:r w:rsidR="00266EB0" w:rsidRPr="005D31FC">
        <w:t xml:space="preserve"> Also,</w:t>
      </w:r>
      <w:r w:rsidR="004675A8" w:rsidRPr="005D31FC">
        <w:t xml:space="preserve"> i</w:t>
      </w:r>
      <w:r w:rsidRPr="005D31FC">
        <w:t xml:space="preserve">n Morocco, several similar case studies have been carried out in the same context. For example, to charge electric vehicles, a renewable energy system (RES) comprising grid, wind, and photovoltaic power has been proposed for the transport sector </w:t>
      </w:r>
      <w:r w:rsidRPr="005D31FC">
        <w:fldChar w:fldCharType="begin"/>
      </w:r>
      <w:r w:rsidR="006B3A0E" w:rsidRPr="005D31FC">
        <w:instrText xml:space="preserve"> ADDIN ZOTERO_ITEM CSL_CITATION {"citationID":"Br2BMrjZ","properties":{"formattedCitation":"[12]","plainCitation":"[12]","noteIndex":0},"citationItems":[{"id":"G6sP9rta/ZjUrYKiO","uris":["http://zotero.org/users/9202029/items/3VHTJCT8"],"itemData":{"id":23,"type":"webpage","title":"(PDF) Design and sizing of a Hybrid PV-Wind-Grid System for Electric Vehicle Charging Platform","URL":"https://www.researchgate.net/publication/327648018_Design_and_sizing_of_a_Hybrid_PV-Wind-Grid_System_for_Electric_Vehicle_Charging_Platform","accessed":{"date-parts":[["2024",3,18]]}}}],"schema":"https://github.com/citation-style-language/schema/raw/master/csl-citation.json"} </w:instrText>
      </w:r>
      <w:r w:rsidRPr="005D31FC">
        <w:fldChar w:fldCharType="separate"/>
      </w:r>
      <w:r w:rsidR="00D1377E" w:rsidRPr="005D31FC">
        <w:rPr>
          <w:rFonts w:cs="Times"/>
        </w:rPr>
        <w:t>[12]</w:t>
      </w:r>
      <w:r w:rsidRPr="005D31FC">
        <w:fldChar w:fldCharType="end"/>
      </w:r>
      <w:r w:rsidRPr="005D31FC">
        <w:t xml:space="preserve">. Also, </w:t>
      </w:r>
      <w:r w:rsidRPr="005D31FC">
        <w:fldChar w:fldCharType="begin"/>
      </w:r>
      <w:r w:rsidR="006B3A0E" w:rsidRPr="005D31FC">
        <w:instrText xml:space="preserve"> ADDIN ZOTERO_ITEM CSL_CITATION {"citationID":"P27K67jy","properties":{"formattedCitation":"[13]","plainCitation":"[13]","noteIndex":0},"citationItems":[{"id":"G6sP9rta/7cOQAisb","uris":["http://zotero.org/users/9202029/items/52UYQ9DP"],"itemData":{"id":52,"type":"article-journal","abstract":"Coupling energy and transport sectors is critical for optimum utilization of renewable energy. The present work proposes a grid-connected photovoltaic/wind/battery hybrid power system to generate electricity for supermarkets. The supermarkets are located at three geographically distinct cities in Morocco and integrate electric vehicle (EV) charging stations in their parking areas. HOMER grid software is used for the optimal design of the proposed hybrid renewable energy system (HRES) with an accurate utility tariff corresponding to the Moroccan scenario. Dakhla, which is a high windy site, is found to be the best implementation site with maximum renewable energy fraction (REF), minimum COE and operating costs of 71.66%, 0.0841 $/kWh, and 0.124 M$/year, respectively. The optimal grid-connected system consisted of 107 kW p of PV, 300 kW of wind, 12 batteries, and 65 kW capacity inverter for Dakhla site. The next identified best site is Casablanca while Fez remained at third place based on COE and annual operating costs. At all of these sites, the EV charging process is achieved, almost completely, with 7300 charging sessions annually. A series of sensitivity analyses is performed based on supermarket energy intensity, renewable energy availability, and carbon pricing and impact on the viability of HRES was evidenced.","container-title":"Energy Reports","DOI":"10.1016/j.egyr.2023.02.005","ISSN":"2352-4847","journalAbbreviation":"Energy Reports","page":"3305-3318","source":"ScienceDirect","title":"Grid-connected hybrid renewable energy systems for supermarkets with electric vehicle charging platforms: Optimization and sensitivity analyses","title-short":"Grid-connected hybrid renewable energy systems for supermarkets with electric vehicle charging platforms","volume":"9","author":[{"family":"Allouhi","given":"A."},{"family":"Rehman","given":"S."}],"issued":{"date-parts":[["2023",12,1]]}}}],"schema":"https://github.com/citation-style-language/schema/raw/master/csl-citation.json"} </w:instrText>
      </w:r>
      <w:r w:rsidRPr="005D31FC">
        <w:fldChar w:fldCharType="separate"/>
      </w:r>
      <w:r w:rsidR="00D1377E" w:rsidRPr="005D31FC">
        <w:rPr>
          <w:rFonts w:cs="Times"/>
        </w:rPr>
        <w:t>[13]</w:t>
      </w:r>
      <w:r w:rsidRPr="005D31FC">
        <w:fldChar w:fldCharType="end"/>
      </w:r>
      <w:r w:rsidRPr="005D31FC">
        <w:t xml:space="preserve"> examined the viability of hybrid renewable energy systems in supermarkets </w:t>
      </w:r>
      <w:r w:rsidR="00B470A4" w:rsidRPr="005D31FC">
        <w:t>about</w:t>
      </w:r>
      <w:r w:rsidRPr="005D31FC">
        <w:t xml:space="preserve"> the Moroccan medium-voltage facility billing scheme, along with a projected design for an electric charger station intended for small-sized electric vehicles that are powered by the hybrid optional system. After recomm</w:t>
      </w:r>
      <w:r w:rsidR="00D4585F" w:rsidRPr="005D31FC">
        <w:t>ending incentives for EV owners.</w:t>
      </w:r>
      <w:r w:rsidRPr="005D31FC">
        <w:t xml:space="preserve"> </w:t>
      </w:r>
      <w:r w:rsidR="00B470A4" w:rsidRPr="005D31FC">
        <w:t>However, fewer studies explore the feasibility of charging EVs using a compact home charging station in different cities. Additionally, fewer papers compare the EV and HV charging stations based on the cost and renewable energy fraction. In this context</w:t>
      </w:r>
      <w:r w:rsidR="00717008" w:rsidRPr="005D31FC">
        <w:t>, t</w:t>
      </w:r>
      <w:r w:rsidR="008C3171" w:rsidRPr="005D31FC">
        <w:t xml:space="preserve">his </w:t>
      </w:r>
      <w:r w:rsidR="00B470A4" w:rsidRPr="005D31FC">
        <w:t>paper's contribution consists of providing</w:t>
      </w:r>
      <w:r w:rsidRPr="005D31FC">
        <w:t xml:space="preserve"> a techno-economic feasibility analysis </w:t>
      </w:r>
      <w:r w:rsidR="00AB1798" w:rsidRPr="005D31FC">
        <w:t xml:space="preserve">to charge </w:t>
      </w:r>
      <w:r w:rsidR="008B3DAD" w:rsidRPr="005D31FC">
        <w:t xml:space="preserve">EVs and </w:t>
      </w:r>
      <w:r w:rsidR="00A0578C" w:rsidRPr="005D31FC">
        <w:t>HVs</w:t>
      </w:r>
      <w:r w:rsidR="008B3DAD" w:rsidRPr="005D31FC">
        <w:t xml:space="preserve"> from residences based on</w:t>
      </w:r>
      <w:r w:rsidR="00B470A4" w:rsidRPr="005D31FC">
        <w:t xml:space="preserve"> the grid and </w:t>
      </w:r>
      <w:r w:rsidR="008B3DAD" w:rsidRPr="005D31FC">
        <w:t>a renewable energy source.</w:t>
      </w:r>
      <w:r w:rsidR="00B470A4" w:rsidRPr="005D31FC">
        <w:t xml:space="preserve"> The papers discuss the advantages of each charging station</w:t>
      </w:r>
      <w:r w:rsidR="00D1377E" w:rsidRPr="005D31FC">
        <w:t xml:space="preserve"> </w:t>
      </w:r>
      <w:r w:rsidR="00B470A4" w:rsidRPr="005D31FC">
        <w:t xml:space="preserve">based on the cost and explore the possibility of reducing the cost of the HV station with the rise of temperature in the sensitivity analysis section. </w:t>
      </w:r>
    </w:p>
    <w:p w14:paraId="2B93FB52" w14:textId="02B7A344" w:rsidR="00FC0AD9" w:rsidRPr="005D31FC" w:rsidRDefault="00FC0AD9" w:rsidP="00FC0AD9">
      <w:pPr>
        <w:pStyle w:val="Titre1"/>
      </w:pPr>
      <w:r w:rsidRPr="005D31FC">
        <w:t>METHODOLOGY OF THE PROJECT STUDY</w:t>
      </w:r>
    </w:p>
    <w:p w14:paraId="0B512D4F" w14:textId="5DFB00F1" w:rsidR="00FC0AD9" w:rsidRPr="005D31FC" w:rsidRDefault="00FC0AD9" w:rsidP="00D1377E">
      <w:pPr>
        <w:pStyle w:val="Text"/>
        <w:ind w:firstLine="720"/>
      </w:pPr>
      <w:r w:rsidRPr="005D31FC">
        <w:t xml:space="preserve">The examined residential area is located in a Moroccan city named </w:t>
      </w:r>
      <w:proofErr w:type="spellStart"/>
      <w:r w:rsidRPr="005D31FC">
        <w:t>Beni</w:t>
      </w:r>
      <w:proofErr w:type="spellEnd"/>
      <w:r w:rsidRPr="005D31FC">
        <w:t xml:space="preserve"> </w:t>
      </w:r>
      <w:proofErr w:type="spellStart"/>
      <w:r w:rsidRPr="005D31FC">
        <w:t>Mellal</w:t>
      </w:r>
      <w:proofErr w:type="spellEnd"/>
      <w:r w:rsidRPr="005D31FC">
        <w:t xml:space="preserve"> with a latitude of 3</w:t>
      </w:r>
      <w:r w:rsidR="00C620F5" w:rsidRPr="005D31FC">
        <w:t>2.25 and a longitude of -6.25</w:t>
      </w:r>
      <w:r w:rsidR="00310EEE" w:rsidRPr="005D31FC">
        <w:t xml:space="preserve">. The </w:t>
      </w:r>
      <w:r w:rsidRPr="005D31FC">
        <w:t>methodology followed to accomplish the objectives is composed of three steps: extracting the meteorological resources of the Moroccan city “</w:t>
      </w:r>
      <w:proofErr w:type="spellStart"/>
      <w:r w:rsidRPr="005D31FC">
        <w:t>Beni</w:t>
      </w:r>
      <w:proofErr w:type="spellEnd"/>
      <w:r w:rsidRPr="005D31FC">
        <w:t xml:space="preserve"> </w:t>
      </w:r>
      <w:proofErr w:type="spellStart"/>
      <w:r w:rsidRPr="005D31FC">
        <w:t>Mellal</w:t>
      </w:r>
      <w:proofErr w:type="spellEnd"/>
      <w:r w:rsidR="0064478C" w:rsidRPr="005D31FC">
        <w:t xml:space="preserve">”, </w:t>
      </w:r>
      <w:r w:rsidRPr="005D31FC">
        <w:t xml:space="preserve"> modeling the system’s components in addition to </w:t>
      </w:r>
      <w:r w:rsidR="00BF2717" w:rsidRPr="005D31FC">
        <w:t xml:space="preserve">its </w:t>
      </w:r>
      <w:r w:rsidRPr="005D31FC">
        <w:t xml:space="preserve">optimization using the software, which is an effective tool for carrying out techno-economic feasibility studies for solar energy and other renewable energy sources </w:t>
      </w:r>
      <w:r w:rsidRPr="005D31FC">
        <w:fldChar w:fldCharType="begin"/>
      </w:r>
      <w:r w:rsidR="006B3A0E" w:rsidRPr="005D31FC">
        <w:instrText xml:space="preserve"> ADDIN ZOTERO_ITEM CSL_CITATION {"citationID":"6f9oqkJm","properties":{"formattedCitation":"[14], [15], [16]","plainCitation":"[14], [15], [16]","noteIndex":0},"citationItems":[{"id":"G6sP9rta/j6pLsJl2","uris":["http://zotero.org/users/9202029/items/98IFVIIA"],"itemData":{"id":18,"type":"webpage","title":"Energy-water-environment nexus underpinning future desalination sustainability | Request PDF","URL":"https://www.researchgate.net/publication/314867525_Energy-water-environment_nexus_underpinning_future_desalination_sustainability","accessed":{"date-parts":[["2024",3,18]]}},"label":"page"},{"id":"G6sP9rta/MLa7jR9H","uris":["http://zotero.org/users/9202029/items/RSUCDSSX"],"itemData":{"id":51,"type":"article-journal","abstract":"The Russian power system is diversified regionally and consists of one Unified Power System (UPS) and multiple isolated power systems. In the Russian Federation the policy on the use of renewable energies has been one of the most debated topics in recent years. In 2010, the Russian Renewable Energy Program was launched which aims to generate 4.5% of the entire electricity demand from renewable energy sources by 2020. These energy resources can significantly contribute to both the reduction of electricity generation costs in the Isolated Power Systems (IPS) and to the creation of new job opportunities. In this study an innovative methodology for the planning of isolated power systems is presented. The methodology is based on the Analytic Hierarchy Process (AHP) and on the software program HOMER Energy®. It considers the economic, social and environmental criteria for the optimal planning of isolated systems. A case study related to a small Siberian isolated power system is analyzed.","container-title":"Renewable Energy","DOI":"10.1016/j.renene.2016.01.016","ISSN":"0960-1481","journalAbbreviation":"Renewable Energy","page":"532-541","source":"ScienceDirect","title":"Isolated power system in Russia: A chance for renewable energies?","title-short":"Isolated power system in Russia","volume":"90","author":[{"family":"Lombardi","given":"P."},{"family":"Sokolnikova","given":"T."},{"family":"Suslov","given":"K."},{"family":"Voropai","given":"N."},{"family":"Styczynski","given":"Z. A."}],"issued":{"date-parts":[["2016",5,1]]}},"label":"page"},{"id":"G6sP9rta/7usEJIbI","uris":["http://zotero.org/users/9202029/items/ZCXBV8NR"],"itemData":{"id":16,"type":"article-journal","abstract":"Electrification of villages is a vital step for improving the techno-economic conditions of rural areas and crucial for the country’s overall development. The villages’ welfare is one of the main aims of the rural electrification programs. Rural electrification is relatively costly compared to electrification of urban areas. Now, the research question is to find the best combinations of HRES from the available resources in a given village location that can meet the electricity demand in a sustainable manner and to see whether this is a cost-effective solution or not. This study is an attempt to structure a model of electricity generation based on multiple combinations of HRES with the application of HOMER energy software at an identified off-grid village location in India. The main objectives of this study are to analyze the best-suited configuration of a hybrid RE system out of various combinations to meet the village load requirement reliably, continuously and sustainably. The study also reduces the total system net present cost and least cost of energy (COE) using multi-objective HOMER Pro software. In this study, a resource assessment and demand calculation have been carried out and the COE per unit has been ascertained for different systems and configurations. A combination of PV–Wind–Biomass–Biogas–FC along with battery has been identified as the cheapest and most dependable solution with a COE of $0.214/kWh.","container-title":"Environment, Development and Sustainability","DOI":"10.1007/s10668-019-00583-2","journalAbbreviation":"Environment, Development and Sustainability","source":"ResearchGate","title":"Techno-economic analysis of off-grid solar/wind/biogas/biomass/fuel cell/battery system for electrification in a cluster of villages by HOMER software","volume":"23","author":[{"family":"Vendoti","given":"Suresh"},{"family":"Mahankali","given":"Muralidhar"},{"family":"Kiranmayi","given":"R."}],"issued":{"date-parts":[["2021",1,1]]}},"label":"page"}],"schema":"https://github.com/citation-style-language/schema/raw/master/csl-citation.json"} </w:instrText>
      </w:r>
      <w:r w:rsidRPr="005D31FC">
        <w:fldChar w:fldCharType="separate"/>
      </w:r>
      <w:r w:rsidR="00D1377E" w:rsidRPr="005D31FC">
        <w:rPr>
          <w:rFonts w:cs="Times"/>
        </w:rPr>
        <w:t>[14], [15], [16]</w:t>
      </w:r>
      <w:r w:rsidRPr="005D31FC">
        <w:fldChar w:fldCharType="end"/>
      </w:r>
      <w:r w:rsidRPr="005D31FC">
        <w:t xml:space="preserve">. </w:t>
      </w:r>
    </w:p>
    <w:p w14:paraId="0E92F489" w14:textId="473405C6" w:rsidR="007C28FA" w:rsidRPr="005D31FC" w:rsidRDefault="007C28FA" w:rsidP="007C28FA">
      <w:pPr>
        <w:pStyle w:val="Titre2"/>
      </w:pPr>
      <w:r w:rsidRPr="005D31FC">
        <w:t xml:space="preserve">Meteorological </w:t>
      </w:r>
      <w:r w:rsidR="001415FF" w:rsidRPr="005D31FC">
        <w:t>I</w:t>
      </w:r>
      <w:r w:rsidRPr="005D31FC">
        <w:t xml:space="preserve">nput </w:t>
      </w:r>
      <w:r w:rsidR="001415FF" w:rsidRPr="005D31FC">
        <w:t>D</w:t>
      </w:r>
      <w:r w:rsidRPr="005D31FC">
        <w:t>ata</w:t>
      </w:r>
    </w:p>
    <w:p w14:paraId="09F6AFC9" w14:textId="5D732DE2" w:rsidR="007C28FA" w:rsidRPr="005D31FC" w:rsidRDefault="007C28FA" w:rsidP="00290BEB">
      <w:pPr>
        <w:snapToGrid w:val="0"/>
        <w:spacing w:after="160"/>
        <w:ind w:firstLine="720"/>
        <w:jc w:val="both"/>
        <w:rPr>
          <w:rFonts w:ascii="Times" w:eastAsia="Calibri" w:hAnsi="Times" w:cs="Times New Roman (Cuerpo en alfa"/>
          <w:sz w:val="20"/>
          <w:szCs w:val="24"/>
        </w:rPr>
      </w:pPr>
      <w:r w:rsidRPr="005D31FC">
        <w:rPr>
          <w:rFonts w:ascii="Times" w:eastAsia="Calibri" w:hAnsi="Times" w:cs="Times New Roman (Cuerpo en alfa"/>
          <w:sz w:val="20"/>
          <w:szCs w:val="24"/>
        </w:rPr>
        <w:t>The system architec</w:t>
      </w:r>
      <w:r w:rsidR="008B2ABA" w:rsidRPr="005D31FC">
        <w:rPr>
          <w:rFonts w:ascii="Times" w:eastAsia="Calibri" w:hAnsi="Times" w:cs="Times New Roman (Cuerpo en alfa"/>
          <w:sz w:val="20"/>
          <w:szCs w:val="24"/>
        </w:rPr>
        <w:t xml:space="preserve">ture considered in the project </w:t>
      </w:r>
      <w:r w:rsidRPr="005D31FC">
        <w:rPr>
          <w:rFonts w:ascii="Times" w:eastAsia="Calibri" w:hAnsi="Times" w:cs="Times New Roman (Cuerpo en alfa"/>
          <w:sz w:val="20"/>
          <w:szCs w:val="24"/>
        </w:rPr>
        <w:t xml:space="preserve">integrates a PV generator as a power source. Therefore, meteorological input </w:t>
      </w:r>
      <w:proofErr w:type="gramStart"/>
      <w:r w:rsidRPr="005D31FC">
        <w:rPr>
          <w:rFonts w:ascii="Times" w:eastAsia="Calibri" w:hAnsi="Times" w:cs="Times New Roman (Cuerpo en alfa"/>
          <w:sz w:val="20"/>
          <w:szCs w:val="24"/>
        </w:rPr>
        <w:t>data</w:t>
      </w:r>
      <w:r w:rsidR="00926E3F" w:rsidRPr="005D31FC">
        <w:rPr>
          <w:rFonts w:ascii="Times" w:eastAsia="Calibri" w:hAnsi="Times" w:cs="Times New Roman (Cuerpo en alfa"/>
          <w:sz w:val="20"/>
          <w:szCs w:val="24"/>
        </w:rPr>
        <w:t xml:space="preserve">  ,</w:t>
      </w:r>
      <w:proofErr w:type="gramEnd"/>
      <w:r w:rsidR="00926E3F" w:rsidRPr="005D31FC">
        <w:rPr>
          <w:rFonts w:ascii="Times" w:eastAsia="Calibri" w:hAnsi="Times" w:cs="Times New Roman (Cuerpo en alfa"/>
          <w:sz w:val="20"/>
          <w:szCs w:val="24"/>
        </w:rPr>
        <w:t xml:space="preserve"> such as solar radiation, daily temperature,  </w:t>
      </w:r>
      <w:r w:rsidRPr="005D31FC">
        <w:rPr>
          <w:rFonts w:ascii="Times" w:eastAsia="Calibri" w:hAnsi="Times" w:cs="Times New Roman (Cuerpo en alfa"/>
          <w:sz w:val="20"/>
          <w:szCs w:val="24"/>
        </w:rPr>
        <w:t xml:space="preserve"> are needed </w:t>
      </w:r>
      <w:r w:rsidR="00926E3F" w:rsidRPr="005D31FC">
        <w:rPr>
          <w:rFonts w:ascii="Times" w:eastAsia="Calibri" w:hAnsi="Times" w:cs="Times New Roman (Cuerpo en alfa"/>
          <w:sz w:val="20"/>
          <w:szCs w:val="24"/>
        </w:rPr>
        <w:t xml:space="preserve"> to simulate the system </w:t>
      </w:r>
      <w:r w:rsidRPr="005D31FC">
        <w:rPr>
          <w:rFonts w:ascii="Times" w:eastAsia="Calibri" w:hAnsi="Times" w:cs="Times New Roman (Cuerpo en alfa"/>
          <w:sz w:val="20"/>
          <w:szCs w:val="24"/>
        </w:rPr>
        <w:t xml:space="preserve">. </w:t>
      </w:r>
      <w:r w:rsidR="00926E3F" w:rsidRPr="005D31FC">
        <w:rPr>
          <w:rFonts w:ascii="Times" w:eastAsia="Calibri" w:hAnsi="Times" w:cs="Times New Roman (Cuerpo en alfa"/>
          <w:sz w:val="20"/>
          <w:szCs w:val="24"/>
        </w:rPr>
        <w:t xml:space="preserve">The system is set to be installed in a small family residence for this reason wind turbine parameters are neglected and the main focus is set on solar PV source. </w:t>
      </w:r>
      <w:r w:rsidRPr="005D31FC">
        <w:rPr>
          <w:rFonts w:ascii="Times" w:eastAsia="Calibri" w:hAnsi="Times" w:cs="Times New Roman (Cuerpo en alfa"/>
          <w:sz w:val="20"/>
          <w:szCs w:val="24"/>
        </w:rPr>
        <w:t xml:space="preserve"> </w:t>
      </w:r>
      <w:r w:rsidR="00D82109" w:rsidRPr="005D31FC">
        <w:rPr>
          <w:rFonts w:ascii="Times" w:eastAsia="Calibri" w:hAnsi="Times" w:cs="Times New Roman (Cuerpo en alfa"/>
          <w:sz w:val="20"/>
          <w:szCs w:val="24"/>
        </w:rPr>
        <w:t xml:space="preserve">Fig </w:t>
      </w:r>
      <w:r w:rsidRPr="005D31FC">
        <w:rPr>
          <w:rFonts w:ascii="Times" w:eastAsia="Calibri" w:hAnsi="Times" w:cs="Times New Roman (Cuerpo en alfa"/>
          <w:sz w:val="20"/>
          <w:szCs w:val="24"/>
        </w:rPr>
        <w:t>1</w:t>
      </w:r>
      <w:r w:rsidR="00D82109" w:rsidRPr="005D31FC">
        <w:rPr>
          <w:rFonts w:ascii="Times" w:eastAsia="Calibri" w:hAnsi="Times" w:cs="Times New Roman (Cuerpo en alfa"/>
          <w:sz w:val="20"/>
          <w:szCs w:val="24"/>
        </w:rPr>
        <w:t>.</w:t>
      </w:r>
      <w:r w:rsidR="00883EAB" w:rsidRPr="005D31FC">
        <w:rPr>
          <w:rFonts w:ascii="Times" w:eastAsia="Calibri" w:hAnsi="Times" w:cs="Times New Roman (Cuerpo en alfa"/>
          <w:sz w:val="20"/>
          <w:szCs w:val="24"/>
        </w:rPr>
        <w:t xml:space="preserve"> </w:t>
      </w:r>
      <w:r w:rsidR="00A0578C" w:rsidRPr="005D31FC">
        <w:rPr>
          <w:rFonts w:ascii="Times" w:eastAsia="Calibri" w:hAnsi="Times" w:cs="Times New Roman (Cuerpo en alfa"/>
          <w:sz w:val="20"/>
          <w:szCs w:val="24"/>
        </w:rPr>
        <w:t>shows the</w:t>
      </w:r>
      <w:r w:rsidRPr="005D31FC">
        <w:rPr>
          <w:rFonts w:ascii="Times" w:eastAsia="Calibri" w:hAnsi="Times" w:cs="Times New Roman (Cuerpo en alfa"/>
          <w:sz w:val="20"/>
          <w:szCs w:val="24"/>
        </w:rPr>
        <w:t xml:space="preserve"> meteorological resources obtained from the NASA prediction of worldwide energy resources recorded in the software.</w:t>
      </w:r>
    </w:p>
    <w:p w14:paraId="2B5AE0C9" w14:textId="77777777" w:rsidR="001D0A46" w:rsidRPr="005D31FC" w:rsidRDefault="001D0A46" w:rsidP="008B2ABA">
      <w:pPr>
        <w:snapToGrid w:val="0"/>
        <w:spacing w:after="160"/>
        <w:ind w:firstLine="720"/>
        <w:jc w:val="both"/>
        <w:rPr>
          <w:rFonts w:ascii="Times" w:eastAsia="Calibri" w:hAnsi="Times" w:cs="Times New Roman (Cuerpo en alfa"/>
          <w:sz w:val="20"/>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11F84" w:rsidRPr="005D31FC" w14:paraId="3E05DCB9" w14:textId="77777777" w:rsidTr="00A0578C">
        <w:tc>
          <w:tcPr>
            <w:tcW w:w="4675" w:type="dxa"/>
          </w:tcPr>
          <w:p w14:paraId="76D9B166" w14:textId="230DBD8F" w:rsidR="00A0578C" w:rsidRPr="005D31FC" w:rsidRDefault="00A0578C" w:rsidP="00A0578C">
            <w:pPr>
              <w:snapToGrid w:val="0"/>
              <w:spacing w:after="160"/>
              <w:jc w:val="both"/>
              <w:rPr>
                <w:rFonts w:ascii="Times" w:eastAsia="Calibri" w:hAnsi="Times" w:cs="Times New Roman (Cuerpo en alfa"/>
                <w:sz w:val="20"/>
                <w:szCs w:val="24"/>
              </w:rPr>
            </w:pPr>
            <w:r w:rsidRPr="005D31FC">
              <w:rPr>
                <w:noProof/>
                <w:lang w:val="fr-FR" w:eastAsia="fr-FR"/>
              </w:rPr>
              <w:drawing>
                <wp:inline distT="0" distB="0" distL="0" distR="0" wp14:anchorId="612DCB53" wp14:editId="031FE9C8">
                  <wp:extent cx="2768600" cy="2152650"/>
                  <wp:effectExtent l="0" t="0" r="12700" b="0"/>
                  <wp:docPr id="1143235776" name="Graphique 1">
                    <a:extLst xmlns:a="http://schemas.openxmlformats.org/drawingml/2006/main">
                      <a:ext uri="{FF2B5EF4-FFF2-40B4-BE49-F238E27FC236}">
                        <a16:creationId xmlns:a16="http://schemas.microsoft.com/office/drawing/2014/main" id="{42111272-8890-570D-7988-6581C9E950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675" w:type="dxa"/>
          </w:tcPr>
          <w:p w14:paraId="18779117" w14:textId="7DBBF3F9" w:rsidR="00A0578C" w:rsidRPr="005D31FC" w:rsidRDefault="00A0578C" w:rsidP="00A0578C">
            <w:pPr>
              <w:snapToGrid w:val="0"/>
              <w:spacing w:after="160"/>
              <w:jc w:val="both"/>
              <w:rPr>
                <w:rFonts w:ascii="Times" w:eastAsia="Calibri" w:hAnsi="Times" w:cs="Times New Roman (Cuerpo en alfa"/>
                <w:sz w:val="20"/>
                <w:szCs w:val="24"/>
              </w:rPr>
            </w:pPr>
            <w:r w:rsidRPr="005D31FC">
              <w:rPr>
                <w:noProof/>
                <w:lang w:val="fr-FR" w:eastAsia="fr-FR"/>
              </w:rPr>
              <w:drawing>
                <wp:inline distT="0" distB="0" distL="0" distR="0" wp14:anchorId="2E8B9BA2" wp14:editId="52F036C4">
                  <wp:extent cx="2724150" cy="2152650"/>
                  <wp:effectExtent l="0" t="0" r="0" b="0"/>
                  <wp:docPr id="1" name="Graphique 1">
                    <a:extLst xmlns:a="http://schemas.openxmlformats.org/drawingml/2006/main">
                      <a:ext uri="{FF2B5EF4-FFF2-40B4-BE49-F238E27FC236}">
                        <a16:creationId xmlns:a16="http://schemas.microsoft.com/office/drawing/2014/main" id="{B6A6E7EA-2156-A56D-0F6C-EB60374F33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811F84" w:rsidRPr="005D31FC" w14:paraId="0DE91C88" w14:textId="77777777" w:rsidTr="00A0578C">
        <w:tc>
          <w:tcPr>
            <w:tcW w:w="4675" w:type="dxa"/>
          </w:tcPr>
          <w:p w14:paraId="01F175FC" w14:textId="14C6EFF0" w:rsidR="00A0578C" w:rsidRPr="005D31FC" w:rsidRDefault="00A0578C" w:rsidP="00A0578C">
            <w:pPr>
              <w:pStyle w:val="FigureCaption"/>
              <w:rPr>
                <w:rFonts w:ascii="Times" w:eastAsia="Calibri" w:hAnsi="Times" w:cs="Times New Roman (Cuerpo en alfa"/>
                <w:sz w:val="20"/>
                <w:szCs w:val="24"/>
              </w:rPr>
            </w:pPr>
            <w:r w:rsidRPr="005D31FC">
              <w:t>(a)</w:t>
            </w:r>
          </w:p>
        </w:tc>
        <w:tc>
          <w:tcPr>
            <w:tcW w:w="4675" w:type="dxa"/>
          </w:tcPr>
          <w:p w14:paraId="2747F0AE" w14:textId="7764E32C" w:rsidR="00A0578C" w:rsidRPr="005D31FC" w:rsidRDefault="00A0578C" w:rsidP="00A0578C">
            <w:pPr>
              <w:snapToGrid w:val="0"/>
              <w:spacing w:after="160"/>
              <w:jc w:val="center"/>
              <w:rPr>
                <w:rFonts w:ascii="Times" w:eastAsia="Calibri" w:hAnsi="Times" w:cs="Times New Roman (Cuerpo en alfa"/>
                <w:sz w:val="18"/>
                <w:szCs w:val="18"/>
              </w:rPr>
            </w:pPr>
            <w:r w:rsidRPr="005D31FC">
              <w:rPr>
                <w:rFonts w:ascii="Times" w:eastAsia="Calibri" w:hAnsi="Times" w:cs="Times New Roman (Cuerpo en alfa"/>
                <w:sz w:val="18"/>
                <w:szCs w:val="18"/>
              </w:rPr>
              <w:t>(</w:t>
            </w:r>
            <w:r w:rsidRPr="005D31FC">
              <w:rPr>
                <w:sz w:val="18"/>
                <w:szCs w:val="18"/>
              </w:rPr>
              <w:t>b)</w:t>
            </w:r>
          </w:p>
        </w:tc>
      </w:tr>
    </w:tbl>
    <w:p w14:paraId="227745FC" w14:textId="77777777" w:rsidR="00A0578C" w:rsidRPr="005D31FC" w:rsidRDefault="00A0578C" w:rsidP="00A0578C">
      <w:pPr>
        <w:snapToGrid w:val="0"/>
        <w:spacing w:after="160"/>
        <w:ind w:firstLine="113"/>
        <w:jc w:val="both"/>
        <w:rPr>
          <w:rFonts w:ascii="Times" w:eastAsia="Calibri" w:hAnsi="Times" w:cs="Times New Roman (Cuerpo en alfa"/>
          <w:sz w:val="20"/>
          <w:szCs w:val="24"/>
        </w:rPr>
      </w:pPr>
    </w:p>
    <w:p w14:paraId="52AE21F6" w14:textId="583D9AAA" w:rsidR="00E43525" w:rsidRPr="005D31FC" w:rsidRDefault="008146A4" w:rsidP="00674F10">
      <w:pPr>
        <w:pStyle w:val="FigureCaption"/>
      </w:pPr>
      <w:r w:rsidRPr="005D31FC">
        <w:rPr>
          <w:b/>
          <w:caps/>
        </w:rPr>
        <w:lastRenderedPageBreak/>
        <w:t>Figure 1.</w:t>
      </w:r>
      <w:r w:rsidRPr="005D31FC">
        <w:rPr>
          <w:sz w:val="22"/>
          <w:szCs w:val="24"/>
        </w:rPr>
        <w:t xml:space="preserve"> </w:t>
      </w:r>
      <w:r w:rsidR="00C80EC8" w:rsidRPr="005D31FC">
        <w:t>Meteorological resources of the Moroccan city (a): solar radiation; (b): daily temperature</w:t>
      </w:r>
      <w:r w:rsidR="004D293C" w:rsidRPr="005D31FC">
        <w:t xml:space="preserve"> for the year of 2024</w:t>
      </w:r>
    </w:p>
    <w:p w14:paraId="4EDB1F65" w14:textId="24E2C7FA" w:rsidR="00C80EC8" w:rsidRPr="005D31FC" w:rsidRDefault="00C80EC8" w:rsidP="00C80EC8">
      <w:pPr>
        <w:pStyle w:val="Titre2"/>
      </w:pPr>
      <w:r w:rsidRPr="005D31FC">
        <w:t>System Components Modeling</w:t>
      </w:r>
    </w:p>
    <w:p w14:paraId="15B0040E" w14:textId="21ACFA2C" w:rsidR="00C80EC8" w:rsidRPr="005D31FC" w:rsidRDefault="00C80EC8" w:rsidP="00DC497F">
      <w:pPr>
        <w:pStyle w:val="Titre3"/>
        <w:rPr>
          <w:lang w:val="en-US"/>
        </w:rPr>
      </w:pPr>
      <w:r w:rsidRPr="005D31FC">
        <w:rPr>
          <w:lang w:val="en-US"/>
        </w:rPr>
        <w:t xml:space="preserve">Electricity </w:t>
      </w:r>
      <w:r w:rsidR="002B2667" w:rsidRPr="005D31FC">
        <w:rPr>
          <w:lang w:val="en-US"/>
        </w:rPr>
        <w:t>U</w:t>
      </w:r>
      <w:r w:rsidRPr="005D31FC">
        <w:rPr>
          <w:lang w:val="en-US"/>
        </w:rPr>
        <w:t xml:space="preserve">tility </w:t>
      </w:r>
      <w:r w:rsidR="002B2667" w:rsidRPr="005D31FC">
        <w:rPr>
          <w:lang w:val="en-US"/>
        </w:rPr>
        <w:t>B</w:t>
      </w:r>
      <w:r w:rsidRPr="005D31FC">
        <w:rPr>
          <w:lang w:val="en-US"/>
        </w:rPr>
        <w:t>illing</w:t>
      </w:r>
    </w:p>
    <w:p w14:paraId="1E30BD4E" w14:textId="6FB815DE" w:rsidR="00C80EC8" w:rsidRPr="005D31FC" w:rsidRDefault="00DC497F" w:rsidP="00883EAB">
      <w:pPr>
        <w:pStyle w:val="Paragraph"/>
      </w:pPr>
      <w:r w:rsidRPr="005D31FC">
        <w:t>In Morocco, three types of hours are defined during the day</w:t>
      </w:r>
      <w:r w:rsidR="00883EAB" w:rsidRPr="005D31FC">
        <w:t>:</w:t>
      </w:r>
      <w:r w:rsidRPr="005D31FC">
        <w:t xml:space="preserve"> peak, normal, and off-peak Hours, which can impact monthly electricity costs. The Energy Consumption Charge (ECC) is calculated by multiplying the price of electricity </w:t>
      </w:r>
      <w:proofErr w:type="spellStart"/>
      <w:r w:rsidRPr="005D31FC">
        <w:t>EPi</w:t>
      </w:r>
      <w:proofErr w:type="spellEnd"/>
      <w:r w:rsidRPr="005D31FC">
        <w:t xml:space="preserve"> by the quantity consumed </w:t>
      </w:r>
      <w:proofErr w:type="spellStart"/>
      <w:r w:rsidRPr="005D31FC">
        <w:t>ECi</w:t>
      </w:r>
      <w:proofErr w:type="spellEnd"/>
      <w:r w:rsidRPr="005D31FC">
        <w:t xml:space="preserve">, using the following equation </w:t>
      </w:r>
      <w:r w:rsidRPr="005D31FC">
        <w:fldChar w:fldCharType="begin"/>
      </w:r>
      <w:r w:rsidR="006B3A0E" w:rsidRPr="005D31FC">
        <w:instrText xml:space="preserve"> ADDIN ZOTERO_ITEM CSL_CITATION {"citationID":"QGOQEj9U","properties":{"formattedCitation":"[28]","plainCitation":"[28]","dontUpdate":true,"noteIndex":0},"citationItems":[{"id":"G6sP9rta/LxjFxzl9","uris":["http://zotero.org/users/9202029/items/QXJYM4U5"],"itemData":{"id":22,"type":"article-journal","abstract":"Presently, the industrial sector is responsible for 21% of energy consumption in Morocco. Fully aware about the challenge of reducing energy consumption and related CO2 emissions by industries, Moroccan authorities have legislated under the new law (n° 47-09 related to energy efficiency) the obligation of energy audit in Moroccan industries. In such a context, this paper is a Level II energy audit (conforming to ASHRAE classification) performed for an industrial site based in Fez (Morocco) specialized in producing and commercializing cattle feed. A detailed analysis of the characteristics of the energy use has identified a mismanagement of the electrical energy. Through the improvement of the DPF (displacement power factor) to a value of 0.98, it was shown that the factory can save about 52758.74 US$ annually. An improvement of energy efficiency of the interior lighting was also performed. The proposed action concerned the voltage regulation and has the potential of reducing 13.6% of the lighting energy consumption with the mitigation of approximately 27 533 of CO2/year. Furthermore, harmonic treatment by installing passive filters for VSD (variable speed drives) was carried out. The energy savings related to the harmonic treatment were evaluated to be 26 760 kWh/year.","container-title":"Energy","DOI":"10.1016/j.energy.2016.02.035","ISSN":"0360-5442","journalAbbreviation":"Energy","page":"332-342","source":"ScienceDirect","title":"Auditing and analysis of energy consumption of an industrial site in Morocco","volume":"101","author":[{"family":"Boharb","given":"A."},{"family":"Allouhi","given":"A."},{"family":"Saidur","given":"R."},{"family":"Kousksou","given":"T."},{"family":"Jamil","given":"A."},{"family":"Mourad","given":"Y."},{"family":"Benbassou","given":"A."}],"issued":{"date-parts":[["2016",4,15]]}}}],"schema":"https://github.com/citation-style-language/schema/raw/master/csl-citation.json"} </w:instrText>
      </w:r>
      <w:r w:rsidRPr="005D31FC">
        <w:fldChar w:fldCharType="separate"/>
      </w:r>
      <w:r w:rsidRPr="005D31FC">
        <w:t>(1) [26]</w:t>
      </w:r>
      <w:r w:rsidRPr="005D31FC">
        <w:fldChar w:fldCharType="end"/>
      </w:r>
      <w:r w:rsidR="001D04FC" w:rsidRPr="005D31FC">
        <w:t xml:space="preserve"> :</w:t>
      </w:r>
    </w:p>
    <w:p w14:paraId="1425A820" w14:textId="696570C8" w:rsidR="001D04FC" w:rsidRPr="005D31FC" w:rsidRDefault="001D04FC" w:rsidP="001D04FC">
      <w:pPr>
        <w:pStyle w:val="Equation"/>
        <w:rPr>
          <w:rFonts w:asciiTheme="majorBidi" w:hAnsiTheme="majorBidi" w:cstheme="majorBidi"/>
        </w:rPr>
      </w:pPr>
      <m:oMathPara>
        <m:oMath>
          <m:r>
            <w:rPr>
              <w:rFonts w:ascii="Cambria Math" w:hAnsi="Cambria Math" w:cstheme="majorBidi"/>
            </w:rPr>
            <m:t>ECC</m:t>
          </m:r>
          <m:r>
            <m:rPr>
              <m:sty m:val="p"/>
            </m:rPr>
            <w:rPr>
              <w:rFonts w:ascii="Cambria Math" w:hAnsi="Cambria Math" w:cstheme="majorBidi"/>
            </w:rPr>
            <m:t>=</m:t>
          </m:r>
          <m:nary>
            <m:naryPr>
              <m:chr m:val="∑"/>
              <m:limLoc m:val="undOvr"/>
              <m:supHide m:val="1"/>
              <m:ctrlPr>
                <w:rPr>
                  <w:rFonts w:ascii="Cambria Math" w:hAnsi="Cambria Math" w:cstheme="majorBidi"/>
                </w:rPr>
              </m:ctrlPr>
            </m:naryPr>
            <m:sub>
              <m:r>
                <w:rPr>
                  <w:rFonts w:ascii="Cambria Math" w:hAnsi="Cambria Math" w:cstheme="majorBidi"/>
                </w:rPr>
                <m:t>i</m:t>
              </m:r>
            </m:sub>
            <m:sup/>
            <m:e>
              <m:r>
                <w:rPr>
                  <w:rFonts w:ascii="Cambria Math" w:hAnsi="Cambria Math" w:cstheme="majorBidi"/>
                </w:rPr>
                <m:t>Epi</m:t>
              </m:r>
              <m:r>
                <m:rPr>
                  <m:sty m:val="p"/>
                </m:rPr>
                <w:rPr>
                  <w:rFonts w:ascii="Cambria Math" w:hAnsi="Cambria Math" w:cstheme="majorBidi"/>
                </w:rPr>
                <m:t>×</m:t>
              </m:r>
              <m:r>
                <w:rPr>
                  <w:rFonts w:ascii="Cambria Math" w:hAnsi="Cambria Math" w:cstheme="majorBidi"/>
                </w:rPr>
                <m:t>Eci</m:t>
              </m:r>
            </m:e>
          </m:nary>
          <m:r>
            <m:rPr>
              <m:sty m:val="p"/>
            </m:rPr>
            <w:rPr>
              <w:rFonts w:ascii="Cambria Math" w:hAnsi="Cambria Math" w:cstheme="majorBidi"/>
            </w:rPr>
            <m:t xml:space="preserve">                 </m:t>
          </m:r>
          <m:d>
            <m:dPr>
              <m:ctrlPr>
                <w:rPr>
                  <w:rFonts w:ascii="Cambria Math" w:hAnsi="Cambria Math" w:cstheme="majorBidi"/>
                </w:rPr>
              </m:ctrlPr>
            </m:dPr>
            <m:e>
              <m:r>
                <m:rPr>
                  <m:sty m:val="p"/>
                </m:rPr>
                <w:rPr>
                  <w:rFonts w:ascii="Cambria Math" w:hAnsi="Cambria Math" w:cstheme="majorBidi"/>
                </w:rPr>
                <m:t>1</m:t>
              </m:r>
            </m:e>
          </m:d>
        </m:oMath>
      </m:oMathPara>
    </w:p>
    <w:p w14:paraId="3C35506D" w14:textId="77777777" w:rsidR="00582B58" w:rsidRPr="005D31FC" w:rsidRDefault="00582B58" w:rsidP="00582B58">
      <w:pPr>
        <w:snapToGrid w:val="0"/>
        <w:spacing w:after="160"/>
        <w:jc w:val="both"/>
        <w:rPr>
          <w:rFonts w:ascii="Times" w:eastAsia="Calibri" w:hAnsi="Times" w:cs="Times New Roman (Cuerpo en alfa"/>
          <w:sz w:val="20"/>
          <w:szCs w:val="24"/>
        </w:rPr>
      </w:pPr>
      <w:r w:rsidRPr="005D31FC">
        <w:rPr>
          <w:rFonts w:ascii="Times" w:eastAsia="Calibri" w:hAnsi="Times" w:cs="Times New Roman (Cuerpo en alfa"/>
          <w:sz w:val="20"/>
          <w:szCs w:val="24"/>
        </w:rPr>
        <w:t>Where</w:t>
      </w:r>
    </w:p>
    <w:p w14:paraId="37881B37" w14:textId="2E4AFA59" w:rsidR="00215511" w:rsidRPr="005D31FC" w:rsidRDefault="00582B58" w:rsidP="00D06811">
      <w:pPr>
        <w:snapToGrid w:val="0"/>
        <w:spacing w:after="160"/>
        <w:jc w:val="both"/>
        <w:rPr>
          <w:rFonts w:ascii="Times" w:eastAsia="Calibri" w:hAnsi="Times" w:cs="Times New Roman (Cuerpo en alfa"/>
          <w:sz w:val="20"/>
          <w:szCs w:val="24"/>
        </w:rPr>
      </w:pPr>
      <w:r w:rsidRPr="005D31FC">
        <w:rPr>
          <w:rFonts w:ascii="Times" w:eastAsia="Calibri" w:hAnsi="Times" w:cs="Times New Roman (Cuerpo en alfa"/>
          <w:sz w:val="20"/>
          <w:szCs w:val="24"/>
        </w:rPr>
        <w:t xml:space="preserve">For the period </w:t>
      </w:r>
      <w:proofErr w:type="spellStart"/>
      <w:r w:rsidRPr="005D31FC">
        <w:rPr>
          <w:rFonts w:ascii="Times" w:eastAsia="Calibri" w:hAnsi="Times" w:cs="Times New Roman (Cuerpo en alfa"/>
          <w:sz w:val="20"/>
          <w:szCs w:val="24"/>
        </w:rPr>
        <w:t>i</w:t>
      </w:r>
      <w:proofErr w:type="spellEnd"/>
      <w:r w:rsidRPr="005D31FC">
        <w:rPr>
          <w:rFonts w:ascii="Times" w:eastAsia="Calibri" w:hAnsi="Times" w:cs="Times New Roman (Cuerpo en alfa"/>
          <w:sz w:val="20"/>
          <w:szCs w:val="24"/>
        </w:rPr>
        <w:t xml:space="preserve">, the electricity price and consumption are represented by </w:t>
      </w:r>
      <w:proofErr w:type="spellStart"/>
      <w:r w:rsidRPr="005D31FC">
        <w:rPr>
          <w:rFonts w:ascii="Times" w:eastAsia="Calibri" w:hAnsi="Times" w:cs="Times New Roman (Cuerpo en alfa"/>
          <w:sz w:val="20"/>
          <w:szCs w:val="24"/>
        </w:rPr>
        <w:t>E</w:t>
      </w:r>
      <w:r w:rsidRPr="005D31FC">
        <w:rPr>
          <w:rFonts w:ascii="Times" w:eastAsia="Calibri" w:hAnsi="Times" w:cs="Times New Roman (Cuerpo en alfa"/>
          <w:sz w:val="20"/>
          <w:szCs w:val="24"/>
          <w:vertAlign w:val="subscript"/>
        </w:rPr>
        <w:t>Pi</w:t>
      </w:r>
      <w:proofErr w:type="spellEnd"/>
      <w:r w:rsidRPr="005D31FC">
        <w:rPr>
          <w:rFonts w:ascii="Times" w:eastAsia="Calibri" w:hAnsi="Times" w:cs="Times New Roman (Cuerpo en alfa"/>
          <w:sz w:val="20"/>
          <w:szCs w:val="24"/>
        </w:rPr>
        <w:t xml:space="preserve"> and </w:t>
      </w:r>
      <w:proofErr w:type="spellStart"/>
      <w:r w:rsidRPr="005D31FC">
        <w:rPr>
          <w:rFonts w:ascii="Times" w:eastAsia="Calibri" w:hAnsi="Times" w:cs="Times New Roman (Cuerpo en alfa"/>
          <w:sz w:val="20"/>
          <w:szCs w:val="24"/>
        </w:rPr>
        <w:t>E</w:t>
      </w:r>
      <w:r w:rsidRPr="005D31FC">
        <w:rPr>
          <w:rFonts w:ascii="Times" w:eastAsia="Calibri" w:hAnsi="Times" w:cs="Times New Roman (Cuerpo en alfa"/>
          <w:sz w:val="20"/>
          <w:szCs w:val="24"/>
          <w:vertAlign w:val="subscript"/>
        </w:rPr>
        <w:t>Ci</w:t>
      </w:r>
      <w:proofErr w:type="spellEnd"/>
      <w:r w:rsidRPr="005D31FC">
        <w:rPr>
          <w:rFonts w:ascii="Times" w:eastAsia="Calibri" w:hAnsi="Times" w:cs="Times New Roman (Cuerpo en alfa"/>
          <w:sz w:val="20"/>
          <w:szCs w:val="24"/>
        </w:rPr>
        <w:t xml:space="preserve">, respectively. </w:t>
      </w:r>
    </w:p>
    <w:p w14:paraId="1AB3594E" w14:textId="7FD7FD4B" w:rsidR="002A747F" w:rsidRPr="005D31FC" w:rsidRDefault="00215511" w:rsidP="00D1377E">
      <w:pPr>
        <w:snapToGrid w:val="0"/>
        <w:spacing w:after="160"/>
        <w:ind w:firstLine="113"/>
        <w:jc w:val="both"/>
        <w:rPr>
          <w:rFonts w:ascii="Times" w:eastAsia="Calibri" w:hAnsi="Times" w:cs="Times New Roman (Cuerpo en alfa"/>
          <w:sz w:val="20"/>
          <w:szCs w:val="24"/>
        </w:rPr>
      </w:pPr>
      <w:r w:rsidRPr="005D31FC">
        <w:rPr>
          <w:rFonts w:ascii="Times" w:eastAsia="Calibri" w:hAnsi="Times" w:cs="Times New Roman (Cuerpo en alfa"/>
          <w:sz w:val="20"/>
          <w:szCs w:val="24"/>
        </w:rPr>
        <w:t>Table 1</w:t>
      </w:r>
      <w:r w:rsidR="0071793D" w:rsidRPr="005D31FC">
        <w:rPr>
          <w:rFonts w:ascii="Times" w:eastAsia="Calibri" w:hAnsi="Times" w:cs="Times New Roman (Cuerpo en alfa"/>
          <w:sz w:val="20"/>
          <w:szCs w:val="24"/>
        </w:rPr>
        <w:t>.</w:t>
      </w:r>
      <w:r w:rsidRPr="005D31FC">
        <w:rPr>
          <w:rFonts w:ascii="Times" w:eastAsia="Calibri" w:hAnsi="Times" w:cs="Times New Roman (Cuerpo en alfa"/>
          <w:sz w:val="20"/>
          <w:szCs w:val="24"/>
        </w:rPr>
        <w:t xml:space="preserve"> shows the electricity billing scheme as provided by the Moroccan Electricity Utility</w:t>
      </w:r>
      <w:r w:rsidR="00F1733C" w:rsidRPr="005D31FC">
        <w:rPr>
          <w:rFonts w:ascii="Times" w:eastAsia="Calibri" w:hAnsi="Times" w:cs="Times New Roman (Cuerpo en alfa"/>
          <w:sz w:val="20"/>
          <w:szCs w:val="24"/>
        </w:rPr>
        <w:t xml:space="preserve"> from the ONE official site</w:t>
      </w:r>
      <w:r w:rsidR="00F1733C" w:rsidRPr="005D31FC">
        <w:rPr>
          <w:rFonts w:eastAsia="Calibri"/>
        </w:rPr>
        <w:t xml:space="preserve"> </w:t>
      </w:r>
      <w:r w:rsidR="00F1733C" w:rsidRPr="005D31FC">
        <w:rPr>
          <w:rFonts w:eastAsia="Calibri"/>
        </w:rPr>
        <w:fldChar w:fldCharType="begin"/>
      </w:r>
      <w:r w:rsidR="00D1377E" w:rsidRPr="005D31FC">
        <w:rPr>
          <w:rFonts w:eastAsia="Calibri"/>
        </w:rPr>
        <w:instrText xml:space="preserve"> ADDIN ZOTERO_ITEM CSL_CITATION {"citationID":"2bqtZNUE","properties":{"formattedCitation":"[18]","plainCitation":"[18]","noteIndex":0},"citationItems":[{"id":5968,"uris":["http://zotero.org/users/8906591/items/MLPE8VNE"],"itemData":{"id":5968,"type":"webpage","title":"Site web officiel de l'ONEE - Branche Electricité","URL":"https://www.one.org.ma/","accessed":{"date-parts":[["2025",8,7]]}}}],"schema":"https://github.com/citation-style-language/schema/raw/master/csl-citation.json"} </w:instrText>
      </w:r>
      <w:r w:rsidR="00F1733C" w:rsidRPr="005D31FC">
        <w:rPr>
          <w:rFonts w:eastAsia="Calibri"/>
        </w:rPr>
        <w:fldChar w:fldCharType="separate"/>
      </w:r>
      <w:r w:rsidR="00D1377E" w:rsidRPr="005D31FC">
        <w:rPr>
          <w:rFonts w:eastAsia="Calibri"/>
          <w:sz w:val="18"/>
        </w:rPr>
        <w:t>[18]</w:t>
      </w:r>
      <w:r w:rsidR="00F1733C" w:rsidRPr="005D31FC">
        <w:rPr>
          <w:rFonts w:eastAsia="Calibri"/>
        </w:rPr>
        <w:fldChar w:fldCharType="end"/>
      </w:r>
      <w:r w:rsidRPr="005D31FC">
        <w:rPr>
          <w:rFonts w:ascii="Times" w:eastAsia="Calibri" w:hAnsi="Times" w:cs="Times New Roman (Cuerpo en alfa"/>
          <w:sz w:val="20"/>
          <w:szCs w:val="24"/>
        </w:rPr>
        <w:t>.</w:t>
      </w:r>
      <w:r w:rsidR="00F1733C" w:rsidRPr="005D31FC">
        <w:rPr>
          <w:rFonts w:ascii="Times" w:eastAsia="Calibri" w:hAnsi="Times" w:cs="Times New Roman (Cuerpo en alfa"/>
          <w:sz w:val="20"/>
          <w:szCs w:val="24"/>
        </w:rPr>
        <w:t xml:space="preserve"> </w:t>
      </w:r>
    </w:p>
    <w:p w14:paraId="6EF1F533" w14:textId="7AAF6B01" w:rsidR="00674F10" w:rsidRPr="005D31FC" w:rsidRDefault="00674F10" w:rsidP="00D1377E">
      <w:pPr>
        <w:pStyle w:val="TableCaption"/>
        <w:rPr>
          <w:rFonts w:eastAsia="Calibri"/>
        </w:rPr>
      </w:pPr>
      <w:r w:rsidRPr="005D31FC">
        <w:rPr>
          <w:rFonts w:eastAsia="Calibri"/>
          <w:b/>
        </w:rPr>
        <w:t xml:space="preserve">TABLE 1. </w:t>
      </w:r>
      <w:r w:rsidRPr="005D31FC">
        <w:rPr>
          <w:rFonts w:eastAsia="Calibri"/>
        </w:rPr>
        <w:t>Local electricity cost</w:t>
      </w:r>
      <w:r w:rsidR="007D73E9" w:rsidRPr="005D31FC">
        <w:rPr>
          <w:rFonts w:eastAsia="Calibri"/>
        </w:rPr>
        <w:t xml:space="preserve"> </w:t>
      </w:r>
      <w:r w:rsidR="007D73E9" w:rsidRPr="005D31FC">
        <w:rPr>
          <w:rFonts w:eastAsia="Calibri"/>
        </w:rPr>
        <w:fldChar w:fldCharType="begin"/>
      </w:r>
      <w:r w:rsidR="00D1377E" w:rsidRPr="005D31FC">
        <w:rPr>
          <w:rFonts w:eastAsia="Calibri"/>
        </w:rPr>
        <w:instrText xml:space="preserve"> ADDIN ZOTERO_ITEM CSL_CITATION {"citationID":"MwKImxGU","properties":{"formattedCitation":"[18]","plainCitation":"[18]","noteIndex":0},"citationItems":[{"id":5968,"uris":["http://zotero.org/users/8906591/items/MLPE8VNE"],"itemData":{"id":5968,"type":"webpage","title":"Site web officiel de l'ONEE - Branche Electricité","URL":"https://www.one.org.ma/","accessed":{"date-parts":[["2025",8,7]]}}}],"schema":"https://github.com/citation-style-language/schema/raw/master/csl-citation.json"} </w:instrText>
      </w:r>
      <w:r w:rsidR="007D73E9" w:rsidRPr="005D31FC">
        <w:rPr>
          <w:rFonts w:eastAsia="Calibri"/>
        </w:rPr>
        <w:fldChar w:fldCharType="separate"/>
      </w:r>
      <w:r w:rsidR="00D1377E" w:rsidRPr="005D31FC">
        <w:rPr>
          <w:rFonts w:eastAsia="Calibri"/>
        </w:rPr>
        <w:t>[18]</w:t>
      </w:r>
      <w:r w:rsidR="007D73E9" w:rsidRPr="005D31FC">
        <w:rPr>
          <w:rFonts w:eastAsia="Calibri"/>
        </w:rPr>
        <w:fldChar w:fldCharType="end"/>
      </w:r>
    </w:p>
    <w:p w14:paraId="1B02DF6F" w14:textId="77777777" w:rsidR="009347DD" w:rsidRPr="005D31FC" w:rsidRDefault="009347DD" w:rsidP="00674F10">
      <w:pPr>
        <w:pStyle w:val="TableCaption"/>
        <w:rPr>
          <w:rFonts w:eastAsia="Calibri"/>
        </w:rPr>
      </w:pPr>
    </w:p>
    <w:tbl>
      <w:tblPr>
        <w:tblW w:w="10004" w:type="dxa"/>
        <w:jc w:val="center"/>
        <w:tblBorders>
          <w:bottom w:val="single" w:sz="4" w:space="0" w:color="auto"/>
        </w:tblBorders>
        <w:tblLayout w:type="fixed"/>
        <w:tblLook w:val="0000" w:firstRow="0" w:lastRow="0" w:firstColumn="0" w:lastColumn="0" w:noHBand="0" w:noVBand="0"/>
      </w:tblPr>
      <w:tblGrid>
        <w:gridCol w:w="2501"/>
        <w:gridCol w:w="2501"/>
        <w:gridCol w:w="2501"/>
        <w:gridCol w:w="2501"/>
      </w:tblGrid>
      <w:tr w:rsidR="00674F10" w:rsidRPr="005D31FC" w14:paraId="62290282" w14:textId="267553C8" w:rsidTr="00124E7B">
        <w:trPr>
          <w:cantSplit/>
          <w:trHeight w:val="274"/>
          <w:jc w:val="center"/>
        </w:trPr>
        <w:tc>
          <w:tcPr>
            <w:tcW w:w="2501" w:type="dxa"/>
            <w:tcBorders>
              <w:top w:val="single" w:sz="4" w:space="0" w:color="auto"/>
              <w:bottom w:val="single" w:sz="4" w:space="0" w:color="auto"/>
            </w:tcBorders>
            <w:vAlign w:val="center"/>
          </w:tcPr>
          <w:p w14:paraId="44733666" w14:textId="2048FDBF" w:rsidR="00674F10" w:rsidRPr="005D31FC" w:rsidRDefault="00674F10" w:rsidP="00124E7B">
            <w:pPr>
              <w:pStyle w:val="Paragraph"/>
            </w:pPr>
          </w:p>
        </w:tc>
        <w:tc>
          <w:tcPr>
            <w:tcW w:w="2501" w:type="dxa"/>
            <w:tcBorders>
              <w:top w:val="single" w:sz="4" w:space="0" w:color="auto"/>
              <w:bottom w:val="single" w:sz="4" w:space="0" w:color="auto"/>
            </w:tcBorders>
            <w:vAlign w:val="center"/>
          </w:tcPr>
          <w:p w14:paraId="12FACCA9" w14:textId="2AE28198" w:rsidR="00674F10" w:rsidRPr="005D31FC" w:rsidRDefault="00674F10" w:rsidP="00124E7B">
            <w:pPr>
              <w:pStyle w:val="Paragraph"/>
              <w:rPr>
                <w:b/>
                <w:sz w:val="18"/>
                <w:szCs w:val="18"/>
              </w:rPr>
            </w:pPr>
            <w:r w:rsidRPr="005D31FC">
              <w:rPr>
                <w:b/>
                <w:sz w:val="18"/>
                <w:szCs w:val="18"/>
              </w:rPr>
              <w:t>Off-peak Hours</w:t>
            </w:r>
          </w:p>
        </w:tc>
        <w:tc>
          <w:tcPr>
            <w:tcW w:w="2501" w:type="dxa"/>
            <w:tcBorders>
              <w:top w:val="single" w:sz="4" w:space="0" w:color="auto"/>
              <w:bottom w:val="single" w:sz="4" w:space="0" w:color="auto"/>
            </w:tcBorders>
            <w:vAlign w:val="center"/>
          </w:tcPr>
          <w:p w14:paraId="3A8A2E8F" w14:textId="3E2FB0AC" w:rsidR="00674F10" w:rsidRPr="005D31FC" w:rsidRDefault="00674F10" w:rsidP="00124E7B">
            <w:pPr>
              <w:pStyle w:val="Paragraph"/>
              <w:rPr>
                <w:b/>
                <w:sz w:val="18"/>
                <w:szCs w:val="18"/>
              </w:rPr>
            </w:pPr>
            <w:r w:rsidRPr="005D31FC">
              <w:rPr>
                <w:b/>
                <w:sz w:val="18"/>
                <w:szCs w:val="18"/>
              </w:rPr>
              <w:t>Normal Hours</w:t>
            </w:r>
          </w:p>
        </w:tc>
        <w:tc>
          <w:tcPr>
            <w:tcW w:w="2501" w:type="dxa"/>
            <w:tcBorders>
              <w:top w:val="single" w:sz="4" w:space="0" w:color="auto"/>
              <w:bottom w:val="single" w:sz="4" w:space="0" w:color="auto"/>
            </w:tcBorders>
          </w:tcPr>
          <w:p w14:paraId="7E1BDC92" w14:textId="56D5D5F9" w:rsidR="00674F10" w:rsidRPr="005D31FC" w:rsidRDefault="00674F10" w:rsidP="00124E7B">
            <w:pPr>
              <w:pStyle w:val="Paragraph"/>
              <w:rPr>
                <w:b/>
                <w:sz w:val="18"/>
                <w:szCs w:val="18"/>
              </w:rPr>
            </w:pPr>
            <w:r w:rsidRPr="005D31FC">
              <w:rPr>
                <w:b/>
                <w:sz w:val="18"/>
                <w:szCs w:val="18"/>
              </w:rPr>
              <w:t>Peak Hours</w:t>
            </w:r>
          </w:p>
        </w:tc>
      </w:tr>
      <w:tr w:rsidR="00674F10" w:rsidRPr="005D31FC" w14:paraId="71BCC6DB" w14:textId="0DE9C0BB" w:rsidTr="00124E7B">
        <w:trPr>
          <w:cantSplit/>
          <w:trHeight w:val="232"/>
          <w:jc w:val="center"/>
        </w:trPr>
        <w:tc>
          <w:tcPr>
            <w:tcW w:w="2501" w:type="dxa"/>
            <w:tcBorders>
              <w:top w:val="nil"/>
            </w:tcBorders>
          </w:tcPr>
          <w:p w14:paraId="5A5217E8" w14:textId="1C880B35" w:rsidR="00674F10" w:rsidRPr="005D31FC" w:rsidRDefault="00674F10" w:rsidP="00124E7B">
            <w:pPr>
              <w:pStyle w:val="Paragraph"/>
            </w:pPr>
            <w:r w:rsidRPr="005D31FC">
              <w:t>Electricity Price (€/kWh)</w:t>
            </w:r>
          </w:p>
        </w:tc>
        <w:tc>
          <w:tcPr>
            <w:tcW w:w="2501" w:type="dxa"/>
          </w:tcPr>
          <w:p w14:paraId="1A6C0197" w14:textId="7D8361A6" w:rsidR="00674F10" w:rsidRPr="005D31FC" w:rsidRDefault="00674F10" w:rsidP="00124E7B">
            <w:pPr>
              <w:pStyle w:val="Paragraph"/>
            </w:pPr>
            <w:r w:rsidRPr="005D31FC">
              <w:t>0.069</w:t>
            </w:r>
          </w:p>
        </w:tc>
        <w:tc>
          <w:tcPr>
            <w:tcW w:w="2501" w:type="dxa"/>
          </w:tcPr>
          <w:p w14:paraId="3C85BD52" w14:textId="024E3147" w:rsidR="00674F10" w:rsidRPr="005D31FC" w:rsidRDefault="00674F10" w:rsidP="00124E7B">
            <w:pPr>
              <w:pStyle w:val="Paragraph"/>
            </w:pPr>
            <w:r w:rsidRPr="005D31FC">
              <w:t>0.094</w:t>
            </w:r>
          </w:p>
        </w:tc>
        <w:tc>
          <w:tcPr>
            <w:tcW w:w="2501" w:type="dxa"/>
          </w:tcPr>
          <w:p w14:paraId="5B938ACB" w14:textId="0CC5125D" w:rsidR="00674F10" w:rsidRPr="005D31FC" w:rsidRDefault="00674F10" w:rsidP="00124E7B">
            <w:pPr>
              <w:pStyle w:val="Paragraph"/>
            </w:pPr>
            <w:r w:rsidRPr="005D31FC">
              <w:t>0.13</w:t>
            </w:r>
          </w:p>
        </w:tc>
      </w:tr>
    </w:tbl>
    <w:p w14:paraId="287F955B" w14:textId="77777777" w:rsidR="00D15431" w:rsidRPr="005D31FC" w:rsidRDefault="00D15431" w:rsidP="00D15431">
      <w:pPr>
        <w:snapToGrid w:val="0"/>
        <w:spacing w:after="160"/>
        <w:rPr>
          <w:rFonts w:ascii="Times" w:eastAsia="Calibri" w:hAnsi="Times" w:cs="Times New Roman (Cuerpo en alfa"/>
          <w:sz w:val="20"/>
          <w:szCs w:val="24"/>
        </w:rPr>
      </w:pPr>
    </w:p>
    <w:p w14:paraId="1A987DE4" w14:textId="5F4D8726" w:rsidR="00156FBA" w:rsidRPr="005D31FC" w:rsidRDefault="00156FBA" w:rsidP="00156FBA">
      <w:pPr>
        <w:pStyle w:val="Titre2"/>
      </w:pPr>
      <w:r w:rsidRPr="005D31FC">
        <w:t xml:space="preserve">The Simulation Software </w:t>
      </w:r>
    </w:p>
    <w:p w14:paraId="25BC2CCD" w14:textId="64BF27CA" w:rsidR="00156FBA" w:rsidRPr="005D31FC" w:rsidRDefault="00156FBA" w:rsidP="00E7717F">
      <w:pPr>
        <w:pStyle w:val="Text"/>
        <w:ind w:firstLine="720"/>
      </w:pPr>
      <w:r w:rsidRPr="005D31FC">
        <w:t xml:space="preserve">The simulation software used in this case study is Homer. It is a modeling program that allows renewable energy systems to be optimized through the application of particular algorithms. The software identifies various design scenarios that could address the load requirement based on these variables.  Along with the most efficient system, the economic impact of each system is shown. The load needs, meteorological input data, and system components make up the input data. </w:t>
      </w:r>
      <w:r w:rsidR="00DF788C" w:rsidRPr="005D31FC">
        <w:t xml:space="preserve"> The simulation is done for a home charging station with a life time ranging betwe</w:t>
      </w:r>
      <w:r w:rsidR="002C1059" w:rsidRPr="005D31FC">
        <w:t xml:space="preserve">en 20 and 25 years. The costs for each component is provided in the following section, including the initial cost, replacement cost, and the operating and maintenance costs (O&amp;M). </w:t>
      </w:r>
    </w:p>
    <w:p w14:paraId="4E2E48F3" w14:textId="7F1DDF37" w:rsidR="00ED695A" w:rsidRPr="005D31FC" w:rsidRDefault="00B9188D" w:rsidP="00B9188D">
      <w:pPr>
        <w:pStyle w:val="Titre1"/>
      </w:pPr>
      <w:r w:rsidRPr="005D31FC">
        <w:t>THE ECONOMIC AND TECHNICAL CHARACTERISTICS OF THE SYSTEM’S COMPONENTS</w:t>
      </w:r>
    </w:p>
    <w:p w14:paraId="4075F541" w14:textId="22AF1579" w:rsidR="00B52C90" w:rsidRPr="005D31FC" w:rsidRDefault="00183A50" w:rsidP="00D336BD">
      <w:pPr>
        <w:pStyle w:val="Text"/>
        <w:ind w:firstLine="720"/>
      </w:pPr>
      <w:r w:rsidRPr="005D31FC">
        <w:t>The component selection is accomplished by ref</w:t>
      </w:r>
      <w:r w:rsidR="00C461FC" w:rsidRPr="005D31FC">
        <w:t xml:space="preserve">erring to the software database according to </w:t>
      </w:r>
      <w:r w:rsidRPr="005D31FC">
        <w:t>the load demand. The system is set to be constituted of a solar PV generator, power converter, utility grid, and battery as illustrated in Fig.2.</w:t>
      </w:r>
    </w:p>
    <w:p w14:paraId="731F04D5" w14:textId="4858858E" w:rsidR="00A96F1F" w:rsidRPr="005D31FC" w:rsidRDefault="00156FBA" w:rsidP="00A96F1F">
      <w:pPr>
        <w:pStyle w:val="Text"/>
        <w:ind w:firstLine="113"/>
        <w:jc w:val="center"/>
      </w:pPr>
      <w:r w:rsidRPr="005D31FC">
        <w:rPr>
          <w:rFonts w:asciiTheme="majorBidi" w:hAnsiTheme="majorBidi" w:cstheme="majorBidi"/>
          <w:noProof/>
          <w:sz w:val="24"/>
          <w:lang w:val="fr-FR" w:eastAsia="fr-FR"/>
        </w:rPr>
        <w:drawing>
          <wp:inline distT="0" distB="0" distL="0" distR="0" wp14:anchorId="07086158" wp14:editId="0C063A3B">
            <wp:extent cx="2746983" cy="1519555"/>
            <wp:effectExtent l="0" t="0" r="0" b="4445"/>
            <wp:docPr id="9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21"/>
                    <pic:cNvPicPr>
                      <a:picLocks noChangeAspect="1"/>
                    </pic:cNvPicPr>
                  </pic:nvPicPr>
                  <pic:blipFill rotWithShape="1">
                    <a:blip r:embed="rId13" cstate="print">
                      <a:biLevel thresh="75000"/>
                      <a:extLst>
                        <a:ext uri="{BEBA8EAE-BF5A-486C-A8C5-ECC9F3942E4B}">
                          <a14:imgProps xmlns:a14="http://schemas.microsoft.com/office/drawing/2010/main">
                            <a14:imgLayer r:embed="rId14">
                              <a14:imgEffect>
                                <a14:colorTemperature colorTemp="7200"/>
                              </a14:imgEffect>
                            </a14:imgLayer>
                          </a14:imgProps>
                        </a:ext>
                        <a:ext uri="{28A0092B-C50C-407E-A947-70E740481C1C}">
                          <a14:useLocalDpi xmlns:a14="http://schemas.microsoft.com/office/drawing/2010/main" val="0"/>
                        </a:ext>
                      </a:extLst>
                    </a:blip>
                    <a:srcRect b="26244"/>
                    <a:stretch/>
                  </pic:blipFill>
                  <pic:spPr>
                    <a:xfrm>
                      <a:off x="0" y="0"/>
                      <a:ext cx="2761261" cy="1527453"/>
                    </a:xfrm>
                    <a:prstGeom prst="rect">
                      <a:avLst/>
                    </a:prstGeom>
                  </pic:spPr>
                </pic:pic>
              </a:graphicData>
            </a:graphic>
          </wp:inline>
        </w:drawing>
      </w:r>
    </w:p>
    <w:p w14:paraId="52EC8B52" w14:textId="5FC6D614" w:rsidR="00B52C90" w:rsidRPr="005D31FC" w:rsidRDefault="00B52C90" w:rsidP="00B52C90">
      <w:pPr>
        <w:pStyle w:val="FigureCaption"/>
      </w:pPr>
      <w:bookmarkStart w:id="0" w:name="_Hlk200811760"/>
      <w:r w:rsidRPr="005D31FC">
        <w:rPr>
          <w:b/>
          <w:caps/>
        </w:rPr>
        <w:t xml:space="preserve">Figure </w:t>
      </w:r>
      <w:r w:rsidR="002A67FF" w:rsidRPr="005D31FC">
        <w:rPr>
          <w:b/>
          <w:caps/>
        </w:rPr>
        <w:t>2</w:t>
      </w:r>
      <w:r w:rsidRPr="005D31FC">
        <w:rPr>
          <w:b/>
          <w:caps/>
        </w:rPr>
        <w:t>.</w:t>
      </w:r>
      <w:r w:rsidRPr="005D31FC">
        <w:t xml:space="preserve">  </w:t>
      </w:r>
      <w:bookmarkEnd w:id="0"/>
      <w:r w:rsidRPr="005D31FC">
        <w:t>System architecture</w:t>
      </w:r>
    </w:p>
    <w:p w14:paraId="4E44A1B1" w14:textId="762FB946" w:rsidR="00B52C90" w:rsidRPr="005D31FC" w:rsidRDefault="00B52C90" w:rsidP="00B52C90">
      <w:pPr>
        <w:pStyle w:val="Titre2"/>
        <w:rPr>
          <w:bCs/>
        </w:rPr>
      </w:pPr>
      <w:r w:rsidRPr="005D31FC">
        <w:lastRenderedPageBreak/>
        <w:t xml:space="preserve">Energy </w:t>
      </w:r>
      <w:r w:rsidR="002A67FF" w:rsidRPr="005D31FC">
        <w:t>G</w:t>
      </w:r>
      <w:r w:rsidRPr="005D31FC">
        <w:t>enerator</w:t>
      </w:r>
      <w:r w:rsidRPr="005D31FC">
        <w:rPr>
          <w:bCs/>
        </w:rPr>
        <w:t xml:space="preserve"> </w:t>
      </w:r>
    </w:p>
    <w:p w14:paraId="1CC602DB" w14:textId="1413787E" w:rsidR="007915A2" w:rsidRPr="005D31FC" w:rsidRDefault="00B52C90" w:rsidP="00DF788C">
      <w:pPr>
        <w:pStyle w:val="Text"/>
        <w:ind w:firstLine="720"/>
      </w:pPr>
      <w:r w:rsidRPr="005D31FC">
        <w:t xml:space="preserve">A generic flat plate PV generator </w:t>
      </w:r>
      <w:r w:rsidR="000C7F4A" w:rsidRPr="005D31FC">
        <w:t xml:space="preserve">is </w:t>
      </w:r>
      <w:r w:rsidRPr="005D31FC">
        <w:t xml:space="preserve">selected as the </w:t>
      </w:r>
      <w:r w:rsidR="000C7F4A" w:rsidRPr="005D31FC">
        <w:t xml:space="preserve">main </w:t>
      </w:r>
      <w:r w:rsidRPr="005D31FC">
        <w:t>source of</w:t>
      </w:r>
      <w:r w:rsidR="000C7F4A" w:rsidRPr="005D31FC">
        <w:t xml:space="preserve"> </w:t>
      </w:r>
      <w:r w:rsidRPr="005D31FC">
        <w:t xml:space="preserve">renewable energy for the system.  The PV generator is connected to the DC bus with a capacity of 5 kW and a </w:t>
      </w:r>
      <w:proofErr w:type="spellStart"/>
      <w:r w:rsidRPr="005D31FC">
        <w:t>derating</w:t>
      </w:r>
      <w:proofErr w:type="spellEnd"/>
      <w:r w:rsidRPr="005D31FC">
        <w:t xml:space="preserve"> factor of 80%</w:t>
      </w:r>
      <w:r w:rsidR="004E4523" w:rsidRPr="005D31FC">
        <w:t>,</w:t>
      </w:r>
      <w:r w:rsidRPr="005D31FC">
        <w:t xml:space="preserve"> with capital a</w:t>
      </w:r>
      <w:r w:rsidR="00B17553" w:rsidRPr="005D31FC">
        <w:t>nd replacement costs of 16100 €</w:t>
      </w:r>
      <w:r w:rsidR="00DF788C" w:rsidRPr="005D31FC">
        <w:t xml:space="preserve"> </w:t>
      </w:r>
      <w:r w:rsidRPr="005D31FC">
        <w:t>and 100 €/ year of the O&amp;M</w:t>
      </w:r>
      <w:r w:rsidR="00DF788C" w:rsidRPr="005D31FC">
        <w:t xml:space="preserve"> cost</w:t>
      </w:r>
      <w:r w:rsidR="0044388F" w:rsidRPr="005D31FC">
        <w:t>.</w:t>
      </w:r>
      <w:r w:rsidR="00D06811" w:rsidRPr="005D31FC">
        <w:t xml:space="preserve"> The costs </w:t>
      </w:r>
      <w:r w:rsidR="00DF788C" w:rsidRPr="005D31FC">
        <w:t xml:space="preserve">provided (for 5kw) </w:t>
      </w:r>
      <w:r w:rsidR="00D06811" w:rsidRPr="005D31FC">
        <w:t>are estimated based on the software data and previous case studies</w:t>
      </w:r>
      <w:r w:rsidR="00D06811" w:rsidRPr="005D31FC">
        <w:fldChar w:fldCharType="begin"/>
      </w:r>
      <w:r w:rsidR="00D06811" w:rsidRPr="005D31FC">
        <w:instrText xml:space="preserve"> ADDIN ZOTERO_ITEM CSL_CITATION {"citationID":"lYlkji8i","properties":{"formattedCitation":"[19]","plainCitation":"[19]","noteIndex":0},"citationItems":[{"id":4755,"uris":["http://zotero.org/users/8906591/items/RWWBB7GG"],"itemData":{"id":4755,"type":"article-journal","abstract":"Coupling energy and transport sectors is critical for optimum utilization of renewable energy. The present work proposes a grid-connected photovoltaic/wind/battery hybrid power system to generate electricity for supermarkets. The supermarkets are located at three geographically distinct cities in Morocco and integrate electric vehicle (EV) charging stations in their parking areas. HOMER grid software is used for the optimal design of the proposed hybrid renewable energy system (HRES) with an accurate utility tariff corresponding to the Moroccan scenario. Dakhla, which is a high windy site, is found to be the best implementation site with maximum renewable energy fraction (REF), minimum COE and operating costs of 71.66%, 0.0841 $/kWh, and 0.124 M$/year, respectively. The optimal grid-connected system consisted of 107 kW p of PV, 300 kW of wind, 12 batteries, and 65 kW capacity inverter for Dakhla site. The next identified best site is Casablanca while Fez remained at third place based on COE and annual operating costs. At all of these sites, the EV charging process is achieved, almost completely, with 7300 charging sessions annually. A series of sensitivity analyses is performed based on supermarket energy intensity, renewable energy availability, and carbon pricing and impact on the viability of HRES was evidenced.","container-title":"Energy Reports","DOI":"10.1016/j.egyr.2023.02.005","ISSN":"2352-4847","journalAbbreviation":"Energy Reports","page":"3305-3318","source":"ScienceDirect","title":"Grid-connected hybrid renewable energy systems for supermarkets with electric vehicle charging platforms: Optimization and sensitivity analyses","title-short":"Grid-connected hybrid renewable energy systems for supermarkets with electric vehicle charging platforms","volume":"9","author":[{"family":"Allouhi","given":"A."},{"family":"Rehman","given":"S."}],"issued":{"date-parts":[["2023",12,1]]}}}],"schema":"https://github.com/citation-style-language/schema/raw/master/csl-citation.json"} </w:instrText>
      </w:r>
      <w:r w:rsidR="00D06811" w:rsidRPr="005D31FC">
        <w:fldChar w:fldCharType="separate"/>
      </w:r>
      <w:r w:rsidR="00D06811" w:rsidRPr="005D31FC">
        <w:rPr>
          <w:rFonts w:cs="Times"/>
        </w:rPr>
        <w:t>[19]</w:t>
      </w:r>
      <w:r w:rsidR="00D06811" w:rsidRPr="005D31FC">
        <w:fldChar w:fldCharType="end"/>
      </w:r>
      <w:r w:rsidR="00D06811" w:rsidRPr="005D31FC">
        <w:t>.</w:t>
      </w:r>
    </w:p>
    <w:p w14:paraId="618DEDB3" w14:textId="00887975" w:rsidR="00110A03" w:rsidRPr="005D31FC" w:rsidRDefault="00110A03" w:rsidP="00110A03">
      <w:pPr>
        <w:pStyle w:val="Titre2"/>
        <w:rPr>
          <w:bCs/>
          <w:szCs w:val="24"/>
        </w:rPr>
      </w:pPr>
      <w:r w:rsidRPr="005D31FC">
        <w:t xml:space="preserve">Selected </w:t>
      </w:r>
      <w:r w:rsidR="002A67FF" w:rsidRPr="005D31FC">
        <w:t>B</w:t>
      </w:r>
      <w:r w:rsidRPr="005D31FC">
        <w:t xml:space="preserve">attery </w:t>
      </w:r>
      <w:r w:rsidR="002A67FF" w:rsidRPr="005D31FC">
        <w:t>S</w:t>
      </w:r>
      <w:r w:rsidRPr="005D31FC">
        <w:t xml:space="preserve">torage </w:t>
      </w:r>
      <w:r w:rsidR="002A67FF" w:rsidRPr="005D31FC">
        <w:t>D</w:t>
      </w:r>
      <w:r w:rsidRPr="005D31FC">
        <w:t>evice</w:t>
      </w:r>
      <w:r w:rsidRPr="005D31FC">
        <w:rPr>
          <w:bCs/>
          <w:szCs w:val="24"/>
        </w:rPr>
        <w:t xml:space="preserve"> </w:t>
      </w:r>
    </w:p>
    <w:p w14:paraId="67224C4B" w14:textId="5B57619D" w:rsidR="00124E7B" w:rsidRPr="005D31FC" w:rsidRDefault="00124E7B" w:rsidP="00334D92">
      <w:pPr>
        <w:snapToGrid w:val="0"/>
        <w:spacing w:after="160"/>
        <w:ind w:firstLine="720"/>
        <w:jc w:val="both"/>
        <w:rPr>
          <w:rFonts w:eastAsia="Calibri"/>
          <w:b/>
          <w:bCs/>
          <w:szCs w:val="24"/>
        </w:rPr>
      </w:pPr>
      <w:r w:rsidRPr="005D31FC">
        <w:rPr>
          <w:rFonts w:ascii="Times" w:eastAsia="Calibri" w:hAnsi="Times" w:cs="Times New Roman (Cuerpo en alfa"/>
          <w:sz w:val="20"/>
          <w:szCs w:val="24"/>
        </w:rPr>
        <w:t>The choice of the type of battery is crucial and affects the performance of the system. Lead-acid batteries are known for their benefits</w:t>
      </w:r>
      <w:r w:rsidR="004E4523" w:rsidRPr="005D31FC">
        <w:rPr>
          <w:rFonts w:ascii="Times" w:eastAsia="Calibri" w:hAnsi="Times" w:cs="Times New Roman (Cuerpo en alfa"/>
          <w:sz w:val="20"/>
          <w:szCs w:val="24"/>
        </w:rPr>
        <w:t>,</w:t>
      </w:r>
      <w:r w:rsidRPr="005D31FC">
        <w:rPr>
          <w:rFonts w:ascii="Times" w:eastAsia="Calibri" w:hAnsi="Times" w:cs="Times New Roman (Cuerpo en alfa"/>
          <w:sz w:val="20"/>
          <w:szCs w:val="24"/>
        </w:rPr>
        <w:t xml:space="preserve"> including low energy costs, discounted payback, and higher power generation due to their extended battery lifetime </w:t>
      </w:r>
      <w:r w:rsidRPr="005D31FC">
        <w:rPr>
          <w:rFonts w:ascii="Times" w:eastAsia="Calibri" w:hAnsi="Times" w:cs="Times New Roman (Cuerpo en alfa"/>
          <w:sz w:val="20"/>
          <w:szCs w:val="24"/>
        </w:rPr>
        <w:fldChar w:fldCharType="begin"/>
      </w:r>
      <w:r w:rsidR="00D1377E" w:rsidRPr="005D31FC">
        <w:rPr>
          <w:rFonts w:ascii="Times" w:eastAsia="Calibri" w:hAnsi="Times" w:cs="Times New Roman (Cuerpo en alfa"/>
          <w:sz w:val="20"/>
          <w:szCs w:val="24"/>
        </w:rPr>
        <w:instrText xml:space="preserve"> ADDIN ZOTERO_ITEM CSL_CITATION {"citationID":"GzdQqHtH","properties":{"formattedCitation":"[20]","plainCitation":"[20]","noteIndex":0},"citationItems":[{"id":5108,"uris":["http://zotero.org/users/8906591/items/6IQ8H53C"],"itemData":{"id":5108,"type":"article-journal","abstract":"This study assesses the viability of employing a hybrid system that combines wind and tidal turbines, connected to a microgrid, to provide electricity to coastal communities that are geographically isolated from the primary power grid. The specific focus of this research is the case study of Stewart Island, where the cost of electricity from a centralized diesel power station is comparatively higher than that of the main grid in New Zealand. While lithium-ion batteries are generally regarded as more reliable and efficient than lead-acid batteries, the analysis conducted indicates that, for the off-grid storage system in Oban, lead-acid batteries are the preferable choice. Multiple off-grid configurations are simulated utilizing the HOMER Pro software. While lithium-ion batteries demonstrate higher charge power and renewable fraction, it is found that lead-acid batteries, with their longer battery life, offer advantages such as reduced fuel consumption, lower cost of electricity, discounted payback, and increased power production. The annual fuel consumption for lead-acid battery is 867 L less compared to the lithium-ion battery. Power generated in this case is 6780 kWh more and COE with lead-acid battery is \\0.213 in compared with lithium-ion of \\0.217. These findings suggest that for the specific context of the Oban off-grid system, lead-acid batteries outperform lithium-ion batteries.","container-title":"Energy Storage","DOI":"10.1002/est2.595","ISSN":"2578-4862","issue":"2","language":"en","license":"© 2024 John Wiley &amp; Sons Ltd.","note":"_eprint: https://onlinelibrary.wiley.com/doi/pdf/10.1002/est2.595","page":"e595","source":"Wiley Online Library","title":"The advantages of lead-acid battery for off-grid design","volume":"6","author":[{"family":"Nasab","given":"Navid Majdi"},{"family":"Yazdanian","given":"Shamzin"}],"issued":{"date-parts":[["2024"]]}}}],"schema":"https://github.com/citation-style-language/schema/raw/master/csl-citation.json"} </w:instrText>
      </w:r>
      <w:r w:rsidRPr="005D31FC">
        <w:rPr>
          <w:rFonts w:ascii="Times" w:eastAsia="Calibri" w:hAnsi="Times" w:cs="Times New Roman (Cuerpo en alfa"/>
          <w:sz w:val="20"/>
          <w:szCs w:val="24"/>
        </w:rPr>
        <w:fldChar w:fldCharType="separate"/>
      </w:r>
      <w:r w:rsidR="00D1377E" w:rsidRPr="005D31FC">
        <w:rPr>
          <w:rFonts w:ascii="Times" w:hAnsi="Times" w:cs="Times"/>
          <w:sz w:val="20"/>
        </w:rPr>
        <w:t>[20]</w:t>
      </w:r>
      <w:r w:rsidRPr="005D31FC">
        <w:rPr>
          <w:rFonts w:ascii="Times" w:eastAsia="Calibri" w:hAnsi="Times" w:cs="Times New Roman (Cuerpo en alfa"/>
          <w:sz w:val="20"/>
          <w:szCs w:val="24"/>
        </w:rPr>
        <w:fldChar w:fldCharType="end"/>
      </w:r>
      <w:r w:rsidRPr="005D31FC">
        <w:rPr>
          <w:rFonts w:ascii="Times" w:eastAsia="Calibri" w:hAnsi="Times" w:cs="Times New Roman (Cuerpo en alfa"/>
          <w:sz w:val="20"/>
          <w:szCs w:val="24"/>
        </w:rPr>
        <w:t xml:space="preserve">. For these reasons, a generic </w:t>
      </w:r>
      <w:r w:rsidR="004E4523" w:rsidRPr="005D31FC">
        <w:rPr>
          <w:rFonts w:ascii="Times" w:eastAsia="Calibri" w:hAnsi="Times" w:cs="Times New Roman (Cuerpo en alfa"/>
          <w:sz w:val="20"/>
          <w:szCs w:val="24"/>
        </w:rPr>
        <w:t>1 kWh</w:t>
      </w:r>
      <w:r w:rsidRPr="005D31FC">
        <w:rPr>
          <w:rFonts w:ascii="Times" w:eastAsia="Calibri" w:hAnsi="Times" w:cs="Times New Roman (Cuerpo en alfa"/>
          <w:sz w:val="20"/>
          <w:szCs w:val="24"/>
        </w:rPr>
        <w:t xml:space="preserve"> Lead Acid is selected as an energy storage device with 10 </w:t>
      </w:r>
      <w:r w:rsidR="004E4523" w:rsidRPr="005D31FC">
        <w:rPr>
          <w:rFonts w:ascii="Times" w:eastAsia="Calibri" w:hAnsi="Times" w:cs="Times New Roman (Cuerpo en alfa"/>
          <w:sz w:val="20"/>
          <w:szCs w:val="24"/>
        </w:rPr>
        <w:t>10-year</w:t>
      </w:r>
      <w:r w:rsidRPr="005D31FC">
        <w:rPr>
          <w:rFonts w:ascii="Times" w:eastAsia="Calibri" w:hAnsi="Times" w:cs="Times New Roman (Cuerpo en alfa"/>
          <w:sz w:val="20"/>
          <w:szCs w:val="24"/>
        </w:rPr>
        <w:t xml:space="preserve"> lifetime, 300 € of capital cost</w:t>
      </w:r>
      <w:r w:rsidR="004E4523" w:rsidRPr="005D31FC">
        <w:rPr>
          <w:rFonts w:ascii="Times" w:eastAsia="Calibri" w:hAnsi="Times" w:cs="Times New Roman (Cuerpo en alfa"/>
          <w:sz w:val="20"/>
          <w:szCs w:val="24"/>
        </w:rPr>
        <w:t>,</w:t>
      </w:r>
      <w:r w:rsidRPr="005D31FC">
        <w:rPr>
          <w:rFonts w:ascii="Times" w:eastAsia="Calibri" w:hAnsi="Times" w:cs="Times New Roman (Cuerpo en alfa"/>
          <w:sz w:val="20"/>
          <w:szCs w:val="24"/>
        </w:rPr>
        <w:t xml:space="preserve"> and 300 € of replacement cost for only one energy storage device.</w:t>
      </w:r>
      <w:r w:rsidR="00A700E0" w:rsidRPr="005D31FC">
        <w:rPr>
          <w:rFonts w:ascii="Times" w:eastAsia="Calibri" w:hAnsi="Times" w:cs="Times New Roman (Cuerpo en alfa"/>
          <w:sz w:val="20"/>
          <w:szCs w:val="24"/>
        </w:rPr>
        <w:t xml:space="preserve"> Additionally, the O&amp;M cost presents 10€/ year.</w:t>
      </w:r>
      <w:r w:rsidR="00427A84" w:rsidRPr="005D31FC">
        <w:rPr>
          <w:rFonts w:ascii="Times" w:eastAsia="Calibri" w:hAnsi="Times" w:cs="Times New Roman (Cuerpo en alfa"/>
          <w:sz w:val="20"/>
          <w:szCs w:val="24"/>
        </w:rPr>
        <w:t xml:space="preserve"> </w:t>
      </w:r>
      <w:r w:rsidR="00A700E0" w:rsidRPr="005D31FC">
        <w:rPr>
          <w:rFonts w:ascii="Times" w:eastAsia="Calibri" w:hAnsi="Times" w:cs="Times New Roman (Cuerpo en alfa"/>
          <w:sz w:val="20"/>
          <w:szCs w:val="24"/>
        </w:rPr>
        <w:t>The</w:t>
      </w:r>
      <w:r w:rsidRPr="005D31FC">
        <w:rPr>
          <w:rFonts w:ascii="Times" w:eastAsia="Calibri" w:hAnsi="Times" w:cs="Times New Roman (Cuerpo en alfa"/>
          <w:sz w:val="20"/>
          <w:szCs w:val="24"/>
        </w:rPr>
        <w:t xml:space="preserve"> output of the battery is 800 kWh; the initial state of charge is 100 %</w:t>
      </w:r>
      <w:r w:rsidR="004E4523" w:rsidRPr="005D31FC">
        <w:rPr>
          <w:rFonts w:ascii="Times" w:eastAsia="Calibri" w:hAnsi="Times" w:cs="Times New Roman (Cuerpo en alfa"/>
          <w:sz w:val="20"/>
          <w:szCs w:val="24"/>
        </w:rPr>
        <w:t>,</w:t>
      </w:r>
      <w:r w:rsidRPr="005D31FC">
        <w:rPr>
          <w:rFonts w:ascii="Times" w:eastAsia="Calibri" w:hAnsi="Times" w:cs="Times New Roman (Cuerpo en alfa"/>
          <w:sz w:val="20"/>
          <w:szCs w:val="24"/>
        </w:rPr>
        <w:t xml:space="preserve"> and the minimum state of charge is 40 %. The number of batteries required for the system is determined by the optimization software. Table</w:t>
      </w:r>
      <w:r w:rsidR="00C23166" w:rsidRPr="005D31FC">
        <w:rPr>
          <w:rFonts w:ascii="Times" w:eastAsia="Calibri" w:hAnsi="Times" w:cs="Times New Roman (Cuerpo en alfa"/>
          <w:sz w:val="20"/>
          <w:szCs w:val="24"/>
        </w:rPr>
        <w:t>.</w:t>
      </w:r>
      <w:r w:rsidRPr="005D31FC">
        <w:rPr>
          <w:rFonts w:ascii="Times" w:eastAsia="Calibri" w:hAnsi="Times" w:cs="Times New Roman (Cuerpo en alfa"/>
          <w:sz w:val="20"/>
          <w:szCs w:val="24"/>
        </w:rPr>
        <w:t xml:space="preserve"> 2 presents the electrical characteristics and cost of the selected battery.</w:t>
      </w:r>
      <w:r w:rsidRPr="005D31FC">
        <w:rPr>
          <w:rFonts w:eastAsia="Calibri"/>
          <w:b/>
          <w:bCs/>
          <w:szCs w:val="24"/>
        </w:rPr>
        <w:t xml:space="preserve"> </w:t>
      </w:r>
    </w:p>
    <w:p w14:paraId="2FEB58F7" w14:textId="05E67AEB" w:rsidR="009347DD" w:rsidRPr="005D31FC" w:rsidRDefault="009347DD" w:rsidP="009347DD">
      <w:pPr>
        <w:pStyle w:val="TableCaption"/>
        <w:rPr>
          <w:rFonts w:eastAsia="Calibri"/>
        </w:rPr>
      </w:pPr>
      <w:r w:rsidRPr="005D31FC">
        <w:rPr>
          <w:rFonts w:eastAsia="Calibri"/>
          <w:b/>
        </w:rPr>
        <w:t xml:space="preserve">TABLE 2. </w:t>
      </w:r>
      <w:r w:rsidRPr="005D31FC">
        <w:rPr>
          <w:rFonts w:eastAsia="Calibri"/>
        </w:rPr>
        <w:t>Technical characteristics of Lead Acid Battery</w:t>
      </w:r>
    </w:p>
    <w:p w14:paraId="01305E0E" w14:textId="77777777" w:rsidR="009347DD" w:rsidRPr="005D31FC" w:rsidRDefault="009347DD" w:rsidP="009347DD">
      <w:pPr>
        <w:pStyle w:val="TableCaption"/>
        <w:rPr>
          <w:rFonts w:eastAsia="Calibri"/>
        </w:rPr>
      </w:pPr>
    </w:p>
    <w:tbl>
      <w:tblPr>
        <w:tblStyle w:val="Tableausimple2"/>
        <w:tblW w:w="4536" w:type="dxa"/>
        <w:jc w:val="center"/>
        <w:tblLayout w:type="fixed"/>
        <w:tblLook w:val="04A0" w:firstRow="1" w:lastRow="0" w:firstColumn="1" w:lastColumn="0" w:noHBand="0" w:noVBand="1"/>
      </w:tblPr>
      <w:tblGrid>
        <w:gridCol w:w="3543"/>
        <w:gridCol w:w="993"/>
      </w:tblGrid>
      <w:tr w:rsidR="00124E7B" w:rsidRPr="005D31FC" w14:paraId="794E3B96" w14:textId="77777777" w:rsidTr="008C3171">
        <w:trPr>
          <w:cnfStyle w:val="100000000000" w:firstRow="1" w:lastRow="0" w:firstColumn="0" w:lastColumn="0" w:oddVBand="0" w:evenVBand="0" w:oddHBand="0"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3543" w:type="dxa"/>
            <w:hideMark/>
          </w:tcPr>
          <w:p w14:paraId="28FF404E" w14:textId="77777777" w:rsidR="00124E7B" w:rsidRPr="005D31FC" w:rsidRDefault="00124E7B" w:rsidP="008C3171">
            <w:pPr>
              <w:rPr>
                <w:bCs w:val="0"/>
                <w:sz w:val="18"/>
                <w:szCs w:val="18"/>
              </w:rPr>
            </w:pPr>
            <w:r w:rsidRPr="005D31FC">
              <w:rPr>
                <w:bCs w:val="0"/>
                <w:sz w:val="18"/>
                <w:szCs w:val="18"/>
              </w:rPr>
              <w:t>Nominal Voltage (V)</w:t>
            </w:r>
          </w:p>
        </w:tc>
        <w:tc>
          <w:tcPr>
            <w:tcW w:w="993" w:type="dxa"/>
            <w:hideMark/>
          </w:tcPr>
          <w:p w14:paraId="6352C4A1" w14:textId="77777777" w:rsidR="00124E7B" w:rsidRPr="005D31FC" w:rsidRDefault="00124E7B" w:rsidP="003A2A8B">
            <w:pPr>
              <w:pStyle w:val="Paragraph"/>
              <w:jc w:val="center"/>
              <w:cnfStyle w:val="100000000000" w:firstRow="1" w:lastRow="0" w:firstColumn="0" w:lastColumn="0" w:oddVBand="0" w:evenVBand="0" w:oddHBand="0" w:evenHBand="0" w:firstRowFirstColumn="0" w:firstRowLastColumn="0" w:lastRowFirstColumn="0" w:lastRowLastColumn="0"/>
              <w:rPr>
                <w:b w:val="0"/>
                <w:bCs w:val="0"/>
              </w:rPr>
            </w:pPr>
            <w:r w:rsidRPr="005D31FC">
              <w:rPr>
                <w:b w:val="0"/>
                <w:bCs w:val="0"/>
              </w:rPr>
              <w:t>12</w:t>
            </w:r>
          </w:p>
        </w:tc>
      </w:tr>
      <w:tr w:rsidR="00124E7B" w:rsidRPr="005D31FC" w14:paraId="2FE81701" w14:textId="77777777" w:rsidTr="008C3171">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3543" w:type="dxa"/>
            <w:hideMark/>
          </w:tcPr>
          <w:p w14:paraId="4950E74C" w14:textId="77777777" w:rsidR="00124E7B" w:rsidRPr="005D31FC" w:rsidRDefault="00124E7B" w:rsidP="008C3171">
            <w:pPr>
              <w:rPr>
                <w:bCs w:val="0"/>
                <w:sz w:val="18"/>
                <w:szCs w:val="18"/>
              </w:rPr>
            </w:pPr>
            <w:r w:rsidRPr="005D31FC">
              <w:rPr>
                <w:bCs w:val="0"/>
                <w:sz w:val="18"/>
                <w:szCs w:val="18"/>
              </w:rPr>
              <w:t>Nominal Capacity (kWh)</w:t>
            </w:r>
          </w:p>
        </w:tc>
        <w:tc>
          <w:tcPr>
            <w:tcW w:w="993" w:type="dxa"/>
            <w:hideMark/>
          </w:tcPr>
          <w:p w14:paraId="3FC6278D" w14:textId="77777777" w:rsidR="00124E7B" w:rsidRPr="005D31FC" w:rsidRDefault="00124E7B" w:rsidP="003A2A8B">
            <w:pPr>
              <w:pStyle w:val="Paragraph"/>
              <w:jc w:val="center"/>
              <w:cnfStyle w:val="000000100000" w:firstRow="0" w:lastRow="0" w:firstColumn="0" w:lastColumn="0" w:oddVBand="0" w:evenVBand="0" w:oddHBand="1" w:evenHBand="0" w:firstRowFirstColumn="0" w:firstRowLastColumn="0" w:lastRowFirstColumn="0" w:lastRowLastColumn="0"/>
            </w:pPr>
            <w:r w:rsidRPr="005D31FC">
              <w:t>1</w:t>
            </w:r>
          </w:p>
        </w:tc>
      </w:tr>
      <w:tr w:rsidR="00124E7B" w:rsidRPr="005D31FC" w14:paraId="2BB78128" w14:textId="77777777" w:rsidTr="008C3171">
        <w:trPr>
          <w:trHeight w:val="285"/>
          <w:jc w:val="center"/>
        </w:trPr>
        <w:tc>
          <w:tcPr>
            <w:cnfStyle w:val="001000000000" w:firstRow="0" w:lastRow="0" w:firstColumn="1" w:lastColumn="0" w:oddVBand="0" w:evenVBand="0" w:oddHBand="0" w:evenHBand="0" w:firstRowFirstColumn="0" w:firstRowLastColumn="0" w:lastRowFirstColumn="0" w:lastRowLastColumn="0"/>
            <w:tcW w:w="3543" w:type="dxa"/>
            <w:hideMark/>
          </w:tcPr>
          <w:p w14:paraId="75C73F7A" w14:textId="77777777" w:rsidR="00124E7B" w:rsidRPr="005D31FC" w:rsidRDefault="00124E7B" w:rsidP="008C3171">
            <w:pPr>
              <w:rPr>
                <w:bCs w:val="0"/>
                <w:sz w:val="18"/>
                <w:szCs w:val="18"/>
              </w:rPr>
            </w:pPr>
            <w:r w:rsidRPr="005D31FC">
              <w:rPr>
                <w:bCs w:val="0"/>
                <w:sz w:val="18"/>
                <w:szCs w:val="18"/>
              </w:rPr>
              <w:t>Maximum Capacity (Ah)</w:t>
            </w:r>
          </w:p>
        </w:tc>
        <w:tc>
          <w:tcPr>
            <w:tcW w:w="993" w:type="dxa"/>
            <w:hideMark/>
          </w:tcPr>
          <w:p w14:paraId="77DB1B69" w14:textId="77777777" w:rsidR="00124E7B" w:rsidRPr="005D31FC" w:rsidRDefault="00124E7B" w:rsidP="003A2A8B">
            <w:pPr>
              <w:pStyle w:val="Paragraph"/>
              <w:jc w:val="center"/>
              <w:cnfStyle w:val="000000000000" w:firstRow="0" w:lastRow="0" w:firstColumn="0" w:lastColumn="0" w:oddVBand="0" w:evenVBand="0" w:oddHBand="0" w:evenHBand="0" w:firstRowFirstColumn="0" w:firstRowLastColumn="0" w:lastRowFirstColumn="0" w:lastRowLastColumn="0"/>
            </w:pPr>
            <w:r w:rsidRPr="005D31FC">
              <w:t>83.4</w:t>
            </w:r>
          </w:p>
        </w:tc>
      </w:tr>
      <w:tr w:rsidR="00124E7B" w:rsidRPr="005D31FC" w14:paraId="49B74AA7" w14:textId="77777777" w:rsidTr="008C3171">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3543" w:type="dxa"/>
            <w:hideMark/>
          </w:tcPr>
          <w:p w14:paraId="39E2B8AB" w14:textId="77777777" w:rsidR="00124E7B" w:rsidRPr="005D31FC" w:rsidRDefault="00124E7B" w:rsidP="008C3171">
            <w:pPr>
              <w:rPr>
                <w:bCs w:val="0"/>
                <w:sz w:val="18"/>
                <w:szCs w:val="18"/>
              </w:rPr>
            </w:pPr>
            <w:r w:rsidRPr="005D31FC">
              <w:rPr>
                <w:bCs w:val="0"/>
                <w:sz w:val="18"/>
                <w:szCs w:val="18"/>
              </w:rPr>
              <w:t xml:space="preserve">Capacity ratio </w:t>
            </w:r>
          </w:p>
        </w:tc>
        <w:tc>
          <w:tcPr>
            <w:tcW w:w="993" w:type="dxa"/>
            <w:hideMark/>
          </w:tcPr>
          <w:p w14:paraId="49D3497E" w14:textId="77777777" w:rsidR="00124E7B" w:rsidRPr="005D31FC" w:rsidRDefault="00124E7B" w:rsidP="003A2A8B">
            <w:pPr>
              <w:pStyle w:val="Paragraph"/>
              <w:jc w:val="center"/>
              <w:cnfStyle w:val="000000100000" w:firstRow="0" w:lastRow="0" w:firstColumn="0" w:lastColumn="0" w:oddVBand="0" w:evenVBand="0" w:oddHBand="1" w:evenHBand="0" w:firstRowFirstColumn="0" w:firstRowLastColumn="0" w:lastRowFirstColumn="0" w:lastRowLastColumn="0"/>
            </w:pPr>
            <w:r w:rsidRPr="005D31FC">
              <w:t>0.403</w:t>
            </w:r>
          </w:p>
        </w:tc>
      </w:tr>
      <w:tr w:rsidR="00124E7B" w:rsidRPr="005D31FC" w14:paraId="489521D6" w14:textId="77777777" w:rsidTr="008C3171">
        <w:trPr>
          <w:trHeight w:val="214"/>
          <w:jc w:val="center"/>
        </w:trPr>
        <w:tc>
          <w:tcPr>
            <w:cnfStyle w:val="001000000000" w:firstRow="0" w:lastRow="0" w:firstColumn="1" w:lastColumn="0" w:oddVBand="0" w:evenVBand="0" w:oddHBand="0" w:evenHBand="0" w:firstRowFirstColumn="0" w:firstRowLastColumn="0" w:lastRowFirstColumn="0" w:lastRowLastColumn="0"/>
            <w:tcW w:w="3543" w:type="dxa"/>
            <w:hideMark/>
          </w:tcPr>
          <w:p w14:paraId="17B7C761" w14:textId="77777777" w:rsidR="00124E7B" w:rsidRPr="005D31FC" w:rsidRDefault="00124E7B" w:rsidP="008C3171">
            <w:pPr>
              <w:rPr>
                <w:bCs w:val="0"/>
                <w:sz w:val="18"/>
                <w:szCs w:val="18"/>
              </w:rPr>
            </w:pPr>
            <w:r w:rsidRPr="005D31FC">
              <w:rPr>
                <w:bCs w:val="0"/>
                <w:sz w:val="18"/>
                <w:szCs w:val="18"/>
              </w:rPr>
              <w:t>Rate Constant (1/</w:t>
            </w:r>
            <w:proofErr w:type="spellStart"/>
            <w:r w:rsidRPr="005D31FC">
              <w:rPr>
                <w:bCs w:val="0"/>
                <w:sz w:val="18"/>
                <w:szCs w:val="18"/>
              </w:rPr>
              <w:t>hr</w:t>
            </w:r>
            <w:proofErr w:type="spellEnd"/>
            <w:r w:rsidRPr="005D31FC">
              <w:rPr>
                <w:bCs w:val="0"/>
                <w:sz w:val="18"/>
                <w:szCs w:val="18"/>
              </w:rPr>
              <w:t>)</w:t>
            </w:r>
          </w:p>
        </w:tc>
        <w:tc>
          <w:tcPr>
            <w:tcW w:w="993" w:type="dxa"/>
            <w:hideMark/>
          </w:tcPr>
          <w:p w14:paraId="00689E7F" w14:textId="77777777" w:rsidR="00124E7B" w:rsidRPr="005D31FC" w:rsidRDefault="00124E7B" w:rsidP="003A2A8B">
            <w:pPr>
              <w:pStyle w:val="Paragraph"/>
              <w:jc w:val="center"/>
              <w:cnfStyle w:val="000000000000" w:firstRow="0" w:lastRow="0" w:firstColumn="0" w:lastColumn="0" w:oddVBand="0" w:evenVBand="0" w:oddHBand="0" w:evenHBand="0" w:firstRowFirstColumn="0" w:firstRowLastColumn="0" w:lastRowFirstColumn="0" w:lastRowLastColumn="0"/>
            </w:pPr>
            <w:r w:rsidRPr="005D31FC">
              <w:t>0.827</w:t>
            </w:r>
          </w:p>
        </w:tc>
      </w:tr>
      <w:tr w:rsidR="00124E7B" w:rsidRPr="005D31FC" w14:paraId="5FCD6371" w14:textId="77777777" w:rsidTr="008C3171">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543" w:type="dxa"/>
            <w:hideMark/>
          </w:tcPr>
          <w:p w14:paraId="1C3FF553" w14:textId="391B0A9E" w:rsidR="00124E7B" w:rsidRPr="005D31FC" w:rsidRDefault="00290BEB" w:rsidP="008C3171">
            <w:pPr>
              <w:rPr>
                <w:bCs w:val="0"/>
                <w:sz w:val="18"/>
                <w:szCs w:val="18"/>
              </w:rPr>
            </w:pPr>
            <w:r w:rsidRPr="005D31FC">
              <w:rPr>
                <w:bCs w:val="0"/>
                <w:sz w:val="18"/>
                <w:szCs w:val="18"/>
              </w:rPr>
              <w:t>Round-trip</w:t>
            </w:r>
            <w:r w:rsidR="00124E7B" w:rsidRPr="005D31FC">
              <w:rPr>
                <w:bCs w:val="0"/>
                <w:sz w:val="18"/>
                <w:szCs w:val="18"/>
              </w:rPr>
              <w:t xml:space="preserve"> efficiency (%)</w:t>
            </w:r>
          </w:p>
        </w:tc>
        <w:tc>
          <w:tcPr>
            <w:tcW w:w="993" w:type="dxa"/>
            <w:hideMark/>
          </w:tcPr>
          <w:p w14:paraId="5CB32633" w14:textId="77777777" w:rsidR="00124E7B" w:rsidRPr="005D31FC" w:rsidRDefault="00124E7B" w:rsidP="003A2A8B">
            <w:pPr>
              <w:pStyle w:val="Paragraph"/>
              <w:jc w:val="center"/>
              <w:cnfStyle w:val="000000100000" w:firstRow="0" w:lastRow="0" w:firstColumn="0" w:lastColumn="0" w:oddVBand="0" w:evenVBand="0" w:oddHBand="1" w:evenHBand="0" w:firstRowFirstColumn="0" w:firstRowLastColumn="0" w:lastRowFirstColumn="0" w:lastRowLastColumn="0"/>
            </w:pPr>
            <w:r w:rsidRPr="005D31FC">
              <w:t>80</w:t>
            </w:r>
          </w:p>
        </w:tc>
      </w:tr>
      <w:tr w:rsidR="00124E7B" w:rsidRPr="005D31FC" w14:paraId="6A23A7E3" w14:textId="77777777" w:rsidTr="008C3171">
        <w:trPr>
          <w:trHeight w:val="357"/>
          <w:jc w:val="center"/>
        </w:trPr>
        <w:tc>
          <w:tcPr>
            <w:cnfStyle w:val="001000000000" w:firstRow="0" w:lastRow="0" w:firstColumn="1" w:lastColumn="0" w:oddVBand="0" w:evenVBand="0" w:oddHBand="0" w:evenHBand="0" w:firstRowFirstColumn="0" w:firstRowLastColumn="0" w:lastRowFirstColumn="0" w:lastRowLastColumn="0"/>
            <w:tcW w:w="3543" w:type="dxa"/>
            <w:hideMark/>
          </w:tcPr>
          <w:p w14:paraId="656CDBFC" w14:textId="77777777" w:rsidR="00124E7B" w:rsidRPr="005D31FC" w:rsidRDefault="00124E7B" w:rsidP="008C3171">
            <w:pPr>
              <w:rPr>
                <w:bCs w:val="0"/>
                <w:sz w:val="18"/>
                <w:szCs w:val="18"/>
              </w:rPr>
            </w:pPr>
            <w:r w:rsidRPr="005D31FC">
              <w:rPr>
                <w:bCs w:val="0"/>
                <w:sz w:val="18"/>
                <w:szCs w:val="18"/>
              </w:rPr>
              <w:t xml:space="preserve">Maximum Charge Current (A) </w:t>
            </w:r>
          </w:p>
        </w:tc>
        <w:tc>
          <w:tcPr>
            <w:tcW w:w="993" w:type="dxa"/>
            <w:hideMark/>
          </w:tcPr>
          <w:p w14:paraId="1C404F01" w14:textId="77777777" w:rsidR="00124E7B" w:rsidRPr="005D31FC" w:rsidRDefault="00124E7B" w:rsidP="003A2A8B">
            <w:pPr>
              <w:pStyle w:val="Paragraph"/>
              <w:jc w:val="center"/>
              <w:cnfStyle w:val="000000000000" w:firstRow="0" w:lastRow="0" w:firstColumn="0" w:lastColumn="0" w:oddVBand="0" w:evenVBand="0" w:oddHBand="0" w:evenHBand="0" w:firstRowFirstColumn="0" w:firstRowLastColumn="0" w:lastRowFirstColumn="0" w:lastRowLastColumn="0"/>
            </w:pPr>
            <w:r w:rsidRPr="005D31FC">
              <w:t>16.7</w:t>
            </w:r>
          </w:p>
        </w:tc>
      </w:tr>
      <w:tr w:rsidR="00124E7B" w:rsidRPr="005D31FC" w14:paraId="7EB90D25" w14:textId="77777777" w:rsidTr="008C3171">
        <w:trPr>
          <w:cnfStyle w:val="000000100000" w:firstRow="0" w:lastRow="0" w:firstColumn="0" w:lastColumn="0" w:oddVBand="0" w:evenVBand="0" w:oddHBand="1"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3543" w:type="dxa"/>
            <w:hideMark/>
          </w:tcPr>
          <w:p w14:paraId="74EC9716" w14:textId="77777777" w:rsidR="00124E7B" w:rsidRPr="005D31FC" w:rsidRDefault="00124E7B" w:rsidP="008C3171">
            <w:pPr>
              <w:rPr>
                <w:bCs w:val="0"/>
                <w:sz w:val="18"/>
                <w:szCs w:val="18"/>
              </w:rPr>
            </w:pPr>
            <w:r w:rsidRPr="005D31FC">
              <w:rPr>
                <w:bCs w:val="0"/>
                <w:sz w:val="18"/>
                <w:szCs w:val="18"/>
              </w:rPr>
              <w:t>Maximum Discharge Rate (A)</w:t>
            </w:r>
          </w:p>
        </w:tc>
        <w:tc>
          <w:tcPr>
            <w:tcW w:w="993" w:type="dxa"/>
            <w:hideMark/>
          </w:tcPr>
          <w:p w14:paraId="336D2F37" w14:textId="77777777" w:rsidR="00124E7B" w:rsidRPr="005D31FC" w:rsidRDefault="00124E7B" w:rsidP="003A2A8B">
            <w:pPr>
              <w:pStyle w:val="Paragraph"/>
              <w:jc w:val="center"/>
              <w:cnfStyle w:val="000000100000" w:firstRow="0" w:lastRow="0" w:firstColumn="0" w:lastColumn="0" w:oddVBand="0" w:evenVBand="0" w:oddHBand="1" w:evenHBand="0" w:firstRowFirstColumn="0" w:firstRowLastColumn="0" w:lastRowFirstColumn="0" w:lastRowLastColumn="0"/>
            </w:pPr>
            <w:r w:rsidRPr="005D31FC">
              <w:t>243</w:t>
            </w:r>
          </w:p>
        </w:tc>
      </w:tr>
      <w:tr w:rsidR="00124E7B" w:rsidRPr="005D31FC" w14:paraId="024ED127" w14:textId="77777777" w:rsidTr="008C3171">
        <w:trPr>
          <w:trHeight w:val="357"/>
          <w:jc w:val="center"/>
        </w:trPr>
        <w:tc>
          <w:tcPr>
            <w:cnfStyle w:val="001000000000" w:firstRow="0" w:lastRow="0" w:firstColumn="1" w:lastColumn="0" w:oddVBand="0" w:evenVBand="0" w:oddHBand="0" w:evenHBand="0" w:firstRowFirstColumn="0" w:firstRowLastColumn="0" w:lastRowFirstColumn="0" w:lastRowLastColumn="0"/>
            <w:tcW w:w="3543" w:type="dxa"/>
            <w:hideMark/>
          </w:tcPr>
          <w:p w14:paraId="1C3A3F2D" w14:textId="77777777" w:rsidR="00124E7B" w:rsidRPr="005D31FC" w:rsidRDefault="00124E7B" w:rsidP="008C3171">
            <w:pPr>
              <w:rPr>
                <w:bCs w:val="0"/>
                <w:sz w:val="18"/>
                <w:szCs w:val="18"/>
              </w:rPr>
            </w:pPr>
            <w:r w:rsidRPr="005D31FC">
              <w:rPr>
                <w:bCs w:val="0"/>
                <w:sz w:val="18"/>
                <w:szCs w:val="18"/>
              </w:rPr>
              <w:t>Maximum Charge Rate (A/Ah)</w:t>
            </w:r>
          </w:p>
        </w:tc>
        <w:tc>
          <w:tcPr>
            <w:tcW w:w="993" w:type="dxa"/>
            <w:hideMark/>
          </w:tcPr>
          <w:p w14:paraId="01966935" w14:textId="77777777" w:rsidR="00124E7B" w:rsidRPr="005D31FC" w:rsidRDefault="00124E7B" w:rsidP="003A2A8B">
            <w:pPr>
              <w:pStyle w:val="Paragraph"/>
              <w:jc w:val="center"/>
              <w:cnfStyle w:val="000000000000" w:firstRow="0" w:lastRow="0" w:firstColumn="0" w:lastColumn="0" w:oddVBand="0" w:evenVBand="0" w:oddHBand="0" w:evenHBand="0" w:firstRowFirstColumn="0" w:firstRowLastColumn="0" w:lastRowFirstColumn="0" w:lastRowLastColumn="0"/>
            </w:pPr>
            <w:r w:rsidRPr="005D31FC">
              <w:t>1</w:t>
            </w:r>
          </w:p>
        </w:tc>
      </w:tr>
    </w:tbl>
    <w:p w14:paraId="662F494F" w14:textId="5741780A" w:rsidR="002A67FF" w:rsidRPr="005D31FC" w:rsidRDefault="002A67FF" w:rsidP="002A67FF">
      <w:pPr>
        <w:pStyle w:val="Titre2"/>
      </w:pPr>
      <w:r w:rsidRPr="005D31FC">
        <w:t>Selected Power Inverter</w:t>
      </w:r>
    </w:p>
    <w:p w14:paraId="3F1C578E" w14:textId="77777777" w:rsidR="002A67FF" w:rsidRPr="005D31FC" w:rsidRDefault="002A67FF" w:rsidP="00D336BD">
      <w:pPr>
        <w:pStyle w:val="Paragraph"/>
        <w:ind w:firstLine="720"/>
        <w:rPr>
          <w:rFonts w:eastAsia="Calibri"/>
        </w:rPr>
      </w:pPr>
      <w:r w:rsidRPr="005D31FC">
        <w:rPr>
          <w:rFonts w:eastAsia="Calibri"/>
        </w:rPr>
        <w:t xml:space="preserve">The selected inverter is introduced as an interface and power conversion device in the system with a capital cost of 300 € and a replacement cost of 300 € for a power capacity of 1 kW. Its lifetime and efficiency are 15 years and 95% respectively. The sizing of the required inverters is done based on the software tool. </w:t>
      </w:r>
    </w:p>
    <w:p w14:paraId="3D57C617" w14:textId="5CA81C46" w:rsidR="002A67FF" w:rsidRPr="005D31FC" w:rsidRDefault="002A67FF" w:rsidP="002A67FF">
      <w:pPr>
        <w:pStyle w:val="Titre2"/>
      </w:pPr>
      <w:r w:rsidRPr="005D31FC">
        <w:t>Residential Area Load</w:t>
      </w:r>
    </w:p>
    <w:p w14:paraId="7FA4D314" w14:textId="212934E0" w:rsidR="00C55818" w:rsidRPr="005D31FC" w:rsidRDefault="002A67FF" w:rsidP="007915A2">
      <w:pPr>
        <w:snapToGrid w:val="0"/>
        <w:spacing w:after="160"/>
        <w:ind w:firstLine="720"/>
        <w:jc w:val="both"/>
        <w:rPr>
          <w:rFonts w:ascii="Times" w:eastAsia="Calibri" w:hAnsi="Times" w:cs="Times New Roman (Cuerpo en alfa"/>
          <w:sz w:val="20"/>
          <w:szCs w:val="24"/>
        </w:rPr>
      </w:pPr>
      <w:r w:rsidRPr="005D31FC">
        <w:rPr>
          <w:rFonts w:ascii="Times" w:eastAsia="Calibri" w:hAnsi="Times" w:cs="Times New Roman (Cuerpo en alfa"/>
          <w:sz w:val="20"/>
          <w:szCs w:val="24"/>
        </w:rPr>
        <w:t>The load is a multifamily residential charging station (level 2, on-demand). Its charger output power is set to be 12 kW with four chargers</w:t>
      </w:r>
      <w:r w:rsidR="00322055" w:rsidRPr="005D31FC">
        <w:rPr>
          <w:rFonts w:ascii="Times" w:eastAsia="Calibri" w:hAnsi="Times" w:cs="Times New Roman (Cuerpo en alfa"/>
          <w:sz w:val="20"/>
          <w:szCs w:val="24"/>
        </w:rPr>
        <w:t>,</w:t>
      </w:r>
      <w:r w:rsidRPr="005D31FC">
        <w:rPr>
          <w:rFonts w:ascii="Times" w:eastAsia="Calibri" w:hAnsi="Times" w:cs="Times New Roman (Cuerpo en alfa"/>
          <w:sz w:val="20"/>
          <w:szCs w:val="24"/>
        </w:rPr>
        <w:t xml:space="preserve"> and its scaled average sessions per day is 5. </w:t>
      </w:r>
    </w:p>
    <w:p w14:paraId="0DA2535B" w14:textId="5471BDBB" w:rsidR="002A67FF" w:rsidRPr="005D31FC" w:rsidRDefault="002A67FF" w:rsidP="002A67FF">
      <w:pPr>
        <w:pStyle w:val="Titre1"/>
      </w:pPr>
      <w:r w:rsidRPr="005D31FC">
        <w:t xml:space="preserve">FEASIBILITY STUDY OF FOUR PROPOSED EV POWERING SYSTEMS </w:t>
      </w:r>
    </w:p>
    <w:p w14:paraId="1C0E2A5C" w14:textId="0B5F59F5" w:rsidR="00D32FBC" w:rsidRPr="005D31FC" w:rsidRDefault="002A67FF" w:rsidP="00DA43CF">
      <w:pPr>
        <w:snapToGrid w:val="0"/>
        <w:spacing w:after="160"/>
        <w:ind w:firstLine="720"/>
        <w:jc w:val="both"/>
        <w:rPr>
          <w:rFonts w:ascii="Times" w:eastAsia="Calibri" w:hAnsi="Times" w:cs="Times New Roman (Cuerpo en alfa"/>
          <w:sz w:val="20"/>
          <w:szCs w:val="24"/>
        </w:rPr>
      </w:pPr>
      <w:r w:rsidRPr="005D31FC">
        <w:rPr>
          <w:rFonts w:ascii="Times" w:eastAsia="Calibri" w:hAnsi="Times" w:cs="Times New Roman (Cuerpo en alfa"/>
          <w:sz w:val="20"/>
          <w:szCs w:val="24"/>
        </w:rPr>
        <w:t>The purpose of this study is to investigate the feasibility of powering electrical vehicles in households through</w:t>
      </w:r>
      <w:r w:rsidR="00F02053" w:rsidRPr="005D31FC">
        <w:rPr>
          <w:rFonts w:ascii="Times" w:eastAsia="Calibri" w:hAnsi="Times" w:cs="Times New Roman (Cuerpo en alfa"/>
          <w:sz w:val="20"/>
          <w:szCs w:val="24"/>
        </w:rPr>
        <w:t xml:space="preserve"> renewable energy sources. The simulation</w:t>
      </w:r>
      <w:r w:rsidRPr="005D31FC">
        <w:rPr>
          <w:rFonts w:ascii="Times" w:eastAsia="Calibri" w:hAnsi="Times" w:cs="Times New Roman (Cuerpo en alfa"/>
          <w:sz w:val="20"/>
          <w:szCs w:val="24"/>
        </w:rPr>
        <w:t xml:space="preserve"> results prove the viability of implementing four system designs distributed as follows: The first system a</w:t>
      </w:r>
      <w:r w:rsidR="00B229F8" w:rsidRPr="005D31FC">
        <w:rPr>
          <w:rFonts w:ascii="Times" w:eastAsia="Calibri" w:hAnsi="Times" w:cs="Times New Roman (Cuerpo en alfa"/>
          <w:sz w:val="20"/>
          <w:szCs w:val="24"/>
        </w:rPr>
        <w:t xml:space="preserve">rchitecture is totally </w:t>
      </w:r>
      <w:r w:rsidR="008A50BB" w:rsidRPr="005D31FC">
        <w:rPr>
          <w:rFonts w:ascii="Times" w:eastAsia="Calibri" w:hAnsi="Times" w:cs="Times New Roman (Cuerpo en alfa"/>
          <w:sz w:val="20"/>
          <w:szCs w:val="24"/>
        </w:rPr>
        <w:t>dependent</w:t>
      </w:r>
      <w:r w:rsidR="00B229F8" w:rsidRPr="005D31FC">
        <w:rPr>
          <w:rFonts w:ascii="Times" w:eastAsia="Calibri" w:hAnsi="Times" w:cs="Times New Roman (Cuerpo en alfa"/>
          <w:sz w:val="20"/>
          <w:szCs w:val="24"/>
        </w:rPr>
        <w:t xml:space="preserve"> </w:t>
      </w:r>
      <w:r w:rsidRPr="005D31FC">
        <w:rPr>
          <w:rFonts w:ascii="Times" w:eastAsia="Calibri" w:hAnsi="Times" w:cs="Times New Roman (Cuerpo en alfa"/>
          <w:sz w:val="20"/>
          <w:szCs w:val="24"/>
        </w:rPr>
        <w:t>on the electrical utility grid</w:t>
      </w:r>
      <w:r w:rsidR="00F02053" w:rsidRPr="005D31FC">
        <w:rPr>
          <w:rFonts w:ascii="Times" w:eastAsia="Calibri" w:hAnsi="Times" w:cs="Times New Roman (Cuerpo en alfa"/>
          <w:sz w:val="20"/>
          <w:szCs w:val="24"/>
        </w:rPr>
        <w:t>,</w:t>
      </w:r>
      <w:r w:rsidRPr="005D31FC">
        <w:rPr>
          <w:rFonts w:ascii="Times" w:eastAsia="Calibri" w:hAnsi="Times" w:cs="Times New Roman (Cuerpo en alfa"/>
          <w:sz w:val="20"/>
          <w:szCs w:val="24"/>
        </w:rPr>
        <w:t xml:space="preserve"> while the second system is composed of a PV generator, power converter, and utility grid. The third system structural design of energy production is made up of a utility grid, </w:t>
      </w:r>
      <w:r w:rsidR="007C1E39" w:rsidRPr="005D31FC">
        <w:rPr>
          <w:rFonts w:ascii="Times" w:eastAsia="Calibri" w:hAnsi="Times" w:cs="Times New Roman (Cuerpo en alfa"/>
          <w:sz w:val="20"/>
          <w:szCs w:val="24"/>
        </w:rPr>
        <w:t xml:space="preserve">a </w:t>
      </w:r>
      <w:r w:rsidRPr="005D31FC">
        <w:rPr>
          <w:rFonts w:ascii="Times" w:eastAsia="Calibri" w:hAnsi="Times" w:cs="Times New Roman (Cuerpo en alfa"/>
          <w:sz w:val="20"/>
          <w:szCs w:val="24"/>
        </w:rPr>
        <w:t xml:space="preserve">battery, and </w:t>
      </w:r>
      <w:r w:rsidR="001700AA" w:rsidRPr="005D31FC">
        <w:rPr>
          <w:rFonts w:ascii="Times" w:eastAsia="Calibri" w:hAnsi="Times" w:cs="Times New Roman (Cuerpo en alfa"/>
          <w:sz w:val="20"/>
          <w:szCs w:val="24"/>
        </w:rPr>
        <w:t xml:space="preserve">a </w:t>
      </w:r>
      <w:r w:rsidRPr="005D31FC">
        <w:rPr>
          <w:rFonts w:ascii="Times" w:eastAsia="Calibri" w:hAnsi="Times" w:cs="Times New Roman (Cuerpo en alfa"/>
          <w:sz w:val="20"/>
          <w:szCs w:val="24"/>
        </w:rPr>
        <w:t xml:space="preserve">power converter. Finally, the fourth system architecture combines the PV generator, the utility grid, the battery, and the power converter. </w:t>
      </w:r>
      <w:r w:rsidR="002935E3" w:rsidRPr="005D31FC">
        <w:rPr>
          <w:rFonts w:ascii="Times" w:eastAsia="Calibri" w:hAnsi="Times" w:cs="Times New Roman (Cuerpo en alfa"/>
          <w:sz w:val="20"/>
          <w:szCs w:val="24"/>
        </w:rPr>
        <w:t xml:space="preserve"> The elimination of systems that fully rely on PV and battery is for the reason that it is not very optimal in terms of cost and space, since the charging station is meant to be implemented in homes for individual users, where the load ranges between 50 kW </w:t>
      </w:r>
      <w:proofErr w:type="gramStart"/>
      <w:r w:rsidR="002935E3" w:rsidRPr="005D31FC">
        <w:rPr>
          <w:rFonts w:ascii="Times" w:eastAsia="Calibri" w:hAnsi="Times" w:cs="Times New Roman (Cuerpo en alfa"/>
          <w:sz w:val="20"/>
          <w:szCs w:val="24"/>
        </w:rPr>
        <w:t>and  30</w:t>
      </w:r>
      <w:proofErr w:type="gramEnd"/>
      <w:r w:rsidR="002935E3" w:rsidRPr="005D31FC">
        <w:rPr>
          <w:rFonts w:ascii="Times" w:eastAsia="Calibri" w:hAnsi="Times" w:cs="Times New Roman (Cuerpo en alfa"/>
          <w:sz w:val="20"/>
          <w:szCs w:val="24"/>
        </w:rPr>
        <w:t xml:space="preserve"> </w:t>
      </w:r>
      <w:r w:rsidR="004A688C" w:rsidRPr="005D31FC">
        <w:rPr>
          <w:rFonts w:ascii="Times" w:eastAsia="Calibri" w:hAnsi="Times" w:cs="Times New Roman (Cuerpo en alfa"/>
          <w:sz w:val="20"/>
          <w:szCs w:val="24"/>
        </w:rPr>
        <w:t>kW.</w:t>
      </w:r>
      <w:r w:rsidR="005178D2" w:rsidRPr="005D31FC">
        <w:rPr>
          <w:rFonts w:ascii="Times" w:eastAsia="Calibri" w:hAnsi="Times" w:cs="Times New Roman (Cuerpo en alfa"/>
          <w:sz w:val="20"/>
          <w:szCs w:val="24"/>
        </w:rPr>
        <w:t xml:space="preserve"> Additionally, opting for a home charging station for EV individual users justifies the reliance on the utility grid and the small size of PV generators in the proposed systems. </w:t>
      </w:r>
      <w:r w:rsidR="00D32FBC" w:rsidRPr="005D31FC">
        <w:rPr>
          <w:rFonts w:ascii="Times" w:eastAsia="Calibri" w:hAnsi="Times" w:cs="Times New Roman (Cuerpo en alfa"/>
          <w:sz w:val="20"/>
          <w:szCs w:val="24"/>
        </w:rPr>
        <w:t xml:space="preserve"> In order to keep electric vehicle charging stations running </w:t>
      </w:r>
      <w:r w:rsidR="00DF788C" w:rsidRPr="005D31FC">
        <w:rPr>
          <w:rFonts w:ascii="Times" w:eastAsia="Calibri" w:hAnsi="Times" w:cs="Times New Roman (Cuerpo en alfa"/>
          <w:sz w:val="20"/>
          <w:szCs w:val="24"/>
        </w:rPr>
        <w:t xml:space="preserve">whenever necessary in </w:t>
      </w:r>
      <w:r w:rsidR="00DF788C" w:rsidRPr="005D31FC">
        <w:rPr>
          <w:rFonts w:ascii="Times" w:eastAsia="Calibri" w:hAnsi="Times" w:cs="Times New Roman (Cuerpo en alfa"/>
          <w:sz w:val="20"/>
          <w:szCs w:val="24"/>
        </w:rPr>
        <w:lastRenderedPageBreak/>
        <w:t xml:space="preserve">case </w:t>
      </w:r>
      <w:r w:rsidR="00D32FBC" w:rsidRPr="005D31FC">
        <w:rPr>
          <w:rFonts w:ascii="Times" w:eastAsia="Calibri" w:hAnsi="Times" w:cs="Times New Roman (Cuerpo en alfa"/>
          <w:sz w:val="20"/>
          <w:szCs w:val="24"/>
        </w:rPr>
        <w:t xml:space="preserve">of an electrical blackout, batteries serve </w:t>
      </w:r>
      <w:r w:rsidR="00DF788C" w:rsidRPr="005D31FC">
        <w:rPr>
          <w:rFonts w:ascii="Times" w:eastAsia="Calibri" w:hAnsi="Times" w:cs="Times New Roman (Cuerpo en alfa"/>
          <w:sz w:val="20"/>
          <w:szCs w:val="24"/>
        </w:rPr>
        <w:t>as a temporary storage solution, which justifies the combination of the grid and battery in one system.</w:t>
      </w:r>
    </w:p>
    <w:p w14:paraId="54F74507" w14:textId="403067E2" w:rsidR="002A67FF" w:rsidRPr="005D31FC" w:rsidRDefault="00B660A9" w:rsidP="00382BE4">
      <w:pPr>
        <w:pStyle w:val="Titre2"/>
      </w:pPr>
      <w:r w:rsidRPr="005D31FC">
        <w:t>First</w:t>
      </w:r>
      <w:r w:rsidR="002A67FF" w:rsidRPr="005D31FC">
        <w:t xml:space="preserve"> EV Powering System Finding </w:t>
      </w:r>
    </w:p>
    <w:p w14:paraId="4B234E80" w14:textId="69F7F0ED" w:rsidR="00F4671A" w:rsidRPr="005D31FC" w:rsidRDefault="002A67FF" w:rsidP="00AF1F95">
      <w:pPr>
        <w:snapToGrid w:val="0"/>
        <w:spacing w:after="160"/>
        <w:ind w:firstLine="720"/>
        <w:jc w:val="both"/>
        <w:rPr>
          <w:rFonts w:ascii="Times" w:eastAsia="Calibri" w:hAnsi="Times" w:cs="Times New Roman (Cuerpo en alfa"/>
          <w:sz w:val="20"/>
          <w:szCs w:val="24"/>
        </w:rPr>
      </w:pPr>
      <w:r w:rsidRPr="005D31FC">
        <w:rPr>
          <w:rFonts w:ascii="Times" w:eastAsia="Calibri" w:hAnsi="Times" w:cs="Times New Roman (Cuerpo en alfa"/>
          <w:sz w:val="20"/>
          <w:szCs w:val="24"/>
        </w:rPr>
        <w:t>In this system architecture, the electrical utility grid represents the only source used to charge the electrical vehicle (EV). The grid purchases production reaches 89884 kwh/</w:t>
      </w:r>
      <w:proofErr w:type="spellStart"/>
      <w:r w:rsidRPr="005D31FC">
        <w:rPr>
          <w:rFonts w:ascii="Times" w:eastAsia="Calibri" w:hAnsi="Times" w:cs="Times New Roman (Cuerpo en alfa"/>
          <w:sz w:val="20"/>
          <w:szCs w:val="24"/>
        </w:rPr>
        <w:t>yr</w:t>
      </w:r>
      <w:proofErr w:type="spellEnd"/>
      <w:r w:rsidR="00AF1F95" w:rsidRPr="005D31FC">
        <w:rPr>
          <w:rFonts w:ascii="Times" w:eastAsia="Calibri" w:hAnsi="Times" w:cs="Times New Roman (Cuerpo en alfa"/>
          <w:sz w:val="20"/>
          <w:szCs w:val="24"/>
        </w:rPr>
        <w:t>,</w:t>
      </w:r>
      <w:r w:rsidR="00D671B0" w:rsidRPr="005D31FC">
        <w:rPr>
          <w:rFonts w:ascii="Times" w:eastAsia="Calibri" w:hAnsi="Times" w:cs="Times New Roman (Cuerpo en alfa"/>
          <w:sz w:val="20"/>
          <w:szCs w:val="24"/>
        </w:rPr>
        <w:t xml:space="preserve"> which is </w:t>
      </w:r>
      <w:r w:rsidRPr="005D31FC">
        <w:rPr>
          <w:rFonts w:ascii="Times" w:eastAsia="Calibri" w:hAnsi="Times" w:cs="Times New Roman (Cuerpo en alfa"/>
          <w:sz w:val="20"/>
          <w:szCs w:val="24"/>
        </w:rPr>
        <w:t>the total energy served to the EV charger. The Fig. 3 illustrates the monthly electric production during the year</w:t>
      </w:r>
      <w:r w:rsidR="002935E3" w:rsidRPr="005D31FC">
        <w:rPr>
          <w:rFonts w:ascii="Times" w:eastAsia="Calibri" w:hAnsi="Times" w:cs="Times New Roman (Cuerpo en alfa"/>
          <w:sz w:val="20"/>
          <w:szCs w:val="24"/>
        </w:rPr>
        <w:t>,</w:t>
      </w:r>
      <w:r w:rsidRPr="005D31FC">
        <w:rPr>
          <w:rFonts w:ascii="Times" w:eastAsia="Calibri" w:hAnsi="Times" w:cs="Times New Roman (Cuerpo en alfa"/>
          <w:sz w:val="20"/>
          <w:szCs w:val="24"/>
        </w:rPr>
        <w:t xml:space="preserve"> with an average value equal to </w:t>
      </w:r>
      <w:r w:rsidR="00AF1F95" w:rsidRPr="005D31FC">
        <w:rPr>
          <w:rFonts w:ascii="Times" w:eastAsia="Calibri" w:hAnsi="Times" w:cs="Times New Roman (Cuerpo en alfa"/>
          <w:sz w:val="20"/>
          <w:szCs w:val="24"/>
        </w:rPr>
        <w:t>6 MWh</w:t>
      </w:r>
      <w:r w:rsidRPr="005D31FC">
        <w:rPr>
          <w:rFonts w:ascii="Times" w:eastAsia="Calibri" w:hAnsi="Times" w:cs="Times New Roman (Cuerpo en alfa"/>
          <w:sz w:val="20"/>
          <w:szCs w:val="24"/>
        </w:rPr>
        <w:t xml:space="preserve">. </w:t>
      </w:r>
    </w:p>
    <w:tbl>
      <w:tblPr>
        <w:tblStyle w:val="Grilledutableau"/>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106"/>
      </w:tblGrid>
      <w:tr w:rsidR="00CC59E6" w:rsidRPr="005D31FC" w14:paraId="49AAABA2" w14:textId="77777777" w:rsidTr="00B945E1">
        <w:tc>
          <w:tcPr>
            <w:tcW w:w="4675" w:type="dxa"/>
          </w:tcPr>
          <w:p w14:paraId="2B570FEA" w14:textId="77777777" w:rsidR="00CC59E6" w:rsidRPr="005D31FC" w:rsidRDefault="00CC59E6" w:rsidP="00CC59E6">
            <w:pPr>
              <w:snapToGrid w:val="0"/>
              <w:spacing w:after="160"/>
              <w:jc w:val="center"/>
              <w:rPr>
                <w:rFonts w:ascii="Times" w:eastAsia="Calibri" w:hAnsi="Times" w:cs="Times New Roman (Cuerpo en alfa"/>
                <w:sz w:val="20"/>
                <w:szCs w:val="24"/>
              </w:rPr>
            </w:pPr>
            <w:r w:rsidRPr="005D31FC">
              <w:rPr>
                <w:rFonts w:ascii="Times" w:eastAsia="Calibri" w:hAnsi="Times" w:cs="Times New Roman (Cuerpo en alfa"/>
                <w:noProof/>
                <w:sz w:val="20"/>
                <w:szCs w:val="24"/>
                <w:lang w:val="fr-FR" w:eastAsia="fr-FR"/>
              </w:rPr>
              <w:drawing>
                <wp:inline distT="0" distB="0" distL="0" distR="0" wp14:anchorId="749D44E4" wp14:editId="31F0434D">
                  <wp:extent cx="2774950" cy="2508250"/>
                  <wp:effectExtent l="0" t="0" r="6350" b="6350"/>
                  <wp:docPr id="878557435" name="Graphique 1">
                    <a:extLst xmlns:a="http://schemas.openxmlformats.org/drawingml/2006/main">
                      <a:ext uri="{FF2B5EF4-FFF2-40B4-BE49-F238E27FC236}">
                        <a16:creationId xmlns:a16="http://schemas.microsoft.com/office/drawing/2014/main" id="{80F176DB-D07C-5A7E-0F2A-AD8EDC7DE9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424FF6" w14:textId="195470DE" w:rsidR="00CC59E6" w:rsidRPr="005D31FC" w:rsidRDefault="00CC59E6" w:rsidP="00CC59E6">
            <w:pPr>
              <w:pStyle w:val="FigureCaption"/>
              <w:rPr>
                <w:rFonts w:eastAsia="Calibri"/>
              </w:rPr>
            </w:pPr>
            <w:r w:rsidRPr="005D31FC">
              <w:rPr>
                <w:b/>
                <w:caps/>
              </w:rPr>
              <w:t>Figure 3.</w:t>
            </w:r>
            <w:r w:rsidRPr="005D31FC">
              <w:t xml:space="preserve">  </w:t>
            </w:r>
            <w:r w:rsidRPr="005D31FC">
              <w:rPr>
                <w:rFonts w:eastAsia="Calibri"/>
              </w:rPr>
              <w:t xml:space="preserve">Monthly electric energy produced by </w:t>
            </w:r>
            <w:r w:rsidR="00B40B4F" w:rsidRPr="005D31FC">
              <w:rPr>
                <w:rFonts w:eastAsia="Calibri"/>
              </w:rPr>
              <w:t xml:space="preserve">the </w:t>
            </w:r>
            <w:r w:rsidRPr="005D31FC">
              <w:rPr>
                <w:rFonts w:eastAsia="Calibri"/>
              </w:rPr>
              <w:t>utility grid</w:t>
            </w:r>
          </w:p>
        </w:tc>
        <w:tc>
          <w:tcPr>
            <w:tcW w:w="5106" w:type="dxa"/>
          </w:tcPr>
          <w:p w14:paraId="5E81669B" w14:textId="77777777" w:rsidR="00CC59E6" w:rsidRPr="005D31FC" w:rsidRDefault="00CC59E6" w:rsidP="00CC59E6">
            <w:pPr>
              <w:snapToGrid w:val="0"/>
              <w:spacing w:after="160"/>
              <w:jc w:val="center"/>
              <w:rPr>
                <w:rFonts w:ascii="Times" w:eastAsia="Calibri" w:hAnsi="Times" w:cs="Times New Roman (Cuerpo en alfa"/>
                <w:sz w:val="20"/>
                <w:szCs w:val="24"/>
              </w:rPr>
            </w:pPr>
            <w:r w:rsidRPr="005D31FC">
              <w:rPr>
                <w:noProof/>
                <w:lang w:val="fr-FR" w:eastAsia="fr-FR"/>
              </w:rPr>
              <w:drawing>
                <wp:inline distT="0" distB="0" distL="0" distR="0" wp14:anchorId="0C3C4A69" wp14:editId="2086C818">
                  <wp:extent cx="2940050" cy="2508250"/>
                  <wp:effectExtent l="0" t="0" r="12700" b="6350"/>
                  <wp:docPr id="29" name="Graphique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E40BC5" w14:textId="7196E828" w:rsidR="00CC59E6" w:rsidRPr="005D31FC" w:rsidRDefault="00CC59E6" w:rsidP="00CC59E6">
            <w:pPr>
              <w:pStyle w:val="FigureCaption"/>
              <w:rPr>
                <w:lang w:val="es-ES"/>
              </w:rPr>
            </w:pPr>
            <w:r w:rsidRPr="005D31FC">
              <w:rPr>
                <w:b/>
                <w:caps/>
              </w:rPr>
              <w:t>Figu</w:t>
            </w:r>
            <w:r w:rsidR="00B945E1" w:rsidRPr="005D31FC">
              <w:rPr>
                <w:b/>
                <w:caps/>
              </w:rPr>
              <w:t>re 4</w:t>
            </w:r>
            <w:r w:rsidRPr="005D31FC">
              <w:rPr>
                <w:b/>
                <w:caps/>
              </w:rPr>
              <w:t>.</w:t>
            </w:r>
            <w:r w:rsidRPr="005D31FC">
              <w:rPr>
                <w:sz w:val="20"/>
                <w:szCs w:val="22"/>
                <w:lang w:val="es-ES"/>
              </w:rPr>
              <w:t xml:space="preserve"> </w:t>
            </w:r>
            <w:proofErr w:type="spellStart"/>
            <w:r w:rsidRPr="005D31FC">
              <w:rPr>
                <w:lang w:val="es-ES"/>
              </w:rPr>
              <w:t>Monthly</w:t>
            </w:r>
            <w:proofErr w:type="spellEnd"/>
            <w:r w:rsidRPr="005D31FC">
              <w:rPr>
                <w:lang w:val="es-ES"/>
              </w:rPr>
              <w:t xml:space="preserve"> </w:t>
            </w:r>
            <w:proofErr w:type="spellStart"/>
            <w:r w:rsidRPr="005D31FC">
              <w:rPr>
                <w:lang w:val="es-ES"/>
              </w:rPr>
              <w:t>electrical</w:t>
            </w:r>
            <w:proofErr w:type="spellEnd"/>
            <w:r w:rsidRPr="005D31FC">
              <w:rPr>
                <w:lang w:val="es-ES"/>
              </w:rPr>
              <w:t xml:space="preserve"> </w:t>
            </w:r>
            <w:proofErr w:type="spellStart"/>
            <w:r w:rsidRPr="005D31FC">
              <w:rPr>
                <w:lang w:val="es-ES"/>
              </w:rPr>
              <w:t>energy</w:t>
            </w:r>
            <w:proofErr w:type="spellEnd"/>
            <w:r w:rsidRPr="005D31FC">
              <w:rPr>
                <w:lang w:val="es-ES"/>
              </w:rPr>
              <w:t xml:space="preserve"> </w:t>
            </w:r>
            <w:proofErr w:type="spellStart"/>
            <w:r w:rsidRPr="005D31FC">
              <w:rPr>
                <w:lang w:val="es-ES"/>
              </w:rPr>
              <w:t>supplied</w:t>
            </w:r>
            <w:proofErr w:type="spellEnd"/>
            <w:r w:rsidRPr="005D31FC">
              <w:rPr>
                <w:lang w:val="es-ES"/>
              </w:rPr>
              <w:t xml:space="preserve"> to </w:t>
            </w:r>
            <w:proofErr w:type="spellStart"/>
            <w:r w:rsidRPr="005D31FC">
              <w:rPr>
                <w:lang w:val="es-ES"/>
              </w:rPr>
              <w:t>the</w:t>
            </w:r>
            <w:proofErr w:type="spellEnd"/>
            <w:r w:rsidRPr="005D31FC">
              <w:rPr>
                <w:lang w:val="es-ES"/>
              </w:rPr>
              <w:t xml:space="preserve"> </w:t>
            </w:r>
            <w:proofErr w:type="spellStart"/>
            <w:r w:rsidRPr="005D31FC">
              <w:rPr>
                <w:lang w:val="es-ES"/>
              </w:rPr>
              <w:t>EVs</w:t>
            </w:r>
            <w:proofErr w:type="spellEnd"/>
            <w:r w:rsidRPr="005D31FC">
              <w:rPr>
                <w:lang w:val="es-ES"/>
              </w:rPr>
              <w:t xml:space="preserve"> load</w:t>
            </w:r>
          </w:p>
          <w:p w14:paraId="31028B67" w14:textId="3A5FE761" w:rsidR="00CC59E6" w:rsidRPr="005D31FC" w:rsidRDefault="00CC59E6" w:rsidP="00F4315E">
            <w:pPr>
              <w:snapToGrid w:val="0"/>
              <w:spacing w:after="160"/>
              <w:jc w:val="both"/>
              <w:rPr>
                <w:rFonts w:ascii="Times" w:eastAsia="Calibri" w:hAnsi="Times" w:cs="Times New Roman (Cuerpo en alfa"/>
                <w:sz w:val="20"/>
                <w:szCs w:val="24"/>
                <w:lang w:val="es-ES"/>
              </w:rPr>
            </w:pPr>
          </w:p>
        </w:tc>
      </w:tr>
    </w:tbl>
    <w:p w14:paraId="184B2033" w14:textId="6F8FA297" w:rsidR="00BC07BC" w:rsidRPr="005D31FC" w:rsidRDefault="00F4315E" w:rsidP="00854A1D">
      <w:pPr>
        <w:pStyle w:val="Paragraph"/>
        <w:ind w:firstLine="720"/>
        <w:rPr>
          <w:rFonts w:eastAsia="Calibri"/>
        </w:rPr>
      </w:pPr>
      <w:r w:rsidRPr="005D31FC">
        <w:rPr>
          <w:rFonts w:eastAsia="Calibri"/>
        </w:rPr>
        <w:t xml:space="preserve">According to Fig. </w:t>
      </w:r>
      <w:r w:rsidR="00B945E1" w:rsidRPr="005D31FC">
        <w:rPr>
          <w:rFonts w:eastAsia="Calibri"/>
        </w:rPr>
        <w:t>4</w:t>
      </w:r>
      <w:r w:rsidRPr="005D31FC">
        <w:rPr>
          <w:rFonts w:eastAsia="Calibri"/>
        </w:rPr>
        <w:t xml:space="preserve">, the </w:t>
      </w:r>
      <w:r w:rsidR="002258FC" w:rsidRPr="005D31FC">
        <w:rPr>
          <w:rFonts w:eastAsia="Calibri"/>
        </w:rPr>
        <w:t xml:space="preserve">simulation </w:t>
      </w:r>
      <w:r w:rsidRPr="005D31FC">
        <w:rPr>
          <w:rFonts w:eastAsia="Calibri"/>
        </w:rPr>
        <w:t>results of total energy consumed by the electric vehicle vary from 20 kWh to 40 kWh per day across the year.  The electric vehicle charging reaches 50 kW as peak power based only on the electric utility grid as a unique source.</w:t>
      </w:r>
      <w:r w:rsidR="002D358B" w:rsidRPr="005D31FC">
        <w:rPr>
          <w:rFonts w:eastAsia="Calibri"/>
        </w:rPr>
        <w:t xml:space="preserve"> </w:t>
      </w:r>
      <w:r w:rsidR="00BC07BC" w:rsidRPr="005D31FC">
        <w:t xml:space="preserve">The system NPC cost reaches 94250,91€, the operating cost </w:t>
      </w:r>
      <w:r w:rsidR="002D358B" w:rsidRPr="005D31FC">
        <w:t xml:space="preserve">is about </w:t>
      </w:r>
      <w:r w:rsidR="00BC07BC" w:rsidRPr="005D31FC">
        <w:t>7290,72€</w:t>
      </w:r>
      <w:r w:rsidR="009B1FD2" w:rsidRPr="005D31FC">
        <w:t>,</w:t>
      </w:r>
      <w:r w:rsidR="00BC07BC" w:rsidRPr="005D31FC">
        <w:t xml:space="preserve"> while the LCOE represents 0,08111€. The utility grid has the highest </w:t>
      </w:r>
      <w:r w:rsidR="00345946" w:rsidRPr="005D31FC">
        <w:t xml:space="preserve">cost; </w:t>
      </w:r>
      <w:r w:rsidR="00BC07BC" w:rsidRPr="005D31FC">
        <w:t xml:space="preserve">this is justified by the fact that the grid is the only provider of electricity. </w:t>
      </w:r>
    </w:p>
    <w:p w14:paraId="151F01E6" w14:textId="1FD05B65" w:rsidR="00BC07BC" w:rsidRPr="005D31FC" w:rsidRDefault="00BC07BC" w:rsidP="00BC07BC">
      <w:pPr>
        <w:pStyle w:val="Titre2"/>
      </w:pPr>
      <w:r w:rsidRPr="005D31FC">
        <w:t xml:space="preserve">Second EV Powering System Finding </w:t>
      </w:r>
    </w:p>
    <w:p w14:paraId="43E75ADB" w14:textId="710C53B9" w:rsidR="007702E1" w:rsidRPr="005D31FC" w:rsidRDefault="00BC07BC" w:rsidP="0054788A">
      <w:pPr>
        <w:pStyle w:val="Paragraph"/>
        <w:ind w:firstLine="720"/>
      </w:pPr>
      <w:r w:rsidRPr="005D31FC">
        <w:t xml:space="preserve">The second system is constituted from the utility grid in addition to 0,0964 kW of </w:t>
      </w:r>
      <w:r w:rsidR="00066113" w:rsidRPr="005D31FC">
        <w:t xml:space="preserve">a </w:t>
      </w:r>
      <w:r w:rsidRPr="005D31FC">
        <w:t xml:space="preserve">Generic flat plate PV generator and 0,128 kW of </w:t>
      </w:r>
      <w:r w:rsidR="006E49F3" w:rsidRPr="005D31FC">
        <w:t xml:space="preserve">a </w:t>
      </w:r>
      <w:r w:rsidRPr="005D31FC">
        <w:t xml:space="preserve">power converter system. The system total NPC is 94342,58€, the </w:t>
      </w:r>
      <w:proofErr w:type="spellStart"/>
      <w:r w:rsidRPr="005D31FC">
        <w:t>Levelized</w:t>
      </w:r>
      <w:proofErr w:type="spellEnd"/>
      <w:r w:rsidRPr="005D31FC">
        <w:t xml:space="preserve"> COE is 0,08118€, and the operating cost reaches 7280,17€.</w:t>
      </w:r>
      <w:r w:rsidR="00345946" w:rsidRPr="005D31FC">
        <w:t xml:space="preserve"> </w:t>
      </w:r>
      <w:r w:rsidRPr="005D31FC">
        <w:t>The electric utility grid charges represent 92807,29€</w:t>
      </w:r>
      <w:r w:rsidR="00066113" w:rsidRPr="005D31FC">
        <w:t>,</w:t>
      </w:r>
      <w:r w:rsidRPr="005D31FC">
        <w:t xml:space="preserve"> which is the highest cost compared to the other components involving the generic flat plate PV with 335,21€ and the power converter system with 51,81€</w:t>
      </w:r>
      <w:r w:rsidR="00066113" w:rsidRPr="005D31FC">
        <w:t>,</w:t>
      </w:r>
      <w:r w:rsidRPr="005D31FC">
        <w:t xml:space="preserve"> which is justified by the level of electricity produced by each source and component. </w:t>
      </w:r>
      <w:r w:rsidR="00066113" w:rsidRPr="005D31FC">
        <w:t xml:space="preserve"> </w:t>
      </w:r>
      <w:r w:rsidRPr="005D31FC">
        <w:t>The grid purchases produce 89738 kWh/</w:t>
      </w:r>
      <w:proofErr w:type="spellStart"/>
      <w:r w:rsidRPr="005D31FC">
        <w:t>yr</w:t>
      </w:r>
      <w:proofErr w:type="spellEnd"/>
      <w:r w:rsidRPr="005D31FC">
        <w:t xml:space="preserve"> of electric energy, while the Generic flat plate PV produces only 165 kWh/</w:t>
      </w:r>
      <w:proofErr w:type="spellStart"/>
      <w:r w:rsidRPr="005D31FC">
        <w:t>yr</w:t>
      </w:r>
      <w:proofErr w:type="spellEnd"/>
      <w:r w:rsidRPr="005D31FC">
        <w:t>, which represents respectively 99,8% and 0,183 % of the total energy production</w:t>
      </w:r>
      <w:r w:rsidR="005211F0" w:rsidRPr="005D31FC">
        <w:t xml:space="preserve"> as shown in </w:t>
      </w:r>
      <w:r w:rsidR="00B40B4F" w:rsidRPr="005D31FC">
        <w:t>Fig.</w:t>
      </w:r>
      <w:r w:rsidR="005211F0" w:rsidRPr="005D31FC">
        <w:t xml:space="preserve"> 5</w:t>
      </w:r>
      <w:r w:rsidRPr="005D31FC">
        <w:t xml:space="preserve">.  The production </w:t>
      </w:r>
      <w:r w:rsidR="0054788A" w:rsidRPr="005D31FC">
        <w:t xml:space="preserve">cost using </w:t>
      </w:r>
      <w:r w:rsidRPr="005D31FC">
        <w:t xml:space="preserve">the </w:t>
      </w:r>
      <w:r w:rsidR="00935F4B" w:rsidRPr="005D31FC">
        <w:t>grid</w:t>
      </w:r>
      <w:r w:rsidR="00A00980" w:rsidRPr="005D31FC">
        <w:t xml:space="preserve"> is </w:t>
      </w:r>
      <w:r w:rsidRPr="005D31FC">
        <w:t>high</w:t>
      </w:r>
      <w:r w:rsidR="00A00980" w:rsidRPr="005D31FC">
        <w:t>er</w:t>
      </w:r>
      <w:r w:rsidRPr="005D31FC">
        <w:t xml:space="preserve"> </w:t>
      </w:r>
      <w:r w:rsidR="00A00980" w:rsidRPr="005D31FC">
        <w:t xml:space="preserve">compared to other </w:t>
      </w:r>
      <w:r w:rsidR="0054788A" w:rsidRPr="005D31FC">
        <w:t>components</w:t>
      </w:r>
      <w:r w:rsidRPr="005D31FC">
        <w:t xml:space="preserve">. A part of the produced energy is consumed by the electrical vehicle, while the rest of the energy is supplied to the grid sales. </w:t>
      </w:r>
      <w:r w:rsidR="007702E1" w:rsidRPr="005D31FC">
        <w:t>Given the grid's significant contribution to energy production, the grid is considered in this case to be the main supplier of electrical energy to the electric vehicle. This provided energy to the EVS</w:t>
      </w:r>
      <w:r w:rsidR="00935F4B" w:rsidRPr="005D31FC">
        <w:t>,</w:t>
      </w:r>
      <w:r w:rsidR="007702E1" w:rsidRPr="005D31FC">
        <w:t xml:space="preserve"> </w:t>
      </w:r>
      <w:r w:rsidR="00935F4B" w:rsidRPr="005D31FC">
        <w:t>reaching</w:t>
      </w:r>
      <w:r w:rsidR="007702E1" w:rsidRPr="005D31FC">
        <w:t xml:space="preserve"> 40kW as shown in Fig.</w:t>
      </w:r>
      <w:r w:rsidR="005211F0" w:rsidRPr="005D31FC">
        <w:t xml:space="preserve"> 4</w:t>
      </w:r>
      <w:r w:rsidR="007702E1" w:rsidRPr="005D31FC">
        <w:t>.</w:t>
      </w:r>
    </w:p>
    <w:p w14:paraId="4B74C35C" w14:textId="77777777" w:rsidR="00B660A9" w:rsidRPr="005D31FC" w:rsidRDefault="00B660A9" w:rsidP="00B660A9">
      <w:pPr>
        <w:pStyle w:val="Titre2"/>
      </w:pPr>
      <w:r w:rsidRPr="005D31FC">
        <w:t xml:space="preserve">Third EV Powering System Finding </w:t>
      </w:r>
    </w:p>
    <w:p w14:paraId="59777A56" w14:textId="532A4A0D" w:rsidR="00B660A9" w:rsidRPr="005D31FC" w:rsidRDefault="00B660A9" w:rsidP="00B660A9">
      <w:pPr>
        <w:pStyle w:val="Paragraph"/>
        <w:ind w:firstLine="113"/>
      </w:pPr>
      <w:r w:rsidRPr="005D31FC">
        <w:t xml:space="preserve">The third mechanism comprises the electric utility grid, a generic 1 kWh lead-acid storage battery, and a 0,490 kW power converter.  The total </w:t>
      </w:r>
      <w:proofErr w:type="gramStart"/>
      <w:r w:rsidRPr="005D31FC">
        <w:t>NPC  of</w:t>
      </w:r>
      <w:proofErr w:type="gramEnd"/>
      <w:r w:rsidRPr="005D31FC">
        <w:t xml:space="preserve"> the system is 95049,50€, the </w:t>
      </w:r>
      <w:proofErr w:type="spellStart"/>
      <w:r w:rsidRPr="005D31FC">
        <w:t>levelized</w:t>
      </w:r>
      <w:proofErr w:type="spellEnd"/>
      <w:r w:rsidRPr="005D31FC">
        <w:t xml:space="preserve"> cost (LCOE) represents 0,08180 €, and the operating cost reaches 7320,36 €. The third EV powering system architecture relies on the utility grid as the basic supplier of electrical energy. Indeed, the lead-acid battery is used to provide the electric vehicle with power when the </w:t>
      </w:r>
      <w:r w:rsidRPr="005D31FC">
        <w:lastRenderedPageBreak/>
        <w:t>utility grid is cut off. For this reason, the utility grid cost represents a big part of the whole system's total cost with 92958,15 €, while the Lead acid battery cost is only 658,37 €. The utility grid is then the main producer of electrical energy (Fig. 6). Its production ranges between 8 MWh and 6 MWh per month during the year. The battery provides the ability to store electrical energy at 0,491 €/kWh while the consumption of electrical vehicle load reaches 89884 kwh/</w:t>
      </w:r>
      <w:proofErr w:type="spellStart"/>
      <w:r w:rsidRPr="005D31FC">
        <w:t>yr</w:t>
      </w:r>
      <w:proofErr w:type="spellEnd"/>
      <w:r w:rsidRPr="005D31FC">
        <w:t xml:space="preserve"> and the daily electrical energy served to the EV is 48 kW.</w:t>
      </w:r>
    </w:p>
    <w:p w14:paraId="1867B934" w14:textId="77777777" w:rsidR="00B66F3A" w:rsidRPr="005D31FC" w:rsidRDefault="00B66F3A" w:rsidP="00B660A9">
      <w:pPr>
        <w:pStyle w:val="Paragraph"/>
        <w:ind w:firstLine="113"/>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4786"/>
      </w:tblGrid>
      <w:tr w:rsidR="00B660A9" w:rsidRPr="005D31FC" w14:paraId="7CD86CDE" w14:textId="77777777" w:rsidTr="00B660A9">
        <w:tc>
          <w:tcPr>
            <w:tcW w:w="4675" w:type="dxa"/>
          </w:tcPr>
          <w:p w14:paraId="568FB1CA" w14:textId="6B6F9B47" w:rsidR="00B660A9" w:rsidRPr="005D31FC" w:rsidRDefault="00B660A9" w:rsidP="00B660A9">
            <w:pPr>
              <w:pStyle w:val="Paragraph"/>
              <w:ind w:firstLine="0"/>
            </w:pPr>
            <w:r w:rsidRPr="005D31FC">
              <w:rPr>
                <w:rFonts w:asciiTheme="majorBidi" w:hAnsiTheme="majorBidi" w:cstheme="majorBidi"/>
                <w:b/>
                <w:bCs/>
                <w:noProof/>
                <w:lang w:val="fr-FR" w:eastAsia="fr-FR"/>
              </w:rPr>
              <w:drawing>
                <wp:inline distT="0" distB="0" distL="0" distR="0" wp14:anchorId="4C087DF4" wp14:editId="34A020C5">
                  <wp:extent cx="2679700" cy="2076450"/>
                  <wp:effectExtent l="0" t="0" r="6350" b="0"/>
                  <wp:docPr id="73798198" name="Graphique 1">
                    <a:extLst xmlns:a="http://schemas.openxmlformats.org/drawingml/2006/main">
                      <a:ext uri="{FF2B5EF4-FFF2-40B4-BE49-F238E27FC236}">
                        <a16:creationId xmlns:a16="http://schemas.microsoft.com/office/drawing/2014/main" id="{06385CF5-0C5D-6563-8C09-86635C374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675" w:type="dxa"/>
          </w:tcPr>
          <w:p w14:paraId="61A472E4" w14:textId="22BD012A" w:rsidR="00B660A9" w:rsidRPr="005D31FC" w:rsidRDefault="00B660A9" w:rsidP="00B660A9">
            <w:pPr>
              <w:pStyle w:val="Paragraph"/>
              <w:ind w:firstLine="0"/>
            </w:pPr>
            <w:r w:rsidRPr="005D31FC">
              <w:rPr>
                <w:noProof/>
                <w:lang w:val="fr-FR" w:eastAsia="fr-FR"/>
              </w:rPr>
              <w:drawing>
                <wp:inline distT="0" distB="0" distL="0" distR="0" wp14:anchorId="47E27E33" wp14:editId="78BC712D">
                  <wp:extent cx="2889250" cy="2114550"/>
                  <wp:effectExtent l="0" t="0" r="12700" b="0"/>
                  <wp:docPr id="2" name="Graphique 1">
                    <a:extLst xmlns:a="http://schemas.openxmlformats.org/drawingml/2006/main">
                      <a:ext uri="{FF2B5EF4-FFF2-40B4-BE49-F238E27FC236}">
                        <a16:creationId xmlns:a16="http://schemas.microsoft.com/office/drawing/2014/main" id="{80F176DB-D07C-5A7E-0F2A-AD8EDC7DE9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B660A9" w:rsidRPr="005D31FC" w14:paraId="48AC37D1" w14:textId="77777777" w:rsidTr="00B660A9">
        <w:tc>
          <w:tcPr>
            <w:tcW w:w="4675" w:type="dxa"/>
          </w:tcPr>
          <w:p w14:paraId="097C8860" w14:textId="77777777" w:rsidR="007F6275" w:rsidRPr="005D31FC" w:rsidRDefault="007F6275" w:rsidP="007F6275">
            <w:pPr>
              <w:pStyle w:val="FigureCaption"/>
              <w:jc w:val="left"/>
              <w:rPr>
                <w:b/>
                <w:caps/>
              </w:rPr>
            </w:pPr>
          </w:p>
          <w:p w14:paraId="08ECAAD5" w14:textId="65766138" w:rsidR="00B660A9" w:rsidRPr="005D31FC" w:rsidRDefault="00B660A9" w:rsidP="007F6275">
            <w:pPr>
              <w:pStyle w:val="FigureCaption"/>
              <w:jc w:val="left"/>
              <w:rPr>
                <w:b/>
                <w:caps/>
              </w:rPr>
            </w:pPr>
            <w:r w:rsidRPr="005D31FC">
              <w:rPr>
                <w:b/>
                <w:caps/>
              </w:rPr>
              <w:t>Figure 5.</w:t>
            </w:r>
            <w:r w:rsidRPr="005D31FC">
              <w:rPr>
                <w:sz w:val="20"/>
                <w:szCs w:val="22"/>
                <w:lang w:val="es-ES"/>
              </w:rPr>
              <w:t xml:space="preserve"> </w:t>
            </w:r>
            <w:r w:rsidRPr="005D31FC">
              <w:rPr>
                <w:lang w:val="en-GB"/>
              </w:rPr>
              <w:t>Monthly Electric Production</w:t>
            </w:r>
            <w:r w:rsidRPr="005D31FC">
              <w:t xml:space="preserve"> </w:t>
            </w:r>
            <w:r w:rsidRPr="005D31FC">
              <w:rPr>
                <w:lang w:val="es-ES"/>
              </w:rPr>
              <w:t xml:space="preserve">to </w:t>
            </w:r>
            <w:proofErr w:type="spellStart"/>
            <w:r w:rsidRPr="005D31FC">
              <w:rPr>
                <w:lang w:val="es-ES"/>
              </w:rPr>
              <w:t>the</w:t>
            </w:r>
            <w:proofErr w:type="spellEnd"/>
            <w:r w:rsidRPr="005D31FC">
              <w:rPr>
                <w:lang w:val="es-ES"/>
              </w:rPr>
              <w:t xml:space="preserve"> </w:t>
            </w:r>
            <w:proofErr w:type="spellStart"/>
            <w:r w:rsidRPr="005D31FC">
              <w:rPr>
                <w:lang w:val="es-ES"/>
              </w:rPr>
              <w:t>EVs</w:t>
            </w:r>
            <w:proofErr w:type="spellEnd"/>
            <w:r w:rsidRPr="005D31FC">
              <w:rPr>
                <w:lang w:val="es-ES"/>
              </w:rPr>
              <w:t xml:space="preserve"> load (of </w:t>
            </w:r>
            <w:proofErr w:type="spellStart"/>
            <w:r w:rsidRPr="005D31FC">
              <w:rPr>
                <w:lang w:val="es-ES"/>
              </w:rPr>
              <w:t>the</w:t>
            </w:r>
            <w:proofErr w:type="spellEnd"/>
            <w:r w:rsidRPr="005D31FC">
              <w:rPr>
                <w:lang w:val="es-ES"/>
              </w:rPr>
              <w:t xml:space="preserve"> </w:t>
            </w:r>
            <w:proofErr w:type="spellStart"/>
            <w:r w:rsidRPr="005D31FC">
              <w:rPr>
                <w:lang w:val="es-ES"/>
              </w:rPr>
              <w:t>second</w:t>
            </w:r>
            <w:proofErr w:type="spellEnd"/>
            <w:r w:rsidRPr="005D31FC">
              <w:rPr>
                <w:lang w:val="es-ES"/>
              </w:rPr>
              <w:t xml:space="preserve"> </w:t>
            </w:r>
            <w:proofErr w:type="spellStart"/>
            <w:r w:rsidRPr="005D31FC">
              <w:rPr>
                <w:lang w:val="es-ES"/>
              </w:rPr>
              <w:t>powering</w:t>
            </w:r>
            <w:proofErr w:type="spellEnd"/>
            <w:r w:rsidRPr="005D31FC">
              <w:rPr>
                <w:lang w:val="es-ES"/>
              </w:rPr>
              <w:t xml:space="preserve"> </w:t>
            </w:r>
            <w:proofErr w:type="spellStart"/>
            <w:r w:rsidRPr="005D31FC">
              <w:rPr>
                <w:lang w:val="es-ES"/>
              </w:rPr>
              <w:t>system</w:t>
            </w:r>
            <w:proofErr w:type="spellEnd"/>
            <w:r w:rsidRPr="005D31FC">
              <w:rPr>
                <w:lang w:val="es-ES"/>
              </w:rPr>
              <w:t xml:space="preserve"> </w:t>
            </w:r>
            <w:proofErr w:type="spellStart"/>
            <w:r w:rsidRPr="005D31FC">
              <w:rPr>
                <w:lang w:val="es-ES"/>
              </w:rPr>
              <w:t>mechanism</w:t>
            </w:r>
            <w:proofErr w:type="spellEnd"/>
            <w:r w:rsidRPr="005D31FC">
              <w:rPr>
                <w:lang w:val="es-ES"/>
              </w:rPr>
              <w:t>)</w:t>
            </w:r>
          </w:p>
          <w:p w14:paraId="15D56AE6" w14:textId="77777777" w:rsidR="00B660A9" w:rsidRPr="005D31FC" w:rsidRDefault="00B660A9" w:rsidP="00B660A9">
            <w:pPr>
              <w:pStyle w:val="Paragraph"/>
              <w:ind w:firstLine="0"/>
              <w:rPr>
                <w:lang w:val="es-ES"/>
              </w:rPr>
            </w:pPr>
          </w:p>
        </w:tc>
        <w:tc>
          <w:tcPr>
            <w:tcW w:w="4675" w:type="dxa"/>
          </w:tcPr>
          <w:p w14:paraId="110A40A9" w14:textId="77777777" w:rsidR="007F6275" w:rsidRPr="005D31FC" w:rsidRDefault="007F6275" w:rsidP="00B660A9">
            <w:pPr>
              <w:pStyle w:val="Paragraph"/>
              <w:ind w:firstLine="113"/>
              <w:jc w:val="center"/>
              <w:rPr>
                <w:b/>
                <w:caps/>
                <w:sz w:val="18"/>
                <w:szCs w:val="18"/>
              </w:rPr>
            </w:pPr>
          </w:p>
          <w:p w14:paraId="52FCC488" w14:textId="77777777" w:rsidR="007F6275" w:rsidRPr="005D31FC" w:rsidRDefault="007F6275" w:rsidP="00B660A9">
            <w:pPr>
              <w:pStyle w:val="Paragraph"/>
              <w:ind w:firstLine="113"/>
              <w:jc w:val="center"/>
              <w:rPr>
                <w:b/>
                <w:caps/>
                <w:sz w:val="18"/>
                <w:szCs w:val="18"/>
              </w:rPr>
            </w:pPr>
          </w:p>
          <w:p w14:paraId="30BB0736" w14:textId="098874FD" w:rsidR="00B660A9" w:rsidRPr="005D31FC" w:rsidRDefault="00B660A9" w:rsidP="00B660A9">
            <w:pPr>
              <w:pStyle w:val="Paragraph"/>
              <w:ind w:firstLine="113"/>
              <w:jc w:val="center"/>
              <w:rPr>
                <w:sz w:val="18"/>
                <w:szCs w:val="18"/>
              </w:rPr>
            </w:pPr>
            <w:r w:rsidRPr="005D31FC">
              <w:rPr>
                <w:b/>
                <w:caps/>
                <w:sz w:val="18"/>
                <w:szCs w:val="18"/>
              </w:rPr>
              <w:t>Figure 6.</w:t>
            </w:r>
            <w:r w:rsidRPr="005D31FC">
              <w:rPr>
                <w:sz w:val="18"/>
                <w:szCs w:val="18"/>
                <w:lang w:val="es-ES"/>
              </w:rPr>
              <w:t xml:space="preserve"> </w:t>
            </w:r>
            <w:proofErr w:type="spellStart"/>
            <w:r w:rsidRPr="005D31FC">
              <w:rPr>
                <w:sz w:val="18"/>
                <w:szCs w:val="18"/>
                <w:lang w:val="es-ES"/>
              </w:rPr>
              <w:t>Monthly</w:t>
            </w:r>
            <w:proofErr w:type="spellEnd"/>
            <w:r w:rsidRPr="005D31FC">
              <w:rPr>
                <w:sz w:val="18"/>
                <w:szCs w:val="18"/>
                <w:lang w:val="es-ES"/>
              </w:rPr>
              <w:t xml:space="preserve"> </w:t>
            </w:r>
            <w:proofErr w:type="spellStart"/>
            <w:r w:rsidRPr="005D31FC">
              <w:rPr>
                <w:sz w:val="18"/>
                <w:szCs w:val="18"/>
                <w:lang w:val="es-ES"/>
              </w:rPr>
              <w:t>electric</w:t>
            </w:r>
            <w:proofErr w:type="spellEnd"/>
            <w:r w:rsidRPr="005D31FC">
              <w:rPr>
                <w:sz w:val="18"/>
                <w:szCs w:val="18"/>
                <w:lang w:val="es-ES"/>
              </w:rPr>
              <w:t xml:space="preserve"> </w:t>
            </w:r>
            <w:proofErr w:type="spellStart"/>
            <w:r w:rsidRPr="005D31FC">
              <w:rPr>
                <w:sz w:val="18"/>
                <w:szCs w:val="18"/>
                <w:lang w:val="es-ES"/>
              </w:rPr>
              <w:t>energy</w:t>
            </w:r>
            <w:proofErr w:type="spellEnd"/>
            <w:r w:rsidRPr="005D31FC">
              <w:rPr>
                <w:sz w:val="18"/>
                <w:szCs w:val="18"/>
                <w:lang w:val="es-ES"/>
              </w:rPr>
              <w:t xml:space="preserve"> </w:t>
            </w:r>
            <w:proofErr w:type="spellStart"/>
            <w:r w:rsidRPr="005D31FC">
              <w:rPr>
                <w:sz w:val="18"/>
                <w:szCs w:val="18"/>
                <w:lang w:val="es-ES"/>
              </w:rPr>
              <w:t>produced</w:t>
            </w:r>
            <w:proofErr w:type="spellEnd"/>
            <w:r w:rsidRPr="005D31FC">
              <w:rPr>
                <w:sz w:val="18"/>
                <w:szCs w:val="18"/>
                <w:lang w:val="es-ES"/>
              </w:rPr>
              <w:t xml:space="preserve"> </w:t>
            </w:r>
            <w:proofErr w:type="spellStart"/>
            <w:r w:rsidRPr="005D31FC">
              <w:rPr>
                <w:sz w:val="18"/>
                <w:szCs w:val="18"/>
                <w:lang w:val="es-ES"/>
              </w:rPr>
              <w:t>by</w:t>
            </w:r>
            <w:proofErr w:type="spellEnd"/>
            <w:r w:rsidRPr="005D31FC">
              <w:rPr>
                <w:sz w:val="18"/>
                <w:szCs w:val="18"/>
                <w:lang w:val="es-ES"/>
              </w:rPr>
              <w:t xml:space="preserve"> </w:t>
            </w:r>
            <w:proofErr w:type="spellStart"/>
            <w:r w:rsidRPr="005D31FC">
              <w:rPr>
                <w:sz w:val="18"/>
                <w:szCs w:val="18"/>
                <w:lang w:val="es-ES"/>
              </w:rPr>
              <w:t>the</w:t>
            </w:r>
            <w:proofErr w:type="spellEnd"/>
            <w:r w:rsidRPr="005D31FC">
              <w:rPr>
                <w:sz w:val="18"/>
                <w:szCs w:val="18"/>
                <w:lang w:val="es-ES"/>
              </w:rPr>
              <w:t xml:space="preserve"> </w:t>
            </w:r>
            <w:proofErr w:type="spellStart"/>
            <w:r w:rsidRPr="005D31FC">
              <w:rPr>
                <w:sz w:val="18"/>
                <w:szCs w:val="18"/>
                <w:lang w:val="es-ES"/>
              </w:rPr>
              <w:t>third</w:t>
            </w:r>
            <w:proofErr w:type="spellEnd"/>
            <w:r w:rsidRPr="005D31FC">
              <w:rPr>
                <w:sz w:val="18"/>
                <w:szCs w:val="18"/>
                <w:lang w:val="es-ES"/>
              </w:rPr>
              <w:t xml:space="preserve"> EV </w:t>
            </w:r>
            <w:proofErr w:type="spellStart"/>
            <w:r w:rsidRPr="005D31FC">
              <w:rPr>
                <w:sz w:val="18"/>
                <w:szCs w:val="18"/>
                <w:lang w:val="es-ES"/>
              </w:rPr>
              <w:t>powering</w:t>
            </w:r>
            <w:proofErr w:type="spellEnd"/>
            <w:r w:rsidRPr="005D31FC">
              <w:rPr>
                <w:sz w:val="18"/>
                <w:szCs w:val="18"/>
                <w:lang w:val="es-ES"/>
              </w:rPr>
              <w:t xml:space="preserve"> </w:t>
            </w:r>
            <w:proofErr w:type="spellStart"/>
            <w:r w:rsidRPr="005D31FC">
              <w:rPr>
                <w:sz w:val="18"/>
                <w:szCs w:val="18"/>
                <w:lang w:val="es-ES"/>
              </w:rPr>
              <w:t>system</w:t>
            </w:r>
            <w:proofErr w:type="spellEnd"/>
          </w:p>
          <w:p w14:paraId="3772C2E9" w14:textId="77777777" w:rsidR="00B660A9" w:rsidRPr="005D31FC" w:rsidRDefault="00B660A9" w:rsidP="00B660A9">
            <w:pPr>
              <w:pStyle w:val="Paragraph"/>
              <w:ind w:firstLine="0"/>
            </w:pPr>
          </w:p>
        </w:tc>
      </w:tr>
    </w:tbl>
    <w:p w14:paraId="3EE4F809" w14:textId="6D714B13" w:rsidR="00B660A9" w:rsidRPr="005D31FC" w:rsidRDefault="00B660A9" w:rsidP="00B660A9">
      <w:pPr>
        <w:pStyle w:val="Paragraph"/>
        <w:ind w:firstLine="0"/>
        <w:rPr>
          <w:lang w:val="es-ES"/>
        </w:rPr>
      </w:pPr>
    </w:p>
    <w:p w14:paraId="685CB16A" w14:textId="13072CC4" w:rsidR="00A02090" w:rsidRPr="005D31FC" w:rsidRDefault="00A02090" w:rsidP="00A02090">
      <w:pPr>
        <w:pStyle w:val="Titre2"/>
      </w:pPr>
      <w:r w:rsidRPr="005D31FC">
        <w:t>Fourth EV Powering System F</w:t>
      </w:r>
      <w:r w:rsidR="0090435F" w:rsidRPr="005D31FC">
        <w:t>i</w:t>
      </w:r>
      <w:r w:rsidRPr="005D31FC">
        <w:t xml:space="preserve">nding </w:t>
      </w:r>
    </w:p>
    <w:p w14:paraId="5792DA77" w14:textId="4CE4A2D7" w:rsidR="00A02090" w:rsidRPr="005D31FC" w:rsidRDefault="00A02090" w:rsidP="00B91A73">
      <w:pPr>
        <w:pStyle w:val="Paragraph"/>
        <w:ind w:firstLine="720"/>
      </w:pPr>
      <w:r w:rsidRPr="005D31FC">
        <w:t xml:space="preserve">The fourth EV powering system mechanism is a combination of the electric utility grid with 0,214 kW of </w:t>
      </w:r>
      <w:r w:rsidR="00AD6418" w:rsidRPr="005D31FC">
        <w:t xml:space="preserve">a </w:t>
      </w:r>
      <w:r w:rsidRPr="005D31FC">
        <w:t xml:space="preserve">generic flat plate generator, 1,14 kW of </w:t>
      </w:r>
      <w:r w:rsidR="00227CBC" w:rsidRPr="005D31FC">
        <w:t xml:space="preserve">a </w:t>
      </w:r>
      <w:r w:rsidRPr="005D31FC">
        <w:t xml:space="preserve">power converter, and 1 kWh of Lead Acid battery. The system’s NPC cost equals 95316 €, the LCOE </w:t>
      </w:r>
      <w:r w:rsidR="005211F0" w:rsidRPr="005D31FC">
        <w:t xml:space="preserve">is </w:t>
      </w:r>
      <w:r w:rsidRPr="005D31FC">
        <w:t xml:space="preserve">0,0820 €, and the operating cost is 7300 €. The generic flat plate produces 366 kwh/yr. The utility grid cost is dominating compared to the other component costs. </w:t>
      </w:r>
      <w:r w:rsidR="005211F0" w:rsidRPr="005D31FC">
        <w:t>Fig</w:t>
      </w:r>
      <w:r w:rsidR="00C620F5" w:rsidRPr="005D31FC">
        <w:t xml:space="preserve">. </w:t>
      </w:r>
      <w:r w:rsidR="005211F0" w:rsidRPr="005D31FC">
        <w:t>7</w:t>
      </w:r>
      <w:r w:rsidR="00227CBC" w:rsidRPr="005D31FC">
        <w:t xml:space="preserve">. </w:t>
      </w:r>
      <w:r w:rsidRPr="005D31FC">
        <w:t>presents the monthly electric energy produced by the fourth EV powering system during one year</w:t>
      </w:r>
      <w:r w:rsidR="00ED3149" w:rsidRPr="005D31FC">
        <w:t>;</w:t>
      </w:r>
      <w:r w:rsidRPr="005D31FC">
        <w:t xml:space="preserve"> the electric utility grid represents the highest production with an average of 7 MWh per month, while the PV generator production is lower. Therefore, the significant energy proportion by the electric utility justifies its high cost compared to other powering system components</w:t>
      </w:r>
      <w:r w:rsidR="00227CBC" w:rsidRPr="005D31FC">
        <w:t>,</w:t>
      </w:r>
      <w:r w:rsidRPr="005D31FC">
        <w:t xml:space="preserve"> such </w:t>
      </w:r>
      <w:r w:rsidR="00227CBC" w:rsidRPr="005D31FC">
        <w:t xml:space="preserve">as </w:t>
      </w:r>
      <w:r w:rsidRPr="005D31FC">
        <w:t>PV generic flat plate generator. As shown in Fig.</w:t>
      </w:r>
      <w:r w:rsidR="00227CBC" w:rsidRPr="005D31FC">
        <w:t>4</w:t>
      </w:r>
      <w:r w:rsidRPr="005D31FC">
        <w:t xml:space="preserve">, the total electrical energy supplied to the </w:t>
      </w:r>
      <w:r w:rsidR="00AD6418" w:rsidRPr="005D31FC">
        <w:t>EV</w:t>
      </w:r>
      <w:r w:rsidRPr="005D31FC">
        <w:t xml:space="preserve"> loads</w:t>
      </w:r>
      <w:r w:rsidR="00A528E8" w:rsidRPr="005D31FC">
        <w:t xml:space="preserve"> during one year</w:t>
      </w:r>
      <w:r w:rsidRPr="005D31FC">
        <w:t xml:space="preserve"> ranges from </w:t>
      </w:r>
      <w:r w:rsidR="00227CBC" w:rsidRPr="005D31FC">
        <w:t>20 kW</w:t>
      </w:r>
      <w:r w:rsidRPr="005D31FC">
        <w:t xml:space="preserve"> to </w:t>
      </w:r>
      <w:r w:rsidR="00227CBC" w:rsidRPr="005D31FC">
        <w:t>50 kW</w:t>
      </w:r>
      <w:r w:rsidRPr="005D31FC">
        <w:t xml:space="preserve"> as energy consumed peaks. It takes 8 hours to be charged</w:t>
      </w:r>
      <w:r w:rsidR="00227CBC" w:rsidRPr="005D31FC">
        <w:t>,</w:t>
      </w:r>
      <w:r w:rsidRPr="005D31FC">
        <w:t xml:space="preserve"> which is suitable for residential applications aiming to supply energy to the electric vehicle during </w:t>
      </w:r>
      <w:r w:rsidR="00227CBC" w:rsidRPr="005D31FC">
        <w:t>nighttime</w:t>
      </w:r>
      <w:r w:rsidRPr="005D31FC">
        <w:t>. The simulation results confirm that the electrical vehicle peak energy consumed is 50 kW per day across the year and during July only, for the fourth powering system mechanism case.</w:t>
      </w:r>
    </w:p>
    <w:p w14:paraId="3F94C51A" w14:textId="40FDF37E" w:rsidR="00227CBC" w:rsidRPr="005D31FC" w:rsidRDefault="005211F0" w:rsidP="00C35B3F">
      <w:pPr>
        <w:pStyle w:val="Paragraph"/>
        <w:ind w:firstLine="113"/>
        <w:jc w:val="center"/>
      </w:pPr>
      <w:r w:rsidRPr="005D31FC">
        <w:rPr>
          <w:noProof/>
          <w:lang w:val="fr-FR" w:eastAsia="fr-FR"/>
        </w:rPr>
        <w:drawing>
          <wp:inline distT="0" distB="0" distL="0" distR="0" wp14:anchorId="79FB5F0F" wp14:editId="2768F8BF">
            <wp:extent cx="3041650" cy="1854200"/>
            <wp:effectExtent l="0" t="0" r="6350" b="12700"/>
            <wp:docPr id="142525285" name="Graphique 1">
              <a:extLst xmlns:a="http://schemas.openxmlformats.org/drawingml/2006/main">
                <a:ext uri="{FF2B5EF4-FFF2-40B4-BE49-F238E27FC236}">
                  <a16:creationId xmlns:a16="http://schemas.microsoft.com/office/drawing/2014/main" id="{06385CF5-0C5D-6563-8C09-86635C374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972F05D" w14:textId="77777777" w:rsidR="00C35B3F" w:rsidRPr="005D31FC" w:rsidRDefault="00C35B3F" w:rsidP="00C35B3F">
      <w:pPr>
        <w:pStyle w:val="Paragraph"/>
        <w:ind w:firstLine="113"/>
        <w:jc w:val="center"/>
      </w:pPr>
    </w:p>
    <w:p w14:paraId="6EF7B1E1" w14:textId="4CAB452D" w:rsidR="005211F0" w:rsidRPr="005D31FC" w:rsidRDefault="005211F0" w:rsidP="005211F0">
      <w:pPr>
        <w:pStyle w:val="Paragraph"/>
        <w:ind w:firstLine="113"/>
        <w:jc w:val="center"/>
        <w:rPr>
          <w:lang w:val="es-ES"/>
        </w:rPr>
      </w:pPr>
      <w:r w:rsidRPr="005D31FC">
        <w:rPr>
          <w:b/>
          <w:caps/>
        </w:rPr>
        <w:t xml:space="preserve">Figure 7. </w:t>
      </w:r>
      <w:proofErr w:type="spellStart"/>
      <w:r w:rsidRPr="005D31FC">
        <w:rPr>
          <w:lang w:val="es-ES"/>
        </w:rPr>
        <w:t>Monthly</w:t>
      </w:r>
      <w:proofErr w:type="spellEnd"/>
      <w:r w:rsidRPr="005D31FC">
        <w:rPr>
          <w:lang w:val="es-ES"/>
        </w:rPr>
        <w:t xml:space="preserve"> </w:t>
      </w:r>
      <w:proofErr w:type="spellStart"/>
      <w:r w:rsidRPr="005D31FC">
        <w:rPr>
          <w:lang w:val="es-ES"/>
        </w:rPr>
        <w:t>electric</w:t>
      </w:r>
      <w:proofErr w:type="spellEnd"/>
      <w:r w:rsidRPr="005D31FC">
        <w:rPr>
          <w:lang w:val="es-ES"/>
        </w:rPr>
        <w:t xml:space="preserve"> </w:t>
      </w:r>
      <w:proofErr w:type="spellStart"/>
      <w:r w:rsidRPr="005D31FC">
        <w:rPr>
          <w:lang w:val="es-ES"/>
        </w:rPr>
        <w:t>energy</w:t>
      </w:r>
      <w:proofErr w:type="spellEnd"/>
      <w:r w:rsidRPr="005D31FC">
        <w:rPr>
          <w:lang w:val="es-ES"/>
        </w:rPr>
        <w:t xml:space="preserve"> </w:t>
      </w:r>
      <w:proofErr w:type="spellStart"/>
      <w:r w:rsidRPr="005D31FC">
        <w:rPr>
          <w:lang w:val="es-ES"/>
        </w:rPr>
        <w:t>produced</w:t>
      </w:r>
      <w:proofErr w:type="spellEnd"/>
      <w:r w:rsidRPr="005D31FC">
        <w:rPr>
          <w:lang w:val="es-ES"/>
        </w:rPr>
        <w:t xml:space="preserve"> </w:t>
      </w:r>
      <w:proofErr w:type="spellStart"/>
      <w:r w:rsidRPr="005D31FC">
        <w:rPr>
          <w:lang w:val="es-ES"/>
        </w:rPr>
        <w:t>by</w:t>
      </w:r>
      <w:proofErr w:type="spellEnd"/>
      <w:r w:rsidRPr="005D31FC">
        <w:rPr>
          <w:lang w:val="es-ES"/>
        </w:rPr>
        <w:t xml:space="preserve"> </w:t>
      </w:r>
      <w:proofErr w:type="spellStart"/>
      <w:r w:rsidRPr="005D31FC">
        <w:rPr>
          <w:lang w:val="es-ES"/>
        </w:rPr>
        <w:t>the</w:t>
      </w:r>
      <w:proofErr w:type="spellEnd"/>
      <w:r w:rsidRPr="005D31FC">
        <w:rPr>
          <w:lang w:val="es-ES"/>
        </w:rPr>
        <w:t xml:space="preserve"> </w:t>
      </w:r>
      <w:proofErr w:type="spellStart"/>
      <w:r w:rsidRPr="005D31FC">
        <w:rPr>
          <w:lang w:val="es-ES"/>
        </w:rPr>
        <w:t>fourth</w:t>
      </w:r>
      <w:proofErr w:type="spellEnd"/>
      <w:r w:rsidRPr="005D31FC">
        <w:rPr>
          <w:lang w:val="es-ES"/>
        </w:rPr>
        <w:t xml:space="preserve"> EV </w:t>
      </w:r>
      <w:proofErr w:type="spellStart"/>
      <w:r w:rsidRPr="005D31FC">
        <w:rPr>
          <w:lang w:val="es-ES"/>
        </w:rPr>
        <w:t>powering</w:t>
      </w:r>
      <w:proofErr w:type="spellEnd"/>
      <w:r w:rsidRPr="005D31FC">
        <w:rPr>
          <w:lang w:val="es-ES"/>
        </w:rPr>
        <w:t xml:space="preserve"> </w:t>
      </w:r>
      <w:proofErr w:type="spellStart"/>
      <w:r w:rsidRPr="005D31FC">
        <w:rPr>
          <w:lang w:val="es-ES"/>
        </w:rPr>
        <w:t>system</w:t>
      </w:r>
      <w:proofErr w:type="spellEnd"/>
    </w:p>
    <w:p w14:paraId="1CAD190E" w14:textId="77F2CA27" w:rsidR="00BC07BC" w:rsidRPr="005D31FC" w:rsidRDefault="00BC07BC" w:rsidP="00F93A51">
      <w:pPr>
        <w:pStyle w:val="Paragraph"/>
        <w:ind w:firstLine="0"/>
        <w:rPr>
          <w:b/>
          <w:caps/>
          <w:lang w:val="es-ES"/>
        </w:rPr>
      </w:pPr>
    </w:p>
    <w:p w14:paraId="00BC2027" w14:textId="01AE7437" w:rsidR="004465CE" w:rsidRPr="005D31FC" w:rsidRDefault="004465CE" w:rsidP="004465CE">
      <w:pPr>
        <w:pStyle w:val="Titre1"/>
      </w:pPr>
      <w:r w:rsidRPr="005D31FC">
        <w:t>ECONOMIC COSTING OF THE FOUR EV POWERING MECHANISMS</w:t>
      </w:r>
    </w:p>
    <w:p w14:paraId="4C2A280C" w14:textId="7698FED1" w:rsidR="004465CE" w:rsidRPr="005D31FC" w:rsidRDefault="00E225DB" w:rsidP="00ED1799">
      <w:pPr>
        <w:pStyle w:val="Paragraph"/>
        <w:ind w:firstLine="720"/>
        <w:rPr>
          <w:rFonts w:eastAsia="Calibri"/>
        </w:rPr>
      </w:pPr>
      <w:r w:rsidRPr="005D31FC">
        <w:rPr>
          <w:rFonts w:eastAsia="Calibri"/>
        </w:rPr>
        <w:t xml:space="preserve">To get a clear comparison, the four </w:t>
      </w:r>
      <w:r w:rsidR="001E0745" w:rsidRPr="005D31FC">
        <w:rPr>
          <w:rFonts w:eastAsia="Calibri"/>
        </w:rPr>
        <w:t>systems'</w:t>
      </w:r>
      <w:r w:rsidRPr="005D31FC">
        <w:rPr>
          <w:rFonts w:eastAsia="Calibri"/>
        </w:rPr>
        <w:t xml:space="preserve"> design </w:t>
      </w:r>
      <w:r w:rsidR="001E0745" w:rsidRPr="005D31FC">
        <w:rPr>
          <w:rFonts w:eastAsia="Calibri"/>
        </w:rPr>
        <w:t xml:space="preserve">and cost </w:t>
      </w:r>
      <w:r w:rsidRPr="005D31FC">
        <w:rPr>
          <w:rFonts w:eastAsia="Calibri"/>
        </w:rPr>
        <w:t xml:space="preserve">are summarized in </w:t>
      </w:r>
      <w:r w:rsidR="001E0745" w:rsidRPr="005D31FC">
        <w:rPr>
          <w:rFonts w:eastAsia="Calibri"/>
        </w:rPr>
        <w:t xml:space="preserve">Table </w:t>
      </w:r>
      <w:r w:rsidRPr="005D31FC">
        <w:rPr>
          <w:rFonts w:eastAsia="Calibri"/>
        </w:rPr>
        <w:t>3</w:t>
      </w:r>
      <w:r w:rsidR="001E0745" w:rsidRPr="005D31FC">
        <w:rPr>
          <w:rFonts w:eastAsia="Calibri"/>
        </w:rPr>
        <w:t xml:space="preserve"> and Fig.8, respectively</w:t>
      </w:r>
      <w:r w:rsidRPr="005D31FC">
        <w:rPr>
          <w:rFonts w:eastAsia="Calibri"/>
        </w:rPr>
        <w:t xml:space="preserve">. </w:t>
      </w:r>
      <w:r w:rsidR="00441A45" w:rsidRPr="005D31FC">
        <w:rPr>
          <w:rFonts w:eastAsia="Calibri"/>
        </w:rPr>
        <w:t xml:space="preserve"> </w:t>
      </w:r>
      <w:r w:rsidR="004465CE" w:rsidRPr="005D31FC">
        <w:rPr>
          <w:rFonts w:eastAsia="Calibri"/>
        </w:rPr>
        <w:t xml:space="preserve">According to Fig. </w:t>
      </w:r>
      <w:r w:rsidR="005F5CA2" w:rsidRPr="005D31FC">
        <w:rPr>
          <w:rFonts w:eastAsia="Calibri"/>
        </w:rPr>
        <w:t>8</w:t>
      </w:r>
      <w:r w:rsidR="00C31C14" w:rsidRPr="005D31FC">
        <w:rPr>
          <w:rFonts w:eastAsia="Calibri"/>
        </w:rPr>
        <w:t>,</w:t>
      </w:r>
      <w:r w:rsidR="005F5CA2" w:rsidRPr="005D31FC">
        <w:rPr>
          <w:rFonts w:eastAsia="Calibri"/>
        </w:rPr>
        <w:t xml:space="preserve"> </w:t>
      </w:r>
      <w:r w:rsidR="00ED1799" w:rsidRPr="005D31FC">
        <w:rPr>
          <w:rFonts w:eastAsia="Calibri"/>
        </w:rPr>
        <w:t>which presents a comparison between the NPC cost (Fig. 8 (a)) and the LCOE of the four powering systems (Fig. 8(b), it is deduced that the first EV powering system design is the most economical</w:t>
      </w:r>
      <w:r w:rsidR="002077A8" w:rsidRPr="005D31FC">
        <w:rPr>
          <w:rFonts w:eastAsia="Calibri"/>
        </w:rPr>
        <w:t xml:space="preserve"> and depends </w:t>
      </w:r>
      <w:r w:rsidR="004465CE" w:rsidRPr="005D31FC">
        <w:rPr>
          <w:rFonts w:eastAsia="Calibri"/>
        </w:rPr>
        <w:t xml:space="preserve">only on the utility grid. It is </w:t>
      </w:r>
      <w:r w:rsidR="00101836" w:rsidRPr="005D31FC">
        <w:rPr>
          <w:rFonts w:eastAsia="Calibri"/>
        </w:rPr>
        <w:t>considered</w:t>
      </w:r>
      <w:r w:rsidR="005625D3" w:rsidRPr="005D31FC">
        <w:rPr>
          <w:rFonts w:eastAsia="Calibri"/>
        </w:rPr>
        <w:t xml:space="preserve"> </w:t>
      </w:r>
      <w:r w:rsidR="00101836" w:rsidRPr="005D31FC">
        <w:rPr>
          <w:rFonts w:eastAsia="Calibri"/>
        </w:rPr>
        <w:t xml:space="preserve">as </w:t>
      </w:r>
      <w:r w:rsidR="004465CE" w:rsidRPr="005D31FC">
        <w:rPr>
          <w:rFonts w:eastAsia="Calibri"/>
        </w:rPr>
        <w:t>the most optimized solution by its ability to provide the lowest NPC and LCOE with higher energy production purchase, followed by the second EV powering system mechanism composed of electric utility, power converter, and PV system generator, then the third EV powering system constituted with battery, utility and power converter and finall</w:t>
      </w:r>
      <w:r w:rsidR="002077A8" w:rsidRPr="005D31FC">
        <w:rPr>
          <w:rFonts w:eastAsia="Calibri"/>
        </w:rPr>
        <w:t>y the fourth EV powering system</w:t>
      </w:r>
      <w:r w:rsidR="004465CE" w:rsidRPr="005D31FC">
        <w:rPr>
          <w:rFonts w:eastAsia="Calibri"/>
        </w:rPr>
        <w:t xml:space="preserve">, which represents a combination of all previously mentioned systems. As </w:t>
      </w:r>
      <w:r w:rsidR="00227CBC" w:rsidRPr="005D31FC">
        <w:rPr>
          <w:rFonts w:eastAsia="Calibri"/>
        </w:rPr>
        <w:t xml:space="preserve">a </w:t>
      </w:r>
      <w:r w:rsidR="004465CE" w:rsidRPr="005D31FC">
        <w:rPr>
          <w:rFonts w:eastAsia="Calibri"/>
        </w:rPr>
        <w:t>result, for the same capacity of EV charging</w:t>
      </w:r>
      <w:r w:rsidR="00DB53D9" w:rsidRPr="005D31FC">
        <w:rPr>
          <w:rFonts w:eastAsia="Calibri"/>
        </w:rPr>
        <w:t>,</w:t>
      </w:r>
      <w:r w:rsidR="004465CE" w:rsidRPr="005D31FC">
        <w:rPr>
          <w:rFonts w:eastAsia="Calibri"/>
        </w:rPr>
        <w:t xml:space="preserve"> the electric utility grid is considered the optimized solution to provide a home station for charging </w:t>
      </w:r>
      <w:r w:rsidR="002935E3" w:rsidRPr="005D31FC">
        <w:rPr>
          <w:rFonts w:eastAsia="Calibri"/>
        </w:rPr>
        <w:t xml:space="preserve">the </w:t>
      </w:r>
      <w:r w:rsidR="004465CE" w:rsidRPr="005D31FC">
        <w:rPr>
          <w:rFonts w:eastAsia="Calibri"/>
        </w:rPr>
        <w:t xml:space="preserve">EV system. </w:t>
      </w:r>
    </w:p>
    <w:p w14:paraId="33DEEE24" w14:textId="77777777" w:rsidR="00F4671A" w:rsidRPr="005D31FC" w:rsidRDefault="00F4671A" w:rsidP="004465CE">
      <w:pPr>
        <w:pStyle w:val="Paragraph"/>
        <w:ind w:firstLine="113"/>
        <w:rPr>
          <w:rFonts w:eastAsia="Calibri"/>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1733C" w:rsidRPr="005D31FC" w14:paraId="60C1DEAC" w14:textId="77777777" w:rsidTr="00D43B82">
        <w:trPr>
          <w:jc w:val="center"/>
        </w:trPr>
        <w:tc>
          <w:tcPr>
            <w:tcW w:w="4675" w:type="dxa"/>
            <w:vAlign w:val="center"/>
          </w:tcPr>
          <w:p w14:paraId="40702F72" w14:textId="77777777" w:rsidR="00803155" w:rsidRPr="005D31FC" w:rsidRDefault="00803155" w:rsidP="00D43B82">
            <w:pPr>
              <w:pStyle w:val="Paragraph"/>
              <w:ind w:firstLine="0"/>
              <w:jc w:val="center"/>
              <w:rPr>
                <w:rFonts w:eastAsia="Calibri"/>
              </w:rPr>
            </w:pPr>
            <w:r w:rsidRPr="005D31FC">
              <w:rPr>
                <w:noProof/>
                <w:lang w:val="fr-FR" w:eastAsia="fr-FR"/>
              </w:rPr>
              <w:drawing>
                <wp:inline distT="0" distB="0" distL="0" distR="0" wp14:anchorId="19D5CB95" wp14:editId="130968F8">
                  <wp:extent cx="2628900" cy="2076450"/>
                  <wp:effectExtent l="0" t="0" r="0" b="0"/>
                  <wp:docPr id="19" name="Graphique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AD758B" w14:textId="0BFD146D" w:rsidR="00D43B82" w:rsidRPr="005D31FC" w:rsidRDefault="00D43B82" w:rsidP="00D43B82">
            <w:pPr>
              <w:pStyle w:val="Paragraph"/>
              <w:ind w:firstLine="0"/>
              <w:jc w:val="center"/>
              <w:rPr>
                <w:rFonts w:eastAsia="Calibri"/>
                <w:sz w:val="18"/>
                <w:szCs w:val="18"/>
              </w:rPr>
            </w:pPr>
            <w:r w:rsidRPr="005D31FC">
              <w:rPr>
                <w:rFonts w:eastAsia="Calibri"/>
                <w:sz w:val="18"/>
                <w:szCs w:val="18"/>
              </w:rPr>
              <w:t>(a)</w:t>
            </w:r>
          </w:p>
        </w:tc>
        <w:tc>
          <w:tcPr>
            <w:tcW w:w="4675" w:type="dxa"/>
            <w:vAlign w:val="center"/>
          </w:tcPr>
          <w:p w14:paraId="62212237" w14:textId="77777777" w:rsidR="00D43B82" w:rsidRPr="005D31FC" w:rsidRDefault="00F1733C" w:rsidP="00F1733C">
            <w:pPr>
              <w:pStyle w:val="Paragraph"/>
              <w:ind w:firstLine="0"/>
              <w:rPr>
                <w:rFonts w:eastAsia="Calibri"/>
              </w:rPr>
            </w:pPr>
            <w:r w:rsidRPr="005D31FC">
              <w:rPr>
                <w:noProof/>
                <w:lang w:val="fr-FR" w:eastAsia="fr-FR"/>
              </w:rPr>
              <w:drawing>
                <wp:inline distT="0" distB="0" distL="0" distR="0" wp14:anchorId="219CBA17" wp14:editId="5AE829E6">
                  <wp:extent cx="2489200" cy="2051050"/>
                  <wp:effectExtent l="0" t="0" r="6350" b="6350"/>
                  <wp:docPr id="20" name="Graphique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832226" w14:textId="5011F2BF" w:rsidR="00F1733C" w:rsidRPr="005D31FC" w:rsidRDefault="00F1733C" w:rsidP="00F1733C">
            <w:pPr>
              <w:pStyle w:val="Paragraph"/>
              <w:ind w:firstLine="0"/>
              <w:jc w:val="center"/>
              <w:rPr>
                <w:rFonts w:eastAsia="Calibri"/>
                <w:sz w:val="18"/>
                <w:szCs w:val="18"/>
              </w:rPr>
            </w:pPr>
            <w:r w:rsidRPr="005D31FC">
              <w:rPr>
                <w:rFonts w:eastAsia="Calibri"/>
                <w:sz w:val="18"/>
                <w:szCs w:val="18"/>
              </w:rPr>
              <w:t>(b)</w:t>
            </w:r>
          </w:p>
        </w:tc>
      </w:tr>
    </w:tbl>
    <w:p w14:paraId="15973F93" w14:textId="5781287D" w:rsidR="00D43B82" w:rsidRPr="005D31FC" w:rsidRDefault="00D43B82" w:rsidP="00F4671A">
      <w:pPr>
        <w:pStyle w:val="FigureCaption"/>
      </w:pPr>
      <w:r w:rsidRPr="005D31FC">
        <w:rPr>
          <w:b/>
          <w:caps/>
        </w:rPr>
        <w:t xml:space="preserve">Figure </w:t>
      </w:r>
      <w:r w:rsidR="0091363F" w:rsidRPr="005D31FC">
        <w:rPr>
          <w:b/>
          <w:caps/>
        </w:rPr>
        <w:t>8</w:t>
      </w:r>
      <w:r w:rsidRPr="005D31FC">
        <w:rPr>
          <w:b/>
          <w:caps/>
        </w:rPr>
        <w:t>.</w:t>
      </w:r>
      <w:r w:rsidR="003E44E4" w:rsidRPr="005D31FC">
        <w:rPr>
          <w:b/>
          <w:caps/>
        </w:rPr>
        <w:t xml:space="preserve"> </w:t>
      </w:r>
      <w:r w:rsidRPr="005D31FC">
        <w:t>Comparison of the four systems in terms of (a) NPC, operating cost; (b) LCOE</w:t>
      </w:r>
    </w:p>
    <w:p w14:paraId="10FB2951" w14:textId="77777777" w:rsidR="00B168CC" w:rsidRPr="005D31FC" w:rsidRDefault="00B168CC" w:rsidP="00B168CC">
      <w:pPr>
        <w:pStyle w:val="Paragraph"/>
      </w:pPr>
    </w:p>
    <w:p w14:paraId="44D38D9A" w14:textId="45C465C7" w:rsidR="007D47A0" w:rsidRPr="005D31FC" w:rsidRDefault="007D47A0" w:rsidP="002935E3">
      <w:pPr>
        <w:pStyle w:val="TableCaption"/>
      </w:pPr>
      <w:r w:rsidRPr="005D31FC">
        <w:rPr>
          <w:rFonts w:eastAsia="Calibri"/>
          <w:b/>
        </w:rPr>
        <w:t xml:space="preserve">TABLE 3. </w:t>
      </w:r>
      <w:r w:rsidRPr="005D31FC">
        <w:t xml:space="preserve"> Summary of the four </w:t>
      </w:r>
      <w:r w:rsidR="002935E3" w:rsidRPr="005D31FC">
        <w:t>systems’</w:t>
      </w:r>
      <w:r w:rsidRPr="005D31FC">
        <w:t xml:space="preserve"> design</w:t>
      </w:r>
    </w:p>
    <w:p w14:paraId="1C395F10" w14:textId="4B56AEEA" w:rsidR="009D7695" w:rsidRPr="005D31FC" w:rsidRDefault="009D7695" w:rsidP="0090435F">
      <w:pPr>
        <w:jc w:val="both"/>
        <w:rPr>
          <w:b/>
          <w:bCs/>
          <w:color w:val="000000"/>
          <w:sz w:val="18"/>
          <w:szCs w:val="18"/>
          <w:lang w:eastAsia="fr-FR"/>
        </w:rPr>
      </w:pPr>
    </w:p>
    <w:tbl>
      <w:tblPr>
        <w:tblStyle w:val="Tableausimple2"/>
        <w:tblW w:w="0" w:type="auto"/>
        <w:jc w:val="center"/>
        <w:tblLook w:val="04A0" w:firstRow="1" w:lastRow="0" w:firstColumn="1" w:lastColumn="0" w:noHBand="0" w:noVBand="1"/>
      </w:tblPr>
      <w:tblGrid>
        <w:gridCol w:w="1417"/>
        <w:gridCol w:w="1390"/>
        <w:gridCol w:w="1276"/>
        <w:gridCol w:w="1418"/>
        <w:gridCol w:w="1507"/>
      </w:tblGrid>
      <w:tr w:rsidR="00B168CC" w:rsidRPr="005D31FC" w14:paraId="573126DF" w14:textId="7DDA1F41" w:rsidTr="009043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tcPr>
          <w:p w14:paraId="0898F251" w14:textId="77777777" w:rsidR="00B168CC" w:rsidRPr="005D31FC" w:rsidRDefault="00B168CC" w:rsidP="0090435F">
            <w:pPr>
              <w:jc w:val="both"/>
              <w:rPr>
                <w:b w:val="0"/>
                <w:bCs w:val="0"/>
                <w:color w:val="000000"/>
                <w:sz w:val="18"/>
                <w:szCs w:val="18"/>
                <w:lang w:eastAsia="fr-FR"/>
              </w:rPr>
            </w:pPr>
          </w:p>
        </w:tc>
        <w:tc>
          <w:tcPr>
            <w:tcW w:w="1390" w:type="dxa"/>
          </w:tcPr>
          <w:p w14:paraId="6E94C997" w14:textId="09AEA7B1" w:rsidR="00B168CC" w:rsidRPr="005D31FC" w:rsidRDefault="00B168CC" w:rsidP="0090435F">
            <w:pPr>
              <w:jc w:val="both"/>
              <w:cnfStyle w:val="100000000000" w:firstRow="1" w:lastRow="0" w:firstColumn="0" w:lastColumn="0" w:oddVBand="0" w:evenVBand="0" w:oddHBand="0" w:evenHBand="0" w:firstRowFirstColumn="0" w:firstRowLastColumn="0" w:lastRowFirstColumn="0" w:lastRowLastColumn="0"/>
              <w:rPr>
                <w:color w:val="000000"/>
                <w:sz w:val="18"/>
                <w:szCs w:val="18"/>
                <w:lang w:eastAsia="fr-FR"/>
              </w:rPr>
            </w:pPr>
            <w:r w:rsidRPr="005D31FC">
              <w:rPr>
                <w:color w:val="000000"/>
                <w:sz w:val="18"/>
                <w:szCs w:val="18"/>
                <w:lang w:eastAsia="fr-FR"/>
              </w:rPr>
              <w:t>Grid</w:t>
            </w:r>
          </w:p>
        </w:tc>
        <w:tc>
          <w:tcPr>
            <w:tcW w:w="1276" w:type="dxa"/>
          </w:tcPr>
          <w:p w14:paraId="5D06A096" w14:textId="3B2F1ECB" w:rsidR="00B168CC" w:rsidRPr="005D31FC" w:rsidRDefault="00B168CC" w:rsidP="0090435F">
            <w:pPr>
              <w:jc w:val="both"/>
              <w:cnfStyle w:val="100000000000" w:firstRow="1" w:lastRow="0" w:firstColumn="0" w:lastColumn="0" w:oddVBand="0" w:evenVBand="0" w:oddHBand="0"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PV </w:t>
            </w:r>
          </w:p>
        </w:tc>
        <w:tc>
          <w:tcPr>
            <w:tcW w:w="1418" w:type="dxa"/>
          </w:tcPr>
          <w:p w14:paraId="624B88B6" w14:textId="3626E22A" w:rsidR="00B168CC" w:rsidRPr="005D31FC" w:rsidRDefault="00B168CC" w:rsidP="0090435F">
            <w:pPr>
              <w:jc w:val="both"/>
              <w:cnfStyle w:val="100000000000" w:firstRow="1" w:lastRow="0" w:firstColumn="0" w:lastColumn="0" w:oddVBand="0" w:evenVBand="0" w:oddHBand="0"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Battery </w:t>
            </w:r>
          </w:p>
        </w:tc>
        <w:tc>
          <w:tcPr>
            <w:tcW w:w="1507" w:type="dxa"/>
          </w:tcPr>
          <w:p w14:paraId="06C88F61" w14:textId="04AFEC7A" w:rsidR="00B168CC" w:rsidRPr="005D31FC" w:rsidRDefault="00B168CC" w:rsidP="0090435F">
            <w:pPr>
              <w:jc w:val="both"/>
              <w:cnfStyle w:val="100000000000" w:firstRow="1" w:lastRow="0" w:firstColumn="0" w:lastColumn="0" w:oddVBand="0" w:evenVBand="0" w:oddHBand="0"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Converter </w:t>
            </w:r>
          </w:p>
        </w:tc>
      </w:tr>
      <w:tr w:rsidR="00B168CC" w:rsidRPr="005D31FC" w14:paraId="6574A2AC" w14:textId="4AAB1A3B" w:rsidTr="009043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tcPr>
          <w:p w14:paraId="13AD206A" w14:textId="5BCA44D0" w:rsidR="00B168CC" w:rsidRPr="005D31FC" w:rsidRDefault="00B168CC" w:rsidP="0090435F">
            <w:pPr>
              <w:jc w:val="both"/>
              <w:rPr>
                <w:color w:val="000000"/>
                <w:sz w:val="18"/>
                <w:szCs w:val="18"/>
                <w:lang w:eastAsia="fr-FR"/>
              </w:rPr>
            </w:pPr>
            <w:r w:rsidRPr="005D31FC">
              <w:rPr>
                <w:color w:val="000000"/>
                <w:sz w:val="18"/>
                <w:szCs w:val="18"/>
                <w:lang w:eastAsia="fr-FR"/>
              </w:rPr>
              <w:t>First system</w:t>
            </w:r>
          </w:p>
        </w:tc>
        <w:tc>
          <w:tcPr>
            <w:tcW w:w="1390" w:type="dxa"/>
          </w:tcPr>
          <w:p w14:paraId="73C14F75" w14:textId="77777777" w:rsidR="00B168CC" w:rsidRPr="005D31FC" w:rsidRDefault="00B168CC" w:rsidP="005D3FAC">
            <w:pPr>
              <w:pStyle w:val="Paragraphedeliste"/>
              <w:numPr>
                <w:ilvl w:val="0"/>
                <w:numId w:val="50"/>
              </w:numPr>
              <w:cnfStyle w:val="000000100000" w:firstRow="0" w:lastRow="0" w:firstColumn="0" w:lastColumn="0" w:oddVBand="0" w:evenVBand="0" w:oddHBand="1" w:evenHBand="0" w:firstRowFirstColumn="0" w:firstRowLastColumn="0" w:lastRowFirstColumn="0" w:lastRowLastColumn="0"/>
              <w:rPr>
                <w:color w:val="000000"/>
                <w:sz w:val="18"/>
                <w:szCs w:val="18"/>
                <w:lang w:eastAsia="fr-FR"/>
              </w:rPr>
            </w:pPr>
          </w:p>
        </w:tc>
        <w:tc>
          <w:tcPr>
            <w:tcW w:w="1276" w:type="dxa"/>
          </w:tcPr>
          <w:p w14:paraId="5A122A3F" w14:textId="518CB8E4" w:rsidR="00B168CC" w:rsidRPr="005D31FC" w:rsidRDefault="00F2553D" w:rsidP="0090435F">
            <w:pPr>
              <w:jc w:val="both"/>
              <w:cnfStyle w:val="000000100000" w:firstRow="0" w:lastRow="0" w:firstColumn="0" w:lastColumn="0" w:oddVBand="0" w:evenVBand="0" w:oddHBand="1"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    </w:t>
            </w:r>
            <w:r w:rsidR="00B168CC" w:rsidRPr="005D31FC">
              <w:rPr>
                <w:color w:val="000000"/>
                <w:sz w:val="18"/>
                <w:szCs w:val="18"/>
                <w:lang w:eastAsia="fr-FR"/>
              </w:rPr>
              <w:t>×</w:t>
            </w:r>
          </w:p>
        </w:tc>
        <w:tc>
          <w:tcPr>
            <w:tcW w:w="1418" w:type="dxa"/>
          </w:tcPr>
          <w:p w14:paraId="05EB9EB6" w14:textId="21ED84AB" w:rsidR="00B168CC" w:rsidRPr="005D31FC" w:rsidRDefault="00B168CC" w:rsidP="0090435F">
            <w:pPr>
              <w:jc w:val="both"/>
              <w:cnfStyle w:val="000000100000" w:firstRow="0" w:lastRow="0" w:firstColumn="0" w:lastColumn="0" w:oddVBand="0" w:evenVBand="0" w:oddHBand="1"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      ×</w:t>
            </w:r>
          </w:p>
        </w:tc>
        <w:tc>
          <w:tcPr>
            <w:tcW w:w="1507" w:type="dxa"/>
          </w:tcPr>
          <w:p w14:paraId="3B346E34" w14:textId="52CA2096" w:rsidR="00B168CC" w:rsidRPr="005D31FC" w:rsidRDefault="00B168CC" w:rsidP="0090435F">
            <w:pPr>
              <w:jc w:val="both"/>
              <w:cnfStyle w:val="000000100000" w:firstRow="0" w:lastRow="0" w:firstColumn="0" w:lastColumn="0" w:oddVBand="0" w:evenVBand="0" w:oddHBand="1"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          ×</w:t>
            </w:r>
          </w:p>
        </w:tc>
      </w:tr>
      <w:tr w:rsidR="00B168CC" w:rsidRPr="005D31FC" w14:paraId="2FACA4E2" w14:textId="018EB434" w:rsidTr="0090435F">
        <w:trPr>
          <w:jc w:val="center"/>
        </w:trPr>
        <w:tc>
          <w:tcPr>
            <w:cnfStyle w:val="001000000000" w:firstRow="0" w:lastRow="0" w:firstColumn="1" w:lastColumn="0" w:oddVBand="0" w:evenVBand="0" w:oddHBand="0" w:evenHBand="0" w:firstRowFirstColumn="0" w:firstRowLastColumn="0" w:lastRowFirstColumn="0" w:lastRowLastColumn="0"/>
            <w:tcW w:w="1417" w:type="dxa"/>
          </w:tcPr>
          <w:p w14:paraId="46917BE6" w14:textId="56871FB1" w:rsidR="00B168CC" w:rsidRPr="005D31FC" w:rsidRDefault="00B168CC" w:rsidP="0090435F">
            <w:pPr>
              <w:jc w:val="both"/>
              <w:rPr>
                <w:color w:val="000000"/>
                <w:sz w:val="18"/>
                <w:szCs w:val="18"/>
                <w:lang w:eastAsia="fr-FR"/>
              </w:rPr>
            </w:pPr>
            <w:r w:rsidRPr="005D31FC">
              <w:rPr>
                <w:color w:val="000000"/>
                <w:sz w:val="18"/>
                <w:szCs w:val="18"/>
                <w:lang w:eastAsia="fr-FR"/>
              </w:rPr>
              <w:t>Second system</w:t>
            </w:r>
            <w:r w:rsidR="005D3FAC" w:rsidRPr="005D31FC">
              <w:rPr>
                <w:color w:val="000000"/>
                <w:sz w:val="18"/>
                <w:szCs w:val="18"/>
                <w:lang w:eastAsia="fr-FR"/>
              </w:rPr>
              <w:t xml:space="preserve">        </w:t>
            </w:r>
          </w:p>
        </w:tc>
        <w:tc>
          <w:tcPr>
            <w:tcW w:w="1390" w:type="dxa"/>
          </w:tcPr>
          <w:p w14:paraId="564AF11B" w14:textId="7B5DDA09" w:rsidR="00B168CC" w:rsidRPr="005D31FC" w:rsidRDefault="00B168CC" w:rsidP="005D3FAC">
            <w:pPr>
              <w:pStyle w:val="Paragraphedeliste"/>
              <w:numPr>
                <w:ilvl w:val="0"/>
                <w:numId w:val="50"/>
              </w:numPr>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fr-FR"/>
              </w:rPr>
            </w:pPr>
          </w:p>
        </w:tc>
        <w:tc>
          <w:tcPr>
            <w:tcW w:w="1276" w:type="dxa"/>
          </w:tcPr>
          <w:p w14:paraId="14108EC0" w14:textId="5941955D" w:rsidR="00B168CC" w:rsidRPr="005D31FC" w:rsidRDefault="0090435F" w:rsidP="0090435F">
            <w:pPr>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0,0964 kW </w:t>
            </w:r>
          </w:p>
        </w:tc>
        <w:tc>
          <w:tcPr>
            <w:tcW w:w="1418" w:type="dxa"/>
          </w:tcPr>
          <w:p w14:paraId="5A410B7A" w14:textId="3A705314" w:rsidR="00B168CC" w:rsidRPr="005D31FC" w:rsidRDefault="0090435F" w:rsidP="0090435F">
            <w:pPr>
              <w:cnfStyle w:val="000000000000" w:firstRow="0" w:lastRow="0" w:firstColumn="0" w:lastColumn="0" w:oddVBand="0" w:evenVBand="0" w:oddHBand="0"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      ×</w:t>
            </w:r>
          </w:p>
        </w:tc>
        <w:tc>
          <w:tcPr>
            <w:tcW w:w="1507" w:type="dxa"/>
          </w:tcPr>
          <w:p w14:paraId="0C623C36" w14:textId="49CEDAE3" w:rsidR="00B168CC" w:rsidRPr="005D31FC" w:rsidRDefault="0090435F" w:rsidP="0090435F">
            <w:pPr>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0,128 kW </w:t>
            </w:r>
          </w:p>
        </w:tc>
      </w:tr>
      <w:tr w:rsidR="00B168CC" w:rsidRPr="005D31FC" w14:paraId="24D36629" w14:textId="5A7275DE" w:rsidTr="009043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tcPr>
          <w:p w14:paraId="0D3E2D99" w14:textId="04946CEC" w:rsidR="00B168CC" w:rsidRPr="005D31FC" w:rsidRDefault="00B168CC" w:rsidP="0090435F">
            <w:pPr>
              <w:jc w:val="both"/>
              <w:rPr>
                <w:color w:val="000000"/>
                <w:sz w:val="18"/>
                <w:szCs w:val="18"/>
                <w:lang w:eastAsia="fr-FR"/>
              </w:rPr>
            </w:pPr>
            <w:r w:rsidRPr="005D31FC">
              <w:rPr>
                <w:color w:val="000000"/>
                <w:sz w:val="18"/>
                <w:szCs w:val="18"/>
                <w:lang w:eastAsia="fr-FR"/>
              </w:rPr>
              <w:t>Third system</w:t>
            </w:r>
          </w:p>
        </w:tc>
        <w:tc>
          <w:tcPr>
            <w:tcW w:w="1390" w:type="dxa"/>
          </w:tcPr>
          <w:p w14:paraId="2568029A" w14:textId="77777777" w:rsidR="00B168CC" w:rsidRPr="005D31FC" w:rsidRDefault="00B168CC" w:rsidP="005D3FAC">
            <w:pPr>
              <w:pStyle w:val="Paragraphedeliste"/>
              <w:numPr>
                <w:ilvl w:val="0"/>
                <w:numId w:val="50"/>
              </w:numPr>
              <w:jc w:val="both"/>
              <w:cnfStyle w:val="000000100000" w:firstRow="0" w:lastRow="0" w:firstColumn="0" w:lastColumn="0" w:oddVBand="0" w:evenVBand="0" w:oddHBand="1" w:evenHBand="0" w:firstRowFirstColumn="0" w:firstRowLastColumn="0" w:lastRowFirstColumn="0" w:lastRowLastColumn="0"/>
              <w:rPr>
                <w:color w:val="000000"/>
                <w:sz w:val="18"/>
                <w:szCs w:val="18"/>
                <w:lang w:eastAsia="fr-FR"/>
              </w:rPr>
            </w:pPr>
          </w:p>
        </w:tc>
        <w:tc>
          <w:tcPr>
            <w:tcW w:w="1276" w:type="dxa"/>
          </w:tcPr>
          <w:p w14:paraId="22389461" w14:textId="2180B988" w:rsidR="00B168CC" w:rsidRPr="005D31FC" w:rsidRDefault="00F2553D" w:rsidP="00F2553D">
            <w:pPr>
              <w:cnfStyle w:val="000000100000" w:firstRow="0" w:lastRow="0" w:firstColumn="0" w:lastColumn="0" w:oddVBand="0" w:evenVBand="0" w:oddHBand="1"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     </w:t>
            </w:r>
            <w:r w:rsidR="0090435F" w:rsidRPr="005D31FC">
              <w:rPr>
                <w:color w:val="000000"/>
                <w:sz w:val="18"/>
                <w:szCs w:val="18"/>
                <w:lang w:eastAsia="fr-FR"/>
              </w:rPr>
              <w:t>×</w:t>
            </w:r>
          </w:p>
        </w:tc>
        <w:tc>
          <w:tcPr>
            <w:tcW w:w="1418" w:type="dxa"/>
          </w:tcPr>
          <w:p w14:paraId="6FA11D2F" w14:textId="4DC591E1" w:rsidR="00B168CC" w:rsidRPr="005D31FC" w:rsidRDefault="0090435F" w:rsidP="0090435F">
            <w:pPr>
              <w:jc w:val="both"/>
              <w:cnfStyle w:val="000000100000" w:firstRow="0" w:lastRow="0" w:firstColumn="0" w:lastColumn="0" w:oddVBand="0" w:evenVBand="0" w:oddHBand="1"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1 kWh </w:t>
            </w:r>
          </w:p>
        </w:tc>
        <w:tc>
          <w:tcPr>
            <w:tcW w:w="1507" w:type="dxa"/>
          </w:tcPr>
          <w:p w14:paraId="12E98D03" w14:textId="154D0E02" w:rsidR="00B168CC" w:rsidRPr="005D31FC" w:rsidRDefault="0090435F" w:rsidP="0090435F">
            <w:pPr>
              <w:jc w:val="both"/>
              <w:cnfStyle w:val="000000100000" w:firstRow="0" w:lastRow="0" w:firstColumn="0" w:lastColumn="0" w:oddVBand="0" w:evenVBand="0" w:oddHBand="1"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0,490 kW </w:t>
            </w:r>
          </w:p>
        </w:tc>
      </w:tr>
      <w:tr w:rsidR="00B168CC" w:rsidRPr="005D31FC" w14:paraId="03943B01" w14:textId="22375439" w:rsidTr="0090435F">
        <w:trPr>
          <w:jc w:val="center"/>
        </w:trPr>
        <w:tc>
          <w:tcPr>
            <w:cnfStyle w:val="001000000000" w:firstRow="0" w:lastRow="0" w:firstColumn="1" w:lastColumn="0" w:oddVBand="0" w:evenVBand="0" w:oddHBand="0" w:evenHBand="0" w:firstRowFirstColumn="0" w:firstRowLastColumn="0" w:lastRowFirstColumn="0" w:lastRowLastColumn="0"/>
            <w:tcW w:w="1417" w:type="dxa"/>
          </w:tcPr>
          <w:p w14:paraId="5D0303F7" w14:textId="2689E517" w:rsidR="00B168CC" w:rsidRPr="005D31FC" w:rsidRDefault="00B168CC" w:rsidP="0090435F">
            <w:pPr>
              <w:jc w:val="both"/>
              <w:rPr>
                <w:color w:val="000000"/>
                <w:sz w:val="18"/>
                <w:szCs w:val="18"/>
                <w:lang w:eastAsia="fr-FR"/>
              </w:rPr>
            </w:pPr>
            <w:r w:rsidRPr="005D31FC">
              <w:rPr>
                <w:color w:val="000000"/>
                <w:sz w:val="18"/>
                <w:szCs w:val="18"/>
                <w:lang w:eastAsia="fr-FR"/>
              </w:rPr>
              <w:t xml:space="preserve">Fourth system </w:t>
            </w:r>
          </w:p>
        </w:tc>
        <w:tc>
          <w:tcPr>
            <w:tcW w:w="1390" w:type="dxa"/>
          </w:tcPr>
          <w:p w14:paraId="57BC0919" w14:textId="77777777" w:rsidR="00B168CC" w:rsidRPr="005D31FC" w:rsidRDefault="00B168CC" w:rsidP="005D3FAC">
            <w:pPr>
              <w:pStyle w:val="Paragraphedeliste"/>
              <w:numPr>
                <w:ilvl w:val="0"/>
                <w:numId w:val="50"/>
              </w:numPr>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fr-FR"/>
              </w:rPr>
            </w:pPr>
          </w:p>
        </w:tc>
        <w:tc>
          <w:tcPr>
            <w:tcW w:w="1276" w:type="dxa"/>
          </w:tcPr>
          <w:p w14:paraId="63B5F346" w14:textId="17E1A32D" w:rsidR="00B168CC" w:rsidRPr="005D31FC" w:rsidRDefault="0090435F" w:rsidP="0090435F">
            <w:pPr>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0,214 kW </w:t>
            </w:r>
          </w:p>
        </w:tc>
        <w:tc>
          <w:tcPr>
            <w:tcW w:w="1418" w:type="dxa"/>
          </w:tcPr>
          <w:p w14:paraId="5642B38C" w14:textId="5CFE23F8" w:rsidR="00B168CC" w:rsidRPr="005D31FC" w:rsidRDefault="0090435F" w:rsidP="0090435F">
            <w:pPr>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1 kWh </w:t>
            </w:r>
          </w:p>
        </w:tc>
        <w:tc>
          <w:tcPr>
            <w:tcW w:w="1507" w:type="dxa"/>
          </w:tcPr>
          <w:p w14:paraId="57EEEA02" w14:textId="3D1BE257" w:rsidR="00B168CC" w:rsidRPr="005D31FC" w:rsidRDefault="0090435F" w:rsidP="0090435F">
            <w:pPr>
              <w:jc w:val="both"/>
              <w:cnfStyle w:val="000000000000" w:firstRow="0" w:lastRow="0" w:firstColumn="0" w:lastColumn="0" w:oddVBand="0" w:evenVBand="0" w:oddHBand="0" w:evenHBand="0" w:firstRowFirstColumn="0" w:firstRowLastColumn="0" w:lastRowFirstColumn="0" w:lastRowLastColumn="0"/>
              <w:rPr>
                <w:color w:val="000000"/>
                <w:sz w:val="18"/>
                <w:szCs w:val="18"/>
                <w:lang w:eastAsia="fr-FR"/>
              </w:rPr>
            </w:pPr>
            <w:r w:rsidRPr="005D31FC">
              <w:rPr>
                <w:color w:val="000000"/>
                <w:sz w:val="18"/>
                <w:szCs w:val="18"/>
                <w:lang w:eastAsia="fr-FR"/>
              </w:rPr>
              <w:t xml:space="preserve">1,14 kW </w:t>
            </w:r>
          </w:p>
        </w:tc>
      </w:tr>
    </w:tbl>
    <w:p w14:paraId="17B050AE" w14:textId="78DE0E99" w:rsidR="00A55A98" w:rsidRPr="005D31FC" w:rsidRDefault="00A55A98" w:rsidP="005D3FAC">
      <w:pPr>
        <w:pStyle w:val="Paragraph"/>
        <w:ind w:firstLine="0"/>
        <w:rPr>
          <w:lang w:val="fr-FR"/>
        </w:rPr>
      </w:pPr>
    </w:p>
    <w:p w14:paraId="04805A2F" w14:textId="74A31E56" w:rsidR="00D43B82" w:rsidRPr="005D31FC" w:rsidRDefault="00D43B82" w:rsidP="00D43B82">
      <w:pPr>
        <w:pStyle w:val="Titre1"/>
        <w:rPr>
          <w:lang w:eastAsia="fr-FR"/>
        </w:rPr>
      </w:pPr>
      <w:r w:rsidRPr="005D31FC">
        <w:rPr>
          <w:rFonts w:eastAsia="Calibri"/>
        </w:rPr>
        <w:t xml:space="preserve">ELECTRIC VEHICLE CHARGING SYSTEM VERSUS HYDROGEN VEHICLE CHARGING: SENSITIVITY ANALYSIS  </w:t>
      </w:r>
    </w:p>
    <w:p w14:paraId="27E02833" w14:textId="1655B9DD" w:rsidR="00D43B82" w:rsidRPr="005D31FC" w:rsidRDefault="00D43B82" w:rsidP="004472B0">
      <w:pPr>
        <w:pStyle w:val="Paragraph"/>
        <w:ind w:firstLine="720"/>
        <w:rPr>
          <w:lang w:eastAsia="fr-FR"/>
        </w:rPr>
      </w:pPr>
      <w:r w:rsidRPr="005D31FC">
        <w:rPr>
          <w:lang w:eastAsia="fr-FR"/>
        </w:rPr>
        <w:t xml:space="preserve">In order to evaluate the economic performance and renewable energy fraction of </w:t>
      </w:r>
      <w:r w:rsidR="005625D3" w:rsidRPr="005D31FC">
        <w:rPr>
          <w:lang w:eastAsia="fr-FR"/>
        </w:rPr>
        <w:t xml:space="preserve">the </w:t>
      </w:r>
      <w:r w:rsidRPr="005D31FC">
        <w:rPr>
          <w:lang w:eastAsia="fr-FR"/>
        </w:rPr>
        <w:t xml:space="preserve">EV charging systems. A Hydrogen vehicle (HV) with </w:t>
      </w:r>
      <w:r w:rsidR="00227CBC" w:rsidRPr="005D31FC">
        <w:rPr>
          <w:lang w:eastAsia="fr-FR"/>
        </w:rPr>
        <w:t xml:space="preserve">a </w:t>
      </w:r>
      <w:r w:rsidRPr="005D31FC">
        <w:rPr>
          <w:lang w:eastAsia="fr-FR"/>
        </w:rPr>
        <w:t xml:space="preserve">tank capacity of 6.3kg is considered </w:t>
      </w:r>
      <w:r w:rsidR="005625D3" w:rsidRPr="005D31FC">
        <w:rPr>
          <w:lang w:eastAsia="fr-FR"/>
        </w:rPr>
        <w:t xml:space="preserve">as </w:t>
      </w:r>
      <w:r w:rsidRPr="005D31FC">
        <w:rPr>
          <w:lang w:eastAsia="fr-FR"/>
        </w:rPr>
        <w:t>the new load in the ener</w:t>
      </w:r>
      <w:r w:rsidR="005625D3" w:rsidRPr="005D31FC">
        <w:rPr>
          <w:lang w:eastAsia="fr-FR"/>
        </w:rPr>
        <w:t>gy powering system instead of the electric</w:t>
      </w:r>
      <w:r w:rsidRPr="005D31FC">
        <w:rPr>
          <w:lang w:eastAsia="fr-FR"/>
        </w:rPr>
        <w:t xml:space="preserve"> vehicle. This approach aims to study the economic impact of each type of vehicle </w:t>
      </w:r>
      <w:r w:rsidR="005625D3" w:rsidRPr="005D31FC">
        <w:rPr>
          <w:lang w:eastAsia="fr-FR"/>
        </w:rPr>
        <w:t xml:space="preserve">requiring energy from </w:t>
      </w:r>
      <w:r w:rsidRPr="005D31FC">
        <w:rPr>
          <w:lang w:eastAsia="fr-FR"/>
        </w:rPr>
        <w:t xml:space="preserve">residential areas. </w:t>
      </w:r>
      <w:r w:rsidR="005625D3" w:rsidRPr="005D31FC">
        <w:rPr>
          <w:lang w:eastAsia="fr-FR"/>
        </w:rPr>
        <w:t xml:space="preserve"> </w:t>
      </w:r>
      <w:r w:rsidRPr="005D31FC">
        <w:rPr>
          <w:lang w:eastAsia="fr-FR"/>
        </w:rPr>
        <w:t xml:space="preserve">The result </w:t>
      </w:r>
      <w:r w:rsidR="00227CBC" w:rsidRPr="005D31FC">
        <w:rPr>
          <w:lang w:eastAsia="fr-FR"/>
        </w:rPr>
        <w:t>of</w:t>
      </w:r>
      <w:r w:rsidRPr="005D31FC">
        <w:rPr>
          <w:lang w:eastAsia="fr-FR"/>
        </w:rPr>
        <w:t xml:space="preserve"> HV charging in </w:t>
      </w:r>
      <w:r w:rsidR="00227CBC" w:rsidRPr="005D31FC">
        <w:rPr>
          <w:lang w:eastAsia="fr-FR"/>
        </w:rPr>
        <w:t xml:space="preserve">the </w:t>
      </w:r>
      <w:r w:rsidRPr="005D31FC">
        <w:rPr>
          <w:lang w:eastAsia="fr-FR"/>
        </w:rPr>
        <w:t xml:space="preserve">home station proves the feasibility of integrating two major HV systems. The first HV system is composed of a PV generator with 94,4 kW, an electric utility grid, a power converter with 2,72 kW,50 kw for an electrolyzer, and a 28 kg hydrogen </w:t>
      </w:r>
      <w:r w:rsidR="00227CBC" w:rsidRPr="005D31FC">
        <w:rPr>
          <w:lang w:eastAsia="fr-FR"/>
        </w:rPr>
        <w:t xml:space="preserve">storage </w:t>
      </w:r>
      <w:r w:rsidRPr="005D31FC">
        <w:rPr>
          <w:lang w:eastAsia="fr-FR"/>
        </w:rPr>
        <w:t>tank. The cost distribution of this HV system is divided as follows: the NPC cost is 402740,33€, the LCOE is 6,57€, while the operating cost is equal to 10284,76€/year.</w:t>
      </w:r>
      <w:r w:rsidR="00227CBC" w:rsidRPr="005D31FC">
        <w:rPr>
          <w:lang w:eastAsia="fr-FR"/>
        </w:rPr>
        <w:t xml:space="preserve"> </w:t>
      </w:r>
      <w:r w:rsidRPr="005D31FC">
        <w:rPr>
          <w:lang w:eastAsia="fr-FR"/>
        </w:rPr>
        <w:t xml:space="preserve">The second HV system is composed of a PV generator with 95,2 kW, five lead acid batteries with </w:t>
      </w:r>
      <w:r w:rsidR="00227CBC" w:rsidRPr="005D31FC">
        <w:rPr>
          <w:lang w:eastAsia="fr-FR"/>
        </w:rPr>
        <w:t>1 kWh</w:t>
      </w:r>
      <w:r w:rsidRPr="005D31FC">
        <w:rPr>
          <w:lang w:eastAsia="fr-FR"/>
        </w:rPr>
        <w:t xml:space="preserve">, an electrolyzer with an expected power of 50 kw, a power converter with a capacity of </w:t>
      </w:r>
      <w:r w:rsidR="00227CBC" w:rsidRPr="005D31FC">
        <w:rPr>
          <w:lang w:eastAsia="fr-FR"/>
        </w:rPr>
        <w:t>0.451 kW,</w:t>
      </w:r>
      <w:r w:rsidRPr="005D31FC">
        <w:rPr>
          <w:lang w:eastAsia="fr-FR"/>
        </w:rPr>
        <w:t xml:space="preserve"> and </w:t>
      </w:r>
      <w:r w:rsidR="00227CBC" w:rsidRPr="005D31FC">
        <w:rPr>
          <w:lang w:eastAsia="fr-FR"/>
        </w:rPr>
        <w:t xml:space="preserve">a </w:t>
      </w:r>
      <w:r w:rsidRPr="005D31FC">
        <w:rPr>
          <w:lang w:eastAsia="fr-FR"/>
        </w:rPr>
        <w:t>28 kg hydrogen tank capacity. The second   HV system’s capital cost is distributed as follows: the NPC is 409881,44€, the LCOE is 36€/kWh</w:t>
      </w:r>
      <w:r w:rsidR="00227CBC" w:rsidRPr="005D31FC">
        <w:rPr>
          <w:lang w:eastAsia="fr-FR"/>
        </w:rPr>
        <w:t>,</w:t>
      </w:r>
      <w:r w:rsidRPr="005D31FC">
        <w:rPr>
          <w:lang w:eastAsia="fr-FR"/>
        </w:rPr>
        <w:t xml:space="preserve"> and the operating cost is equal to 10675,15€/year. </w:t>
      </w:r>
      <w:r w:rsidR="004472B0" w:rsidRPr="005D31FC">
        <w:rPr>
          <w:lang w:eastAsia="fr-FR"/>
        </w:rPr>
        <w:t xml:space="preserve">  </w:t>
      </w:r>
      <w:r w:rsidRPr="005D31FC">
        <w:rPr>
          <w:lang w:eastAsia="fr-FR"/>
        </w:rPr>
        <w:t xml:space="preserve">As a result, the hydrogen vehicle station capital </w:t>
      </w:r>
      <w:r w:rsidRPr="005D31FC">
        <w:rPr>
          <w:lang w:eastAsia="fr-FR"/>
        </w:rPr>
        <w:lastRenderedPageBreak/>
        <w:t>cost for both systems is higher than the NPC cost of the four EV powering system m</w:t>
      </w:r>
      <w:r w:rsidR="00F1275D" w:rsidRPr="005D31FC">
        <w:rPr>
          <w:lang w:eastAsia="fr-FR"/>
        </w:rPr>
        <w:t>echanisms studied to implement the</w:t>
      </w:r>
      <w:r w:rsidRPr="005D31FC">
        <w:rPr>
          <w:lang w:eastAsia="fr-FR"/>
        </w:rPr>
        <w:t xml:space="preserve"> vehicle station in a home, ranging between </w:t>
      </w:r>
      <w:r w:rsidRPr="005D31FC">
        <w:rPr>
          <w:color w:val="000000"/>
          <w:lang w:eastAsia="fr-FR"/>
        </w:rPr>
        <w:t xml:space="preserve">94250,91€ for the first </w:t>
      </w:r>
      <w:r w:rsidRPr="005D31FC">
        <w:rPr>
          <w:lang w:eastAsia="fr-FR"/>
        </w:rPr>
        <w:t>EV powering system mechanism</w:t>
      </w:r>
      <w:r w:rsidRPr="005D31FC">
        <w:rPr>
          <w:color w:val="000000"/>
          <w:lang w:eastAsia="fr-FR"/>
        </w:rPr>
        <w:t xml:space="preserve"> and </w:t>
      </w:r>
      <w:r w:rsidR="00227CBC" w:rsidRPr="005D31FC">
        <w:rPr>
          <w:rFonts w:eastAsia="Calibri"/>
        </w:rPr>
        <w:t>95316€</w:t>
      </w:r>
      <w:r w:rsidRPr="005D31FC">
        <w:rPr>
          <w:rFonts w:eastAsia="Calibri"/>
        </w:rPr>
        <w:t xml:space="preserve"> for the fourth </w:t>
      </w:r>
      <w:r w:rsidRPr="005D31FC">
        <w:rPr>
          <w:lang w:eastAsia="fr-FR"/>
        </w:rPr>
        <w:t xml:space="preserve">EV powering </w:t>
      </w:r>
      <w:r w:rsidRPr="005D31FC">
        <w:rPr>
          <w:rFonts w:eastAsia="Calibri"/>
        </w:rPr>
        <w:t>system. However, the result indicates that hydrogen vehicle charging depends on renewable energy system components</w:t>
      </w:r>
      <w:r w:rsidR="00227CBC" w:rsidRPr="005D31FC">
        <w:rPr>
          <w:rFonts w:eastAsia="Calibri"/>
        </w:rPr>
        <w:t>,</w:t>
      </w:r>
      <w:r w:rsidRPr="005D31FC">
        <w:rPr>
          <w:rFonts w:eastAsia="Calibri"/>
        </w:rPr>
        <w:t xml:space="preserve"> namely the PV generator</w:t>
      </w:r>
      <w:r w:rsidR="00227CBC" w:rsidRPr="005D31FC">
        <w:rPr>
          <w:rFonts w:eastAsia="Calibri"/>
        </w:rPr>
        <w:t>,</w:t>
      </w:r>
      <w:r w:rsidRPr="005D31FC">
        <w:rPr>
          <w:rFonts w:eastAsia="Calibri"/>
        </w:rPr>
        <w:t xml:space="preserve"> with 99.35% as a renewable energy fraction. </w:t>
      </w:r>
    </w:p>
    <w:p w14:paraId="5D72F548" w14:textId="1B15546C" w:rsidR="00D43B82" w:rsidRPr="005D31FC" w:rsidRDefault="004472B0" w:rsidP="004472B0">
      <w:pPr>
        <w:pStyle w:val="Paragraph"/>
        <w:ind w:firstLine="113"/>
        <w:rPr>
          <w:rFonts w:eastAsia="Calibri"/>
        </w:rPr>
      </w:pPr>
      <w:r w:rsidRPr="005D31FC">
        <w:rPr>
          <w:rFonts w:eastAsia="Calibri"/>
        </w:rPr>
        <w:t xml:space="preserve"> </w:t>
      </w:r>
      <w:r w:rsidRPr="005D31FC">
        <w:rPr>
          <w:lang w:eastAsia="fr-FR"/>
        </w:rPr>
        <w:t xml:space="preserve">The LCOE of the second system of HV charging station appears high compared to the LCOE of the first system; however, the difference in cost is justified by the components deployed in each system, namely the integration of batteries as storage devices. </w:t>
      </w:r>
      <w:r w:rsidR="00D43B82" w:rsidRPr="005D31FC">
        <w:rPr>
          <w:rFonts w:eastAsia="Calibri"/>
        </w:rPr>
        <w:t>In this context, to reduce the cost of implementing the hydrogen vehicle home charging station</w:t>
      </w:r>
      <w:r w:rsidR="004F0175" w:rsidRPr="005D31FC">
        <w:rPr>
          <w:rFonts w:eastAsia="Calibri"/>
        </w:rPr>
        <w:t xml:space="preserve"> (</w:t>
      </w:r>
      <w:r w:rsidR="00750567" w:rsidRPr="005D31FC">
        <w:rPr>
          <w:rFonts w:eastAsia="Calibri"/>
        </w:rPr>
        <w:t xml:space="preserve">the LCOE </w:t>
      </w:r>
      <w:r w:rsidRPr="005D31FC">
        <w:rPr>
          <w:rFonts w:eastAsia="Calibri"/>
        </w:rPr>
        <w:t xml:space="preserve">of the second system is </w:t>
      </w:r>
      <w:r w:rsidRPr="005D31FC">
        <w:rPr>
          <w:lang w:eastAsia="fr-FR"/>
        </w:rPr>
        <w:t>36€/kWh)</w:t>
      </w:r>
      <w:r w:rsidR="00D43B82" w:rsidRPr="005D31FC">
        <w:rPr>
          <w:rFonts w:eastAsia="Calibri"/>
        </w:rPr>
        <w:t>, the solar-scaled average radiation is changed to examine the cost variation. The estimation result demonstrates that the NPC cost, LCOE</w:t>
      </w:r>
      <w:r w:rsidR="00227CBC" w:rsidRPr="005D31FC">
        <w:rPr>
          <w:rFonts w:eastAsia="Calibri"/>
        </w:rPr>
        <w:t>,</w:t>
      </w:r>
      <w:r w:rsidR="00D43B82" w:rsidRPr="005D31FC">
        <w:rPr>
          <w:rFonts w:eastAsia="Calibri"/>
        </w:rPr>
        <w:t xml:space="preserve"> and </w:t>
      </w:r>
      <w:r w:rsidR="00227CBC" w:rsidRPr="005D31FC">
        <w:rPr>
          <w:rFonts w:eastAsia="Calibri"/>
        </w:rPr>
        <w:t>operating</w:t>
      </w:r>
      <w:r w:rsidR="00D43B82" w:rsidRPr="005D31FC">
        <w:rPr>
          <w:rFonts w:eastAsia="Calibri"/>
        </w:rPr>
        <w:t xml:space="preserve"> cost are steadily decreasing with the enhancement of solar radiation value</w:t>
      </w:r>
      <w:r w:rsidR="00227CBC" w:rsidRPr="005D31FC">
        <w:rPr>
          <w:rFonts w:eastAsia="Calibri"/>
        </w:rPr>
        <w:t>,</w:t>
      </w:r>
      <w:r w:rsidR="00B168CC" w:rsidRPr="005D31FC">
        <w:rPr>
          <w:rFonts w:eastAsia="Calibri"/>
        </w:rPr>
        <w:t xml:space="preserve"> as indicated below in Table 4</w:t>
      </w:r>
      <w:r w:rsidR="00D43B82" w:rsidRPr="005D31FC">
        <w:rPr>
          <w:rFonts w:eastAsia="Calibri"/>
        </w:rPr>
        <w:t>.</w:t>
      </w:r>
    </w:p>
    <w:p w14:paraId="3FB42853" w14:textId="08AD3E80" w:rsidR="00A20986" w:rsidRPr="005D31FC" w:rsidRDefault="00A20986" w:rsidP="00A20986">
      <w:pPr>
        <w:pStyle w:val="TableCaption"/>
      </w:pPr>
      <w:r w:rsidRPr="005D31FC">
        <w:rPr>
          <w:rFonts w:eastAsia="Calibri"/>
          <w:b/>
        </w:rPr>
        <w:t xml:space="preserve">TABLE </w:t>
      </w:r>
      <w:r w:rsidR="00B168CC" w:rsidRPr="005D31FC">
        <w:rPr>
          <w:rFonts w:eastAsia="Calibri"/>
          <w:b/>
        </w:rPr>
        <w:t>4</w:t>
      </w:r>
      <w:r w:rsidRPr="005D31FC">
        <w:rPr>
          <w:rFonts w:eastAsia="Calibri"/>
          <w:b/>
        </w:rPr>
        <w:t xml:space="preserve">. </w:t>
      </w:r>
      <w:r w:rsidRPr="005D31FC">
        <w:t>Solar radiation variation impact on system cost</w:t>
      </w:r>
    </w:p>
    <w:p w14:paraId="7FA0EDED" w14:textId="77777777" w:rsidR="00693D96" w:rsidRPr="005D31FC" w:rsidRDefault="00693D96" w:rsidP="00A20986">
      <w:pPr>
        <w:pStyle w:val="TableCaption"/>
      </w:pPr>
    </w:p>
    <w:tbl>
      <w:tblPr>
        <w:tblStyle w:val="Tableausimple2"/>
        <w:tblW w:w="9233" w:type="dxa"/>
        <w:jc w:val="center"/>
        <w:tblLook w:val="04A0" w:firstRow="1" w:lastRow="0" w:firstColumn="1" w:lastColumn="0" w:noHBand="0" w:noVBand="1"/>
      </w:tblPr>
      <w:tblGrid>
        <w:gridCol w:w="2173"/>
        <w:gridCol w:w="2334"/>
        <w:gridCol w:w="2565"/>
        <w:gridCol w:w="2161"/>
      </w:tblGrid>
      <w:tr w:rsidR="00693D96" w:rsidRPr="005D31FC" w14:paraId="569E4702" w14:textId="77777777" w:rsidTr="00693D96">
        <w:trPr>
          <w:cnfStyle w:val="100000000000" w:firstRow="1" w:lastRow="0" w:firstColumn="0" w:lastColumn="0" w:oddVBand="0" w:evenVBand="0" w:oddHBand="0"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2173" w:type="dxa"/>
            <w:hideMark/>
          </w:tcPr>
          <w:p w14:paraId="7D7BD91B" w14:textId="43EF6997" w:rsidR="00A20986" w:rsidRPr="005D31FC" w:rsidRDefault="00A20986" w:rsidP="003D7BC3">
            <w:pPr>
              <w:jc w:val="both"/>
              <w:rPr>
                <w:i/>
                <w:iCs/>
                <w:caps/>
                <w:color w:val="000000"/>
                <w:sz w:val="18"/>
                <w:szCs w:val="18"/>
                <w:lang w:eastAsia="fr-FR"/>
              </w:rPr>
            </w:pPr>
            <w:r w:rsidRPr="005D31FC">
              <w:rPr>
                <w:color w:val="000000"/>
                <w:sz w:val="18"/>
                <w:szCs w:val="18"/>
                <w:lang w:eastAsia="fr-FR"/>
              </w:rPr>
              <w:t>Solar scaled</w:t>
            </w:r>
            <w:r w:rsidR="00693D96" w:rsidRPr="005D31FC">
              <w:rPr>
                <w:color w:val="000000"/>
                <w:sz w:val="18"/>
                <w:szCs w:val="18"/>
                <w:lang w:eastAsia="fr-FR"/>
              </w:rPr>
              <w:t xml:space="preserve"> </w:t>
            </w:r>
            <w:r w:rsidRPr="005D31FC">
              <w:rPr>
                <w:color w:val="000000"/>
                <w:sz w:val="18"/>
                <w:szCs w:val="18"/>
                <w:lang w:eastAsia="fr-FR"/>
              </w:rPr>
              <w:t>average (kwh/m</w:t>
            </w:r>
            <w:r w:rsidRPr="005D31FC">
              <w:rPr>
                <w:caps/>
                <w:color w:val="000000"/>
                <w:sz w:val="18"/>
                <w:szCs w:val="18"/>
                <w:vertAlign w:val="superscript"/>
                <w:lang w:eastAsia="fr-FR"/>
              </w:rPr>
              <w:t>2</w:t>
            </w:r>
            <w:r w:rsidRPr="005D31FC">
              <w:rPr>
                <w:color w:val="000000"/>
                <w:sz w:val="18"/>
                <w:szCs w:val="18"/>
                <w:lang w:eastAsia="fr-FR"/>
              </w:rPr>
              <w:t>/day)</w:t>
            </w:r>
          </w:p>
        </w:tc>
        <w:tc>
          <w:tcPr>
            <w:tcW w:w="2334" w:type="dxa"/>
            <w:noWrap/>
            <w:hideMark/>
          </w:tcPr>
          <w:p w14:paraId="1344E2AA" w14:textId="77777777" w:rsidR="00A20986" w:rsidRPr="005D31FC" w:rsidRDefault="00A20986" w:rsidP="00693D96">
            <w:pPr>
              <w:jc w:val="center"/>
              <w:cnfStyle w:val="100000000000" w:firstRow="1" w:lastRow="0" w:firstColumn="0" w:lastColumn="0" w:oddVBand="0" w:evenVBand="0" w:oddHBand="0" w:evenHBand="0" w:firstRowFirstColumn="0" w:firstRowLastColumn="0" w:lastRowFirstColumn="0" w:lastRowLastColumn="0"/>
              <w:rPr>
                <w:i/>
                <w:iCs/>
                <w:caps/>
                <w:color w:val="000000"/>
                <w:sz w:val="18"/>
                <w:szCs w:val="18"/>
                <w:lang w:eastAsia="fr-FR"/>
              </w:rPr>
            </w:pPr>
            <w:r w:rsidRPr="005D31FC">
              <w:rPr>
                <w:color w:val="000000"/>
                <w:sz w:val="18"/>
                <w:szCs w:val="18"/>
                <w:lang w:eastAsia="fr-FR"/>
              </w:rPr>
              <w:t>NPC (€)</w:t>
            </w:r>
          </w:p>
        </w:tc>
        <w:tc>
          <w:tcPr>
            <w:tcW w:w="2565" w:type="dxa"/>
            <w:noWrap/>
            <w:hideMark/>
          </w:tcPr>
          <w:p w14:paraId="54B83EFE" w14:textId="7A8BF384" w:rsidR="00A20986" w:rsidRPr="005D31FC" w:rsidRDefault="002D1530" w:rsidP="00693D96">
            <w:pPr>
              <w:jc w:val="center"/>
              <w:cnfStyle w:val="100000000000" w:firstRow="1" w:lastRow="0" w:firstColumn="0" w:lastColumn="0" w:oddVBand="0" w:evenVBand="0" w:oddHBand="0" w:evenHBand="0" w:firstRowFirstColumn="0" w:firstRowLastColumn="0" w:lastRowFirstColumn="0" w:lastRowLastColumn="0"/>
              <w:rPr>
                <w:i/>
                <w:iCs/>
                <w:caps/>
                <w:color w:val="000000"/>
                <w:sz w:val="18"/>
                <w:szCs w:val="18"/>
                <w:lang w:eastAsia="fr-FR"/>
              </w:rPr>
            </w:pPr>
            <w:r w:rsidRPr="005D31FC">
              <w:rPr>
                <w:color w:val="000000"/>
                <w:sz w:val="18"/>
                <w:szCs w:val="18"/>
                <w:lang w:eastAsia="fr-FR"/>
              </w:rPr>
              <w:t>LCOE(€/kW</w:t>
            </w:r>
            <w:r w:rsidR="00A20986" w:rsidRPr="005D31FC">
              <w:rPr>
                <w:color w:val="000000"/>
                <w:sz w:val="18"/>
                <w:szCs w:val="18"/>
                <w:lang w:eastAsia="fr-FR"/>
              </w:rPr>
              <w:t>h)</w:t>
            </w:r>
          </w:p>
        </w:tc>
        <w:tc>
          <w:tcPr>
            <w:tcW w:w="2161" w:type="dxa"/>
            <w:hideMark/>
          </w:tcPr>
          <w:p w14:paraId="3B5568B2" w14:textId="77777777" w:rsidR="00A20986" w:rsidRPr="005D31FC" w:rsidRDefault="00A20986" w:rsidP="00693D96">
            <w:pPr>
              <w:jc w:val="center"/>
              <w:cnfStyle w:val="100000000000" w:firstRow="1" w:lastRow="0" w:firstColumn="0" w:lastColumn="0" w:oddVBand="0" w:evenVBand="0" w:oddHBand="0" w:evenHBand="0" w:firstRowFirstColumn="0" w:firstRowLastColumn="0" w:lastRowFirstColumn="0" w:lastRowLastColumn="0"/>
              <w:rPr>
                <w:i/>
                <w:iCs/>
                <w:caps/>
                <w:color w:val="000000"/>
                <w:sz w:val="18"/>
                <w:szCs w:val="18"/>
                <w:lang w:eastAsia="fr-FR"/>
              </w:rPr>
            </w:pPr>
            <w:r w:rsidRPr="005D31FC">
              <w:rPr>
                <w:color w:val="000000"/>
                <w:sz w:val="18"/>
                <w:szCs w:val="18"/>
                <w:lang w:eastAsia="fr-FR"/>
              </w:rPr>
              <w:t>Operating cost (€/</w:t>
            </w:r>
            <w:proofErr w:type="spellStart"/>
            <w:r w:rsidRPr="005D31FC">
              <w:rPr>
                <w:color w:val="000000"/>
                <w:sz w:val="18"/>
                <w:szCs w:val="18"/>
                <w:lang w:eastAsia="fr-FR"/>
              </w:rPr>
              <w:t>yr</w:t>
            </w:r>
            <w:proofErr w:type="spellEnd"/>
            <w:r w:rsidRPr="005D31FC">
              <w:rPr>
                <w:caps/>
                <w:color w:val="000000"/>
                <w:sz w:val="18"/>
                <w:szCs w:val="18"/>
                <w:lang w:eastAsia="fr-FR"/>
              </w:rPr>
              <w:t>)</w:t>
            </w:r>
          </w:p>
        </w:tc>
      </w:tr>
      <w:tr w:rsidR="00693D96" w:rsidRPr="005D31FC" w14:paraId="244D3BCA" w14:textId="77777777" w:rsidTr="00693D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73" w:type="dxa"/>
            <w:noWrap/>
            <w:hideMark/>
          </w:tcPr>
          <w:p w14:paraId="11170979" w14:textId="77777777" w:rsidR="00A20986" w:rsidRPr="005D31FC" w:rsidRDefault="00A20986" w:rsidP="003D7BC3">
            <w:pPr>
              <w:jc w:val="both"/>
              <w:rPr>
                <w:i/>
                <w:iCs/>
                <w:caps/>
                <w:color w:val="000000"/>
                <w:sz w:val="18"/>
                <w:szCs w:val="18"/>
                <w:lang w:eastAsia="fr-FR"/>
              </w:rPr>
            </w:pPr>
            <w:r w:rsidRPr="005D31FC">
              <w:rPr>
                <w:caps/>
                <w:color w:val="000000"/>
                <w:sz w:val="18"/>
                <w:szCs w:val="18"/>
                <w:lang w:eastAsia="fr-FR"/>
              </w:rPr>
              <w:t>5,29</w:t>
            </w:r>
          </w:p>
        </w:tc>
        <w:tc>
          <w:tcPr>
            <w:tcW w:w="2334" w:type="dxa"/>
            <w:noWrap/>
            <w:hideMark/>
          </w:tcPr>
          <w:p w14:paraId="3BD31018" w14:textId="77777777" w:rsidR="00A20986" w:rsidRPr="005D31FC" w:rsidRDefault="00A20986" w:rsidP="00693D96">
            <w:pPr>
              <w:pStyle w:val="Paragraph"/>
              <w:jc w:val="center"/>
              <w:cnfStyle w:val="000000100000" w:firstRow="0" w:lastRow="0" w:firstColumn="0" w:lastColumn="0" w:oddVBand="0" w:evenVBand="0" w:oddHBand="1" w:evenHBand="0" w:firstRowFirstColumn="0" w:firstRowLastColumn="0" w:lastRowFirstColumn="0" w:lastRowLastColumn="0"/>
              <w:rPr>
                <w:sz w:val="18"/>
                <w:szCs w:val="18"/>
              </w:rPr>
            </w:pPr>
            <w:r w:rsidRPr="005D31FC">
              <w:rPr>
                <w:sz w:val="18"/>
                <w:szCs w:val="18"/>
              </w:rPr>
              <w:t>402740,33</w:t>
            </w:r>
          </w:p>
        </w:tc>
        <w:tc>
          <w:tcPr>
            <w:tcW w:w="2565" w:type="dxa"/>
            <w:noWrap/>
            <w:hideMark/>
          </w:tcPr>
          <w:p w14:paraId="2B1D37D8" w14:textId="77777777" w:rsidR="00A20986" w:rsidRPr="005D31FC" w:rsidRDefault="00A20986" w:rsidP="00693D96">
            <w:pPr>
              <w:pStyle w:val="Paragraph"/>
              <w:jc w:val="center"/>
              <w:cnfStyle w:val="000000100000" w:firstRow="0" w:lastRow="0" w:firstColumn="0" w:lastColumn="0" w:oddVBand="0" w:evenVBand="0" w:oddHBand="1" w:evenHBand="0" w:firstRowFirstColumn="0" w:firstRowLastColumn="0" w:lastRowFirstColumn="0" w:lastRowLastColumn="0"/>
              <w:rPr>
                <w:sz w:val="18"/>
                <w:szCs w:val="18"/>
              </w:rPr>
            </w:pPr>
            <w:r w:rsidRPr="005D31FC">
              <w:rPr>
                <w:sz w:val="18"/>
                <w:szCs w:val="18"/>
              </w:rPr>
              <w:t>6,15</w:t>
            </w:r>
          </w:p>
        </w:tc>
        <w:tc>
          <w:tcPr>
            <w:tcW w:w="2161" w:type="dxa"/>
            <w:noWrap/>
            <w:hideMark/>
          </w:tcPr>
          <w:p w14:paraId="1AF42C1E" w14:textId="77777777" w:rsidR="00A20986" w:rsidRPr="005D31FC" w:rsidRDefault="00A20986" w:rsidP="00693D96">
            <w:pPr>
              <w:pStyle w:val="Paragraph"/>
              <w:jc w:val="center"/>
              <w:cnfStyle w:val="000000100000" w:firstRow="0" w:lastRow="0" w:firstColumn="0" w:lastColumn="0" w:oddVBand="0" w:evenVBand="0" w:oddHBand="1" w:evenHBand="0" w:firstRowFirstColumn="0" w:firstRowLastColumn="0" w:lastRowFirstColumn="0" w:lastRowLastColumn="0"/>
              <w:rPr>
                <w:sz w:val="18"/>
                <w:szCs w:val="18"/>
              </w:rPr>
            </w:pPr>
            <w:r w:rsidRPr="005D31FC">
              <w:rPr>
                <w:sz w:val="18"/>
                <w:szCs w:val="18"/>
              </w:rPr>
              <w:t>10284,76</w:t>
            </w:r>
          </w:p>
        </w:tc>
      </w:tr>
      <w:tr w:rsidR="00693D96" w:rsidRPr="005D31FC" w14:paraId="2B9F2C22" w14:textId="77777777" w:rsidTr="00693D96">
        <w:trPr>
          <w:trHeight w:val="300"/>
          <w:jc w:val="center"/>
        </w:trPr>
        <w:tc>
          <w:tcPr>
            <w:cnfStyle w:val="001000000000" w:firstRow="0" w:lastRow="0" w:firstColumn="1" w:lastColumn="0" w:oddVBand="0" w:evenVBand="0" w:oddHBand="0" w:evenHBand="0" w:firstRowFirstColumn="0" w:firstRowLastColumn="0" w:lastRowFirstColumn="0" w:lastRowLastColumn="0"/>
            <w:tcW w:w="2173" w:type="dxa"/>
            <w:noWrap/>
            <w:hideMark/>
          </w:tcPr>
          <w:p w14:paraId="41FB7366" w14:textId="77777777" w:rsidR="00A20986" w:rsidRPr="005D31FC" w:rsidRDefault="00A20986" w:rsidP="003D7BC3">
            <w:pPr>
              <w:jc w:val="both"/>
              <w:rPr>
                <w:i/>
                <w:iCs/>
                <w:caps/>
                <w:color w:val="000000"/>
                <w:sz w:val="18"/>
                <w:szCs w:val="18"/>
                <w:lang w:eastAsia="fr-FR"/>
              </w:rPr>
            </w:pPr>
            <w:r w:rsidRPr="005D31FC">
              <w:rPr>
                <w:caps/>
                <w:color w:val="000000"/>
                <w:sz w:val="18"/>
                <w:szCs w:val="18"/>
                <w:lang w:eastAsia="fr-FR"/>
              </w:rPr>
              <w:t>7</w:t>
            </w:r>
          </w:p>
        </w:tc>
        <w:tc>
          <w:tcPr>
            <w:tcW w:w="2334" w:type="dxa"/>
            <w:noWrap/>
            <w:hideMark/>
          </w:tcPr>
          <w:p w14:paraId="6686E0AD" w14:textId="77777777" w:rsidR="00A20986" w:rsidRPr="005D31FC" w:rsidRDefault="00A20986" w:rsidP="00693D96">
            <w:pPr>
              <w:pStyle w:val="Paragraph"/>
              <w:jc w:val="center"/>
              <w:cnfStyle w:val="000000000000" w:firstRow="0" w:lastRow="0" w:firstColumn="0" w:lastColumn="0" w:oddVBand="0" w:evenVBand="0" w:oddHBand="0" w:evenHBand="0" w:firstRowFirstColumn="0" w:firstRowLastColumn="0" w:lastRowFirstColumn="0" w:lastRowLastColumn="0"/>
              <w:rPr>
                <w:sz w:val="18"/>
                <w:szCs w:val="18"/>
              </w:rPr>
            </w:pPr>
            <w:r w:rsidRPr="005D31FC">
              <w:rPr>
                <w:sz w:val="18"/>
                <w:szCs w:val="18"/>
              </w:rPr>
              <w:t>330725,46</w:t>
            </w:r>
          </w:p>
        </w:tc>
        <w:tc>
          <w:tcPr>
            <w:tcW w:w="2565" w:type="dxa"/>
            <w:noWrap/>
            <w:hideMark/>
          </w:tcPr>
          <w:p w14:paraId="5F6637C5" w14:textId="77777777" w:rsidR="00A20986" w:rsidRPr="005D31FC" w:rsidRDefault="00A20986" w:rsidP="00693D96">
            <w:pPr>
              <w:pStyle w:val="Paragraph"/>
              <w:jc w:val="center"/>
              <w:cnfStyle w:val="000000000000" w:firstRow="0" w:lastRow="0" w:firstColumn="0" w:lastColumn="0" w:oddVBand="0" w:evenVBand="0" w:oddHBand="0" w:evenHBand="0" w:firstRowFirstColumn="0" w:firstRowLastColumn="0" w:lastRowFirstColumn="0" w:lastRowLastColumn="0"/>
              <w:rPr>
                <w:sz w:val="18"/>
                <w:szCs w:val="18"/>
              </w:rPr>
            </w:pPr>
            <w:r w:rsidRPr="005D31FC">
              <w:rPr>
                <w:sz w:val="18"/>
                <w:szCs w:val="18"/>
              </w:rPr>
              <w:t>5,97</w:t>
            </w:r>
          </w:p>
        </w:tc>
        <w:tc>
          <w:tcPr>
            <w:tcW w:w="2161" w:type="dxa"/>
            <w:noWrap/>
            <w:hideMark/>
          </w:tcPr>
          <w:p w14:paraId="6F76621F" w14:textId="77777777" w:rsidR="00A20986" w:rsidRPr="005D31FC" w:rsidRDefault="00A20986" w:rsidP="00693D96">
            <w:pPr>
              <w:pStyle w:val="Paragraph"/>
              <w:jc w:val="center"/>
              <w:cnfStyle w:val="000000000000" w:firstRow="0" w:lastRow="0" w:firstColumn="0" w:lastColumn="0" w:oddVBand="0" w:evenVBand="0" w:oddHBand="0" w:evenHBand="0" w:firstRowFirstColumn="0" w:firstRowLastColumn="0" w:lastRowFirstColumn="0" w:lastRowLastColumn="0"/>
              <w:rPr>
                <w:sz w:val="18"/>
                <w:szCs w:val="18"/>
              </w:rPr>
            </w:pPr>
            <w:r w:rsidRPr="005D31FC">
              <w:rPr>
                <w:sz w:val="18"/>
                <w:szCs w:val="18"/>
              </w:rPr>
              <w:t>7963,06</w:t>
            </w:r>
          </w:p>
        </w:tc>
      </w:tr>
      <w:tr w:rsidR="00693D96" w:rsidRPr="005D31FC" w14:paraId="1BD883AF" w14:textId="77777777" w:rsidTr="00693D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173" w:type="dxa"/>
            <w:noWrap/>
            <w:hideMark/>
          </w:tcPr>
          <w:p w14:paraId="146CEB59" w14:textId="77777777" w:rsidR="00A20986" w:rsidRPr="005D31FC" w:rsidRDefault="00A20986" w:rsidP="003D7BC3">
            <w:pPr>
              <w:jc w:val="both"/>
              <w:rPr>
                <w:i/>
                <w:iCs/>
                <w:caps/>
                <w:color w:val="000000"/>
                <w:sz w:val="18"/>
                <w:szCs w:val="18"/>
                <w:lang w:eastAsia="fr-FR"/>
              </w:rPr>
            </w:pPr>
            <w:r w:rsidRPr="005D31FC">
              <w:rPr>
                <w:caps/>
                <w:color w:val="000000"/>
                <w:sz w:val="18"/>
                <w:szCs w:val="18"/>
                <w:lang w:eastAsia="fr-FR"/>
              </w:rPr>
              <w:t>8</w:t>
            </w:r>
          </w:p>
        </w:tc>
        <w:tc>
          <w:tcPr>
            <w:tcW w:w="2334" w:type="dxa"/>
            <w:noWrap/>
            <w:hideMark/>
          </w:tcPr>
          <w:p w14:paraId="318D6463" w14:textId="77777777" w:rsidR="00A20986" w:rsidRPr="005D31FC" w:rsidRDefault="00A20986" w:rsidP="00693D96">
            <w:pPr>
              <w:pStyle w:val="Paragraph"/>
              <w:jc w:val="center"/>
              <w:cnfStyle w:val="000000100000" w:firstRow="0" w:lastRow="0" w:firstColumn="0" w:lastColumn="0" w:oddVBand="0" w:evenVBand="0" w:oddHBand="1" w:evenHBand="0" w:firstRowFirstColumn="0" w:firstRowLastColumn="0" w:lastRowFirstColumn="0" w:lastRowLastColumn="0"/>
              <w:rPr>
                <w:sz w:val="18"/>
                <w:szCs w:val="18"/>
              </w:rPr>
            </w:pPr>
            <w:r w:rsidRPr="005D31FC">
              <w:rPr>
                <w:sz w:val="18"/>
                <w:szCs w:val="18"/>
              </w:rPr>
              <w:t>315361,03</w:t>
            </w:r>
          </w:p>
        </w:tc>
        <w:tc>
          <w:tcPr>
            <w:tcW w:w="2565" w:type="dxa"/>
            <w:noWrap/>
            <w:hideMark/>
          </w:tcPr>
          <w:p w14:paraId="18510681" w14:textId="77777777" w:rsidR="00A20986" w:rsidRPr="005D31FC" w:rsidRDefault="00A20986" w:rsidP="00693D96">
            <w:pPr>
              <w:pStyle w:val="Paragraph"/>
              <w:jc w:val="center"/>
              <w:cnfStyle w:val="000000100000" w:firstRow="0" w:lastRow="0" w:firstColumn="0" w:lastColumn="0" w:oddVBand="0" w:evenVBand="0" w:oddHBand="1" w:evenHBand="0" w:firstRowFirstColumn="0" w:firstRowLastColumn="0" w:lastRowFirstColumn="0" w:lastRowLastColumn="0"/>
              <w:rPr>
                <w:sz w:val="18"/>
                <w:szCs w:val="18"/>
              </w:rPr>
            </w:pPr>
            <w:r w:rsidRPr="005D31FC">
              <w:rPr>
                <w:sz w:val="18"/>
                <w:szCs w:val="18"/>
              </w:rPr>
              <w:t>6,11</w:t>
            </w:r>
          </w:p>
        </w:tc>
        <w:tc>
          <w:tcPr>
            <w:tcW w:w="2161" w:type="dxa"/>
            <w:noWrap/>
            <w:hideMark/>
          </w:tcPr>
          <w:p w14:paraId="777342D9" w14:textId="77777777" w:rsidR="00A20986" w:rsidRPr="005D31FC" w:rsidRDefault="00A20986" w:rsidP="00693D96">
            <w:pPr>
              <w:pStyle w:val="Paragraph"/>
              <w:jc w:val="center"/>
              <w:cnfStyle w:val="000000100000" w:firstRow="0" w:lastRow="0" w:firstColumn="0" w:lastColumn="0" w:oddVBand="0" w:evenVBand="0" w:oddHBand="1" w:evenHBand="0" w:firstRowFirstColumn="0" w:firstRowLastColumn="0" w:lastRowFirstColumn="0" w:lastRowLastColumn="0"/>
              <w:rPr>
                <w:sz w:val="18"/>
                <w:szCs w:val="18"/>
              </w:rPr>
            </w:pPr>
            <w:r w:rsidRPr="005D31FC">
              <w:rPr>
                <w:sz w:val="18"/>
                <w:szCs w:val="18"/>
              </w:rPr>
              <w:t>7734,64</w:t>
            </w:r>
          </w:p>
        </w:tc>
      </w:tr>
    </w:tbl>
    <w:p w14:paraId="7D04F7CB" w14:textId="77777777" w:rsidR="008519F7" w:rsidRPr="005D31FC" w:rsidRDefault="008519F7" w:rsidP="008519F7">
      <w:pPr>
        <w:pStyle w:val="Paragraph"/>
        <w:ind w:firstLine="113"/>
        <w:rPr>
          <w:rFonts w:eastAsia="Calibri"/>
        </w:rPr>
      </w:pPr>
    </w:p>
    <w:p w14:paraId="3CB1E30C" w14:textId="0D8F8C16" w:rsidR="008519F7" w:rsidRPr="005D31FC" w:rsidRDefault="00CF411D" w:rsidP="006B3A0E">
      <w:pPr>
        <w:pStyle w:val="Paragraph"/>
        <w:ind w:firstLine="113"/>
        <w:rPr>
          <w:rFonts w:eastAsia="Calibri"/>
        </w:rPr>
      </w:pPr>
      <w:r w:rsidRPr="005D31FC">
        <w:rPr>
          <w:rFonts w:eastAsia="Calibri"/>
        </w:rPr>
        <w:t>However, it is crucial to mention that t</w:t>
      </w:r>
      <w:r w:rsidR="008519F7" w:rsidRPr="005D31FC">
        <w:rPr>
          <w:rFonts w:eastAsia="Calibri"/>
        </w:rPr>
        <w:t>he installation of several EV charging stations could lead to major grid problems, such as stress during peak charging periods, increased peak load, and disruptions in grid stability due to voltage and frequency imbalance, excessive harmonics, a</w:t>
      </w:r>
      <w:r w:rsidRPr="005D31FC">
        <w:rPr>
          <w:rFonts w:eastAsia="Calibri"/>
        </w:rPr>
        <w:t>nd increased power loss. Nevertheless</w:t>
      </w:r>
      <w:r w:rsidR="008519F7" w:rsidRPr="005D31FC">
        <w:rPr>
          <w:rFonts w:eastAsia="Calibri"/>
        </w:rPr>
        <w:t>, the implementation of sophisticated power management systems can solve these issues</w:t>
      </w:r>
      <w:r w:rsidR="006B3A0E" w:rsidRPr="005D31FC">
        <w:rPr>
          <w:rFonts w:eastAsia="Calibri"/>
        </w:rPr>
        <w:t xml:space="preserve"> </w:t>
      </w:r>
      <w:r w:rsidR="006B3A0E" w:rsidRPr="005D31FC">
        <w:rPr>
          <w:rFonts w:eastAsia="Calibri"/>
        </w:rPr>
        <w:fldChar w:fldCharType="begin"/>
      </w:r>
      <w:r w:rsidR="006B3A0E" w:rsidRPr="005D31FC">
        <w:rPr>
          <w:rFonts w:eastAsia="Calibri"/>
        </w:rPr>
        <w:instrText xml:space="preserve"> ADDIN ZOTERO_ITEM CSL_CITATION {"citationID":"XmAesfif","properties":{"formattedCitation":"[21]","plainCitation":"[21]","noteIndex":0},"citationItems":[{"id":5972,"uris":["http://zotero.org/users/8906591/items/3LSFP7GZ"],"itemData":{"id":5972,"type":"article-journal","abstract":"The effectiveness of electric vehicles (EVs) in mitigating petrol emissions and diminishing reliance on oil for transportation is well recognized. The increasing popularity of EVs has resulted in a proportional increase in the number of charging stations, so significantly affecting the energy grid. In order to promote the general implementation of EVs worldwide, it is crucial to develop a strong charging infrastructure that can satisfy rural and urban areas, especially those that have an inconsistent or non-existent electrical grid. However, the incorporation of EVs into the power grid has posed several challenges in terms of power grid management, network planning, and safety. These issues stem from the rising demand for electricity, negative impacts on the quality of power, and higher power losses. This article offers a comprehensive analysis of the infrastructure of EV charging stations, emphasizing the advantages and consequences associated with it. Moreover, it provides a review of the impact of EVs on the integration of power grids, as well as a thorough study of the standards and rules that regulate the operation of EV charging stations.","container-title":"Energy Reports","DOI":"10.1016/j.egyr.2024.11.047","ISSN":"2352-4847","journalAbbreviation":"Energy Reports","page":"5671-5692","source":"ScienceDirect","title":"A review of the electric vehicle charging technology, impact on grid integration, policy consequences, challenges and future trends","volume":"12","author":[{"family":"Sarda","given":"Jigar"},{"family":"Patel","given":"Nilay"},{"family":"Patel","given":"Hirva"},{"family":"Vaghela","given":"Rohan"},{"family":"Brahma","given":"Biswajit"},{"family":"Bhoi","given":"Akash Kumar"},{"family":"Barsocchi","given":"Paolo"}],"issued":{"date-parts":[["2024",12,1]]}}}],"schema":"https://github.com/citation-style-language/schema/raw/master/csl-citation.json"} </w:instrText>
      </w:r>
      <w:r w:rsidR="006B3A0E" w:rsidRPr="005D31FC">
        <w:rPr>
          <w:rFonts w:eastAsia="Calibri"/>
        </w:rPr>
        <w:fldChar w:fldCharType="separate"/>
      </w:r>
      <w:r w:rsidR="006B3A0E" w:rsidRPr="005D31FC">
        <w:rPr>
          <w:rFonts w:eastAsia="Calibri"/>
        </w:rPr>
        <w:t>[21]</w:t>
      </w:r>
      <w:r w:rsidR="006B3A0E" w:rsidRPr="005D31FC">
        <w:rPr>
          <w:rFonts w:eastAsia="Calibri"/>
        </w:rPr>
        <w:fldChar w:fldCharType="end"/>
      </w:r>
      <w:r w:rsidR="008519F7" w:rsidRPr="005D31FC">
        <w:rPr>
          <w:rFonts w:eastAsia="Calibri"/>
        </w:rPr>
        <w:t xml:space="preserve">. </w:t>
      </w:r>
    </w:p>
    <w:p w14:paraId="184BA059" w14:textId="46B8DAE2" w:rsidR="002B2667" w:rsidRPr="005D31FC" w:rsidRDefault="002B2667" w:rsidP="002B2667">
      <w:pPr>
        <w:pStyle w:val="Titre1"/>
      </w:pPr>
      <w:r w:rsidRPr="005D31FC">
        <w:t>CONCLUSIONS</w:t>
      </w:r>
    </w:p>
    <w:p w14:paraId="39BB8BCF" w14:textId="61DA0281" w:rsidR="00143FE0" w:rsidRPr="005D31FC" w:rsidRDefault="002B2667" w:rsidP="00165880">
      <w:pPr>
        <w:ind w:firstLine="720"/>
        <w:jc w:val="both"/>
        <w:rPr>
          <w:sz w:val="20"/>
          <w:lang w:eastAsia="fr-FR"/>
        </w:rPr>
      </w:pPr>
      <w:r w:rsidRPr="005D31FC">
        <w:rPr>
          <w:sz w:val="20"/>
          <w:lang w:eastAsia="fr-FR"/>
        </w:rPr>
        <w:t>The current study investigates the feasibility of implementing a home electrical vehicle charging system in a Moroccan city</w:t>
      </w:r>
      <w:r w:rsidR="00EC5A83" w:rsidRPr="005D31FC">
        <w:rPr>
          <w:sz w:val="20"/>
          <w:lang w:eastAsia="fr-FR"/>
        </w:rPr>
        <w:t xml:space="preserve"> using commercial software</w:t>
      </w:r>
      <w:r w:rsidRPr="005D31FC">
        <w:rPr>
          <w:sz w:val="20"/>
          <w:lang w:eastAsia="fr-FR"/>
        </w:rPr>
        <w:t>. The study demonstrates</w:t>
      </w:r>
      <w:r w:rsidR="00143FE0" w:rsidRPr="005D31FC">
        <w:rPr>
          <w:sz w:val="20"/>
          <w:lang w:eastAsia="fr-FR"/>
        </w:rPr>
        <w:t xml:space="preserve"> </w:t>
      </w:r>
      <w:r w:rsidRPr="005D31FC">
        <w:rPr>
          <w:sz w:val="20"/>
          <w:lang w:eastAsia="fr-FR"/>
        </w:rPr>
        <w:t>the</w:t>
      </w:r>
      <w:r w:rsidR="00143FE0" w:rsidRPr="005D31FC">
        <w:rPr>
          <w:sz w:val="20"/>
          <w:lang w:eastAsia="fr-FR"/>
        </w:rPr>
        <w:t xml:space="preserve"> following results: </w:t>
      </w:r>
    </w:p>
    <w:p w14:paraId="5655A5FE" w14:textId="4A452E74" w:rsidR="001710B2" w:rsidRPr="005D31FC" w:rsidRDefault="00143FE0" w:rsidP="00165880">
      <w:pPr>
        <w:pStyle w:val="Paragraphedeliste"/>
        <w:numPr>
          <w:ilvl w:val="0"/>
          <w:numId w:val="48"/>
        </w:numPr>
        <w:jc w:val="both"/>
        <w:rPr>
          <w:sz w:val="20"/>
          <w:lang w:eastAsia="fr-FR"/>
        </w:rPr>
      </w:pPr>
      <w:r w:rsidRPr="005D31FC">
        <w:rPr>
          <w:sz w:val="20"/>
          <w:lang w:eastAsia="fr-FR"/>
        </w:rPr>
        <w:t xml:space="preserve">The </w:t>
      </w:r>
      <w:r w:rsidR="002B2667" w:rsidRPr="005D31FC">
        <w:rPr>
          <w:sz w:val="20"/>
          <w:lang w:eastAsia="fr-FR"/>
        </w:rPr>
        <w:t xml:space="preserve">ability to integrate four EV powering system mechanisms composed of </w:t>
      </w:r>
      <w:r w:rsidR="00D770FF" w:rsidRPr="005D31FC">
        <w:rPr>
          <w:sz w:val="20"/>
          <w:lang w:eastAsia="fr-FR"/>
        </w:rPr>
        <w:t xml:space="preserve">a </w:t>
      </w:r>
      <w:r w:rsidR="002B2667" w:rsidRPr="005D31FC">
        <w:rPr>
          <w:sz w:val="20"/>
          <w:lang w:eastAsia="fr-FR"/>
        </w:rPr>
        <w:t xml:space="preserve">PV generator and </w:t>
      </w:r>
      <w:r w:rsidR="00380DFB" w:rsidRPr="005D31FC">
        <w:rPr>
          <w:sz w:val="20"/>
          <w:lang w:eastAsia="fr-FR"/>
        </w:rPr>
        <w:t xml:space="preserve">the </w:t>
      </w:r>
      <w:r w:rsidR="002B2667" w:rsidRPr="005D31FC">
        <w:rPr>
          <w:sz w:val="20"/>
          <w:lang w:eastAsia="fr-FR"/>
        </w:rPr>
        <w:t>utility grid as power source</w:t>
      </w:r>
      <w:r w:rsidR="00EC5A83" w:rsidRPr="005D31FC">
        <w:rPr>
          <w:sz w:val="20"/>
          <w:lang w:eastAsia="fr-FR"/>
        </w:rPr>
        <w:t>s</w:t>
      </w:r>
      <w:r w:rsidR="00D770FF" w:rsidRPr="005D31FC">
        <w:rPr>
          <w:sz w:val="20"/>
          <w:lang w:eastAsia="fr-FR"/>
        </w:rPr>
        <w:t>,</w:t>
      </w:r>
      <w:r w:rsidR="002B2667" w:rsidRPr="005D31FC">
        <w:rPr>
          <w:sz w:val="20"/>
          <w:lang w:eastAsia="fr-FR"/>
        </w:rPr>
        <w:t xml:space="preserve"> and </w:t>
      </w:r>
      <w:r w:rsidR="00D770FF" w:rsidRPr="005D31FC">
        <w:rPr>
          <w:sz w:val="20"/>
          <w:lang w:eastAsia="fr-FR"/>
        </w:rPr>
        <w:t xml:space="preserve">a </w:t>
      </w:r>
      <w:r w:rsidR="002B2667" w:rsidRPr="005D31FC">
        <w:rPr>
          <w:sz w:val="20"/>
          <w:lang w:eastAsia="fr-FR"/>
        </w:rPr>
        <w:t xml:space="preserve">lead acid battery with the electrical vehicle as </w:t>
      </w:r>
      <w:r w:rsidR="00227CBC" w:rsidRPr="005D31FC">
        <w:rPr>
          <w:sz w:val="20"/>
          <w:lang w:eastAsia="fr-FR"/>
        </w:rPr>
        <w:t xml:space="preserve">a </w:t>
      </w:r>
      <w:r w:rsidR="002B2667" w:rsidRPr="005D31FC">
        <w:rPr>
          <w:sz w:val="20"/>
          <w:lang w:eastAsia="fr-FR"/>
        </w:rPr>
        <w:t xml:space="preserve">storage </w:t>
      </w:r>
      <w:r w:rsidR="00D770FF" w:rsidRPr="005D31FC">
        <w:rPr>
          <w:sz w:val="20"/>
          <w:lang w:eastAsia="fr-FR"/>
        </w:rPr>
        <w:t>device</w:t>
      </w:r>
      <w:r w:rsidR="002B2667" w:rsidRPr="005D31FC">
        <w:rPr>
          <w:sz w:val="20"/>
          <w:lang w:eastAsia="fr-FR"/>
        </w:rPr>
        <w:t xml:space="preserve">. </w:t>
      </w:r>
      <w:r w:rsidR="001710B2" w:rsidRPr="005D31FC">
        <w:rPr>
          <w:sz w:val="20"/>
          <w:lang w:eastAsia="fr-FR"/>
        </w:rPr>
        <w:t xml:space="preserve">The </w:t>
      </w:r>
      <w:r w:rsidR="002B2667" w:rsidRPr="005D31FC">
        <w:rPr>
          <w:sz w:val="20"/>
          <w:lang w:eastAsia="fr-FR"/>
        </w:rPr>
        <w:t xml:space="preserve">result proves that the utility grid is the most optimized system to feed the </w:t>
      </w:r>
      <w:r w:rsidR="00165880" w:rsidRPr="005D31FC">
        <w:rPr>
          <w:sz w:val="20"/>
          <w:lang w:eastAsia="fr-FR"/>
        </w:rPr>
        <w:t>electric</w:t>
      </w:r>
      <w:r w:rsidR="002B2667" w:rsidRPr="005D31FC">
        <w:rPr>
          <w:sz w:val="20"/>
          <w:lang w:eastAsia="fr-FR"/>
        </w:rPr>
        <w:t xml:space="preserve"> vehicle with the necessary electrical power. </w:t>
      </w:r>
      <w:r w:rsidR="005A4AED" w:rsidRPr="005D31FC">
        <w:rPr>
          <w:sz w:val="20"/>
          <w:lang w:eastAsia="fr-FR"/>
        </w:rPr>
        <w:t xml:space="preserve"> </w:t>
      </w:r>
    </w:p>
    <w:p w14:paraId="489BC2D8" w14:textId="1EE589E2" w:rsidR="001710B2" w:rsidRPr="005D31FC" w:rsidRDefault="00143FE0" w:rsidP="006E3998">
      <w:pPr>
        <w:jc w:val="both"/>
        <w:rPr>
          <w:sz w:val="20"/>
          <w:lang w:eastAsia="fr-FR"/>
        </w:rPr>
      </w:pPr>
      <w:r w:rsidRPr="005D31FC">
        <w:rPr>
          <w:sz w:val="20"/>
          <w:lang w:eastAsia="fr-FR"/>
        </w:rPr>
        <w:t>Additionally, a</w:t>
      </w:r>
      <w:r w:rsidR="002B2667" w:rsidRPr="005D31FC">
        <w:rPr>
          <w:sz w:val="20"/>
          <w:lang w:eastAsia="fr-FR"/>
        </w:rPr>
        <w:t xml:space="preserve"> sensitivity analysis is conducted</w:t>
      </w:r>
      <w:r w:rsidR="00D770FF" w:rsidRPr="005D31FC">
        <w:rPr>
          <w:sz w:val="20"/>
          <w:lang w:eastAsia="fr-FR"/>
        </w:rPr>
        <w:t>,</w:t>
      </w:r>
      <w:r w:rsidR="002B2667" w:rsidRPr="005D31FC">
        <w:rPr>
          <w:sz w:val="20"/>
          <w:lang w:eastAsia="fr-FR"/>
        </w:rPr>
        <w:t xml:space="preserve"> aiming to replace the </w:t>
      </w:r>
      <w:r w:rsidR="00D770FF" w:rsidRPr="005D31FC">
        <w:rPr>
          <w:sz w:val="20"/>
          <w:lang w:eastAsia="fr-FR"/>
        </w:rPr>
        <w:t>electric</w:t>
      </w:r>
      <w:r w:rsidR="002B2667" w:rsidRPr="005D31FC">
        <w:rPr>
          <w:sz w:val="20"/>
          <w:lang w:eastAsia="fr-FR"/>
        </w:rPr>
        <w:t xml:space="preserve"> vehicle (EV) with a hydrogen vehicle (HV) to study the economic impact of each type of powering system vehicle. </w:t>
      </w:r>
      <w:r w:rsidRPr="005D31FC">
        <w:rPr>
          <w:sz w:val="20"/>
          <w:lang w:eastAsia="fr-FR"/>
        </w:rPr>
        <w:t xml:space="preserve">The </w:t>
      </w:r>
      <w:r w:rsidR="006E3998" w:rsidRPr="005D31FC">
        <w:rPr>
          <w:sz w:val="20"/>
          <w:lang w:eastAsia="fr-FR"/>
        </w:rPr>
        <w:t>results</w:t>
      </w:r>
      <w:r w:rsidRPr="005D31FC">
        <w:rPr>
          <w:sz w:val="20"/>
          <w:lang w:eastAsia="fr-FR"/>
        </w:rPr>
        <w:t xml:space="preserve"> of the second study are summarized as follows: </w:t>
      </w:r>
    </w:p>
    <w:p w14:paraId="1E4944F4" w14:textId="77777777" w:rsidR="00BF14E6" w:rsidRPr="005D31FC" w:rsidRDefault="00143FE0" w:rsidP="00BF14E6">
      <w:pPr>
        <w:pStyle w:val="Paragraphedeliste"/>
        <w:numPr>
          <w:ilvl w:val="0"/>
          <w:numId w:val="48"/>
        </w:numPr>
        <w:jc w:val="both"/>
        <w:rPr>
          <w:sz w:val="20"/>
          <w:lang w:eastAsia="fr-FR"/>
        </w:rPr>
      </w:pPr>
      <w:r w:rsidRPr="005D31FC">
        <w:rPr>
          <w:sz w:val="20"/>
          <w:lang w:eastAsia="fr-FR"/>
        </w:rPr>
        <w:t>The HV home charging</w:t>
      </w:r>
      <w:r w:rsidR="002B2667" w:rsidRPr="005D31FC">
        <w:rPr>
          <w:sz w:val="20"/>
          <w:lang w:eastAsia="fr-FR"/>
        </w:rPr>
        <w:t xml:space="preserve"> station is feasible by using two principal systems</w:t>
      </w:r>
      <w:r w:rsidR="00D770FF" w:rsidRPr="005D31FC">
        <w:rPr>
          <w:sz w:val="20"/>
          <w:lang w:eastAsia="fr-FR"/>
        </w:rPr>
        <w:t>,</w:t>
      </w:r>
      <w:r w:rsidR="002B2667" w:rsidRPr="005D31FC">
        <w:rPr>
          <w:sz w:val="20"/>
          <w:lang w:eastAsia="fr-FR"/>
        </w:rPr>
        <w:t xml:space="preserve"> in which the PV generator </w:t>
      </w:r>
      <w:r w:rsidR="003D7BC3" w:rsidRPr="005D31FC">
        <w:rPr>
          <w:sz w:val="20"/>
          <w:lang w:eastAsia="fr-FR"/>
        </w:rPr>
        <w:t>and the electric utility grid are</w:t>
      </w:r>
      <w:r w:rsidR="002B2667" w:rsidRPr="005D31FC">
        <w:rPr>
          <w:sz w:val="20"/>
          <w:lang w:eastAsia="fr-FR"/>
        </w:rPr>
        <w:t xml:space="preserve"> the power source devices.</w:t>
      </w:r>
    </w:p>
    <w:p w14:paraId="460AD0B5" w14:textId="77777777" w:rsidR="005A2042" w:rsidRPr="005D31FC" w:rsidRDefault="002B2667" w:rsidP="005A2042">
      <w:pPr>
        <w:pStyle w:val="Paragraphedeliste"/>
        <w:numPr>
          <w:ilvl w:val="0"/>
          <w:numId w:val="48"/>
        </w:numPr>
        <w:jc w:val="both"/>
        <w:rPr>
          <w:sz w:val="20"/>
          <w:lang w:eastAsia="fr-FR"/>
        </w:rPr>
      </w:pPr>
      <w:r w:rsidRPr="005D31FC">
        <w:rPr>
          <w:sz w:val="20"/>
          <w:lang w:eastAsia="fr-FR"/>
        </w:rPr>
        <w:t>Investigation confirms that the cost distribution of hydrogen vehicles is larger than the cost of electric</w:t>
      </w:r>
      <w:r w:rsidR="00BF14E6" w:rsidRPr="005D31FC">
        <w:rPr>
          <w:sz w:val="20"/>
          <w:lang w:eastAsia="fr-FR"/>
        </w:rPr>
        <w:t xml:space="preserve">al vehicle charging, because it </w:t>
      </w:r>
      <w:r w:rsidR="00D770FF" w:rsidRPr="005D31FC">
        <w:rPr>
          <w:sz w:val="20"/>
          <w:lang w:eastAsia="fr-FR"/>
        </w:rPr>
        <w:t>depends</w:t>
      </w:r>
      <w:r w:rsidRPr="005D31FC">
        <w:rPr>
          <w:sz w:val="20"/>
          <w:lang w:eastAsia="fr-FR"/>
        </w:rPr>
        <w:t xml:space="preserve"> on the PV source </w:t>
      </w:r>
      <w:r w:rsidR="00B03E15" w:rsidRPr="005D31FC">
        <w:rPr>
          <w:sz w:val="20"/>
          <w:lang w:eastAsia="fr-FR"/>
        </w:rPr>
        <w:t>generating</w:t>
      </w:r>
      <w:r w:rsidRPr="005D31FC">
        <w:rPr>
          <w:sz w:val="20"/>
          <w:lang w:eastAsia="fr-FR"/>
        </w:rPr>
        <w:t xml:space="preserve"> 99.35% as </w:t>
      </w:r>
      <w:r w:rsidR="00D770FF" w:rsidRPr="005D31FC">
        <w:rPr>
          <w:sz w:val="20"/>
          <w:lang w:eastAsia="fr-FR"/>
        </w:rPr>
        <w:t xml:space="preserve">a </w:t>
      </w:r>
      <w:r w:rsidRPr="005D31FC">
        <w:rPr>
          <w:sz w:val="20"/>
          <w:lang w:eastAsia="fr-FR"/>
        </w:rPr>
        <w:t xml:space="preserve">renewable energy fraction, unlike the electrical vehicle. </w:t>
      </w:r>
    </w:p>
    <w:p w14:paraId="6E295522" w14:textId="2D9B9E0B" w:rsidR="002B2667" w:rsidRPr="005D31FC" w:rsidRDefault="005A2042" w:rsidP="005A2042">
      <w:pPr>
        <w:pStyle w:val="Paragraphedeliste"/>
        <w:numPr>
          <w:ilvl w:val="0"/>
          <w:numId w:val="48"/>
        </w:numPr>
        <w:jc w:val="both"/>
        <w:rPr>
          <w:sz w:val="20"/>
          <w:lang w:eastAsia="fr-FR"/>
        </w:rPr>
      </w:pPr>
      <w:r w:rsidRPr="005D31FC">
        <w:rPr>
          <w:sz w:val="20"/>
          <w:lang w:eastAsia="fr-FR"/>
        </w:rPr>
        <w:t>T</w:t>
      </w:r>
      <w:r w:rsidR="002B2667" w:rsidRPr="005D31FC">
        <w:rPr>
          <w:sz w:val="20"/>
          <w:lang w:eastAsia="fr-FR"/>
        </w:rPr>
        <w:t>o reduce the cost of the hydrogen vehicle charging station, the impact of solar radiation variation on the system cost is achieved. This analysis indicates that increasing the average solar radiation from 5,29 kWh/m</w:t>
      </w:r>
      <w:r w:rsidR="002B2667" w:rsidRPr="005D31FC">
        <w:rPr>
          <w:sz w:val="20"/>
          <w:vertAlign w:val="superscript"/>
          <w:lang w:eastAsia="fr-FR"/>
        </w:rPr>
        <w:t>2</w:t>
      </w:r>
      <w:r w:rsidR="002B2667" w:rsidRPr="005D31FC">
        <w:rPr>
          <w:sz w:val="20"/>
          <w:lang w:eastAsia="fr-FR"/>
        </w:rPr>
        <w:t>/day to 8 kWh/m</w:t>
      </w:r>
      <w:r w:rsidR="002B2667" w:rsidRPr="005D31FC">
        <w:rPr>
          <w:sz w:val="20"/>
          <w:vertAlign w:val="superscript"/>
          <w:lang w:eastAsia="fr-FR"/>
        </w:rPr>
        <w:t>2</w:t>
      </w:r>
      <w:r w:rsidR="002B2667" w:rsidRPr="005D31FC">
        <w:rPr>
          <w:sz w:val="20"/>
          <w:lang w:eastAsia="fr-FR"/>
        </w:rPr>
        <w:t>/day decreases the NPC cost</w:t>
      </w:r>
      <w:r w:rsidR="002D1530" w:rsidRPr="005D31FC">
        <w:rPr>
          <w:sz w:val="20"/>
          <w:lang w:eastAsia="fr-FR"/>
        </w:rPr>
        <w:t xml:space="preserve"> from 402740,33 € to 315361,03 €, </w:t>
      </w:r>
      <w:r w:rsidR="00980B6D" w:rsidRPr="005D31FC">
        <w:rPr>
          <w:sz w:val="20"/>
          <w:lang w:eastAsia="fr-FR"/>
        </w:rPr>
        <w:t xml:space="preserve">reduces </w:t>
      </w:r>
      <w:r w:rsidR="002D1530" w:rsidRPr="005D31FC">
        <w:rPr>
          <w:sz w:val="20"/>
          <w:lang w:eastAsia="fr-FR"/>
        </w:rPr>
        <w:t xml:space="preserve">the LCOE costs </w:t>
      </w:r>
      <w:r w:rsidR="00DA43CF" w:rsidRPr="005D31FC">
        <w:rPr>
          <w:sz w:val="20"/>
          <w:lang w:eastAsia="fr-FR"/>
        </w:rPr>
        <w:t>from 6</w:t>
      </w:r>
      <w:r w:rsidR="002D1530" w:rsidRPr="005D31FC">
        <w:rPr>
          <w:sz w:val="18"/>
          <w:szCs w:val="18"/>
        </w:rPr>
        <w:t xml:space="preserve">,15 </w:t>
      </w:r>
      <w:r w:rsidR="002D1530" w:rsidRPr="005D31FC">
        <w:rPr>
          <w:color w:val="000000"/>
          <w:sz w:val="18"/>
          <w:szCs w:val="18"/>
          <w:lang w:eastAsia="fr-FR"/>
        </w:rPr>
        <w:t>€/kWh</w:t>
      </w:r>
      <w:r w:rsidR="002D1530" w:rsidRPr="005D31FC">
        <w:rPr>
          <w:sz w:val="18"/>
          <w:szCs w:val="18"/>
        </w:rPr>
        <w:t xml:space="preserve"> </w:t>
      </w:r>
      <w:r w:rsidR="00DA43CF" w:rsidRPr="005D31FC">
        <w:rPr>
          <w:sz w:val="18"/>
          <w:szCs w:val="18"/>
        </w:rPr>
        <w:t>to 5</w:t>
      </w:r>
      <w:r w:rsidR="002D1530" w:rsidRPr="005D31FC">
        <w:rPr>
          <w:sz w:val="18"/>
          <w:szCs w:val="18"/>
        </w:rPr>
        <w:t xml:space="preserve">,97 </w:t>
      </w:r>
      <w:r w:rsidR="002D1530" w:rsidRPr="005D31FC">
        <w:rPr>
          <w:color w:val="000000"/>
          <w:sz w:val="18"/>
          <w:szCs w:val="18"/>
          <w:lang w:eastAsia="fr-FR"/>
        </w:rPr>
        <w:t>€/kWh</w:t>
      </w:r>
      <w:r w:rsidR="002D1530" w:rsidRPr="005D31FC">
        <w:rPr>
          <w:sz w:val="18"/>
          <w:szCs w:val="18"/>
        </w:rPr>
        <w:t xml:space="preserve">, and </w:t>
      </w:r>
      <w:r w:rsidR="00165880" w:rsidRPr="005D31FC">
        <w:rPr>
          <w:sz w:val="18"/>
          <w:szCs w:val="18"/>
        </w:rPr>
        <w:t>minimizes</w:t>
      </w:r>
      <w:r w:rsidR="002D1530" w:rsidRPr="005D31FC">
        <w:rPr>
          <w:sz w:val="18"/>
          <w:szCs w:val="18"/>
        </w:rPr>
        <w:t xml:space="preserve"> </w:t>
      </w:r>
      <w:r w:rsidR="002D1530" w:rsidRPr="005D31FC">
        <w:rPr>
          <w:sz w:val="20"/>
          <w:lang w:eastAsia="fr-FR"/>
        </w:rPr>
        <w:t xml:space="preserve">the operating </w:t>
      </w:r>
      <w:r w:rsidR="00DA43CF" w:rsidRPr="005D31FC">
        <w:rPr>
          <w:sz w:val="20"/>
          <w:lang w:eastAsia="fr-FR"/>
        </w:rPr>
        <w:t>cost from</w:t>
      </w:r>
      <w:r w:rsidR="002D1530" w:rsidRPr="005D31FC">
        <w:rPr>
          <w:sz w:val="20"/>
          <w:lang w:eastAsia="fr-FR"/>
        </w:rPr>
        <w:t xml:space="preserve"> </w:t>
      </w:r>
      <w:r w:rsidR="002D1530" w:rsidRPr="005D31FC">
        <w:rPr>
          <w:sz w:val="18"/>
          <w:szCs w:val="18"/>
        </w:rPr>
        <w:t>10284,</w:t>
      </w:r>
      <w:proofErr w:type="gramStart"/>
      <w:r w:rsidR="002D1530" w:rsidRPr="005D31FC">
        <w:rPr>
          <w:sz w:val="18"/>
          <w:szCs w:val="18"/>
        </w:rPr>
        <w:t xml:space="preserve">76  </w:t>
      </w:r>
      <w:r w:rsidR="002D1530" w:rsidRPr="005D31FC">
        <w:rPr>
          <w:color w:val="000000"/>
          <w:sz w:val="18"/>
          <w:szCs w:val="18"/>
          <w:lang w:eastAsia="fr-FR"/>
        </w:rPr>
        <w:t>€</w:t>
      </w:r>
      <w:proofErr w:type="gramEnd"/>
      <w:r w:rsidR="002D1530" w:rsidRPr="005D31FC">
        <w:rPr>
          <w:color w:val="000000"/>
          <w:sz w:val="18"/>
          <w:szCs w:val="18"/>
          <w:lang w:eastAsia="fr-FR"/>
        </w:rPr>
        <w:t>/</w:t>
      </w:r>
      <w:proofErr w:type="spellStart"/>
      <w:r w:rsidR="002D1530" w:rsidRPr="005D31FC">
        <w:rPr>
          <w:color w:val="000000"/>
          <w:sz w:val="18"/>
          <w:szCs w:val="18"/>
          <w:lang w:eastAsia="fr-FR"/>
        </w:rPr>
        <w:t>yr</w:t>
      </w:r>
      <w:proofErr w:type="spellEnd"/>
      <w:r w:rsidR="002D1530" w:rsidRPr="005D31FC">
        <w:rPr>
          <w:caps/>
          <w:color w:val="000000"/>
          <w:sz w:val="18"/>
          <w:szCs w:val="18"/>
          <w:lang w:eastAsia="fr-FR"/>
        </w:rPr>
        <w:t xml:space="preserve"> </w:t>
      </w:r>
      <w:r w:rsidR="002D1530" w:rsidRPr="005D31FC">
        <w:rPr>
          <w:sz w:val="18"/>
          <w:szCs w:val="18"/>
        </w:rPr>
        <w:t xml:space="preserve">to  7734,64 </w:t>
      </w:r>
      <w:r w:rsidR="002D1530" w:rsidRPr="005D31FC">
        <w:rPr>
          <w:color w:val="000000"/>
          <w:sz w:val="18"/>
          <w:szCs w:val="18"/>
          <w:lang w:eastAsia="fr-FR"/>
        </w:rPr>
        <w:t>€/yr</w:t>
      </w:r>
      <w:r w:rsidR="00DA43CF" w:rsidRPr="005D31FC">
        <w:rPr>
          <w:color w:val="000000"/>
          <w:sz w:val="18"/>
          <w:szCs w:val="18"/>
          <w:lang w:eastAsia="fr-FR"/>
        </w:rPr>
        <w:t>.</w:t>
      </w:r>
    </w:p>
    <w:p w14:paraId="2D3B527E" w14:textId="415F794F" w:rsidR="00F47E41" w:rsidRPr="005D31FC" w:rsidRDefault="0030029A" w:rsidP="00280D9A">
      <w:pPr>
        <w:ind w:firstLine="113"/>
        <w:jc w:val="both"/>
        <w:rPr>
          <w:rFonts w:eastAsia="Calibri"/>
          <w:sz w:val="20"/>
        </w:rPr>
      </w:pPr>
      <w:r w:rsidRPr="005D31FC">
        <w:rPr>
          <w:sz w:val="20"/>
          <w:lang w:eastAsia="fr-FR"/>
        </w:rPr>
        <w:t xml:space="preserve"> </w:t>
      </w:r>
      <w:r w:rsidR="00BB2377" w:rsidRPr="005D31FC">
        <w:rPr>
          <w:sz w:val="20"/>
          <w:lang w:eastAsia="fr-FR"/>
        </w:rPr>
        <w:tab/>
      </w:r>
      <w:r w:rsidRPr="005D31FC">
        <w:rPr>
          <w:sz w:val="20"/>
          <w:lang w:eastAsia="fr-FR"/>
        </w:rPr>
        <w:t>The curr</w:t>
      </w:r>
      <w:r w:rsidR="00DA43CF" w:rsidRPr="005D31FC">
        <w:rPr>
          <w:sz w:val="20"/>
          <w:lang w:eastAsia="fr-FR"/>
        </w:rPr>
        <w:t xml:space="preserve">ent study presents </w:t>
      </w:r>
      <w:r w:rsidR="00280D9A" w:rsidRPr="005D31FC">
        <w:rPr>
          <w:sz w:val="20"/>
          <w:lang w:eastAsia="fr-FR"/>
        </w:rPr>
        <w:t>the most optimized system for EV charging stations and HV charging stations in terms</w:t>
      </w:r>
      <w:r w:rsidR="00DA43CF" w:rsidRPr="005D31FC">
        <w:rPr>
          <w:sz w:val="20"/>
          <w:lang w:eastAsia="fr-FR"/>
        </w:rPr>
        <w:t xml:space="preserve"> of cost. </w:t>
      </w:r>
      <w:r w:rsidRPr="005D31FC">
        <w:rPr>
          <w:sz w:val="20"/>
          <w:lang w:eastAsia="fr-FR"/>
        </w:rPr>
        <w:t xml:space="preserve"> </w:t>
      </w:r>
      <w:r w:rsidR="00870A73" w:rsidRPr="005D31FC">
        <w:rPr>
          <w:sz w:val="20"/>
          <w:lang w:eastAsia="fr-FR"/>
        </w:rPr>
        <w:t>However,</w:t>
      </w:r>
      <w:r w:rsidRPr="005D31FC">
        <w:rPr>
          <w:sz w:val="20"/>
          <w:lang w:eastAsia="fr-FR"/>
        </w:rPr>
        <w:t xml:space="preserve"> </w:t>
      </w:r>
      <w:r w:rsidR="00280D9A" w:rsidRPr="005D31FC">
        <w:rPr>
          <w:sz w:val="20"/>
          <w:lang w:eastAsia="fr-FR"/>
        </w:rPr>
        <w:t>from a perspective, it is recommended to consider other system architectures, such as the grid, PV and grid, and also PV and batteries,</w:t>
      </w:r>
      <w:r w:rsidR="00DA43CF" w:rsidRPr="005D31FC">
        <w:rPr>
          <w:sz w:val="20"/>
          <w:lang w:eastAsia="fr-FR"/>
        </w:rPr>
        <w:t xml:space="preserve"> and compare their performance and economic impact on the charging stations.  </w:t>
      </w:r>
    </w:p>
    <w:p w14:paraId="7691B80C" w14:textId="025DF593" w:rsidR="00613B4D" w:rsidRPr="005D31FC" w:rsidRDefault="0016385D" w:rsidP="00693F98">
      <w:pPr>
        <w:pStyle w:val="Titre1"/>
      </w:pPr>
      <w:r w:rsidRPr="005D31FC">
        <w:rPr>
          <w:rFonts w:asciiTheme="majorBidi" w:hAnsiTheme="majorBidi" w:cstheme="majorBidi"/>
        </w:rPr>
        <w:t>Acknowledgments</w:t>
      </w:r>
    </w:p>
    <w:p w14:paraId="4F4EA3E3" w14:textId="3C54EF4E" w:rsidR="000B3A2D" w:rsidRPr="005D31FC" w:rsidRDefault="003A0631" w:rsidP="003A0631">
      <w:pPr>
        <w:pStyle w:val="Paragraph"/>
        <w:ind w:firstLine="113"/>
        <w:rPr>
          <w:rFonts w:asciiTheme="majorBidi" w:hAnsiTheme="majorBidi" w:cstheme="majorBidi"/>
        </w:rPr>
      </w:pPr>
      <w:r w:rsidRPr="005D31FC">
        <w:t>The second author would like to thank the National Center for Scientific and Technical Research (CNRST) for its financial support received within the framework of the “PhD-Associate Scholarship - PASS” Program.</w:t>
      </w:r>
    </w:p>
    <w:p w14:paraId="74D4F45E" w14:textId="6BEE50CE" w:rsidR="00613B4D" w:rsidRPr="005D31FC" w:rsidRDefault="0016385D" w:rsidP="008202D0">
      <w:pPr>
        <w:pStyle w:val="Titre1"/>
        <w:rPr>
          <w:rFonts w:asciiTheme="majorBidi" w:hAnsiTheme="majorBidi" w:cstheme="majorBidi"/>
        </w:rPr>
      </w:pPr>
      <w:r w:rsidRPr="005D31FC">
        <w:rPr>
          <w:rFonts w:asciiTheme="majorBidi" w:hAnsiTheme="majorBidi" w:cstheme="majorBidi"/>
        </w:rPr>
        <w:lastRenderedPageBreak/>
        <w:t>References</w:t>
      </w:r>
    </w:p>
    <w:p w14:paraId="2E3AE252" w14:textId="77777777" w:rsidR="00334D92" w:rsidRPr="005D31FC" w:rsidRDefault="00334D92" w:rsidP="00334D92">
      <w:pPr>
        <w:pStyle w:val="Reference"/>
        <w:numPr>
          <w:ilvl w:val="0"/>
          <w:numId w:val="15"/>
        </w:numPr>
        <w:rPr>
          <w:rFonts w:eastAsia="Calibri"/>
        </w:rPr>
      </w:pPr>
      <w:r w:rsidRPr="005D31FC">
        <w:fldChar w:fldCharType="begin"/>
      </w:r>
      <w:r w:rsidRPr="005D31FC">
        <w:instrText xml:space="preserve"> ADDIN ZOTERO_BIBL {"uncited":[],"omitted":[],"custom":[]} CSL_BIBLIOGRAPHY </w:instrText>
      </w:r>
      <w:r w:rsidRPr="005D31FC">
        <w:fldChar w:fldCharType="separate"/>
      </w:r>
      <w:r w:rsidRPr="005D31FC">
        <w:rPr>
          <w:rFonts w:eastAsia="Calibri"/>
        </w:rPr>
        <w:t xml:space="preserve">A. P. Reiman, A. Somani, M. J. E. Alam, P. Wang, D. Wu and K. Kalsi, </w:t>
      </w:r>
      <w:r w:rsidRPr="005D31FC">
        <w:t>“</w:t>
      </w:r>
      <w:r w:rsidRPr="005D31FC">
        <w:rPr>
          <w:rFonts w:eastAsia="Calibri"/>
        </w:rPr>
        <w:t>Power Factor Correction in Feeders With Distributed Photovoltaics Using Residential Appliances as Virtual Batteries," in </w:t>
      </w:r>
      <w:r w:rsidRPr="005D31FC">
        <w:rPr>
          <w:rFonts w:eastAsia="Calibri"/>
          <w:i/>
          <w:iCs/>
        </w:rPr>
        <w:t>IEEE Access</w:t>
      </w:r>
      <w:r w:rsidRPr="005D31FC">
        <w:rPr>
          <w:rFonts w:eastAsia="Calibri"/>
        </w:rPr>
        <w:t xml:space="preserve">, vol. 7, pp. 99115-99122, 2019, doi: 10.1109/ACCESS.2019.2928568.  </w:t>
      </w:r>
    </w:p>
    <w:p w14:paraId="24091F6F" w14:textId="77777777" w:rsidR="00334D92" w:rsidRPr="005D31FC" w:rsidRDefault="00334D92" w:rsidP="00334D92">
      <w:pPr>
        <w:pStyle w:val="Reference"/>
        <w:numPr>
          <w:ilvl w:val="0"/>
          <w:numId w:val="15"/>
        </w:numPr>
        <w:rPr>
          <w:rFonts w:eastAsia="Calibri"/>
        </w:rPr>
      </w:pPr>
      <w:r w:rsidRPr="005D31FC">
        <w:rPr>
          <w:rFonts w:eastAsia="Calibri"/>
        </w:rPr>
        <w:t>M. Khalid, “Short-Term Reactive Power Planning to Minimize Cost of Energy Losses Considering PV Systems”," in </w:t>
      </w:r>
      <w:r w:rsidRPr="005D31FC">
        <w:rPr>
          <w:rFonts w:eastAsia="Calibri"/>
          <w:i/>
          <w:iCs/>
        </w:rPr>
        <w:t>IEEE Transactions on Smart Grid</w:t>
      </w:r>
      <w:r w:rsidRPr="005D31FC">
        <w:rPr>
          <w:rFonts w:eastAsia="Calibri"/>
        </w:rPr>
        <w:t xml:space="preserve">, vol. 11, no. 2, pp. 1812-1812, March 2020, doi: 10.1109/TSG.2020.2970259. </w:t>
      </w:r>
    </w:p>
    <w:p w14:paraId="0D07AF48" w14:textId="77777777" w:rsidR="00334D92" w:rsidRPr="005D31FC" w:rsidRDefault="00334D92" w:rsidP="00334D92">
      <w:pPr>
        <w:pStyle w:val="Reference"/>
        <w:numPr>
          <w:ilvl w:val="0"/>
          <w:numId w:val="15"/>
        </w:numPr>
        <w:rPr>
          <w:rFonts w:eastAsia="Calibri"/>
        </w:rPr>
      </w:pPr>
      <w:r w:rsidRPr="005D31FC">
        <w:rPr>
          <w:rFonts w:eastAsia="Calibri"/>
        </w:rPr>
        <w:t xml:space="preserve">Adam Hirsch, Yael Parag, Josep Guerrero, Microgrids: A review of technologies, key drivers, and outstanding issues, Renewable and Sustainable Energy Reviews, Volume 90, 2018, Pages 402-411, ISSN 1364-0321, https://doi.org/10.1016/j.rser.2018.03.040. </w:t>
      </w:r>
    </w:p>
    <w:p w14:paraId="7ADC1B58" w14:textId="77777777" w:rsidR="00334D92" w:rsidRPr="005D31FC" w:rsidRDefault="00334D92" w:rsidP="00334D92">
      <w:pPr>
        <w:pStyle w:val="Reference"/>
        <w:numPr>
          <w:ilvl w:val="0"/>
          <w:numId w:val="15"/>
        </w:numPr>
        <w:rPr>
          <w:rFonts w:eastAsia="Calibri"/>
        </w:rPr>
      </w:pPr>
      <w:r w:rsidRPr="005D31FC">
        <w:t>D. B. Richardson, « Electric vehicles and the electric grid: A review of modeling approaches, Impacts, and renewable energy integration », Renew. Sustain. Energy Rev., vol. 19, p. 247‑254, mars 2013, doi: 10.1016/j.rser.2012.11.042.</w:t>
      </w:r>
    </w:p>
    <w:p w14:paraId="6911F607" w14:textId="77777777" w:rsidR="00334D92" w:rsidRPr="005D31FC" w:rsidRDefault="00334D92" w:rsidP="00334D92">
      <w:pPr>
        <w:pStyle w:val="Reference"/>
        <w:numPr>
          <w:ilvl w:val="0"/>
          <w:numId w:val="15"/>
        </w:numPr>
        <w:rPr>
          <w:rFonts w:eastAsia="Calibri"/>
        </w:rPr>
      </w:pPr>
      <w:r w:rsidRPr="005D31FC">
        <w:rPr>
          <w:rFonts w:eastAsia="Calibri"/>
        </w:rPr>
        <w:t xml:space="preserve">Salman Habib, Muhammad Kamran, Umar Rashid, Impact analysis of vehicle-to-grid technology and charging strategies of electric vehicles on distribution networks – A review, Journal of Power Sources, Volume 277, 2015, Pages 205-214, ISSN 0378-7753, https://doi.org/10.1016/j.jpowsour.2014.12.020. </w:t>
      </w:r>
    </w:p>
    <w:p w14:paraId="71185C82" w14:textId="77777777" w:rsidR="00334D92" w:rsidRPr="005D31FC" w:rsidRDefault="00334D92" w:rsidP="00334D92">
      <w:pPr>
        <w:pStyle w:val="Reference"/>
        <w:numPr>
          <w:ilvl w:val="0"/>
          <w:numId w:val="15"/>
        </w:numPr>
        <w:rPr>
          <w:rFonts w:eastAsia="Calibri"/>
        </w:rPr>
      </w:pPr>
      <w:r w:rsidRPr="005D31FC">
        <w:rPr>
          <w:rFonts w:eastAsia="Calibri"/>
        </w:rPr>
        <w:t xml:space="preserve">Aul Denholm, Michael Kuss, Robert M. Margolis, Co-benefits of large scale plug-in hybrid electric vehicle and solar PV deployment, Journal of Power Sources, Volume 236, 2013, Pages 350-356, ISSN 0378-7753, https://doi.org/10.1016/j.jpowsour.2012.10.007. </w:t>
      </w:r>
    </w:p>
    <w:p w14:paraId="4EA1CBA1" w14:textId="77777777" w:rsidR="00334D92" w:rsidRPr="005D31FC" w:rsidRDefault="00334D92" w:rsidP="00334D92">
      <w:pPr>
        <w:pStyle w:val="Reference"/>
        <w:numPr>
          <w:ilvl w:val="0"/>
          <w:numId w:val="15"/>
        </w:numPr>
        <w:rPr>
          <w:rFonts w:eastAsia="Calibri"/>
        </w:rPr>
      </w:pPr>
      <w:r w:rsidRPr="005D31FC">
        <w:rPr>
          <w:rFonts w:eastAsia="Calibri"/>
        </w:rPr>
        <w:t xml:space="preserve">Dunbar P. Birnie, Solar-to-vehicle (S2V) systems for powering commuters of the future, Journal of Power Sources, Volume 186, Issue 2, 2009, Pages 539-542, ISSN 0378-7753, https://doi.org/10.1016/j.jpowsour.2008.09.118. </w:t>
      </w:r>
    </w:p>
    <w:p w14:paraId="300DC89D" w14:textId="77777777" w:rsidR="00334D92" w:rsidRPr="005D31FC" w:rsidRDefault="00334D92" w:rsidP="00334D92">
      <w:pPr>
        <w:pStyle w:val="Reference"/>
        <w:numPr>
          <w:ilvl w:val="0"/>
          <w:numId w:val="15"/>
        </w:numPr>
        <w:rPr>
          <w:rFonts w:eastAsia="Calibri"/>
        </w:rPr>
      </w:pPr>
      <w:r w:rsidRPr="005D31FC">
        <w:t>A. M. Schetinger, D. H. N. Dias, B. S. M. C. Borba, et G. D. Pimentel Da Silva, « Techno‐economic feasibility study on electric vehicle and renewable energy integration: A case study », Energy Storage, vol. 2, no 6, p. e197, déc. 2020, doi: 10.1002/est2.197.</w:t>
      </w:r>
    </w:p>
    <w:p w14:paraId="1BD602CF" w14:textId="77777777" w:rsidR="00334D92" w:rsidRPr="005D31FC" w:rsidRDefault="00334D92" w:rsidP="00334D92">
      <w:pPr>
        <w:pStyle w:val="Reference"/>
        <w:numPr>
          <w:ilvl w:val="0"/>
          <w:numId w:val="15"/>
        </w:numPr>
        <w:rPr>
          <w:rFonts w:eastAsia="Calibri"/>
        </w:rPr>
      </w:pPr>
      <w:r w:rsidRPr="005D31FC">
        <w:t>C. Nusrat, « Optimization of Solar Energy System for the Electric Vehicle at University Campus in Dhaka, Bangladesh », 2018.</w:t>
      </w:r>
    </w:p>
    <w:p w14:paraId="7C367585" w14:textId="77777777" w:rsidR="00334D92" w:rsidRPr="005D31FC" w:rsidRDefault="00334D92" w:rsidP="00334D92">
      <w:pPr>
        <w:pStyle w:val="Reference"/>
        <w:numPr>
          <w:ilvl w:val="0"/>
          <w:numId w:val="15"/>
        </w:numPr>
        <w:rPr>
          <w:rFonts w:eastAsia="Calibri"/>
        </w:rPr>
      </w:pPr>
      <w:r w:rsidRPr="005D31FC">
        <w:t>F. Ahmad et M. Alam, « Optimal Sizing and Analysis of Solar PV, Wind, and Energy Storage Hybrid System for Campus Microgrid », Smart Sci., vol. 6, p. 150‑157, déc. 2017, doi: 10.1080/23080477.2017.1417005.</w:t>
      </w:r>
    </w:p>
    <w:p w14:paraId="5047639B" w14:textId="77777777" w:rsidR="00334D92" w:rsidRPr="005D31FC" w:rsidRDefault="00334D92" w:rsidP="00334D92">
      <w:pPr>
        <w:pStyle w:val="Reference"/>
        <w:numPr>
          <w:ilvl w:val="0"/>
          <w:numId w:val="15"/>
        </w:numPr>
        <w:rPr>
          <w:rFonts w:eastAsia="Calibri"/>
        </w:rPr>
      </w:pPr>
      <w:r w:rsidRPr="005D31FC">
        <w:rPr>
          <w:rFonts w:eastAsia="Calibri"/>
        </w:rPr>
        <w:t>Syed Abdullah-Al-Nahid, Tafsir Ahmed Khan, Md. Abu Taseen, Taskin Jamal, Tareq Aziz,</w:t>
      </w:r>
    </w:p>
    <w:p w14:paraId="5DC5078D" w14:textId="77777777" w:rsidR="00334D92" w:rsidRPr="005D31FC" w:rsidRDefault="00334D92" w:rsidP="00334D92">
      <w:pPr>
        <w:pStyle w:val="Reference"/>
        <w:ind w:left="720"/>
        <w:rPr>
          <w:rFonts w:eastAsia="Calibri"/>
          <w:szCs w:val="24"/>
        </w:rPr>
      </w:pPr>
      <w:r w:rsidRPr="005D31FC">
        <w:rPr>
          <w:rFonts w:eastAsia="Calibri"/>
          <w:szCs w:val="24"/>
        </w:rPr>
        <w:t>A novel consumer-friendly electric vehicle charging scheme with vehicle to grid provision supported by genetic algorithm based optimization, Journal of Energy Storage, Volume 50, 2022, 104655, ISSN 2352-152X, https://doi.org/10.1016/j.est.2022.104655.</w:t>
      </w:r>
    </w:p>
    <w:p w14:paraId="6ABF88AF" w14:textId="77777777" w:rsidR="00334D92" w:rsidRPr="005D31FC" w:rsidRDefault="00334D92" w:rsidP="00334D92">
      <w:pPr>
        <w:pStyle w:val="Reference"/>
        <w:numPr>
          <w:ilvl w:val="0"/>
          <w:numId w:val="15"/>
        </w:numPr>
        <w:rPr>
          <w:rFonts w:eastAsia="Calibri"/>
        </w:rPr>
      </w:pPr>
      <w:r w:rsidRPr="005D31FC">
        <w:rPr>
          <w:rFonts w:eastAsia="Calibri"/>
        </w:rPr>
        <w:t>Kamal Anoune, Mohsine Bouya, Abdelali Astito and Abdellatif Ben Abdellah, Design and sizing of a Hybrid PV-Wind-Grid System for Electric Vehicle Charging Platform MATEC Web Conf., 200 (2018) 00008, doi: https://doi.org/10.1051/matecconf/201820000008</w:t>
      </w:r>
    </w:p>
    <w:p w14:paraId="50EB80F5" w14:textId="77777777" w:rsidR="00334D92" w:rsidRPr="005D31FC" w:rsidRDefault="00334D92" w:rsidP="00334D92">
      <w:pPr>
        <w:pStyle w:val="Reference"/>
        <w:numPr>
          <w:ilvl w:val="0"/>
          <w:numId w:val="15"/>
        </w:numPr>
      </w:pPr>
      <w:r w:rsidRPr="005D31FC">
        <w:t>A. Allouhi et S. Rehman, « Grid-connected hybrid renewable energy systems for supermarkets with electric vehicle charging platforms: Optimization and sensitivity analyses », Energy Rep., vol. 9, p. 3305‑3318, déc. 2023, doi: 10.1016/j.egyr.2023.02.005.</w:t>
      </w:r>
    </w:p>
    <w:p w14:paraId="75BF199B" w14:textId="77777777" w:rsidR="00334D92" w:rsidRPr="005D31FC" w:rsidRDefault="00334D92" w:rsidP="00334D92">
      <w:pPr>
        <w:pStyle w:val="Reference"/>
        <w:numPr>
          <w:ilvl w:val="0"/>
          <w:numId w:val="15"/>
        </w:numPr>
      </w:pPr>
      <w:r w:rsidRPr="005D31FC">
        <w:t xml:space="preserve">Muhammad Wakil Shahzad, Muhammad Burhan, Li Ang, Kim Choon Ng, Energy-water-environment nexus underpinning future desalination sustainability, Desalination, Volume 413, 2017, Pages 52-64, ISSN 0011-9164, https://doi.org/10.1016/j.desal.2017.03.009. </w:t>
      </w:r>
    </w:p>
    <w:p w14:paraId="3F465103" w14:textId="77777777" w:rsidR="00334D92" w:rsidRPr="005D31FC" w:rsidRDefault="00334D92" w:rsidP="00334D92">
      <w:pPr>
        <w:pStyle w:val="Reference"/>
        <w:numPr>
          <w:ilvl w:val="0"/>
          <w:numId w:val="15"/>
        </w:numPr>
      </w:pPr>
      <w:r w:rsidRPr="005D31FC">
        <w:t>P. Lombardi, T. Sokolnikova, K. Suslov, N. Voropai, et Z. A. Styczynski, « Isolated power system in Russia: A chance for renewable energies? », Renew. Energy, vol. 90, p. 532‑541, mai 2016, doi: 10.1016/j.renene.2016.01.016.</w:t>
      </w:r>
    </w:p>
    <w:p w14:paraId="079EA3C1" w14:textId="77777777" w:rsidR="00334D92" w:rsidRPr="005D31FC" w:rsidRDefault="00334D92" w:rsidP="00334D92">
      <w:pPr>
        <w:pStyle w:val="Reference"/>
        <w:numPr>
          <w:ilvl w:val="0"/>
          <w:numId w:val="15"/>
        </w:numPr>
      </w:pPr>
      <w:r w:rsidRPr="005D31FC">
        <w:t>S. Vendoti, M. Mahankali, et R. Kiranmayi, « Techno-economic analysis of off-grid solar/wind/biogas/biomass/fuel cell/battery system for electrification in a cluster of villages by HOMER software », Environ. Dev. Sustain., vol. 23, janv. 2021, doi: 10.1007/s10668-019-00583-2.</w:t>
      </w:r>
    </w:p>
    <w:p w14:paraId="6BFCD769" w14:textId="77777777" w:rsidR="00334D92" w:rsidRPr="005D31FC" w:rsidRDefault="00334D92" w:rsidP="00334D92">
      <w:pPr>
        <w:pStyle w:val="Reference"/>
        <w:numPr>
          <w:ilvl w:val="0"/>
          <w:numId w:val="15"/>
        </w:numPr>
      </w:pPr>
      <w:r w:rsidRPr="005D31FC">
        <w:t>A. Boharb et al., « Auditing and analysis of energy consumption of an industrial site in Morocco », Energy, vol. 101, p. 332‑342, avr. 2016, doi: 10.1016/j.energy.2016.02.035.</w:t>
      </w:r>
    </w:p>
    <w:p w14:paraId="5DE0CF1A" w14:textId="77777777" w:rsidR="00334D92" w:rsidRPr="005D31FC" w:rsidRDefault="00334D92" w:rsidP="00334D92">
      <w:pPr>
        <w:pStyle w:val="Reference"/>
        <w:numPr>
          <w:ilvl w:val="0"/>
          <w:numId w:val="15"/>
        </w:numPr>
      </w:pPr>
      <w:r w:rsidRPr="005D31FC">
        <w:rPr>
          <w:lang w:val="fr-FR"/>
        </w:rPr>
        <w:t xml:space="preserve">« Site web officiel de l’ONEE - Branche Electricité ». Consulté le: 7 août 2025. [En ligne]. </w:t>
      </w:r>
      <w:r w:rsidRPr="005D31FC">
        <w:t>Disponible sur: https://www.one.org.ma/</w:t>
      </w:r>
    </w:p>
    <w:p w14:paraId="1476114F" w14:textId="77777777" w:rsidR="00334D92" w:rsidRPr="005D31FC" w:rsidRDefault="00334D92" w:rsidP="00334D92">
      <w:pPr>
        <w:pStyle w:val="Reference"/>
        <w:numPr>
          <w:ilvl w:val="0"/>
          <w:numId w:val="15"/>
        </w:numPr>
      </w:pPr>
      <w:r w:rsidRPr="005D31FC">
        <w:t>A. Allouhi et S. Rehman, « Grid-connected hybrid renewable energy systems for supermarkets with electric vehicle charging platforms: Optimization and sensitivity analyses », Energy Rep., vol. 9, p. 3305‑3318, déc. 2023, doi: 10.1016/j.egyr.2023.02.005.</w:t>
      </w:r>
    </w:p>
    <w:p w14:paraId="1082B6A7" w14:textId="77777777" w:rsidR="00334D92" w:rsidRPr="005D31FC" w:rsidRDefault="00334D92" w:rsidP="00334D92">
      <w:pPr>
        <w:pStyle w:val="Reference"/>
        <w:numPr>
          <w:ilvl w:val="0"/>
          <w:numId w:val="15"/>
        </w:numPr>
      </w:pPr>
      <w:r w:rsidRPr="005D31FC">
        <w:lastRenderedPageBreak/>
        <w:t>N. M. Nasab et S. Yazdanian, « The advantages of lead-acid battery for off-grid design », Energy Storage, vol. 6, no 2, p. e595, 2024, doi: 10.1002/est2.595.</w:t>
      </w:r>
    </w:p>
    <w:p w14:paraId="01A5EBEE" w14:textId="77777777" w:rsidR="00334D92" w:rsidRPr="005D31FC" w:rsidRDefault="00334D92" w:rsidP="00334D92">
      <w:pPr>
        <w:pStyle w:val="Reference"/>
        <w:numPr>
          <w:ilvl w:val="0"/>
          <w:numId w:val="15"/>
        </w:numPr>
      </w:pPr>
      <w:r w:rsidRPr="005D31FC">
        <w:t>J. Sarda et al., « A review of the electric vehicle charging technology, impact on grid integration, policy consequences, challenges and future trends », Energy Rep., vol. 12, p. 5671‑5692, déc. 2024, doi: 10.1016/j.egyr.2024.11.047.</w:t>
      </w:r>
    </w:p>
    <w:p w14:paraId="4DE91CCB" w14:textId="5558B2F8" w:rsidR="00326AE0" w:rsidRPr="00114AB1" w:rsidRDefault="00334D92" w:rsidP="00334D92">
      <w:pPr>
        <w:pStyle w:val="Reference"/>
        <w:ind w:left="426" w:hanging="426"/>
      </w:pPr>
      <w:r w:rsidRPr="005D31FC">
        <w:fldChar w:fldCharType="end"/>
      </w:r>
      <w:bookmarkStart w:id="1" w:name="_GoBack"/>
      <w:bookmarkEnd w:id="1"/>
    </w:p>
    <w:sectPr w:rsidR="00326AE0" w:rsidRPr="00114AB1" w:rsidSect="00AD6418">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112796E"/>
    <w:multiLevelType w:val="hybridMultilevel"/>
    <w:tmpl w:val="1CA8D1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D14942"/>
    <w:multiLevelType w:val="hybridMultilevel"/>
    <w:tmpl w:val="7AC0B11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C310366"/>
    <w:multiLevelType w:val="hybridMultilevel"/>
    <w:tmpl w:val="3474AA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E47A57"/>
    <w:multiLevelType w:val="hybridMultilevel"/>
    <w:tmpl w:val="6B5891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2" w15:restartNumberingAfterBreak="0">
    <w:nsid w:val="3AA17CE3"/>
    <w:multiLevelType w:val="hybridMultilevel"/>
    <w:tmpl w:val="E7345190"/>
    <w:lvl w:ilvl="0" w:tplc="4E929F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6B54468F"/>
    <w:multiLevelType w:val="hybridMultilevel"/>
    <w:tmpl w:val="A1360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8"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20"/>
  </w:num>
  <w:num w:numId="2">
    <w:abstractNumId w:val="3"/>
  </w:num>
  <w:num w:numId="3">
    <w:abstractNumId w:val="17"/>
  </w:num>
  <w:num w:numId="4">
    <w:abstractNumId w:val="11"/>
  </w:num>
  <w:num w:numId="5">
    <w:abstractNumId w:val="15"/>
  </w:num>
  <w:num w:numId="6">
    <w:abstractNumId w:val="6"/>
  </w:num>
  <w:num w:numId="7">
    <w:abstractNumId w:val="10"/>
  </w:num>
  <w:num w:numId="8">
    <w:abstractNumId w:val="1"/>
  </w:num>
  <w:num w:numId="9">
    <w:abstractNumId w:val="19"/>
  </w:num>
  <w:num w:numId="10">
    <w:abstractNumId w:val="13"/>
  </w:num>
  <w:num w:numId="11">
    <w:abstractNumId w:val="18"/>
  </w:num>
  <w:num w:numId="12">
    <w:abstractNumId w:val="14"/>
  </w:num>
  <w:num w:numId="13">
    <w:abstractNumId w:val="9"/>
  </w:num>
  <w:num w:numId="14">
    <w:abstractNumId w:val="19"/>
  </w:num>
  <w:num w:numId="15">
    <w:abstractNumId w:val="12"/>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15"/>
  </w:num>
  <w:num w:numId="30">
    <w:abstractNumId w:val="15"/>
  </w:num>
  <w:num w:numId="31">
    <w:abstractNumId w:val="15"/>
    <w:lvlOverride w:ilvl="0">
      <w:startOverride w:val="1"/>
    </w:lvlOverride>
  </w:num>
  <w:num w:numId="32">
    <w:abstractNumId w:val="15"/>
  </w:num>
  <w:num w:numId="33">
    <w:abstractNumId w:val="15"/>
    <w:lvlOverride w:ilvl="0">
      <w:startOverride w:val="1"/>
    </w:lvlOverride>
  </w:num>
  <w:num w:numId="34">
    <w:abstractNumId w:val="15"/>
    <w:lvlOverride w:ilvl="0">
      <w:startOverride w:val="1"/>
    </w:lvlOverride>
  </w:num>
  <w:num w:numId="35">
    <w:abstractNumId w:val="17"/>
    <w:lvlOverride w:ilvl="0">
      <w:startOverride w:val="1"/>
    </w:lvlOverride>
  </w:num>
  <w:num w:numId="36">
    <w:abstractNumId w:val="17"/>
  </w:num>
  <w:num w:numId="37">
    <w:abstractNumId w:val="17"/>
    <w:lvlOverride w:ilvl="0">
      <w:startOverride w:val="1"/>
    </w:lvlOverride>
  </w:num>
  <w:num w:numId="38">
    <w:abstractNumId w:val="17"/>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num>
  <w:num w:numId="43">
    <w:abstractNumId w:val="17"/>
  </w:num>
  <w:num w:numId="44">
    <w:abstractNumId w:val="2"/>
  </w:num>
  <w:num w:numId="45">
    <w:abstractNumId w:val="0"/>
  </w:num>
  <w:num w:numId="46">
    <w:abstractNumId w:val="7"/>
  </w:num>
  <w:num w:numId="47">
    <w:abstractNumId w:val="8"/>
  </w:num>
  <w:num w:numId="48">
    <w:abstractNumId w:val="16"/>
  </w:num>
  <w:num w:numId="49">
    <w:abstractNumId w:val="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1523D"/>
    <w:rsid w:val="00027428"/>
    <w:rsid w:val="00031EC9"/>
    <w:rsid w:val="00066113"/>
    <w:rsid w:val="00066FED"/>
    <w:rsid w:val="00075EA6"/>
    <w:rsid w:val="0007709F"/>
    <w:rsid w:val="00085385"/>
    <w:rsid w:val="00086F62"/>
    <w:rsid w:val="00090674"/>
    <w:rsid w:val="00092BCD"/>
    <w:rsid w:val="0009320B"/>
    <w:rsid w:val="00096AE0"/>
    <w:rsid w:val="000A464A"/>
    <w:rsid w:val="000B1B74"/>
    <w:rsid w:val="000B3A2D"/>
    <w:rsid w:val="000B49C0"/>
    <w:rsid w:val="000C3021"/>
    <w:rsid w:val="000C5DF8"/>
    <w:rsid w:val="000C7F4A"/>
    <w:rsid w:val="000D4700"/>
    <w:rsid w:val="000E382F"/>
    <w:rsid w:val="000E4EF8"/>
    <w:rsid w:val="000E75CD"/>
    <w:rsid w:val="00101836"/>
    <w:rsid w:val="001036BA"/>
    <w:rsid w:val="00110A03"/>
    <w:rsid w:val="00111241"/>
    <w:rsid w:val="00113FBB"/>
    <w:rsid w:val="001146DC"/>
    <w:rsid w:val="00114AB1"/>
    <w:rsid w:val="00120514"/>
    <w:rsid w:val="001230FF"/>
    <w:rsid w:val="00124E7B"/>
    <w:rsid w:val="00130BD7"/>
    <w:rsid w:val="00137834"/>
    <w:rsid w:val="001415FF"/>
    <w:rsid w:val="001426F0"/>
    <w:rsid w:val="00143E1C"/>
    <w:rsid w:val="00143FE0"/>
    <w:rsid w:val="001553D0"/>
    <w:rsid w:val="00155B67"/>
    <w:rsid w:val="001562AF"/>
    <w:rsid w:val="00156FBA"/>
    <w:rsid w:val="00161A5B"/>
    <w:rsid w:val="0016385D"/>
    <w:rsid w:val="00164584"/>
    <w:rsid w:val="00165880"/>
    <w:rsid w:val="00167817"/>
    <w:rsid w:val="0016782F"/>
    <w:rsid w:val="001700AA"/>
    <w:rsid w:val="001710B2"/>
    <w:rsid w:val="00183A50"/>
    <w:rsid w:val="001937E9"/>
    <w:rsid w:val="001964E5"/>
    <w:rsid w:val="001966EE"/>
    <w:rsid w:val="001A5B95"/>
    <w:rsid w:val="001B263B"/>
    <w:rsid w:val="001B476A"/>
    <w:rsid w:val="001C764F"/>
    <w:rsid w:val="001C7BB3"/>
    <w:rsid w:val="001D04FC"/>
    <w:rsid w:val="001D0A46"/>
    <w:rsid w:val="001D3788"/>
    <w:rsid w:val="001D469C"/>
    <w:rsid w:val="001E0745"/>
    <w:rsid w:val="001E46A7"/>
    <w:rsid w:val="0020099C"/>
    <w:rsid w:val="002068E0"/>
    <w:rsid w:val="002077A8"/>
    <w:rsid w:val="00215511"/>
    <w:rsid w:val="0021619E"/>
    <w:rsid w:val="0021676F"/>
    <w:rsid w:val="002258FC"/>
    <w:rsid w:val="00227CBC"/>
    <w:rsid w:val="0023171B"/>
    <w:rsid w:val="00236BFC"/>
    <w:rsid w:val="00237437"/>
    <w:rsid w:val="002454BC"/>
    <w:rsid w:val="002502FD"/>
    <w:rsid w:val="00255833"/>
    <w:rsid w:val="00266EB0"/>
    <w:rsid w:val="00274622"/>
    <w:rsid w:val="00280D9A"/>
    <w:rsid w:val="00285D24"/>
    <w:rsid w:val="00290390"/>
    <w:rsid w:val="00290BEB"/>
    <w:rsid w:val="002915D3"/>
    <w:rsid w:val="002924DB"/>
    <w:rsid w:val="002935E3"/>
    <w:rsid w:val="002941DA"/>
    <w:rsid w:val="00297F1B"/>
    <w:rsid w:val="002A06D3"/>
    <w:rsid w:val="002A0903"/>
    <w:rsid w:val="002A0EEA"/>
    <w:rsid w:val="002A118C"/>
    <w:rsid w:val="002A67FF"/>
    <w:rsid w:val="002A747F"/>
    <w:rsid w:val="002B06A4"/>
    <w:rsid w:val="002B1814"/>
    <w:rsid w:val="002B2667"/>
    <w:rsid w:val="002B37B1"/>
    <w:rsid w:val="002B5648"/>
    <w:rsid w:val="002C1059"/>
    <w:rsid w:val="002D1530"/>
    <w:rsid w:val="002D358B"/>
    <w:rsid w:val="002E3C35"/>
    <w:rsid w:val="002F5298"/>
    <w:rsid w:val="0030029A"/>
    <w:rsid w:val="0031049E"/>
    <w:rsid w:val="00310EEE"/>
    <w:rsid w:val="003135B9"/>
    <w:rsid w:val="0031435D"/>
    <w:rsid w:val="00322055"/>
    <w:rsid w:val="00326AE0"/>
    <w:rsid w:val="00334D92"/>
    <w:rsid w:val="00337E4F"/>
    <w:rsid w:val="00340C36"/>
    <w:rsid w:val="00345946"/>
    <w:rsid w:val="00346A9D"/>
    <w:rsid w:val="00357AFC"/>
    <w:rsid w:val="00380DFB"/>
    <w:rsid w:val="00382BE4"/>
    <w:rsid w:val="00391C1E"/>
    <w:rsid w:val="0039376F"/>
    <w:rsid w:val="003A0631"/>
    <w:rsid w:val="003A287B"/>
    <w:rsid w:val="003A2A8B"/>
    <w:rsid w:val="003A5C85"/>
    <w:rsid w:val="003A61B1"/>
    <w:rsid w:val="003B0050"/>
    <w:rsid w:val="003B006A"/>
    <w:rsid w:val="003B22C0"/>
    <w:rsid w:val="003D3841"/>
    <w:rsid w:val="003D6312"/>
    <w:rsid w:val="003D7BC3"/>
    <w:rsid w:val="003E44E4"/>
    <w:rsid w:val="003E459D"/>
    <w:rsid w:val="003E5D28"/>
    <w:rsid w:val="003E7C74"/>
    <w:rsid w:val="003F31C6"/>
    <w:rsid w:val="0040225B"/>
    <w:rsid w:val="00402DA2"/>
    <w:rsid w:val="00425AC2"/>
    <w:rsid w:val="00427A84"/>
    <w:rsid w:val="00441A45"/>
    <w:rsid w:val="004421F9"/>
    <w:rsid w:val="0044388F"/>
    <w:rsid w:val="004465CE"/>
    <w:rsid w:val="004472B0"/>
    <w:rsid w:val="0044771F"/>
    <w:rsid w:val="0045207A"/>
    <w:rsid w:val="00465C0C"/>
    <w:rsid w:val="004675A8"/>
    <w:rsid w:val="00483A99"/>
    <w:rsid w:val="0049117D"/>
    <w:rsid w:val="0049325A"/>
    <w:rsid w:val="004A688C"/>
    <w:rsid w:val="004B151D"/>
    <w:rsid w:val="004C142D"/>
    <w:rsid w:val="004C2215"/>
    <w:rsid w:val="004C7243"/>
    <w:rsid w:val="004D293C"/>
    <w:rsid w:val="004E21DE"/>
    <w:rsid w:val="004E25C4"/>
    <w:rsid w:val="004E3C57"/>
    <w:rsid w:val="004E3CB2"/>
    <w:rsid w:val="004E4523"/>
    <w:rsid w:val="004F0175"/>
    <w:rsid w:val="004F1F2D"/>
    <w:rsid w:val="00510E3B"/>
    <w:rsid w:val="00515453"/>
    <w:rsid w:val="005178D2"/>
    <w:rsid w:val="005211F0"/>
    <w:rsid w:val="00523E7F"/>
    <w:rsid w:val="00525813"/>
    <w:rsid w:val="0053513F"/>
    <w:rsid w:val="0054568B"/>
    <w:rsid w:val="0054788A"/>
    <w:rsid w:val="005625D3"/>
    <w:rsid w:val="00564A6C"/>
    <w:rsid w:val="00574405"/>
    <w:rsid w:val="0057492A"/>
    <w:rsid w:val="00582B58"/>
    <w:rsid w:val="005854B0"/>
    <w:rsid w:val="005A0E21"/>
    <w:rsid w:val="005A2042"/>
    <w:rsid w:val="005A4AED"/>
    <w:rsid w:val="005B3A34"/>
    <w:rsid w:val="005D31FC"/>
    <w:rsid w:val="005D3FAC"/>
    <w:rsid w:val="005D49AF"/>
    <w:rsid w:val="005E415C"/>
    <w:rsid w:val="005E59BC"/>
    <w:rsid w:val="005E71ED"/>
    <w:rsid w:val="005E7946"/>
    <w:rsid w:val="005F5CA2"/>
    <w:rsid w:val="005F7475"/>
    <w:rsid w:val="00611299"/>
    <w:rsid w:val="00613B4D"/>
    <w:rsid w:val="00616365"/>
    <w:rsid w:val="00616F3B"/>
    <w:rsid w:val="006171B4"/>
    <w:rsid w:val="006249A7"/>
    <w:rsid w:val="00634634"/>
    <w:rsid w:val="0064225B"/>
    <w:rsid w:val="0064478C"/>
    <w:rsid w:val="006513C6"/>
    <w:rsid w:val="00664472"/>
    <w:rsid w:val="00674F10"/>
    <w:rsid w:val="006763F9"/>
    <w:rsid w:val="006846D9"/>
    <w:rsid w:val="00686E90"/>
    <w:rsid w:val="00687DF6"/>
    <w:rsid w:val="00693D96"/>
    <w:rsid w:val="00693F98"/>
    <w:rsid w:val="006949BC"/>
    <w:rsid w:val="006B3A0E"/>
    <w:rsid w:val="006B509E"/>
    <w:rsid w:val="006B709D"/>
    <w:rsid w:val="006C0D8E"/>
    <w:rsid w:val="006C1049"/>
    <w:rsid w:val="006C418E"/>
    <w:rsid w:val="006D1229"/>
    <w:rsid w:val="006D372F"/>
    <w:rsid w:val="006D738F"/>
    <w:rsid w:val="006D7A18"/>
    <w:rsid w:val="006E3998"/>
    <w:rsid w:val="006E4474"/>
    <w:rsid w:val="006E49F3"/>
    <w:rsid w:val="00701388"/>
    <w:rsid w:val="00706B9A"/>
    <w:rsid w:val="00717008"/>
    <w:rsid w:val="0071793D"/>
    <w:rsid w:val="00723B7F"/>
    <w:rsid w:val="00724A3D"/>
    <w:rsid w:val="00725861"/>
    <w:rsid w:val="0073393A"/>
    <w:rsid w:val="0073539D"/>
    <w:rsid w:val="007377CE"/>
    <w:rsid w:val="007409B5"/>
    <w:rsid w:val="00746D71"/>
    <w:rsid w:val="00750567"/>
    <w:rsid w:val="0075249E"/>
    <w:rsid w:val="00767B8A"/>
    <w:rsid w:val="007702E1"/>
    <w:rsid w:val="00775481"/>
    <w:rsid w:val="00780453"/>
    <w:rsid w:val="007915A2"/>
    <w:rsid w:val="00795A5B"/>
    <w:rsid w:val="007A233B"/>
    <w:rsid w:val="007B186D"/>
    <w:rsid w:val="007B4863"/>
    <w:rsid w:val="007B59D9"/>
    <w:rsid w:val="007B7414"/>
    <w:rsid w:val="007C11E8"/>
    <w:rsid w:val="007C1E39"/>
    <w:rsid w:val="007C28FA"/>
    <w:rsid w:val="007C354A"/>
    <w:rsid w:val="007C65E6"/>
    <w:rsid w:val="007D406B"/>
    <w:rsid w:val="007D4407"/>
    <w:rsid w:val="007D47A0"/>
    <w:rsid w:val="007D73E9"/>
    <w:rsid w:val="007E1CA3"/>
    <w:rsid w:val="007E69F8"/>
    <w:rsid w:val="007F6275"/>
    <w:rsid w:val="00803155"/>
    <w:rsid w:val="00811F84"/>
    <w:rsid w:val="00812D62"/>
    <w:rsid w:val="00812F29"/>
    <w:rsid w:val="008146A4"/>
    <w:rsid w:val="00814EDE"/>
    <w:rsid w:val="00815185"/>
    <w:rsid w:val="008178CD"/>
    <w:rsid w:val="008202D0"/>
    <w:rsid w:val="00821713"/>
    <w:rsid w:val="00827050"/>
    <w:rsid w:val="0083278B"/>
    <w:rsid w:val="00834538"/>
    <w:rsid w:val="00842403"/>
    <w:rsid w:val="008461EF"/>
    <w:rsid w:val="00850E89"/>
    <w:rsid w:val="008519F7"/>
    <w:rsid w:val="00853EBA"/>
    <w:rsid w:val="00854A1D"/>
    <w:rsid w:val="00870A73"/>
    <w:rsid w:val="00874D2B"/>
    <w:rsid w:val="0087621D"/>
    <w:rsid w:val="00883EAB"/>
    <w:rsid w:val="00887E5C"/>
    <w:rsid w:val="008930E4"/>
    <w:rsid w:val="00893821"/>
    <w:rsid w:val="008A46EC"/>
    <w:rsid w:val="008A50BB"/>
    <w:rsid w:val="008A7B9C"/>
    <w:rsid w:val="008B2ABA"/>
    <w:rsid w:val="008B39FA"/>
    <w:rsid w:val="008B3DAD"/>
    <w:rsid w:val="008B4754"/>
    <w:rsid w:val="008C3171"/>
    <w:rsid w:val="008E136F"/>
    <w:rsid w:val="008E6A7A"/>
    <w:rsid w:val="008E7AAB"/>
    <w:rsid w:val="008F1038"/>
    <w:rsid w:val="008F7046"/>
    <w:rsid w:val="009005FC"/>
    <w:rsid w:val="00901F7E"/>
    <w:rsid w:val="0090435F"/>
    <w:rsid w:val="0091363F"/>
    <w:rsid w:val="009229D7"/>
    <w:rsid w:val="00922E5A"/>
    <w:rsid w:val="00926E3F"/>
    <w:rsid w:val="00931AD9"/>
    <w:rsid w:val="009347DD"/>
    <w:rsid w:val="00935F4B"/>
    <w:rsid w:val="00943315"/>
    <w:rsid w:val="00946C27"/>
    <w:rsid w:val="009546B3"/>
    <w:rsid w:val="009559CC"/>
    <w:rsid w:val="00970737"/>
    <w:rsid w:val="00975268"/>
    <w:rsid w:val="00977161"/>
    <w:rsid w:val="00980B6D"/>
    <w:rsid w:val="00980D9A"/>
    <w:rsid w:val="00985447"/>
    <w:rsid w:val="009A06D5"/>
    <w:rsid w:val="009A4F3D"/>
    <w:rsid w:val="009B1FD2"/>
    <w:rsid w:val="009B2B9E"/>
    <w:rsid w:val="009B696B"/>
    <w:rsid w:val="009B7671"/>
    <w:rsid w:val="009C7AF9"/>
    <w:rsid w:val="009D4C0A"/>
    <w:rsid w:val="009D7695"/>
    <w:rsid w:val="009E5BA1"/>
    <w:rsid w:val="009F00D3"/>
    <w:rsid w:val="009F056E"/>
    <w:rsid w:val="009F6D95"/>
    <w:rsid w:val="00A00980"/>
    <w:rsid w:val="00A02090"/>
    <w:rsid w:val="00A03724"/>
    <w:rsid w:val="00A03F35"/>
    <w:rsid w:val="00A04FAE"/>
    <w:rsid w:val="00A0578C"/>
    <w:rsid w:val="00A10349"/>
    <w:rsid w:val="00A10792"/>
    <w:rsid w:val="00A14CBB"/>
    <w:rsid w:val="00A20986"/>
    <w:rsid w:val="00A24351"/>
    <w:rsid w:val="00A24F3D"/>
    <w:rsid w:val="00A26DCD"/>
    <w:rsid w:val="00A27ED0"/>
    <w:rsid w:val="00A314BB"/>
    <w:rsid w:val="00A32B7D"/>
    <w:rsid w:val="00A528E8"/>
    <w:rsid w:val="00A5596B"/>
    <w:rsid w:val="00A55A98"/>
    <w:rsid w:val="00A646B3"/>
    <w:rsid w:val="00A6739B"/>
    <w:rsid w:val="00A700E0"/>
    <w:rsid w:val="00A90413"/>
    <w:rsid w:val="00A96F1F"/>
    <w:rsid w:val="00AA728C"/>
    <w:rsid w:val="00AB0A9C"/>
    <w:rsid w:val="00AB1798"/>
    <w:rsid w:val="00AB1974"/>
    <w:rsid w:val="00AB7119"/>
    <w:rsid w:val="00AD5855"/>
    <w:rsid w:val="00AD6418"/>
    <w:rsid w:val="00AE7500"/>
    <w:rsid w:val="00AE7F87"/>
    <w:rsid w:val="00AF1F95"/>
    <w:rsid w:val="00AF3542"/>
    <w:rsid w:val="00AF5ABE"/>
    <w:rsid w:val="00AF7B91"/>
    <w:rsid w:val="00B00415"/>
    <w:rsid w:val="00B03C2A"/>
    <w:rsid w:val="00B03E15"/>
    <w:rsid w:val="00B1000D"/>
    <w:rsid w:val="00B10134"/>
    <w:rsid w:val="00B123D6"/>
    <w:rsid w:val="00B168CC"/>
    <w:rsid w:val="00B16BFE"/>
    <w:rsid w:val="00B17553"/>
    <w:rsid w:val="00B229F8"/>
    <w:rsid w:val="00B34EF0"/>
    <w:rsid w:val="00B40571"/>
    <w:rsid w:val="00B40B4F"/>
    <w:rsid w:val="00B470A4"/>
    <w:rsid w:val="00B500E5"/>
    <w:rsid w:val="00B521CB"/>
    <w:rsid w:val="00B52C90"/>
    <w:rsid w:val="00B660A9"/>
    <w:rsid w:val="00B66F3A"/>
    <w:rsid w:val="00B821E1"/>
    <w:rsid w:val="00B82E03"/>
    <w:rsid w:val="00B9188D"/>
    <w:rsid w:val="00B91A73"/>
    <w:rsid w:val="00B945E1"/>
    <w:rsid w:val="00BA39BB"/>
    <w:rsid w:val="00BA3B3D"/>
    <w:rsid w:val="00BB2377"/>
    <w:rsid w:val="00BB7EEA"/>
    <w:rsid w:val="00BC07BC"/>
    <w:rsid w:val="00BD1909"/>
    <w:rsid w:val="00BE5E16"/>
    <w:rsid w:val="00BE5FD1"/>
    <w:rsid w:val="00BF14E6"/>
    <w:rsid w:val="00BF2717"/>
    <w:rsid w:val="00C048E0"/>
    <w:rsid w:val="00C06E05"/>
    <w:rsid w:val="00C11BD5"/>
    <w:rsid w:val="00C14B14"/>
    <w:rsid w:val="00C17370"/>
    <w:rsid w:val="00C2054D"/>
    <w:rsid w:val="00C23166"/>
    <w:rsid w:val="00C252EB"/>
    <w:rsid w:val="00C26EC0"/>
    <w:rsid w:val="00C31C14"/>
    <w:rsid w:val="00C356DE"/>
    <w:rsid w:val="00C35B3F"/>
    <w:rsid w:val="00C424F6"/>
    <w:rsid w:val="00C461FC"/>
    <w:rsid w:val="00C5307C"/>
    <w:rsid w:val="00C55818"/>
    <w:rsid w:val="00C56C77"/>
    <w:rsid w:val="00C620F5"/>
    <w:rsid w:val="00C6513A"/>
    <w:rsid w:val="00C7335A"/>
    <w:rsid w:val="00C73CC2"/>
    <w:rsid w:val="00C807C9"/>
    <w:rsid w:val="00C80D53"/>
    <w:rsid w:val="00C80EC8"/>
    <w:rsid w:val="00C84923"/>
    <w:rsid w:val="00C87316"/>
    <w:rsid w:val="00CA2C6E"/>
    <w:rsid w:val="00CB7B3E"/>
    <w:rsid w:val="00CC0FDA"/>
    <w:rsid w:val="00CC2D1F"/>
    <w:rsid w:val="00CC59E6"/>
    <w:rsid w:val="00CC739D"/>
    <w:rsid w:val="00CE6181"/>
    <w:rsid w:val="00CF411D"/>
    <w:rsid w:val="00CF767E"/>
    <w:rsid w:val="00D04468"/>
    <w:rsid w:val="00D06811"/>
    <w:rsid w:val="00D10FD6"/>
    <w:rsid w:val="00D1377E"/>
    <w:rsid w:val="00D15431"/>
    <w:rsid w:val="00D30640"/>
    <w:rsid w:val="00D32FBC"/>
    <w:rsid w:val="00D336BD"/>
    <w:rsid w:val="00D33721"/>
    <w:rsid w:val="00D34030"/>
    <w:rsid w:val="00D36257"/>
    <w:rsid w:val="00D43B82"/>
    <w:rsid w:val="00D447ED"/>
    <w:rsid w:val="00D4585F"/>
    <w:rsid w:val="00D4687E"/>
    <w:rsid w:val="00D47152"/>
    <w:rsid w:val="00D53A12"/>
    <w:rsid w:val="00D5419A"/>
    <w:rsid w:val="00D545E3"/>
    <w:rsid w:val="00D66DCE"/>
    <w:rsid w:val="00D671B0"/>
    <w:rsid w:val="00D75AEA"/>
    <w:rsid w:val="00D770FF"/>
    <w:rsid w:val="00D82109"/>
    <w:rsid w:val="00D8710B"/>
    <w:rsid w:val="00D87E2A"/>
    <w:rsid w:val="00D94C77"/>
    <w:rsid w:val="00DA43CF"/>
    <w:rsid w:val="00DB0C43"/>
    <w:rsid w:val="00DB53D9"/>
    <w:rsid w:val="00DB6D64"/>
    <w:rsid w:val="00DC497F"/>
    <w:rsid w:val="00DE3354"/>
    <w:rsid w:val="00DF399B"/>
    <w:rsid w:val="00DF788C"/>
    <w:rsid w:val="00DF7DCD"/>
    <w:rsid w:val="00E0115B"/>
    <w:rsid w:val="00E13184"/>
    <w:rsid w:val="00E225DB"/>
    <w:rsid w:val="00E23B49"/>
    <w:rsid w:val="00E24863"/>
    <w:rsid w:val="00E43525"/>
    <w:rsid w:val="00E50B7D"/>
    <w:rsid w:val="00E52656"/>
    <w:rsid w:val="00E543E2"/>
    <w:rsid w:val="00E66480"/>
    <w:rsid w:val="00E7717F"/>
    <w:rsid w:val="00E85B9E"/>
    <w:rsid w:val="00E862D7"/>
    <w:rsid w:val="00E904A1"/>
    <w:rsid w:val="00EB7D28"/>
    <w:rsid w:val="00EC0D0C"/>
    <w:rsid w:val="00EC5A83"/>
    <w:rsid w:val="00EC5FE7"/>
    <w:rsid w:val="00ED1799"/>
    <w:rsid w:val="00ED3149"/>
    <w:rsid w:val="00ED4A2C"/>
    <w:rsid w:val="00ED695A"/>
    <w:rsid w:val="00EF3024"/>
    <w:rsid w:val="00EF3A17"/>
    <w:rsid w:val="00EF6940"/>
    <w:rsid w:val="00EF7D89"/>
    <w:rsid w:val="00F012D4"/>
    <w:rsid w:val="00F01B86"/>
    <w:rsid w:val="00F02053"/>
    <w:rsid w:val="00F05A6D"/>
    <w:rsid w:val="00F10114"/>
    <w:rsid w:val="00F1275D"/>
    <w:rsid w:val="00F1733C"/>
    <w:rsid w:val="00F2044A"/>
    <w:rsid w:val="00F20BFC"/>
    <w:rsid w:val="00F24D5F"/>
    <w:rsid w:val="00F2553D"/>
    <w:rsid w:val="00F26362"/>
    <w:rsid w:val="00F41F82"/>
    <w:rsid w:val="00F4315E"/>
    <w:rsid w:val="00F4512B"/>
    <w:rsid w:val="00F46660"/>
    <w:rsid w:val="00F4671A"/>
    <w:rsid w:val="00F47E41"/>
    <w:rsid w:val="00F62EDA"/>
    <w:rsid w:val="00F72195"/>
    <w:rsid w:val="00F726C3"/>
    <w:rsid w:val="00F820CA"/>
    <w:rsid w:val="00F84063"/>
    <w:rsid w:val="00F8554C"/>
    <w:rsid w:val="00F93A51"/>
    <w:rsid w:val="00F95F82"/>
    <w:rsid w:val="00F97A90"/>
    <w:rsid w:val="00FA5E43"/>
    <w:rsid w:val="00FC0AD9"/>
    <w:rsid w:val="00FC12E7"/>
    <w:rsid w:val="00FC2531"/>
    <w:rsid w:val="00FC2F35"/>
    <w:rsid w:val="00FC3FD7"/>
    <w:rsid w:val="00FD19EF"/>
    <w:rsid w:val="00FD1FC6"/>
    <w:rsid w:val="00FD286B"/>
    <w:rsid w:val="00FE0C07"/>
    <w:rsid w:val="00FE4749"/>
    <w:rsid w:val="00FE4C15"/>
    <w:rsid w:val="00FE5869"/>
    <w:rsid w:val="00FF5561"/>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5818"/>
    <w:rPr>
      <w:sz w:val="24"/>
      <w:lang w:val="en-US" w:eastAsia="en-US"/>
    </w:rPr>
  </w:style>
  <w:style w:type="paragraph" w:styleId="Titre1">
    <w:name w:val="heading 1"/>
    <w:basedOn w:val="Normal"/>
    <w:next w:val="Paragraph"/>
    <w:qFormat/>
    <w:pPr>
      <w:keepNext/>
      <w:spacing w:before="240" w:after="240"/>
      <w:jc w:val="center"/>
      <w:outlineLvl w:val="0"/>
    </w:pPr>
    <w:rPr>
      <w:b/>
      <w:caps/>
    </w:rPr>
  </w:style>
  <w:style w:type="paragraph" w:styleId="Titre2">
    <w:name w:val="heading 2"/>
    <w:basedOn w:val="Normal"/>
    <w:next w:val="Paragraph"/>
    <w:link w:val="Titre2Car"/>
    <w:qFormat/>
    <w:pPr>
      <w:keepNext/>
      <w:spacing w:before="240" w:after="240"/>
      <w:jc w:val="center"/>
      <w:outlineLvl w:val="1"/>
    </w:pPr>
    <w:rPr>
      <w:b/>
    </w:rPr>
  </w:style>
  <w:style w:type="paragraph" w:styleId="Titre3">
    <w:name w:val="heading 3"/>
    <w:basedOn w:val="Normal"/>
    <w:next w:val="Normal"/>
    <w:qFormat/>
    <w:rsid w:val="005854B0"/>
    <w:pPr>
      <w:keepNext/>
      <w:spacing w:before="240" w:after="240"/>
      <w:jc w:val="center"/>
      <w:outlineLvl w:val="2"/>
    </w:pPr>
    <w:rPr>
      <w:i/>
      <w:iCs/>
      <w:sz w:val="20"/>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Titre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Appelnotedebasdep">
    <w:name w:val="footnote reference"/>
    <w:semiHidden/>
    <w:rPr>
      <w:vertAlign w:val="superscript"/>
    </w:rPr>
  </w:style>
  <w:style w:type="paragraph" w:customStyle="1" w:styleId="Reference">
    <w:name w:val="Reference"/>
    <w:basedOn w:val="Paragraph"/>
    <w:rsid w:val="00AE7500"/>
    <w:pPr>
      <w:ind w:firstLine="0"/>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Textedebulles">
    <w:name w:val="Balloon Text"/>
    <w:basedOn w:val="Normal"/>
    <w:link w:val="TextedebullesCar"/>
    <w:rsid w:val="00114AB1"/>
    <w:rPr>
      <w:rFonts w:ascii="Tahoma" w:hAnsi="Tahoma" w:cs="Tahoma"/>
      <w:sz w:val="16"/>
      <w:szCs w:val="16"/>
    </w:rPr>
  </w:style>
  <w:style w:type="character" w:customStyle="1" w:styleId="TextedebullesCar">
    <w:name w:val="Texte de bulles Car"/>
    <w:basedOn w:val="Policepardfaut"/>
    <w:link w:val="Textedebulles"/>
    <w:rsid w:val="00114AB1"/>
    <w:rPr>
      <w:rFonts w:ascii="Tahoma" w:hAnsi="Tahoma" w:cs="Tahoma"/>
      <w:sz w:val="16"/>
      <w:szCs w:val="16"/>
      <w:lang w:val="en-US" w:eastAsia="en-US"/>
    </w:rPr>
  </w:style>
  <w:style w:type="character" w:styleId="Lienhypertexte">
    <w:name w:val="Hyperlink"/>
    <w:rPr>
      <w:color w:val="0000FF"/>
      <w:u w:val="single"/>
    </w:rPr>
  </w:style>
  <w:style w:type="table" w:styleId="Grilledutableau">
    <w:name w:val="Table Grid"/>
    <w:basedOn w:val="Tableau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lev">
    <w:name w:val="Strong"/>
    <w:basedOn w:val="Policepardfaut"/>
    <w:uiPriority w:val="22"/>
    <w:qFormat/>
    <w:rsid w:val="005F7475"/>
    <w:rPr>
      <w:b/>
      <w:bCs/>
    </w:rPr>
  </w:style>
  <w:style w:type="character" w:styleId="Accentuation">
    <w:name w:val="Emphasis"/>
    <w:basedOn w:val="Policepardfau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Policepardfaut"/>
    <w:uiPriority w:val="99"/>
    <w:semiHidden/>
    <w:unhideWhenUsed/>
    <w:rsid w:val="00613B4D"/>
    <w:rPr>
      <w:color w:val="808080"/>
      <w:shd w:val="clear" w:color="auto" w:fill="E6E6E6"/>
    </w:rPr>
  </w:style>
  <w:style w:type="paragraph" w:styleId="Paragraphedeliste">
    <w:name w:val="List Paragraph"/>
    <w:basedOn w:val="Normal"/>
    <w:uiPriority w:val="34"/>
    <w:rsid w:val="006E4474"/>
    <w:pPr>
      <w:ind w:left="720"/>
      <w:contextualSpacing/>
    </w:pPr>
  </w:style>
  <w:style w:type="character" w:styleId="Marquedecommentaire">
    <w:name w:val="annotation reference"/>
    <w:basedOn w:val="Policepardfaut"/>
    <w:semiHidden/>
    <w:unhideWhenUsed/>
    <w:rsid w:val="005E71ED"/>
    <w:rPr>
      <w:sz w:val="16"/>
      <w:szCs w:val="16"/>
    </w:rPr>
  </w:style>
  <w:style w:type="paragraph" w:styleId="Commentaire">
    <w:name w:val="annotation text"/>
    <w:basedOn w:val="Normal"/>
    <w:link w:val="CommentaireCar"/>
    <w:semiHidden/>
    <w:unhideWhenUsed/>
    <w:rsid w:val="005E71ED"/>
    <w:rPr>
      <w:sz w:val="20"/>
    </w:rPr>
  </w:style>
  <w:style w:type="character" w:customStyle="1" w:styleId="CommentaireCar">
    <w:name w:val="Commentaire Car"/>
    <w:basedOn w:val="Policepardfaut"/>
    <w:link w:val="Commentaire"/>
    <w:semiHidden/>
    <w:rsid w:val="005E71ED"/>
    <w:rPr>
      <w:lang w:val="en-US" w:eastAsia="en-US"/>
    </w:rPr>
  </w:style>
  <w:style w:type="paragraph" w:styleId="Objetducommentaire">
    <w:name w:val="annotation subject"/>
    <w:basedOn w:val="Commentaire"/>
    <w:next w:val="Commentaire"/>
    <w:link w:val="ObjetducommentaireCar"/>
    <w:semiHidden/>
    <w:unhideWhenUsed/>
    <w:rsid w:val="005E71ED"/>
    <w:rPr>
      <w:b/>
      <w:bCs/>
    </w:rPr>
  </w:style>
  <w:style w:type="character" w:customStyle="1" w:styleId="ObjetducommentaireCar">
    <w:name w:val="Objet du commentaire Car"/>
    <w:basedOn w:val="CommentaireCar"/>
    <w:link w:val="Objetducommentaire"/>
    <w:semiHidden/>
    <w:rsid w:val="005E71ED"/>
    <w:rPr>
      <w:b/>
      <w:bCs/>
      <w:lang w:val="en-US" w:eastAsia="en-US"/>
    </w:rPr>
  </w:style>
  <w:style w:type="paragraph" w:customStyle="1" w:styleId="Text">
    <w:name w:val="Text"/>
    <w:basedOn w:val="Normal"/>
    <w:qFormat/>
    <w:rsid w:val="00510E3B"/>
    <w:pPr>
      <w:snapToGrid w:val="0"/>
      <w:spacing w:after="160"/>
      <w:jc w:val="both"/>
    </w:pPr>
    <w:rPr>
      <w:rFonts w:ascii="Times" w:eastAsiaTheme="minorHAnsi" w:hAnsi="Times" w:cs="Times New Roman (Cuerpo en alfa"/>
      <w:sz w:val="20"/>
      <w:szCs w:val="24"/>
    </w:rPr>
  </w:style>
  <w:style w:type="character" w:styleId="Textedelespacerserv">
    <w:name w:val="Placeholder Text"/>
    <w:basedOn w:val="Policepardfaut"/>
    <w:uiPriority w:val="99"/>
    <w:semiHidden/>
    <w:rsid w:val="0049325A"/>
    <w:rPr>
      <w:color w:val="808080"/>
    </w:rPr>
  </w:style>
  <w:style w:type="paragraph" w:styleId="Lgende">
    <w:name w:val="caption"/>
    <w:basedOn w:val="Normal"/>
    <w:next w:val="Normal"/>
    <w:uiPriority w:val="35"/>
    <w:unhideWhenUsed/>
    <w:qFormat/>
    <w:rsid w:val="00B52C90"/>
    <w:pPr>
      <w:spacing w:after="200"/>
      <w:ind w:left="226" w:hanging="113"/>
      <w:jc w:val="both"/>
    </w:pPr>
    <w:rPr>
      <w:rFonts w:ascii="Times" w:eastAsiaTheme="minorHAnsi" w:hAnsi="Times" w:cs="Times New Roman (Cuerpo en alfa"/>
      <w:color w:val="1F497D" w:themeColor="text2"/>
      <w:sz w:val="18"/>
      <w:szCs w:val="18"/>
    </w:rPr>
  </w:style>
  <w:style w:type="table" w:styleId="Tableausimple2">
    <w:name w:val="Plain Table 2"/>
    <w:basedOn w:val="TableauNormal"/>
    <w:uiPriority w:val="42"/>
    <w:rsid w:val="00124E7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ie">
    <w:name w:val="Bibliography"/>
    <w:basedOn w:val="Normal"/>
    <w:next w:val="Normal"/>
    <w:uiPriority w:val="37"/>
    <w:unhideWhenUsed/>
    <w:rsid w:val="008202D0"/>
    <w:pPr>
      <w:ind w:left="720" w:hanging="720"/>
    </w:pPr>
  </w:style>
  <w:style w:type="table" w:styleId="Tableausimple4">
    <w:name w:val="Plain Table 4"/>
    <w:basedOn w:val="TableauNormal"/>
    <w:uiPriority w:val="44"/>
    <w:rsid w:val="00693D9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2Car">
    <w:name w:val="Titre 2 Car"/>
    <w:basedOn w:val="Policepardfaut"/>
    <w:link w:val="Titre2"/>
    <w:rsid w:val="00B660A9"/>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489098">
      <w:bodyDiv w:val="1"/>
      <w:marLeft w:val="0"/>
      <w:marRight w:val="0"/>
      <w:marTop w:val="0"/>
      <w:marBottom w:val="0"/>
      <w:divBdr>
        <w:top w:val="none" w:sz="0" w:space="0" w:color="auto"/>
        <w:left w:val="none" w:sz="0" w:space="0" w:color="auto"/>
        <w:bottom w:val="none" w:sz="0" w:space="0" w:color="auto"/>
        <w:right w:val="none" w:sz="0" w:space="0" w:color="auto"/>
      </w:divBdr>
    </w:div>
    <w:div w:id="818576281">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009017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92310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hyperlink" Target="mailto:btissam.mekaoui@usmba.ac.ma" TargetMode="Externa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hyperlink" Target="mailto:ikram.elhaji@enim.ac.ma" TargetMode="External"/><Relationship Id="rId14" Type="http://schemas.microsoft.com/office/2007/relationships/hdphoto" Target="media/hdphoto1.wdp"/><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figures%20artcles%20EV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figures%20artcles%20EV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Admin\Desktop\figures%20artcles%20EVs.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20EXPERTBOOK\Desktop\DOCTORAT%20G\Doctorat%203%20&#233;me%20ann&#233;e\Electrical%20Vehicules\EVS%20imag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min\Desktop\figures%20artcles%20EV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dmin\Desktop\figures%20artcles%20EV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min\Desktop\figures%20artcles%20EV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20EXPERTBOOK\Desktop\DOCTORAT%20G\Doctorat%203%20&#233;me%20ann&#233;e\usine%20chapter%20articl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SUS%20EXPERTBOOK\Desktop\DOCTORAT%20G\Doctorat%203%20&#233;me%20ann&#233;e\usine%20chapter%20artic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'solar radiation '!$B$1</c:f>
              <c:strCache>
                <c:ptCount val="1"/>
                <c:pt idx="0">
                  <c:v>radiation</c:v>
                </c:pt>
              </c:strCache>
            </c:strRef>
          </c:tx>
          <c:spPr>
            <a:solidFill>
              <a:schemeClr val="accent1"/>
            </a:solidFill>
            <a:ln>
              <a:noFill/>
            </a:ln>
            <a:effectLst/>
          </c:spPr>
          <c:invertIfNegative val="0"/>
          <c:dLbls>
            <c:delete val="1"/>
          </c:dLbls>
          <c:cat>
            <c:strRef>
              <c:f>'solar radiation '!$A$2:$A$13</c:f>
              <c:strCache>
                <c:ptCount val="12"/>
                <c:pt idx="0">
                  <c:v>January </c:v>
                </c:pt>
                <c:pt idx="1">
                  <c:v>February </c:v>
                </c:pt>
                <c:pt idx="2">
                  <c:v>March</c:v>
                </c:pt>
                <c:pt idx="3">
                  <c:v>April</c:v>
                </c:pt>
                <c:pt idx="4">
                  <c:v>May</c:v>
                </c:pt>
                <c:pt idx="5">
                  <c:v>June </c:v>
                </c:pt>
                <c:pt idx="6">
                  <c:v>July </c:v>
                </c:pt>
                <c:pt idx="7">
                  <c:v>August </c:v>
                </c:pt>
                <c:pt idx="8">
                  <c:v>September</c:v>
                </c:pt>
                <c:pt idx="9">
                  <c:v>October</c:v>
                </c:pt>
                <c:pt idx="10">
                  <c:v>November</c:v>
                </c:pt>
                <c:pt idx="11">
                  <c:v>December</c:v>
                </c:pt>
              </c:strCache>
            </c:strRef>
          </c:cat>
          <c:val>
            <c:numRef>
              <c:f>'solar radiation '!$B$2:$B$13</c:f>
              <c:numCache>
                <c:formatCode>General</c:formatCode>
                <c:ptCount val="12"/>
                <c:pt idx="0">
                  <c:v>3.3</c:v>
                </c:pt>
                <c:pt idx="1">
                  <c:v>4.2</c:v>
                </c:pt>
                <c:pt idx="2">
                  <c:v>5.2</c:v>
                </c:pt>
                <c:pt idx="3">
                  <c:v>6.3</c:v>
                </c:pt>
                <c:pt idx="4">
                  <c:v>6.9</c:v>
                </c:pt>
                <c:pt idx="5">
                  <c:v>7.5</c:v>
                </c:pt>
                <c:pt idx="6">
                  <c:v>7.5</c:v>
                </c:pt>
                <c:pt idx="7">
                  <c:v>6.5</c:v>
                </c:pt>
                <c:pt idx="8">
                  <c:v>5.5</c:v>
                </c:pt>
                <c:pt idx="9">
                  <c:v>4.2</c:v>
                </c:pt>
                <c:pt idx="10">
                  <c:v>3.34</c:v>
                </c:pt>
                <c:pt idx="11">
                  <c:v>3</c:v>
                </c:pt>
              </c:numCache>
            </c:numRef>
          </c:val>
          <c:extLst>
            <c:ext xmlns:c16="http://schemas.microsoft.com/office/drawing/2014/chart" uri="{C3380CC4-5D6E-409C-BE32-E72D297353CC}">
              <c16:uniqueId val="{00000000-8AC8-4391-80FC-B3F6CE31138E}"/>
            </c:ext>
          </c:extLst>
        </c:ser>
        <c:dLbls>
          <c:showLegendKey val="0"/>
          <c:showVal val="1"/>
          <c:showCatName val="0"/>
          <c:showSerName val="0"/>
          <c:showPercent val="0"/>
          <c:showBubbleSize val="0"/>
        </c:dLbls>
        <c:gapWidth val="65"/>
        <c:axId val="1201365167"/>
        <c:axId val="1201368527"/>
      </c:barChart>
      <c:lineChart>
        <c:grouping val="standard"/>
        <c:varyColors val="0"/>
        <c:ser>
          <c:idx val="1"/>
          <c:order val="1"/>
          <c:tx>
            <c:strRef>
              <c:f>'solar radiation '!$D$1</c:f>
              <c:strCache>
                <c:ptCount val="1"/>
                <c:pt idx="0">
                  <c:v>clearness</c:v>
                </c:pt>
              </c:strCache>
            </c:strRef>
          </c:tx>
          <c:spPr>
            <a:ln w="28575" cap="rnd">
              <a:solidFill>
                <a:schemeClr val="accent2"/>
              </a:solidFill>
              <a:round/>
            </a:ln>
            <a:effectLst/>
          </c:spPr>
          <c:marker>
            <c:symbol val="none"/>
          </c:marker>
          <c:cat>
            <c:strRef>
              <c:f>'solar radiation '!$C$2:$C$13</c:f>
              <c:strCache>
                <c:ptCount val="12"/>
                <c:pt idx="0">
                  <c:v>January </c:v>
                </c:pt>
                <c:pt idx="1">
                  <c:v>February </c:v>
                </c:pt>
                <c:pt idx="2">
                  <c:v>March</c:v>
                </c:pt>
                <c:pt idx="3">
                  <c:v>April</c:v>
                </c:pt>
                <c:pt idx="4">
                  <c:v>May</c:v>
                </c:pt>
                <c:pt idx="5">
                  <c:v>June </c:v>
                </c:pt>
                <c:pt idx="6">
                  <c:v>July </c:v>
                </c:pt>
                <c:pt idx="7">
                  <c:v>August </c:v>
                </c:pt>
                <c:pt idx="8">
                  <c:v>September</c:v>
                </c:pt>
                <c:pt idx="9">
                  <c:v>October</c:v>
                </c:pt>
                <c:pt idx="10">
                  <c:v>November</c:v>
                </c:pt>
                <c:pt idx="11">
                  <c:v>December</c:v>
                </c:pt>
              </c:strCache>
            </c:strRef>
          </c:cat>
          <c:val>
            <c:numRef>
              <c:f>'solar radiation '!$D$2:$D$13</c:f>
              <c:numCache>
                <c:formatCode>General</c:formatCode>
                <c:ptCount val="12"/>
                <c:pt idx="0">
                  <c:v>0.6</c:v>
                </c:pt>
                <c:pt idx="1">
                  <c:v>0.62</c:v>
                </c:pt>
                <c:pt idx="2">
                  <c:v>0.57999999999999996</c:v>
                </c:pt>
                <c:pt idx="3">
                  <c:v>0.61</c:v>
                </c:pt>
                <c:pt idx="4">
                  <c:v>0.6</c:v>
                </c:pt>
                <c:pt idx="5">
                  <c:v>0.63</c:v>
                </c:pt>
                <c:pt idx="6">
                  <c:v>0.65</c:v>
                </c:pt>
                <c:pt idx="7">
                  <c:v>0.61499999999999999</c:v>
                </c:pt>
                <c:pt idx="8">
                  <c:v>0.61</c:v>
                </c:pt>
                <c:pt idx="9">
                  <c:v>0.56000000000000005</c:v>
                </c:pt>
                <c:pt idx="10">
                  <c:v>0.57999999999999996</c:v>
                </c:pt>
                <c:pt idx="11">
                  <c:v>0.56999999999999995</c:v>
                </c:pt>
              </c:numCache>
            </c:numRef>
          </c:val>
          <c:smooth val="0"/>
          <c:extLst>
            <c:ext xmlns:c16="http://schemas.microsoft.com/office/drawing/2014/chart" uri="{C3380CC4-5D6E-409C-BE32-E72D297353CC}">
              <c16:uniqueId val="{00000001-8AC8-4391-80FC-B3F6CE31138E}"/>
            </c:ext>
          </c:extLst>
        </c:ser>
        <c:dLbls>
          <c:showLegendKey val="0"/>
          <c:showVal val="0"/>
          <c:showCatName val="0"/>
          <c:showSerName val="0"/>
          <c:showPercent val="0"/>
          <c:showBubbleSize val="0"/>
        </c:dLbls>
        <c:marker val="1"/>
        <c:smooth val="0"/>
        <c:axId val="1280098671"/>
        <c:axId val="1280099151"/>
      </c:lineChart>
      <c:catAx>
        <c:axId val="1201365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201368527"/>
        <c:crosses val="autoZero"/>
        <c:auto val="1"/>
        <c:lblAlgn val="ctr"/>
        <c:lblOffset val="100"/>
        <c:noMultiLvlLbl val="0"/>
      </c:catAx>
      <c:valAx>
        <c:axId val="12013685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MA"/>
                  <a:t>Daily Radiation (kWh/m²/day)</a:t>
                </a:r>
              </a:p>
            </c:rich>
          </c:tx>
          <c:overlay val="0"/>
          <c:spPr>
            <a:noFill/>
            <a:ln>
              <a:noFill/>
            </a:ln>
            <a:effectLst/>
          </c:spPr>
          <c:txPr>
            <a:bodyPr rot="-5400000" spcFirstLastPara="1" vertOverflow="ellipsis" vert="horz" wrap="square" anchor="ctr" anchorCtr="1"/>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cross"/>
        <c:minorTickMark val="none"/>
        <c:tickLblPos val="nextTo"/>
        <c:spPr>
          <a:noFill/>
          <a:ln>
            <a:solidFill>
              <a:schemeClr val="accent1"/>
            </a:solidFill>
          </a:ln>
          <a:effectLst/>
        </c:spPr>
        <c:txPr>
          <a:bodyPr rot="-60000000" spcFirstLastPara="1" vertOverflow="ellipsis" vert="horz" wrap="square" anchor="ctr" anchorCtr="1"/>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201365167"/>
        <c:crosses val="autoZero"/>
        <c:crossBetween val="between"/>
      </c:valAx>
      <c:valAx>
        <c:axId val="1280099151"/>
        <c:scaling>
          <c:orientation val="minMax"/>
          <c:max val="0.9"/>
          <c:min val="0"/>
        </c:scaling>
        <c:delete val="0"/>
        <c:axPos val="r"/>
        <c:title>
          <c:tx>
            <c:rich>
              <a:bodyPr rot="-5400000" spcFirstLastPara="1" vertOverflow="ellipsis" vert="horz" wrap="square" anchor="ctr" anchorCtr="1"/>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MA"/>
                  <a:t>Clearness Index</a:t>
                </a:r>
              </a:p>
            </c:rich>
          </c:tx>
          <c:overlay val="0"/>
          <c:spPr>
            <a:noFill/>
            <a:ln>
              <a:noFill/>
            </a:ln>
            <a:effectLst/>
          </c:spPr>
          <c:txPr>
            <a:bodyPr rot="-5400000" spcFirstLastPara="1" vertOverflow="ellipsis" vert="horz" wrap="square" anchor="ctr" anchorCtr="1"/>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cross"/>
        <c:minorTickMark val="none"/>
        <c:tickLblPos val="nextTo"/>
        <c:spPr>
          <a:noFill/>
          <a:ln>
            <a:solidFill>
              <a:schemeClr val="accent1"/>
            </a:solidFill>
          </a:ln>
          <a:effectLst/>
        </c:spPr>
        <c:txPr>
          <a:bodyPr rot="-60000000" spcFirstLastPara="1" vertOverflow="ellipsis" vert="horz" wrap="square" anchor="ctr" anchorCtr="1"/>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280098671"/>
        <c:crosses val="max"/>
        <c:crossBetween val="between"/>
      </c:valAx>
      <c:catAx>
        <c:axId val="1280098671"/>
        <c:scaling>
          <c:orientation val="minMax"/>
        </c:scaling>
        <c:delete val="1"/>
        <c:axPos val="b"/>
        <c:numFmt formatCode="General" sourceLinked="1"/>
        <c:majorTickMark val="none"/>
        <c:minorTickMark val="none"/>
        <c:tickLblPos val="nextTo"/>
        <c:crossAx val="128009915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50" b="1">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63182721743838"/>
          <c:y val="8.617592630638897E-2"/>
          <c:w val="0.86094933973807863"/>
          <c:h val="0.68146610658597451"/>
        </c:manualLayout>
      </c:layout>
      <c:barChart>
        <c:barDir val="col"/>
        <c:grouping val="clustered"/>
        <c:varyColors val="0"/>
        <c:ser>
          <c:idx val="0"/>
          <c:order val="0"/>
          <c:tx>
            <c:strRef>
              <c:f>'daily temperature '!$B$1</c:f>
              <c:strCache>
                <c:ptCount val="1"/>
                <c:pt idx="0">
                  <c:v>temperature</c:v>
                </c:pt>
              </c:strCache>
            </c:strRef>
          </c:tx>
          <c:spPr>
            <a:solidFill>
              <a:schemeClr val="accent2">
                <a:lumMod val="75000"/>
              </a:schemeClr>
            </a:solidFill>
            <a:ln>
              <a:noFill/>
            </a:ln>
            <a:effectLst/>
          </c:spPr>
          <c:invertIfNegative val="0"/>
          <c:cat>
            <c:strRef>
              <c:f>'daily temperature '!$A$2:$A$13</c:f>
              <c:strCache>
                <c:ptCount val="12"/>
                <c:pt idx="0">
                  <c:v>January </c:v>
                </c:pt>
                <c:pt idx="1">
                  <c:v>February </c:v>
                </c:pt>
                <c:pt idx="2">
                  <c:v>March</c:v>
                </c:pt>
                <c:pt idx="3">
                  <c:v>April</c:v>
                </c:pt>
                <c:pt idx="4">
                  <c:v>May</c:v>
                </c:pt>
                <c:pt idx="5">
                  <c:v>June </c:v>
                </c:pt>
                <c:pt idx="6">
                  <c:v>July </c:v>
                </c:pt>
                <c:pt idx="7">
                  <c:v>August </c:v>
                </c:pt>
                <c:pt idx="8">
                  <c:v>September</c:v>
                </c:pt>
                <c:pt idx="9">
                  <c:v>October</c:v>
                </c:pt>
                <c:pt idx="10">
                  <c:v>November</c:v>
                </c:pt>
                <c:pt idx="11">
                  <c:v>December</c:v>
                </c:pt>
              </c:strCache>
            </c:strRef>
          </c:cat>
          <c:val>
            <c:numRef>
              <c:f>'daily temperature '!$B$2:$B$13</c:f>
              <c:numCache>
                <c:formatCode>General</c:formatCode>
                <c:ptCount val="12"/>
                <c:pt idx="0">
                  <c:v>6</c:v>
                </c:pt>
                <c:pt idx="1">
                  <c:v>7.5</c:v>
                </c:pt>
                <c:pt idx="2">
                  <c:v>10.5</c:v>
                </c:pt>
                <c:pt idx="3">
                  <c:v>12.5</c:v>
                </c:pt>
                <c:pt idx="4">
                  <c:v>16.5</c:v>
                </c:pt>
                <c:pt idx="5">
                  <c:v>22</c:v>
                </c:pt>
                <c:pt idx="6">
                  <c:v>27.5</c:v>
                </c:pt>
                <c:pt idx="7">
                  <c:v>27</c:v>
                </c:pt>
                <c:pt idx="8">
                  <c:v>21.6</c:v>
                </c:pt>
                <c:pt idx="9">
                  <c:v>16</c:v>
                </c:pt>
                <c:pt idx="10">
                  <c:v>10</c:v>
                </c:pt>
                <c:pt idx="11">
                  <c:v>7</c:v>
                </c:pt>
              </c:numCache>
            </c:numRef>
          </c:val>
          <c:extLst>
            <c:ext xmlns:c16="http://schemas.microsoft.com/office/drawing/2014/chart" uri="{C3380CC4-5D6E-409C-BE32-E72D297353CC}">
              <c16:uniqueId val="{00000000-210F-46A0-9E6A-54AD3AC89239}"/>
            </c:ext>
          </c:extLst>
        </c:ser>
        <c:dLbls>
          <c:showLegendKey val="0"/>
          <c:showVal val="0"/>
          <c:showCatName val="0"/>
          <c:showSerName val="0"/>
          <c:showPercent val="0"/>
          <c:showBubbleSize val="0"/>
        </c:dLbls>
        <c:gapWidth val="150"/>
        <c:axId val="1271698543"/>
        <c:axId val="1271704783"/>
      </c:barChart>
      <c:catAx>
        <c:axId val="12716985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271704783"/>
        <c:crosses val="autoZero"/>
        <c:auto val="1"/>
        <c:lblAlgn val="ctr"/>
        <c:lblOffset val="100"/>
        <c:noMultiLvlLbl val="0"/>
      </c:catAx>
      <c:valAx>
        <c:axId val="12717047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MA"/>
                  <a:t>Daily Temperature (°C)</a:t>
                </a:r>
              </a:p>
            </c:rich>
          </c:tx>
          <c:layout>
            <c:manualLayout>
              <c:xMode val="edge"/>
              <c:yMode val="edge"/>
              <c:x val="2.327159809249196E-2"/>
              <c:y val="0.1696998560663788"/>
            </c:manualLayout>
          </c:layout>
          <c:overlay val="0"/>
          <c:spPr>
            <a:noFill/>
            <a:ln>
              <a:noFill/>
            </a:ln>
            <a:effectLst/>
          </c:spPr>
          <c:txPr>
            <a:bodyPr rot="-5400000" spcFirstLastPara="1" vertOverflow="ellipsis" vert="horz" wrap="square" anchor="ctr" anchorCtr="1"/>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2716985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650" b="1">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'Monthly Electric Production'!$B$2</c:f>
              <c:strCache>
                <c:ptCount val="1"/>
                <c:pt idx="0">
                  <c:v>utility</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elete val="1"/>
          </c:dLbls>
          <c:cat>
            <c:strRef>
              <c:f>'Monthly Electric Production'!$A$3:$A$14</c:f>
              <c:strCache>
                <c:ptCount val="12"/>
                <c:pt idx="0">
                  <c:v>January </c:v>
                </c:pt>
                <c:pt idx="1">
                  <c:v>February </c:v>
                </c:pt>
                <c:pt idx="2">
                  <c:v>March</c:v>
                </c:pt>
                <c:pt idx="3">
                  <c:v>April</c:v>
                </c:pt>
                <c:pt idx="4">
                  <c:v>May</c:v>
                </c:pt>
                <c:pt idx="5">
                  <c:v>June </c:v>
                </c:pt>
                <c:pt idx="6">
                  <c:v>July </c:v>
                </c:pt>
                <c:pt idx="7">
                  <c:v>August </c:v>
                </c:pt>
                <c:pt idx="8">
                  <c:v>September</c:v>
                </c:pt>
                <c:pt idx="9">
                  <c:v>October</c:v>
                </c:pt>
                <c:pt idx="10">
                  <c:v>November</c:v>
                </c:pt>
                <c:pt idx="11">
                  <c:v>December</c:v>
                </c:pt>
              </c:strCache>
            </c:strRef>
          </c:cat>
          <c:val>
            <c:numRef>
              <c:f>'Monthly Electric Production'!$B$3:$B$14</c:f>
              <c:numCache>
                <c:formatCode>General</c:formatCode>
                <c:ptCount val="12"/>
                <c:pt idx="0">
                  <c:v>7.5</c:v>
                </c:pt>
                <c:pt idx="1">
                  <c:v>6.5</c:v>
                </c:pt>
                <c:pt idx="2">
                  <c:v>7.5</c:v>
                </c:pt>
                <c:pt idx="3">
                  <c:v>8.5</c:v>
                </c:pt>
                <c:pt idx="4">
                  <c:v>8.8000000000000007</c:v>
                </c:pt>
                <c:pt idx="5">
                  <c:v>7</c:v>
                </c:pt>
                <c:pt idx="6">
                  <c:v>8</c:v>
                </c:pt>
                <c:pt idx="7">
                  <c:v>7.5</c:v>
                </c:pt>
                <c:pt idx="8">
                  <c:v>8.1</c:v>
                </c:pt>
                <c:pt idx="9">
                  <c:v>7.1</c:v>
                </c:pt>
                <c:pt idx="10">
                  <c:v>6.9</c:v>
                </c:pt>
                <c:pt idx="11">
                  <c:v>7.5</c:v>
                </c:pt>
              </c:numCache>
            </c:numRef>
          </c:val>
          <c:extLst>
            <c:ext xmlns:c16="http://schemas.microsoft.com/office/drawing/2014/chart" uri="{C3380CC4-5D6E-409C-BE32-E72D297353CC}">
              <c16:uniqueId val="{00000000-2EA0-4B9D-922E-D400FCAE8404}"/>
            </c:ext>
          </c:extLst>
        </c:ser>
        <c:dLbls>
          <c:dLblPos val="ctr"/>
          <c:showLegendKey val="0"/>
          <c:showVal val="1"/>
          <c:showCatName val="0"/>
          <c:showSerName val="0"/>
          <c:showPercent val="0"/>
          <c:showBubbleSize val="0"/>
        </c:dLbls>
        <c:gapWidth val="100"/>
        <c:overlap val="-24"/>
        <c:axId val="357072063"/>
        <c:axId val="79264815"/>
      </c:barChart>
      <c:catAx>
        <c:axId val="357072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crossAx val="79264815"/>
        <c:crosses val="autoZero"/>
        <c:auto val="1"/>
        <c:lblAlgn val="ctr"/>
        <c:lblOffset val="100"/>
        <c:noMultiLvlLbl val="0"/>
      </c:catAx>
      <c:valAx>
        <c:axId val="792648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fr-MA"/>
                  <a:t>MWh</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crossAx val="3570720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b="1" i="0">
          <a:solidFill>
            <a:schemeClr val="tx1"/>
          </a:solidFill>
          <a:latin typeface="Times New Roman" panose="02020603050405020304" pitchFamily="18" charset="0"/>
          <a:cs typeface="Times New Roman" panose="02020603050405020304" pitchFamily="18" charset="0"/>
        </a:defRPr>
      </a:pPr>
      <a:endParaRPr lang="fr-F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cat>
            <c:strRef>
              <c:f>Feuil1!$A$77:$K$77</c:f>
              <c:strCache>
                <c:ptCount val="11"/>
                <c:pt idx="0">
                  <c:v>January </c:v>
                </c:pt>
                <c:pt idx="1">
                  <c:v>February</c:v>
                </c:pt>
                <c:pt idx="2">
                  <c:v>Mars</c:v>
                </c:pt>
                <c:pt idx="3">
                  <c:v>April</c:v>
                </c:pt>
                <c:pt idx="4">
                  <c:v>Mai</c:v>
                </c:pt>
                <c:pt idx="5">
                  <c:v>Jun</c:v>
                </c:pt>
                <c:pt idx="6">
                  <c:v>July</c:v>
                </c:pt>
                <c:pt idx="7">
                  <c:v>September </c:v>
                </c:pt>
                <c:pt idx="8">
                  <c:v>October </c:v>
                </c:pt>
                <c:pt idx="9">
                  <c:v>November </c:v>
                </c:pt>
                <c:pt idx="10">
                  <c:v>December</c:v>
                </c:pt>
              </c:strCache>
            </c:strRef>
          </c:cat>
          <c:val>
            <c:numRef>
              <c:f>Feuil1!$A$78:$K$78</c:f>
              <c:numCache>
                <c:formatCode>General</c:formatCode>
                <c:ptCount val="11"/>
                <c:pt idx="0">
                  <c:v>38</c:v>
                </c:pt>
                <c:pt idx="1">
                  <c:v>35</c:v>
                </c:pt>
                <c:pt idx="2">
                  <c:v>38</c:v>
                </c:pt>
                <c:pt idx="3">
                  <c:v>40</c:v>
                </c:pt>
                <c:pt idx="4">
                  <c:v>38</c:v>
                </c:pt>
                <c:pt idx="5">
                  <c:v>35</c:v>
                </c:pt>
                <c:pt idx="6">
                  <c:v>38</c:v>
                </c:pt>
                <c:pt idx="7">
                  <c:v>39</c:v>
                </c:pt>
                <c:pt idx="8">
                  <c:v>38</c:v>
                </c:pt>
                <c:pt idx="9">
                  <c:v>31</c:v>
                </c:pt>
                <c:pt idx="10">
                  <c:v>39</c:v>
                </c:pt>
              </c:numCache>
            </c:numRef>
          </c:val>
          <c:extLst>
            <c:ext xmlns:c16="http://schemas.microsoft.com/office/drawing/2014/chart" uri="{C3380CC4-5D6E-409C-BE32-E72D297353CC}">
              <c16:uniqueId val="{00000000-0143-4998-B222-E16BBB698038}"/>
            </c:ext>
          </c:extLst>
        </c:ser>
        <c:dLbls>
          <c:showLegendKey val="0"/>
          <c:showVal val="0"/>
          <c:showCatName val="0"/>
          <c:showSerName val="0"/>
          <c:showPercent val="0"/>
          <c:showBubbleSize val="0"/>
        </c:dLbls>
        <c:gapWidth val="150"/>
        <c:shape val="box"/>
        <c:axId val="1633064879"/>
        <c:axId val="1633066543"/>
        <c:axId val="0"/>
      </c:bar3DChart>
      <c:catAx>
        <c:axId val="1633064879"/>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Month</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633066543"/>
        <c:crosses val="autoZero"/>
        <c:auto val="1"/>
        <c:lblAlgn val="ctr"/>
        <c:lblOffset val="100"/>
        <c:noMultiLvlLbl val="0"/>
      </c:catAx>
      <c:valAx>
        <c:axId val="1633066543"/>
        <c:scaling>
          <c:orientation val="minMax"/>
        </c:scaling>
        <c:delete val="0"/>
        <c:axPos val="b"/>
        <c:majorGridlines>
          <c:spPr>
            <a:ln>
              <a:solidFill>
                <a:schemeClr val="tx1">
                  <a:lumMod val="15000"/>
                  <a:lumOff val="85000"/>
                </a:schemeClr>
              </a:solidFill>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Load (kW)</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6330648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914260717410336E-2"/>
          <c:y val="0.17171296296296298"/>
          <c:w val="0.90286351706036749"/>
          <c:h val="0.49769028871391074"/>
        </c:manualLayout>
      </c:layout>
      <c:barChart>
        <c:barDir val="col"/>
        <c:grouping val="stacked"/>
        <c:varyColors val="0"/>
        <c:ser>
          <c:idx val="0"/>
          <c:order val="0"/>
          <c:tx>
            <c:strRef>
              <c:f>Feuil1!$B$2</c:f>
              <c:strCache>
                <c:ptCount val="1"/>
                <c:pt idx="0">
                  <c:v>utility</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Feuil1!$A$3:$A$14</c:f>
              <c:strCache>
                <c:ptCount val="12"/>
                <c:pt idx="0">
                  <c:v>January </c:v>
                </c:pt>
                <c:pt idx="1">
                  <c:v>February </c:v>
                </c:pt>
                <c:pt idx="2">
                  <c:v>March</c:v>
                </c:pt>
                <c:pt idx="3">
                  <c:v>April</c:v>
                </c:pt>
                <c:pt idx="4">
                  <c:v>May</c:v>
                </c:pt>
                <c:pt idx="5">
                  <c:v>June </c:v>
                </c:pt>
                <c:pt idx="6">
                  <c:v>July </c:v>
                </c:pt>
                <c:pt idx="7">
                  <c:v>August </c:v>
                </c:pt>
                <c:pt idx="8">
                  <c:v>September</c:v>
                </c:pt>
                <c:pt idx="9">
                  <c:v>October</c:v>
                </c:pt>
                <c:pt idx="10">
                  <c:v>November</c:v>
                </c:pt>
                <c:pt idx="11">
                  <c:v>December</c:v>
                </c:pt>
              </c:strCache>
            </c:strRef>
          </c:cat>
          <c:val>
            <c:numRef>
              <c:f>Feuil1!$B$3:$B$14</c:f>
              <c:numCache>
                <c:formatCode>General</c:formatCode>
                <c:ptCount val="12"/>
                <c:pt idx="0">
                  <c:v>7.5</c:v>
                </c:pt>
                <c:pt idx="1">
                  <c:v>6.5</c:v>
                </c:pt>
                <c:pt idx="2">
                  <c:v>7.5</c:v>
                </c:pt>
                <c:pt idx="3">
                  <c:v>8.5</c:v>
                </c:pt>
                <c:pt idx="4">
                  <c:v>8.8000000000000007</c:v>
                </c:pt>
                <c:pt idx="5">
                  <c:v>7</c:v>
                </c:pt>
                <c:pt idx="6">
                  <c:v>8</c:v>
                </c:pt>
                <c:pt idx="7">
                  <c:v>7.5</c:v>
                </c:pt>
                <c:pt idx="8">
                  <c:v>8.1</c:v>
                </c:pt>
                <c:pt idx="9">
                  <c:v>7.1</c:v>
                </c:pt>
                <c:pt idx="10">
                  <c:v>6.9</c:v>
                </c:pt>
                <c:pt idx="11">
                  <c:v>7.5</c:v>
                </c:pt>
              </c:numCache>
            </c:numRef>
          </c:val>
          <c:extLst>
            <c:ext xmlns:c16="http://schemas.microsoft.com/office/drawing/2014/chart" uri="{C3380CC4-5D6E-409C-BE32-E72D297353CC}">
              <c16:uniqueId val="{00000000-1476-445B-A014-605906100E03}"/>
            </c:ext>
          </c:extLst>
        </c:ser>
        <c:ser>
          <c:idx val="1"/>
          <c:order val="1"/>
          <c:tx>
            <c:strRef>
              <c:f>Feuil1!$C$2</c:f>
              <c:strCache>
                <c:ptCount val="1"/>
                <c:pt idx="0">
                  <c:v>PV</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cat>
            <c:strRef>
              <c:f>Feuil1!$A$3:$A$14</c:f>
              <c:strCache>
                <c:ptCount val="12"/>
                <c:pt idx="0">
                  <c:v>January </c:v>
                </c:pt>
                <c:pt idx="1">
                  <c:v>February </c:v>
                </c:pt>
                <c:pt idx="2">
                  <c:v>March</c:v>
                </c:pt>
                <c:pt idx="3">
                  <c:v>April</c:v>
                </c:pt>
                <c:pt idx="4">
                  <c:v>May</c:v>
                </c:pt>
                <c:pt idx="5">
                  <c:v>June </c:v>
                </c:pt>
                <c:pt idx="6">
                  <c:v>July </c:v>
                </c:pt>
                <c:pt idx="7">
                  <c:v>August </c:v>
                </c:pt>
                <c:pt idx="8">
                  <c:v>September</c:v>
                </c:pt>
                <c:pt idx="9">
                  <c:v>October</c:v>
                </c:pt>
                <c:pt idx="10">
                  <c:v>November</c:v>
                </c:pt>
                <c:pt idx="11">
                  <c:v>December</c:v>
                </c:pt>
              </c:strCache>
            </c:strRef>
          </c:cat>
          <c:val>
            <c:numRef>
              <c:f>Feuil1!$C$3:$C$14</c:f>
              <c:numCache>
                <c:formatCode>General</c:formatCode>
                <c:ptCount val="12"/>
                <c:pt idx="0">
                  <c:v>0.05</c:v>
                </c:pt>
                <c:pt idx="1">
                  <c:v>0.05</c:v>
                </c:pt>
                <c:pt idx="2">
                  <c:v>0.05</c:v>
                </c:pt>
                <c:pt idx="3">
                  <c:v>0.05</c:v>
                </c:pt>
                <c:pt idx="4">
                  <c:v>0.05</c:v>
                </c:pt>
                <c:pt idx="5">
                  <c:v>0.05</c:v>
                </c:pt>
                <c:pt idx="6">
                  <c:v>0.05</c:v>
                </c:pt>
                <c:pt idx="7">
                  <c:v>0.05</c:v>
                </c:pt>
                <c:pt idx="8">
                  <c:v>0.05</c:v>
                </c:pt>
                <c:pt idx="9">
                  <c:v>0.05</c:v>
                </c:pt>
                <c:pt idx="10">
                  <c:v>0.05</c:v>
                </c:pt>
                <c:pt idx="11">
                  <c:v>0.05</c:v>
                </c:pt>
              </c:numCache>
            </c:numRef>
          </c:val>
          <c:extLst>
            <c:ext xmlns:c16="http://schemas.microsoft.com/office/drawing/2014/chart" uri="{C3380CC4-5D6E-409C-BE32-E72D297353CC}">
              <c16:uniqueId val="{00000001-1476-445B-A014-605906100E03}"/>
            </c:ext>
          </c:extLst>
        </c:ser>
        <c:dLbls>
          <c:showLegendKey val="0"/>
          <c:showVal val="0"/>
          <c:showCatName val="0"/>
          <c:showSerName val="0"/>
          <c:showPercent val="0"/>
          <c:showBubbleSize val="0"/>
        </c:dLbls>
        <c:gapWidth val="150"/>
        <c:overlap val="100"/>
        <c:axId val="644328239"/>
        <c:axId val="644321039"/>
      </c:barChart>
      <c:catAx>
        <c:axId val="644328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644321039"/>
        <c:crosses val="autoZero"/>
        <c:auto val="1"/>
        <c:lblAlgn val="ctr"/>
        <c:lblOffset val="100"/>
        <c:noMultiLvlLbl val="0"/>
      </c:catAx>
      <c:valAx>
        <c:axId val="644321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6443282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b="1">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'Monthly Electric Production'!$B$2</c:f>
              <c:strCache>
                <c:ptCount val="1"/>
                <c:pt idx="0">
                  <c:v>utility</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elete val="1"/>
          </c:dLbls>
          <c:cat>
            <c:strRef>
              <c:f>'Monthly Electric Production'!$A$3:$A$14</c:f>
              <c:strCache>
                <c:ptCount val="12"/>
                <c:pt idx="0">
                  <c:v>January </c:v>
                </c:pt>
                <c:pt idx="1">
                  <c:v>February </c:v>
                </c:pt>
                <c:pt idx="2">
                  <c:v>March</c:v>
                </c:pt>
                <c:pt idx="3">
                  <c:v>April</c:v>
                </c:pt>
                <c:pt idx="4">
                  <c:v>May</c:v>
                </c:pt>
                <c:pt idx="5">
                  <c:v>June </c:v>
                </c:pt>
                <c:pt idx="6">
                  <c:v>July </c:v>
                </c:pt>
                <c:pt idx="7">
                  <c:v>August </c:v>
                </c:pt>
                <c:pt idx="8">
                  <c:v>September</c:v>
                </c:pt>
                <c:pt idx="9">
                  <c:v>October</c:v>
                </c:pt>
                <c:pt idx="10">
                  <c:v>November</c:v>
                </c:pt>
                <c:pt idx="11">
                  <c:v>December</c:v>
                </c:pt>
              </c:strCache>
            </c:strRef>
          </c:cat>
          <c:val>
            <c:numRef>
              <c:f>'Monthly Electric Production'!$B$3:$B$14</c:f>
              <c:numCache>
                <c:formatCode>General</c:formatCode>
                <c:ptCount val="12"/>
                <c:pt idx="0">
                  <c:v>7.5</c:v>
                </c:pt>
                <c:pt idx="1">
                  <c:v>6.5</c:v>
                </c:pt>
                <c:pt idx="2">
                  <c:v>7.5</c:v>
                </c:pt>
                <c:pt idx="3">
                  <c:v>8.5</c:v>
                </c:pt>
                <c:pt idx="4">
                  <c:v>8.8000000000000007</c:v>
                </c:pt>
                <c:pt idx="5">
                  <c:v>7</c:v>
                </c:pt>
                <c:pt idx="6">
                  <c:v>8</c:v>
                </c:pt>
                <c:pt idx="7">
                  <c:v>7.5</c:v>
                </c:pt>
                <c:pt idx="8">
                  <c:v>8.1</c:v>
                </c:pt>
                <c:pt idx="9">
                  <c:v>7.1</c:v>
                </c:pt>
                <c:pt idx="10">
                  <c:v>6.9</c:v>
                </c:pt>
                <c:pt idx="11">
                  <c:v>7.5</c:v>
                </c:pt>
              </c:numCache>
            </c:numRef>
          </c:val>
          <c:extLst>
            <c:ext xmlns:c16="http://schemas.microsoft.com/office/drawing/2014/chart" uri="{C3380CC4-5D6E-409C-BE32-E72D297353CC}">
              <c16:uniqueId val="{00000000-EB86-47C3-B2F5-15F720977959}"/>
            </c:ext>
          </c:extLst>
        </c:ser>
        <c:dLbls>
          <c:dLblPos val="ctr"/>
          <c:showLegendKey val="0"/>
          <c:showVal val="1"/>
          <c:showCatName val="0"/>
          <c:showSerName val="0"/>
          <c:showPercent val="0"/>
          <c:showBubbleSize val="0"/>
        </c:dLbls>
        <c:gapWidth val="100"/>
        <c:overlap val="-24"/>
        <c:axId val="357072063"/>
        <c:axId val="79264815"/>
      </c:barChart>
      <c:catAx>
        <c:axId val="3570720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79264815"/>
        <c:crosses val="autoZero"/>
        <c:auto val="1"/>
        <c:lblAlgn val="ctr"/>
        <c:lblOffset val="100"/>
        <c:noMultiLvlLbl val="0"/>
      </c:catAx>
      <c:valAx>
        <c:axId val="792648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fr-MA"/>
                  <a:t>MWh</a:t>
                </a:r>
              </a:p>
            </c:rich>
          </c:tx>
          <c:overlay val="0"/>
          <c:spPr>
            <a:noFill/>
            <a:ln>
              <a:noFill/>
            </a:ln>
            <a:effectLst/>
          </c:spPr>
          <c:txPr>
            <a:bodyPr rot="-5400000" spcFirstLastPara="1" vertOverflow="ellipsis" vert="horz" wrap="square" anchor="ctr" anchorCtr="1"/>
            <a:lstStyle/>
            <a:p>
              <a:pPr>
                <a:defRPr sz="8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3570720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b="1" baseline="0">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914260717410336E-2"/>
          <c:y val="0.17171296296296298"/>
          <c:w val="0.90286351706036749"/>
          <c:h val="0.49769028871391074"/>
        </c:manualLayout>
      </c:layout>
      <c:barChart>
        <c:barDir val="col"/>
        <c:grouping val="stacked"/>
        <c:varyColors val="0"/>
        <c:ser>
          <c:idx val="0"/>
          <c:order val="0"/>
          <c:tx>
            <c:strRef>
              <c:f>Feuil1!$B$2</c:f>
              <c:strCache>
                <c:ptCount val="1"/>
                <c:pt idx="0">
                  <c:v>utility</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Feuil1!$A$3:$A$14</c:f>
              <c:strCache>
                <c:ptCount val="12"/>
                <c:pt idx="0">
                  <c:v>January </c:v>
                </c:pt>
                <c:pt idx="1">
                  <c:v>February </c:v>
                </c:pt>
                <c:pt idx="2">
                  <c:v>March</c:v>
                </c:pt>
                <c:pt idx="3">
                  <c:v>April</c:v>
                </c:pt>
                <c:pt idx="4">
                  <c:v>May</c:v>
                </c:pt>
                <c:pt idx="5">
                  <c:v>June </c:v>
                </c:pt>
                <c:pt idx="6">
                  <c:v>July </c:v>
                </c:pt>
                <c:pt idx="7">
                  <c:v>August </c:v>
                </c:pt>
                <c:pt idx="8">
                  <c:v>September</c:v>
                </c:pt>
                <c:pt idx="9">
                  <c:v>October</c:v>
                </c:pt>
                <c:pt idx="10">
                  <c:v>November</c:v>
                </c:pt>
                <c:pt idx="11">
                  <c:v>December</c:v>
                </c:pt>
              </c:strCache>
            </c:strRef>
          </c:cat>
          <c:val>
            <c:numRef>
              <c:f>Feuil1!$B$3:$B$14</c:f>
              <c:numCache>
                <c:formatCode>General</c:formatCode>
                <c:ptCount val="12"/>
                <c:pt idx="0">
                  <c:v>7.5</c:v>
                </c:pt>
                <c:pt idx="1">
                  <c:v>6.5</c:v>
                </c:pt>
                <c:pt idx="2">
                  <c:v>7.5</c:v>
                </c:pt>
                <c:pt idx="3">
                  <c:v>8.5</c:v>
                </c:pt>
                <c:pt idx="4">
                  <c:v>8.8000000000000007</c:v>
                </c:pt>
                <c:pt idx="5">
                  <c:v>7</c:v>
                </c:pt>
                <c:pt idx="6">
                  <c:v>8</c:v>
                </c:pt>
                <c:pt idx="7">
                  <c:v>7.5</c:v>
                </c:pt>
                <c:pt idx="8">
                  <c:v>8.1</c:v>
                </c:pt>
                <c:pt idx="9">
                  <c:v>7.1</c:v>
                </c:pt>
                <c:pt idx="10">
                  <c:v>6.9</c:v>
                </c:pt>
                <c:pt idx="11">
                  <c:v>7.5</c:v>
                </c:pt>
              </c:numCache>
            </c:numRef>
          </c:val>
          <c:extLst>
            <c:ext xmlns:c16="http://schemas.microsoft.com/office/drawing/2014/chart" uri="{C3380CC4-5D6E-409C-BE32-E72D297353CC}">
              <c16:uniqueId val="{00000000-5007-483C-855A-DAC66CC427C9}"/>
            </c:ext>
          </c:extLst>
        </c:ser>
        <c:ser>
          <c:idx val="1"/>
          <c:order val="1"/>
          <c:tx>
            <c:strRef>
              <c:f>Feuil1!$C$2</c:f>
              <c:strCache>
                <c:ptCount val="1"/>
                <c:pt idx="0">
                  <c:v>PV</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cat>
            <c:strRef>
              <c:f>Feuil1!$A$3:$A$14</c:f>
              <c:strCache>
                <c:ptCount val="12"/>
                <c:pt idx="0">
                  <c:v>January </c:v>
                </c:pt>
                <c:pt idx="1">
                  <c:v>February </c:v>
                </c:pt>
                <c:pt idx="2">
                  <c:v>March</c:v>
                </c:pt>
                <c:pt idx="3">
                  <c:v>April</c:v>
                </c:pt>
                <c:pt idx="4">
                  <c:v>May</c:v>
                </c:pt>
                <c:pt idx="5">
                  <c:v>June </c:v>
                </c:pt>
                <c:pt idx="6">
                  <c:v>July </c:v>
                </c:pt>
                <c:pt idx="7">
                  <c:v>August </c:v>
                </c:pt>
                <c:pt idx="8">
                  <c:v>September</c:v>
                </c:pt>
                <c:pt idx="9">
                  <c:v>October</c:v>
                </c:pt>
                <c:pt idx="10">
                  <c:v>November</c:v>
                </c:pt>
                <c:pt idx="11">
                  <c:v>December</c:v>
                </c:pt>
              </c:strCache>
            </c:strRef>
          </c:cat>
          <c:val>
            <c:numRef>
              <c:f>Feuil1!$C$3:$C$14</c:f>
              <c:numCache>
                <c:formatCode>General</c:formatCode>
                <c:ptCount val="12"/>
                <c:pt idx="0">
                  <c:v>0.05</c:v>
                </c:pt>
                <c:pt idx="1">
                  <c:v>0.05</c:v>
                </c:pt>
                <c:pt idx="2">
                  <c:v>0.05</c:v>
                </c:pt>
                <c:pt idx="3">
                  <c:v>0.05</c:v>
                </c:pt>
                <c:pt idx="4">
                  <c:v>0.05</c:v>
                </c:pt>
                <c:pt idx="5">
                  <c:v>0.05</c:v>
                </c:pt>
                <c:pt idx="6">
                  <c:v>0.05</c:v>
                </c:pt>
                <c:pt idx="7">
                  <c:v>0.05</c:v>
                </c:pt>
                <c:pt idx="8">
                  <c:v>0.05</c:v>
                </c:pt>
                <c:pt idx="9">
                  <c:v>0.05</c:v>
                </c:pt>
                <c:pt idx="10">
                  <c:v>0.05</c:v>
                </c:pt>
                <c:pt idx="11">
                  <c:v>0.05</c:v>
                </c:pt>
              </c:numCache>
            </c:numRef>
          </c:val>
          <c:extLst>
            <c:ext xmlns:c16="http://schemas.microsoft.com/office/drawing/2014/chart" uri="{C3380CC4-5D6E-409C-BE32-E72D297353CC}">
              <c16:uniqueId val="{00000001-5007-483C-855A-DAC66CC427C9}"/>
            </c:ext>
          </c:extLst>
        </c:ser>
        <c:dLbls>
          <c:showLegendKey val="0"/>
          <c:showVal val="0"/>
          <c:showCatName val="0"/>
          <c:showSerName val="0"/>
          <c:showPercent val="0"/>
          <c:showBubbleSize val="0"/>
        </c:dLbls>
        <c:gapWidth val="150"/>
        <c:overlap val="100"/>
        <c:axId val="644328239"/>
        <c:axId val="644321039"/>
      </c:barChart>
      <c:catAx>
        <c:axId val="644328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2500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644321039"/>
        <c:crosses val="autoZero"/>
        <c:auto val="1"/>
        <c:lblAlgn val="ctr"/>
        <c:lblOffset val="100"/>
        <c:noMultiLvlLbl val="0"/>
      </c:catAx>
      <c:valAx>
        <c:axId val="644321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2500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6443282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2500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baseline="-25000">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1"/>
        <c:ser>
          <c:idx val="0"/>
          <c:order val="0"/>
          <c:tx>
            <c:strRef>
              <c:f>'Electrical Vehicule '!$C$3</c:f>
              <c:strCache>
                <c:ptCount val="1"/>
                <c:pt idx="0">
                  <c:v>NPC (€)</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1"/>
          <c:cat>
            <c:strRef>
              <c:f>'Electrical Vehicule '!$B$4:$B$7</c:f>
              <c:strCache>
                <c:ptCount val="4"/>
                <c:pt idx="0">
                  <c:v>First mechanism </c:v>
                </c:pt>
                <c:pt idx="1">
                  <c:v>Second System </c:v>
                </c:pt>
                <c:pt idx="2">
                  <c:v>Third System </c:v>
                </c:pt>
                <c:pt idx="3">
                  <c:v>Fourth System </c:v>
                </c:pt>
              </c:strCache>
            </c:strRef>
          </c:cat>
          <c:val>
            <c:numRef>
              <c:f>'Electrical Vehicule '!$C$4:$C$7</c:f>
              <c:numCache>
                <c:formatCode>General</c:formatCode>
                <c:ptCount val="4"/>
                <c:pt idx="0">
                  <c:v>94250.909999999989</c:v>
                </c:pt>
                <c:pt idx="1">
                  <c:v>94342.58</c:v>
                </c:pt>
                <c:pt idx="2">
                  <c:v>95049.5</c:v>
                </c:pt>
                <c:pt idx="3">
                  <c:v>95316</c:v>
                </c:pt>
              </c:numCache>
            </c:numRef>
          </c:val>
          <c:extLst>
            <c:ext xmlns:c16="http://schemas.microsoft.com/office/drawing/2014/chart" uri="{C3380CC4-5D6E-409C-BE32-E72D297353CC}">
              <c16:uniqueId val="{00000000-8A1B-4DBC-8DE5-09ED7F786427}"/>
            </c:ext>
          </c:extLst>
        </c:ser>
        <c:ser>
          <c:idx val="1"/>
          <c:order val="1"/>
          <c:tx>
            <c:strRef>
              <c:f>'Electrical Vehicule '!$D$3</c:f>
              <c:strCache>
                <c:ptCount val="1"/>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1"/>
          <c:cat>
            <c:strRef>
              <c:f>'Electrical Vehicule '!$B$4:$B$7</c:f>
              <c:strCache>
                <c:ptCount val="4"/>
                <c:pt idx="0">
                  <c:v>First mechanism </c:v>
                </c:pt>
                <c:pt idx="1">
                  <c:v>Second System </c:v>
                </c:pt>
                <c:pt idx="2">
                  <c:v>Third System </c:v>
                </c:pt>
                <c:pt idx="3">
                  <c:v>Fourth System </c:v>
                </c:pt>
              </c:strCache>
            </c:strRef>
          </c:cat>
          <c:val>
            <c:numRef>
              <c:f>'Electrical Vehicule '!$D$4:$D$7</c:f>
              <c:numCache>
                <c:formatCode>General</c:formatCode>
                <c:ptCount val="4"/>
              </c:numCache>
            </c:numRef>
          </c:val>
          <c:extLst>
            <c:ext xmlns:c16="http://schemas.microsoft.com/office/drawing/2014/chart" uri="{C3380CC4-5D6E-409C-BE32-E72D297353CC}">
              <c16:uniqueId val="{00000001-8A1B-4DBC-8DE5-09ED7F786427}"/>
            </c:ext>
          </c:extLst>
        </c:ser>
        <c:ser>
          <c:idx val="2"/>
          <c:order val="2"/>
          <c:tx>
            <c:strRef>
              <c:f>'Electrical Vehicule '!$E$3</c:f>
              <c:strCache>
                <c:ptCount val="1"/>
                <c:pt idx="0">
                  <c:v>Operating Cost (€)</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1"/>
          <c:cat>
            <c:strRef>
              <c:f>'Electrical Vehicule '!$B$4:$B$7</c:f>
              <c:strCache>
                <c:ptCount val="4"/>
                <c:pt idx="0">
                  <c:v>First mechanism </c:v>
                </c:pt>
                <c:pt idx="1">
                  <c:v>Second System </c:v>
                </c:pt>
                <c:pt idx="2">
                  <c:v>Third System </c:v>
                </c:pt>
                <c:pt idx="3">
                  <c:v>Fourth System </c:v>
                </c:pt>
              </c:strCache>
            </c:strRef>
          </c:cat>
          <c:val>
            <c:numRef>
              <c:f>'Electrical Vehicule '!$E$4:$E$7</c:f>
              <c:numCache>
                <c:formatCode>General</c:formatCode>
                <c:ptCount val="4"/>
                <c:pt idx="0">
                  <c:v>7290.72</c:v>
                </c:pt>
                <c:pt idx="1">
                  <c:v>7280.17</c:v>
                </c:pt>
                <c:pt idx="2">
                  <c:v>7320.3600000000024</c:v>
                </c:pt>
                <c:pt idx="3">
                  <c:v>7300</c:v>
                </c:pt>
              </c:numCache>
            </c:numRef>
          </c:val>
          <c:extLst>
            <c:ext xmlns:c16="http://schemas.microsoft.com/office/drawing/2014/chart" uri="{C3380CC4-5D6E-409C-BE32-E72D297353CC}">
              <c16:uniqueId val="{00000002-8A1B-4DBC-8DE5-09ED7F786427}"/>
            </c:ext>
          </c:extLst>
        </c:ser>
        <c:dLbls>
          <c:showLegendKey val="0"/>
          <c:showVal val="0"/>
          <c:showCatName val="0"/>
          <c:showSerName val="0"/>
          <c:showPercent val="0"/>
          <c:showBubbleSize val="0"/>
        </c:dLbls>
        <c:gapWidth val="150"/>
        <c:shape val="box"/>
        <c:axId val="96290304"/>
        <c:axId val="96291840"/>
        <c:axId val="0"/>
      </c:bar3DChart>
      <c:catAx>
        <c:axId val="9629030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vert="horz"/>
          <a:lstStyle/>
          <a:p>
            <a:pPr>
              <a:defRPr/>
            </a:pPr>
            <a:endParaRPr lang="fr-FR"/>
          </a:p>
        </c:txPr>
        <c:crossAx val="96291840"/>
        <c:crosses val="autoZero"/>
        <c:auto val="1"/>
        <c:lblAlgn val="ctr"/>
        <c:lblOffset val="100"/>
        <c:noMultiLvlLbl val="1"/>
      </c:catAx>
      <c:valAx>
        <c:axId val="96291840"/>
        <c:scaling>
          <c:orientation val="minMax"/>
        </c:scaling>
        <c:delete val="0"/>
        <c:axPos val="b"/>
        <c:majorGridlines>
          <c:spPr>
            <a:ln>
              <a:solidFill>
                <a:schemeClr val="tx1">
                  <a:lumMod val="15000"/>
                  <a:lumOff val="85000"/>
                </a:schemeClr>
              </a:solidFill>
            </a:ln>
            <a:effectLst/>
          </c:spPr>
        </c:majorGridlines>
        <c:numFmt formatCode="0%" sourceLinked="1"/>
        <c:majorTickMark val="none"/>
        <c:minorTickMark val="none"/>
        <c:tickLblPos val="nextTo"/>
        <c:spPr>
          <a:noFill/>
          <a:ln>
            <a:noFill/>
          </a:ln>
          <a:effectLst/>
        </c:spPr>
        <c:txPr>
          <a:bodyPr rot="-60000000" vert="horz"/>
          <a:lstStyle/>
          <a:p>
            <a:pPr>
              <a:defRPr/>
            </a:pPr>
            <a:endParaRPr lang="fr-FR"/>
          </a:p>
        </c:txPr>
        <c:crossAx val="96290304"/>
        <c:crosses val="autoZero"/>
        <c:crossBetween val="between"/>
      </c:valAx>
      <c:spPr>
        <a:noFill/>
        <a:ln>
          <a:noFill/>
        </a:ln>
        <a:effectLst/>
      </c:spPr>
    </c:plotArea>
    <c:legend>
      <c:legendPos val="t"/>
      <c:legendEntry>
        <c:idx val="1"/>
        <c:delete val="1"/>
      </c:legendEntry>
      <c:overlay val="0"/>
      <c:spPr>
        <a:noFill/>
        <a:ln>
          <a:noFill/>
        </a:ln>
        <a:effectLst/>
      </c:spPr>
      <c:txPr>
        <a:bodyPr rot="0" vert="horz"/>
        <a:lstStyle/>
        <a:p>
          <a:pPr>
            <a:defRPr/>
          </a:pPr>
          <a:endParaRPr lang="fr-F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sz="1200" b="1" baseline="-25000">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'Electrical Vehicule '!$C$12</c:f>
              <c:strCache>
                <c:ptCount val="1"/>
                <c:pt idx="0">
                  <c:v>First mechanism </c:v>
                </c:pt>
              </c:strCache>
            </c:strRef>
          </c:tx>
          <c:spPr>
            <a:solidFill>
              <a:srgbClr val="4F81BD"/>
            </a:solidFill>
            <a:ln>
              <a:noFill/>
            </a:ln>
            <a:effectLst/>
          </c:spPr>
          <c:invertIfNegative val="1"/>
          <c:cat>
            <c:strRef>
              <c:f>'Electrical Vehicule '!$D$11</c:f>
              <c:strCache>
                <c:ptCount val="1"/>
                <c:pt idx="0">
                  <c:v>LCOE (€)</c:v>
                </c:pt>
              </c:strCache>
            </c:strRef>
          </c:cat>
          <c:val>
            <c:numRef>
              <c:f>'Electrical Vehicule '!$D$12</c:f>
              <c:numCache>
                <c:formatCode>General</c:formatCode>
                <c:ptCount val="1"/>
                <c:pt idx="0">
                  <c:v>8.1110000000000002E-2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0-4D41-41D9-8C39-DB099384394F}"/>
            </c:ext>
          </c:extLst>
        </c:ser>
        <c:ser>
          <c:idx val="1"/>
          <c:order val="1"/>
          <c:tx>
            <c:strRef>
              <c:f>'Electrical Vehicule '!$C$13</c:f>
              <c:strCache>
                <c:ptCount val="1"/>
                <c:pt idx="0">
                  <c:v>Second System </c:v>
                </c:pt>
              </c:strCache>
            </c:strRef>
          </c:tx>
          <c:spPr>
            <a:solidFill>
              <a:srgbClr val="C0504D"/>
            </a:solidFill>
            <a:ln>
              <a:noFill/>
            </a:ln>
            <a:effectLst/>
          </c:spPr>
          <c:invertIfNegative val="1"/>
          <c:cat>
            <c:strRef>
              <c:f>'Electrical Vehicule '!$D$11</c:f>
              <c:strCache>
                <c:ptCount val="1"/>
                <c:pt idx="0">
                  <c:v>LCOE (€)</c:v>
                </c:pt>
              </c:strCache>
            </c:strRef>
          </c:cat>
          <c:val>
            <c:numRef>
              <c:f>'Electrical Vehicule '!$D$13</c:f>
              <c:numCache>
                <c:formatCode>General</c:formatCode>
                <c:ptCount val="1"/>
                <c:pt idx="0">
                  <c:v>8.1180000000000016E-2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1-4D41-41D9-8C39-DB099384394F}"/>
            </c:ext>
          </c:extLst>
        </c:ser>
        <c:ser>
          <c:idx val="2"/>
          <c:order val="2"/>
          <c:tx>
            <c:strRef>
              <c:f>'Electrical Vehicule '!$C$14</c:f>
              <c:strCache>
                <c:ptCount val="1"/>
                <c:pt idx="0">
                  <c:v>Third System </c:v>
                </c:pt>
              </c:strCache>
            </c:strRef>
          </c:tx>
          <c:spPr>
            <a:solidFill>
              <a:srgbClr val="9BBB59"/>
            </a:solidFill>
            <a:ln>
              <a:noFill/>
            </a:ln>
            <a:effectLst/>
          </c:spPr>
          <c:invertIfNegative val="1"/>
          <c:cat>
            <c:strRef>
              <c:f>'Electrical Vehicule '!$D$11</c:f>
              <c:strCache>
                <c:ptCount val="1"/>
                <c:pt idx="0">
                  <c:v>LCOE (€)</c:v>
                </c:pt>
              </c:strCache>
            </c:strRef>
          </c:cat>
          <c:val>
            <c:numRef>
              <c:f>'Electrical Vehicule '!$D$14</c:f>
              <c:numCache>
                <c:formatCode>General</c:formatCode>
                <c:ptCount val="1"/>
                <c:pt idx="0">
                  <c:v>8.1800000000000025E-2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2-4D41-41D9-8C39-DB099384394F}"/>
            </c:ext>
          </c:extLst>
        </c:ser>
        <c:ser>
          <c:idx val="3"/>
          <c:order val="3"/>
          <c:tx>
            <c:strRef>
              <c:f>'Electrical Vehicule '!$C$15</c:f>
              <c:strCache>
                <c:ptCount val="1"/>
                <c:pt idx="0">
                  <c:v>Fourth System </c:v>
                </c:pt>
              </c:strCache>
            </c:strRef>
          </c:tx>
          <c:spPr>
            <a:solidFill>
              <a:srgbClr val="8064A2"/>
            </a:solidFill>
            <a:ln>
              <a:noFill/>
            </a:ln>
            <a:effectLst/>
          </c:spPr>
          <c:invertIfNegative val="1"/>
          <c:cat>
            <c:strRef>
              <c:f>'Electrical Vehicule '!$D$11</c:f>
              <c:strCache>
                <c:ptCount val="1"/>
                <c:pt idx="0">
                  <c:v>LCOE (€)</c:v>
                </c:pt>
              </c:strCache>
            </c:strRef>
          </c:cat>
          <c:val>
            <c:numRef>
              <c:f>'Electrical Vehicule '!$D$15</c:f>
              <c:numCache>
                <c:formatCode>General</c:formatCode>
                <c:ptCount val="1"/>
                <c:pt idx="0">
                  <c:v>8.2000000000000003E-2</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3-4D41-41D9-8C39-DB099384394F}"/>
            </c:ext>
          </c:extLst>
        </c:ser>
        <c:dLbls>
          <c:showLegendKey val="0"/>
          <c:showVal val="0"/>
          <c:showCatName val="0"/>
          <c:showSerName val="0"/>
          <c:showPercent val="0"/>
          <c:showBubbleSize val="0"/>
        </c:dLbls>
        <c:gapWidth val="219"/>
        <c:overlap val="-27"/>
        <c:axId val="96955008"/>
        <c:axId val="134284032"/>
      </c:barChart>
      <c:catAx>
        <c:axId val="9695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134284032"/>
        <c:crosses val="autoZero"/>
        <c:auto val="1"/>
        <c:lblAlgn val="ctr"/>
        <c:lblOffset val="100"/>
        <c:noMultiLvlLbl val="1"/>
      </c:catAx>
      <c:valAx>
        <c:axId val="13428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969550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1"/>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E329B-A926-42B4-B362-A5865895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10</Pages>
  <Words>9393</Words>
  <Characters>51667</Characters>
  <Application>Microsoft Office Word</Application>
  <DocSecurity>0</DocSecurity>
  <Lines>430</Lines>
  <Paragraphs>121</Paragraphs>
  <ScaleCrop>false</ScaleCrop>
  <HeadingPairs>
    <vt:vector size="2" baseType="variant">
      <vt:variant>
        <vt:lpstr>Titre</vt:lpstr>
      </vt:variant>
      <vt:variant>
        <vt:i4>1</vt:i4>
      </vt:variant>
    </vt:vector>
  </HeadingPairs>
  <TitlesOfParts>
    <vt:vector size="1" baseType="lpstr">
      <vt:lpstr>Title Goes Here</vt:lpstr>
    </vt:vector>
  </TitlesOfParts>
  <Company>PPI</Company>
  <LinksUpToDate>false</LinksUpToDate>
  <CharactersWithSpaces>60939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ASUS EXPERTBOOK</cp:lastModifiedBy>
  <cp:revision>2</cp:revision>
  <cp:lastPrinted>2011-03-03T08:29:00Z</cp:lastPrinted>
  <dcterms:created xsi:type="dcterms:W3CDTF">2025-12-02T11:09:00Z</dcterms:created>
  <dcterms:modified xsi:type="dcterms:W3CDTF">2025-12-02T11:09:00Z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ZOTERO_PREF_1">
    <vt:lpwstr>&lt;data data-version="3" zotero-version="6.0.36"&gt;&lt;session id="G6sP9rta"/&gt;&lt;style id="http://www.zotero.org/styles/ieee" locale="fr-FR"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y fmtid="{D5CDD505-2E9C-101B-9397-08002B2CF9AE}" pid="5" name="GrammarlyDocumentId">
    <vt:lpwstr>55ce557f-e4b4-49b7-bcc7-1f3f2f12bfd3</vt:lpwstr>
  </property>
</Properties>
</file>