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ABBA40" w14:textId="77777777" w:rsidR="00DA079F" w:rsidRPr="005A17F3" w:rsidRDefault="00DA079F" w:rsidP="0062407D">
      <w:pPr>
        <w:pStyle w:val="SolarPACESTitle"/>
        <w:spacing w:line="240" w:lineRule="auto"/>
        <w:rPr>
          <w:sz w:val="36"/>
          <w:lang w:val="en-US"/>
        </w:rPr>
      </w:pPr>
      <w:r w:rsidRPr="005A17F3">
        <w:rPr>
          <w:sz w:val="36"/>
          <w:lang w:val="en-US"/>
        </w:rPr>
        <w:t>Improved efficiency based on nonlinear MPPT control for grid-connected PV system</w:t>
      </w:r>
    </w:p>
    <w:p w14:paraId="52150C28" w14:textId="10B30172" w:rsidR="00DA079F" w:rsidRPr="005A17F3" w:rsidRDefault="00DA079F" w:rsidP="0062407D">
      <w:pPr>
        <w:pStyle w:val="SolarPACESAuthor"/>
        <w:spacing w:line="240" w:lineRule="auto"/>
        <w:rPr>
          <w:rFonts w:ascii="Times New Roman" w:hAnsi="Times New Roman"/>
          <w:sz w:val="28"/>
          <w:szCs w:val="28"/>
          <w:vertAlign w:val="superscript"/>
          <w:lang w:val="en-US"/>
        </w:rPr>
      </w:pPr>
      <w:r w:rsidRPr="005A17F3">
        <w:rPr>
          <w:rFonts w:ascii="Times New Roman" w:hAnsi="Times New Roman"/>
          <w:sz w:val="28"/>
          <w:szCs w:val="28"/>
          <w:lang w:val="en-US"/>
        </w:rPr>
        <w:t xml:space="preserve">Oumaima </w:t>
      </w:r>
      <w:r w:rsidR="00054727" w:rsidRPr="005A17F3">
        <w:rPr>
          <w:rFonts w:ascii="Times New Roman" w:hAnsi="Times New Roman"/>
          <w:sz w:val="28"/>
          <w:szCs w:val="28"/>
          <w:lang w:val="en-US"/>
        </w:rPr>
        <w:t>ECHAB</w:t>
      </w:r>
      <w:r w:rsidRPr="005A17F3">
        <w:rPr>
          <w:rFonts w:ascii="Times New Roman" w:hAnsi="Times New Roman"/>
          <w:sz w:val="28"/>
          <w:szCs w:val="28"/>
          <w:lang w:val="en-US"/>
        </w:rPr>
        <w:t xml:space="preserve"> </w:t>
      </w:r>
      <w:r w:rsidRPr="005A17F3">
        <w:rPr>
          <w:rFonts w:ascii="Times New Roman" w:hAnsi="Times New Roman"/>
          <w:sz w:val="28"/>
          <w:szCs w:val="28"/>
          <w:vertAlign w:val="superscript"/>
          <w:lang w:val="en-US"/>
        </w:rPr>
        <w:t>1</w:t>
      </w:r>
      <w:r w:rsidR="005A17F3">
        <w:rPr>
          <w:rFonts w:ascii="Times New Roman" w:eastAsia="Calibri" w:hAnsi="Times New Roman"/>
          <w:sz w:val="28"/>
          <w:szCs w:val="28"/>
          <w:vertAlign w:val="superscript"/>
          <w:lang w:val="en-GB" w:eastAsia="en-US"/>
        </w:rPr>
        <w:t>a</w:t>
      </w:r>
      <w:r w:rsidRPr="005A17F3">
        <w:rPr>
          <w:rFonts w:ascii="Times New Roman" w:hAnsi="Times New Roman"/>
          <w:sz w:val="28"/>
          <w:szCs w:val="28"/>
          <w:lang w:val="en-US"/>
        </w:rPr>
        <w:t xml:space="preserve">, Noureddine Ech-cherki </w:t>
      </w:r>
      <w:r w:rsidRPr="005A17F3">
        <w:rPr>
          <w:rFonts w:ascii="Times New Roman" w:hAnsi="Times New Roman"/>
          <w:sz w:val="28"/>
          <w:szCs w:val="28"/>
          <w:vertAlign w:val="superscript"/>
          <w:lang w:val="en-US"/>
        </w:rPr>
        <w:t>1</w:t>
      </w:r>
      <w:r w:rsidRPr="005A17F3">
        <w:rPr>
          <w:rFonts w:ascii="Times New Roman" w:hAnsi="Times New Roman"/>
          <w:sz w:val="28"/>
          <w:szCs w:val="28"/>
          <w:lang w:val="en-US"/>
        </w:rPr>
        <w:t xml:space="preserve"> , </w:t>
      </w:r>
      <w:r w:rsidRPr="005A17F3">
        <w:rPr>
          <w:rFonts w:ascii="Times New Roman" w:hAnsi="Times New Roman"/>
          <w:sz w:val="28"/>
          <w:szCs w:val="28"/>
          <w:lang w:val="tr-TR"/>
        </w:rPr>
        <w:t xml:space="preserve">Elmostafa Chetouani </w:t>
      </w:r>
      <w:r w:rsidRPr="005A17F3">
        <w:rPr>
          <w:rFonts w:ascii="Times New Roman" w:hAnsi="Times New Roman"/>
          <w:sz w:val="28"/>
          <w:szCs w:val="28"/>
          <w:vertAlign w:val="superscript"/>
          <w:lang w:val="tr-TR"/>
        </w:rPr>
        <w:t>2</w:t>
      </w:r>
      <w:r w:rsidRPr="005A17F3">
        <w:rPr>
          <w:rFonts w:ascii="Times New Roman" w:hAnsi="Times New Roman"/>
          <w:sz w:val="28"/>
          <w:szCs w:val="28"/>
          <w:lang w:val="tr-TR"/>
        </w:rPr>
        <w:t xml:space="preserve">, </w:t>
      </w:r>
      <w:r w:rsidRPr="005A17F3">
        <w:rPr>
          <w:rFonts w:ascii="Times New Roman" w:hAnsi="Times New Roman"/>
          <w:sz w:val="28"/>
          <w:szCs w:val="28"/>
          <w:lang w:val="en-US"/>
        </w:rPr>
        <w:t>Abdellatif Obbadi</w:t>
      </w:r>
      <w:r w:rsidRPr="005A17F3">
        <w:rPr>
          <w:rFonts w:ascii="Times New Roman" w:hAnsi="Times New Roman"/>
          <w:sz w:val="28"/>
          <w:szCs w:val="28"/>
          <w:vertAlign w:val="superscript"/>
          <w:lang w:val="en-US"/>
        </w:rPr>
        <w:t>1</w:t>
      </w:r>
      <w:r w:rsidRPr="005A17F3">
        <w:rPr>
          <w:rFonts w:ascii="Times New Roman" w:hAnsi="Times New Roman"/>
          <w:sz w:val="28"/>
          <w:szCs w:val="28"/>
          <w:lang w:val="en-US"/>
        </w:rPr>
        <w:t xml:space="preserve"> , Youssef Errami</w:t>
      </w:r>
      <w:r w:rsidRPr="005A17F3">
        <w:rPr>
          <w:rFonts w:ascii="Times New Roman" w:hAnsi="Times New Roman"/>
          <w:sz w:val="28"/>
          <w:szCs w:val="28"/>
          <w:vertAlign w:val="superscript"/>
          <w:lang w:val="en-US"/>
        </w:rPr>
        <w:t>1</w:t>
      </w:r>
      <w:r w:rsidRPr="005A17F3">
        <w:rPr>
          <w:rFonts w:ascii="Times New Roman" w:hAnsi="Times New Roman"/>
          <w:sz w:val="28"/>
          <w:szCs w:val="28"/>
          <w:lang w:val="en-US"/>
        </w:rPr>
        <w:t>, Smail Sahnoun</w:t>
      </w:r>
      <w:r w:rsidRPr="005A17F3">
        <w:rPr>
          <w:rFonts w:ascii="Times New Roman" w:hAnsi="Times New Roman"/>
          <w:sz w:val="28"/>
          <w:szCs w:val="28"/>
          <w:vertAlign w:val="superscript"/>
          <w:lang w:val="en-US"/>
        </w:rPr>
        <w:t>1</w:t>
      </w:r>
      <w:r w:rsidRPr="005A17F3">
        <w:rPr>
          <w:rFonts w:ascii="Times New Roman" w:hAnsi="Times New Roman"/>
          <w:sz w:val="28"/>
          <w:szCs w:val="28"/>
          <w:lang w:val="en-US"/>
        </w:rPr>
        <w:t>, Mohssin  Aoutoul</w:t>
      </w:r>
      <w:r w:rsidRPr="005A17F3">
        <w:rPr>
          <w:rFonts w:ascii="Times New Roman" w:hAnsi="Times New Roman"/>
          <w:sz w:val="28"/>
          <w:szCs w:val="28"/>
          <w:vertAlign w:val="superscript"/>
          <w:lang w:val="en-US"/>
        </w:rPr>
        <w:t>1</w:t>
      </w:r>
    </w:p>
    <w:p w14:paraId="0C802B62" w14:textId="77777777" w:rsidR="00DA079F" w:rsidRDefault="00DA079F" w:rsidP="0062407D">
      <w:pPr>
        <w:spacing w:after="120"/>
        <w:jc w:val="center"/>
        <w:rPr>
          <w:color w:val="000000"/>
          <w:sz w:val="18"/>
          <w:szCs w:val="22"/>
        </w:rPr>
      </w:pPr>
    </w:p>
    <w:p w14:paraId="2C0D01B4" w14:textId="77777777" w:rsidR="00DA079F" w:rsidRPr="005A17F3" w:rsidRDefault="00DA079F" w:rsidP="0062407D">
      <w:pPr>
        <w:spacing w:after="120"/>
        <w:jc w:val="center"/>
        <w:rPr>
          <w:i/>
          <w:color w:val="000000"/>
          <w:sz w:val="20"/>
          <w:szCs w:val="22"/>
        </w:rPr>
      </w:pPr>
      <w:r w:rsidRPr="005A17F3">
        <w:rPr>
          <w:i/>
          <w:color w:val="000000"/>
          <w:sz w:val="20"/>
          <w:szCs w:val="22"/>
          <w:vertAlign w:val="superscript"/>
        </w:rPr>
        <w:t>1</w:t>
      </w:r>
      <w:r w:rsidRPr="005A17F3">
        <w:rPr>
          <w:i/>
          <w:color w:val="000000"/>
          <w:sz w:val="20"/>
          <w:szCs w:val="22"/>
        </w:rPr>
        <w:t xml:space="preserve"> Laboratory: Electronics, Instrumentation and Energy (LEIE), Faculty of Science, Chouaib Doukkali University, Route Ben Maachou, 24000 El Jadida, Morocco</w:t>
      </w:r>
    </w:p>
    <w:p w14:paraId="0A072B96" w14:textId="77777777" w:rsidR="00DA079F" w:rsidRPr="005A17F3" w:rsidRDefault="00DA079F" w:rsidP="0062407D">
      <w:pPr>
        <w:spacing w:after="120"/>
        <w:jc w:val="center"/>
        <w:rPr>
          <w:i/>
          <w:color w:val="000000"/>
          <w:sz w:val="20"/>
          <w:szCs w:val="22"/>
        </w:rPr>
      </w:pPr>
      <w:r w:rsidRPr="005A17F3">
        <w:rPr>
          <w:i/>
          <w:color w:val="000000"/>
          <w:sz w:val="20"/>
          <w:szCs w:val="22"/>
          <w:vertAlign w:val="superscript"/>
        </w:rPr>
        <w:t>2</w:t>
      </w:r>
      <w:r w:rsidRPr="005A17F3">
        <w:rPr>
          <w:i/>
          <w:color w:val="000000"/>
          <w:sz w:val="20"/>
          <w:szCs w:val="22"/>
        </w:rPr>
        <w:t xml:space="preserve"> Laboratory: Mathematics, Computer and Engineering Sciences, Systems Analysis and Information Processing Team, Faculty of Science and Technology, Hassan 1st University, Settat, Morocco</w:t>
      </w:r>
    </w:p>
    <w:p w14:paraId="501FE11F" w14:textId="77777777" w:rsidR="00DA079F" w:rsidRPr="005A17F3" w:rsidRDefault="00DA079F" w:rsidP="0062407D">
      <w:pPr>
        <w:spacing w:after="120"/>
        <w:jc w:val="center"/>
        <w:rPr>
          <w:rFonts w:eastAsia="Calibri"/>
          <w:i/>
          <w:sz w:val="20"/>
          <w:lang w:eastAsia="en-US"/>
        </w:rPr>
      </w:pPr>
      <w:r w:rsidRPr="005A17F3">
        <w:rPr>
          <w:rFonts w:eastAsia="Calibri"/>
          <w:i/>
          <w:sz w:val="20"/>
          <w:lang w:eastAsia="en-US"/>
        </w:rPr>
        <w:t>(</w:t>
      </w:r>
      <w:hyperlink r:id="rId7" w:history="1">
        <w:r w:rsidRPr="005A17F3">
          <w:rPr>
            <w:rFonts w:eastAsia="Calibri"/>
            <w:i/>
            <w:color w:val="0563C1"/>
            <w:sz w:val="20"/>
            <w:u w:val="single"/>
            <w:lang w:eastAsia="en-US"/>
          </w:rPr>
          <w:t>echab.o@ucd.ac.ma</w:t>
        </w:r>
      </w:hyperlink>
      <w:r w:rsidRPr="005A17F3">
        <w:rPr>
          <w:rFonts w:eastAsia="Calibri"/>
          <w:i/>
          <w:sz w:val="20"/>
          <w:lang w:eastAsia="en-US"/>
        </w:rPr>
        <w:t xml:space="preserve"> , </w:t>
      </w:r>
      <w:hyperlink r:id="rId8" w:history="1">
        <w:r w:rsidRPr="005A17F3">
          <w:rPr>
            <w:rFonts w:eastAsia="Calibri"/>
            <w:i/>
            <w:color w:val="0563C1"/>
            <w:sz w:val="20"/>
            <w:u w:val="single"/>
            <w:lang w:eastAsia="en-US"/>
          </w:rPr>
          <w:t>echcherki.noureddine@ucd.ac.ma</w:t>
        </w:r>
      </w:hyperlink>
      <w:r w:rsidRPr="005A17F3">
        <w:rPr>
          <w:rFonts w:eastAsia="Calibri"/>
          <w:i/>
          <w:sz w:val="20"/>
          <w:lang w:eastAsia="en-US"/>
        </w:rPr>
        <w:t xml:space="preserve">, </w:t>
      </w:r>
      <w:r w:rsidRPr="005A17F3">
        <w:rPr>
          <w:rFonts w:eastAsia="Calibri"/>
          <w:i/>
          <w:color w:val="0563C1"/>
          <w:sz w:val="20"/>
          <w:szCs w:val="18"/>
          <w:u w:val="single"/>
          <w:lang w:eastAsia="en-US"/>
        </w:rPr>
        <w:t xml:space="preserve">chetouani.m@ucd.ac.ma </w:t>
      </w:r>
      <w:r w:rsidRPr="005A17F3">
        <w:rPr>
          <w:rFonts w:eastAsia="Calibri"/>
          <w:i/>
          <w:sz w:val="20"/>
          <w:lang w:eastAsia="en-US"/>
        </w:rPr>
        <w:t xml:space="preserve">, </w:t>
      </w:r>
      <w:hyperlink r:id="rId9" w:history="1">
        <w:r w:rsidRPr="005A17F3">
          <w:rPr>
            <w:rFonts w:eastAsia="Calibri"/>
            <w:i/>
            <w:color w:val="0563C1"/>
            <w:sz w:val="20"/>
            <w:u w:val="single"/>
            <w:lang w:eastAsia="en-US"/>
          </w:rPr>
          <w:t>obbadi.a@ucd.ac.ma</w:t>
        </w:r>
      </w:hyperlink>
      <w:r w:rsidRPr="005A17F3">
        <w:rPr>
          <w:rFonts w:eastAsia="Calibri"/>
          <w:i/>
          <w:sz w:val="20"/>
          <w:lang w:eastAsia="en-US"/>
        </w:rPr>
        <w:t xml:space="preserve"> , </w:t>
      </w:r>
      <w:hyperlink r:id="rId10" w:history="1">
        <w:r w:rsidRPr="005A17F3">
          <w:rPr>
            <w:rFonts w:eastAsia="Calibri"/>
            <w:i/>
            <w:color w:val="0563C1"/>
            <w:sz w:val="20"/>
            <w:u w:val="single"/>
            <w:lang w:eastAsia="en-US"/>
          </w:rPr>
          <w:t>errami.y@ucd.ac.ma</w:t>
        </w:r>
      </w:hyperlink>
      <w:r w:rsidRPr="005A17F3">
        <w:rPr>
          <w:rFonts w:eastAsia="Calibri"/>
          <w:i/>
          <w:sz w:val="20"/>
          <w:lang w:eastAsia="en-US"/>
        </w:rPr>
        <w:t xml:space="preserve"> , </w:t>
      </w:r>
      <w:hyperlink r:id="rId11" w:history="1">
        <w:r w:rsidRPr="005A17F3">
          <w:rPr>
            <w:rFonts w:eastAsia="Calibri"/>
            <w:i/>
            <w:color w:val="0563C1"/>
            <w:sz w:val="20"/>
            <w:u w:val="single"/>
            <w:lang w:eastAsia="en-US"/>
          </w:rPr>
          <w:t>sahnoun.s@ucd.ac.ma</w:t>
        </w:r>
      </w:hyperlink>
      <w:r w:rsidRPr="005A17F3">
        <w:rPr>
          <w:rFonts w:eastAsia="Calibri"/>
          <w:i/>
          <w:sz w:val="20"/>
          <w:lang w:eastAsia="en-US"/>
        </w:rPr>
        <w:t xml:space="preserve">, </w:t>
      </w:r>
      <w:hyperlink r:id="rId12" w:history="1">
        <w:r w:rsidRPr="005A17F3">
          <w:rPr>
            <w:rFonts w:eastAsia="Calibri"/>
            <w:i/>
            <w:color w:val="0563C1"/>
            <w:sz w:val="20"/>
            <w:u w:val="single"/>
            <w:lang w:eastAsia="en-US"/>
          </w:rPr>
          <w:t>aoutoul.m@ucd.ac.ma</w:t>
        </w:r>
      </w:hyperlink>
      <w:r w:rsidRPr="005A17F3">
        <w:rPr>
          <w:rFonts w:eastAsia="Calibri"/>
          <w:i/>
          <w:sz w:val="20"/>
          <w:lang w:eastAsia="en-US"/>
        </w:rPr>
        <w:t xml:space="preserve"> </w:t>
      </w:r>
      <w:r w:rsidRPr="005A17F3">
        <w:rPr>
          <w:rFonts w:eastAsia="Calibri"/>
          <w:i/>
          <w:sz w:val="20"/>
          <w:lang w:val="en-GB" w:eastAsia="en-US"/>
        </w:rPr>
        <w:t>)</w:t>
      </w:r>
    </w:p>
    <w:p w14:paraId="720C54F9" w14:textId="77777777" w:rsidR="00DA079F" w:rsidRPr="005A17F3" w:rsidRDefault="005A17F3" w:rsidP="0062407D">
      <w:pPr>
        <w:spacing w:after="120"/>
        <w:jc w:val="center"/>
        <w:rPr>
          <w:rFonts w:eastAsia="Calibri"/>
          <w:i/>
          <w:sz w:val="20"/>
          <w:lang w:eastAsia="en-US"/>
        </w:rPr>
      </w:pPr>
      <w:r w:rsidRPr="005A17F3">
        <w:rPr>
          <w:rFonts w:eastAsia="Calibri"/>
          <w:b/>
          <w:i/>
          <w:sz w:val="20"/>
          <w:vertAlign w:val="superscript"/>
          <w:lang w:val="en-GB" w:eastAsia="en-US"/>
        </w:rPr>
        <w:t>a</w:t>
      </w:r>
      <w:r w:rsidR="00DA079F" w:rsidRPr="005A17F3">
        <w:rPr>
          <w:rFonts w:ascii="Calibri" w:eastAsia="Calibri" w:hAnsi="Calibri"/>
          <w:i/>
          <w:sz w:val="18"/>
          <w:szCs w:val="22"/>
          <w:vertAlign w:val="superscript"/>
          <w:lang w:val="tr-TR" w:eastAsia="en-US"/>
        </w:rPr>
        <w:t xml:space="preserve"> </w:t>
      </w:r>
      <w:r w:rsidR="00DA079F" w:rsidRPr="005A17F3">
        <w:rPr>
          <w:rFonts w:eastAsia="Calibri"/>
          <w:i/>
          <w:sz w:val="20"/>
          <w:lang w:eastAsia="en-US"/>
        </w:rPr>
        <w:t xml:space="preserve">Corresponding Author; Oumaima ECHAB, El Jadida, Morocco, Tel: +212 641134754, </w:t>
      </w:r>
      <w:hyperlink r:id="rId13" w:history="1">
        <w:r w:rsidR="00DA079F" w:rsidRPr="005A17F3">
          <w:rPr>
            <w:rFonts w:eastAsia="Calibri"/>
            <w:i/>
            <w:color w:val="0563C1"/>
            <w:sz w:val="20"/>
            <w:u w:val="single"/>
            <w:lang w:eastAsia="en-US"/>
          </w:rPr>
          <w:t>echab.o@ucd.ac.ma</w:t>
        </w:r>
      </w:hyperlink>
    </w:p>
    <w:p w14:paraId="5E24D82E" w14:textId="77777777" w:rsidR="00DA079F" w:rsidRPr="001B77D8" w:rsidRDefault="001B77D8" w:rsidP="0062407D">
      <w:pPr>
        <w:pStyle w:val="SolarPACESHeading1Character"/>
        <w:spacing w:before="120" w:after="120" w:line="240" w:lineRule="auto"/>
        <w:jc w:val="both"/>
        <w:rPr>
          <w:sz w:val="18"/>
          <w:szCs w:val="18"/>
        </w:rPr>
      </w:pPr>
      <w:r w:rsidRPr="001B77D8">
        <w:rPr>
          <w:sz w:val="18"/>
          <w:szCs w:val="18"/>
        </w:rPr>
        <w:t xml:space="preserve">Abstract. </w:t>
      </w:r>
      <w:r w:rsidR="00DA079F" w:rsidRPr="001B77D8">
        <w:rPr>
          <w:rFonts w:eastAsia="Calibri"/>
          <w:b w:val="0"/>
          <w:sz w:val="18"/>
          <w:szCs w:val="18"/>
          <w:lang w:eastAsia="en-US"/>
        </w:rPr>
        <w:t>In a Grid-Connected Photovoltaic system (GCPS), Maximum Power Point Tracking (MPPT) is crucial for optimizing the system's efficiency. Conventional MPPT techniques</w:t>
      </w:r>
      <w:r w:rsidR="00B4085B" w:rsidRPr="001B77D8">
        <w:rPr>
          <w:rFonts w:eastAsia="Calibri"/>
          <w:b w:val="0"/>
          <w:sz w:val="18"/>
          <w:szCs w:val="18"/>
          <w:lang w:eastAsia="en-US"/>
        </w:rPr>
        <w:t>, such as Incremental Conductance (INC) and Perturb and Observe (P&amp;O), have been a significant</w:t>
      </w:r>
      <w:r w:rsidR="00DA079F" w:rsidRPr="001B77D8">
        <w:rPr>
          <w:rFonts w:eastAsia="Calibri"/>
          <w:b w:val="0"/>
          <w:sz w:val="18"/>
          <w:szCs w:val="18"/>
          <w:lang w:eastAsia="en-US"/>
        </w:rPr>
        <w:t xml:space="preserve"> source of interest in the field. Nonetheless, these methods exhibit high fluctuations and slow tracking </w:t>
      </w:r>
      <w:r w:rsidR="00B4085B" w:rsidRPr="001B77D8">
        <w:rPr>
          <w:rFonts w:eastAsia="Calibri"/>
          <w:b w:val="0"/>
          <w:sz w:val="18"/>
          <w:szCs w:val="18"/>
          <w:lang w:eastAsia="en-US"/>
        </w:rPr>
        <w:t>times</w:t>
      </w:r>
      <w:r w:rsidR="00DA079F" w:rsidRPr="001B77D8">
        <w:rPr>
          <w:rFonts w:eastAsia="Calibri"/>
          <w:b w:val="0"/>
          <w:sz w:val="18"/>
          <w:szCs w:val="18"/>
          <w:lang w:eastAsia="en-US"/>
        </w:rPr>
        <w:t>. This article int</w:t>
      </w:r>
      <w:r w:rsidR="00B4085B" w:rsidRPr="001B77D8">
        <w:rPr>
          <w:rFonts w:eastAsia="Calibri"/>
          <w:b w:val="0"/>
          <w:sz w:val="18"/>
          <w:szCs w:val="18"/>
          <w:lang w:eastAsia="en-US"/>
        </w:rPr>
        <w:t>roduces a nonlinear MPPT technique</w:t>
      </w:r>
      <w:r w:rsidR="00DA079F" w:rsidRPr="001B77D8">
        <w:rPr>
          <w:rFonts w:eastAsia="Calibri"/>
          <w:b w:val="0"/>
          <w:sz w:val="18"/>
          <w:szCs w:val="18"/>
          <w:lang w:eastAsia="en-US"/>
        </w:rPr>
        <w:t xml:space="preserve"> based on a Backstepping </w:t>
      </w:r>
      <w:r w:rsidR="00DA079F" w:rsidRPr="00E52D63">
        <w:rPr>
          <w:rFonts w:eastAsia="Calibri"/>
          <w:b w:val="0"/>
          <w:color w:val="000000" w:themeColor="text1"/>
          <w:sz w:val="18"/>
          <w:szCs w:val="18"/>
          <w:lang w:eastAsia="en-US"/>
        </w:rPr>
        <w:t>Controller (B</w:t>
      </w:r>
      <w:r w:rsidR="00D00952" w:rsidRPr="00E52D63">
        <w:rPr>
          <w:rFonts w:eastAsia="Calibri"/>
          <w:b w:val="0"/>
          <w:color w:val="000000" w:themeColor="text1"/>
          <w:sz w:val="18"/>
          <w:szCs w:val="18"/>
          <w:lang w:eastAsia="en-US"/>
        </w:rPr>
        <w:t>S</w:t>
      </w:r>
      <w:r w:rsidR="00DA079F" w:rsidRPr="00E52D63">
        <w:rPr>
          <w:rFonts w:eastAsia="Calibri"/>
          <w:b w:val="0"/>
          <w:color w:val="000000" w:themeColor="text1"/>
          <w:sz w:val="18"/>
          <w:szCs w:val="18"/>
          <w:lang w:eastAsia="en-US"/>
        </w:rPr>
        <w:t xml:space="preserve">). The </w:t>
      </w:r>
      <w:r w:rsidR="00DA079F" w:rsidRPr="001B77D8">
        <w:rPr>
          <w:rFonts w:eastAsia="Calibri"/>
          <w:b w:val="0"/>
          <w:sz w:val="18"/>
          <w:szCs w:val="18"/>
          <w:lang w:eastAsia="en-US"/>
        </w:rPr>
        <w:t xml:space="preserve">MPPT method is implemented in a GCPVS, improving the system's efficiency and accuracy. A comparative analysis has been made in Matlab/Simulink during irradiance and temperature changes, which reveals </w:t>
      </w:r>
      <w:r w:rsidR="00DA079F" w:rsidRPr="00E52D63">
        <w:rPr>
          <w:rFonts w:eastAsia="Calibri"/>
          <w:b w:val="0"/>
          <w:color w:val="000000" w:themeColor="text1"/>
          <w:sz w:val="18"/>
          <w:szCs w:val="18"/>
          <w:lang w:eastAsia="en-US"/>
        </w:rPr>
        <w:t>that the B</w:t>
      </w:r>
      <w:r w:rsidR="00D00952" w:rsidRPr="00E52D63">
        <w:rPr>
          <w:rFonts w:eastAsia="Calibri"/>
          <w:b w:val="0"/>
          <w:color w:val="000000" w:themeColor="text1"/>
          <w:sz w:val="18"/>
          <w:szCs w:val="18"/>
          <w:lang w:eastAsia="en-US"/>
        </w:rPr>
        <w:t>S</w:t>
      </w:r>
      <w:r w:rsidR="00DA079F" w:rsidRPr="00E52D63">
        <w:rPr>
          <w:rFonts w:eastAsia="Calibri"/>
          <w:b w:val="0"/>
          <w:color w:val="000000" w:themeColor="text1"/>
          <w:sz w:val="18"/>
          <w:szCs w:val="18"/>
          <w:lang w:eastAsia="en-US"/>
        </w:rPr>
        <w:t xml:space="preserve"> technique </w:t>
      </w:r>
      <w:r w:rsidR="00DA079F" w:rsidRPr="001B77D8">
        <w:rPr>
          <w:rFonts w:eastAsia="Calibri"/>
          <w:b w:val="0"/>
          <w:sz w:val="18"/>
          <w:szCs w:val="18"/>
          <w:lang w:eastAsia="en-US"/>
        </w:rPr>
        <w:t>surpasses the classic INC algorithm in terms of tracking time, efficiency, power losses, and Total Harmonic Distortion (THD).</w:t>
      </w:r>
    </w:p>
    <w:p w14:paraId="46864323" w14:textId="77777777" w:rsidR="00DA079F" w:rsidRPr="00BB5E3C" w:rsidRDefault="00DA079F" w:rsidP="0062407D">
      <w:pPr>
        <w:pStyle w:val="SolarPACESHeading1Character"/>
        <w:spacing w:before="120" w:after="120" w:line="240" w:lineRule="auto"/>
        <w:rPr>
          <w:b w:val="0"/>
          <w:bCs/>
          <w:i/>
          <w:iCs/>
          <w:sz w:val="18"/>
        </w:rPr>
      </w:pPr>
      <w:r w:rsidRPr="00BB5E3C">
        <w:rPr>
          <w:i/>
          <w:iCs/>
          <w:sz w:val="18"/>
        </w:rPr>
        <w:t>Keywords</w:t>
      </w:r>
      <w:r w:rsidRPr="00BB5E3C">
        <w:rPr>
          <w:rFonts w:asciiTheme="majorBidi" w:hAnsiTheme="majorBidi" w:cstheme="majorBidi"/>
          <w:b w:val="0"/>
          <w:bCs/>
          <w:i/>
          <w:iCs/>
          <w:sz w:val="18"/>
        </w:rPr>
        <w:t>— Backstepping controller, Grid-connected photovoltaic system, MPPT.</w:t>
      </w:r>
    </w:p>
    <w:p w14:paraId="27CA7B2B" w14:textId="77777777" w:rsidR="00896EB6" w:rsidRPr="006E0A9E" w:rsidRDefault="0003181A" w:rsidP="00AB67E5">
      <w:pPr>
        <w:pStyle w:val="Heading1"/>
        <w:spacing w:after="240"/>
        <w:jc w:val="center"/>
        <w:rPr>
          <w:color w:val="000000" w:themeColor="text1"/>
        </w:rPr>
      </w:pPr>
      <w:r w:rsidRPr="006E0A9E">
        <w:rPr>
          <w:rFonts w:ascii="Times New Roman" w:hAnsi="Times New Roman" w:cs="Times New Roman"/>
          <w:b/>
          <w:color w:val="000000" w:themeColor="text1"/>
          <w:sz w:val="24"/>
        </w:rPr>
        <w:t>INTRODUCTION</w:t>
      </w:r>
    </w:p>
    <w:p w14:paraId="1DE3F837" w14:textId="77777777" w:rsidR="00FB4344" w:rsidRPr="00B072ED" w:rsidRDefault="00B4085B" w:rsidP="00AB67E5">
      <w:pPr>
        <w:spacing w:after="240"/>
        <w:ind w:firstLine="284"/>
        <w:jc w:val="both"/>
        <w:rPr>
          <w:color w:val="000000" w:themeColor="text1"/>
          <w:sz w:val="20"/>
        </w:rPr>
      </w:pPr>
      <w:r w:rsidRPr="00B072ED">
        <w:rPr>
          <w:sz w:val="20"/>
        </w:rPr>
        <w:t xml:space="preserve">Nowadays, Grid Connected PV Systems (GCPVS) are highly affordable due to the low </w:t>
      </w:r>
      <w:r w:rsidR="005B39C2" w:rsidRPr="00B072ED">
        <w:rPr>
          <w:sz w:val="20"/>
        </w:rPr>
        <w:t xml:space="preserve">installation cost and the non-essential batteries, thanks to the direct grid power injection. </w:t>
      </w:r>
      <w:r w:rsidR="00CE6AFF" w:rsidRPr="00B072ED">
        <w:rPr>
          <w:sz w:val="20"/>
        </w:rPr>
        <w:t xml:space="preserve">Intense improvements in the PV sector are focusing on Maximum Power Point Tracking (MPPT), </w:t>
      </w:r>
      <w:r w:rsidR="00896EB6" w:rsidRPr="00B072ED">
        <w:rPr>
          <w:sz w:val="20"/>
        </w:rPr>
        <w:t xml:space="preserve">which plays an essential role in the system. </w:t>
      </w:r>
      <w:r w:rsidR="00CE6AFF" w:rsidRPr="00B072ED">
        <w:rPr>
          <w:sz w:val="20"/>
        </w:rPr>
        <w:t>Conventional MPPT control techniques, like Perturb and Observe (P&amp;O) [1], Incremental Conductance (INC) [2]</w:t>
      </w:r>
      <w:r w:rsidR="002468A1" w:rsidRPr="00B072ED">
        <w:rPr>
          <w:sz w:val="20"/>
        </w:rPr>
        <w:t>,</w:t>
      </w:r>
      <w:r w:rsidR="00CE6AFF" w:rsidRPr="00B072ED">
        <w:rPr>
          <w:sz w:val="20"/>
        </w:rPr>
        <w:t xml:space="preserve"> and Constant Voltage (</w:t>
      </w:r>
      <w:r w:rsidR="00CE6AFF" w:rsidRPr="002E62B0">
        <w:rPr>
          <w:color w:val="000000" w:themeColor="text1"/>
          <w:sz w:val="20"/>
        </w:rPr>
        <w:t>VC) [</w:t>
      </w:r>
      <w:r w:rsidR="002E62B0" w:rsidRPr="002E62B0">
        <w:rPr>
          <w:color w:val="000000" w:themeColor="text1"/>
          <w:sz w:val="20"/>
        </w:rPr>
        <w:t>3</w:t>
      </w:r>
      <w:r w:rsidR="00CE6AFF" w:rsidRPr="002E62B0">
        <w:rPr>
          <w:color w:val="000000" w:themeColor="text1"/>
          <w:sz w:val="20"/>
        </w:rPr>
        <w:t>]</w:t>
      </w:r>
      <w:r w:rsidR="002468A1" w:rsidRPr="002E62B0">
        <w:rPr>
          <w:color w:val="000000" w:themeColor="text1"/>
          <w:sz w:val="20"/>
        </w:rPr>
        <w:t xml:space="preserve">, </w:t>
      </w:r>
      <w:r w:rsidR="002468A1" w:rsidRPr="00B072ED">
        <w:rPr>
          <w:sz w:val="20"/>
        </w:rPr>
        <w:t>are widely used due to their ease of maintenance and simple implementation in the system [</w:t>
      </w:r>
      <w:r w:rsidR="002E62B0">
        <w:rPr>
          <w:sz w:val="20"/>
        </w:rPr>
        <w:t>4</w:t>
      </w:r>
      <w:r w:rsidR="002468A1" w:rsidRPr="00B072ED">
        <w:rPr>
          <w:sz w:val="20"/>
        </w:rPr>
        <w:t>]</w:t>
      </w:r>
      <w:r w:rsidR="002468A1" w:rsidRPr="00B072ED">
        <w:rPr>
          <w:color w:val="000000" w:themeColor="text1"/>
          <w:sz w:val="20"/>
        </w:rPr>
        <w:t xml:space="preserve">. Nevertheless, they may experience high oscillations at the Maximum Power Point (MPP) and slow convergence time during environmental condition changes </w:t>
      </w:r>
      <w:r w:rsidR="002468A1" w:rsidRPr="00B072ED">
        <w:rPr>
          <w:sz w:val="20"/>
        </w:rPr>
        <w:t>[</w:t>
      </w:r>
      <w:r w:rsidR="002E62B0">
        <w:rPr>
          <w:sz w:val="20"/>
        </w:rPr>
        <w:t>5</w:t>
      </w:r>
      <w:r w:rsidR="002468A1" w:rsidRPr="00B072ED">
        <w:rPr>
          <w:sz w:val="20"/>
        </w:rPr>
        <w:t>]</w:t>
      </w:r>
      <w:r w:rsidR="002468A1" w:rsidRPr="00B072ED">
        <w:rPr>
          <w:color w:val="000000" w:themeColor="text1"/>
          <w:sz w:val="20"/>
        </w:rPr>
        <w:t xml:space="preserve">. </w:t>
      </w:r>
    </w:p>
    <w:p w14:paraId="4DB6166B" w14:textId="77777777" w:rsidR="003A62CA" w:rsidRDefault="006C38F3" w:rsidP="00723609">
      <w:pPr>
        <w:spacing w:after="160"/>
        <w:ind w:firstLine="284"/>
        <w:jc w:val="both"/>
        <w:rPr>
          <w:color w:val="000000" w:themeColor="text1"/>
          <w:sz w:val="20"/>
        </w:rPr>
      </w:pPr>
      <w:r w:rsidRPr="00B072ED">
        <w:rPr>
          <w:color w:val="000000" w:themeColor="text1"/>
          <w:sz w:val="20"/>
        </w:rPr>
        <w:t>The researchers aimed to improve the GCPVS performance by ameliorating traditional MPPT and inventing new ones</w:t>
      </w:r>
      <w:r w:rsidRPr="00E52D63">
        <w:rPr>
          <w:color w:val="000000" w:themeColor="text1"/>
          <w:sz w:val="20"/>
        </w:rPr>
        <w:t xml:space="preserve">. </w:t>
      </w:r>
      <w:r w:rsidR="002A78AB" w:rsidRPr="00E52D63">
        <w:rPr>
          <w:color w:val="000000" w:themeColor="text1"/>
          <w:sz w:val="20"/>
        </w:rPr>
        <w:t>Such as improved P&amp;O [</w:t>
      </w:r>
      <w:r w:rsidR="00DA7663" w:rsidRPr="00E52D63">
        <w:rPr>
          <w:color w:val="000000" w:themeColor="text1"/>
          <w:sz w:val="20"/>
        </w:rPr>
        <w:t>6</w:t>
      </w:r>
      <w:r w:rsidR="002A78AB" w:rsidRPr="00E52D63">
        <w:rPr>
          <w:color w:val="000000" w:themeColor="text1"/>
          <w:sz w:val="20"/>
        </w:rPr>
        <w:t xml:space="preserve">], </w:t>
      </w:r>
      <w:r w:rsidR="00A61A0E" w:rsidRPr="00E52D63">
        <w:rPr>
          <w:color w:val="000000" w:themeColor="text1"/>
          <w:sz w:val="20"/>
        </w:rPr>
        <w:t>which enh</w:t>
      </w:r>
      <w:r w:rsidR="00010BD5" w:rsidRPr="00E52D63">
        <w:rPr>
          <w:color w:val="000000" w:themeColor="text1"/>
          <w:sz w:val="20"/>
        </w:rPr>
        <w:t>ances the P&amp;O algorithm by utilizing</w:t>
      </w:r>
      <w:r w:rsidR="00A61A0E" w:rsidRPr="00E52D63">
        <w:rPr>
          <w:color w:val="000000" w:themeColor="text1"/>
          <w:sz w:val="20"/>
        </w:rPr>
        <w:t xml:space="preserve"> a variable step size instead of a fixed one. This change contributes to the MPPT to improve the energy efficiency and minimize the power losses. </w:t>
      </w:r>
      <w:r w:rsidR="00856F2B" w:rsidRPr="00E52D63">
        <w:rPr>
          <w:color w:val="000000" w:themeColor="text1"/>
          <w:sz w:val="20"/>
        </w:rPr>
        <w:t>The non</w:t>
      </w:r>
      <w:r w:rsidR="00303218" w:rsidRPr="00E52D63">
        <w:rPr>
          <w:color w:val="000000" w:themeColor="text1"/>
          <w:sz w:val="20"/>
        </w:rPr>
        <w:t>-</w:t>
      </w:r>
      <w:r w:rsidR="00856F2B" w:rsidRPr="00E52D63">
        <w:rPr>
          <w:color w:val="000000" w:themeColor="text1"/>
          <w:sz w:val="20"/>
        </w:rPr>
        <w:t>linear techniques are also known in the literature due to their high performance.</w:t>
      </w:r>
      <w:r w:rsidR="00540D41" w:rsidRPr="00E52D63">
        <w:rPr>
          <w:color w:val="000000" w:themeColor="text1"/>
          <w:sz w:val="20"/>
        </w:rPr>
        <w:t xml:space="preserve"> </w:t>
      </w:r>
      <w:r w:rsidR="00303218" w:rsidRPr="00E52D63">
        <w:rPr>
          <w:color w:val="000000" w:themeColor="text1"/>
          <w:sz w:val="20"/>
        </w:rPr>
        <w:t xml:space="preserve">For instance, </w:t>
      </w:r>
      <w:r w:rsidR="00540D41" w:rsidRPr="00E52D63">
        <w:rPr>
          <w:color w:val="000000" w:themeColor="text1"/>
          <w:sz w:val="20"/>
        </w:rPr>
        <w:t>Sliding Mode Control (SMC) [</w:t>
      </w:r>
      <w:r w:rsidR="00DA7663" w:rsidRPr="00E52D63">
        <w:rPr>
          <w:color w:val="000000" w:themeColor="text1"/>
          <w:sz w:val="20"/>
        </w:rPr>
        <w:t>7</w:t>
      </w:r>
      <w:r w:rsidR="00540D41" w:rsidRPr="00E52D63">
        <w:rPr>
          <w:color w:val="000000" w:themeColor="text1"/>
          <w:sz w:val="20"/>
        </w:rPr>
        <w:t>]</w:t>
      </w:r>
      <w:r w:rsidR="00FB4344" w:rsidRPr="00E52D63">
        <w:rPr>
          <w:color w:val="000000" w:themeColor="text1"/>
          <w:sz w:val="20"/>
        </w:rPr>
        <w:t xml:space="preserve">, </w:t>
      </w:r>
      <w:r w:rsidR="00303218" w:rsidRPr="00E52D63">
        <w:rPr>
          <w:color w:val="000000" w:themeColor="text1"/>
          <w:sz w:val="20"/>
        </w:rPr>
        <w:t>a robust Partial Feedback Linearizing (PFL) stabilization scheme</w:t>
      </w:r>
      <w:r w:rsidR="000E190F" w:rsidRPr="00E52D63">
        <w:rPr>
          <w:color w:val="000000" w:themeColor="text1"/>
          <w:sz w:val="20"/>
        </w:rPr>
        <w:t>,</w:t>
      </w:r>
      <w:r w:rsidR="00303218" w:rsidRPr="00E52D63">
        <w:rPr>
          <w:color w:val="000000" w:themeColor="text1"/>
          <w:sz w:val="20"/>
        </w:rPr>
        <w:t xml:space="preserve"> has been developed for grid-connected PV systems, which ensures stable DC-link voltage and grid current injection under parameter uncertainties [8], </w:t>
      </w:r>
      <w:r w:rsidR="00FB4344" w:rsidRPr="00E52D63">
        <w:rPr>
          <w:color w:val="000000" w:themeColor="text1"/>
          <w:sz w:val="20"/>
        </w:rPr>
        <w:t>and</w:t>
      </w:r>
      <w:r w:rsidR="00540D41" w:rsidRPr="00E52D63">
        <w:rPr>
          <w:color w:val="000000" w:themeColor="text1"/>
          <w:sz w:val="20"/>
        </w:rPr>
        <w:t xml:space="preserve"> Backstepping Control (B</w:t>
      </w:r>
      <w:r w:rsidR="00D00952" w:rsidRPr="00E52D63">
        <w:rPr>
          <w:color w:val="000000" w:themeColor="text1"/>
          <w:sz w:val="20"/>
        </w:rPr>
        <w:t>S</w:t>
      </w:r>
      <w:r w:rsidR="00540D41" w:rsidRPr="00E52D63">
        <w:rPr>
          <w:color w:val="000000" w:themeColor="text1"/>
          <w:sz w:val="20"/>
        </w:rPr>
        <w:t xml:space="preserve">) </w:t>
      </w:r>
      <w:r w:rsidR="00FB4344" w:rsidRPr="00E52D63">
        <w:rPr>
          <w:color w:val="000000" w:themeColor="text1"/>
          <w:sz w:val="20"/>
        </w:rPr>
        <w:t>[</w:t>
      </w:r>
      <w:r w:rsidR="00303218" w:rsidRPr="00E52D63">
        <w:rPr>
          <w:color w:val="000000" w:themeColor="text1"/>
          <w:sz w:val="20"/>
        </w:rPr>
        <w:t>9</w:t>
      </w:r>
      <w:r w:rsidR="004A0FCB" w:rsidRPr="00E52D63">
        <w:rPr>
          <w:color w:val="000000" w:themeColor="text1"/>
          <w:sz w:val="20"/>
        </w:rPr>
        <w:t>-</w:t>
      </w:r>
      <w:r w:rsidR="00303218" w:rsidRPr="00E52D63">
        <w:rPr>
          <w:color w:val="000000" w:themeColor="text1"/>
          <w:sz w:val="20"/>
        </w:rPr>
        <w:t>10</w:t>
      </w:r>
      <w:r w:rsidR="00FB4344" w:rsidRPr="00E52D63">
        <w:rPr>
          <w:color w:val="000000" w:themeColor="text1"/>
          <w:sz w:val="20"/>
        </w:rPr>
        <w:t xml:space="preserve">]. The latter </w:t>
      </w:r>
      <w:r w:rsidR="00FB4344" w:rsidRPr="00B072ED">
        <w:rPr>
          <w:sz w:val="20"/>
        </w:rPr>
        <w:t xml:space="preserve">is based on the Lyapunov function, which allows </w:t>
      </w:r>
      <w:r w:rsidR="00896EB6" w:rsidRPr="00B072ED">
        <w:rPr>
          <w:color w:val="000000" w:themeColor="text1"/>
          <w:sz w:val="20"/>
        </w:rPr>
        <w:t>the</w:t>
      </w:r>
      <w:r w:rsidR="00FB4344" w:rsidRPr="00B072ED">
        <w:rPr>
          <w:color w:val="000000" w:themeColor="text1"/>
          <w:sz w:val="20"/>
        </w:rPr>
        <w:t xml:space="preserve"> PV</w:t>
      </w:r>
      <w:r w:rsidR="00896EB6" w:rsidRPr="00B072ED">
        <w:rPr>
          <w:color w:val="000000" w:themeColor="text1"/>
          <w:sz w:val="20"/>
        </w:rPr>
        <w:t xml:space="preserve"> system to be stable with fewer oscillations and insignificant power losses. </w:t>
      </w:r>
    </w:p>
    <w:p w14:paraId="5D86E8CD" w14:textId="77777777" w:rsidR="00AB67E5" w:rsidRDefault="00896EB6" w:rsidP="00723609">
      <w:pPr>
        <w:spacing w:after="160"/>
        <w:ind w:firstLine="284"/>
        <w:jc w:val="both"/>
        <w:rPr>
          <w:color w:val="000000" w:themeColor="text1"/>
          <w:sz w:val="20"/>
        </w:rPr>
      </w:pPr>
      <w:r w:rsidRPr="00B072ED">
        <w:rPr>
          <w:color w:val="000000" w:themeColor="text1"/>
          <w:sz w:val="20"/>
        </w:rPr>
        <w:t xml:space="preserve">The present </w:t>
      </w:r>
      <w:r w:rsidR="009E7D4F" w:rsidRPr="00B072ED">
        <w:rPr>
          <w:color w:val="000000" w:themeColor="text1"/>
          <w:sz w:val="20"/>
        </w:rPr>
        <w:t>essay</w:t>
      </w:r>
      <w:r w:rsidRPr="00B072ED">
        <w:rPr>
          <w:color w:val="000000" w:themeColor="text1"/>
          <w:sz w:val="20"/>
        </w:rPr>
        <w:t xml:space="preserve"> discusses the </w:t>
      </w:r>
      <w:r w:rsidRPr="00E52D63">
        <w:rPr>
          <w:color w:val="000000" w:themeColor="text1"/>
          <w:sz w:val="20"/>
        </w:rPr>
        <w:t>application of the B</w:t>
      </w:r>
      <w:r w:rsidR="00D00952" w:rsidRPr="00E52D63">
        <w:rPr>
          <w:color w:val="000000" w:themeColor="text1"/>
          <w:sz w:val="20"/>
        </w:rPr>
        <w:t>S</w:t>
      </w:r>
      <w:r w:rsidRPr="00E52D63">
        <w:rPr>
          <w:color w:val="000000" w:themeColor="text1"/>
          <w:sz w:val="20"/>
        </w:rPr>
        <w:t xml:space="preserve"> MPPT </w:t>
      </w:r>
      <w:r w:rsidRPr="00B072ED">
        <w:rPr>
          <w:color w:val="000000" w:themeColor="text1"/>
          <w:sz w:val="20"/>
        </w:rPr>
        <w:t>meth</w:t>
      </w:r>
      <w:r w:rsidR="00FB4344" w:rsidRPr="00B072ED">
        <w:rPr>
          <w:color w:val="000000" w:themeColor="text1"/>
          <w:sz w:val="20"/>
        </w:rPr>
        <w:t>od in a GCPVS</w:t>
      </w:r>
      <w:r w:rsidR="003A62CA" w:rsidRPr="00B072ED">
        <w:rPr>
          <w:color w:val="000000" w:themeColor="text1"/>
          <w:sz w:val="20"/>
        </w:rPr>
        <w:t xml:space="preserve">, which is implemented in Matlab/Simulink environment, </w:t>
      </w:r>
      <w:r w:rsidR="00713C55" w:rsidRPr="00B072ED">
        <w:rPr>
          <w:color w:val="000000" w:themeColor="text1"/>
          <w:sz w:val="20"/>
        </w:rPr>
        <w:t>in order to improve the tracking efficiency, minimize power losses, reduce</w:t>
      </w:r>
      <w:r w:rsidR="00AC1C7C" w:rsidRPr="00B072ED">
        <w:rPr>
          <w:color w:val="000000" w:themeColor="text1"/>
          <w:sz w:val="20"/>
        </w:rPr>
        <w:t xml:space="preserve"> </w:t>
      </w:r>
      <w:r w:rsidR="00713C55" w:rsidRPr="00B072ED">
        <w:rPr>
          <w:color w:val="000000" w:themeColor="text1"/>
          <w:sz w:val="20"/>
        </w:rPr>
        <w:t>fluctuations, and produce a low Total Harmonic Distortion (THD). Contrary to the traditional MPPTs that exhibit</w:t>
      </w:r>
      <w:r w:rsidR="009E7D4F" w:rsidRPr="00B072ED">
        <w:rPr>
          <w:color w:val="000000" w:themeColor="text1"/>
          <w:sz w:val="20"/>
        </w:rPr>
        <w:t xml:space="preserve"> high oscillations and power losses, which influence the quality of the injected power. This paper is introduced as follows: the GCPVS is presented in the second section. The third one depicts the methodology of the </w:t>
      </w:r>
      <w:r w:rsidR="009E7D4F" w:rsidRPr="00266357">
        <w:rPr>
          <w:color w:val="000000" w:themeColor="text1"/>
          <w:sz w:val="20"/>
        </w:rPr>
        <w:t>proposed B</w:t>
      </w:r>
      <w:r w:rsidR="00D00952" w:rsidRPr="00266357">
        <w:rPr>
          <w:color w:val="000000" w:themeColor="text1"/>
          <w:sz w:val="20"/>
        </w:rPr>
        <w:t>S</w:t>
      </w:r>
      <w:r w:rsidR="009E7D4F" w:rsidRPr="00266357">
        <w:rPr>
          <w:color w:val="000000" w:themeColor="text1"/>
          <w:sz w:val="20"/>
        </w:rPr>
        <w:t xml:space="preserve"> technique</w:t>
      </w:r>
      <w:r w:rsidR="009E7D4F" w:rsidRPr="00B072ED">
        <w:rPr>
          <w:color w:val="000000" w:themeColor="text1"/>
          <w:sz w:val="20"/>
        </w:rPr>
        <w:t>. The simulation and results discussion are investigated in the fifth section.</w:t>
      </w:r>
      <w:r w:rsidR="00AC1C7C" w:rsidRPr="00B072ED">
        <w:rPr>
          <w:color w:val="000000" w:themeColor="text1"/>
          <w:sz w:val="20"/>
        </w:rPr>
        <w:t xml:space="preserve"> The final section is dedicated to the conclusion.</w:t>
      </w:r>
    </w:p>
    <w:p w14:paraId="1B9DE9D3" w14:textId="77777777" w:rsidR="004029C2" w:rsidRPr="00B072ED" w:rsidRDefault="004029C2" w:rsidP="00723609">
      <w:pPr>
        <w:spacing w:after="160"/>
        <w:ind w:firstLine="284"/>
        <w:jc w:val="both"/>
        <w:rPr>
          <w:color w:val="000000" w:themeColor="text1"/>
          <w:sz w:val="20"/>
        </w:rPr>
      </w:pPr>
    </w:p>
    <w:p w14:paraId="142005F8" w14:textId="77777777" w:rsidR="001404C8" w:rsidRPr="006E0A9E" w:rsidRDefault="0003181A" w:rsidP="006E0A9E">
      <w:pPr>
        <w:pStyle w:val="SolarPACESHeading1Character"/>
        <w:spacing w:after="240" w:line="240" w:lineRule="auto"/>
        <w:jc w:val="center"/>
        <w:rPr>
          <w:sz w:val="24"/>
        </w:rPr>
      </w:pPr>
      <w:r w:rsidRPr="006E0A9E">
        <w:rPr>
          <w:sz w:val="24"/>
        </w:rPr>
        <w:lastRenderedPageBreak/>
        <w:t>THE GRID-CONNECTED PV SYSTEM PRESENTATION</w:t>
      </w:r>
    </w:p>
    <w:p w14:paraId="2B91A50E" w14:textId="77777777" w:rsidR="001404C8" w:rsidRPr="00B072ED" w:rsidRDefault="001404C8" w:rsidP="00723609">
      <w:pPr>
        <w:ind w:firstLine="284"/>
        <w:jc w:val="both"/>
        <w:rPr>
          <w:rFonts w:eastAsia="Calibri"/>
          <w:sz w:val="20"/>
          <w:szCs w:val="22"/>
          <w:lang w:eastAsia="en-US"/>
        </w:rPr>
      </w:pPr>
      <w:r w:rsidRPr="00B072ED">
        <w:rPr>
          <w:rFonts w:eastAsia="Calibri"/>
          <w:sz w:val="20"/>
          <w:szCs w:val="22"/>
          <w:lang w:eastAsia="en-US"/>
        </w:rPr>
        <w:t xml:space="preserve">The configuration of the proposed PV system is illustrated in </w:t>
      </w:r>
      <w:r w:rsidR="00191B68">
        <w:rPr>
          <w:rFonts w:eastAsia="Calibri"/>
          <w:color w:val="000000" w:themeColor="text1"/>
          <w:sz w:val="20"/>
          <w:szCs w:val="22"/>
          <w:lang w:eastAsia="en-US"/>
        </w:rPr>
        <w:t>Fig.</w:t>
      </w:r>
      <w:r w:rsidRPr="00B072ED">
        <w:rPr>
          <w:rFonts w:eastAsia="Calibri"/>
          <w:color w:val="000000" w:themeColor="text1"/>
          <w:sz w:val="20"/>
          <w:szCs w:val="22"/>
          <w:lang w:eastAsia="en-US"/>
        </w:rPr>
        <w:t xml:space="preserve"> 1. </w:t>
      </w:r>
      <w:r w:rsidRPr="00B072ED">
        <w:rPr>
          <w:rFonts w:eastAsia="Calibri"/>
          <w:sz w:val="20"/>
          <w:szCs w:val="22"/>
          <w:lang w:eastAsia="en-US"/>
        </w:rPr>
        <w:t>The structure contains a PV array generator of 84 kW power. The first converter is a boost converter that elevates the extracted V</w:t>
      </w:r>
      <w:r w:rsidRPr="00B072ED">
        <w:rPr>
          <w:rFonts w:eastAsia="Calibri"/>
          <w:sz w:val="20"/>
          <w:szCs w:val="22"/>
          <w:vertAlign w:val="subscript"/>
          <w:lang w:eastAsia="en-US"/>
        </w:rPr>
        <w:t>pv</w:t>
      </w:r>
      <w:r w:rsidRPr="00B072ED">
        <w:rPr>
          <w:rFonts w:eastAsia="Calibri"/>
          <w:sz w:val="20"/>
          <w:szCs w:val="22"/>
          <w:lang w:eastAsia="en-US"/>
        </w:rPr>
        <w:t xml:space="preserve"> to a desired voltage level. The second converter is a three-phase inverter that converts the DC power to AC power, which is injected into the electrical grid after being filtered with an RL filter.</w:t>
      </w:r>
      <w:r w:rsidR="00DE2A27" w:rsidRPr="00B072ED">
        <w:rPr>
          <w:rFonts w:eastAsia="Calibri"/>
          <w:sz w:val="20"/>
          <w:szCs w:val="22"/>
          <w:lang w:eastAsia="en-US"/>
        </w:rPr>
        <w:t xml:space="preserve"> The MPP is ensured by </w:t>
      </w:r>
      <w:r w:rsidR="00DE2A27" w:rsidRPr="00E52D63">
        <w:rPr>
          <w:rFonts w:eastAsia="Calibri"/>
          <w:color w:val="000000" w:themeColor="text1"/>
          <w:sz w:val="20"/>
          <w:szCs w:val="22"/>
          <w:lang w:eastAsia="en-US"/>
        </w:rPr>
        <w:t>the B</w:t>
      </w:r>
      <w:r w:rsidR="00D00952" w:rsidRPr="00E52D63">
        <w:rPr>
          <w:rFonts w:eastAsia="Calibri"/>
          <w:color w:val="000000" w:themeColor="text1"/>
          <w:sz w:val="20"/>
          <w:szCs w:val="22"/>
          <w:lang w:eastAsia="en-US"/>
        </w:rPr>
        <w:t>S</w:t>
      </w:r>
      <w:r w:rsidR="00DE2A27" w:rsidRPr="00E52D63">
        <w:rPr>
          <w:rFonts w:eastAsia="Calibri"/>
          <w:color w:val="000000" w:themeColor="text1"/>
          <w:sz w:val="20"/>
          <w:szCs w:val="22"/>
          <w:lang w:eastAsia="en-US"/>
        </w:rPr>
        <w:t xml:space="preserve"> technique </w:t>
      </w:r>
      <w:r w:rsidR="00DE2A27" w:rsidRPr="00B072ED">
        <w:rPr>
          <w:rFonts w:eastAsia="Calibri"/>
          <w:sz w:val="20"/>
          <w:szCs w:val="22"/>
          <w:lang w:eastAsia="en-US"/>
        </w:rPr>
        <w:t xml:space="preserve">that generates the duty cycle α based on the Lyapunov functions. The inverter-grid side (or the DC-AC side) is assured by the Proportional Integral (PI) controller. </w:t>
      </w:r>
    </w:p>
    <w:p w14:paraId="0D75D924" w14:textId="77777777" w:rsidR="00B35612" w:rsidRDefault="00B35612" w:rsidP="0062407D">
      <w:pPr>
        <w:jc w:val="center"/>
        <w:rPr>
          <w:rFonts w:eastAsia="Calibri"/>
          <w:sz w:val="22"/>
          <w:szCs w:val="22"/>
          <w:lang w:eastAsia="en-US"/>
        </w:rPr>
      </w:pPr>
      <w:r>
        <w:rPr>
          <w:rFonts w:eastAsia="Calibri"/>
          <w:noProof/>
          <w:sz w:val="22"/>
          <w:szCs w:val="22"/>
          <w:lang w:val="fr-CA" w:eastAsia="fr-CA"/>
        </w:rPr>
        <w:drawing>
          <wp:inline distT="0" distB="0" distL="0" distR="0" wp14:anchorId="03CACDC8" wp14:editId="455B2255">
            <wp:extent cx="5972810" cy="2171065"/>
            <wp:effectExtent l="0" t="0" r="889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V system (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72810" cy="2171065"/>
                    </a:xfrm>
                    <a:prstGeom prst="rect">
                      <a:avLst/>
                    </a:prstGeom>
                  </pic:spPr>
                </pic:pic>
              </a:graphicData>
            </a:graphic>
          </wp:inline>
        </w:drawing>
      </w:r>
    </w:p>
    <w:p w14:paraId="7D17DF64" w14:textId="77777777" w:rsidR="001404C8" w:rsidRPr="00CD22AE" w:rsidRDefault="001404C8" w:rsidP="00AB67E5">
      <w:pPr>
        <w:spacing w:after="240"/>
        <w:jc w:val="center"/>
        <w:rPr>
          <w:rFonts w:eastAsia="Calibri"/>
          <w:sz w:val="20"/>
          <w:szCs w:val="22"/>
          <w:lang w:eastAsia="en-US"/>
        </w:rPr>
      </w:pPr>
      <w:r w:rsidRPr="00183977">
        <w:rPr>
          <w:rFonts w:eastAsia="Calibri"/>
          <w:b/>
          <w:sz w:val="18"/>
          <w:szCs w:val="22"/>
          <w:lang w:eastAsia="en-US"/>
        </w:rPr>
        <w:t>Fig</w:t>
      </w:r>
      <w:r w:rsidR="00183977" w:rsidRPr="00183977">
        <w:rPr>
          <w:rFonts w:eastAsia="Calibri"/>
          <w:b/>
          <w:sz w:val="18"/>
          <w:szCs w:val="22"/>
          <w:lang w:eastAsia="en-US"/>
        </w:rPr>
        <w:t>ure</w:t>
      </w:r>
      <w:r w:rsidRPr="00183977">
        <w:rPr>
          <w:rFonts w:eastAsia="Calibri"/>
          <w:b/>
          <w:sz w:val="18"/>
          <w:szCs w:val="22"/>
          <w:lang w:eastAsia="en-US"/>
        </w:rPr>
        <w:t xml:space="preserve"> 1.</w:t>
      </w:r>
      <w:r w:rsidRPr="00183977">
        <w:rPr>
          <w:rFonts w:eastAsia="Calibri"/>
          <w:sz w:val="18"/>
          <w:szCs w:val="22"/>
          <w:lang w:eastAsia="en-US"/>
        </w:rPr>
        <w:t xml:space="preserve"> Grid-connected PV system structure </w:t>
      </w:r>
    </w:p>
    <w:p w14:paraId="17E1EAB4" w14:textId="77777777" w:rsidR="000F060B" w:rsidRDefault="000F060B" w:rsidP="00AB67E5">
      <w:pPr>
        <w:spacing w:after="240"/>
        <w:jc w:val="both"/>
        <w:rPr>
          <w:rFonts w:eastAsia="SimSun"/>
          <w:bCs/>
          <w:color w:val="000000"/>
          <w:sz w:val="20"/>
          <w:szCs w:val="20"/>
          <w:lang w:eastAsia="en-US"/>
        </w:rPr>
      </w:pPr>
      <w:r>
        <w:rPr>
          <w:rFonts w:eastAsia="SimSun"/>
          <w:bCs/>
          <w:color w:val="000000"/>
          <w:sz w:val="20"/>
          <w:szCs w:val="20"/>
          <w:lang w:eastAsia="en-US"/>
        </w:rPr>
        <w:t xml:space="preserve">The PV array </w:t>
      </w:r>
      <w:r w:rsidRPr="00E52D63">
        <w:rPr>
          <w:rFonts w:eastAsia="SimSun"/>
          <w:bCs/>
          <w:color w:val="000000" w:themeColor="text1"/>
          <w:sz w:val="20"/>
          <w:szCs w:val="20"/>
          <w:lang w:eastAsia="en-US"/>
        </w:rPr>
        <w:t xml:space="preserve">generator </w:t>
      </w:r>
      <w:r w:rsidRPr="00E52D63">
        <w:rPr>
          <w:rFonts w:eastAsia="SimSun"/>
          <w:color w:val="000000" w:themeColor="text1"/>
          <w:sz w:val="20"/>
          <w:szCs w:val="20"/>
          <w:lang w:eastAsia="en-US"/>
        </w:rPr>
        <w:t>[</w:t>
      </w:r>
      <w:r w:rsidR="004A0FCB" w:rsidRPr="00E52D63">
        <w:rPr>
          <w:rFonts w:eastAsia="SimSun"/>
          <w:color w:val="000000" w:themeColor="text1"/>
          <w:sz w:val="20"/>
          <w:szCs w:val="20"/>
          <w:lang w:eastAsia="en-US"/>
        </w:rPr>
        <w:t>1</w:t>
      </w:r>
      <w:r w:rsidR="00303218" w:rsidRPr="00E52D63">
        <w:rPr>
          <w:rFonts w:eastAsia="SimSun"/>
          <w:color w:val="000000" w:themeColor="text1"/>
          <w:sz w:val="20"/>
          <w:szCs w:val="20"/>
          <w:lang w:eastAsia="en-US"/>
        </w:rPr>
        <w:t>1</w:t>
      </w:r>
      <w:r w:rsidRPr="00E52D63">
        <w:rPr>
          <w:rFonts w:eastAsia="SimSun"/>
          <w:color w:val="000000" w:themeColor="text1"/>
          <w:sz w:val="20"/>
          <w:szCs w:val="20"/>
          <w:lang w:eastAsia="en-US"/>
        </w:rPr>
        <w:t xml:space="preserve">] </w:t>
      </w:r>
      <w:r w:rsidR="0067019E" w:rsidRPr="00E52D63">
        <w:rPr>
          <w:rFonts w:eastAsia="SimSun"/>
          <w:color w:val="000000" w:themeColor="text1"/>
          <w:sz w:val="20"/>
          <w:szCs w:val="20"/>
          <w:lang w:eastAsia="en-US"/>
        </w:rPr>
        <w:t xml:space="preserve">equation </w:t>
      </w:r>
      <w:r>
        <w:rPr>
          <w:rFonts w:eastAsia="SimSun"/>
          <w:bCs/>
          <w:color w:val="000000"/>
          <w:sz w:val="20"/>
          <w:szCs w:val="20"/>
          <w:lang w:eastAsia="en-US"/>
        </w:rPr>
        <w:t xml:space="preserve">can be introduced as: </w:t>
      </w:r>
    </w:p>
    <w:p w14:paraId="50F5BA1B" w14:textId="77777777" w:rsidR="006553A3" w:rsidRPr="000F060B" w:rsidRDefault="006553A3" w:rsidP="0062407D">
      <w:pPr>
        <w:jc w:val="center"/>
        <w:rPr>
          <w:rFonts w:eastAsia="SimSun"/>
          <w:color w:val="000000"/>
          <w:sz w:val="20"/>
          <w:szCs w:val="20"/>
          <w:lang w:eastAsia="en-US"/>
        </w:rPr>
      </w:pPr>
      <w:r>
        <w:rPr>
          <w:rFonts w:eastAsia="SimSun"/>
          <w:color w:val="000000"/>
          <w:sz w:val="20"/>
          <w:szCs w:val="20"/>
          <w:lang w:eastAsia="en-US"/>
        </w:rPr>
        <w:tab/>
      </w:r>
      <w:r>
        <w:rPr>
          <w:rFonts w:eastAsia="SimSun"/>
          <w:color w:val="000000"/>
          <w:sz w:val="20"/>
          <w:szCs w:val="20"/>
          <w:lang w:eastAsia="en-US"/>
        </w:rPr>
        <w:tab/>
      </w:r>
      <w:r>
        <w:rPr>
          <w:rFonts w:eastAsia="SimSun"/>
          <w:color w:val="000000"/>
          <w:sz w:val="20"/>
          <w:szCs w:val="20"/>
          <w:lang w:eastAsia="en-US"/>
        </w:rPr>
        <w:tab/>
      </w:r>
      <w:r>
        <w:rPr>
          <w:rFonts w:eastAsia="SimSun"/>
          <w:color w:val="000000"/>
          <w:sz w:val="20"/>
          <w:szCs w:val="20"/>
          <w:lang w:eastAsia="en-US"/>
        </w:rPr>
        <w:tab/>
      </w:r>
      <w:r w:rsidR="006D59C5" w:rsidRPr="006D59C5">
        <w:rPr>
          <w:rFonts w:eastAsia="SimSun"/>
          <w:color w:val="000000"/>
          <w:position w:val="-74"/>
          <w:sz w:val="20"/>
          <w:szCs w:val="20"/>
          <w:lang w:eastAsia="en-US"/>
        </w:rPr>
        <w:object w:dxaOrig="6520" w:dyaOrig="1579" w14:anchorId="0F5A91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8.4pt;height:44.4pt" o:ole="">
            <v:imagedata r:id="rId15" o:title=""/>
          </v:shape>
          <o:OLEObject Type="Embed" ProgID="Equation.DSMT4" ShapeID="_x0000_i1025" DrawAspect="Content" ObjectID="_1829984406" r:id="rId16"/>
        </w:object>
      </w:r>
      <w:r w:rsidR="00183977">
        <w:rPr>
          <w:rFonts w:eastAsia="SimSun"/>
          <w:color w:val="000000"/>
          <w:sz w:val="20"/>
          <w:szCs w:val="20"/>
          <w:lang w:eastAsia="en-US"/>
        </w:rPr>
        <w:tab/>
      </w:r>
      <w:r w:rsidR="00183977">
        <w:rPr>
          <w:rFonts w:eastAsia="SimSun"/>
          <w:color w:val="000000"/>
          <w:sz w:val="20"/>
          <w:szCs w:val="20"/>
          <w:lang w:eastAsia="en-US"/>
        </w:rPr>
        <w:tab/>
      </w:r>
      <w:r w:rsidR="00183977">
        <w:rPr>
          <w:rFonts w:eastAsia="SimSun"/>
          <w:color w:val="000000"/>
          <w:sz w:val="20"/>
          <w:szCs w:val="20"/>
          <w:lang w:eastAsia="en-US"/>
        </w:rPr>
        <w:tab/>
      </w:r>
      <w:r>
        <w:rPr>
          <w:rFonts w:eastAsia="SimSun"/>
          <w:color w:val="000000"/>
          <w:sz w:val="20"/>
          <w:szCs w:val="20"/>
          <w:lang w:eastAsia="en-US"/>
        </w:rPr>
        <w:t>(1)</w:t>
      </w:r>
    </w:p>
    <w:p w14:paraId="2BC68337" w14:textId="77777777" w:rsidR="00447CFA" w:rsidRDefault="000F060B" w:rsidP="0062407D">
      <w:pPr>
        <w:spacing w:after="240"/>
        <w:jc w:val="both"/>
        <w:rPr>
          <w:rFonts w:eastAsia="SimSun"/>
          <w:bCs/>
          <w:color w:val="000000"/>
          <w:sz w:val="20"/>
          <w:szCs w:val="20"/>
          <w:lang w:eastAsia="en-US"/>
        </w:rPr>
      </w:pPr>
      <w:r>
        <w:rPr>
          <w:rFonts w:eastAsia="SimSun"/>
          <w:bCs/>
          <w:color w:val="000000"/>
          <w:sz w:val="20"/>
          <w:szCs w:val="20"/>
          <w:lang w:eastAsia="en-US"/>
        </w:rPr>
        <w:t>Where: N</w:t>
      </w:r>
      <w:r>
        <w:rPr>
          <w:rFonts w:eastAsia="SimSun"/>
          <w:bCs/>
          <w:color w:val="000000"/>
          <w:sz w:val="20"/>
          <w:szCs w:val="20"/>
          <w:vertAlign w:val="subscript"/>
          <w:lang w:eastAsia="en-US"/>
        </w:rPr>
        <w:t>s</w:t>
      </w:r>
      <w:r w:rsidRPr="000F060B">
        <w:rPr>
          <w:rFonts w:eastAsia="SimSun"/>
          <w:bCs/>
          <w:color w:val="000000"/>
          <w:sz w:val="20"/>
          <w:szCs w:val="20"/>
          <w:lang w:eastAsia="en-US"/>
        </w:rPr>
        <w:t xml:space="preserve"> </w:t>
      </w:r>
      <w:r>
        <w:rPr>
          <w:rFonts w:eastAsia="SimSun"/>
          <w:bCs/>
          <w:color w:val="000000"/>
          <w:sz w:val="20"/>
          <w:szCs w:val="20"/>
          <w:lang w:eastAsia="en-US"/>
        </w:rPr>
        <w:t>and N</w:t>
      </w:r>
      <w:r>
        <w:rPr>
          <w:rFonts w:eastAsia="SimSun"/>
          <w:bCs/>
          <w:color w:val="000000"/>
          <w:sz w:val="20"/>
          <w:szCs w:val="20"/>
          <w:vertAlign w:val="subscript"/>
          <w:lang w:eastAsia="en-US"/>
        </w:rPr>
        <w:t>p</w:t>
      </w:r>
      <w:r w:rsidRPr="000F060B">
        <w:rPr>
          <w:rFonts w:eastAsia="SimSun"/>
          <w:bCs/>
          <w:color w:val="000000"/>
          <w:sz w:val="20"/>
          <w:szCs w:val="20"/>
          <w:vertAlign w:val="subscript"/>
          <w:lang w:eastAsia="en-US"/>
        </w:rPr>
        <w:t xml:space="preserve"> </w:t>
      </w:r>
      <w:r>
        <w:rPr>
          <w:rFonts w:eastAsia="SimSun"/>
          <w:bCs/>
          <w:color w:val="000000"/>
          <w:sz w:val="20"/>
          <w:szCs w:val="20"/>
          <w:lang w:eastAsia="en-US"/>
        </w:rPr>
        <w:t>are the</w:t>
      </w:r>
      <w:r w:rsidRPr="000F060B">
        <w:rPr>
          <w:rFonts w:eastAsia="SimSun"/>
          <w:bCs/>
          <w:color w:val="000000"/>
          <w:sz w:val="20"/>
          <w:szCs w:val="20"/>
          <w:lang w:eastAsia="en-US"/>
        </w:rPr>
        <w:t xml:space="preserve"> number of PV panels linked in parallel and series</w:t>
      </w:r>
      <w:r>
        <w:rPr>
          <w:rFonts w:eastAsia="SimSun"/>
          <w:bCs/>
          <w:color w:val="000000"/>
          <w:sz w:val="20"/>
          <w:szCs w:val="20"/>
          <w:lang w:eastAsia="en-US"/>
        </w:rPr>
        <w:t xml:space="preserve">, respectively. </w:t>
      </w:r>
      <w:r w:rsidRPr="000F060B">
        <w:rPr>
          <w:rFonts w:eastAsia="SimSun"/>
          <w:bCs/>
          <w:color w:val="000000"/>
          <w:sz w:val="20"/>
          <w:szCs w:val="20"/>
          <w:lang w:eastAsia="en-US"/>
        </w:rPr>
        <w:t>I</w:t>
      </w:r>
      <w:r>
        <w:rPr>
          <w:rFonts w:eastAsia="SimSun"/>
          <w:bCs/>
          <w:color w:val="000000"/>
          <w:sz w:val="20"/>
          <w:szCs w:val="20"/>
          <w:vertAlign w:val="subscript"/>
          <w:lang w:eastAsia="en-US"/>
        </w:rPr>
        <w:t>p</w:t>
      </w:r>
      <w:r w:rsidRPr="000F060B">
        <w:rPr>
          <w:rFonts w:eastAsia="SimSun"/>
          <w:bCs/>
          <w:color w:val="000000"/>
          <w:sz w:val="20"/>
          <w:szCs w:val="20"/>
          <w:lang w:eastAsia="en-US"/>
        </w:rPr>
        <w:t xml:space="preserve"> is the photocurrent, I</w:t>
      </w:r>
      <w:r w:rsidRPr="000F060B">
        <w:rPr>
          <w:rFonts w:eastAsia="SimSun"/>
          <w:bCs/>
          <w:color w:val="000000"/>
          <w:sz w:val="20"/>
          <w:szCs w:val="20"/>
          <w:vertAlign w:val="subscript"/>
          <w:lang w:eastAsia="en-US"/>
        </w:rPr>
        <w:t>s</w:t>
      </w:r>
      <w:r>
        <w:rPr>
          <w:rFonts w:eastAsia="SimSun"/>
          <w:bCs/>
          <w:color w:val="000000"/>
          <w:sz w:val="20"/>
          <w:szCs w:val="20"/>
          <w:vertAlign w:val="subscript"/>
          <w:lang w:eastAsia="en-US"/>
        </w:rPr>
        <w:t>c</w:t>
      </w:r>
      <w:r w:rsidRPr="000F060B">
        <w:rPr>
          <w:rFonts w:eastAsia="SimSun"/>
          <w:bCs/>
          <w:color w:val="000000"/>
          <w:sz w:val="20"/>
          <w:szCs w:val="20"/>
          <w:lang w:eastAsia="en-US"/>
        </w:rPr>
        <w:t xml:space="preserve"> is the saturation current</w:t>
      </w:r>
      <w:r w:rsidR="00447CFA">
        <w:rPr>
          <w:rFonts w:eastAsia="SimSun"/>
          <w:bCs/>
          <w:color w:val="000000"/>
          <w:sz w:val="20"/>
          <w:szCs w:val="20"/>
          <w:lang w:eastAsia="en-US"/>
        </w:rPr>
        <w:t xml:space="preserve">, </w:t>
      </w:r>
      <w:r w:rsidR="00447CFA" w:rsidRPr="000F060B">
        <w:rPr>
          <w:rFonts w:eastAsia="SimSun"/>
          <w:bCs/>
          <w:color w:val="000000"/>
          <w:sz w:val="20"/>
          <w:szCs w:val="20"/>
          <w:lang w:eastAsia="en-US"/>
        </w:rPr>
        <w:t>A is the ideality factor</w:t>
      </w:r>
      <w:r w:rsidRPr="000F060B">
        <w:rPr>
          <w:rFonts w:eastAsia="SimSun"/>
          <w:bCs/>
          <w:color w:val="000000"/>
          <w:sz w:val="20"/>
          <w:szCs w:val="20"/>
          <w:lang w:eastAsia="en-US"/>
        </w:rPr>
        <w:t>, R</w:t>
      </w:r>
      <w:r w:rsidRPr="000F060B">
        <w:rPr>
          <w:rFonts w:eastAsia="SimSun"/>
          <w:bCs/>
          <w:color w:val="000000"/>
          <w:sz w:val="20"/>
          <w:szCs w:val="20"/>
          <w:vertAlign w:val="subscript"/>
          <w:lang w:eastAsia="en-US"/>
        </w:rPr>
        <w:t>s</w:t>
      </w:r>
      <w:r w:rsidRPr="000F060B">
        <w:rPr>
          <w:rFonts w:eastAsia="SimSun"/>
          <w:bCs/>
          <w:color w:val="000000"/>
          <w:sz w:val="20"/>
          <w:szCs w:val="20"/>
          <w:lang w:eastAsia="en-US"/>
        </w:rPr>
        <w:t xml:space="preserve"> and R</w:t>
      </w:r>
      <w:r w:rsidR="00447CFA">
        <w:rPr>
          <w:rFonts w:eastAsia="SimSun"/>
          <w:bCs/>
          <w:color w:val="000000"/>
          <w:sz w:val="20"/>
          <w:szCs w:val="20"/>
          <w:vertAlign w:val="subscript"/>
          <w:lang w:eastAsia="en-US"/>
        </w:rPr>
        <w:t>p</w:t>
      </w:r>
      <w:r w:rsidRPr="000F060B">
        <w:rPr>
          <w:rFonts w:eastAsia="SimSun"/>
          <w:bCs/>
          <w:color w:val="000000"/>
          <w:sz w:val="20"/>
          <w:szCs w:val="20"/>
          <w:lang w:eastAsia="en-US"/>
        </w:rPr>
        <w:t xml:space="preserve"> are the series resistance and parallel resistance</w:t>
      </w:r>
      <w:r w:rsidR="000C0CC8">
        <w:rPr>
          <w:rFonts w:eastAsia="SimSun"/>
          <w:bCs/>
          <w:color w:val="000000"/>
          <w:sz w:val="20"/>
          <w:szCs w:val="20"/>
          <w:lang w:eastAsia="en-US"/>
        </w:rPr>
        <w:t>,</w:t>
      </w:r>
      <w:r w:rsidRPr="000F060B">
        <w:rPr>
          <w:rFonts w:eastAsia="SimSun"/>
          <w:bCs/>
          <w:color w:val="000000"/>
          <w:sz w:val="20"/>
          <w:szCs w:val="20"/>
          <w:lang w:eastAsia="en-US"/>
        </w:rPr>
        <w:t xml:space="preserve"> respectively. </w:t>
      </w:r>
      <w:r w:rsidR="00447CFA">
        <w:rPr>
          <w:rFonts w:eastAsia="SimSun"/>
          <w:bCs/>
          <w:color w:val="000000"/>
          <w:sz w:val="20"/>
          <w:szCs w:val="20"/>
          <w:lang w:eastAsia="en-US"/>
        </w:rPr>
        <w:t xml:space="preserve">I is the output current, </w:t>
      </w:r>
      <w:r w:rsidR="00447CFA" w:rsidRPr="000F060B">
        <w:rPr>
          <w:rFonts w:eastAsia="SimSun"/>
          <w:bCs/>
          <w:color w:val="000000"/>
          <w:sz w:val="20"/>
          <w:szCs w:val="20"/>
          <w:lang w:eastAsia="en-US"/>
        </w:rPr>
        <w:t>V</w:t>
      </w:r>
      <w:r w:rsidR="00447CFA" w:rsidRPr="000F060B">
        <w:rPr>
          <w:rFonts w:eastAsia="SimSun"/>
          <w:bCs/>
          <w:color w:val="000000"/>
          <w:sz w:val="20"/>
          <w:szCs w:val="20"/>
          <w:vertAlign w:val="subscript"/>
          <w:lang w:eastAsia="en-US"/>
        </w:rPr>
        <w:t>t</w:t>
      </w:r>
      <w:r w:rsidR="00447CFA">
        <w:rPr>
          <w:rFonts w:eastAsia="SimSun"/>
          <w:bCs/>
          <w:color w:val="000000"/>
          <w:sz w:val="20"/>
          <w:szCs w:val="20"/>
          <w:vertAlign w:val="subscript"/>
          <w:lang w:eastAsia="en-US"/>
        </w:rPr>
        <w:t>h</w:t>
      </w:r>
      <w:r w:rsidR="00447CFA">
        <w:rPr>
          <w:rFonts w:eastAsia="SimSun"/>
          <w:bCs/>
          <w:color w:val="000000"/>
          <w:sz w:val="20"/>
          <w:szCs w:val="20"/>
          <w:lang w:eastAsia="en-US"/>
        </w:rPr>
        <w:t xml:space="preserve"> is the thermal voltage, </w:t>
      </w:r>
      <w:r w:rsidR="00447CFA" w:rsidRPr="000F060B">
        <w:rPr>
          <w:rFonts w:eastAsia="SimSun"/>
          <w:bCs/>
          <w:color w:val="000000"/>
          <w:sz w:val="20"/>
          <w:szCs w:val="20"/>
          <w:lang w:eastAsia="en-US"/>
        </w:rPr>
        <w:t xml:space="preserve">V is the output voltage, q is the charge of an electron, T is the temperature, K is Boltzmann's constant, </w:t>
      </w:r>
      <w:r w:rsidR="00447CFA">
        <w:rPr>
          <w:rFonts w:eastAsia="SimSun"/>
          <w:bCs/>
          <w:color w:val="000000"/>
          <w:sz w:val="20"/>
          <w:szCs w:val="20"/>
          <w:lang w:eastAsia="en-US"/>
        </w:rPr>
        <w:t xml:space="preserve">and </w:t>
      </w:r>
      <w:r w:rsidR="00447CFA" w:rsidRPr="000F060B">
        <w:rPr>
          <w:rFonts w:eastAsia="SimSun"/>
          <w:bCs/>
          <w:color w:val="000000"/>
          <w:sz w:val="20"/>
          <w:szCs w:val="20"/>
          <w:lang w:eastAsia="en-US"/>
        </w:rPr>
        <w:t>N</w:t>
      </w:r>
      <w:r w:rsidR="00447CFA">
        <w:rPr>
          <w:rFonts w:eastAsia="SimSun"/>
          <w:bCs/>
          <w:color w:val="000000"/>
          <w:sz w:val="20"/>
          <w:szCs w:val="20"/>
          <w:vertAlign w:val="subscript"/>
          <w:lang w:eastAsia="en-US"/>
        </w:rPr>
        <w:t>c</w:t>
      </w:r>
      <w:r w:rsidR="00447CFA" w:rsidRPr="000F060B">
        <w:rPr>
          <w:rFonts w:eastAsia="SimSun"/>
          <w:bCs/>
          <w:color w:val="000000"/>
          <w:sz w:val="20"/>
          <w:szCs w:val="20"/>
          <w:lang w:eastAsia="en-US"/>
        </w:rPr>
        <w:t xml:space="preserve"> is the total </w:t>
      </w:r>
      <w:r w:rsidR="000C0CC8">
        <w:rPr>
          <w:rFonts w:eastAsia="SimSun"/>
          <w:bCs/>
          <w:color w:val="000000"/>
          <w:sz w:val="20"/>
          <w:szCs w:val="20"/>
          <w:lang w:eastAsia="en-US"/>
        </w:rPr>
        <w:t xml:space="preserve">number </w:t>
      </w:r>
      <w:r w:rsidR="00447CFA" w:rsidRPr="000F060B">
        <w:rPr>
          <w:rFonts w:eastAsia="SimSun"/>
          <w:bCs/>
          <w:color w:val="000000"/>
          <w:sz w:val="20"/>
          <w:szCs w:val="20"/>
          <w:lang w:eastAsia="en-US"/>
        </w:rPr>
        <w:t>of cells per module</w:t>
      </w:r>
      <w:r w:rsidR="00447CFA">
        <w:rPr>
          <w:rFonts w:eastAsia="SimSun"/>
          <w:bCs/>
          <w:color w:val="000000"/>
          <w:sz w:val="20"/>
          <w:szCs w:val="20"/>
          <w:lang w:eastAsia="en-US"/>
        </w:rPr>
        <w:t>.</w:t>
      </w:r>
    </w:p>
    <w:p w14:paraId="79A4914B" w14:textId="77777777" w:rsidR="000C0CC8" w:rsidRPr="006E0A9E" w:rsidRDefault="0003181A" w:rsidP="006E0A9E">
      <w:pPr>
        <w:pStyle w:val="SolarPACESHeading1Character"/>
        <w:spacing w:line="240" w:lineRule="auto"/>
        <w:jc w:val="center"/>
        <w:rPr>
          <w:sz w:val="24"/>
          <w:szCs w:val="28"/>
        </w:rPr>
      </w:pPr>
      <w:r w:rsidRPr="006E0A9E">
        <w:rPr>
          <w:sz w:val="24"/>
          <w:szCs w:val="28"/>
        </w:rPr>
        <w:t>NONLINEAR BACKSTEPPING CONTROLLER MPPT</w:t>
      </w:r>
    </w:p>
    <w:p w14:paraId="3966F2EB" w14:textId="77777777" w:rsidR="000C0CC8" w:rsidRPr="00E52D63" w:rsidRDefault="000C0CC8" w:rsidP="00723609">
      <w:pPr>
        <w:ind w:firstLine="284"/>
        <w:jc w:val="both"/>
        <w:rPr>
          <w:rFonts w:eastAsia="Calibri"/>
          <w:color w:val="000000" w:themeColor="text1"/>
          <w:sz w:val="20"/>
          <w:szCs w:val="20"/>
          <w:lang w:eastAsia="en-US"/>
        </w:rPr>
      </w:pPr>
      <w:r w:rsidRPr="00E52D63">
        <w:rPr>
          <w:rFonts w:eastAsia="Calibri"/>
          <w:color w:val="000000" w:themeColor="text1"/>
          <w:sz w:val="20"/>
          <w:szCs w:val="20"/>
          <w:lang w:eastAsia="en-US"/>
        </w:rPr>
        <w:t>The B</w:t>
      </w:r>
      <w:r w:rsidR="00D00952" w:rsidRPr="00E52D63">
        <w:rPr>
          <w:rFonts w:eastAsia="Calibri"/>
          <w:color w:val="000000" w:themeColor="text1"/>
          <w:sz w:val="20"/>
          <w:szCs w:val="20"/>
          <w:lang w:eastAsia="en-US"/>
        </w:rPr>
        <w:t>S</w:t>
      </w:r>
      <w:r w:rsidRPr="00E52D63">
        <w:rPr>
          <w:rFonts w:eastAsia="Calibri"/>
          <w:color w:val="000000" w:themeColor="text1"/>
          <w:sz w:val="20"/>
          <w:szCs w:val="20"/>
          <w:lang w:eastAsia="en-US"/>
        </w:rPr>
        <w:t xml:space="preserve"> is a technique utilized for controlling nonlinear systems by breaking them down into subproblems of lower-order systems. This control method can be applied to the DC-DC converter in a PV system as an MPPT for regulating the duty cycle </w:t>
      </w:r>
      <w:r w:rsidRPr="00E52D63">
        <w:rPr>
          <w:rFonts w:eastAsia="Calibri"/>
          <w:color w:val="000000" w:themeColor="text1"/>
          <w:sz w:val="20"/>
          <w:szCs w:val="20"/>
          <w:lang w:val="fr-CA" w:eastAsia="en-US"/>
        </w:rPr>
        <w:t>α</w:t>
      </w:r>
      <w:r w:rsidRPr="00E52D63">
        <w:rPr>
          <w:rFonts w:eastAsia="Calibri"/>
          <w:color w:val="000000" w:themeColor="text1"/>
          <w:sz w:val="20"/>
          <w:szCs w:val="20"/>
          <w:lang w:eastAsia="en-US"/>
        </w:rPr>
        <w:t xml:space="preserve">. </w:t>
      </w:r>
    </w:p>
    <w:p w14:paraId="3D81E0D6" w14:textId="77777777" w:rsidR="00627AA9" w:rsidRPr="00E52D63" w:rsidRDefault="00627AA9" w:rsidP="00627AA9">
      <w:pPr>
        <w:jc w:val="both"/>
        <w:rPr>
          <w:rFonts w:eastAsia="Calibri"/>
          <w:color w:val="000000" w:themeColor="text1"/>
          <w:sz w:val="20"/>
          <w:szCs w:val="20"/>
          <w:lang w:eastAsia="en-US"/>
        </w:rPr>
      </w:pPr>
      <w:r w:rsidRPr="00E52D63">
        <w:rPr>
          <w:rFonts w:eastAsia="Calibri"/>
          <w:color w:val="000000" w:themeColor="text1"/>
          <w:sz w:val="20"/>
          <w:szCs w:val="20"/>
          <w:lang w:eastAsia="en-US"/>
        </w:rPr>
        <w:t>In this paper, the boost converter plays an essential role in stepping up the output PV voltage (V</w:t>
      </w:r>
      <w:r w:rsidRPr="00E52D63">
        <w:rPr>
          <w:rFonts w:eastAsia="Calibri"/>
          <w:color w:val="000000" w:themeColor="text1"/>
          <w:sz w:val="20"/>
          <w:szCs w:val="20"/>
          <w:vertAlign w:val="subscript"/>
          <w:lang w:eastAsia="en-US"/>
        </w:rPr>
        <w:t>pv</w:t>
      </w:r>
      <w:r w:rsidRPr="00E52D63">
        <w:rPr>
          <w:rFonts w:eastAsia="Calibri"/>
          <w:color w:val="000000" w:themeColor="text1"/>
          <w:sz w:val="20"/>
          <w:szCs w:val="20"/>
          <w:lang w:eastAsia="en-US"/>
        </w:rPr>
        <w:t>) to the desired voltage (V</w:t>
      </w:r>
      <w:r w:rsidRPr="00E52D63">
        <w:rPr>
          <w:rFonts w:eastAsia="Calibri"/>
          <w:color w:val="000000" w:themeColor="text1"/>
          <w:sz w:val="20"/>
          <w:szCs w:val="20"/>
          <w:vertAlign w:val="subscript"/>
          <w:lang w:eastAsia="en-US"/>
        </w:rPr>
        <w:t>dc</w:t>
      </w:r>
      <w:r w:rsidRPr="00E52D63">
        <w:rPr>
          <w:rFonts w:eastAsia="Calibri"/>
          <w:color w:val="000000" w:themeColor="text1"/>
          <w:sz w:val="20"/>
          <w:szCs w:val="20"/>
          <w:lang w:eastAsia="en-US"/>
        </w:rPr>
        <w:t>). This converter is controlled by the proposed BS technique, which enhances the production of an adequate duty cycle to ensure the stability of the PV system with rapid response, without major fluctuations and decreased THD</w:t>
      </w:r>
      <w:r w:rsidRPr="00E52D63">
        <w:rPr>
          <w:color w:val="000000" w:themeColor="text1"/>
          <w:sz w:val="20"/>
          <w:szCs w:val="20"/>
        </w:rPr>
        <w:t>. The first Lyapunov function is employed to guarantee the stability of the system, which is introduced as:</w:t>
      </w:r>
    </w:p>
    <w:p w14:paraId="3A9B45D0" w14:textId="77777777" w:rsidR="00627AA9" w:rsidRPr="00E52D63" w:rsidRDefault="00627AA9" w:rsidP="00627AA9">
      <w:pPr>
        <w:jc w:val="center"/>
        <w:rPr>
          <w:rFonts w:eastAsia="Calibri"/>
          <w:iCs/>
          <w:color w:val="000000" w:themeColor="text1"/>
          <w:sz w:val="20"/>
          <w:u w:color="000000"/>
          <w:bdr w:val="nil"/>
        </w:rPr>
      </w:pPr>
      <w:r w:rsidRPr="00E52D63">
        <w:rPr>
          <w:rFonts w:eastAsia="Calibri"/>
          <w:iCs/>
          <w:color w:val="000000" w:themeColor="text1"/>
          <w:sz w:val="20"/>
          <w:u w:color="000000"/>
          <w:bdr w:val="nil"/>
        </w:rPr>
        <w:tab/>
      </w:r>
      <w:r w:rsidRPr="00E52D63">
        <w:rPr>
          <w:rFonts w:eastAsia="Calibri"/>
          <w:iCs/>
          <w:color w:val="000000" w:themeColor="text1"/>
          <w:sz w:val="20"/>
          <w:u w:color="000000"/>
          <w:bdr w:val="nil"/>
        </w:rPr>
        <w:tab/>
      </w:r>
      <w:r w:rsidRPr="00E52D63">
        <w:rPr>
          <w:rFonts w:eastAsia="Calibri"/>
          <w:iCs/>
          <w:color w:val="000000" w:themeColor="text1"/>
          <w:sz w:val="20"/>
          <w:u w:color="000000"/>
          <w:bdr w:val="nil"/>
        </w:rPr>
        <w:tab/>
      </w:r>
      <w:r w:rsidRPr="00E52D63">
        <w:rPr>
          <w:rFonts w:eastAsia="Calibri"/>
          <w:iCs/>
          <w:color w:val="000000" w:themeColor="text1"/>
          <w:sz w:val="20"/>
          <w:u w:color="000000"/>
          <w:bdr w:val="nil"/>
        </w:rPr>
        <w:tab/>
      </w:r>
      <w:r w:rsidRPr="00E52D63">
        <w:rPr>
          <w:rFonts w:eastAsia="Calibri"/>
          <w:iCs/>
          <w:color w:val="000000" w:themeColor="text1"/>
          <w:sz w:val="20"/>
          <w:u w:color="000000"/>
          <w:bdr w:val="nil"/>
        </w:rPr>
        <w:tab/>
      </w:r>
      <w:r w:rsidRPr="00E52D63">
        <w:rPr>
          <w:rFonts w:eastAsia="Calibri"/>
          <w:iCs/>
          <w:color w:val="000000" w:themeColor="text1"/>
          <w:position w:val="-20"/>
          <w:sz w:val="20"/>
          <w:u w:color="000000"/>
          <w:bdr w:val="nil"/>
        </w:rPr>
        <w:object w:dxaOrig="960" w:dyaOrig="540" w14:anchorId="18263A27">
          <v:shape id="_x0000_i1026" type="#_x0000_t75" style="width:48pt;height:26.4pt" o:ole="">
            <v:imagedata r:id="rId17" o:title=""/>
          </v:shape>
          <o:OLEObject Type="Embed" ProgID="Equation.DSMT4" ShapeID="_x0000_i1026" DrawAspect="Content" ObjectID="_1829984407" r:id="rId18"/>
        </w:object>
      </w:r>
      <w:r w:rsidRPr="00E52D63">
        <w:rPr>
          <w:rFonts w:eastAsia="Calibri"/>
          <w:iCs/>
          <w:color w:val="000000" w:themeColor="text1"/>
          <w:sz w:val="20"/>
          <w:u w:color="000000"/>
          <w:bdr w:val="nil"/>
        </w:rPr>
        <w:tab/>
      </w:r>
      <w:r w:rsidRPr="00E52D63">
        <w:rPr>
          <w:rFonts w:eastAsia="Calibri"/>
          <w:iCs/>
          <w:color w:val="000000" w:themeColor="text1"/>
          <w:sz w:val="20"/>
          <w:u w:color="000000"/>
          <w:bdr w:val="nil"/>
        </w:rPr>
        <w:tab/>
      </w:r>
      <w:r w:rsidRPr="00E52D63">
        <w:rPr>
          <w:rFonts w:eastAsia="Calibri"/>
          <w:iCs/>
          <w:color w:val="000000" w:themeColor="text1"/>
          <w:sz w:val="20"/>
          <w:u w:color="000000"/>
          <w:bdr w:val="nil"/>
        </w:rPr>
        <w:tab/>
      </w:r>
      <w:r w:rsidRPr="00E52D63">
        <w:rPr>
          <w:rFonts w:eastAsia="Calibri"/>
          <w:iCs/>
          <w:color w:val="000000" w:themeColor="text1"/>
          <w:sz w:val="20"/>
          <w:u w:color="000000"/>
          <w:bdr w:val="nil"/>
        </w:rPr>
        <w:tab/>
      </w:r>
      <w:r w:rsidRPr="00E52D63">
        <w:rPr>
          <w:rFonts w:eastAsia="Calibri"/>
          <w:iCs/>
          <w:color w:val="000000" w:themeColor="text1"/>
          <w:sz w:val="20"/>
          <w:u w:color="000000"/>
          <w:bdr w:val="nil"/>
        </w:rPr>
        <w:tab/>
      </w:r>
      <w:r w:rsidRPr="00E52D63">
        <w:rPr>
          <w:rFonts w:eastAsia="Calibri"/>
          <w:iCs/>
          <w:color w:val="000000" w:themeColor="text1"/>
          <w:sz w:val="20"/>
          <w:u w:color="000000"/>
          <w:bdr w:val="nil"/>
        </w:rPr>
        <w:tab/>
        <w:t xml:space="preserve">            (2)</w:t>
      </w:r>
    </w:p>
    <w:p w14:paraId="28C9588D" w14:textId="77777777" w:rsidR="00627AA9" w:rsidRPr="00E52D63" w:rsidRDefault="00627AA9" w:rsidP="00627AA9">
      <w:pPr>
        <w:jc w:val="both"/>
        <w:rPr>
          <w:rFonts w:eastAsia="Calibri"/>
          <w:iCs/>
          <w:color w:val="000000" w:themeColor="text1"/>
          <w:sz w:val="20"/>
          <w:u w:color="000000"/>
          <w:bdr w:val="nil"/>
        </w:rPr>
      </w:pPr>
      <w:r w:rsidRPr="00E52D63">
        <w:rPr>
          <w:rFonts w:eastAsia="Calibri"/>
          <w:iCs/>
          <w:color w:val="000000" w:themeColor="text1"/>
          <w:sz w:val="20"/>
          <w:u w:color="000000"/>
          <w:bdr w:val="nil"/>
        </w:rPr>
        <w:t>The first error is:</w:t>
      </w:r>
    </w:p>
    <w:p w14:paraId="4F56E6B3" w14:textId="77777777" w:rsidR="00627AA9" w:rsidRPr="00B072ED" w:rsidRDefault="00627AA9" w:rsidP="00627AA9">
      <w:pPr>
        <w:jc w:val="both"/>
        <w:rPr>
          <w:sz w:val="20"/>
        </w:rPr>
      </w:pPr>
      <w:r w:rsidRPr="00B072ED">
        <w:rPr>
          <w:rFonts w:eastAsia="Calibri" w:hAnsi="Calibri" w:cs="Calibri"/>
          <w:iCs/>
          <w:color w:val="000000"/>
          <w:sz w:val="20"/>
          <w:u w:color="000000"/>
          <w:bdr w:val="nil"/>
        </w:rPr>
        <w:tab/>
      </w:r>
      <w:r w:rsidRPr="00B072ED">
        <w:rPr>
          <w:rFonts w:eastAsia="Calibri" w:hAnsi="Calibri" w:cs="Calibri"/>
          <w:iCs/>
          <w:color w:val="000000"/>
          <w:sz w:val="20"/>
          <w:u w:color="000000"/>
          <w:bdr w:val="nil"/>
        </w:rPr>
        <w:tab/>
      </w:r>
      <w:r w:rsidRPr="00B072ED">
        <w:rPr>
          <w:rFonts w:eastAsia="Calibri" w:hAnsi="Calibri" w:cs="Calibri"/>
          <w:iCs/>
          <w:color w:val="000000"/>
          <w:sz w:val="20"/>
          <w:u w:color="000000"/>
          <w:bdr w:val="nil"/>
        </w:rPr>
        <w:tab/>
      </w:r>
      <w:r w:rsidRPr="00B072ED">
        <w:rPr>
          <w:rFonts w:eastAsia="Calibri" w:hAnsi="Calibri" w:cs="Calibri"/>
          <w:iCs/>
          <w:color w:val="000000"/>
          <w:sz w:val="20"/>
          <w:u w:color="000000"/>
          <w:bdr w:val="nil"/>
        </w:rPr>
        <w:tab/>
      </w:r>
      <w:r w:rsidRPr="00B072ED">
        <w:rPr>
          <w:rFonts w:eastAsia="Calibri" w:hAnsi="Calibri" w:cs="Calibri"/>
          <w:iCs/>
          <w:color w:val="000000"/>
          <w:sz w:val="20"/>
          <w:u w:color="000000"/>
          <w:bdr w:val="nil"/>
        </w:rPr>
        <w:tab/>
      </w:r>
      <w:r w:rsidRPr="00B072ED">
        <w:rPr>
          <w:rFonts w:eastAsia="Calibri" w:hAnsi="Calibri" w:cs="Calibri"/>
          <w:iCs/>
          <w:color w:val="000000"/>
          <w:position w:val="-12"/>
          <w:sz w:val="20"/>
          <w:u w:color="000000"/>
          <w:bdr w:val="nil"/>
        </w:rPr>
        <w:object w:dxaOrig="1300" w:dyaOrig="340" w14:anchorId="46519B41">
          <v:shape id="_x0000_i1027" type="#_x0000_t75" style="width:65.4pt;height:16.8pt" o:ole="">
            <v:imagedata r:id="rId19" o:title=""/>
          </v:shape>
          <o:OLEObject Type="Embed" ProgID="Equation.DSMT4" ShapeID="_x0000_i1027" DrawAspect="Content" ObjectID="_1829984408" r:id="rId20"/>
        </w:object>
      </w:r>
      <w:r>
        <w:rPr>
          <w:rFonts w:eastAsia="Calibri" w:hAnsi="Calibri" w:cs="Calibri"/>
          <w:iCs/>
          <w:color w:val="000000"/>
          <w:sz w:val="20"/>
          <w:u w:color="000000"/>
          <w:bdr w:val="nil"/>
        </w:rPr>
        <w:tab/>
      </w:r>
      <w:r>
        <w:rPr>
          <w:rFonts w:eastAsia="Calibri" w:hAnsi="Calibri" w:cs="Calibri"/>
          <w:iCs/>
          <w:color w:val="000000"/>
          <w:sz w:val="20"/>
          <w:u w:color="000000"/>
          <w:bdr w:val="nil"/>
        </w:rPr>
        <w:tab/>
      </w:r>
      <w:r>
        <w:rPr>
          <w:rFonts w:eastAsia="Calibri" w:hAnsi="Calibri" w:cs="Calibri"/>
          <w:iCs/>
          <w:color w:val="000000"/>
          <w:sz w:val="20"/>
          <w:u w:color="000000"/>
          <w:bdr w:val="nil"/>
        </w:rPr>
        <w:tab/>
      </w:r>
      <w:r>
        <w:rPr>
          <w:rFonts w:eastAsia="Calibri" w:hAnsi="Calibri" w:cs="Calibri"/>
          <w:iCs/>
          <w:color w:val="000000"/>
          <w:sz w:val="20"/>
          <w:u w:color="000000"/>
          <w:bdr w:val="nil"/>
        </w:rPr>
        <w:tab/>
      </w:r>
      <w:r>
        <w:rPr>
          <w:rFonts w:eastAsia="Calibri" w:hAnsi="Calibri" w:cs="Calibri"/>
          <w:iCs/>
          <w:color w:val="000000"/>
          <w:sz w:val="20"/>
          <w:u w:color="000000"/>
          <w:bdr w:val="nil"/>
        </w:rPr>
        <w:tab/>
      </w:r>
      <w:r>
        <w:rPr>
          <w:rFonts w:eastAsia="Calibri" w:hAnsi="Calibri" w:cs="Calibri"/>
          <w:iCs/>
          <w:color w:val="000000"/>
          <w:sz w:val="20"/>
          <w:u w:color="000000"/>
          <w:bdr w:val="nil"/>
        </w:rPr>
        <w:tab/>
        <w:t xml:space="preserve">            </w:t>
      </w:r>
      <w:r w:rsidRPr="00B072ED">
        <w:rPr>
          <w:sz w:val="20"/>
        </w:rPr>
        <w:t>(3)</w:t>
      </w:r>
    </w:p>
    <w:p w14:paraId="67F99967" w14:textId="77777777" w:rsidR="00627AA9" w:rsidRPr="00B072ED" w:rsidRDefault="00627AA9" w:rsidP="00627AA9">
      <w:pPr>
        <w:pBdr>
          <w:top w:val="nil"/>
          <w:left w:val="nil"/>
          <w:bottom w:val="nil"/>
          <w:right w:val="nil"/>
          <w:between w:val="nil"/>
          <w:bar w:val="nil"/>
        </w:pBdr>
        <w:spacing w:after="200"/>
        <w:jc w:val="both"/>
        <w:rPr>
          <w:iCs/>
          <w:sz w:val="20"/>
        </w:rPr>
      </w:pPr>
      <w:r w:rsidRPr="00B072ED">
        <w:rPr>
          <w:iCs/>
          <w:sz w:val="20"/>
        </w:rPr>
        <w:t xml:space="preserve">The derivative of </w:t>
      </w:r>
      <w:r>
        <w:rPr>
          <w:iCs/>
          <w:sz w:val="20"/>
        </w:rPr>
        <w:t xml:space="preserve">equation </w:t>
      </w:r>
      <w:r w:rsidRPr="00B072ED">
        <w:rPr>
          <w:iCs/>
          <w:sz w:val="20"/>
        </w:rPr>
        <w:t>(2) is given as:</w:t>
      </w:r>
    </w:p>
    <w:p w14:paraId="6D7F04D8" w14:textId="77777777" w:rsidR="00627AA9" w:rsidRPr="00B072ED" w:rsidRDefault="00627AA9" w:rsidP="00627AA9">
      <w:pPr>
        <w:pBdr>
          <w:top w:val="nil"/>
          <w:left w:val="nil"/>
          <w:bottom w:val="nil"/>
          <w:right w:val="nil"/>
          <w:between w:val="nil"/>
          <w:bar w:val="nil"/>
        </w:pBdr>
        <w:spacing w:after="200"/>
        <w:rPr>
          <w:iCs/>
          <w:sz w:val="20"/>
        </w:rPr>
      </w:pPr>
      <w:r w:rsidRPr="00B072ED">
        <w:rPr>
          <w:rFonts w:eastAsia="Calibri" w:hAnsi="Calibri" w:cs="Calibri"/>
          <w:iCs/>
          <w:color w:val="000000"/>
          <w:sz w:val="20"/>
          <w:u w:color="000000"/>
          <w:bdr w:val="nil"/>
        </w:rPr>
        <w:tab/>
      </w:r>
      <w:r w:rsidRPr="00B072ED">
        <w:rPr>
          <w:rFonts w:eastAsia="Calibri" w:hAnsi="Calibri" w:cs="Calibri"/>
          <w:iCs/>
          <w:color w:val="000000"/>
          <w:sz w:val="20"/>
          <w:u w:color="000000"/>
          <w:bdr w:val="nil"/>
        </w:rPr>
        <w:tab/>
      </w:r>
      <w:r w:rsidRPr="00B072ED">
        <w:rPr>
          <w:rFonts w:eastAsia="Calibri" w:hAnsi="Calibri" w:cs="Calibri"/>
          <w:iCs/>
          <w:color w:val="000000"/>
          <w:sz w:val="20"/>
          <w:u w:color="000000"/>
          <w:bdr w:val="nil"/>
        </w:rPr>
        <w:tab/>
      </w:r>
      <w:r w:rsidRPr="00B072ED">
        <w:rPr>
          <w:rFonts w:eastAsia="Calibri" w:hAnsi="Calibri" w:cs="Calibri"/>
          <w:iCs/>
          <w:color w:val="000000"/>
          <w:sz w:val="20"/>
          <w:u w:color="000000"/>
          <w:bdr w:val="nil"/>
        </w:rPr>
        <w:tab/>
      </w:r>
      <w:r w:rsidRPr="00B072ED">
        <w:rPr>
          <w:rFonts w:eastAsia="Calibri" w:hAnsi="Calibri" w:cs="Calibri"/>
          <w:iCs/>
          <w:color w:val="000000"/>
          <w:sz w:val="20"/>
          <w:u w:color="000000"/>
          <w:bdr w:val="nil"/>
        </w:rPr>
        <w:tab/>
      </w:r>
      <w:r w:rsidRPr="00B072ED">
        <w:rPr>
          <w:rFonts w:eastAsia="Calibri" w:hAnsi="Calibri" w:cs="Calibri"/>
          <w:iCs/>
          <w:color w:val="000000"/>
          <w:position w:val="-28"/>
          <w:sz w:val="20"/>
          <w:u w:color="000000"/>
          <w:bdr w:val="nil"/>
        </w:rPr>
        <w:object w:dxaOrig="3200" w:dyaOrig="660" w14:anchorId="62E91920">
          <v:shape id="_x0000_i1028" type="#_x0000_t75" style="width:161.4pt;height:33pt" o:ole="">
            <v:imagedata r:id="rId21" o:title=""/>
          </v:shape>
          <o:OLEObject Type="Embed" ProgID="Equation.DSMT4" ShapeID="_x0000_i1028" DrawAspect="Content" ObjectID="_1829984409" r:id="rId22"/>
        </w:object>
      </w:r>
      <w:r w:rsidRPr="00B072ED">
        <w:rPr>
          <w:rFonts w:eastAsia="Calibri" w:hAnsi="Calibri" w:cs="Calibri"/>
          <w:iCs/>
          <w:color w:val="000000"/>
          <w:sz w:val="20"/>
          <w:u w:color="000000"/>
          <w:bdr w:val="nil"/>
        </w:rPr>
        <w:tab/>
      </w:r>
      <w:r w:rsidRPr="00B072ED">
        <w:rPr>
          <w:rFonts w:eastAsia="Calibri" w:hAnsi="Calibri" w:cs="Calibri"/>
          <w:iCs/>
          <w:color w:val="000000"/>
          <w:sz w:val="20"/>
          <w:u w:color="000000"/>
          <w:bdr w:val="nil"/>
        </w:rPr>
        <w:tab/>
      </w:r>
      <w:r w:rsidRPr="00B072ED">
        <w:rPr>
          <w:rFonts w:eastAsia="Calibri" w:hAnsi="Calibri" w:cs="Calibri"/>
          <w:iCs/>
          <w:color w:val="000000"/>
          <w:sz w:val="20"/>
          <w:u w:color="000000"/>
          <w:bdr w:val="nil"/>
        </w:rPr>
        <w:tab/>
        <w:t xml:space="preserve">    </w:t>
      </w:r>
      <w:r>
        <w:rPr>
          <w:rFonts w:eastAsia="Calibri" w:hAnsi="Calibri" w:cs="Calibri"/>
          <w:iCs/>
          <w:color w:val="000000"/>
          <w:sz w:val="20"/>
          <w:u w:color="000000"/>
          <w:bdr w:val="nil"/>
        </w:rPr>
        <w:t xml:space="preserve">   </w:t>
      </w:r>
      <w:r w:rsidRPr="00B072ED">
        <w:rPr>
          <w:rFonts w:eastAsia="Calibri" w:hAnsi="Calibri" w:cs="Calibri"/>
          <w:iCs/>
          <w:color w:val="000000"/>
          <w:sz w:val="20"/>
          <w:u w:color="000000"/>
          <w:bdr w:val="nil"/>
        </w:rPr>
        <w:t xml:space="preserve">     (4)</w:t>
      </w:r>
    </w:p>
    <w:p w14:paraId="7B53414A" w14:textId="77777777" w:rsidR="00627AA9" w:rsidRPr="00E52D63" w:rsidRDefault="00627AA9" w:rsidP="00627AA9">
      <w:pPr>
        <w:pBdr>
          <w:top w:val="nil"/>
          <w:left w:val="nil"/>
          <w:bottom w:val="nil"/>
          <w:right w:val="nil"/>
          <w:between w:val="nil"/>
          <w:bar w:val="nil"/>
        </w:pBdr>
        <w:spacing w:after="200"/>
        <w:jc w:val="both"/>
        <w:rPr>
          <w:iCs/>
          <w:color w:val="000000" w:themeColor="text1"/>
          <w:sz w:val="20"/>
        </w:rPr>
      </w:pPr>
      <w:r w:rsidRPr="00E52D63">
        <w:rPr>
          <w:iCs/>
          <w:color w:val="000000" w:themeColor="text1"/>
          <w:sz w:val="20"/>
        </w:rPr>
        <w:lastRenderedPageBreak/>
        <w:t>For ensuring the system stability, the Lyapunov function defined in Eq. (2) must be positive, while its derivative must be negative, with:</w:t>
      </w:r>
    </w:p>
    <w:p w14:paraId="43FCAC4B" w14:textId="77777777" w:rsidR="00627AA9" w:rsidRPr="00E52D63" w:rsidRDefault="00627AA9" w:rsidP="00627AA9">
      <w:pPr>
        <w:pBdr>
          <w:top w:val="nil"/>
          <w:left w:val="nil"/>
          <w:bottom w:val="nil"/>
          <w:right w:val="nil"/>
          <w:between w:val="nil"/>
          <w:bar w:val="nil"/>
        </w:pBdr>
        <w:spacing w:after="200"/>
        <w:jc w:val="both"/>
        <w:rPr>
          <w:iCs/>
          <w:color w:val="000000" w:themeColor="text1"/>
          <w:sz w:val="20"/>
          <w:szCs w:val="20"/>
        </w:rPr>
      </w:pPr>
      <w:r w:rsidRPr="00E52D63">
        <w:rPr>
          <w:rFonts w:eastAsia="Calibri"/>
          <w:iCs/>
          <w:color w:val="000000" w:themeColor="text1"/>
          <w:sz w:val="20"/>
          <w:szCs w:val="20"/>
          <w:u w:color="000000"/>
          <w:bdr w:val="nil"/>
        </w:rPr>
        <w:tab/>
      </w:r>
      <w:r w:rsidRPr="00E52D63">
        <w:rPr>
          <w:rFonts w:eastAsia="Calibri"/>
          <w:iCs/>
          <w:color w:val="000000" w:themeColor="text1"/>
          <w:sz w:val="20"/>
          <w:szCs w:val="20"/>
          <w:u w:color="000000"/>
          <w:bdr w:val="nil"/>
        </w:rPr>
        <w:tab/>
      </w:r>
      <w:r w:rsidRPr="00E52D63">
        <w:rPr>
          <w:rFonts w:eastAsia="Calibri"/>
          <w:iCs/>
          <w:color w:val="000000" w:themeColor="text1"/>
          <w:sz w:val="20"/>
          <w:szCs w:val="20"/>
          <w:u w:color="000000"/>
          <w:bdr w:val="nil"/>
        </w:rPr>
        <w:tab/>
      </w:r>
      <w:r w:rsidRPr="00E52D63">
        <w:rPr>
          <w:rFonts w:eastAsia="Calibri"/>
          <w:iCs/>
          <w:color w:val="000000" w:themeColor="text1"/>
          <w:sz w:val="20"/>
          <w:szCs w:val="20"/>
          <w:u w:color="000000"/>
          <w:bdr w:val="nil"/>
        </w:rPr>
        <w:tab/>
      </w:r>
      <w:r w:rsidRPr="00E52D63">
        <w:rPr>
          <w:rFonts w:eastAsia="Calibri"/>
          <w:iCs/>
          <w:color w:val="000000" w:themeColor="text1"/>
          <w:sz w:val="20"/>
          <w:szCs w:val="20"/>
          <w:u w:color="000000"/>
          <w:bdr w:val="nil"/>
        </w:rPr>
        <w:tab/>
      </w:r>
      <w:r w:rsidRPr="00E52D63">
        <w:rPr>
          <w:rFonts w:eastAsia="Calibri"/>
          <w:iCs/>
          <w:color w:val="000000" w:themeColor="text1"/>
          <w:position w:val="-26"/>
          <w:sz w:val="20"/>
          <w:szCs w:val="20"/>
          <w:u w:color="000000"/>
          <w:bdr w:val="nil"/>
        </w:rPr>
        <w:object w:dxaOrig="2340" w:dyaOrig="600" w14:anchorId="7C987E78">
          <v:shape id="_x0000_i1029" type="#_x0000_t75" style="width:117pt;height:30.6pt" o:ole="">
            <v:imagedata r:id="rId23" o:title=""/>
          </v:shape>
          <o:OLEObject Type="Embed" ProgID="Equation.DSMT4" ShapeID="_x0000_i1029" DrawAspect="Content" ObjectID="_1829984410" r:id="rId24"/>
        </w:object>
      </w:r>
      <w:r w:rsidRPr="00E52D63">
        <w:rPr>
          <w:rFonts w:eastAsia="Calibri"/>
          <w:iCs/>
          <w:color w:val="000000" w:themeColor="text1"/>
          <w:sz w:val="20"/>
          <w:szCs w:val="20"/>
          <w:u w:color="000000"/>
          <w:bdr w:val="nil"/>
        </w:rPr>
        <w:tab/>
      </w:r>
      <w:r w:rsidRPr="00E52D63">
        <w:rPr>
          <w:rFonts w:eastAsia="Calibri"/>
          <w:iCs/>
          <w:color w:val="000000" w:themeColor="text1"/>
          <w:sz w:val="20"/>
          <w:szCs w:val="20"/>
          <w:u w:color="000000"/>
          <w:bdr w:val="nil"/>
        </w:rPr>
        <w:tab/>
      </w:r>
      <w:r w:rsidRPr="00E52D63">
        <w:rPr>
          <w:rFonts w:eastAsia="Calibri"/>
          <w:iCs/>
          <w:color w:val="000000" w:themeColor="text1"/>
          <w:sz w:val="20"/>
          <w:szCs w:val="20"/>
          <w:u w:color="000000"/>
          <w:bdr w:val="nil"/>
        </w:rPr>
        <w:tab/>
      </w:r>
      <w:r w:rsidRPr="00E52D63">
        <w:rPr>
          <w:rFonts w:eastAsia="Calibri"/>
          <w:iCs/>
          <w:color w:val="000000" w:themeColor="text1"/>
          <w:sz w:val="20"/>
          <w:szCs w:val="20"/>
          <w:u w:color="000000"/>
          <w:bdr w:val="nil"/>
        </w:rPr>
        <w:tab/>
        <w:t xml:space="preserve">            (5)</w:t>
      </w:r>
    </w:p>
    <w:p w14:paraId="76F43D82" w14:textId="77777777" w:rsidR="00627AA9" w:rsidRPr="00E52D63" w:rsidRDefault="00627AA9" w:rsidP="00627AA9">
      <w:pPr>
        <w:pBdr>
          <w:top w:val="nil"/>
          <w:left w:val="nil"/>
          <w:bottom w:val="nil"/>
          <w:right w:val="nil"/>
          <w:between w:val="nil"/>
          <w:bar w:val="nil"/>
        </w:pBdr>
        <w:spacing w:after="200"/>
        <w:jc w:val="both"/>
        <w:rPr>
          <w:iCs/>
          <w:color w:val="000000" w:themeColor="text1"/>
          <w:sz w:val="20"/>
          <w:szCs w:val="20"/>
        </w:rPr>
      </w:pPr>
      <w:r w:rsidRPr="00E52D63">
        <w:rPr>
          <w:iCs/>
          <w:color w:val="000000" w:themeColor="text1"/>
          <w:sz w:val="20"/>
          <w:szCs w:val="20"/>
        </w:rPr>
        <w:t>Where x2 is the current of the boost converter, which is presented as:</w:t>
      </w:r>
    </w:p>
    <w:p w14:paraId="12E8A7F4" w14:textId="77777777" w:rsidR="00627AA9" w:rsidRPr="00E52D63" w:rsidRDefault="00627AA9" w:rsidP="00627AA9">
      <w:pPr>
        <w:pBdr>
          <w:top w:val="nil"/>
          <w:left w:val="nil"/>
          <w:bottom w:val="nil"/>
          <w:right w:val="nil"/>
          <w:between w:val="nil"/>
          <w:bar w:val="nil"/>
        </w:pBdr>
        <w:spacing w:after="200"/>
        <w:jc w:val="both"/>
        <w:rPr>
          <w:iCs/>
          <w:color w:val="000000" w:themeColor="text1"/>
          <w:sz w:val="20"/>
          <w:szCs w:val="20"/>
        </w:rPr>
      </w:pPr>
      <w:r w:rsidRPr="00E52D63">
        <w:rPr>
          <w:rFonts w:eastAsia="Calibri" w:hAnsi="Calibri" w:cs="Calibri"/>
          <w:iCs/>
          <w:color w:val="000000" w:themeColor="text1"/>
          <w:sz w:val="20"/>
          <w:szCs w:val="20"/>
          <w:u w:color="000000"/>
          <w:bdr w:val="nil"/>
        </w:rPr>
        <w:tab/>
      </w:r>
      <w:r w:rsidRPr="00E52D63">
        <w:rPr>
          <w:rFonts w:eastAsia="Calibri" w:hAnsi="Calibri" w:cs="Calibri"/>
          <w:iCs/>
          <w:color w:val="000000" w:themeColor="text1"/>
          <w:sz w:val="20"/>
          <w:szCs w:val="20"/>
          <w:u w:color="000000"/>
          <w:bdr w:val="nil"/>
        </w:rPr>
        <w:tab/>
      </w:r>
      <w:r w:rsidRPr="00E52D63">
        <w:rPr>
          <w:rFonts w:eastAsia="Calibri" w:hAnsi="Calibri" w:cs="Calibri"/>
          <w:iCs/>
          <w:color w:val="000000" w:themeColor="text1"/>
          <w:sz w:val="20"/>
          <w:szCs w:val="20"/>
          <w:u w:color="000000"/>
          <w:bdr w:val="nil"/>
        </w:rPr>
        <w:tab/>
      </w:r>
      <w:r w:rsidRPr="00E52D63">
        <w:rPr>
          <w:rFonts w:eastAsia="Calibri" w:hAnsi="Calibri" w:cs="Calibri"/>
          <w:iCs/>
          <w:color w:val="000000" w:themeColor="text1"/>
          <w:sz w:val="20"/>
          <w:szCs w:val="20"/>
          <w:u w:color="000000"/>
          <w:bdr w:val="nil"/>
        </w:rPr>
        <w:tab/>
      </w:r>
      <w:r w:rsidRPr="00E52D63">
        <w:rPr>
          <w:rFonts w:eastAsia="Calibri" w:hAnsi="Calibri" w:cs="Calibri"/>
          <w:iCs/>
          <w:color w:val="000000" w:themeColor="text1"/>
          <w:sz w:val="20"/>
          <w:szCs w:val="20"/>
          <w:u w:color="000000"/>
          <w:bdr w:val="nil"/>
        </w:rPr>
        <w:tab/>
      </w:r>
      <w:r w:rsidRPr="00E52D63">
        <w:rPr>
          <w:rFonts w:eastAsia="Calibri" w:hAnsi="Calibri" w:cs="Calibri"/>
          <w:iCs/>
          <w:color w:val="000000" w:themeColor="text1"/>
          <w:position w:val="-24"/>
          <w:sz w:val="20"/>
          <w:szCs w:val="20"/>
          <w:u w:color="000000"/>
          <w:bdr w:val="nil"/>
        </w:rPr>
        <w:object w:dxaOrig="2299" w:dyaOrig="580" w14:anchorId="333AEA98">
          <v:shape id="_x0000_i1030" type="#_x0000_t75" style="width:114.6pt;height:28.2pt" o:ole="">
            <v:imagedata r:id="rId25" o:title=""/>
          </v:shape>
          <o:OLEObject Type="Embed" ProgID="Equation.DSMT4" ShapeID="_x0000_i1030" DrawAspect="Content" ObjectID="_1829984411" r:id="rId26"/>
        </w:object>
      </w:r>
      <w:r w:rsidRPr="00E52D63">
        <w:rPr>
          <w:iCs/>
          <w:color w:val="000000" w:themeColor="text1"/>
          <w:sz w:val="20"/>
          <w:szCs w:val="20"/>
        </w:rPr>
        <w:tab/>
      </w:r>
      <w:r w:rsidRPr="00E52D63">
        <w:rPr>
          <w:iCs/>
          <w:color w:val="000000" w:themeColor="text1"/>
          <w:sz w:val="20"/>
          <w:szCs w:val="20"/>
        </w:rPr>
        <w:tab/>
      </w:r>
      <w:r w:rsidRPr="00E52D63">
        <w:rPr>
          <w:iCs/>
          <w:color w:val="000000" w:themeColor="text1"/>
          <w:sz w:val="20"/>
          <w:szCs w:val="20"/>
        </w:rPr>
        <w:tab/>
      </w:r>
      <w:r w:rsidRPr="00E52D63">
        <w:rPr>
          <w:iCs/>
          <w:color w:val="000000" w:themeColor="text1"/>
          <w:sz w:val="20"/>
          <w:szCs w:val="20"/>
        </w:rPr>
        <w:tab/>
        <w:t xml:space="preserve">            (6)</w:t>
      </w:r>
    </w:p>
    <w:p w14:paraId="0B07B4DF" w14:textId="77777777" w:rsidR="00627AA9" w:rsidRPr="00E52D63" w:rsidRDefault="00627AA9" w:rsidP="00627AA9">
      <w:pPr>
        <w:pBdr>
          <w:top w:val="nil"/>
          <w:left w:val="nil"/>
          <w:bottom w:val="nil"/>
          <w:right w:val="nil"/>
          <w:between w:val="nil"/>
          <w:bar w:val="nil"/>
        </w:pBdr>
        <w:spacing w:after="200"/>
        <w:jc w:val="both"/>
        <w:rPr>
          <w:iCs/>
          <w:color w:val="000000" w:themeColor="text1"/>
          <w:sz w:val="20"/>
          <w:szCs w:val="20"/>
        </w:rPr>
      </w:pPr>
      <w:r w:rsidRPr="00E52D63">
        <w:rPr>
          <w:iCs/>
          <w:color w:val="000000" w:themeColor="text1"/>
          <w:sz w:val="20"/>
          <w:szCs w:val="20"/>
        </w:rPr>
        <w:t>The stabilization function is introduced as:</w:t>
      </w:r>
    </w:p>
    <w:p w14:paraId="41B2887B" w14:textId="77777777" w:rsidR="00627AA9" w:rsidRPr="00E52D63" w:rsidRDefault="00627AA9" w:rsidP="00627AA9">
      <w:pPr>
        <w:pBdr>
          <w:top w:val="nil"/>
          <w:left w:val="nil"/>
          <w:bottom w:val="nil"/>
          <w:right w:val="nil"/>
          <w:between w:val="nil"/>
          <w:bar w:val="nil"/>
        </w:pBdr>
        <w:spacing w:after="200"/>
        <w:rPr>
          <w:iCs/>
          <w:color w:val="000000" w:themeColor="text1"/>
          <w:sz w:val="20"/>
          <w:szCs w:val="20"/>
        </w:rPr>
      </w:pPr>
      <w:r w:rsidRPr="00E52D63">
        <w:rPr>
          <w:rFonts w:eastAsia="Calibri" w:hAnsi="Calibri" w:cs="Calibri"/>
          <w:color w:val="000000" w:themeColor="text1"/>
          <w:sz w:val="20"/>
          <w:szCs w:val="20"/>
          <w:u w:color="000000"/>
          <w:bdr w:val="nil"/>
        </w:rPr>
        <w:tab/>
      </w:r>
      <w:r w:rsidRPr="00E52D63">
        <w:rPr>
          <w:rFonts w:eastAsia="Calibri" w:hAnsi="Calibri" w:cs="Calibri"/>
          <w:color w:val="000000" w:themeColor="text1"/>
          <w:sz w:val="20"/>
          <w:szCs w:val="20"/>
          <w:u w:color="000000"/>
          <w:bdr w:val="nil"/>
        </w:rPr>
        <w:tab/>
      </w:r>
      <w:r w:rsidRPr="00E52D63">
        <w:rPr>
          <w:rFonts w:eastAsia="Calibri" w:hAnsi="Calibri" w:cs="Calibri"/>
          <w:color w:val="000000" w:themeColor="text1"/>
          <w:sz w:val="20"/>
          <w:szCs w:val="20"/>
          <w:u w:color="000000"/>
          <w:bdr w:val="nil"/>
        </w:rPr>
        <w:tab/>
      </w:r>
      <w:r w:rsidRPr="00E52D63">
        <w:rPr>
          <w:rFonts w:eastAsia="Calibri" w:hAnsi="Calibri" w:cs="Calibri"/>
          <w:color w:val="000000" w:themeColor="text1"/>
          <w:sz w:val="20"/>
          <w:szCs w:val="20"/>
          <w:u w:color="000000"/>
          <w:bdr w:val="nil"/>
        </w:rPr>
        <w:tab/>
      </w:r>
      <w:r w:rsidRPr="00E52D63">
        <w:rPr>
          <w:rFonts w:eastAsia="Calibri" w:hAnsi="Calibri" w:cs="Calibri"/>
          <w:color w:val="000000" w:themeColor="text1"/>
          <w:sz w:val="20"/>
          <w:szCs w:val="20"/>
          <w:u w:color="000000"/>
          <w:bdr w:val="nil"/>
        </w:rPr>
        <w:tab/>
      </w:r>
      <w:r w:rsidRPr="00E52D63">
        <w:rPr>
          <w:rFonts w:eastAsia="Calibri" w:hAnsi="Calibri" w:cs="Calibri"/>
          <w:color w:val="000000" w:themeColor="text1"/>
          <w:position w:val="-24"/>
          <w:sz w:val="20"/>
          <w:szCs w:val="20"/>
          <w:u w:color="000000"/>
          <w:bdr w:val="nil"/>
        </w:rPr>
        <w:object w:dxaOrig="2360" w:dyaOrig="580" w14:anchorId="43A6C101">
          <v:shape id="_x0000_i1031" type="#_x0000_t75" style="width:118.8pt;height:28.2pt" o:ole="">
            <v:imagedata r:id="rId27" o:title=""/>
          </v:shape>
          <o:OLEObject Type="Embed" ProgID="Equation.DSMT4" ShapeID="_x0000_i1031" DrawAspect="Content" ObjectID="_1829984412" r:id="rId28"/>
        </w:object>
      </w:r>
      <w:r w:rsidRPr="00E52D63">
        <w:rPr>
          <w:color w:val="000000" w:themeColor="text1"/>
          <w:sz w:val="20"/>
          <w:szCs w:val="20"/>
        </w:rPr>
        <w:tab/>
      </w:r>
      <w:r w:rsidRPr="00E52D63">
        <w:rPr>
          <w:color w:val="000000" w:themeColor="text1"/>
          <w:sz w:val="20"/>
          <w:szCs w:val="20"/>
        </w:rPr>
        <w:tab/>
      </w:r>
      <w:r w:rsidRPr="00E52D63">
        <w:rPr>
          <w:color w:val="000000" w:themeColor="text1"/>
          <w:sz w:val="20"/>
          <w:szCs w:val="20"/>
        </w:rPr>
        <w:tab/>
      </w:r>
      <w:r w:rsidRPr="00E52D63">
        <w:rPr>
          <w:color w:val="000000" w:themeColor="text1"/>
          <w:sz w:val="20"/>
          <w:szCs w:val="20"/>
        </w:rPr>
        <w:tab/>
        <w:t xml:space="preserve">            (7)</w:t>
      </w:r>
    </w:p>
    <w:p w14:paraId="162CA615" w14:textId="77777777" w:rsidR="00627AA9" w:rsidRPr="00E52D63" w:rsidRDefault="00627AA9" w:rsidP="00627AA9">
      <w:pPr>
        <w:pBdr>
          <w:top w:val="nil"/>
          <w:left w:val="nil"/>
          <w:bottom w:val="nil"/>
          <w:right w:val="nil"/>
          <w:between w:val="nil"/>
          <w:bar w:val="nil"/>
        </w:pBdr>
        <w:spacing w:after="200"/>
        <w:jc w:val="both"/>
        <w:rPr>
          <w:iCs/>
          <w:color w:val="000000" w:themeColor="text1"/>
          <w:sz w:val="20"/>
          <w:szCs w:val="20"/>
        </w:rPr>
      </w:pPr>
      <w:r w:rsidRPr="00E52D63">
        <w:rPr>
          <w:iCs/>
          <w:color w:val="000000" w:themeColor="text1"/>
          <w:sz w:val="20"/>
          <w:szCs w:val="20"/>
        </w:rPr>
        <w:t>Which i</w:t>
      </w:r>
      <w:r w:rsidRPr="00E52D63">
        <w:rPr>
          <w:iCs/>
          <w:color w:val="000000" w:themeColor="text1"/>
          <w:sz w:val="20"/>
          <w:szCs w:val="20"/>
          <w:vertAlign w:val="subscript"/>
        </w:rPr>
        <w:t>ref</w:t>
      </w:r>
      <w:r w:rsidRPr="00E52D63">
        <w:rPr>
          <w:iCs/>
          <w:color w:val="000000" w:themeColor="text1"/>
          <w:sz w:val="20"/>
          <w:szCs w:val="20"/>
        </w:rPr>
        <w:t xml:space="preserve"> acts as the reference current of x</w:t>
      </w:r>
      <w:r w:rsidRPr="00E52D63">
        <w:rPr>
          <w:iCs/>
          <w:color w:val="000000" w:themeColor="text1"/>
          <w:sz w:val="20"/>
          <w:szCs w:val="20"/>
          <w:vertAlign w:val="subscript"/>
        </w:rPr>
        <w:t>2</w:t>
      </w:r>
      <w:r w:rsidRPr="00E52D63">
        <w:rPr>
          <w:iCs/>
          <w:color w:val="000000" w:themeColor="text1"/>
          <w:sz w:val="20"/>
          <w:szCs w:val="20"/>
        </w:rPr>
        <w:t xml:space="preserve">. </w:t>
      </w:r>
      <w:r w:rsidRPr="00E52D63">
        <w:rPr>
          <w:iCs/>
          <w:color w:val="000000" w:themeColor="text1"/>
          <w:sz w:val="20"/>
        </w:rPr>
        <w:t>To satisfy the stability condition, the current x</w:t>
      </w:r>
      <w:r w:rsidRPr="00E52D63">
        <w:rPr>
          <w:iCs/>
          <w:color w:val="000000" w:themeColor="text1"/>
          <w:sz w:val="20"/>
          <w:vertAlign w:val="subscript"/>
        </w:rPr>
        <w:t>2</w:t>
      </w:r>
      <w:r w:rsidRPr="00E52D63">
        <w:rPr>
          <w:iCs/>
          <w:color w:val="000000" w:themeColor="text1"/>
          <w:sz w:val="20"/>
        </w:rPr>
        <w:t xml:space="preserve"> must tracks its reference i</w:t>
      </w:r>
      <w:r w:rsidRPr="00E52D63">
        <w:rPr>
          <w:iCs/>
          <w:color w:val="000000" w:themeColor="text1"/>
          <w:sz w:val="20"/>
          <w:vertAlign w:val="subscript"/>
        </w:rPr>
        <w:t>ref</w:t>
      </w:r>
      <w:r w:rsidRPr="00E52D63">
        <w:rPr>
          <w:iCs/>
          <w:color w:val="000000" w:themeColor="text1"/>
          <w:sz w:val="20"/>
        </w:rPr>
        <w:t xml:space="preserve">. </w:t>
      </w:r>
    </w:p>
    <w:p w14:paraId="49EC374A" w14:textId="77777777" w:rsidR="00627AA9" w:rsidRPr="00E52D63" w:rsidRDefault="00627AA9" w:rsidP="00627AA9">
      <w:pPr>
        <w:pBdr>
          <w:top w:val="nil"/>
          <w:left w:val="nil"/>
          <w:bottom w:val="nil"/>
          <w:right w:val="nil"/>
          <w:between w:val="nil"/>
          <w:bar w:val="nil"/>
        </w:pBdr>
        <w:spacing w:after="200"/>
        <w:jc w:val="both"/>
        <w:rPr>
          <w:iCs/>
          <w:color w:val="000000" w:themeColor="text1"/>
          <w:sz w:val="20"/>
          <w:szCs w:val="20"/>
        </w:rPr>
      </w:pPr>
      <w:r w:rsidRPr="00E52D63">
        <w:rPr>
          <w:iCs/>
          <w:color w:val="000000" w:themeColor="text1"/>
          <w:sz w:val="20"/>
          <w:szCs w:val="20"/>
        </w:rPr>
        <w:t>The second error is introduced as:</w:t>
      </w:r>
    </w:p>
    <w:p w14:paraId="0611EC8D" w14:textId="77777777" w:rsidR="00627AA9" w:rsidRPr="00B072ED" w:rsidRDefault="00627AA9" w:rsidP="00627AA9">
      <w:pPr>
        <w:pBdr>
          <w:top w:val="nil"/>
          <w:left w:val="nil"/>
          <w:bottom w:val="nil"/>
          <w:right w:val="nil"/>
          <w:between w:val="nil"/>
          <w:bar w:val="nil"/>
        </w:pBdr>
        <w:spacing w:after="200"/>
        <w:jc w:val="both"/>
        <w:rPr>
          <w:iCs/>
          <w:sz w:val="20"/>
          <w:szCs w:val="20"/>
        </w:rPr>
      </w:pPr>
      <w:r w:rsidRPr="00B072ED">
        <w:rPr>
          <w:rFonts w:eastAsia="Calibri" w:hAnsi="Calibri" w:cs="Calibri"/>
          <w:iCs/>
          <w:color w:val="000000"/>
          <w:sz w:val="20"/>
          <w:szCs w:val="20"/>
          <w:u w:color="000000"/>
          <w:bdr w:val="nil"/>
        </w:rPr>
        <w:tab/>
      </w:r>
      <w:r w:rsidRPr="00B072ED">
        <w:rPr>
          <w:rFonts w:eastAsia="Calibri" w:hAnsi="Calibri" w:cs="Calibri"/>
          <w:iCs/>
          <w:color w:val="000000"/>
          <w:sz w:val="20"/>
          <w:szCs w:val="20"/>
          <w:u w:color="000000"/>
          <w:bdr w:val="nil"/>
        </w:rPr>
        <w:tab/>
      </w:r>
      <w:r w:rsidRPr="00B072ED">
        <w:rPr>
          <w:rFonts w:eastAsia="Calibri" w:hAnsi="Calibri" w:cs="Calibri"/>
          <w:iCs/>
          <w:color w:val="000000"/>
          <w:sz w:val="20"/>
          <w:szCs w:val="20"/>
          <w:u w:color="000000"/>
          <w:bdr w:val="nil"/>
        </w:rPr>
        <w:tab/>
      </w:r>
      <w:r w:rsidRPr="00B072ED">
        <w:rPr>
          <w:rFonts w:eastAsia="Calibri" w:hAnsi="Calibri" w:cs="Calibri"/>
          <w:iCs/>
          <w:color w:val="000000"/>
          <w:sz w:val="20"/>
          <w:szCs w:val="20"/>
          <w:u w:color="000000"/>
          <w:bdr w:val="nil"/>
        </w:rPr>
        <w:tab/>
      </w:r>
      <w:r w:rsidRPr="00B072ED">
        <w:rPr>
          <w:rFonts w:eastAsia="Calibri" w:hAnsi="Calibri" w:cs="Calibri"/>
          <w:iCs/>
          <w:color w:val="000000"/>
          <w:sz w:val="20"/>
          <w:szCs w:val="20"/>
          <w:u w:color="000000"/>
          <w:bdr w:val="nil"/>
        </w:rPr>
        <w:tab/>
      </w:r>
      <w:r w:rsidRPr="006D59C5">
        <w:rPr>
          <w:rFonts w:eastAsia="Calibri" w:hAnsi="Calibri" w:cs="Calibri"/>
          <w:iCs/>
          <w:color w:val="000000"/>
          <w:position w:val="-12"/>
          <w:sz w:val="20"/>
          <w:szCs w:val="20"/>
          <w:u w:color="000000"/>
          <w:bdr w:val="nil"/>
        </w:rPr>
        <w:object w:dxaOrig="1080" w:dyaOrig="340" w14:anchorId="7231EB3E">
          <v:shape id="_x0000_i1032" type="#_x0000_t75" style="width:55.2pt;height:17.1pt" o:ole="">
            <v:imagedata r:id="rId29" o:title=""/>
          </v:shape>
          <o:OLEObject Type="Embed" ProgID="Equation.DSMT4" ShapeID="_x0000_i1032" DrawAspect="Content" ObjectID="_1829984413" r:id="rId30"/>
        </w:object>
      </w:r>
      <w:r w:rsidRPr="00B072ED">
        <w:rPr>
          <w:sz w:val="20"/>
          <w:szCs w:val="20"/>
        </w:rPr>
        <w:tab/>
      </w:r>
      <w:r w:rsidRPr="00B072ED">
        <w:rPr>
          <w:sz w:val="20"/>
          <w:szCs w:val="20"/>
        </w:rPr>
        <w:tab/>
      </w:r>
      <w:r w:rsidRPr="00B072ED">
        <w:rPr>
          <w:sz w:val="20"/>
          <w:szCs w:val="20"/>
        </w:rPr>
        <w:tab/>
      </w:r>
      <w:r w:rsidRPr="00B072ED">
        <w:rPr>
          <w:sz w:val="20"/>
          <w:szCs w:val="20"/>
        </w:rPr>
        <w:tab/>
      </w:r>
      <w:r w:rsidRPr="00B072ED">
        <w:rPr>
          <w:sz w:val="20"/>
          <w:szCs w:val="20"/>
        </w:rPr>
        <w:tab/>
      </w:r>
      <w:r w:rsidRPr="00B072ED">
        <w:rPr>
          <w:sz w:val="20"/>
          <w:szCs w:val="20"/>
        </w:rPr>
        <w:tab/>
        <w:t xml:space="preserve">        </w:t>
      </w:r>
      <w:r>
        <w:rPr>
          <w:sz w:val="20"/>
          <w:szCs w:val="20"/>
        </w:rPr>
        <w:t xml:space="preserve">  </w:t>
      </w:r>
      <w:r w:rsidRPr="00B072ED">
        <w:rPr>
          <w:sz w:val="20"/>
          <w:szCs w:val="20"/>
        </w:rPr>
        <w:t xml:space="preserve">  (8)</w:t>
      </w:r>
    </w:p>
    <w:p w14:paraId="185308BD" w14:textId="77777777" w:rsidR="00627AA9" w:rsidRPr="00E52D63" w:rsidRDefault="00627AA9" w:rsidP="00627AA9">
      <w:pPr>
        <w:pBdr>
          <w:top w:val="nil"/>
          <w:left w:val="nil"/>
          <w:bottom w:val="nil"/>
          <w:right w:val="nil"/>
          <w:between w:val="nil"/>
          <w:bar w:val="nil"/>
        </w:pBdr>
        <w:spacing w:after="200"/>
        <w:jc w:val="both"/>
        <w:rPr>
          <w:iCs/>
          <w:color w:val="000000" w:themeColor="text1"/>
          <w:sz w:val="20"/>
          <w:szCs w:val="20"/>
        </w:rPr>
      </w:pPr>
      <w:r w:rsidRPr="00E52D63">
        <w:rPr>
          <w:iCs/>
          <w:color w:val="000000" w:themeColor="text1"/>
          <w:sz w:val="20"/>
          <w:szCs w:val="20"/>
        </w:rPr>
        <w:t>Equation (3) becomes:</w:t>
      </w:r>
    </w:p>
    <w:p w14:paraId="4482FB8D" w14:textId="77777777" w:rsidR="00627AA9" w:rsidRPr="00B072ED" w:rsidRDefault="00627AA9" w:rsidP="00627AA9">
      <w:pPr>
        <w:pBdr>
          <w:top w:val="nil"/>
          <w:left w:val="nil"/>
          <w:bottom w:val="nil"/>
          <w:right w:val="nil"/>
          <w:between w:val="nil"/>
          <w:bar w:val="nil"/>
        </w:pBdr>
        <w:spacing w:after="200"/>
        <w:jc w:val="both"/>
        <w:rPr>
          <w:iCs/>
          <w:sz w:val="20"/>
          <w:szCs w:val="20"/>
        </w:rPr>
      </w:pPr>
      <w:r w:rsidRPr="00B072ED">
        <w:rPr>
          <w:rFonts w:eastAsia="Calibri" w:hAnsi="Calibri" w:cs="Calibri"/>
          <w:iCs/>
          <w:color w:val="000000"/>
          <w:sz w:val="20"/>
          <w:szCs w:val="20"/>
          <w:u w:color="000000"/>
          <w:bdr w:val="nil"/>
        </w:rPr>
        <w:tab/>
      </w:r>
      <w:r w:rsidRPr="00B072ED">
        <w:rPr>
          <w:rFonts w:eastAsia="Calibri" w:hAnsi="Calibri" w:cs="Calibri"/>
          <w:iCs/>
          <w:color w:val="000000"/>
          <w:sz w:val="20"/>
          <w:szCs w:val="20"/>
          <w:u w:color="000000"/>
          <w:bdr w:val="nil"/>
        </w:rPr>
        <w:tab/>
      </w:r>
      <w:r w:rsidRPr="00B072ED">
        <w:rPr>
          <w:rFonts w:eastAsia="Calibri" w:hAnsi="Calibri" w:cs="Calibri"/>
          <w:iCs/>
          <w:color w:val="000000"/>
          <w:sz w:val="20"/>
          <w:szCs w:val="20"/>
          <w:u w:color="000000"/>
          <w:bdr w:val="nil"/>
        </w:rPr>
        <w:tab/>
      </w:r>
      <w:r w:rsidRPr="00B072ED">
        <w:rPr>
          <w:rFonts w:eastAsia="Calibri" w:hAnsi="Calibri" w:cs="Calibri"/>
          <w:iCs/>
          <w:color w:val="000000"/>
          <w:sz w:val="20"/>
          <w:szCs w:val="20"/>
          <w:u w:color="000000"/>
          <w:bdr w:val="nil"/>
        </w:rPr>
        <w:tab/>
      </w:r>
      <w:r w:rsidRPr="00B072ED">
        <w:rPr>
          <w:rFonts w:eastAsia="Calibri" w:hAnsi="Calibri" w:cs="Calibri"/>
          <w:iCs/>
          <w:color w:val="000000"/>
          <w:sz w:val="20"/>
          <w:szCs w:val="20"/>
          <w:u w:color="000000"/>
          <w:bdr w:val="nil"/>
        </w:rPr>
        <w:tab/>
      </w:r>
      <w:r w:rsidRPr="00B072ED">
        <w:rPr>
          <w:rFonts w:eastAsia="Calibri" w:hAnsi="Calibri" w:cs="Calibri"/>
          <w:iCs/>
          <w:color w:val="000000"/>
          <w:position w:val="-26"/>
          <w:sz w:val="20"/>
          <w:szCs w:val="20"/>
          <w:u w:color="000000"/>
          <w:bdr w:val="nil"/>
        </w:rPr>
        <w:object w:dxaOrig="3000" w:dyaOrig="600" w14:anchorId="15D1B69C">
          <v:shape id="_x0000_i1033" type="#_x0000_t75" style="width:150pt;height:30.6pt" o:ole="">
            <v:imagedata r:id="rId31" o:title=""/>
          </v:shape>
          <o:OLEObject Type="Embed" ProgID="Equation.DSMT4" ShapeID="_x0000_i1033" DrawAspect="Content" ObjectID="_1829984414" r:id="rId32"/>
        </w:object>
      </w:r>
      <w:r w:rsidRPr="00B072ED">
        <w:rPr>
          <w:iCs/>
          <w:sz w:val="20"/>
          <w:szCs w:val="20"/>
        </w:rPr>
        <w:tab/>
      </w:r>
      <w:r>
        <w:rPr>
          <w:iCs/>
          <w:sz w:val="20"/>
          <w:szCs w:val="20"/>
        </w:rPr>
        <w:tab/>
      </w:r>
      <w:r>
        <w:rPr>
          <w:iCs/>
          <w:sz w:val="20"/>
          <w:szCs w:val="20"/>
        </w:rPr>
        <w:tab/>
        <w:t xml:space="preserve">            </w:t>
      </w:r>
      <w:r w:rsidRPr="00B072ED">
        <w:rPr>
          <w:iCs/>
          <w:sz w:val="20"/>
          <w:szCs w:val="20"/>
        </w:rPr>
        <w:t>(9)</w:t>
      </w:r>
    </w:p>
    <w:p w14:paraId="1228A219" w14:textId="77777777" w:rsidR="00627AA9" w:rsidRPr="00B072ED" w:rsidRDefault="00627AA9" w:rsidP="00627AA9">
      <w:pPr>
        <w:pBdr>
          <w:top w:val="nil"/>
          <w:left w:val="nil"/>
          <w:bottom w:val="nil"/>
          <w:right w:val="nil"/>
          <w:between w:val="nil"/>
          <w:bar w:val="nil"/>
        </w:pBdr>
        <w:spacing w:after="200"/>
        <w:jc w:val="both"/>
        <w:rPr>
          <w:iCs/>
          <w:sz w:val="20"/>
          <w:szCs w:val="20"/>
        </w:rPr>
      </w:pPr>
      <w:r w:rsidRPr="00B072ED">
        <w:rPr>
          <w:iCs/>
          <w:sz w:val="20"/>
          <w:szCs w:val="20"/>
        </w:rPr>
        <w:t xml:space="preserve">The derivative of </w:t>
      </w:r>
      <w:r>
        <w:rPr>
          <w:iCs/>
          <w:sz w:val="20"/>
          <w:szCs w:val="20"/>
        </w:rPr>
        <w:t xml:space="preserve">equation </w:t>
      </w:r>
      <w:r w:rsidRPr="00B072ED">
        <w:rPr>
          <w:iCs/>
          <w:sz w:val="20"/>
          <w:szCs w:val="20"/>
        </w:rPr>
        <w:t>(8) can be introduced as:</w:t>
      </w:r>
    </w:p>
    <w:p w14:paraId="3BDF6117" w14:textId="77777777" w:rsidR="00627AA9" w:rsidRPr="00B072ED" w:rsidRDefault="00627AA9" w:rsidP="00627AA9">
      <w:pPr>
        <w:pBdr>
          <w:top w:val="nil"/>
          <w:left w:val="nil"/>
          <w:bottom w:val="nil"/>
          <w:right w:val="nil"/>
          <w:between w:val="nil"/>
          <w:bar w:val="nil"/>
        </w:pBdr>
        <w:spacing w:after="200"/>
        <w:jc w:val="both"/>
        <w:rPr>
          <w:iCs/>
          <w:sz w:val="20"/>
          <w:szCs w:val="20"/>
        </w:rPr>
      </w:pPr>
      <w:r w:rsidRPr="00B072ED">
        <w:rPr>
          <w:rFonts w:eastAsia="Calibri" w:hAnsi="Calibri" w:cs="Calibri"/>
          <w:iCs/>
          <w:color w:val="000000"/>
          <w:sz w:val="20"/>
          <w:szCs w:val="20"/>
          <w:u w:color="000000"/>
          <w:bdr w:val="nil"/>
        </w:rPr>
        <w:tab/>
      </w:r>
      <w:r w:rsidRPr="00B072ED">
        <w:rPr>
          <w:rFonts w:eastAsia="Calibri" w:hAnsi="Calibri" w:cs="Calibri"/>
          <w:iCs/>
          <w:color w:val="000000"/>
          <w:sz w:val="20"/>
          <w:szCs w:val="20"/>
          <w:u w:color="000000"/>
          <w:bdr w:val="nil"/>
        </w:rPr>
        <w:tab/>
      </w:r>
      <w:r w:rsidRPr="00B072ED">
        <w:rPr>
          <w:rFonts w:eastAsia="Calibri" w:hAnsi="Calibri" w:cs="Calibri"/>
          <w:iCs/>
          <w:color w:val="000000"/>
          <w:sz w:val="20"/>
          <w:szCs w:val="20"/>
          <w:u w:color="000000"/>
          <w:bdr w:val="nil"/>
        </w:rPr>
        <w:tab/>
      </w:r>
      <w:r w:rsidRPr="00B072ED">
        <w:rPr>
          <w:rFonts w:eastAsia="Calibri" w:hAnsi="Calibri" w:cs="Calibri"/>
          <w:iCs/>
          <w:color w:val="000000"/>
          <w:sz w:val="20"/>
          <w:szCs w:val="20"/>
          <w:u w:color="000000"/>
          <w:bdr w:val="nil"/>
        </w:rPr>
        <w:tab/>
      </w:r>
      <w:r w:rsidRPr="00B072ED">
        <w:rPr>
          <w:rFonts w:eastAsia="Calibri" w:hAnsi="Calibri" w:cs="Calibri"/>
          <w:iCs/>
          <w:color w:val="000000"/>
          <w:sz w:val="20"/>
          <w:szCs w:val="20"/>
          <w:u w:color="000000"/>
          <w:bdr w:val="nil"/>
        </w:rPr>
        <w:tab/>
      </w:r>
      <w:r w:rsidRPr="00B072ED">
        <w:rPr>
          <w:rFonts w:eastAsia="Calibri" w:hAnsi="Calibri" w:cs="Calibri"/>
          <w:iCs/>
          <w:color w:val="000000"/>
          <w:position w:val="-20"/>
          <w:sz w:val="20"/>
          <w:szCs w:val="20"/>
          <w:u w:color="000000"/>
          <w:bdr w:val="nil"/>
        </w:rPr>
        <w:object w:dxaOrig="2580" w:dyaOrig="540" w14:anchorId="1CF475C2">
          <v:shape id="_x0000_i1034" type="#_x0000_t75" style="width:128.1pt;height:26.1pt" o:ole="">
            <v:imagedata r:id="rId33" o:title=""/>
          </v:shape>
          <o:OLEObject Type="Embed" ProgID="Equation.DSMT4" ShapeID="_x0000_i1034" DrawAspect="Content" ObjectID="_1829984415" r:id="rId34"/>
        </w:object>
      </w:r>
      <w:r w:rsidRPr="00B072ED">
        <w:rPr>
          <w:iCs/>
          <w:sz w:val="20"/>
          <w:szCs w:val="20"/>
        </w:rPr>
        <w:tab/>
      </w:r>
      <w:r w:rsidRPr="00B072ED">
        <w:rPr>
          <w:iCs/>
          <w:sz w:val="20"/>
          <w:szCs w:val="20"/>
        </w:rPr>
        <w:tab/>
      </w:r>
      <w:r w:rsidRPr="00B072ED">
        <w:rPr>
          <w:iCs/>
          <w:sz w:val="20"/>
          <w:szCs w:val="20"/>
        </w:rPr>
        <w:tab/>
      </w:r>
      <w:r w:rsidRPr="00B072ED">
        <w:rPr>
          <w:iCs/>
          <w:sz w:val="20"/>
          <w:szCs w:val="20"/>
        </w:rPr>
        <w:tab/>
        <w:t xml:space="preserve">    </w:t>
      </w:r>
      <w:r>
        <w:rPr>
          <w:iCs/>
          <w:sz w:val="20"/>
          <w:szCs w:val="20"/>
        </w:rPr>
        <w:t xml:space="preserve">  </w:t>
      </w:r>
      <w:r w:rsidRPr="00B072ED">
        <w:rPr>
          <w:iCs/>
          <w:sz w:val="20"/>
          <w:szCs w:val="20"/>
        </w:rPr>
        <w:t xml:space="preserve">    (10)</w:t>
      </w:r>
    </w:p>
    <w:p w14:paraId="3128AB11" w14:textId="77777777" w:rsidR="00627AA9" w:rsidRPr="00B072ED" w:rsidRDefault="00627AA9" w:rsidP="00627AA9">
      <w:pPr>
        <w:pBdr>
          <w:top w:val="nil"/>
          <w:left w:val="nil"/>
          <w:bottom w:val="nil"/>
          <w:right w:val="nil"/>
          <w:between w:val="nil"/>
          <w:bar w:val="nil"/>
        </w:pBdr>
        <w:spacing w:after="200"/>
        <w:jc w:val="both"/>
        <w:rPr>
          <w:iCs/>
          <w:sz w:val="20"/>
          <w:szCs w:val="20"/>
        </w:rPr>
      </w:pPr>
      <w:r w:rsidRPr="00B072ED">
        <w:rPr>
          <w:iCs/>
          <w:sz w:val="20"/>
          <w:szCs w:val="20"/>
        </w:rPr>
        <w:t>To guarantee global stability, a second Lyapunov function V</w:t>
      </w:r>
      <w:r w:rsidRPr="00B072ED">
        <w:rPr>
          <w:iCs/>
          <w:sz w:val="20"/>
          <w:szCs w:val="20"/>
          <w:vertAlign w:val="subscript"/>
        </w:rPr>
        <w:t xml:space="preserve">b </w:t>
      </w:r>
      <w:r w:rsidRPr="00B072ED">
        <w:rPr>
          <w:iCs/>
          <w:sz w:val="20"/>
          <w:szCs w:val="20"/>
        </w:rPr>
        <w:t>is introduced as:</w:t>
      </w:r>
    </w:p>
    <w:p w14:paraId="003786F8" w14:textId="77777777" w:rsidR="00627AA9" w:rsidRPr="00B072ED" w:rsidRDefault="00627AA9" w:rsidP="00627AA9">
      <w:pPr>
        <w:pBdr>
          <w:top w:val="nil"/>
          <w:left w:val="nil"/>
          <w:bottom w:val="nil"/>
          <w:right w:val="nil"/>
          <w:between w:val="nil"/>
          <w:bar w:val="nil"/>
        </w:pBdr>
        <w:spacing w:after="200"/>
        <w:jc w:val="both"/>
        <w:rPr>
          <w:iCs/>
          <w:sz w:val="20"/>
          <w:szCs w:val="20"/>
        </w:rPr>
      </w:pPr>
      <w:r w:rsidRPr="00B072ED">
        <w:rPr>
          <w:rFonts w:eastAsia="Calibri"/>
          <w:iCs/>
          <w:color w:val="000000"/>
          <w:sz w:val="20"/>
          <w:szCs w:val="20"/>
          <w:u w:color="000000"/>
          <w:bdr w:val="nil"/>
        </w:rPr>
        <w:tab/>
      </w:r>
      <w:r w:rsidRPr="00B072ED">
        <w:rPr>
          <w:rFonts w:eastAsia="Calibri"/>
          <w:iCs/>
          <w:color w:val="000000"/>
          <w:sz w:val="20"/>
          <w:szCs w:val="20"/>
          <w:u w:color="000000"/>
          <w:bdr w:val="nil"/>
        </w:rPr>
        <w:tab/>
      </w:r>
      <w:r w:rsidRPr="00B072ED">
        <w:rPr>
          <w:rFonts w:eastAsia="Calibri"/>
          <w:iCs/>
          <w:color w:val="000000"/>
          <w:sz w:val="20"/>
          <w:szCs w:val="20"/>
          <w:u w:color="000000"/>
          <w:bdr w:val="nil"/>
        </w:rPr>
        <w:tab/>
      </w:r>
      <w:r w:rsidRPr="00B072ED">
        <w:rPr>
          <w:rFonts w:eastAsia="Calibri"/>
          <w:iCs/>
          <w:color w:val="000000"/>
          <w:sz w:val="20"/>
          <w:szCs w:val="20"/>
          <w:u w:color="000000"/>
          <w:bdr w:val="nil"/>
        </w:rPr>
        <w:tab/>
      </w:r>
      <w:r w:rsidRPr="00B072ED">
        <w:rPr>
          <w:rFonts w:eastAsia="Calibri"/>
          <w:iCs/>
          <w:color w:val="000000"/>
          <w:sz w:val="20"/>
          <w:szCs w:val="20"/>
          <w:u w:color="000000"/>
          <w:bdr w:val="nil"/>
        </w:rPr>
        <w:tab/>
      </w:r>
      <w:r w:rsidRPr="00B072ED">
        <w:rPr>
          <w:rFonts w:eastAsia="Calibri"/>
          <w:iCs/>
          <w:color w:val="000000"/>
          <w:position w:val="-20"/>
          <w:sz w:val="20"/>
          <w:szCs w:val="20"/>
          <w:u w:color="000000"/>
          <w:bdr w:val="nil"/>
        </w:rPr>
        <w:object w:dxaOrig="1380" w:dyaOrig="540" w14:anchorId="40A1AA2C">
          <v:shape id="_x0000_i1035" type="#_x0000_t75" style="width:68.4pt;height:26.1pt" o:ole="">
            <v:imagedata r:id="rId35" o:title=""/>
          </v:shape>
          <o:OLEObject Type="Embed" ProgID="Equation.DSMT4" ShapeID="_x0000_i1035" DrawAspect="Content" ObjectID="_1829984416" r:id="rId36"/>
        </w:object>
      </w:r>
      <w:r w:rsidRPr="00B072ED">
        <w:rPr>
          <w:iCs/>
          <w:sz w:val="20"/>
          <w:szCs w:val="20"/>
        </w:rPr>
        <w:tab/>
      </w:r>
      <w:r w:rsidRPr="00B072ED">
        <w:rPr>
          <w:iCs/>
          <w:sz w:val="20"/>
          <w:szCs w:val="20"/>
        </w:rPr>
        <w:tab/>
      </w:r>
      <w:r w:rsidRPr="00B072ED">
        <w:rPr>
          <w:iCs/>
          <w:sz w:val="20"/>
          <w:szCs w:val="20"/>
        </w:rPr>
        <w:tab/>
      </w:r>
      <w:r w:rsidRPr="00B072ED">
        <w:rPr>
          <w:iCs/>
          <w:sz w:val="20"/>
          <w:szCs w:val="20"/>
        </w:rPr>
        <w:tab/>
      </w:r>
      <w:r w:rsidRPr="00B072ED">
        <w:rPr>
          <w:iCs/>
          <w:sz w:val="20"/>
          <w:szCs w:val="20"/>
        </w:rPr>
        <w:tab/>
      </w:r>
      <w:r w:rsidRPr="00B072ED">
        <w:rPr>
          <w:iCs/>
          <w:sz w:val="20"/>
          <w:szCs w:val="20"/>
        </w:rPr>
        <w:tab/>
        <w:t xml:space="preserve">      </w:t>
      </w:r>
      <w:r>
        <w:rPr>
          <w:iCs/>
          <w:sz w:val="20"/>
          <w:szCs w:val="20"/>
        </w:rPr>
        <w:t xml:space="preserve">  </w:t>
      </w:r>
      <w:r w:rsidRPr="00B072ED">
        <w:rPr>
          <w:iCs/>
          <w:sz w:val="20"/>
          <w:szCs w:val="20"/>
        </w:rPr>
        <w:t xml:space="preserve">  (11)</w:t>
      </w:r>
    </w:p>
    <w:p w14:paraId="456440F3" w14:textId="77777777" w:rsidR="00627AA9" w:rsidRPr="00B072ED" w:rsidRDefault="00627AA9" w:rsidP="00627AA9">
      <w:pPr>
        <w:pBdr>
          <w:top w:val="nil"/>
          <w:left w:val="nil"/>
          <w:bottom w:val="nil"/>
          <w:right w:val="nil"/>
          <w:between w:val="nil"/>
          <w:bar w:val="nil"/>
        </w:pBdr>
        <w:spacing w:after="200"/>
        <w:jc w:val="both"/>
        <w:rPr>
          <w:iCs/>
          <w:sz w:val="20"/>
          <w:szCs w:val="20"/>
        </w:rPr>
      </w:pPr>
      <w:r w:rsidRPr="00B072ED">
        <w:rPr>
          <w:iCs/>
          <w:sz w:val="20"/>
          <w:szCs w:val="20"/>
        </w:rPr>
        <w:t xml:space="preserve">Differentiating </w:t>
      </w:r>
      <w:r>
        <w:rPr>
          <w:iCs/>
          <w:sz w:val="20"/>
          <w:szCs w:val="20"/>
        </w:rPr>
        <w:t xml:space="preserve">equation </w:t>
      </w:r>
      <w:r w:rsidRPr="00B072ED">
        <w:rPr>
          <w:iCs/>
          <w:sz w:val="20"/>
          <w:szCs w:val="20"/>
        </w:rPr>
        <w:t>(11), therefore:</w:t>
      </w:r>
    </w:p>
    <w:p w14:paraId="321C93A1" w14:textId="77777777" w:rsidR="00627AA9" w:rsidRPr="00E52D63" w:rsidRDefault="00627AA9" w:rsidP="00627AA9">
      <w:pPr>
        <w:pBdr>
          <w:top w:val="nil"/>
          <w:left w:val="nil"/>
          <w:bottom w:val="nil"/>
          <w:right w:val="nil"/>
          <w:between w:val="nil"/>
          <w:bar w:val="nil"/>
        </w:pBdr>
        <w:spacing w:after="200"/>
        <w:rPr>
          <w:iCs/>
          <w:color w:val="000000" w:themeColor="text1"/>
          <w:sz w:val="20"/>
          <w:szCs w:val="20"/>
        </w:rPr>
      </w:pPr>
      <w:r w:rsidRPr="00E52D63">
        <w:rPr>
          <w:rFonts w:eastAsia="Calibri" w:hAnsi="Calibri" w:cs="Calibri"/>
          <w:iCs/>
          <w:color w:val="000000" w:themeColor="text1"/>
          <w:sz w:val="20"/>
          <w:szCs w:val="20"/>
          <w:u w:color="000000"/>
          <w:bdr w:val="nil"/>
        </w:rPr>
        <w:tab/>
      </w:r>
      <w:r w:rsidRPr="00E52D63">
        <w:rPr>
          <w:rFonts w:eastAsia="Calibri" w:hAnsi="Calibri" w:cs="Calibri"/>
          <w:iCs/>
          <w:color w:val="000000" w:themeColor="text1"/>
          <w:sz w:val="20"/>
          <w:szCs w:val="20"/>
          <w:u w:color="000000"/>
          <w:bdr w:val="nil"/>
        </w:rPr>
        <w:tab/>
      </w:r>
      <w:r w:rsidRPr="00E52D63">
        <w:rPr>
          <w:rFonts w:eastAsia="Calibri" w:hAnsi="Calibri" w:cs="Calibri"/>
          <w:iCs/>
          <w:color w:val="000000" w:themeColor="text1"/>
          <w:sz w:val="20"/>
          <w:szCs w:val="20"/>
          <w:u w:color="000000"/>
          <w:bdr w:val="nil"/>
        </w:rPr>
        <w:tab/>
      </w:r>
      <w:r w:rsidRPr="00E52D63">
        <w:rPr>
          <w:rFonts w:eastAsia="Calibri" w:hAnsi="Calibri" w:cs="Calibri"/>
          <w:iCs/>
          <w:color w:val="000000" w:themeColor="text1"/>
          <w:sz w:val="20"/>
          <w:szCs w:val="20"/>
          <w:u w:color="000000"/>
          <w:bdr w:val="nil"/>
        </w:rPr>
        <w:tab/>
      </w:r>
      <w:r w:rsidRPr="00E52D63">
        <w:rPr>
          <w:rFonts w:eastAsia="Calibri" w:hAnsi="Calibri" w:cs="Calibri"/>
          <w:iCs/>
          <w:color w:val="000000" w:themeColor="text1"/>
          <w:position w:val="-36"/>
          <w:sz w:val="20"/>
          <w:szCs w:val="20"/>
          <w:u w:color="000000"/>
          <w:bdr w:val="nil"/>
        </w:rPr>
        <w:object w:dxaOrig="4720" w:dyaOrig="820" w14:anchorId="27DC666A">
          <v:shape id="_x0000_i1036" type="#_x0000_t75" style="width:192pt;height:33.6pt" o:ole="">
            <v:imagedata r:id="rId37" o:title=""/>
          </v:shape>
          <o:OLEObject Type="Embed" ProgID="Equation.DSMT4" ShapeID="_x0000_i1036" DrawAspect="Content" ObjectID="_1829984417" r:id="rId38"/>
        </w:object>
      </w:r>
      <w:r w:rsidRPr="00E52D63">
        <w:rPr>
          <w:iCs/>
          <w:color w:val="000000" w:themeColor="text1"/>
          <w:sz w:val="20"/>
          <w:szCs w:val="20"/>
        </w:rPr>
        <w:tab/>
      </w:r>
      <w:r w:rsidRPr="00E52D63">
        <w:rPr>
          <w:iCs/>
          <w:color w:val="000000" w:themeColor="text1"/>
          <w:sz w:val="20"/>
          <w:szCs w:val="20"/>
        </w:rPr>
        <w:tab/>
      </w:r>
      <w:r w:rsidRPr="00E52D63">
        <w:rPr>
          <w:iCs/>
          <w:color w:val="000000" w:themeColor="text1"/>
          <w:sz w:val="20"/>
          <w:szCs w:val="20"/>
        </w:rPr>
        <w:tab/>
        <w:t xml:space="preserve">          (12)</w:t>
      </w:r>
    </w:p>
    <w:p w14:paraId="51B918F3" w14:textId="77777777" w:rsidR="00627AA9" w:rsidRPr="00E52D63" w:rsidRDefault="00627AA9" w:rsidP="00627AA9">
      <w:pPr>
        <w:pBdr>
          <w:top w:val="nil"/>
          <w:left w:val="nil"/>
          <w:bottom w:val="nil"/>
          <w:right w:val="nil"/>
          <w:between w:val="nil"/>
          <w:bar w:val="nil"/>
        </w:pBdr>
        <w:spacing w:after="200"/>
        <w:jc w:val="both"/>
        <w:rPr>
          <w:iCs/>
          <w:color w:val="000000" w:themeColor="text1"/>
          <w:sz w:val="20"/>
          <w:szCs w:val="20"/>
        </w:rPr>
      </w:pPr>
      <w:r w:rsidRPr="00E52D63">
        <w:rPr>
          <w:iCs/>
          <w:color w:val="000000" w:themeColor="text1"/>
          <w:sz w:val="20"/>
          <w:szCs w:val="20"/>
        </w:rPr>
        <w:t>The derivative of V</w:t>
      </w:r>
      <w:r w:rsidRPr="00E52D63">
        <w:rPr>
          <w:iCs/>
          <w:color w:val="000000" w:themeColor="text1"/>
          <w:sz w:val="20"/>
          <w:szCs w:val="20"/>
          <w:vertAlign w:val="subscript"/>
        </w:rPr>
        <w:t>b</w:t>
      </w:r>
      <w:r w:rsidRPr="00E52D63">
        <w:rPr>
          <w:iCs/>
          <w:color w:val="000000" w:themeColor="text1"/>
          <w:sz w:val="20"/>
          <w:szCs w:val="20"/>
        </w:rPr>
        <w:t xml:space="preserve"> must be strictly negative to ensure global stability, then: </w:t>
      </w:r>
    </w:p>
    <w:p w14:paraId="44FEFB71" w14:textId="77777777" w:rsidR="00627AA9" w:rsidRPr="00E52D63" w:rsidRDefault="00627AA9" w:rsidP="00627AA9">
      <w:pPr>
        <w:pBdr>
          <w:top w:val="nil"/>
          <w:left w:val="nil"/>
          <w:bottom w:val="nil"/>
          <w:right w:val="nil"/>
          <w:between w:val="nil"/>
          <w:bar w:val="nil"/>
        </w:pBdr>
        <w:spacing w:after="200"/>
        <w:jc w:val="both"/>
        <w:rPr>
          <w:iCs/>
          <w:color w:val="000000" w:themeColor="text1"/>
          <w:sz w:val="20"/>
          <w:szCs w:val="20"/>
        </w:rPr>
      </w:pPr>
      <w:r w:rsidRPr="00E52D63">
        <w:rPr>
          <w:rFonts w:eastAsia="Calibri" w:hAnsi="Calibri" w:cs="Calibri"/>
          <w:iCs/>
          <w:color w:val="000000" w:themeColor="text1"/>
          <w:sz w:val="20"/>
          <w:szCs w:val="20"/>
          <w:u w:color="000000"/>
          <w:bdr w:val="nil"/>
        </w:rPr>
        <w:tab/>
      </w:r>
      <w:r w:rsidRPr="00E52D63">
        <w:rPr>
          <w:rFonts w:eastAsia="Calibri" w:hAnsi="Calibri" w:cs="Calibri"/>
          <w:iCs/>
          <w:color w:val="000000" w:themeColor="text1"/>
          <w:sz w:val="20"/>
          <w:szCs w:val="20"/>
          <w:u w:color="000000"/>
          <w:bdr w:val="nil"/>
        </w:rPr>
        <w:tab/>
      </w:r>
      <w:r w:rsidRPr="00E52D63">
        <w:rPr>
          <w:rFonts w:eastAsia="Calibri" w:hAnsi="Calibri" w:cs="Calibri"/>
          <w:iCs/>
          <w:color w:val="000000" w:themeColor="text1"/>
          <w:sz w:val="20"/>
          <w:szCs w:val="20"/>
          <w:u w:color="000000"/>
          <w:bdr w:val="nil"/>
        </w:rPr>
        <w:tab/>
      </w:r>
      <w:r w:rsidRPr="00E52D63">
        <w:rPr>
          <w:rFonts w:eastAsia="Calibri" w:hAnsi="Calibri" w:cs="Calibri"/>
          <w:iCs/>
          <w:color w:val="000000" w:themeColor="text1"/>
          <w:sz w:val="20"/>
          <w:szCs w:val="20"/>
          <w:u w:color="000000"/>
          <w:bdr w:val="nil"/>
        </w:rPr>
        <w:tab/>
      </w:r>
      <w:r w:rsidRPr="00E52D63">
        <w:rPr>
          <w:rFonts w:eastAsia="Calibri" w:hAnsi="Calibri" w:cs="Calibri"/>
          <w:iCs/>
          <w:color w:val="000000" w:themeColor="text1"/>
          <w:position w:val="-28"/>
          <w:sz w:val="20"/>
          <w:szCs w:val="20"/>
          <w:u w:color="000000"/>
          <w:bdr w:val="nil"/>
        </w:rPr>
        <w:object w:dxaOrig="3960" w:dyaOrig="660" w14:anchorId="6D5D0AC4">
          <v:shape id="_x0000_i1037" type="#_x0000_t75" style="width:198.9pt;height:33pt" o:ole="">
            <v:imagedata r:id="rId39" o:title=""/>
          </v:shape>
          <o:OLEObject Type="Embed" ProgID="Equation.DSMT4" ShapeID="_x0000_i1037" DrawAspect="Content" ObjectID="_1829984418" r:id="rId40"/>
        </w:object>
      </w:r>
      <w:r w:rsidRPr="00E52D63">
        <w:rPr>
          <w:iCs/>
          <w:color w:val="000000" w:themeColor="text1"/>
          <w:sz w:val="20"/>
          <w:szCs w:val="20"/>
        </w:rPr>
        <w:tab/>
      </w:r>
      <w:r w:rsidRPr="00E52D63">
        <w:rPr>
          <w:iCs/>
          <w:color w:val="000000" w:themeColor="text1"/>
          <w:sz w:val="20"/>
          <w:szCs w:val="20"/>
        </w:rPr>
        <w:tab/>
      </w:r>
      <w:r w:rsidRPr="00E52D63">
        <w:rPr>
          <w:iCs/>
          <w:color w:val="000000" w:themeColor="text1"/>
          <w:sz w:val="20"/>
          <w:szCs w:val="20"/>
        </w:rPr>
        <w:tab/>
        <w:t xml:space="preserve">          (13)</w:t>
      </w:r>
    </w:p>
    <w:p w14:paraId="48A7DD7D" w14:textId="77777777" w:rsidR="00627AA9" w:rsidRPr="00E52D63" w:rsidRDefault="00627AA9" w:rsidP="00627AA9">
      <w:pPr>
        <w:pBdr>
          <w:top w:val="nil"/>
          <w:left w:val="nil"/>
          <w:bottom w:val="nil"/>
          <w:right w:val="nil"/>
          <w:between w:val="nil"/>
          <w:bar w:val="nil"/>
        </w:pBdr>
        <w:spacing w:after="200"/>
        <w:jc w:val="both"/>
        <w:rPr>
          <w:iCs/>
          <w:color w:val="000000" w:themeColor="text1"/>
          <w:sz w:val="20"/>
          <w:szCs w:val="20"/>
        </w:rPr>
      </w:pPr>
      <w:r w:rsidRPr="00E52D63">
        <w:rPr>
          <w:iCs/>
          <w:color w:val="000000" w:themeColor="text1"/>
          <w:sz w:val="20"/>
          <w:szCs w:val="20"/>
        </w:rPr>
        <w:t>The design of the BS technique is based on Lyapunov functions, which they introduced to guarantee stability at different stages of the system. The first function in Eq. (2) provides the stability of the step-up converter current dynamics, whilst Eq. (7) enforces the tracking of x</w:t>
      </w:r>
      <w:r w:rsidRPr="00E52D63">
        <w:rPr>
          <w:iCs/>
          <w:color w:val="000000" w:themeColor="text1"/>
          <w:sz w:val="20"/>
          <w:szCs w:val="20"/>
          <w:vertAlign w:val="subscript"/>
        </w:rPr>
        <w:t>2</w:t>
      </w:r>
      <w:r w:rsidRPr="00E52D63">
        <w:rPr>
          <w:iCs/>
          <w:color w:val="000000" w:themeColor="text1"/>
          <w:sz w:val="20"/>
          <w:szCs w:val="20"/>
        </w:rPr>
        <w:t xml:space="preserve"> to its reference i</w:t>
      </w:r>
      <w:r w:rsidRPr="00E52D63">
        <w:rPr>
          <w:iCs/>
          <w:color w:val="000000" w:themeColor="text1"/>
          <w:sz w:val="20"/>
          <w:szCs w:val="20"/>
          <w:vertAlign w:val="subscript"/>
        </w:rPr>
        <w:t>ref</w:t>
      </w:r>
      <w:r w:rsidRPr="00E52D63">
        <w:rPr>
          <w:iCs/>
          <w:color w:val="000000" w:themeColor="text1"/>
          <w:sz w:val="20"/>
          <w:szCs w:val="20"/>
        </w:rPr>
        <w:t>. The second Lyapunov function and its derivative enhance the overall system stability. Based on these conditions, the duty cycle law α is derived, assuring the GCPVS system stability with rapid convergence and negligible fluctuations. With this purpose, α</w:t>
      </w:r>
      <w:r w:rsidRPr="00E52D63">
        <w:rPr>
          <w:rFonts w:eastAsia="Calibri"/>
          <w:color w:val="000000" w:themeColor="text1"/>
          <w:sz w:val="20"/>
          <w:szCs w:val="20"/>
          <w:lang w:eastAsia="en-US"/>
        </w:rPr>
        <w:t xml:space="preserve"> is</w:t>
      </w:r>
      <w:r w:rsidRPr="00E52D63">
        <w:rPr>
          <w:iCs/>
          <w:color w:val="000000" w:themeColor="text1"/>
          <w:sz w:val="20"/>
          <w:szCs w:val="20"/>
        </w:rPr>
        <w:t xml:space="preserve"> described as:</w:t>
      </w:r>
    </w:p>
    <w:p w14:paraId="6AE8EF41" w14:textId="77777777" w:rsidR="00627AA9" w:rsidRDefault="00627AA9" w:rsidP="00627AA9">
      <w:pPr>
        <w:pBdr>
          <w:top w:val="nil"/>
          <w:left w:val="nil"/>
          <w:bottom w:val="nil"/>
          <w:right w:val="nil"/>
          <w:between w:val="nil"/>
          <w:bar w:val="nil"/>
        </w:pBdr>
        <w:spacing w:after="200"/>
        <w:jc w:val="both"/>
        <w:rPr>
          <w:iCs/>
          <w:sz w:val="20"/>
          <w:szCs w:val="20"/>
        </w:rPr>
      </w:pPr>
      <w:r w:rsidRPr="00B072ED">
        <w:rPr>
          <w:rFonts w:eastAsia="Calibri" w:hAnsi="Calibri" w:cs="Calibri"/>
          <w:iCs/>
          <w:color w:val="000000"/>
          <w:sz w:val="20"/>
          <w:szCs w:val="20"/>
          <w:u w:color="000000"/>
          <w:bdr w:val="nil"/>
        </w:rPr>
        <w:lastRenderedPageBreak/>
        <w:tab/>
      </w:r>
      <w:r w:rsidRPr="00B072ED">
        <w:rPr>
          <w:rFonts w:eastAsia="Calibri" w:hAnsi="Calibri" w:cs="Calibri"/>
          <w:iCs/>
          <w:color w:val="000000"/>
          <w:sz w:val="20"/>
          <w:szCs w:val="20"/>
          <w:u w:color="000000"/>
          <w:bdr w:val="nil"/>
        </w:rPr>
        <w:tab/>
      </w:r>
      <w:r w:rsidRPr="00B072ED">
        <w:rPr>
          <w:rFonts w:eastAsia="Calibri" w:hAnsi="Calibri" w:cs="Calibri"/>
          <w:iCs/>
          <w:color w:val="000000"/>
          <w:sz w:val="20"/>
          <w:szCs w:val="20"/>
          <w:u w:color="000000"/>
          <w:bdr w:val="nil"/>
        </w:rPr>
        <w:tab/>
      </w:r>
      <w:r w:rsidRPr="00B072ED">
        <w:rPr>
          <w:rFonts w:eastAsia="Calibri" w:hAnsi="Calibri" w:cs="Calibri"/>
          <w:iCs/>
          <w:color w:val="000000"/>
          <w:sz w:val="20"/>
          <w:szCs w:val="20"/>
          <w:u w:color="000000"/>
          <w:bdr w:val="nil"/>
        </w:rPr>
        <w:tab/>
      </w:r>
      <w:r w:rsidRPr="00044478">
        <w:rPr>
          <w:rFonts w:eastAsia="Calibri" w:hAnsi="Calibri" w:cs="Calibri"/>
          <w:iCs/>
          <w:color w:val="000000"/>
          <w:position w:val="-30"/>
          <w:sz w:val="20"/>
          <w:szCs w:val="20"/>
          <w:u w:color="000000"/>
          <w:bdr w:val="nil"/>
        </w:rPr>
        <w:object w:dxaOrig="3700" w:dyaOrig="700" w14:anchorId="5FA25A4B">
          <v:shape id="_x0000_i1038" type="#_x0000_t75" style="width:185.1pt;height:35.4pt" o:ole="">
            <v:imagedata r:id="rId41" o:title=""/>
          </v:shape>
          <o:OLEObject Type="Embed" ProgID="Equation.DSMT4" ShapeID="_x0000_i1038" DrawAspect="Content" ObjectID="_1829984419" r:id="rId42"/>
        </w:object>
      </w:r>
      <w:r>
        <w:rPr>
          <w:iCs/>
          <w:sz w:val="20"/>
          <w:szCs w:val="20"/>
        </w:rPr>
        <w:tab/>
      </w:r>
      <w:r>
        <w:rPr>
          <w:iCs/>
          <w:sz w:val="20"/>
          <w:szCs w:val="20"/>
        </w:rPr>
        <w:tab/>
      </w:r>
      <w:r>
        <w:rPr>
          <w:iCs/>
          <w:sz w:val="20"/>
          <w:szCs w:val="20"/>
        </w:rPr>
        <w:tab/>
      </w:r>
      <w:r w:rsidRPr="00776C7D">
        <w:rPr>
          <w:iCs/>
          <w:color w:val="000000" w:themeColor="text1"/>
          <w:sz w:val="20"/>
          <w:szCs w:val="20"/>
        </w:rPr>
        <w:t xml:space="preserve">          (14)</w:t>
      </w:r>
    </w:p>
    <w:p w14:paraId="21332B00" w14:textId="77777777" w:rsidR="00286022" w:rsidRPr="006E0A9E" w:rsidRDefault="0003181A" w:rsidP="006E0A9E">
      <w:pPr>
        <w:pStyle w:val="SolarPACESHeading11"/>
        <w:spacing w:line="240" w:lineRule="auto"/>
        <w:jc w:val="center"/>
        <w:rPr>
          <w:sz w:val="24"/>
        </w:rPr>
      </w:pPr>
      <w:r w:rsidRPr="006E0A9E">
        <w:rPr>
          <w:sz w:val="24"/>
        </w:rPr>
        <w:t>SIMULATION RESULTS AND DISCUSSIONS</w:t>
      </w:r>
    </w:p>
    <w:p w14:paraId="43055F37" w14:textId="77777777" w:rsidR="00050F97" w:rsidRPr="00E52D63" w:rsidRDefault="00050F97" w:rsidP="00050F97">
      <w:pPr>
        <w:pStyle w:val="SolarPACESHeading11"/>
        <w:spacing w:line="240" w:lineRule="auto"/>
        <w:ind w:firstLine="284"/>
        <w:jc w:val="both"/>
        <w:rPr>
          <w:b w:val="0"/>
          <w:color w:val="000000" w:themeColor="text1"/>
          <w:szCs w:val="24"/>
          <w:lang w:val="en-US"/>
        </w:rPr>
      </w:pPr>
      <w:r w:rsidRPr="00E52D63">
        <w:rPr>
          <w:b w:val="0"/>
          <w:color w:val="000000" w:themeColor="text1"/>
          <w:szCs w:val="24"/>
          <w:lang w:val="en-US"/>
        </w:rPr>
        <w:t>The GCPVS is simulated in Matlab/Simulink and tested during two scenarios. The first scenario involves changes in irradiation and temperature, and the second concerns a real measured irradiance profile.</w:t>
      </w:r>
    </w:p>
    <w:p w14:paraId="40228E02" w14:textId="77777777" w:rsidR="00050F97" w:rsidRPr="00E52D63" w:rsidRDefault="00050F97" w:rsidP="00050F97">
      <w:pPr>
        <w:pStyle w:val="SolarPACESHeading11"/>
        <w:spacing w:line="240" w:lineRule="auto"/>
        <w:ind w:left="720"/>
        <w:jc w:val="center"/>
        <w:rPr>
          <w:color w:val="000000" w:themeColor="text1"/>
          <w:szCs w:val="24"/>
          <w:lang w:val="en-US"/>
        </w:rPr>
      </w:pPr>
      <w:r w:rsidRPr="00E52D63">
        <w:rPr>
          <w:color w:val="000000" w:themeColor="text1"/>
          <w:szCs w:val="24"/>
          <w:lang w:val="en-US"/>
        </w:rPr>
        <w:t>Scenario 1</w:t>
      </w:r>
    </w:p>
    <w:p w14:paraId="08AEB214" w14:textId="77777777" w:rsidR="00050F97" w:rsidRPr="00E52D63" w:rsidRDefault="00050F97" w:rsidP="00050F97">
      <w:pPr>
        <w:spacing w:after="160"/>
        <w:ind w:firstLine="284"/>
        <w:jc w:val="both"/>
        <w:rPr>
          <w:rFonts w:eastAsia="Calibri"/>
          <w:color w:val="000000" w:themeColor="text1"/>
          <w:sz w:val="20"/>
          <w:szCs w:val="22"/>
          <w:lang w:eastAsia="en-US"/>
        </w:rPr>
      </w:pPr>
      <w:r w:rsidRPr="00E52D63">
        <w:rPr>
          <w:rFonts w:eastAsia="Calibri"/>
          <w:color w:val="000000" w:themeColor="text1"/>
          <w:sz w:val="20"/>
          <w:szCs w:val="22"/>
          <w:lang w:eastAsia="en-US"/>
        </w:rPr>
        <w:t xml:space="preserve">The first scenario analyzes the behavior of the GCPVS under </w:t>
      </w:r>
      <w:r w:rsidR="00D40AC3" w:rsidRPr="00E52D63">
        <w:rPr>
          <w:rFonts w:eastAsia="Calibri"/>
          <w:color w:val="000000" w:themeColor="text1"/>
          <w:sz w:val="20"/>
          <w:szCs w:val="22"/>
          <w:lang w:eastAsia="en-US"/>
        </w:rPr>
        <w:t>variations in environmental conditions</w:t>
      </w:r>
      <w:r w:rsidRPr="00E52D63">
        <w:rPr>
          <w:rFonts w:eastAsia="Calibri"/>
          <w:color w:val="000000" w:themeColor="text1"/>
          <w:sz w:val="20"/>
          <w:szCs w:val="22"/>
          <w:lang w:eastAsia="en-US"/>
        </w:rPr>
        <w:t xml:space="preserve"> by using the BS and INC techniques. Figure 2(a) presents the applied profile. Fig. 2(b) displays the behavior of the extracted power P</w:t>
      </w:r>
      <w:r w:rsidRPr="00E52D63">
        <w:rPr>
          <w:rFonts w:eastAsia="Calibri"/>
          <w:color w:val="000000" w:themeColor="text1"/>
          <w:sz w:val="20"/>
          <w:szCs w:val="22"/>
          <w:vertAlign w:val="subscript"/>
          <w:lang w:eastAsia="en-US"/>
        </w:rPr>
        <w:t>pv</w:t>
      </w:r>
      <w:r w:rsidRPr="00E52D63">
        <w:rPr>
          <w:rFonts w:eastAsia="Calibri"/>
          <w:color w:val="000000" w:themeColor="text1"/>
          <w:sz w:val="20"/>
          <w:szCs w:val="22"/>
          <w:lang w:eastAsia="en-US"/>
        </w:rPr>
        <w:t xml:space="preserve"> under this scenario, where the proposed BS technique achieves rapid tracking with fewer fluctuations, resulting in lower energy losses. Contrary to the classic INC method, which produces a P</w:t>
      </w:r>
      <w:r w:rsidRPr="00E52D63">
        <w:rPr>
          <w:rFonts w:eastAsia="Calibri"/>
          <w:color w:val="000000" w:themeColor="text1"/>
          <w:sz w:val="20"/>
          <w:szCs w:val="22"/>
          <w:vertAlign w:val="subscript"/>
          <w:lang w:eastAsia="en-US"/>
        </w:rPr>
        <w:t>pv</w:t>
      </w:r>
      <w:r w:rsidRPr="00E52D63">
        <w:rPr>
          <w:rFonts w:eastAsia="Calibri"/>
          <w:color w:val="000000" w:themeColor="text1"/>
          <w:sz w:val="20"/>
          <w:szCs w:val="22"/>
          <w:lang w:eastAsia="en-US"/>
        </w:rPr>
        <w:t xml:space="preserve"> power with significant fluctuations. Fig. 2(c) depicts the active power P</w:t>
      </w:r>
      <w:r w:rsidRPr="00E52D63">
        <w:rPr>
          <w:rFonts w:eastAsia="Calibri"/>
          <w:color w:val="000000" w:themeColor="text1"/>
          <w:sz w:val="20"/>
          <w:szCs w:val="22"/>
          <w:vertAlign w:val="subscript"/>
          <w:lang w:eastAsia="en-US"/>
        </w:rPr>
        <w:t>a</w:t>
      </w:r>
      <w:r w:rsidRPr="00E52D63">
        <w:rPr>
          <w:rFonts w:eastAsia="Calibri"/>
          <w:color w:val="000000" w:themeColor="text1"/>
          <w:sz w:val="20"/>
          <w:szCs w:val="22"/>
          <w:lang w:eastAsia="en-US"/>
        </w:rPr>
        <w:t>, where the INC creates major fluctuations without following the P</w:t>
      </w:r>
      <w:r w:rsidRPr="00E52D63">
        <w:rPr>
          <w:rFonts w:eastAsia="Calibri"/>
          <w:color w:val="000000" w:themeColor="text1"/>
          <w:sz w:val="20"/>
          <w:szCs w:val="22"/>
          <w:vertAlign w:val="subscript"/>
          <w:lang w:eastAsia="en-US"/>
        </w:rPr>
        <w:t>pv</w:t>
      </w:r>
      <w:r w:rsidRPr="00E52D63">
        <w:rPr>
          <w:rFonts w:eastAsia="Calibri"/>
          <w:color w:val="000000" w:themeColor="text1"/>
          <w:sz w:val="20"/>
          <w:szCs w:val="22"/>
          <w:lang w:eastAsia="en-US"/>
        </w:rPr>
        <w:t>. Meanwhile, the BS reaches the suitable power rapidly, with negligible oscillations. Regarding the DC bus voltage, the suggested technique exhibits a stable voltage, with reduced fluctuations as demonstrated in Fig. 2(d). In contrast, the INC generates a Vdc signal with extremely high oscillations, indicating poor stability and robustness.</w:t>
      </w:r>
    </w:p>
    <w:p w14:paraId="30F26A74" w14:textId="77777777" w:rsidR="00054727" w:rsidRDefault="00050F97" w:rsidP="00050F97">
      <w:pPr>
        <w:spacing w:after="160"/>
        <w:jc w:val="center"/>
      </w:pPr>
      <w:r>
        <w:rPr>
          <w:noProof/>
          <w:lang w:val="fr-CA" w:eastAsia="fr-CA"/>
        </w:rPr>
        <w:drawing>
          <wp:inline distT="0" distB="0" distL="0" distR="0" wp14:anchorId="762435B8" wp14:editId="662DC416">
            <wp:extent cx="5943600" cy="369443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enario1.ti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3694430"/>
                    </a:xfrm>
                    <a:prstGeom prst="rect">
                      <a:avLst/>
                    </a:prstGeom>
                  </pic:spPr>
                </pic:pic>
              </a:graphicData>
            </a:graphic>
          </wp:inline>
        </w:drawing>
      </w:r>
    </w:p>
    <w:p w14:paraId="5EEABF07" w14:textId="77777777" w:rsidR="006C1FD2" w:rsidRPr="00E52D63" w:rsidRDefault="006C1FD2" w:rsidP="006C1FD2">
      <w:pPr>
        <w:pStyle w:val="ListParagraph"/>
        <w:jc w:val="center"/>
        <w:rPr>
          <w:rFonts w:eastAsia="Calibri"/>
          <w:color w:val="000000" w:themeColor="text1"/>
          <w:sz w:val="18"/>
          <w:szCs w:val="22"/>
          <w:lang w:eastAsia="en-US"/>
        </w:rPr>
      </w:pPr>
      <w:r w:rsidRPr="00E52D63">
        <w:rPr>
          <w:rFonts w:eastAsia="Calibri"/>
          <w:b/>
          <w:color w:val="000000" w:themeColor="text1"/>
          <w:sz w:val="18"/>
          <w:szCs w:val="22"/>
          <w:lang w:eastAsia="en-US"/>
        </w:rPr>
        <w:t>Figure</w:t>
      </w:r>
      <w:r w:rsidR="003C39C1" w:rsidRPr="00E52D63">
        <w:rPr>
          <w:rFonts w:eastAsia="Calibri"/>
          <w:b/>
          <w:color w:val="000000" w:themeColor="text1"/>
          <w:sz w:val="18"/>
          <w:szCs w:val="22"/>
          <w:lang w:eastAsia="en-US"/>
        </w:rPr>
        <w:t xml:space="preserve"> </w:t>
      </w:r>
      <w:r w:rsidR="00050F97" w:rsidRPr="00E52D63">
        <w:rPr>
          <w:rFonts w:eastAsia="Calibri"/>
          <w:b/>
          <w:color w:val="000000" w:themeColor="text1"/>
          <w:sz w:val="18"/>
          <w:szCs w:val="22"/>
          <w:lang w:eastAsia="en-US"/>
        </w:rPr>
        <w:t>2</w:t>
      </w:r>
      <w:r w:rsidRPr="00E52D63">
        <w:rPr>
          <w:rFonts w:eastAsia="Calibri"/>
          <w:b/>
          <w:color w:val="000000" w:themeColor="text1"/>
          <w:sz w:val="18"/>
          <w:szCs w:val="22"/>
          <w:lang w:eastAsia="en-US"/>
        </w:rPr>
        <w:t>.</w:t>
      </w:r>
      <w:r w:rsidRPr="00E52D63">
        <w:rPr>
          <w:rFonts w:eastAsia="Calibri"/>
          <w:color w:val="000000" w:themeColor="text1"/>
          <w:sz w:val="18"/>
          <w:szCs w:val="22"/>
          <w:lang w:eastAsia="en-US"/>
        </w:rPr>
        <w:t xml:space="preserve"> </w:t>
      </w:r>
      <w:r w:rsidR="00B4742E" w:rsidRPr="00E52D63">
        <w:rPr>
          <w:rFonts w:eastAsia="Calibri"/>
          <w:color w:val="000000" w:themeColor="text1"/>
          <w:sz w:val="18"/>
          <w:szCs w:val="22"/>
          <w:lang w:eastAsia="en-US"/>
        </w:rPr>
        <w:t>DC bus voltage</w:t>
      </w:r>
      <w:r w:rsidRPr="00E52D63">
        <w:rPr>
          <w:rFonts w:eastAsia="Calibri"/>
          <w:color w:val="000000" w:themeColor="text1"/>
          <w:sz w:val="18"/>
          <w:szCs w:val="22"/>
          <w:lang w:eastAsia="en-US"/>
        </w:rPr>
        <w:t xml:space="preserve"> of scenario 1 </w:t>
      </w:r>
    </w:p>
    <w:p w14:paraId="6EAF560B" w14:textId="77777777" w:rsidR="006C1FD2" w:rsidRPr="009566AF" w:rsidRDefault="00CE732A" w:rsidP="009566AF">
      <w:pPr>
        <w:pStyle w:val="SolarPACESHeading11"/>
        <w:spacing w:line="240" w:lineRule="auto"/>
        <w:ind w:left="720"/>
        <w:jc w:val="center"/>
      </w:pPr>
      <w:r w:rsidRPr="00B072ED">
        <w:t>Scenario 2</w:t>
      </w:r>
    </w:p>
    <w:p w14:paraId="5784D06B" w14:textId="77777777" w:rsidR="009566AF" w:rsidRPr="00E52D63" w:rsidRDefault="009566AF" w:rsidP="009566AF">
      <w:pPr>
        <w:ind w:firstLine="284"/>
        <w:jc w:val="both"/>
        <w:rPr>
          <w:color w:val="000000" w:themeColor="text1"/>
          <w:sz w:val="20"/>
        </w:rPr>
      </w:pPr>
      <w:r w:rsidRPr="00E52D63">
        <w:rPr>
          <w:color w:val="000000" w:themeColor="text1"/>
          <w:sz w:val="20"/>
        </w:rPr>
        <w:t xml:space="preserve">Concerning the second scenario, the GCPVS is tested under real irradiance changes of El-Jadida, MOROCCO. Figure 3(a) presents the used profile, which includes slow and fast variations during the day. Moreover, it combines slow drifts and unpredictable dips. These changes represent a more realistic challenge for control techniques compared to regular profiles. </w:t>
      </w:r>
      <w:r w:rsidR="004029C2" w:rsidRPr="00E52D63">
        <w:rPr>
          <w:color w:val="000000" w:themeColor="text1"/>
          <w:sz w:val="20"/>
        </w:rPr>
        <w:t xml:space="preserve"> </w:t>
      </w:r>
      <w:r w:rsidRPr="00E52D63">
        <w:rPr>
          <w:color w:val="000000" w:themeColor="text1"/>
          <w:sz w:val="20"/>
        </w:rPr>
        <w:t>Figure 3(b) shows the P</w:t>
      </w:r>
      <w:r w:rsidRPr="00E52D63">
        <w:rPr>
          <w:color w:val="000000" w:themeColor="text1"/>
          <w:sz w:val="20"/>
          <w:vertAlign w:val="subscript"/>
        </w:rPr>
        <w:t>pv</w:t>
      </w:r>
      <w:r w:rsidRPr="00E52D63">
        <w:rPr>
          <w:color w:val="000000" w:themeColor="text1"/>
          <w:sz w:val="20"/>
        </w:rPr>
        <w:t xml:space="preserve"> behavior under the real irradiance profile, where the BS technique produces a power with an improved efficiency, minimizing energy losses. The INC controller generates significant oscillations in P</w:t>
      </w:r>
      <w:r w:rsidRPr="00E52D63">
        <w:rPr>
          <w:color w:val="000000" w:themeColor="text1"/>
          <w:sz w:val="20"/>
          <w:vertAlign w:val="subscript"/>
        </w:rPr>
        <w:t>pv</w:t>
      </w:r>
      <w:r w:rsidRPr="00E52D63">
        <w:rPr>
          <w:color w:val="000000" w:themeColor="text1"/>
          <w:sz w:val="20"/>
        </w:rPr>
        <w:t>, specifically during fast irradiance dips and rises, as indicated in zooms one and two. These fluctuations influence the overall efficiency. Concerning the active power, the INC technique generates an unstable P</w:t>
      </w:r>
      <w:r w:rsidRPr="00E52D63">
        <w:rPr>
          <w:color w:val="000000" w:themeColor="text1"/>
          <w:sz w:val="20"/>
          <w:vertAlign w:val="subscript"/>
        </w:rPr>
        <w:t>a</w:t>
      </w:r>
      <w:r w:rsidRPr="00E52D63">
        <w:rPr>
          <w:color w:val="000000" w:themeColor="text1"/>
          <w:sz w:val="20"/>
        </w:rPr>
        <w:t xml:space="preserve"> with important oscillations, reflecting its poor stability. Meanwhile, the proposed method injects a P</w:t>
      </w:r>
      <w:r w:rsidRPr="00E52D63">
        <w:rPr>
          <w:color w:val="000000" w:themeColor="text1"/>
          <w:sz w:val="20"/>
          <w:vertAlign w:val="subscript"/>
        </w:rPr>
        <w:t>a</w:t>
      </w:r>
      <w:r w:rsidRPr="00E52D63">
        <w:rPr>
          <w:color w:val="000000" w:themeColor="text1"/>
          <w:sz w:val="20"/>
        </w:rPr>
        <w:t xml:space="preserve"> power into </w:t>
      </w:r>
      <w:r w:rsidRPr="00E52D63">
        <w:rPr>
          <w:color w:val="000000" w:themeColor="text1"/>
          <w:sz w:val="20"/>
        </w:rPr>
        <w:lastRenderedPageBreak/>
        <w:t>the grid with rapid and minor fluctuations under abrupt climatic changes, as displayed in Fig. 3(c). Figure 3(d) illustrates the Vdc voltage, which the BS control technique maintains a stable signal throughout the day, with less voltage ripple. In contrast, the INC method produces a Vdc signal with significant fluctuations, which may reduce the AC side efficiency.</w:t>
      </w:r>
    </w:p>
    <w:p w14:paraId="1D3C6C6B" w14:textId="77777777" w:rsidR="009566AF" w:rsidRDefault="009566AF" w:rsidP="00B2394A">
      <w:pPr>
        <w:jc w:val="both"/>
        <w:rPr>
          <w:color w:val="000000"/>
          <w:sz w:val="20"/>
        </w:rPr>
      </w:pPr>
      <w:r>
        <w:rPr>
          <w:noProof/>
          <w:color w:val="000000"/>
          <w:sz w:val="20"/>
          <w:lang w:val="fr-CA" w:eastAsia="fr-CA"/>
        </w:rPr>
        <w:drawing>
          <wp:inline distT="0" distB="0" distL="0" distR="0" wp14:anchorId="1D5DDA35" wp14:editId="19D617C8">
            <wp:extent cx="5972810" cy="3697605"/>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enario2.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72810" cy="3697605"/>
                    </a:xfrm>
                    <a:prstGeom prst="rect">
                      <a:avLst/>
                    </a:prstGeom>
                  </pic:spPr>
                </pic:pic>
              </a:graphicData>
            </a:graphic>
          </wp:inline>
        </w:drawing>
      </w:r>
    </w:p>
    <w:p w14:paraId="32180CA7" w14:textId="77777777" w:rsidR="009566AF" w:rsidRPr="00E52D63" w:rsidRDefault="009566AF" w:rsidP="004029C2">
      <w:pPr>
        <w:pStyle w:val="ListParagraph"/>
        <w:jc w:val="center"/>
        <w:rPr>
          <w:rFonts w:eastAsia="Calibri"/>
          <w:color w:val="000000" w:themeColor="text1"/>
          <w:sz w:val="18"/>
          <w:szCs w:val="22"/>
          <w:lang w:eastAsia="en-US"/>
        </w:rPr>
      </w:pPr>
      <w:r w:rsidRPr="00E52D63">
        <w:rPr>
          <w:rFonts w:eastAsia="Calibri"/>
          <w:b/>
          <w:color w:val="000000" w:themeColor="text1"/>
          <w:sz w:val="18"/>
          <w:szCs w:val="22"/>
          <w:lang w:eastAsia="en-US"/>
        </w:rPr>
        <w:t>Figure 3.</w:t>
      </w:r>
      <w:r w:rsidRPr="00E52D63">
        <w:rPr>
          <w:rFonts w:eastAsia="Calibri"/>
          <w:color w:val="000000" w:themeColor="text1"/>
          <w:sz w:val="18"/>
          <w:szCs w:val="22"/>
          <w:lang w:eastAsia="en-US"/>
        </w:rPr>
        <w:t xml:space="preserve"> DC bus voltage of scenario 2 </w:t>
      </w:r>
    </w:p>
    <w:p w14:paraId="5FAA3CF4" w14:textId="77777777" w:rsidR="00AB67E5" w:rsidRPr="00E52D63" w:rsidRDefault="009566AF" w:rsidP="004029C2">
      <w:pPr>
        <w:rPr>
          <w:color w:val="000000" w:themeColor="text1"/>
          <w:sz w:val="20"/>
          <w:szCs w:val="20"/>
        </w:rPr>
      </w:pPr>
      <w:r w:rsidRPr="00E52D63">
        <w:rPr>
          <w:color w:val="000000" w:themeColor="text1"/>
          <w:sz w:val="20"/>
          <w:szCs w:val="20"/>
        </w:rPr>
        <w:t xml:space="preserve">These results affirm the effectiveness and robustness of the suggested BS technique. Unlike the classic INC, which suffers from poor stability and significant oscillations. </w:t>
      </w:r>
    </w:p>
    <w:p w14:paraId="20F15820" w14:textId="77777777" w:rsidR="00C3375A" w:rsidRPr="00E52D63" w:rsidRDefault="00C3375A" w:rsidP="00AB67E5">
      <w:pPr>
        <w:pStyle w:val="ListParagraph"/>
        <w:spacing w:after="240"/>
        <w:jc w:val="center"/>
        <w:rPr>
          <w:rFonts w:eastAsia="Calibri"/>
          <w:color w:val="000000" w:themeColor="text1"/>
          <w:sz w:val="18"/>
          <w:szCs w:val="22"/>
          <w:lang w:eastAsia="en-US"/>
        </w:rPr>
      </w:pPr>
      <w:r w:rsidRPr="00E52D63">
        <w:rPr>
          <w:b/>
          <w:color w:val="000000" w:themeColor="text1"/>
          <w:sz w:val="20"/>
          <w:szCs w:val="20"/>
          <w:lang w:val="en-GB"/>
        </w:rPr>
        <w:t>THD at STC</w:t>
      </w:r>
    </w:p>
    <w:p w14:paraId="65CE8449" w14:textId="77777777" w:rsidR="00EE4ADA" w:rsidRPr="00E52D63" w:rsidRDefault="00EE4ADA" w:rsidP="00EE4ADA">
      <w:pPr>
        <w:spacing w:after="240"/>
        <w:ind w:firstLine="284"/>
        <w:jc w:val="both"/>
        <w:rPr>
          <w:color w:val="000000" w:themeColor="text1"/>
        </w:rPr>
      </w:pPr>
      <w:r w:rsidRPr="00E52D63">
        <w:rPr>
          <w:color w:val="000000" w:themeColor="text1"/>
          <w:sz w:val="20"/>
          <w:szCs w:val="20"/>
        </w:rPr>
        <w:t>A THD comparison has been established under two scenarios for evaluating the robustness of the proposed technique, the first considers a real irradiance profile, whilst the second is applied at Standard Test Conditions (STC).</w:t>
      </w:r>
      <w:r w:rsidR="004029C2" w:rsidRPr="00E52D63">
        <w:rPr>
          <w:color w:val="000000" w:themeColor="text1"/>
        </w:rPr>
        <w:t xml:space="preserve"> </w:t>
      </w:r>
      <w:r w:rsidR="008F4D5B" w:rsidRPr="00E52D63">
        <w:rPr>
          <w:color w:val="000000" w:themeColor="text1"/>
          <w:sz w:val="20"/>
          <w:szCs w:val="20"/>
        </w:rPr>
        <w:t xml:space="preserve">Figure 4 introduces the benchmarked </w:t>
      </w:r>
      <w:r w:rsidR="00C80926" w:rsidRPr="00E52D63">
        <w:rPr>
          <w:color w:val="000000" w:themeColor="text1"/>
          <w:sz w:val="20"/>
          <w:szCs w:val="20"/>
        </w:rPr>
        <w:t xml:space="preserve">THD </w:t>
      </w:r>
      <w:r w:rsidR="008F4D5B" w:rsidRPr="00E52D63">
        <w:rPr>
          <w:color w:val="000000" w:themeColor="text1"/>
          <w:sz w:val="20"/>
          <w:szCs w:val="20"/>
        </w:rPr>
        <w:t xml:space="preserve">results under real irradiance variations, </w:t>
      </w:r>
      <w:r w:rsidR="00C80926" w:rsidRPr="00E52D63">
        <w:rPr>
          <w:color w:val="000000" w:themeColor="text1"/>
          <w:sz w:val="20"/>
          <w:szCs w:val="20"/>
        </w:rPr>
        <w:t>showing</w:t>
      </w:r>
      <w:r w:rsidR="008F4D5B" w:rsidRPr="00E52D63">
        <w:rPr>
          <w:color w:val="000000" w:themeColor="text1"/>
          <w:sz w:val="20"/>
          <w:szCs w:val="20"/>
        </w:rPr>
        <w:t xml:space="preserve"> that the proposed technique BS exhibits a reduced value of </w:t>
      </w:r>
      <w:r w:rsidR="00C80926" w:rsidRPr="00E52D63">
        <w:rPr>
          <w:color w:val="000000" w:themeColor="text1"/>
          <w:sz w:val="20"/>
          <w:szCs w:val="20"/>
        </w:rPr>
        <w:t xml:space="preserve">2.60%, unlike the INC method, which achieves a high THD value of 7.57%. </w:t>
      </w:r>
    </w:p>
    <w:p w14:paraId="3EB5DB5B" w14:textId="77777777" w:rsidR="008F4D5B" w:rsidRDefault="00C30469" w:rsidP="00B2394A">
      <w:pPr>
        <w:spacing w:after="240"/>
        <w:jc w:val="both"/>
        <w:rPr>
          <w:color w:val="000000"/>
          <w:sz w:val="20"/>
          <w:szCs w:val="20"/>
        </w:rPr>
      </w:pPr>
      <w:r>
        <w:rPr>
          <w:noProof/>
          <w:color w:val="000000"/>
          <w:sz w:val="20"/>
          <w:szCs w:val="20"/>
          <w:lang w:val="fr-CA" w:eastAsia="fr-CA"/>
        </w:rPr>
        <w:drawing>
          <wp:inline distT="0" distB="0" distL="0" distR="0" wp14:anchorId="04C85DBB" wp14:editId="15C08B54">
            <wp:extent cx="5943600" cy="215138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FTAnalysisToolResult.ti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2151380"/>
                    </a:xfrm>
                    <a:prstGeom prst="rect">
                      <a:avLst/>
                    </a:prstGeom>
                  </pic:spPr>
                </pic:pic>
              </a:graphicData>
            </a:graphic>
          </wp:inline>
        </w:drawing>
      </w:r>
    </w:p>
    <w:p w14:paraId="61AD0F0B" w14:textId="77777777" w:rsidR="006C2474" w:rsidRPr="00E52D63" w:rsidRDefault="006C2474" w:rsidP="006C2474">
      <w:pPr>
        <w:jc w:val="center"/>
        <w:rPr>
          <w:rFonts w:eastAsia="Calibri"/>
          <w:color w:val="000000" w:themeColor="text1"/>
          <w:sz w:val="18"/>
          <w:szCs w:val="22"/>
          <w:lang w:eastAsia="en-US"/>
        </w:rPr>
      </w:pPr>
      <w:r w:rsidRPr="00E52D63">
        <w:rPr>
          <w:rFonts w:eastAsia="Calibri"/>
          <w:b/>
          <w:color w:val="000000" w:themeColor="text1"/>
          <w:sz w:val="18"/>
          <w:szCs w:val="22"/>
          <w:lang w:eastAsia="en-US"/>
        </w:rPr>
        <w:t>Figure 4.</w:t>
      </w:r>
      <w:r w:rsidRPr="00E52D63">
        <w:rPr>
          <w:rFonts w:eastAsia="Calibri"/>
          <w:color w:val="000000" w:themeColor="text1"/>
          <w:sz w:val="18"/>
          <w:szCs w:val="22"/>
          <w:lang w:eastAsia="en-US"/>
        </w:rPr>
        <w:t xml:space="preserve"> THD under real irradiance changes: (a) BS technique (b) INC technique</w:t>
      </w:r>
    </w:p>
    <w:p w14:paraId="472702CB" w14:textId="77777777" w:rsidR="00C4486B" w:rsidRPr="006C2474" w:rsidRDefault="00C4486B" w:rsidP="006C2474">
      <w:pPr>
        <w:jc w:val="center"/>
        <w:rPr>
          <w:rFonts w:eastAsia="Calibri"/>
          <w:color w:val="FF0000"/>
          <w:sz w:val="18"/>
          <w:szCs w:val="22"/>
          <w:lang w:eastAsia="en-US"/>
        </w:rPr>
      </w:pPr>
    </w:p>
    <w:p w14:paraId="3EA311DE" w14:textId="77777777" w:rsidR="00C4486B" w:rsidRPr="00E52D63" w:rsidRDefault="006C2474" w:rsidP="00AB67E5">
      <w:pPr>
        <w:spacing w:after="240"/>
        <w:ind w:firstLine="284"/>
        <w:jc w:val="both"/>
        <w:rPr>
          <w:color w:val="000000" w:themeColor="text1"/>
          <w:sz w:val="20"/>
          <w:szCs w:val="20"/>
        </w:rPr>
      </w:pPr>
      <w:r w:rsidRPr="00E52D63">
        <w:rPr>
          <w:color w:val="000000" w:themeColor="text1"/>
          <w:sz w:val="20"/>
          <w:szCs w:val="20"/>
        </w:rPr>
        <w:t>Figure 5 reveals that the B</w:t>
      </w:r>
      <w:r w:rsidR="00D00952" w:rsidRPr="00E52D63">
        <w:rPr>
          <w:color w:val="000000" w:themeColor="text1"/>
          <w:sz w:val="20"/>
          <w:szCs w:val="20"/>
        </w:rPr>
        <w:t>S</w:t>
      </w:r>
      <w:r w:rsidRPr="00E52D63">
        <w:rPr>
          <w:color w:val="000000" w:themeColor="text1"/>
          <w:sz w:val="20"/>
          <w:szCs w:val="20"/>
        </w:rPr>
        <w:t xml:space="preserve"> technique exhibits a diminished THD with a </w:t>
      </w:r>
      <w:r w:rsidR="00A4032C" w:rsidRPr="00E52D63">
        <w:rPr>
          <w:color w:val="000000" w:themeColor="text1"/>
          <w:sz w:val="20"/>
          <w:szCs w:val="20"/>
        </w:rPr>
        <w:t>0.96</w:t>
      </w:r>
      <w:r w:rsidRPr="00E52D63">
        <w:rPr>
          <w:color w:val="000000" w:themeColor="text1"/>
          <w:sz w:val="20"/>
          <w:szCs w:val="20"/>
        </w:rPr>
        <w:t>% value. Contrary to the INC method, which displays a high THD of 7.7</w:t>
      </w:r>
      <w:r w:rsidR="00A4032C" w:rsidRPr="00E52D63">
        <w:rPr>
          <w:color w:val="000000" w:themeColor="text1"/>
          <w:sz w:val="20"/>
          <w:szCs w:val="20"/>
        </w:rPr>
        <w:t>1%</w:t>
      </w:r>
      <w:r w:rsidRPr="00E52D63">
        <w:rPr>
          <w:color w:val="000000" w:themeColor="text1"/>
          <w:sz w:val="20"/>
          <w:szCs w:val="20"/>
        </w:rPr>
        <w:t>. This comparison indicates the superior power quality of the proposed B</w:t>
      </w:r>
      <w:r w:rsidR="00A4032C" w:rsidRPr="00E52D63">
        <w:rPr>
          <w:color w:val="000000" w:themeColor="text1"/>
          <w:sz w:val="20"/>
          <w:szCs w:val="20"/>
        </w:rPr>
        <w:t>S</w:t>
      </w:r>
      <w:r w:rsidRPr="00E52D63">
        <w:rPr>
          <w:color w:val="000000" w:themeColor="text1"/>
          <w:sz w:val="20"/>
          <w:szCs w:val="20"/>
        </w:rPr>
        <w:t xml:space="preserve"> control technique, which is crucial in GCPVS.</w:t>
      </w:r>
      <w:r w:rsidR="00372F55" w:rsidRPr="00E52D63">
        <w:rPr>
          <w:color w:val="000000" w:themeColor="text1"/>
          <w:sz w:val="20"/>
          <w:szCs w:val="20"/>
        </w:rPr>
        <w:t xml:space="preserve"> </w:t>
      </w:r>
    </w:p>
    <w:p w14:paraId="10F14F9D" w14:textId="77777777" w:rsidR="006C1FD2" w:rsidRPr="006C2474" w:rsidRDefault="00C30469" w:rsidP="00B2394A">
      <w:pPr>
        <w:spacing w:after="160"/>
        <w:jc w:val="center"/>
        <w:rPr>
          <w:color w:val="000000"/>
          <w:sz w:val="20"/>
          <w:szCs w:val="20"/>
        </w:rPr>
      </w:pPr>
      <w:r>
        <w:rPr>
          <w:noProof/>
          <w:color w:val="000000"/>
          <w:sz w:val="20"/>
          <w:szCs w:val="20"/>
          <w:lang w:val="fr-CA" w:eastAsia="fr-CA"/>
        </w:rPr>
        <w:drawing>
          <wp:inline distT="0" distB="0" distL="0" distR="0" wp14:anchorId="16ADD86E" wp14:editId="2654AF4E">
            <wp:extent cx="5943600" cy="215138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FTAnalysisToolResult2.tif"/>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3600" cy="2151380"/>
                    </a:xfrm>
                    <a:prstGeom prst="rect">
                      <a:avLst/>
                    </a:prstGeom>
                  </pic:spPr>
                </pic:pic>
              </a:graphicData>
            </a:graphic>
          </wp:inline>
        </w:drawing>
      </w:r>
    </w:p>
    <w:p w14:paraId="1487E4F9" w14:textId="77777777" w:rsidR="006E1199" w:rsidRPr="00E52D63" w:rsidRDefault="006E1199" w:rsidP="00AB67E5">
      <w:pPr>
        <w:spacing w:after="240"/>
        <w:jc w:val="center"/>
        <w:rPr>
          <w:rFonts w:eastAsia="Calibri"/>
          <w:color w:val="000000" w:themeColor="text1"/>
          <w:sz w:val="18"/>
          <w:szCs w:val="22"/>
          <w:lang w:eastAsia="en-US"/>
        </w:rPr>
      </w:pPr>
      <w:r w:rsidRPr="00E52D63">
        <w:rPr>
          <w:rFonts w:eastAsia="Calibri"/>
          <w:b/>
          <w:color w:val="000000" w:themeColor="text1"/>
          <w:sz w:val="18"/>
          <w:szCs w:val="22"/>
          <w:lang w:eastAsia="en-US"/>
        </w:rPr>
        <w:t>Figure</w:t>
      </w:r>
      <w:r w:rsidR="003C39C1" w:rsidRPr="00E52D63">
        <w:rPr>
          <w:rFonts w:eastAsia="Calibri"/>
          <w:b/>
          <w:color w:val="000000" w:themeColor="text1"/>
          <w:sz w:val="18"/>
          <w:szCs w:val="22"/>
          <w:lang w:eastAsia="en-US"/>
        </w:rPr>
        <w:t xml:space="preserve"> </w:t>
      </w:r>
      <w:r w:rsidR="006C2474" w:rsidRPr="00E52D63">
        <w:rPr>
          <w:rFonts w:eastAsia="Calibri"/>
          <w:b/>
          <w:color w:val="000000" w:themeColor="text1"/>
          <w:sz w:val="18"/>
          <w:szCs w:val="22"/>
          <w:lang w:eastAsia="en-US"/>
        </w:rPr>
        <w:t>5</w:t>
      </w:r>
      <w:r w:rsidRPr="00E52D63">
        <w:rPr>
          <w:rFonts w:eastAsia="Calibri"/>
          <w:b/>
          <w:color w:val="000000" w:themeColor="text1"/>
          <w:sz w:val="18"/>
          <w:szCs w:val="22"/>
          <w:lang w:eastAsia="en-US"/>
        </w:rPr>
        <w:t>.</w:t>
      </w:r>
      <w:r w:rsidRPr="00E52D63">
        <w:rPr>
          <w:rFonts w:eastAsia="Calibri"/>
          <w:color w:val="000000" w:themeColor="text1"/>
          <w:sz w:val="18"/>
          <w:szCs w:val="22"/>
          <w:lang w:eastAsia="en-US"/>
        </w:rPr>
        <w:t xml:space="preserve"> </w:t>
      </w:r>
      <w:r w:rsidR="006C2474" w:rsidRPr="00E52D63">
        <w:rPr>
          <w:rFonts w:eastAsia="Calibri"/>
          <w:color w:val="000000" w:themeColor="text1"/>
          <w:sz w:val="18"/>
          <w:szCs w:val="22"/>
          <w:lang w:eastAsia="en-US"/>
        </w:rPr>
        <w:t>THD at STC: (a) BS technique (b) INC technique</w:t>
      </w:r>
    </w:p>
    <w:p w14:paraId="3C67DB01" w14:textId="77777777" w:rsidR="007D03FE" w:rsidRPr="00E52D63" w:rsidRDefault="007D03FE" w:rsidP="00B509AD">
      <w:pPr>
        <w:pStyle w:val="ListParagraph"/>
        <w:spacing w:after="240"/>
        <w:jc w:val="center"/>
        <w:rPr>
          <w:b/>
          <w:color w:val="000000" w:themeColor="text1"/>
          <w:sz w:val="20"/>
          <w:szCs w:val="20"/>
          <w:lang w:val="en-GB"/>
        </w:rPr>
      </w:pPr>
      <w:r w:rsidRPr="00E52D63">
        <w:rPr>
          <w:b/>
          <w:color w:val="000000" w:themeColor="text1"/>
          <w:sz w:val="20"/>
          <w:szCs w:val="20"/>
        </w:rPr>
        <w:t>Comparison of THD for Different Control Techniques</w:t>
      </w:r>
    </w:p>
    <w:p w14:paraId="77499831" w14:textId="77777777" w:rsidR="00B509AD" w:rsidRPr="00E52D63" w:rsidRDefault="00B509AD" w:rsidP="00B509AD">
      <w:pPr>
        <w:pStyle w:val="ListParagraph"/>
        <w:spacing w:after="240"/>
        <w:jc w:val="center"/>
        <w:rPr>
          <w:b/>
          <w:color w:val="000000" w:themeColor="text1"/>
          <w:sz w:val="20"/>
          <w:szCs w:val="20"/>
          <w:lang w:val="en-GB"/>
        </w:rPr>
      </w:pPr>
    </w:p>
    <w:p w14:paraId="5D60800B" w14:textId="77777777" w:rsidR="008D5198" w:rsidRPr="00E52D63" w:rsidRDefault="007D03FE" w:rsidP="008D5198">
      <w:pPr>
        <w:pStyle w:val="ListParagraph"/>
        <w:spacing w:after="240"/>
        <w:jc w:val="both"/>
        <w:rPr>
          <w:color w:val="000000" w:themeColor="text1"/>
          <w:sz w:val="20"/>
          <w:lang w:eastAsia="fr-CA"/>
        </w:rPr>
      </w:pPr>
      <w:r w:rsidRPr="00E52D63">
        <w:rPr>
          <w:color w:val="000000" w:themeColor="text1"/>
          <w:sz w:val="20"/>
          <w:lang w:eastAsia="fr-CA"/>
        </w:rPr>
        <w:tab/>
      </w:r>
      <w:r w:rsidR="005325EA" w:rsidRPr="00E52D63">
        <w:rPr>
          <w:color w:val="000000" w:themeColor="text1"/>
          <w:sz w:val="20"/>
          <w:lang w:eastAsia="fr-CA"/>
        </w:rPr>
        <w:t xml:space="preserve">Table 1 presents the THD values </w:t>
      </w:r>
      <w:r w:rsidR="00740838" w:rsidRPr="00E52D63">
        <w:rPr>
          <w:color w:val="000000" w:themeColor="text1"/>
          <w:sz w:val="20"/>
          <w:lang w:eastAsia="fr-CA"/>
        </w:rPr>
        <w:t xml:space="preserve">under STC </w:t>
      </w:r>
      <w:r w:rsidR="005325EA" w:rsidRPr="00E52D63">
        <w:rPr>
          <w:color w:val="000000" w:themeColor="text1"/>
          <w:sz w:val="20"/>
          <w:lang w:eastAsia="fr-CA"/>
        </w:rPr>
        <w:t xml:space="preserve">of the proposed BS techniques and other benchmarked control methods in the literature. </w:t>
      </w:r>
      <w:r w:rsidR="00740838" w:rsidRPr="00E52D63">
        <w:rPr>
          <w:color w:val="000000" w:themeColor="text1"/>
          <w:sz w:val="20"/>
          <w:lang w:eastAsia="fr-CA"/>
        </w:rPr>
        <w:t>The suggested technique achieves the diminished THD</w:t>
      </w:r>
      <w:r w:rsidRPr="00E52D63">
        <w:rPr>
          <w:color w:val="000000" w:themeColor="text1"/>
          <w:sz w:val="20"/>
          <w:lang w:eastAsia="fr-CA"/>
        </w:rPr>
        <w:t xml:space="preserve"> with 0.96%</w:t>
      </w:r>
      <w:r w:rsidR="00740838" w:rsidRPr="00E52D63">
        <w:rPr>
          <w:color w:val="000000" w:themeColor="text1"/>
          <w:sz w:val="20"/>
          <w:lang w:eastAsia="fr-CA"/>
        </w:rPr>
        <w:t xml:space="preserve">, </w:t>
      </w:r>
      <w:r w:rsidRPr="00E52D63">
        <w:rPr>
          <w:color w:val="000000" w:themeColor="text1"/>
          <w:sz w:val="20"/>
          <w:lang w:eastAsia="fr-CA"/>
        </w:rPr>
        <w:t>indicating</w:t>
      </w:r>
      <w:r w:rsidR="00740838" w:rsidRPr="00E52D63">
        <w:rPr>
          <w:color w:val="000000" w:themeColor="text1"/>
          <w:sz w:val="20"/>
          <w:lang w:eastAsia="fr-CA"/>
        </w:rPr>
        <w:t xml:space="preserve"> its ability to inject superior power quality into the grid.</w:t>
      </w:r>
      <w:r w:rsidRPr="00E52D63">
        <w:rPr>
          <w:color w:val="000000" w:themeColor="text1"/>
          <w:sz w:val="20"/>
          <w:lang w:eastAsia="fr-CA"/>
        </w:rPr>
        <w:t xml:space="preserve"> This reduced value reveals enhanced performance and compliance standards in the grid, highlighting its robustness.</w:t>
      </w:r>
    </w:p>
    <w:p w14:paraId="5A1D03BB" w14:textId="77777777" w:rsidR="005325EA" w:rsidRPr="00E52D63" w:rsidRDefault="008D5198" w:rsidP="00212D5E">
      <w:pPr>
        <w:jc w:val="center"/>
        <w:rPr>
          <w:rFonts w:eastAsia="Calibri"/>
          <w:color w:val="000000" w:themeColor="text1"/>
          <w:sz w:val="18"/>
          <w:szCs w:val="22"/>
          <w:lang w:val="fr-CA" w:eastAsia="en-US"/>
        </w:rPr>
      </w:pPr>
      <w:r w:rsidRPr="00E52D63">
        <w:rPr>
          <w:rFonts w:eastAsia="Calibri"/>
          <w:b/>
          <w:color w:val="000000" w:themeColor="text1"/>
          <w:sz w:val="18"/>
          <w:szCs w:val="22"/>
          <w:lang w:val="fr-CA" w:eastAsia="en-US"/>
        </w:rPr>
        <w:t>Table 1.</w:t>
      </w:r>
      <w:r w:rsidRPr="00E52D63">
        <w:rPr>
          <w:rFonts w:eastAsia="Calibri"/>
          <w:color w:val="000000" w:themeColor="text1"/>
          <w:sz w:val="18"/>
          <w:szCs w:val="22"/>
          <w:lang w:val="fr-CA" w:eastAsia="en-US"/>
        </w:rPr>
        <w:t xml:space="preserve"> THD </w:t>
      </w:r>
      <w:r w:rsidR="00EF61C7" w:rsidRPr="00E52D63">
        <w:rPr>
          <w:rFonts w:eastAsia="Calibri"/>
          <w:color w:val="000000" w:themeColor="text1"/>
          <w:sz w:val="18"/>
          <w:szCs w:val="22"/>
          <w:lang w:val="fr-CA" w:eastAsia="en-US"/>
        </w:rPr>
        <w:t>comparison</w:t>
      </w:r>
    </w:p>
    <w:tbl>
      <w:tblPr>
        <w:tblStyle w:val="TableGrid"/>
        <w:tblW w:w="0" w:type="auto"/>
        <w:tblInd w:w="1240" w:type="dxa"/>
        <w:tblLook w:val="04A0" w:firstRow="1" w:lastRow="0" w:firstColumn="1" w:lastColumn="0" w:noHBand="0" w:noVBand="1"/>
      </w:tblPr>
      <w:tblGrid>
        <w:gridCol w:w="961"/>
        <w:gridCol w:w="4359"/>
        <w:gridCol w:w="1650"/>
      </w:tblGrid>
      <w:tr w:rsidR="00E52D63" w:rsidRPr="00E52D63" w14:paraId="2B5C0599" w14:textId="77777777" w:rsidTr="00212D5E">
        <w:tc>
          <w:tcPr>
            <w:tcW w:w="0" w:type="auto"/>
            <w:vAlign w:val="center"/>
          </w:tcPr>
          <w:p w14:paraId="2624FFB1" w14:textId="77777777" w:rsidR="00B509AD" w:rsidRPr="00E52D63" w:rsidRDefault="00B509AD" w:rsidP="00212D5E">
            <w:pPr>
              <w:pStyle w:val="ListParagraph"/>
              <w:ind w:left="0"/>
              <w:jc w:val="center"/>
              <w:rPr>
                <w:rFonts w:eastAsia="Calibri"/>
                <w:b/>
                <w:color w:val="000000" w:themeColor="text1"/>
                <w:sz w:val="20"/>
                <w:szCs w:val="20"/>
                <w:lang w:eastAsia="en-US"/>
              </w:rPr>
            </w:pPr>
            <w:r w:rsidRPr="00E52D63">
              <w:rPr>
                <w:rFonts w:eastAsia="Calibri"/>
                <w:b/>
                <w:color w:val="000000" w:themeColor="text1"/>
                <w:sz w:val="20"/>
                <w:szCs w:val="20"/>
                <w:lang w:eastAsia="en-US"/>
              </w:rPr>
              <w:t>Ref</w:t>
            </w:r>
          </w:p>
        </w:tc>
        <w:tc>
          <w:tcPr>
            <w:tcW w:w="0" w:type="auto"/>
            <w:vAlign w:val="center"/>
          </w:tcPr>
          <w:p w14:paraId="7471EC35" w14:textId="77777777" w:rsidR="00B509AD" w:rsidRPr="00E52D63" w:rsidRDefault="00B509AD" w:rsidP="00212D5E">
            <w:pPr>
              <w:pStyle w:val="ListParagraph"/>
              <w:ind w:left="0"/>
              <w:jc w:val="center"/>
              <w:rPr>
                <w:rFonts w:eastAsia="Calibri"/>
                <w:b/>
                <w:color w:val="000000" w:themeColor="text1"/>
                <w:sz w:val="20"/>
                <w:szCs w:val="20"/>
                <w:lang w:eastAsia="en-US"/>
              </w:rPr>
            </w:pPr>
            <w:r w:rsidRPr="00E52D63">
              <w:rPr>
                <w:rFonts w:eastAsia="Calibri"/>
                <w:b/>
                <w:color w:val="000000" w:themeColor="text1"/>
                <w:sz w:val="20"/>
                <w:szCs w:val="20"/>
                <w:lang w:eastAsia="en-US"/>
              </w:rPr>
              <w:t>Technique</w:t>
            </w:r>
          </w:p>
        </w:tc>
        <w:tc>
          <w:tcPr>
            <w:tcW w:w="0" w:type="auto"/>
            <w:vAlign w:val="center"/>
          </w:tcPr>
          <w:p w14:paraId="517FB553" w14:textId="77777777" w:rsidR="00B509AD" w:rsidRPr="00E52D63" w:rsidRDefault="00B509AD" w:rsidP="00212D5E">
            <w:pPr>
              <w:pStyle w:val="ListParagraph"/>
              <w:ind w:left="0"/>
              <w:jc w:val="center"/>
              <w:rPr>
                <w:rFonts w:eastAsia="Calibri"/>
                <w:b/>
                <w:color w:val="000000" w:themeColor="text1"/>
                <w:sz w:val="20"/>
                <w:szCs w:val="20"/>
                <w:lang w:eastAsia="en-US"/>
              </w:rPr>
            </w:pPr>
            <w:r w:rsidRPr="00E52D63">
              <w:rPr>
                <w:rFonts w:eastAsia="Calibri"/>
                <w:b/>
                <w:color w:val="000000" w:themeColor="text1"/>
                <w:sz w:val="20"/>
                <w:szCs w:val="20"/>
                <w:lang w:eastAsia="en-US"/>
              </w:rPr>
              <w:t>THD under STC</w:t>
            </w:r>
          </w:p>
        </w:tc>
      </w:tr>
      <w:tr w:rsidR="00E52D63" w:rsidRPr="00E52D63" w14:paraId="6068E77F" w14:textId="77777777" w:rsidTr="00212D5E">
        <w:tc>
          <w:tcPr>
            <w:tcW w:w="0" w:type="auto"/>
            <w:vAlign w:val="center"/>
          </w:tcPr>
          <w:p w14:paraId="044F8D43" w14:textId="77777777" w:rsidR="00B509AD" w:rsidRPr="00E52D63" w:rsidRDefault="00B509AD" w:rsidP="008D5198">
            <w:pPr>
              <w:pStyle w:val="ListParagraph"/>
              <w:ind w:left="0"/>
              <w:jc w:val="center"/>
              <w:rPr>
                <w:rFonts w:eastAsia="Calibri"/>
                <w:color w:val="000000" w:themeColor="text1"/>
                <w:sz w:val="20"/>
                <w:szCs w:val="20"/>
                <w:lang w:eastAsia="en-US"/>
              </w:rPr>
            </w:pPr>
            <w:r w:rsidRPr="00E52D63">
              <w:rPr>
                <w:rFonts w:eastAsia="Calibri"/>
                <w:color w:val="000000" w:themeColor="text1"/>
                <w:sz w:val="20"/>
                <w:szCs w:val="20"/>
                <w:lang w:eastAsia="en-US"/>
              </w:rPr>
              <w:t>Proposed</w:t>
            </w:r>
          </w:p>
        </w:tc>
        <w:tc>
          <w:tcPr>
            <w:tcW w:w="0" w:type="auto"/>
            <w:vAlign w:val="center"/>
          </w:tcPr>
          <w:p w14:paraId="7AEAEC2C" w14:textId="77777777" w:rsidR="00B509AD" w:rsidRPr="00E52D63" w:rsidRDefault="00B509AD" w:rsidP="008D5198">
            <w:pPr>
              <w:pStyle w:val="ListParagraph"/>
              <w:ind w:left="0"/>
              <w:jc w:val="center"/>
              <w:rPr>
                <w:rFonts w:eastAsia="Calibri"/>
                <w:color w:val="000000" w:themeColor="text1"/>
                <w:sz w:val="20"/>
                <w:szCs w:val="20"/>
                <w:lang w:eastAsia="en-US"/>
              </w:rPr>
            </w:pPr>
            <w:r w:rsidRPr="00E52D63">
              <w:rPr>
                <w:rFonts w:eastAsia="Calibri"/>
                <w:color w:val="000000" w:themeColor="text1"/>
                <w:sz w:val="20"/>
                <w:szCs w:val="20"/>
                <w:lang w:eastAsia="en-US"/>
              </w:rPr>
              <w:t>Backstepping controller</w:t>
            </w:r>
          </w:p>
        </w:tc>
        <w:tc>
          <w:tcPr>
            <w:tcW w:w="0" w:type="auto"/>
            <w:vAlign w:val="center"/>
          </w:tcPr>
          <w:p w14:paraId="217353F7" w14:textId="77777777" w:rsidR="00B509AD" w:rsidRPr="00E52D63" w:rsidRDefault="00B509AD" w:rsidP="008D5198">
            <w:pPr>
              <w:pStyle w:val="ListParagraph"/>
              <w:ind w:left="0"/>
              <w:jc w:val="center"/>
              <w:rPr>
                <w:rFonts w:eastAsia="Calibri"/>
                <w:color w:val="000000" w:themeColor="text1"/>
                <w:sz w:val="20"/>
                <w:szCs w:val="20"/>
                <w:lang w:eastAsia="en-US"/>
              </w:rPr>
            </w:pPr>
            <w:r w:rsidRPr="00E52D63">
              <w:rPr>
                <w:rFonts w:eastAsia="Calibri"/>
                <w:color w:val="000000" w:themeColor="text1"/>
                <w:sz w:val="20"/>
                <w:szCs w:val="20"/>
                <w:lang w:eastAsia="en-US"/>
              </w:rPr>
              <w:t>0.96%</w:t>
            </w:r>
          </w:p>
        </w:tc>
      </w:tr>
      <w:tr w:rsidR="00E52D63" w:rsidRPr="00E52D63" w14:paraId="16615CBA" w14:textId="77777777" w:rsidTr="00212D5E">
        <w:tc>
          <w:tcPr>
            <w:tcW w:w="0" w:type="auto"/>
            <w:vAlign w:val="center"/>
          </w:tcPr>
          <w:p w14:paraId="3385D8E4" w14:textId="77777777" w:rsidR="00B509AD" w:rsidRPr="00E52D63" w:rsidRDefault="007B5319" w:rsidP="008D5198">
            <w:pPr>
              <w:pStyle w:val="ListParagraph"/>
              <w:ind w:left="0"/>
              <w:jc w:val="center"/>
              <w:rPr>
                <w:rFonts w:eastAsia="Calibri"/>
                <w:color w:val="000000" w:themeColor="text1"/>
                <w:sz w:val="20"/>
                <w:szCs w:val="20"/>
                <w:lang w:eastAsia="en-US"/>
              </w:rPr>
            </w:pPr>
            <w:r w:rsidRPr="00E52D63">
              <w:rPr>
                <w:rFonts w:eastAsia="SimSun"/>
                <w:color w:val="000000" w:themeColor="text1"/>
                <w:sz w:val="20"/>
                <w:szCs w:val="20"/>
                <w:lang w:eastAsia="en-US"/>
              </w:rPr>
              <w:t>[12]</w:t>
            </w:r>
          </w:p>
        </w:tc>
        <w:tc>
          <w:tcPr>
            <w:tcW w:w="0" w:type="auto"/>
            <w:vAlign w:val="center"/>
          </w:tcPr>
          <w:p w14:paraId="30DE6FEE" w14:textId="77777777" w:rsidR="00B509AD" w:rsidRPr="00E52D63" w:rsidRDefault="00B509AD" w:rsidP="008D5198">
            <w:pPr>
              <w:pStyle w:val="ListParagraph"/>
              <w:ind w:left="0"/>
              <w:jc w:val="center"/>
              <w:rPr>
                <w:rFonts w:eastAsia="Calibri"/>
                <w:color w:val="000000" w:themeColor="text1"/>
                <w:sz w:val="20"/>
                <w:szCs w:val="20"/>
                <w:lang w:eastAsia="en-US"/>
              </w:rPr>
            </w:pPr>
            <w:r w:rsidRPr="00E52D63">
              <w:rPr>
                <w:rFonts w:eastAsia="Calibri"/>
                <w:color w:val="000000" w:themeColor="text1"/>
                <w:sz w:val="20"/>
                <w:szCs w:val="20"/>
                <w:lang w:eastAsia="en-US"/>
              </w:rPr>
              <w:t>Sliding mode control</w:t>
            </w:r>
          </w:p>
        </w:tc>
        <w:tc>
          <w:tcPr>
            <w:tcW w:w="0" w:type="auto"/>
            <w:vAlign w:val="center"/>
          </w:tcPr>
          <w:p w14:paraId="6078D3C7" w14:textId="77777777" w:rsidR="00B509AD" w:rsidRPr="00E52D63" w:rsidRDefault="00B509AD" w:rsidP="008D5198">
            <w:pPr>
              <w:pStyle w:val="ListParagraph"/>
              <w:ind w:left="0"/>
              <w:jc w:val="center"/>
              <w:rPr>
                <w:rFonts w:eastAsia="Calibri"/>
                <w:color w:val="000000" w:themeColor="text1"/>
                <w:sz w:val="20"/>
                <w:szCs w:val="20"/>
                <w:lang w:eastAsia="en-US"/>
              </w:rPr>
            </w:pPr>
            <w:r w:rsidRPr="00E52D63">
              <w:rPr>
                <w:rFonts w:eastAsia="Calibri"/>
                <w:color w:val="000000" w:themeColor="text1"/>
                <w:sz w:val="20"/>
                <w:szCs w:val="20"/>
                <w:lang w:eastAsia="en-US"/>
              </w:rPr>
              <w:t>1.76 %</w:t>
            </w:r>
          </w:p>
        </w:tc>
      </w:tr>
      <w:tr w:rsidR="00E52D63" w:rsidRPr="00E52D63" w14:paraId="03E78AB1" w14:textId="77777777" w:rsidTr="00212D5E">
        <w:tc>
          <w:tcPr>
            <w:tcW w:w="0" w:type="auto"/>
            <w:vAlign w:val="center"/>
          </w:tcPr>
          <w:p w14:paraId="302F0079" w14:textId="77777777" w:rsidR="00B509AD" w:rsidRPr="00E52D63" w:rsidRDefault="007B5319" w:rsidP="008D5198">
            <w:pPr>
              <w:pStyle w:val="ListParagraph"/>
              <w:ind w:left="0"/>
              <w:jc w:val="center"/>
              <w:rPr>
                <w:rFonts w:eastAsia="Calibri"/>
                <w:color w:val="000000" w:themeColor="text1"/>
                <w:sz w:val="20"/>
                <w:szCs w:val="20"/>
                <w:lang w:eastAsia="en-US"/>
              </w:rPr>
            </w:pPr>
            <w:r w:rsidRPr="00E52D63">
              <w:rPr>
                <w:rFonts w:eastAsia="SimSun"/>
                <w:color w:val="000000" w:themeColor="text1"/>
                <w:sz w:val="20"/>
                <w:szCs w:val="20"/>
                <w:lang w:eastAsia="en-US"/>
              </w:rPr>
              <w:t>[13]</w:t>
            </w:r>
          </w:p>
        </w:tc>
        <w:tc>
          <w:tcPr>
            <w:tcW w:w="0" w:type="auto"/>
            <w:vAlign w:val="center"/>
          </w:tcPr>
          <w:p w14:paraId="1631DE94" w14:textId="77777777" w:rsidR="00B509AD" w:rsidRPr="00E52D63" w:rsidRDefault="00B509AD" w:rsidP="008D5198">
            <w:pPr>
              <w:pStyle w:val="ListParagraph"/>
              <w:ind w:left="0"/>
              <w:jc w:val="center"/>
              <w:rPr>
                <w:rFonts w:eastAsia="Calibri"/>
                <w:color w:val="000000" w:themeColor="text1"/>
                <w:sz w:val="20"/>
                <w:szCs w:val="20"/>
                <w:lang w:eastAsia="en-US"/>
              </w:rPr>
            </w:pPr>
            <w:r w:rsidRPr="00E52D63">
              <w:rPr>
                <w:rFonts w:eastAsia="Calibri"/>
                <w:color w:val="000000" w:themeColor="text1"/>
                <w:sz w:val="20"/>
                <w:szCs w:val="20"/>
                <w:lang w:eastAsia="en-US"/>
              </w:rPr>
              <w:t>Sliding mode control</w:t>
            </w:r>
          </w:p>
        </w:tc>
        <w:tc>
          <w:tcPr>
            <w:tcW w:w="0" w:type="auto"/>
            <w:vAlign w:val="center"/>
          </w:tcPr>
          <w:p w14:paraId="12348539" w14:textId="77777777" w:rsidR="00B509AD" w:rsidRPr="00E52D63" w:rsidRDefault="00B509AD" w:rsidP="008D5198">
            <w:pPr>
              <w:pStyle w:val="ListParagraph"/>
              <w:ind w:left="0"/>
              <w:jc w:val="center"/>
              <w:rPr>
                <w:rFonts w:eastAsia="Calibri"/>
                <w:color w:val="000000" w:themeColor="text1"/>
                <w:sz w:val="20"/>
                <w:szCs w:val="20"/>
                <w:lang w:eastAsia="en-US"/>
              </w:rPr>
            </w:pPr>
            <w:r w:rsidRPr="00E52D63">
              <w:rPr>
                <w:rFonts w:eastAsia="Calibri"/>
                <w:color w:val="000000" w:themeColor="text1"/>
                <w:sz w:val="20"/>
                <w:szCs w:val="20"/>
                <w:lang w:eastAsia="en-US"/>
              </w:rPr>
              <w:t>1.99%</w:t>
            </w:r>
          </w:p>
        </w:tc>
      </w:tr>
      <w:tr w:rsidR="00E52D63" w:rsidRPr="00E52D63" w14:paraId="52A9A2EE" w14:textId="77777777" w:rsidTr="00212D5E">
        <w:trPr>
          <w:trHeight w:val="255"/>
        </w:trPr>
        <w:tc>
          <w:tcPr>
            <w:tcW w:w="0" w:type="auto"/>
            <w:vAlign w:val="center"/>
          </w:tcPr>
          <w:p w14:paraId="64C05781" w14:textId="77777777" w:rsidR="00B509AD" w:rsidRPr="00E52D63" w:rsidRDefault="007B5319" w:rsidP="008D5198">
            <w:pPr>
              <w:pStyle w:val="ListParagraph"/>
              <w:ind w:left="0"/>
              <w:jc w:val="center"/>
              <w:rPr>
                <w:rFonts w:eastAsia="Calibri"/>
                <w:color w:val="000000" w:themeColor="text1"/>
                <w:sz w:val="20"/>
                <w:szCs w:val="20"/>
                <w:lang w:eastAsia="en-US"/>
              </w:rPr>
            </w:pPr>
            <w:r w:rsidRPr="00E52D63">
              <w:rPr>
                <w:rFonts w:eastAsia="SimSun"/>
                <w:color w:val="000000" w:themeColor="text1"/>
                <w:sz w:val="20"/>
                <w:szCs w:val="20"/>
                <w:lang w:eastAsia="en-US"/>
              </w:rPr>
              <w:t>[13]</w:t>
            </w:r>
          </w:p>
        </w:tc>
        <w:tc>
          <w:tcPr>
            <w:tcW w:w="0" w:type="auto"/>
            <w:vAlign w:val="center"/>
          </w:tcPr>
          <w:p w14:paraId="41E9DA56" w14:textId="77777777" w:rsidR="00B509AD" w:rsidRPr="00E52D63" w:rsidRDefault="00B509AD" w:rsidP="008D5198">
            <w:pPr>
              <w:pStyle w:val="ListParagraph"/>
              <w:ind w:left="-159" w:right="61"/>
              <w:jc w:val="center"/>
              <w:rPr>
                <w:rFonts w:eastAsia="Calibri"/>
                <w:color w:val="000000" w:themeColor="text1"/>
                <w:sz w:val="20"/>
                <w:szCs w:val="20"/>
                <w:lang w:eastAsia="en-US"/>
              </w:rPr>
            </w:pPr>
            <w:r w:rsidRPr="00E52D63">
              <w:rPr>
                <w:rFonts w:eastAsia="Calibri"/>
                <w:color w:val="000000" w:themeColor="text1"/>
                <w:sz w:val="20"/>
                <w:szCs w:val="20"/>
                <w:lang w:eastAsia="en-US"/>
              </w:rPr>
              <w:t>P&amp;O</w:t>
            </w:r>
          </w:p>
        </w:tc>
        <w:tc>
          <w:tcPr>
            <w:tcW w:w="0" w:type="auto"/>
            <w:vAlign w:val="center"/>
          </w:tcPr>
          <w:p w14:paraId="4369F35A" w14:textId="77777777" w:rsidR="00B509AD" w:rsidRPr="00E52D63" w:rsidRDefault="00B509AD" w:rsidP="008D5198">
            <w:pPr>
              <w:pStyle w:val="ListParagraph"/>
              <w:ind w:left="0"/>
              <w:jc w:val="center"/>
              <w:rPr>
                <w:rFonts w:eastAsia="Calibri"/>
                <w:color w:val="000000" w:themeColor="text1"/>
                <w:sz w:val="20"/>
                <w:szCs w:val="20"/>
                <w:lang w:eastAsia="en-US"/>
              </w:rPr>
            </w:pPr>
            <w:r w:rsidRPr="00E52D63">
              <w:rPr>
                <w:rFonts w:eastAsia="Calibri"/>
                <w:color w:val="000000" w:themeColor="text1"/>
                <w:sz w:val="20"/>
                <w:szCs w:val="20"/>
                <w:lang w:eastAsia="en-US"/>
              </w:rPr>
              <w:t>3.64%</w:t>
            </w:r>
          </w:p>
        </w:tc>
      </w:tr>
      <w:tr w:rsidR="00E52D63" w:rsidRPr="00E52D63" w14:paraId="060C9D1E" w14:textId="77777777" w:rsidTr="00212D5E">
        <w:trPr>
          <w:trHeight w:val="255"/>
        </w:trPr>
        <w:tc>
          <w:tcPr>
            <w:tcW w:w="0" w:type="auto"/>
            <w:vAlign w:val="center"/>
          </w:tcPr>
          <w:p w14:paraId="50DC5921" w14:textId="77777777" w:rsidR="00B509AD" w:rsidRPr="00E52D63" w:rsidRDefault="007B5319" w:rsidP="008D5198">
            <w:pPr>
              <w:pStyle w:val="ListParagraph"/>
              <w:ind w:left="0"/>
              <w:jc w:val="center"/>
              <w:rPr>
                <w:rFonts w:eastAsia="Calibri"/>
                <w:color w:val="000000" w:themeColor="text1"/>
                <w:sz w:val="20"/>
                <w:szCs w:val="20"/>
                <w:lang w:eastAsia="en-US"/>
              </w:rPr>
            </w:pPr>
            <w:r w:rsidRPr="00E52D63">
              <w:rPr>
                <w:rFonts w:eastAsia="SimSun"/>
                <w:color w:val="000000" w:themeColor="text1"/>
                <w:sz w:val="20"/>
                <w:szCs w:val="20"/>
                <w:lang w:eastAsia="en-US"/>
              </w:rPr>
              <w:t>[14]</w:t>
            </w:r>
          </w:p>
        </w:tc>
        <w:tc>
          <w:tcPr>
            <w:tcW w:w="0" w:type="auto"/>
            <w:vAlign w:val="center"/>
          </w:tcPr>
          <w:p w14:paraId="30542A92" w14:textId="77777777" w:rsidR="00B509AD" w:rsidRPr="00E52D63" w:rsidRDefault="00B509AD" w:rsidP="008D5198">
            <w:pPr>
              <w:pStyle w:val="ListParagraph"/>
              <w:ind w:left="0"/>
              <w:jc w:val="center"/>
              <w:rPr>
                <w:rFonts w:eastAsia="Calibri"/>
                <w:color w:val="000000" w:themeColor="text1"/>
                <w:sz w:val="20"/>
                <w:szCs w:val="20"/>
                <w:lang w:eastAsia="en-US"/>
              </w:rPr>
            </w:pPr>
            <w:r w:rsidRPr="00E52D63">
              <w:rPr>
                <w:rFonts w:eastAsia="Calibri"/>
                <w:color w:val="000000" w:themeColor="text1"/>
                <w:sz w:val="20"/>
                <w:szCs w:val="20"/>
                <w:lang w:eastAsia="en-US"/>
              </w:rPr>
              <w:t>sliding mode-predictive direct power control</w:t>
            </w:r>
          </w:p>
        </w:tc>
        <w:tc>
          <w:tcPr>
            <w:tcW w:w="0" w:type="auto"/>
            <w:vAlign w:val="center"/>
          </w:tcPr>
          <w:p w14:paraId="27F1E5E0" w14:textId="77777777" w:rsidR="00B509AD" w:rsidRPr="00E52D63" w:rsidRDefault="00B509AD" w:rsidP="008D5198">
            <w:pPr>
              <w:pStyle w:val="ListParagraph"/>
              <w:ind w:left="0"/>
              <w:jc w:val="center"/>
              <w:rPr>
                <w:rFonts w:eastAsia="Calibri"/>
                <w:color w:val="000000" w:themeColor="text1"/>
                <w:sz w:val="20"/>
                <w:szCs w:val="20"/>
                <w:lang w:eastAsia="en-US"/>
              </w:rPr>
            </w:pPr>
            <w:r w:rsidRPr="00E52D63">
              <w:rPr>
                <w:rFonts w:eastAsia="Calibri"/>
                <w:color w:val="000000" w:themeColor="text1"/>
                <w:sz w:val="20"/>
                <w:szCs w:val="20"/>
                <w:lang w:eastAsia="en-US"/>
              </w:rPr>
              <w:t>4.21%</w:t>
            </w:r>
          </w:p>
        </w:tc>
      </w:tr>
      <w:tr w:rsidR="00E52D63" w:rsidRPr="00E52D63" w14:paraId="3D641107" w14:textId="77777777" w:rsidTr="00212D5E">
        <w:trPr>
          <w:trHeight w:val="255"/>
        </w:trPr>
        <w:tc>
          <w:tcPr>
            <w:tcW w:w="0" w:type="auto"/>
            <w:vAlign w:val="center"/>
          </w:tcPr>
          <w:p w14:paraId="2CF43A1A" w14:textId="77777777" w:rsidR="00B509AD" w:rsidRPr="00E52D63" w:rsidRDefault="007B5319" w:rsidP="008D5198">
            <w:pPr>
              <w:pStyle w:val="ListParagraph"/>
              <w:ind w:left="0"/>
              <w:jc w:val="center"/>
              <w:rPr>
                <w:rFonts w:eastAsia="Calibri"/>
                <w:color w:val="000000" w:themeColor="text1"/>
                <w:sz w:val="20"/>
                <w:szCs w:val="20"/>
                <w:lang w:eastAsia="en-US"/>
              </w:rPr>
            </w:pPr>
            <w:r w:rsidRPr="00E52D63">
              <w:rPr>
                <w:rFonts w:eastAsia="SimSun"/>
                <w:color w:val="000000" w:themeColor="text1"/>
                <w:sz w:val="20"/>
                <w:szCs w:val="20"/>
                <w:lang w:eastAsia="en-US"/>
              </w:rPr>
              <w:t>[15]</w:t>
            </w:r>
          </w:p>
        </w:tc>
        <w:tc>
          <w:tcPr>
            <w:tcW w:w="0" w:type="auto"/>
            <w:vAlign w:val="center"/>
          </w:tcPr>
          <w:p w14:paraId="3065C5BF" w14:textId="77777777" w:rsidR="00B509AD" w:rsidRPr="00E52D63" w:rsidRDefault="00B509AD" w:rsidP="008D5198">
            <w:pPr>
              <w:pStyle w:val="ListParagraph"/>
              <w:ind w:left="0"/>
              <w:jc w:val="center"/>
              <w:rPr>
                <w:rFonts w:eastAsia="Calibri"/>
                <w:color w:val="000000" w:themeColor="text1"/>
                <w:sz w:val="20"/>
                <w:szCs w:val="20"/>
                <w:lang w:eastAsia="en-US"/>
              </w:rPr>
            </w:pPr>
            <w:r w:rsidRPr="00E52D63">
              <w:rPr>
                <w:rFonts w:eastAsia="Calibri"/>
                <w:color w:val="000000" w:themeColor="text1"/>
                <w:sz w:val="20"/>
                <w:szCs w:val="20"/>
                <w:lang w:eastAsia="en-US"/>
              </w:rPr>
              <w:t>Conventional PI</w:t>
            </w:r>
          </w:p>
        </w:tc>
        <w:tc>
          <w:tcPr>
            <w:tcW w:w="0" w:type="auto"/>
            <w:vAlign w:val="center"/>
          </w:tcPr>
          <w:p w14:paraId="4B60031B" w14:textId="77777777" w:rsidR="00B509AD" w:rsidRPr="00E52D63" w:rsidRDefault="00B509AD" w:rsidP="008D5198">
            <w:pPr>
              <w:pStyle w:val="ListParagraph"/>
              <w:ind w:left="0"/>
              <w:jc w:val="center"/>
              <w:rPr>
                <w:rFonts w:eastAsia="Calibri"/>
                <w:color w:val="000000" w:themeColor="text1"/>
                <w:sz w:val="20"/>
                <w:szCs w:val="20"/>
                <w:lang w:eastAsia="en-US"/>
              </w:rPr>
            </w:pPr>
            <w:r w:rsidRPr="00E52D63">
              <w:rPr>
                <w:rFonts w:eastAsia="Calibri"/>
                <w:color w:val="000000" w:themeColor="text1"/>
                <w:sz w:val="20"/>
                <w:szCs w:val="20"/>
                <w:lang w:eastAsia="en-US"/>
              </w:rPr>
              <w:t>5.06%</w:t>
            </w:r>
          </w:p>
        </w:tc>
      </w:tr>
      <w:tr w:rsidR="00E52D63" w:rsidRPr="00E52D63" w14:paraId="7C413096" w14:textId="77777777" w:rsidTr="00212D5E">
        <w:trPr>
          <w:trHeight w:val="255"/>
        </w:trPr>
        <w:tc>
          <w:tcPr>
            <w:tcW w:w="0" w:type="auto"/>
            <w:vAlign w:val="center"/>
          </w:tcPr>
          <w:p w14:paraId="42EE1ACD" w14:textId="77777777" w:rsidR="00B509AD" w:rsidRPr="00E52D63" w:rsidRDefault="007B5319" w:rsidP="008D5198">
            <w:pPr>
              <w:pStyle w:val="ListParagraph"/>
              <w:ind w:left="0"/>
              <w:jc w:val="center"/>
              <w:rPr>
                <w:rFonts w:eastAsia="Calibri"/>
                <w:color w:val="000000" w:themeColor="text1"/>
                <w:sz w:val="20"/>
                <w:szCs w:val="20"/>
                <w:lang w:eastAsia="en-US"/>
              </w:rPr>
            </w:pPr>
            <w:r w:rsidRPr="00E52D63">
              <w:rPr>
                <w:rFonts w:eastAsia="SimSun"/>
                <w:color w:val="000000" w:themeColor="text1"/>
                <w:sz w:val="20"/>
                <w:szCs w:val="20"/>
                <w:lang w:eastAsia="en-US"/>
              </w:rPr>
              <w:t>[15]</w:t>
            </w:r>
          </w:p>
        </w:tc>
        <w:tc>
          <w:tcPr>
            <w:tcW w:w="0" w:type="auto"/>
            <w:vAlign w:val="center"/>
          </w:tcPr>
          <w:p w14:paraId="4386FB78" w14:textId="77777777" w:rsidR="00B509AD" w:rsidRPr="00E52D63" w:rsidRDefault="00B509AD" w:rsidP="008D5198">
            <w:pPr>
              <w:pStyle w:val="ListParagraph"/>
              <w:ind w:left="0"/>
              <w:jc w:val="center"/>
              <w:rPr>
                <w:rFonts w:eastAsia="Calibri"/>
                <w:color w:val="000000" w:themeColor="text1"/>
                <w:sz w:val="20"/>
                <w:szCs w:val="20"/>
                <w:lang w:eastAsia="en-US"/>
              </w:rPr>
            </w:pPr>
            <w:r w:rsidRPr="00E52D63">
              <w:rPr>
                <w:rFonts w:eastAsia="Calibri"/>
                <w:color w:val="000000" w:themeColor="text1"/>
                <w:sz w:val="20"/>
                <w:szCs w:val="20"/>
                <w:lang w:eastAsia="en-US"/>
              </w:rPr>
              <w:t>Predictive neural network-based adaptive controller</w:t>
            </w:r>
          </w:p>
        </w:tc>
        <w:tc>
          <w:tcPr>
            <w:tcW w:w="0" w:type="auto"/>
            <w:vAlign w:val="center"/>
          </w:tcPr>
          <w:p w14:paraId="2C6A11FF" w14:textId="77777777" w:rsidR="00B509AD" w:rsidRPr="00E52D63" w:rsidRDefault="00B509AD" w:rsidP="008D5198">
            <w:pPr>
              <w:pStyle w:val="ListParagraph"/>
              <w:ind w:left="0"/>
              <w:jc w:val="center"/>
              <w:rPr>
                <w:rFonts w:eastAsia="Calibri"/>
                <w:color w:val="000000" w:themeColor="text1"/>
                <w:sz w:val="20"/>
                <w:szCs w:val="20"/>
                <w:lang w:eastAsia="en-US"/>
              </w:rPr>
            </w:pPr>
            <w:r w:rsidRPr="00E52D63">
              <w:rPr>
                <w:rFonts w:eastAsia="Calibri"/>
                <w:color w:val="000000" w:themeColor="text1"/>
                <w:sz w:val="20"/>
                <w:szCs w:val="20"/>
                <w:lang w:eastAsia="en-US"/>
              </w:rPr>
              <w:t>1.97%</w:t>
            </w:r>
          </w:p>
        </w:tc>
      </w:tr>
    </w:tbl>
    <w:p w14:paraId="6BF1D93C" w14:textId="77777777" w:rsidR="00EF61C7" w:rsidRDefault="00EF61C7" w:rsidP="00AB67E5">
      <w:pPr>
        <w:spacing w:after="240"/>
        <w:jc w:val="center"/>
        <w:rPr>
          <w:b/>
          <w:color w:val="000000"/>
        </w:rPr>
      </w:pPr>
    </w:p>
    <w:p w14:paraId="3827BE9F" w14:textId="77777777" w:rsidR="00164E8F" w:rsidRDefault="0003181A" w:rsidP="00164E8F">
      <w:pPr>
        <w:spacing w:after="240"/>
        <w:jc w:val="center"/>
        <w:rPr>
          <w:b/>
          <w:color w:val="000000"/>
        </w:rPr>
      </w:pPr>
      <w:r w:rsidRPr="00B509AD">
        <w:rPr>
          <w:b/>
          <w:color w:val="000000"/>
        </w:rPr>
        <w:t>CONCLUSION</w:t>
      </w:r>
    </w:p>
    <w:p w14:paraId="67C89BEC" w14:textId="77777777" w:rsidR="009F1B37" w:rsidRDefault="00164E8F" w:rsidP="00164E8F">
      <w:pPr>
        <w:spacing w:after="240"/>
        <w:jc w:val="both"/>
        <w:rPr>
          <w:sz w:val="20"/>
        </w:rPr>
      </w:pPr>
      <w:r>
        <w:rPr>
          <w:b/>
          <w:color w:val="000000"/>
        </w:rPr>
        <w:tab/>
      </w:r>
      <w:r w:rsidR="004F74F8">
        <w:rPr>
          <w:sz w:val="20"/>
        </w:rPr>
        <w:t xml:space="preserve">The present paper introduces a nonlinear Backstepping Control technique for tracking the MPP of a grid-connected PV system that contains a PV array generator of 84 kW, a boost converter that bridges the PV generator </w:t>
      </w:r>
      <w:r w:rsidR="004F74F8" w:rsidRPr="00E52D63">
        <w:rPr>
          <w:color w:val="000000" w:themeColor="text1"/>
          <w:sz w:val="20"/>
        </w:rPr>
        <w:t>with the AC side of the PV chain. This side includes a three-phase inverter linked to an electrical grid. The proposed B</w:t>
      </w:r>
      <w:r w:rsidR="00D00952" w:rsidRPr="00E52D63">
        <w:rPr>
          <w:color w:val="000000" w:themeColor="text1"/>
          <w:sz w:val="20"/>
        </w:rPr>
        <w:t>S</w:t>
      </w:r>
      <w:r w:rsidR="004F74F8" w:rsidRPr="00E52D63">
        <w:rPr>
          <w:color w:val="000000" w:themeColor="text1"/>
          <w:sz w:val="20"/>
        </w:rPr>
        <w:t xml:space="preserve"> technique </w:t>
      </w:r>
      <w:r w:rsidR="009F1B37" w:rsidRPr="00E52D63">
        <w:rPr>
          <w:color w:val="000000" w:themeColor="text1"/>
          <w:sz w:val="20"/>
        </w:rPr>
        <w:t xml:space="preserve">was presented to tackle the disadvantages of traditional MPPT techniques, such as slow convergence, long response time, high fluctuations, and high THD values. A comparison study is established in the MATLAB/Simulink environment </w:t>
      </w:r>
      <w:r w:rsidR="000D505C" w:rsidRPr="00E52D63">
        <w:rPr>
          <w:color w:val="000000" w:themeColor="text1"/>
          <w:sz w:val="20"/>
        </w:rPr>
        <w:t>between the proposed technique and the INC method. The results demonstrate that the B</w:t>
      </w:r>
      <w:r w:rsidR="00D00952" w:rsidRPr="00E52D63">
        <w:rPr>
          <w:color w:val="000000" w:themeColor="text1"/>
          <w:sz w:val="20"/>
        </w:rPr>
        <w:t>S</w:t>
      </w:r>
      <w:r w:rsidR="000D505C" w:rsidRPr="00E52D63">
        <w:rPr>
          <w:color w:val="000000" w:themeColor="text1"/>
          <w:sz w:val="20"/>
        </w:rPr>
        <w:t xml:space="preserve"> controller </w:t>
      </w:r>
      <w:r w:rsidR="000D505C">
        <w:rPr>
          <w:sz w:val="20"/>
        </w:rPr>
        <w:t xml:space="preserve">provides a suitable extracted PV power, active power with negligible fluctuations under the two suggested scenarios. Moreover, the </w:t>
      </w:r>
      <w:r w:rsidR="000D505C" w:rsidRPr="00E52D63">
        <w:rPr>
          <w:color w:val="000000" w:themeColor="text1"/>
          <w:sz w:val="20"/>
        </w:rPr>
        <w:t xml:space="preserve">use of the </w:t>
      </w:r>
      <w:r w:rsidR="007C2912" w:rsidRPr="00E52D63">
        <w:rPr>
          <w:color w:val="000000" w:themeColor="text1"/>
          <w:sz w:val="20"/>
        </w:rPr>
        <w:t>BS method</w:t>
      </w:r>
      <w:r w:rsidR="000D505C" w:rsidRPr="00E52D63">
        <w:rPr>
          <w:color w:val="000000" w:themeColor="text1"/>
          <w:sz w:val="20"/>
        </w:rPr>
        <w:t xml:space="preserve"> </w:t>
      </w:r>
      <w:r w:rsidR="00B0262C" w:rsidRPr="00E52D63">
        <w:rPr>
          <w:color w:val="000000" w:themeColor="text1"/>
          <w:sz w:val="20"/>
        </w:rPr>
        <w:t>contributes</w:t>
      </w:r>
      <w:r w:rsidR="000D505C" w:rsidRPr="00E52D63">
        <w:rPr>
          <w:color w:val="000000" w:themeColor="text1"/>
          <w:sz w:val="20"/>
        </w:rPr>
        <w:t xml:space="preserve"> to </w:t>
      </w:r>
      <w:r w:rsidR="007C2912" w:rsidRPr="00E52D63">
        <w:rPr>
          <w:color w:val="000000" w:themeColor="text1"/>
          <w:sz w:val="20"/>
        </w:rPr>
        <w:t>generating</w:t>
      </w:r>
      <w:r w:rsidR="000D505C" w:rsidRPr="00E52D63">
        <w:rPr>
          <w:color w:val="000000" w:themeColor="text1"/>
          <w:sz w:val="20"/>
        </w:rPr>
        <w:t xml:space="preserve"> an enhanced DC bus voltage with reduced oscillations and lower THD, which improves the quality of the injected power</w:t>
      </w:r>
      <w:r w:rsidR="00B66771" w:rsidRPr="00E52D63">
        <w:rPr>
          <w:color w:val="000000" w:themeColor="text1"/>
          <w:sz w:val="20"/>
        </w:rPr>
        <w:t>, in contrast to the INC method. This affirms the validity and the superiority of the B</w:t>
      </w:r>
      <w:r w:rsidR="00D00952" w:rsidRPr="00E52D63">
        <w:rPr>
          <w:color w:val="000000" w:themeColor="text1"/>
          <w:sz w:val="20"/>
        </w:rPr>
        <w:t>S</w:t>
      </w:r>
      <w:r w:rsidR="00B66771" w:rsidRPr="00E52D63">
        <w:rPr>
          <w:color w:val="000000" w:themeColor="text1"/>
          <w:sz w:val="20"/>
        </w:rPr>
        <w:t xml:space="preserve"> technique in GCPVS </w:t>
      </w:r>
      <w:r w:rsidR="00B66771">
        <w:rPr>
          <w:sz w:val="20"/>
        </w:rPr>
        <w:t xml:space="preserve">applications. </w:t>
      </w:r>
    </w:p>
    <w:p w14:paraId="1612957D" w14:textId="77777777" w:rsidR="00E52D63" w:rsidRPr="00164E8F" w:rsidRDefault="00E52D63" w:rsidP="00164E8F">
      <w:pPr>
        <w:spacing w:after="240"/>
        <w:jc w:val="both"/>
        <w:rPr>
          <w:b/>
          <w:color w:val="000000"/>
        </w:rPr>
      </w:pPr>
    </w:p>
    <w:p w14:paraId="61FD8D56" w14:textId="77777777" w:rsidR="000B278C" w:rsidRPr="00266B00" w:rsidRDefault="0003181A" w:rsidP="006E0A9E">
      <w:pPr>
        <w:pStyle w:val="SolarPACESHeading1Character"/>
        <w:spacing w:line="240" w:lineRule="auto"/>
        <w:jc w:val="center"/>
        <w:rPr>
          <w:color w:val="000000" w:themeColor="text1"/>
          <w:sz w:val="24"/>
          <w:szCs w:val="28"/>
        </w:rPr>
      </w:pPr>
      <w:r w:rsidRPr="00266B00">
        <w:rPr>
          <w:color w:val="000000" w:themeColor="text1"/>
          <w:sz w:val="24"/>
          <w:szCs w:val="28"/>
        </w:rPr>
        <w:lastRenderedPageBreak/>
        <w:t>REFERENCES</w:t>
      </w:r>
    </w:p>
    <w:p w14:paraId="57240D88" w14:textId="77777777" w:rsidR="000B278C" w:rsidRPr="00266B00" w:rsidRDefault="000B278C" w:rsidP="00DA7663">
      <w:pPr>
        <w:pStyle w:val="SolarPACESReferences"/>
        <w:numPr>
          <w:ilvl w:val="0"/>
          <w:numId w:val="4"/>
        </w:numPr>
        <w:spacing w:after="0" w:line="240" w:lineRule="auto"/>
        <w:jc w:val="both"/>
        <w:rPr>
          <w:rFonts w:asciiTheme="majorBidi" w:hAnsiTheme="majorBidi" w:cstheme="majorBidi"/>
          <w:color w:val="000000" w:themeColor="text1"/>
        </w:rPr>
      </w:pPr>
      <w:r w:rsidRPr="00266B00">
        <w:rPr>
          <w:rFonts w:asciiTheme="majorBidi" w:hAnsiTheme="majorBidi" w:cstheme="majorBidi"/>
          <w:color w:val="000000" w:themeColor="text1"/>
          <w:lang w:val="en-US"/>
        </w:rPr>
        <w:t xml:space="preserve"> Swaminathan, N., Lakshminarasamma, N., Cao, Y., 2022. A fixed zone perturb and observe MPPT technique for a standalone distributed PV system. </w:t>
      </w:r>
      <w:r w:rsidRPr="00DA7663">
        <w:rPr>
          <w:rFonts w:asciiTheme="majorBidi" w:hAnsiTheme="majorBidi" w:cstheme="majorBidi"/>
          <w:i/>
          <w:color w:val="000000" w:themeColor="text1"/>
          <w:lang w:val="en-US"/>
        </w:rPr>
        <w:t>IEEE J. Emerg. Sel. Top. Power Electron</w:t>
      </w:r>
      <w:r w:rsidRPr="00266B00">
        <w:rPr>
          <w:rFonts w:asciiTheme="majorBidi" w:hAnsiTheme="majorBidi" w:cstheme="majorBidi"/>
          <w:color w:val="000000" w:themeColor="text1"/>
          <w:lang w:val="en-US"/>
        </w:rPr>
        <w:t xml:space="preserve"> 10, 361–374.</w:t>
      </w:r>
    </w:p>
    <w:p w14:paraId="1D280CD3" w14:textId="77777777" w:rsidR="002E62B0" w:rsidRPr="00DA7663" w:rsidRDefault="000B278C" w:rsidP="00DA7663">
      <w:pPr>
        <w:pStyle w:val="ListParagraph"/>
        <w:numPr>
          <w:ilvl w:val="0"/>
          <w:numId w:val="4"/>
        </w:numPr>
        <w:jc w:val="both"/>
        <w:rPr>
          <w:rFonts w:asciiTheme="majorBidi" w:hAnsiTheme="majorBidi" w:cstheme="majorBidi"/>
          <w:color w:val="000000" w:themeColor="text1"/>
          <w:sz w:val="20"/>
          <w:szCs w:val="20"/>
          <w:lang w:val="en-GB"/>
        </w:rPr>
      </w:pPr>
      <w:r w:rsidRPr="00266B00">
        <w:rPr>
          <w:rFonts w:asciiTheme="majorBidi" w:hAnsiTheme="majorBidi" w:cstheme="majorBidi"/>
          <w:color w:val="000000" w:themeColor="text1"/>
          <w:sz w:val="20"/>
          <w:szCs w:val="20"/>
          <w:lang w:val="en-GB"/>
        </w:rPr>
        <w:t xml:space="preserve">A Lemmassi, A Derouich, A Hanafi, et al, Low-cost MPPT for triple-junction solar cells used in nanosatellites: A comparative study between P&amp;O and INC algorithms, </w:t>
      </w:r>
      <w:r w:rsidRPr="00DA7663">
        <w:rPr>
          <w:rFonts w:asciiTheme="majorBidi" w:hAnsiTheme="majorBidi" w:cstheme="majorBidi"/>
          <w:i/>
          <w:color w:val="000000" w:themeColor="text1"/>
          <w:sz w:val="20"/>
          <w:szCs w:val="20"/>
          <w:lang w:val="en-GB"/>
        </w:rPr>
        <w:t>E-Prime Adv. Elecr.</w:t>
      </w:r>
      <w:r w:rsidR="002E62B0" w:rsidRPr="00DA7663">
        <w:rPr>
          <w:rFonts w:asciiTheme="majorBidi" w:hAnsiTheme="majorBidi" w:cstheme="majorBidi"/>
          <w:i/>
          <w:color w:val="000000" w:themeColor="text1"/>
          <w:sz w:val="20"/>
          <w:szCs w:val="20"/>
          <w:lang w:val="en-GB"/>
        </w:rPr>
        <w:t xml:space="preserve"> Eng. Electron. Energy</w:t>
      </w:r>
      <w:r w:rsidR="002E62B0">
        <w:rPr>
          <w:rFonts w:asciiTheme="majorBidi" w:hAnsiTheme="majorBidi" w:cstheme="majorBidi"/>
          <w:color w:val="000000" w:themeColor="text1"/>
          <w:sz w:val="20"/>
          <w:szCs w:val="20"/>
          <w:lang w:val="en-GB"/>
        </w:rPr>
        <w:t>. 7, 2024.</w:t>
      </w:r>
    </w:p>
    <w:p w14:paraId="2480BC24" w14:textId="77777777" w:rsidR="002E62B0" w:rsidRPr="00266B00" w:rsidRDefault="002E62B0" w:rsidP="00DA7663">
      <w:pPr>
        <w:pStyle w:val="ListParagraph"/>
        <w:numPr>
          <w:ilvl w:val="0"/>
          <w:numId w:val="4"/>
        </w:numPr>
        <w:jc w:val="both"/>
        <w:rPr>
          <w:rFonts w:asciiTheme="majorBidi" w:hAnsiTheme="majorBidi" w:cstheme="majorBidi"/>
          <w:color w:val="000000" w:themeColor="text1"/>
          <w:sz w:val="20"/>
          <w:szCs w:val="20"/>
          <w:lang w:val="en-GB"/>
        </w:rPr>
      </w:pPr>
      <w:r w:rsidRPr="002E62B0">
        <w:rPr>
          <w:rFonts w:asciiTheme="majorBidi" w:hAnsiTheme="majorBidi" w:cstheme="majorBidi"/>
          <w:color w:val="000000" w:themeColor="text1"/>
          <w:sz w:val="20"/>
          <w:szCs w:val="20"/>
        </w:rPr>
        <w:t xml:space="preserve">Mohamed Lasheen, Ali K. Abdel Rahman, Mazen Abdel-Salam, S. Ookawara, Performance Enhancement of Constant Voltage Based MPPT for Photovoltaic Applications Using Genetic Algorithm, </w:t>
      </w:r>
      <w:r w:rsidRPr="00DA7663">
        <w:rPr>
          <w:rFonts w:asciiTheme="majorBidi" w:hAnsiTheme="majorBidi" w:cstheme="majorBidi"/>
          <w:i/>
          <w:color w:val="000000" w:themeColor="text1"/>
          <w:sz w:val="20"/>
          <w:szCs w:val="20"/>
        </w:rPr>
        <w:t>Energy Procedia</w:t>
      </w:r>
      <w:r w:rsidRPr="002E62B0">
        <w:rPr>
          <w:rFonts w:asciiTheme="majorBidi" w:hAnsiTheme="majorBidi" w:cstheme="majorBidi"/>
          <w:color w:val="000000" w:themeColor="text1"/>
          <w:sz w:val="20"/>
          <w:szCs w:val="20"/>
        </w:rPr>
        <w:t>, Volume 100, 2016</w:t>
      </w:r>
    </w:p>
    <w:p w14:paraId="79BE8179" w14:textId="77777777" w:rsidR="000B278C" w:rsidRPr="002E62B0" w:rsidRDefault="000B278C" w:rsidP="00DA7663">
      <w:pPr>
        <w:pStyle w:val="SolarPACESReferences"/>
        <w:numPr>
          <w:ilvl w:val="0"/>
          <w:numId w:val="4"/>
        </w:numPr>
        <w:spacing w:after="0" w:line="240" w:lineRule="auto"/>
        <w:jc w:val="both"/>
        <w:rPr>
          <w:rFonts w:asciiTheme="majorBidi" w:hAnsiTheme="majorBidi" w:cstheme="majorBidi"/>
          <w:color w:val="000000" w:themeColor="text1"/>
          <w:lang w:val="en-US"/>
        </w:rPr>
      </w:pPr>
      <w:r w:rsidRPr="002E62B0">
        <w:rPr>
          <w:rFonts w:asciiTheme="majorBidi" w:hAnsiTheme="majorBidi" w:cstheme="majorBidi"/>
          <w:color w:val="000000" w:themeColor="text1"/>
          <w:lang w:val="en-US"/>
        </w:rPr>
        <w:t xml:space="preserve">Maaz Nusrat, Saad Mekhilef, Marizan Mubin, Sajib Ahmed, Mehdi Seyedmahmoudian, Alex Stojcevski, Obaid Alshammari, Advancements in flexible power point tracking and power control strategies for photovoltaic power plants: </w:t>
      </w:r>
      <w:r w:rsidR="00DA7663">
        <w:rPr>
          <w:rFonts w:asciiTheme="majorBidi" w:hAnsiTheme="majorBidi" w:cstheme="majorBidi"/>
          <w:color w:val="000000" w:themeColor="text1"/>
          <w:lang w:val="en-US"/>
        </w:rPr>
        <w:t xml:space="preserve">A comprehensive review, </w:t>
      </w:r>
      <w:r w:rsidR="00DA7663" w:rsidRPr="00DA7663">
        <w:rPr>
          <w:rFonts w:asciiTheme="majorBidi" w:hAnsiTheme="majorBidi" w:cstheme="majorBidi"/>
          <w:i/>
          <w:color w:val="000000" w:themeColor="text1"/>
          <w:lang w:val="en-US"/>
        </w:rPr>
        <w:t xml:space="preserve">Energy </w:t>
      </w:r>
      <w:r w:rsidRPr="00DA7663">
        <w:rPr>
          <w:rFonts w:asciiTheme="majorBidi" w:hAnsiTheme="majorBidi" w:cstheme="majorBidi"/>
          <w:i/>
          <w:color w:val="000000" w:themeColor="text1"/>
          <w:lang w:val="en-US"/>
        </w:rPr>
        <w:t>Rep</w:t>
      </w:r>
      <w:r w:rsidR="00DA7663" w:rsidRPr="00DA7663">
        <w:rPr>
          <w:rFonts w:asciiTheme="majorBidi" w:hAnsiTheme="majorBidi" w:cstheme="majorBidi"/>
          <w:i/>
          <w:color w:val="000000" w:themeColor="text1"/>
          <w:lang w:val="en-US"/>
        </w:rPr>
        <w:t>ort</w:t>
      </w:r>
      <w:r w:rsidRPr="002E62B0">
        <w:rPr>
          <w:rFonts w:asciiTheme="majorBidi" w:hAnsiTheme="majorBidi" w:cstheme="majorBidi"/>
          <w:color w:val="000000" w:themeColor="text1"/>
          <w:lang w:val="en-US"/>
        </w:rPr>
        <w:t>, Volume 12, 2024.</w:t>
      </w:r>
    </w:p>
    <w:p w14:paraId="1C79FB57" w14:textId="77777777" w:rsidR="000B278C" w:rsidRDefault="000B278C" w:rsidP="00DA7663">
      <w:pPr>
        <w:pStyle w:val="SolarPACESReferences"/>
        <w:numPr>
          <w:ilvl w:val="0"/>
          <w:numId w:val="4"/>
        </w:numPr>
        <w:spacing w:after="0" w:line="240" w:lineRule="auto"/>
        <w:jc w:val="both"/>
        <w:rPr>
          <w:rFonts w:asciiTheme="majorBidi" w:hAnsiTheme="majorBidi" w:cstheme="majorBidi"/>
          <w:color w:val="000000" w:themeColor="text1"/>
          <w:lang w:val="en-US"/>
        </w:rPr>
      </w:pPr>
      <w:r w:rsidRPr="002E62B0">
        <w:rPr>
          <w:rFonts w:asciiTheme="majorBidi" w:hAnsiTheme="majorBidi" w:cstheme="majorBidi"/>
          <w:color w:val="000000" w:themeColor="text1"/>
          <w:lang w:val="en-US"/>
        </w:rPr>
        <w:t xml:space="preserve">A Harrison, N H Alombah, Jean de Dieu N Ndongmo, A New Hybrid MPPT Based on Incremental Conductance-Integral Backstepping Controller Applied to a PV System under Fast-Changing Operating Conditions, </w:t>
      </w:r>
      <w:r w:rsidRPr="00DA7663">
        <w:rPr>
          <w:rFonts w:asciiTheme="majorBidi" w:hAnsiTheme="majorBidi" w:cstheme="majorBidi"/>
          <w:i/>
          <w:color w:val="000000" w:themeColor="text1"/>
          <w:lang w:val="en-US"/>
        </w:rPr>
        <w:t>Int</w:t>
      </w:r>
      <w:r w:rsidR="00DA7663" w:rsidRPr="00DA7663">
        <w:rPr>
          <w:rFonts w:asciiTheme="majorBidi" w:hAnsiTheme="majorBidi" w:cstheme="majorBidi"/>
          <w:i/>
          <w:color w:val="000000" w:themeColor="text1"/>
          <w:lang w:val="en-US"/>
        </w:rPr>
        <w:t xml:space="preserve">ernational Journal of </w:t>
      </w:r>
      <w:r w:rsidRPr="00DA7663">
        <w:rPr>
          <w:rFonts w:asciiTheme="majorBidi" w:hAnsiTheme="majorBidi" w:cstheme="majorBidi"/>
          <w:i/>
          <w:color w:val="000000" w:themeColor="text1"/>
          <w:lang w:val="en-US"/>
        </w:rPr>
        <w:t>Photoenergy</w:t>
      </w:r>
      <w:r w:rsidRPr="002E62B0">
        <w:rPr>
          <w:rFonts w:asciiTheme="majorBidi" w:hAnsiTheme="majorBidi" w:cstheme="majorBidi"/>
          <w:color w:val="000000" w:themeColor="text1"/>
          <w:lang w:val="en-US"/>
        </w:rPr>
        <w:t xml:space="preserve">, 2023. </w:t>
      </w:r>
    </w:p>
    <w:p w14:paraId="0EAC002A" w14:textId="77777777" w:rsidR="002E62B0" w:rsidRPr="00E52D63" w:rsidRDefault="00277865" w:rsidP="00DA7663">
      <w:pPr>
        <w:pStyle w:val="SolarPACESReferences"/>
        <w:numPr>
          <w:ilvl w:val="0"/>
          <w:numId w:val="4"/>
        </w:numPr>
        <w:spacing w:after="0" w:line="240" w:lineRule="auto"/>
        <w:jc w:val="both"/>
        <w:rPr>
          <w:rFonts w:asciiTheme="majorBidi" w:hAnsiTheme="majorBidi" w:cstheme="majorBidi"/>
          <w:color w:val="000000" w:themeColor="text1"/>
          <w:lang w:val="en-US"/>
        </w:rPr>
      </w:pPr>
      <w:r w:rsidRPr="00E52D63">
        <w:rPr>
          <w:rFonts w:asciiTheme="majorBidi" w:hAnsiTheme="majorBidi" w:cstheme="majorBidi"/>
          <w:color w:val="000000" w:themeColor="text1"/>
          <w:lang w:val="en-US"/>
        </w:rPr>
        <w:t>O. Echab, N.  Ech-Cherki et al., “</w:t>
      </w:r>
      <w:r w:rsidR="002E62B0" w:rsidRPr="00E52D63">
        <w:rPr>
          <w:rFonts w:asciiTheme="majorBidi" w:hAnsiTheme="majorBidi" w:cstheme="majorBidi"/>
          <w:color w:val="000000" w:themeColor="text1"/>
          <w:lang w:val="en-US"/>
        </w:rPr>
        <w:t>Improved MPPT algorithm for grid</w:t>
      </w:r>
      <w:r w:rsidRPr="00E52D63">
        <w:rPr>
          <w:rFonts w:asciiTheme="majorBidi" w:hAnsiTheme="majorBidi" w:cstheme="majorBidi"/>
          <w:color w:val="000000" w:themeColor="text1"/>
          <w:lang w:val="en-US"/>
        </w:rPr>
        <w:t>-connected PV system,”</w:t>
      </w:r>
      <w:r w:rsidR="002E62B0" w:rsidRPr="00E52D63">
        <w:rPr>
          <w:rFonts w:asciiTheme="majorBidi" w:hAnsiTheme="majorBidi" w:cstheme="majorBidi"/>
          <w:color w:val="000000" w:themeColor="text1"/>
          <w:lang w:val="en-US"/>
        </w:rPr>
        <w:t xml:space="preserve"> 2025 </w:t>
      </w:r>
      <w:r w:rsidR="002E62B0" w:rsidRPr="00E52D63">
        <w:rPr>
          <w:rFonts w:asciiTheme="majorBidi" w:hAnsiTheme="majorBidi" w:cstheme="majorBidi"/>
          <w:i/>
          <w:color w:val="000000" w:themeColor="text1"/>
          <w:lang w:val="en-US"/>
        </w:rPr>
        <w:t>5th International Conference on Innovative Research in Applied Science, Engineering and Technology (IRASET),</w:t>
      </w:r>
      <w:r w:rsidR="002E62B0" w:rsidRPr="00E52D63">
        <w:rPr>
          <w:rFonts w:asciiTheme="majorBidi" w:hAnsiTheme="majorBidi" w:cstheme="majorBidi"/>
          <w:color w:val="000000" w:themeColor="text1"/>
          <w:lang w:val="en-US"/>
        </w:rPr>
        <w:t xml:space="preserve"> Fez, Morocco, 2025, pp. 1-5</w:t>
      </w:r>
      <w:r w:rsidRPr="00E52D63">
        <w:rPr>
          <w:rFonts w:asciiTheme="majorBidi" w:hAnsiTheme="majorBidi" w:cstheme="majorBidi"/>
          <w:color w:val="000000" w:themeColor="text1"/>
          <w:lang w:val="en-US"/>
        </w:rPr>
        <w:t>.</w:t>
      </w:r>
    </w:p>
    <w:p w14:paraId="778F10A3" w14:textId="77777777" w:rsidR="00277865" w:rsidRPr="00E52D63" w:rsidRDefault="00277865" w:rsidP="00DA7663">
      <w:pPr>
        <w:pStyle w:val="SolarPACESReferences"/>
        <w:numPr>
          <w:ilvl w:val="0"/>
          <w:numId w:val="4"/>
        </w:numPr>
        <w:spacing w:after="0" w:line="240" w:lineRule="auto"/>
        <w:jc w:val="both"/>
        <w:rPr>
          <w:rFonts w:asciiTheme="majorBidi" w:hAnsiTheme="majorBidi" w:cstheme="majorBidi"/>
          <w:color w:val="000000" w:themeColor="text1"/>
          <w:lang w:val="en-US"/>
        </w:rPr>
      </w:pPr>
      <w:r w:rsidRPr="00E52D63">
        <w:rPr>
          <w:rFonts w:asciiTheme="majorBidi" w:hAnsiTheme="majorBidi" w:cstheme="majorBidi"/>
          <w:color w:val="000000" w:themeColor="text1"/>
          <w:lang w:val="en-US"/>
        </w:rPr>
        <w:t xml:space="preserve">Ech-cherki, N., Echab, O., Errami, Y., Obbadi, A., Sahnoun, S., &amp; Aoutoul, M. (2025). </w:t>
      </w:r>
      <w:r w:rsidR="00DA7663" w:rsidRPr="00E52D63">
        <w:rPr>
          <w:rFonts w:asciiTheme="majorBidi" w:hAnsiTheme="majorBidi" w:cstheme="majorBidi"/>
          <w:color w:val="000000" w:themeColor="text1"/>
          <w:lang w:val="en-US"/>
        </w:rPr>
        <w:t>“</w:t>
      </w:r>
      <w:r w:rsidRPr="00E52D63">
        <w:rPr>
          <w:rFonts w:asciiTheme="majorBidi" w:hAnsiTheme="majorBidi" w:cstheme="majorBidi"/>
          <w:color w:val="000000" w:themeColor="text1"/>
          <w:lang w:val="en-US"/>
        </w:rPr>
        <w:t>High order sliding mode control for grid integration of photovoltaic systems.</w:t>
      </w:r>
      <w:r w:rsidR="00DA7663" w:rsidRPr="00E52D63">
        <w:rPr>
          <w:rFonts w:asciiTheme="majorBidi" w:hAnsiTheme="majorBidi" w:cstheme="majorBidi"/>
          <w:color w:val="000000" w:themeColor="text1"/>
          <w:lang w:val="en-US"/>
        </w:rPr>
        <w:t>”</w:t>
      </w:r>
      <w:r w:rsidRPr="00E52D63">
        <w:rPr>
          <w:rFonts w:asciiTheme="majorBidi" w:hAnsiTheme="majorBidi" w:cstheme="majorBidi"/>
          <w:color w:val="000000" w:themeColor="text1"/>
          <w:lang w:val="en-US"/>
        </w:rPr>
        <w:t xml:space="preserve"> </w:t>
      </w:r>
      <w:r w:rsidRPr="00E52D63">
        <w:rPr>
          <w:rFonts w:asciiTheme="majorBidi" w:hAnsiTheme="majorBidi" w:cstheme="majorBidi"/>
          <w:i/>
          <w:color w:val="000000" w:themeColor="text1"/>
          <w:lang w:val="en-US"/>
        </w:rPr>
        <w:t>International Journal of Applied</w:t>
      </w:r>
      <w:r w:rsidRPr="00E52D63">
        <w:rPr>
          <w:rFonts w:asciiTheme="majorBidi" w:hAnsiTheme="majorBidi" w:cstheme="majorBidi"/>
          <w:color w:val="000000" w:themeColor="text1"/>
          <w:lang w:val="en-US"/>
        </w:rPr>
        <w:t>, 14(1), 118-126.</w:t>
      </w:r>
    </w:p>
    <w:p w14:paraId="467E450F" w14:textId="77777777" w:rsidR="00303218" w:rsidRPr="00E52D63" w:rsidRDefault="00303218" w:rsidP="00303218">
      <w:pPr>
        <w:pStyle w:val="SolarPACESReferences"/>
        <w:numPr>
          <w:ilvl w:val="0"/>
          <w:numId w:val="4"/>
        </w:numPr>
        <w:spacing w:after="0" w:line="240" w:lineRule="auto"/>
        <w:jc w:val="both"/>
        <w:rPr>
          <w:rFonts w:asciiTheme="majorBidi" w:hAnsiTheme="majorBidi" w:cstheme="majorBidi"/>
          <w:color w:val="000000" w:themeColor="text1"/>
          <w:lang w:val="en-US"/>
        </w:rPr>
      </w:pPr>
      <w:r w:rsidRPr="00E52D63">
        <w:rPr>
          <w:rFonts w:asciiTheme="majorBidi" w:hAnsiTheme="majorBidi" w:cstheme="majorBidi"/>
          <w:color w:val="000000" w:themeColor="text1"/>
          <w:lang w:val="en-US"/>
        </w:rPr>
        <w:t>M. A. Mahmud, H. R. Pota, M. J. Hossain and N. K. Roy, “Robust Partial Feedback Linearizing Stabilization Scheme for Three-Phase Grid-Connected Photovoltaic Systems,” in IEEE Journal of Photovoltaics, vol. 4, no. 1, Pages 423-431, Jan. 2014.</w:t>
      </w:r>
    </w:p>
    <w:p w14:paraId="752C366C" w14:textId="77777777" w:rsidR="00303218" w:rsidRDefault="00C92131" w:rsidP="00303218">
      <w:pPr>
        <w:pStyle w:val="SolarPACESReferences"/>
        <w:numPr>
          <w:ilvl w:val="0"/>
          <w:numId w:val="4"/>
        </w:numPr>
        <w:spacing w:after="0" w:line="240" w:lineRule="auto"/>
        <w:jc w:val="both"/>
        <w:rPr>
          <w:rFonts w:asciiTheme="majorBidi" w:hAnsiTheme="majorBidi" w:cstheme="majorBidi"/>
          <w:color w:val="000000" w:themeColor="text1"/>
          <w:lang w:val="en-US"/>
        </w:rPr>
      </w:pPr>
      <w:r w:rsidRPr="00E52D63">
        <w:rPr>
          <w:rFonts w:asciiTheme="majorBidi" w:hAnsiTheme="majorBidi" w:cstheme="majorBidi"/>
          <w:color w:val="000000" w:themeColor="text1"/>
          <w:lang w:val="en-US"/>
        </w:rPr>
        <w:t xml:space="preserve">O. Echab, N.  Ech-Cherki </w:t>
      </w:r>
      <w:r w:rsidR="00277865" w:rsidRPr="00E52D63">
        <w:rPr>
          <w:rFonts w:asciiTheme="majorBidi" w:hAnsiTheme="majorBidi" w:cstheme="majorBidi"/>
          <w:i/>
          <w:iCs/>
          <w:color w:val="000000" w:themeColor="text1"/>
          <w:lang w:val="en-US"/>
        </w:rPr>
        <w:t>et al</w:t>
      </w:r>
      <w:r w:rsidRPr="00E52D63">
        <w:rPr>
          <w:rFonts w:asciiTheme="majorBidi" w:hAnsiTheme="majorBidi" w:cstheme="majorBidi"/>
          <w:color w:val="000000" w:themeColor="text1"/>
          <w:lang w:val="en-US"/>
        </w:rPr>
        <w:t>., “</w:t>
      </w:r>
      <w:r w:rsidR="00277865" w:rsidRPr="00E52D63">
        <w:rPr>
          <w:rFonts w:asciiTheme="majorBidi" w:hAnsiTheme="majorBidi" w:cstheme="majorBidi"/>
          <w:color w:val="000000" w:themeColor="text1"/>
          <w:lang w:val="en-US"/>
        </w:rPr>
        <w:t>A nonlinear backstepping controller approach for power optimiza</w:t>
      </w:r>
      <w:r w:rsidRPr="00E52D63">
        <w:rPr>
          <w:rFonts w:asciiTheme="majorBidi" w:hAnsiTheme="majorBidi" w:cstheme="majorBidi"/>
          <w:color w:val="000000" w:themeColor="text1"/>
          <w:lang w:val="en-US"/>
        </w:rPr>
        <w:t>tion in a standalone PV system,”</w:t>
      </w:r>
      <w:r w:rsidR="00277865" w:rsidRPr="00E52D63">
        <w:rPr>
          <w:rFonts w:asciiTheme="majorBidi" w:hAnsiTheme="majorBidi" w:cstheme="majorBidi"/>
          <w:color w:val="000000" w:themeColor="text1"/>
          <w:lang w:val="en-US"/>
        </w:rPr>
        <w:t> </w:t>
      </w:r>
      <w:r w:rsidR="00277865" w:rsidRPr="00E52D63">
        <w:rPr>
          <w:rFonts w:asciiTheme="majorBidi" w:hAnsiTheme="majorBidi" w:cstheme="majorBidi"/>
          <w:i/>
          <w:iCs/>
          <w:color w:val="000000" w:themeColor="text1"/>
          <w:lang w:val="en-US"/>
        </w:rPr>
        <w:t>2025 5th International Conference on Innovative Research in Applied Science, Engineering and Technology (IRASET)</w:t>
      </w:r>
      <w:r w:rsidR="00277865" w:rsidRPr="00E52D63">
        <w:rPr>
          <w:rFonts w:asciiTheme="majorBidi" w:hAnsiTheme="majorBidi" w:cstheme="majorBidi"/>
          <w:color w:val="000000" w:themeColor="text1"/>
          <w:lang w:val="en-US"/>
        </w:rPr>
        <w:t>, Fez, Morocco, 2025, pp. 1-5</w:t>
      </w:r>
      <w:r w:rsidR="00303218" w:rsidRPr="00E52D63">
        <w:rPr>
          <w:rFonts w:asciiTheme="majorBidi" w:hAnsiTheme="majorBidi" w:cstheme="majorBidi"/>
          <w:color w:val="000000" w:themeColor="text1"/>
          <w:lang w:val="en-US"/>
        </w:rPr>
        <w:t>.</w:t>
      </w:r>
    </w:p>
    <w:p w14:paraId="3C30D59B" w14:textId="77777777" w:rsidR="00284724" w:rsidRPr="00E52D63" w:rsidRDefault="00284724" w:rsidP="00303218">
      <w:pPr>
        <w:pStyle w:val="SolarPACESReferences"/>
        <w:numPr>
          <w:ilvl w:val="0"/>
          <w:numId w:val="4"/>
        </w:numPr>
        <w:spacing w:after="0" w:line="240" w:lineRule="auto"/>
        <w:jc w:val="both"/>
        <w:rPr>
          <w:rFonts w:asciiTheme="majorBidi" w:hAnsiTheme="majorBidi" w:cstheme="majorBidi"/>
          <w:color w:val="000000" w:themeColor="text1"/>
          <w:lang w:val="en-US"/>
        </w:rPr>
      </w:pPr>
      <w:r>
        <w:rPr>
          <w:rFonts w:asciiTheme="majorBidi" w:hAnsiTheme="majorBidi" w:cstheme="majorBidi"/>
          <w:color w:val="000000" w:themeColor="text1"/>
          <w:lang w:val="en-US"/>
        </w:rPr>
        <w:t>Echab. O,</w:t>
      </w:r>
      <w:r w:rsidRPr="00284724">
        <w:rPr>
          <w:rFonts w:asciiTheme="majorBidi" w:hAnsiTheme="majorBidi" w:cstheme="majorBidi"/>
          <w:color w:val="000000" w:themeColor="text1"/>
          <w:lang w:val="en-US"/>
        </w:rPr>
        <w:t xml:space="preserve"> Ech-C</w:t>
      </w:r>
      <w:r>
        <w:rPr>
          <w:rFonts w:asciiTheme="majorBidi" w:hAnsiTheme="majorBidi" w:cstheme="majorBidi"/>
          <w:color w:val="000000" w:themeColor="text1"/>
          <w:lang w:val="en-US"/>
        </w:rPr>
        <w:t>herki. N, Nassar-Eddine. I et al</w:t>
      </w:r>
      <w:r w:rsidRPr="00284724">
        <w:rPr>
          <w:rFonts w:asciiTheme="majorBidi" w:hAnsiTheme="majorBidi" w:cstheme="majorBidi"/>
          <w:color w:val="000000" w:themeColor="text1"/>
          <w:lang w:val="en-US"/>
        </w:rPr>
        <w:t>.</w:t>
      </w:r>
      <w:r>
        <w:rPr>
          <w:rFonts w:asciiTheme="majorBidi" w:hAnsiTheme="majorBidi" w:cstheme="majorBidi"/>
          <w:color w:val="000000" w:themeColor="text1"/>
          <w:lang w:val="en-US"/>
        </w:rPr>
        <w:t>,</w:t>
      </w:r>
      <w:r w:rsidRPr="00284724">
        <w:rPr>
          <w:rFonts w:asciiTheme="majorBidi" w:hAnsiTheme="majorBidi" w:cstheme="majorBidi"/>
          <w:color w:val="000000" w:themeColor="text1"/>
          <w:lang w:val="en-US"/>
        </w:rPr>
        <w:t xml:space="preserve"> </w:t>
      </w:r>
      <w:r>
        <w:rPr>
          <w:rFonts w:asciiTheme="majorBidi" w:hAnsiTheme="majorBidi" w:cstheme="majorBidi"/>
          <w:color w:val="000000" w:themeColor="text1"/>
          <w:lang w:val="en-US"/>
        </w:rPr>
        <w:t>“</w:t>
      </w:r>
      <w:r w:rsidRPr="00284724">
        <w:rPr>
          <w:rFonts w:asciiTheme="majorBidi" w:hAnsiTheme="majorBidi" w:cstheme="majorBidi"/>
          <w:color w:val="000000" w:themeColor="text1"/>
          <w:lang w:val="en-US"/>
        </w:rPr>
        <w:t>Enhanced performance of intelligent hybrid Takagi Sugeno-Integral Backstepping controller for grid-tied PV systems: processor-in-the-loop validation</w:t>
      </w:r>
      <w:r>
        <w:rPr>
          <w:rFonts w:asciiTheme="majorBidi" w:hAnsiTheme="majorBidi" w:cstheme="majorBidi"/>
          <w:color w:val="000000" w:themeColor="text1"/>
          <w:lang w:val="en-US"/>
        </w:rPr>
        <w:t>”</w:t>
      </w:r>
      <w:r w:rsidRPr="00284724">
        <w:rPr>
          <w:rFonts w:asciiTheme="majorBidi" w:hAnsiTheme="majorBidi" w:cstheme="majorBidi"/>
          <w:color w:val="000000" w:themeColor="text1"/>
          <w:lang w:val="en-US"/>
        </w:rPr>
        <w:t xml:space="preserve">, </w:t>
      </w:r>
      <w:r w:rsidRPr="00284724">
        <w:rPr>
          <w:rFonts w:asciiTheme="majorBidi" w:hAnsiTheme="majorBidi" w:cstheme="majorBidi"/>
          <w:i/>
          <w:color w:val="000000" w:themeColor="text1"/>
          <w:lang w:val="en-US"/>
        </w:rPr>
        <w:t>Comput. Electr. Eng</w:t>
      </w:r>
      <w:r w:rsidRPr="00284724">
        <w:rPr>
          <w:rFonts w:asciiTheme="majorBidi" w:hAnsiTheme="majorBidi" w:cstheme="majorBidi"/>
          <w:color w:val="000000" w:themeColor="text1"/>
          <w:lang w:val="en-US"/>
        </w:rPr>
        <w:t xml:space="preserve">. </w:t>
      </w:r>
      <w:r>
        <w:rPr>
          <w:rFonts w:asciiTheme="majorBidi" w:hAnsiTheme="majorBidi" w:cstheme="majorBidi"/>
          <w:color w:val="000000" w:themeColor="text1"/>
          <w:lang w:val="en-US"/>
        </w:rPr>
        <w:t>Vol 128</w:t>
      </w:r>
      <w:r w:rsidRPr="000B342A">
        <w:rPr>
          <w:rFonts w:asciiTheme="majorBidi" w:hAnsiTheme="majorBidi" w:cstheme="majorBidi"/>
          <w:color w:val="000000" w:themeColor="text1"/>
          <w:lang w:val="en-US"/>
        </w:rPr>
        <w:t>, 2025</w:t>
      </w:r>
      <w:r w:rsidR="000B342A" w:rsidRPr="000B342A">
        <w:rPr>
          <w:rFonts w:asciiTheme="majorBidi" w:hAnsiTheme="majorBidi" w:cstheme="majorBidi"/>
          <w:color w:val="000000" w:themeColor="text1"/>
          <w:lang w:val="en-US"/>
        </w:rPr>
        <w:t>.</w:t>
      </w:r>
    </w:p>
    <w:p w14:paraId="387F6543" w14:textId="77777777" w:rsidR="00DA7663" w:rsidRPr="00E52D63" w:rsidRDefault="00DA7663" w:rsidP="00DA7663">
      <w:pPr>
        <w:pStyle w:val="SolarPACESReferences"/>
        <w:numPr>
          <w:ilvl w:val="0"/>
          <w:numId w:val="4"/>
        </w:numPr>
        <w:spacing w:after="0" w:line="240" w:lineRule="auto"/>
        <w:jc w:val="both"/>
        <w:rPr>
          <w:rFonts w:asciiTheme="majorBidi" w:hAnsiTheme="majorBidi" w:cstheme="majorBidi"/>
          <w:color w:val="000000" w:themeColor="text1"/>
          <w:lang w:val="en-US"/>
        </w:rPr>
      </w:pPr>
      <w:r w:rsidRPr="00E52D63">
        <w:rPr>
          <w:rFonts w:asciiTheme="majorBidi" w:hAnsiTheme="majorBidi" w:cstheme="majorBidi"/>
          <w:color w:val="000000" w:themeColor="text1"/>
          <w:lang w:val="en-US"/>
        </w:rPr>
        <w:t xml:space="preserve">I. Nassar-eddine, A. Obbadi, Y. Errami, A. El fajri, M. Agunaou, “Parameter estimation of photovoltaic modules using iterative method and the Lambert W function: A comparative study”, </w:t>
      </w:r>
      <w:r w:rsidRPr="00E52D63">
        <w:rPr>
          <w:rFonts w:asciiTheme="majorBidi" w:hAnsiTheme="majorBidi" w:cstheme="majorBidi"/>
          <w:i/>
          <w:color w:val="000000" w:themeColor="text1"/>
          <w:lang w:val="en-US"/>
        </w:rPr>
        <w:t>Energy Conversion and Management</w:t>
      </w:r>
      <w:r w:rsidRPr="00E52D63">
        <w:rPr>
          <w:rFonts w:asciiTheme="majorBidi" w:hAnsiTheme="majorBidi" w:cstheme="majorBidi"/>
          <w:color w:val="000000" w:themeColor="text1"/>
          <w:lang w:val="en-US"/>
        </w:rPr>
        <w:t>, Volume 119, Pages 37-48, 2016.</w:t>
      </w:r>
    </w:p>
    <w:p w14:paraId="0A5C9FE6" w14:textId="77777777" w:rsidR="001215C0" w:rsidRPr="00E52D63" w:rsidRDefault="000E190F" w:rsidP="007B5319">
      <w:pPr>
        <w:pStyle w:val="SolarPACESReferences"/>
        <w:numPr>
          <w:ilvl w:val="0"/>
          <w:numId w:val="4"/>
        </w:numPr>
        <w:spacing w:after="0"/>
        <w:jc w:val="both"/>
        <w:rPr>
          <w:rFonts w:asciiTheme="majorBidi" w:hAnsiTheme="majorBidi" w:cstheme="majorBidi"/>
          <w:color w:val="000000" w:themeColor="text1"/>
          <w:lang w:val="en-US"/>
        </w:rPr>
      </w:pPr>
      <w:r w:rsidRPr="00E52D63">
        <w:rPr>
          <w:rFonts w:asciiTheme="majorBidi" w:hAnsiTheme="majorBidi" w:cstheme="majorBidi"/>
          <w:color w:val="000000" w:themeColor="text1"/>
          <w:lang w:val="en-US"/>
        </w:rPr>
        <w:t>J</w:t>
      </w:r>
      <w:r w:rsidR="007B5319" w:rsidRPr="00E52D63">
        <w:rPr>
          <w:rFonts w:asciiTheme="majorBidi" w:hAnsiTheme="majorBidi" w:cstheme="majorBidi"/>
          <w:color w:val="000000" w:themeColor="text1"/>
          <w:lang w:val="en-US"/>
        </w:rPr>
        <w:t xml:space="preserve">. </w:t>
      </w:r>
      <w:r w:rsidRPr="00E52D63">
        <w:rPr>
          <w:rFonts w:asciiTheme="majorBidi" w:hAnsiTheme="majorBidi" w:cstheme="majorBidi"/>
          <w:color w:val="000000" w:themeColor="text1"/>
          <w:lang w:val="en-US"/>
        </w:rPr>
        <w:t>Antonio Cortajarena, O</w:t>
      </w:r>
      <w:r w:rsidR="007B5319" w:rsidRPr="00E52D63">
        <w:rPr>
          <w:rFonts w:asciiTheme="majorBidi" w:hAnsiTheme="majorBidi" w:cstheme="majorBidi"/>
          <w:color w:val="000000" w:themeColor="text1"/>
          <w:lang w:val="en-US"/>
        </w:rPr>
        <w:t xml:space="preserve">. </w:t>
      </w:r>
      <w:r w:rsidRPr="00E52D63">
        <w:rPr>
          <w:rFonts w:asciiTheme="majorBidi" w:hAnsiTheme="majorBidi" w:cstheme="majorBidi"/>
          <w:color w:val="000000" w:themeColor="text1"/>
          <w:lang w:val="en-US"/>
        </w:rPr>
        <w:t>Barambones, P</w:t>
      </w:r>
      <w:r w:rsidR="007B5319" w:rsidRPr="00E52D63">
        <w:rPr>
          <w:rFonts w:asciiTheme="majorBidi" w:hAnsiTheme="majorBidi" w:cstheme="majorBidi"/>
          <w:color w:val="000000" w:themeColor="text1"/>
          <w:lang w:val="en-US"/>
        </w:rPr>
        <w:t xml:space="preserve">. </w:t>
      </w:r>
      <w:r w:rsidRPr="00E52D63">
        <w:rPr>
          <w:rFonts w:asciiTheme="majorBidi" w:hAnsiTheme="majorBidi" w:cstheme="majorBidi"/>
          <w:color w:val="000000" w:themeColor="text1"/>
          <w:lang w:val="en-US"/>
        </w:rPr>
        <w:t>Alkorta, J</w:t>
      </w:r>
      <w:r w:rsidR="007B5319" w:rsidRPr="00E52D63">
        <w:rPr>
          <w:rFonts w:asciiTheme="majorBidi" w:hAnsiTheme="majorBidi" w:cstheme="majorBidi"/>
          <w:color w:val="000000" w:themeColor="text1"/>
          <w:lang w:val="en-US"/>
        </w:rPr>
        <w:t xml:space="preserve">. </w:t>
      </w:r>
      <w:r w:rsidRPr="00E52D63">
        <w:rPr>
          <w:rFonts w:asciiTheme="majorBidi" w:hAnsiTheme="majorBidi" w:cstheme="majorBidi"/>
          <w:color w:val="000000" w:themeColor="text1"/>
          <w:lang w:val="en-US"/>
        </w:rPr>
        <w:t>De Marcos,</w:t>
      </w:r>
      <w:r w:rsidR="007B5319" w:rsidRPr="00E52D63">
        <w:rPr>
          <w:rFonts w:asciiTheme="majorBidi" w:hAnsiTheme="majorBidi" w:cstheme="majorBidi"/>
          <w:color w:val="000000" w:themeColor="text1"/>
          <w:lang w:val="en-US"/>
        </w:rPr>
        <w:t xml:space="preserve"> “</w:t>
      </w:r>
      <w:r w:rsidRPr="00E52D63">
        <w:rPr>
          <w:rFonts w:asciiTheme="majorBidi" w:hAnsiTheme="majorBidi" w:cstheme="majorBidi"/>
          <w:color w:val="000000" w:themeColor="text1"/>
          <w:lang w:val="en-US"/>
        </w:rPr>
        <w:t>Sliding mode control of grid-tied single-phase inverter in a photovoltaic MPPT application</w:t>
      </w:r>
      <w:r w:rsidR="007B5319" w:rsidRPr="00E52D63">
        <w:rPr>
          <w:rFonts w:asciiTheme="majorBidi" w:hAnsiTheme="majorBidi" w:cstheme="majorBidi"/>
          <w:color w:val="000000" w:themeColor="text1"/>
          <w:lang w:val="en-US"/>
        </w:rPr>
        <w:t>”</w:t>
      </w:r>
      <w:r w:rsidRPr="00E52D63">
        <w:rPr>
          <w:rFonts w:asciiTheme="majorBidi" w:hAnsiTheme="majorBidi" w:cstheme="majorBidi"/>
          <w:color w:val="000000" w:themeColor="text1"/>
          <w:lang w:val="en-US"/>
        </w:rPr>
        <w:t>,</w:t>
      </w:r>
      <w:r w:rsidR="007B5319" w:rsidRPr="00E52D63">
        <w:rPr>
          <w:rFonts w:asciiTheme="majorBidi" w:hAnsiTheme="majorBidi" w:cstheme="majorBidi"/>
          <w:color w:val="000000" w:themeColor="text1"/>
          <w:lang w:val="en-US"/>
        </w:rPr>
        <w:t xml:space="preserve"> </w:t>
      </w:r>
      <w:r w:rsidRPr="00E52D63">
        <w:rPr>
          <w:rFonts w:asciiTheme="majorBidi" w:hAnsiTheme="majorBidi" w:cstheme="majorBidi"/>
          <w:i/>
          <w:color w:val="000000" w:themeColor="text1"/>
          <w:lang w:val="en-US"/>
        </w:rPr>
        <w:t>Solar Energy</w:t>
      </w:r>
      <w:r w:rsidRPr="00E52D63">
        <w:rPr>
          <w:rFonts w:asciiTheme="majorBidi" w:hAnsiTheme="majorBidi" w:cstheme="majorBidi"/>
          <w:color w:val="000000" w:themeColor="text1"/>
          <w:lang w:val="en-US"/>
        </w:rPr>
        <w:t>,</w:t>
      </w:r>
      <w:r w:rsidR="007B5319" w:rsidRPr="00E52D63">
        <w:rPr>
          <w:rFonts w:asciiTheme="majorBidi" w:hAnsiTheme="majorBidi" w:cstheme="majorBidi"/>
          <w:color w:val="000000" w:themeColor="text1"/>
          <w:lang w:val="en-US"/>
        </w:rPr>
        <w:t xml:space="preserve"> Volume 155, </w:t>
      </w:r>
      <w:r w:rsidRPr="00E52D63">
        <w:rPr>
          <w:rFonts w:asciiTheme="majorBidi" w:hAnsiTheme="majorBidi" w:cstheme="majorBidi"/>
          <w:color w:val="000000" w:themeColor="text1"/>
          <w:lang w:val="en-US"/>
        </w:rPr>
        <w:t>Pages 793-804,</w:t>
      </w:r>
      <w:r w:rsidR="007B5319" w:rsidRPr="00E52D63">
        <w:rPr>
          <w:rFonts w:asciiTheme="majorBidi" w:hAnsiTheme="majorBidi" w:cstheme="majorBidi"/>
          <w:color w:val="000000" w:themeColor="text1"/>
          <w:lang w:val="en-US"/>
        </w:rPr>
        <w:t xml:space="preserve"> 2017.</w:t>
      </w:r>
    </w:p>
    <w:p w14:paraId="1E6EE4E4" w14:textId="77777777" w:rsidR="007B5319" w:rsidRPr="00E52D63" w:rsidRDefault="007B5319" w:rsidP="007B5319">
      <w:pPr>
        <w:pStyle w:val="SolarPACESReferences"/>
        <w:numPr>
          <w:ilvl w:val="0"/>
          <w:numId w:val="4"/>
        </w:numPr>
        <w:spacing w:after="0"/>
        <w:jc w:val="both"/>
        <w:rPr>
          <w:rFonts w:asciiTheme="majorBidi" w:hAnsiTheme="majorBidi" w:cstheme="majorBidi"/>
          <w:color w:val="000000" w:themeColor="text1"/>
          <w:lang w:val="en-US"/>
        </w:rPr>
      </w:pPr>
      <w:r w:rsidRPr="00E52D63">
        <w:rPr>
          <w:rFonts w:asciiTheme="majorBidi" w:hAnsiTheme="majorBidi" w:cstheme="majorBidi"/>
          <w:color w:val="000000" w:themeColor="text1"/>
          <w:lang w:val="en-US"/>
        </w:rPr>
        <w:t>Soumana, Ricsa Alhassane, Michael Juma Saulo, and Christopher Maina Muriithi. “Comparison of MPPT techniques on THD current in a grid-connected photovoltaic system.”</w:t>
      </w:r>
      <w:r w:rsidRPr="00E52D63">
        <w:rPr>
          <w:rFonts w:asciiTheme="majorBidi" w:hAnsiTheme="majorBidi" w:cstheme="majorBidi"/>
          <w:i/>
          <w:iCs/>
          <w:color w:val="000000" w:themeColor="text1"/>
          <w:lang w:val="en-US"/>
        </w:rPr>
        <w:t>2022 4th Global Power, Energy and Communication Conference (GPECOM)</w:t>
      </w:r>
      <w:r w:rsidRPr="00E52D63">
        <w:rPr>
          <w:rFonts w:asciiTheme="majorBidi" w:hAnsiTheme="majorBidi" w:cstheme="majorBidi"/>
          <w:color w:val="000000" w:themeColor="text1"/>
          <w:lang w:val="en-US"/>
        </w:rPr>
        <w:t>. IEEE, 2022.</w:t>
      </w:r>
    </w:p>
    <w:p w14:paraId="1F4FCA5C" w14:textId="77777777" w:rsidR="001215C0" w:rsidRPr="00E52D63" w:rsidRDefault="007B5319" w:rsidP="007B5319">
      <w:pPr>
        <w:pStyle w:val="SolarPACESReferences"/>
        <w:numPr>
          <w:ilvl w:val="0"/>
          <w:numId w:val="4"/>
        </w:numPr>
        <w:spacing w:after="0"/>
        <w:jc w:val="both"/>
        <w:rPr>
          <w:rFonts w:asciiTheme="majorBidi" w:hAnsiTheme="majorBidi" w:cstheme="majorBidi"/>
          <w:color w:val="000000" w:themeColor="text1"/>
          <w:lang w:val="en-US"/>
        </w:rPr>
      </w:pPr>
      <w:r w:rsidRPr="00E52D63">
        <w:rPr>
          <w:rFonts w:asciiTheme="majorBidi" w:hAnsiTheme="majorBidi" w:cstheme="majorBidi"/>
          <w:color w:val="000000" w:themeColor="text1"/>
          <w:lang w:val="en-US"/>
        </w:rPr>
        <w:t xml:space="preserve">S. Ouchen, S. Abdeddaim, A. Betka, A. Menadi, “Experimental validation of sliding mode-predictive direct power control of a grid connected photovoltaic system, feeding a nonlinear load”, </w:t>
      </w:r>
      <w:r w:rsidRPr="00E52D63">
        <w:rPr>
          <w:rFonts w:asciiTheme="majorBidi" w:hAnsiTheme="majorBidi" w:cstheme="majorBidi"/>
          <w:i/>
          <w:color w:val="000000" w:themeColor="text1"/>
          <w:lang w:val="en-US"/>
        </w:rPr>
        <w:t>Solar Energy</w:t>
      </w:r>
      <w:r w:rsidRPr="00E52D63">
        <w:rPr>
          <w:rFonts w:asciiTheme="majorBidi" w:hAnsiTheme="majorBidi" w:cstheme="majorBidi"/>
          <w:color w:val="000000" w:themeColor="text1"/>
          <w:lang w:val="en-US"/>
        </w:rPr>
        <w:t>, Volume 137, Pages 328-336, 2016.</w:t>
      </w:r>
    </w:p>
    <w:p w14:paraId="5312E27E" w14:textId="77777777" w:rsidR="007B5319" w:rsidRPr="00E52D63" w:rsidRDefault="007B5319" w:rsidP="007B5319">
      <w:pPr>
        <w:pStyle w:val="SolarPACESReferences"/>
        <w:numPr>
          <w:ilvl w:val="0"/>
          <w:numId w:val="4"/>
        </w:numPr>
        <w:spacing w:after="0"/>
        <w:jc w:val="both"/>
        <w:rPr>
          <w:rFonts w:asciiTheme="majorBidi" w:hAnsiTheme="majorBidi" w:cstheme="majorBidi"/>
          <w:color w:val="000000" w:themeColor="text1"/>
          <w:lang w:val="en-US"/>
        </w:rPr>
      </w:pPr>
      <w:r w:rsidRPr="00E52D63">
        <w:rPr>
          <w:rFonts w:asciiTheme="majorBidi" w:hAnsiTheme="majorBidi" w:cstheme="majorBidi"/>
          <w:color w:val="000000" w:themeColor="text1"/>
          <w:lang w:val="en-US"/>
        </w:rPr>
        <w:t xml:space="preserve">Ahmed A.S. Mohamed, Hamid Metwally, Ahmed El-Sayed, S.I. Selem, “Predictive neural network based adaptive controller for grid-connected PV systems supplying pulse-load”, </w:t>
      </w:r>
      <w:r w:rsidRPr="00E52D63">
        <w:rPr>
          <w:rFonts w:asciiTheme="majorBidi" w:hAnsiTheme="majorBidi" w:cstheme="majorBidi"/>
          <w:i/>
          <w:color w:val="000000" w:themeColor="text1"/>
          <w:lang w:val="en-US"/>
        </w:rPr>
        <w:t>Solar Energy</w:t>
      </w:r>
      <w:r w:rsidRPr="00E52D63">
        <w:rPr>
          <w:rFonts w:asciiTheme="majorBidi" w:hAnsiTheme="majorBidi" w:cstheme="majorBidi"/>
          <w:color w:val="000000" w:themeColor="text1"/>
          <w:lang w:val="en-US"/>
        </w:rPr>
        <w:t>, Volume 193, Pages 139-147, 2019.</w:t>
      </w:r>
    </w:p>
    <w:sectPr w:rsidR="007B5319" w:rsidRPr="00E52D63" w:rsidSect="00B4742E">
      <w:pgSz w:w="12240" w:h="15840"/>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904FD3" w14:textId="77777777" w:rsidR="00CC73E4" w:rsidRDefault="00CC73E4" w:rsidP="00B4742E">
      <w:r>
        <w:separator/>
      </w:r>
    </w:p>
  </w:endnote>
  <w:endnote w:type="continuationSeparator" w:id="0">
    <w:p w14:paraId="2853342F" w14:textId="77777777" w:rsidR="00CC73E4" w:rsidRDefault="00CC73E4" w:rsidP="00B474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87E906" w14:textId="77777777" w:rsidR="00CC73E4" w:rsidRDefault="00CC73E4" w:rsidP="00B4742E">
      <w:r>
        <w:separator/>
      </w:r>
    </w:p>
  </w:footnote>
  <w:footnote w:type="continuationSeparator" w:id="0">
    <w:p w14:paraId="77033835" w14:textId="77777777" w:rsidR="00CC73E4" w:rsidRDefault="00CC73E4" w:rsidP="00B474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895CAD"/>
    <w:multiLevelType w:val="hybridMultilevel"/>
    <w:tmpl w:val="C284FEC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25F96F20"/>
    <w:multiLevelType w:val="hybridMultilevel"/>
    <w:tmpl w:val="BD9227AC"/>
    <w:lvl w:ilvl="0" w:tplc="B13A8400">
      <w:start w:val="1"/>
      <w:numFmt w:val="decimal"/>
      <w:lvlText w:val="[%1]"/>
      <w:lvlJc w:val="left"/>
      <w:pPr>
        <w:ind w:left="720" w:hanging="360"/>
      </w:pPr>
      <w:rPr>
        <w:rFonts w:hint="default"/>
        <w:sz w:val="2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2C6F51A0"/>
    <w:multiLevelType w:val="hybridMultilevel"/>
    <w:tmpl w:val="3746D3F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63381DF3"/>
    <w:multiLevelType w:val="hybridMultilevel"/>
    <w:tmpl w:val="14C2AC28"/>
    <w:lvl w:ilvl="0" w:tplc="0C0C000F">
      <w:start w:val="1"/>
      <w:numFmt w:val="decimal"/>
      <w:lvlText w:val="%1."/>
      <w:lvlJc w:val="left"/>
      <w:pPr>
        <w:ind w:left="720" w:hanging="360"/>
      </w:pPr>
      <w:rPr>
        <w:rFonts w:hint="default"/>
        <w:sz w:val="2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16cid:durableId="98067262">
    <w:abstractNumId w:val="0"/>
  </w:num>
  <w:num w:numId="2" w16cid:durableId="1258095461">
    <w:abstractNumId w:val="2"/>
  </w:num>
  <w:num w:numId="3" w16cid:durableId="517307805">
    <w:abstractNumId w:val="1"/>
  </w:num>
  <w:num w:numId="4" w16cid:durableId="87650809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079F"/>
    <w:rsid w:val="00005737"/>
    <w:rsid w:val="00010BD5"/>
    <w:rsid w:val="0003181A"/>
    <w:rsid w:val="00044478"/>
    <w:rsid w:val="00050F97"/>
    <w:rsid w:val="00054727"/>
    <w:rsid w:val="00093FE5"/>
    <w:rsid w:val="000B278C"/>
    <w:rsid w:val="000B342A"/>
    <w:rsid w:val="000C0CC8"/>
    <w:rsid w:val="000D505C"/>
    <w:rsid w:val="000E190F"/>
    <w:rsid w:val="000F060B"/>
    <w:rsid w:val="0010136B"/>
    <w:rsid w:val="00103874"/>
    <w:rsid w:val="001215C0"/>
    <w:rsid w:val="001404C8"/>
    <w:rsid w:val="00150E23"/>
    <w:rsid w:val="00164E8F"/>
    <w:rsid w:val="001802F9"/>
    <w:rsid w:val="00180FB3"/>
    <w:rsid w:val="00183977"/>
    <w:rsid w:val="00191B68"/>
    <w:rsid w:val="001B77D8"/>
    <w:rsid w:val="001F7F5F"/>
    <w:rsid w:val="00212D5E"/>
    <w:rsid w:val="00236BE7"/>
    <w:rsid w:val="00237A61"/>
    <w:rsid w:val="002468A1"/>
    <w:rsid w:val="00266357"/>
    <w:rsid w:val="00266B00"/>
    <w:rsid w:val="00273BAC"/>
    <w:rsid w:val="00277865"/>
    <w:rsid w:val="00284724"/>
    <w:rsid w:val="00286022"/>
    <w:rsid w:val="002A262C"/>
    <w:rsid w:val="002A78AB"/>
    <w:rsid w:val="002E62B0"/>
    <w:rsid w:val="002F2193"/>
    <w:rsid w:val="00303218"/>
    <w:rsid w:val="00343CEA"/>
    <w:rsid w:val="0035077F"/>
    <w:rsid w:val="003657B1"/>
    <w:rsid w:val="00372F55"/>
    <w:rsid w:val="003A62CA"/>
    <w:rsid w:val="003B77EF"/>
    <w:rsid w:val="003C39C1"/>
    <w:rsid w:val="003D40E7"/>
    <w:rsid w:val="004029C2"/>
    <w:rsid w:val="0040490A"/>
    <w:rsid w:val="0042088C"/>
    <w:rsid w:val="004251E1"/>
    <w:rsid w:val="004311E2"/>
    <w:rsid w:val="00447CFA"/>
    <w:rsid w:val="00485FB7"/>
    <w:rsid w:val="004878AF"/>
    <w:rsid w:val="00490572"/>
    <w:rsid w:val="004A0FCB"/>
    <w:rsid w:val="004A2EDA"/>
    <w:rsid w:val="004A6BDC"/>
    <w:rsid w:val="004F74F8"/>
    <w:rsid w:val="0051410F"/>
    <w:rsid w:val="005325EA"/>
    <w:rsid w:val="00540D41"/>
    <w:rsid w:val="00546660"/>
    <w:rsid w:val="005A17F3"/>
    <w:rsid w:val="005B39C2"/>
    <w:rsid w:val="005B3AA8"/>
    <w:rsid w:val="0062407D"/>
    <w:rsid w:val="00627AA9"/>
    <w:rsid w:val="006553A3"/>
    <w:rsid w:val="0067019E"/>
    <w:rsid w:val="006C1FD2"/>
    <w:rsid w:val="006C2474"/>
    <w:rsid w:val="006C38F3"/>
    <w:rsid w:val="006D59C5"/>
    <w:rsid w:val="006E0A9E"/>
    <w:rsid w:val="006E1199"/>
    <w:rsid w:val="006F5406"/>
    <w:rsid w:val="0070471B"/>
    <w:rsid w:val="00713C55"/>
    <w:rsid w:val="00723609"/>
    <w:rsid w:val="00740838"/>
    <w:rsid w:val="00776C7D"/>
    <w:rsid w:val="007851F6"/>
    <w:rsid w:val="007B5319"/>
    <w:rsid w:val="007C2912"/>
    <w:rsid w:val="007D03FE"/>
    <w:rsid w:val="00856F2B"/>
    <w:rsid w:val="00896EB6"/>
    <w:rsid w:val="008A6307"/>
    <w:rsid w:val="008D5198"/>
    <w:rsid w:val="008F4D5B"/>
    <w:rsid w:val="00915AE7"/>
    <w:rsid w:val="00924826"/>
    <w:rsid w:val="00926B49"/>
    <w:rsid w:val="009566AF"/>
    <w:rsid w:val="009A42FF"/>
    <w:rsid w:val="009E7D4F"/>
    <w:rsid w:val="009F1B37"/>
    <w:rsid w:val="00A3107D"/>
    <w:rsid w:val="00A4032C"/>
    <w:rsid w:val="00A61A0E"/>
    <w:rsid w:val="00AA1991"/>
    <w:rsid w:val="00AB67E5"/>
    <w:rsid w:val="00AC1C7C"/>
    <w:rsid w:val="00B0262C"/>
    <w:rsid w:val="00B072ED"/>
    <w:rsid w:val="00B2394A"/>
    <w:rsid w:val="00B26B1B"/>
    <w:rsid w:val="00B35612"/>
    <w:rsid w:val="00B4085B"/>
    <w:rsid w:val="00B4742E"/>
    <w:rsid w:val="00B509AD"/>
    <w:rsid w:val="00B53C3A"/>
    <w:rsid w:val="00B66771"/>
    <w:rsid w:val="00B6777F"/>
    <w:rsid w:val="00B979D8"/>
    <w:rsid w:val="00BB5E3C"/>
    <w:rsid w:val="00BF2524"/>
    <w:rsid w:val="00C30469"/>
    <w:rsid w:val="00C30FDF"/>
    <w:rsid w:val="00C3375A"/>
    <w:rsid w:val="00C4486B"/>
    <w:rsid w:val="00C509C2"/>
    <w:rsid w:val="00C80926"/>
    <w:rsid w:val="00C82E3A"/>
    <w:rsid w:val="00C92131"/>
    <w:rsid w:val="00CC73E4"/>
    <w:rsid w:val="00CE6AFF"/>
    <w:rsid w:val="00CE732A"/>
    <w:rsid w:val="00D00952"/>
    <w:rsid w:val="00D40AC3"/>
    <w:rsid w:val="00D819C2"/>
    <w:rsid w:val="00D84FDA"/>
    <w:rsid w:val="00DA079F"/>
    <w:rsid w:val="00DA7663"/>
    <w:rsid w:val="00DB4FDB"/>
    <w:rsid w:val="00DE2A27"/>
    <w:rsid w:val="00E37C44"/>
    <w:rsid w:val="00E432A9"/>
    <w:rsid w:val="00E52D63"/>
    <w:rsid w:val="00EE4ADA"/>
    <w:rsid w:val="00EF61C7"/>
    <w:rsid w:val="00FB4344"/>
    <w:rsid w:val="00FC25D7"/>
  </w:rsids>
  <m:mathPr>
    <m:mathFont m:val="Cambria Math"/>
    <m:brkBin m:val="before"/>
    <m:brkBinSub m:val="--"/>
    <m:smallFrac m:val="0"/>
    <m:dispDef/>
    <m:lMargin m:val="0"/>
    <m:rMargin m:val="0"/>
    <m:defJc m:val="centerGroup"/>
    <m:wrapIndent m:val="1440"/>
    <m:intLim m:val="subSup"/>
    <m:naryLim m:val="undOvr"/>
  </m:mathPr>
  <w:themeFontLang w:val="fr-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642F100"/>
  <w15:chartTrackingRefBased/>
  <w15:docId w15:val="{6E51739A-AC9A-493B-BF93-7B413D4A0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79F"/>
    <w:pPr>
      <w:spacing w:after="0" w:line="240" w:lineRule="auto"/>
    </w:pPr>
    <w:rPr>
      <w:rFonts w:ascii="Times New Roman" w:eastAsia="Times New Roman" w:hAnsi="Times New Roman" w:cs="Times New Roman"/>
      <w:sz w:val="24"/>
      <w:szCs w:val="24"/>
      <w:lang w:val="en-US" w:eastAsia="de-DE"/>
    </w:rPr>
  </w:style>
  <w:style w:type="paragraph" w:styleId="Heading1">
    <w:name w:val="heading 1"/>
    <w:basedOn w:val="Normal"/>
    <w:next w:val="Normal"/>
    <w:link w:val="Heading1Char"/>
    <w:uiPriority w:val="9"/>
    <w:qFormat/>
    <w:rsid w:val="0062407D"/>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olarPACESAuthor">
    <w:name w:val="SolarPACES_Author"/>
    <w:rsid w:val="00DA079F"/>
    <w:pPr>
      <w:tabs>
        <w:tab w:val="left" w:pos="136"/>
      </w:tabs>
      <w:spacing w:after="60" w:line="280" w:lineRule="exact"/>
      <w:jc w:val="center"/>
    </w:pPr>
    <w:rPr>
      <w:rFonts w:ascii="Helvetica" w:eastAsia="Times New Roman" w:hAnsi="Helvetica" w:cs="Times New Roman"/>
      <w:b/>
      <w:color w:val="000000"/>
      <w:sz w:val="18"/>
      <w:lang w:val="de-DE" w:eastAsia="de-DE"/>
    </w:rPr>
  </w:style>
  <w:style w:type="paragraph" w:customStyle="1" w:styleId="SolarPACESTitle">
    <w:name w:val="SolarPACES_Title"/>
    <w:rsid w:val="00DA079F"/>
    <w:pPr>
      <w:spacing w:after="380" w:line="340" w:lineRule="exact"/>
      <w:jc w:val="center"/>
    </w:pPr>
    <w:rPr>
      <w:rFonts w:ascii="Times New Roman" w:eastAsia="Times New Roman" w:hAnsi="Times New Roman" w:cs="Times New Roman"/>
      <w:b/>
      <w:color w:val="000000"/>
      <w:sz w:val="28"/>
      <w:szCs w:val="28"/>
      <w:lang w:val="en-GB" w:eastAsia="de-DE"/>
    </w:rPr>
  </w:style>
  <w:style w:type="paragraph" w:customStyle="1" w:styleId="SolarPACESHeading1Character">
    <w:name w:val="SolarPACES_Heading1Character"/>
    <w:link w:val="SolarPACESHeading1CharacterZchnZchn"/>
    <w:qFormat/>
    <w:rsid w:val="00DA079F"/>
    <w:pPr>
      <w:spacing w:before="240" w:after="180" w:line="280" w:lineRule="exact"/>
    </w:pPr>
    <w:rPr>
      <w:rFonts w:ascii="Times New Roman" w:eastAsia="Times New Roman" w:hAnsi="Times New Roman" w:cs="Times New Roman"/>
      <w:b/>
      <w:color w:val="000000"/>
      <w:szCs w:val="24"/>
      <w:lang w:val="en-US" w:eastAsia="de-DE"/>
    </w:rPr>
  </w:style>
  <w:style w:type="character" w:customStyle="1" w:styleId="SolarPACESHeading1CharacterZchnZchn">
    <w:name w:val="SolarPACES_Heading1Character Zchn Zchn"/>
    <w:link w:val="SolarPACESHeading1Character"/>
    <w:rsid w:val="00DA079F"/>
    <w:rPr>
      <w:rFonts w:ascii="Times New Roman" w:eastAsia="Times New Roman" w:hAnsi="Times New Roman" w:cs="Times New Roman"/>
      <w:b/>
      <w:color w:val="000000"/>
      <w:szCs w:val="24"/>
      <w:lang w:val="en-US" w:eastAsia="de-DE"/>
    </w:rPr>
  </w:style>
  <w:style w:type="character" w:styleId="PlaceholderText">
    <w:name w:val="Placeholder Text"/>
    <w:basedOn w:val="DefaultParagraphFont"/>
    <w:uiPriority w:val="99"/>
    <w:semiHidden/>
    <w:rsid w:val="000C0CC8"/>
    <w:rPr>
      <w:color w:val="808080"/>
    </w:rPr>
  </w:style>
  <w:style w:type="paragraph" w:customStyle="1" w:styleId="SolarPACESHeading11">
    <w:name w:val="SolarPACES_Heading1.1"/>
    <w:rsid w:val="00286022"/>
    <w:pPr>
      <w:spacing w:before="160" w:after="80" w:line="240" w:lineRule="exact"/>
    </w:pPr>
    <w:rPr>
      <w:rFonts w:ascii="Times New Roman" w:eastAsia="Times New Roman" w:hAnsi="Times New Roman" w:cs="Times New Roman"/>
      <w:b/>
      <w:color w:val="000000"/>
      <w:sz w:val="20"/>
      <w:lang w:val="en-GB" w:eastAsia="de-DE"/>
    </w:rPr>
  </w:style>
  <w:style w:type="paragraph" w:styleId="ListParagraph">
    <w:name w:val="List Paragraph"/>
    <w:basedOn w:val="Normal"/>
    <w:uiPriority w:val="34"/>
    <w:qFormat/>
    <w:rsid w:val="00C3375A"/>
    <w:pPr>
      <w:ind w:left="720"/>
      <w:contextualSpacing/>
    </w:pPr>
  </w:style>
  <w:style w:type="paragraph" w:styleId="NormalWeb">
    <w:name w:val="Normal (Web)"/>
    <w:basedOn w:val="Normal"/>
    <w:uiPriority w:val="99"/>
    <w:semiHidden/>
    <w:unhideWhenUsed/>
    <w:rsid w:val="0070471B"/>
    <w:pPr>
      <w:spacing w:before="100" w:beforeAutospacing="1" w:after="100" w:afterAutospacing="1"/>
    </w:pPr>
    <w:rPr>
      <w:lang w:val="fr-CA" w:eastAsia="fr-CA"/>
    </w:rPr>
  </w:style>
  <w:style w:type="paragraph" w:customStyle="1" w:styleId="SolarPACESReferences">
    <w:name w:val="SolarPACES_References"/>
    <w:rsid w:val="000B278C"/>
    <w:pPr>
      <w:tabs>
        <w:tab w:val="left" w:pos="136"/>
      </w:tabs>
      <w:spacing w:after="120" w:line="240" w:lineRule="exact"/>
      <w:ind w:left="255" w:hanging="255"/>
    </w:pPr>
    <w:rPr>
      <w:rFonts w:ascii="Times New Roman" w:eastAsia="Times New Roman" w:hAnsi="Times New Roman" w:cs="Times New Roman"/>
      <w:color w:val="000000"/>
      <w:sz w:val="20"/>
      <w:szCs w:val="20"/>
      <w:lang w:val="en-GB" w:eastAsia="de-DE"/>
    </w:rPr>
  </w:style>
  <w:style w:type="character" w:customStyle="1" w:styleId="Heading1Char">
    <w:name w:val="Heading 1 Char"/>
    <w:basedOn w:val="DefaultParagraphFont"/>
    <w:link w:val="Heading1"/>
    <w:uiPriority w:val="9"/>
    <w:rsid w:val="0062407D"/>
    <w:rPr>
      <w:rFonts w:asciiTheme="majorHAnsi" w:eastAsiaTheme="majorEastAsia" w:hAnsiTheme="majorHAnsi" w:cstheme="majorBidi"/>
      <w:color w:val="2E74B5" w:themeColor="accent1" w:themeShade="BF"/>
      <w:sz w:val="32"/>
      <w:szCs w:val="32"/>
      <w:lang w:val="en-US" w:eastAsia="de-DE"/>
    </w:rPr>
  </w:style>
  <w:style w:type="paragraph" w:styleId="Header">
    <w:name w:val="header"/>
    <w:basedOn w:val="Normal"/>
    <w:link w:val="HeaderChar"/>
    <w:uiPriority w:val="99"/>
    <w:unhideWhenUsed/>
    <w:rsid w:val="00B4742E"/>
    <w:pPr>
      <w:tabs>
        <w:tab w:val="center" w:pos="4703"/>
        <w:tab w:val="right" w:pos="9406"/>
      </w:tabs>
    </w:pPr>
  </w:style>
  <w:style w:type="character" w:customStyle="1" w:styleId="HeaderChar">
    <w:name w:val="Header Char"/>
    <w:basedOn w:val="DefaultParagraphFont"/>
    <w:link w:val="Header"/>
    <w:uiPriority w:val="99"/>
    <w:rsid w:val="00B4742E"/>
    <w:rPr>
      <w:rFonts w:ascii="Times New Roman" w:eastAsia="Times New Roman" w:hAnsi="Times New Roman" w:cs="Times New Roman"/>
      <w:sz w:val="24"/>
      <w:szCs w:val="24"/>
      <w:lang w:val="en-US" w:eastAsia="de-DE"/>
    </w:rPr>
  </w:style>
  <w:style w:type="paragraph" w:styleId="Footer">
    <w:name w:val="footer"/>
    <w:basedOn w:val="Normal"/>
    <w:link w:val="FooterChar"/>
    <w:uiPriority w:val="99"/>
    <w:unhideWhenUsed/>
    <w:rsid w:val="00B4742E"/>
    <w:pPr>
      <w:tabs>
        <w:tab w:val="center" w:pos="4703"/>
        <w:tab w:val="right" w:pos="9406"/>
      </w:tabs>
    </w:pPr>
  </w:style>
  <w:style w:type="character" w:customStyle="1" w:styleId="FooterChar">
    <w:name w:val="Footer Char"/>
    <w:basedOn w:val="DefaultParagraphFont"/>
    <w:link w:val="Footer"/>
    <w:uiPriority w:val="99"/>
    <w:rsid w:val="00B4742E"/>
    <w:rPr>
      <w:rFonts w:ascii="Times New Roman" w:eastAsia="Times New Roman" w:hAnsi="Times New Roman" w:cs="Times New Roman"/>
      <w:sz w:val="24"/>
      <w:szCs w:val="24"/>
      <w:lang w:val="en-US" w:eastAsia="de-DE"/>
    </w:rPr>
  </w:style>
  <w:style w:type="table" w:styleId="TableGrid">
    <w:name w:val="Table Grid"/>
    <w:basedOn w:val="TableNormal"/>
    <w:uiPriority w:val="39"/>
    <w:rsid w:val="00B509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chab.o@ucd.ac.ma" TargetMode="Externa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4.wmf"/><Relationship Id="rId21" Type="http://schemas.openxmlformats.org/officeDocument/2006/relationships/image" Target="media/image5.w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fontTable" Target="fontTable.xml"/><Relationship Id="rId7" Type="http://schemas.openxmlformats.org/officeDocument/2006/relationships/hyperlink" Target="mailto:echab.o@ucd.ac.ma" TargetMode="External"/><Relationship Id="rId2" Type="http://schemas.openxmlformats.org/officeDocument/2006/relationships/styles" Target="styles.xml"/><Relationship Id="rId16" Type="http://schemas.openxmlformats.org/officeDocument/2006/relationships/oleObject" Target="embeddings/oleObject1.bin"/><Relationship Id="rId29" Type="http://schemas.openxmlformats.org/officeDocument/2006/relationships/image" Target="media/image9.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ahnoun.s@ucd.ac.ma"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wmf"/><Relationship Id="rId40" Type="http://schemas.openxmlformats.org/officeDocument/2006/relationships/oleObject" Target="embeddings/oleObject13.bin"/><Relationship Id="rId45" Type="http://schemas.openxmlformats.org/officeDocument/2006/relationships/image" Target="media/image18.tiff"/><Relationship Id="rId5" Type="http://schemas.openxmlformats.org/officeDocument/2006/relationships/footnotes" Target="footnote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10" Type="http://schemas.openxmlformats.org/officeDocument/2006/relationships/hyperlink" Target="mailto:errami.y@ucd.ac.ma" TargetMode="External"/><Relationship Id="rId19" Type="http://schemas.openxmlformats.org/officeDocument/2006/relationships/image" Target="media/image4.wmf"/><Relationship Id="rId31" Type="http://schemas.openxmlformats.org/officeDocument/2006/relationships/image" Target="media/image10.wmf"/><Relationship Id="rId44" Type="http://schemas.openxmlformats.org/officeDocument/2006/relationships/image" Target="media/image17.tiff"/><Relationship Id="rId4" Type="http://schemas.openxmlformats.org/officeDocument/2006/relationships/webSettings" Target="webSettings.xml"/><Relationship Id="rId9" Type="http://schemas.openxmlformats.org/officeDocument/2006/relationships/hyperlink" Target="mailto:obbadi.a@ucd.ac.ma" TargetMode="External"/><Relationship Id="rId14" Type="http://schemas.openxmlformats.org/officeDocument/2006/relationships/image" Target="media/image1.png"/><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wmf"/><Relationship Id="rId43" Type="http://schemas.openxmlformats.org/officeDocument/2006/relationships/image" Target="media/image16.tiff"/><Relationship Id="rId48" Type="http://schemas.openxmlformats.org/officeDocument/2006/relationships/theme" Target="theme/theme1.xml"/><Relationship Id="rId8" Type="http://schemas.openxmlformats.org/officeDocument/2006/relationships/hyperlink" Target="mailto:echcherki.noureddine@ucd.ac.ma" TargetMode="External"/><Relationship Id="rId3" Type="http://schemas.openxmlformats.org/officeDocument/2006/relationships/settings" Target="settings.xml"/><Relationship Id="rId12" Type="http://schemas.openxmlformats.org/officeDocument/2006/relationships/hyperlink" Target="mailto:aoutoul.m@ucd.ac.ma" TargetMode="Externa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2.bin"/><Relationship Id="rId46" Type="http://schemas.openxmlformats.org/officeDocument/2006/relationships/image" Target="media/image19.tiff"/><Relationship Id="rId20" Type="http://schemas.openxmlformats.org/officeDocument/2006/relationships/oleObject" Target="embeddings/oleObject3.bin"/><Relationship Id="rId41" Type="http://schemas.openxmlformats.org/officeDocument/2006/relationships/image" Target="media/image1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2436</Words>
  <Characters>14791</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Alae Azouzoute</cp:lastModifiedBy>
  <cp:revision>3</cp:revision>
  <cp:lastPrinted>2025-06-14T20:05:00Z</cp:lastPrinted>
  <dcterms:created xsi:type="dcterms:W3CDTF">2025-11-03T17:04:00Z</dcterms:created>
  <dcterms:modified xsi:type="dcterms:W3CDTF">2026-01-15T11:13:00Z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cf401844-a5f5-4e8c-906f-5637ef567bdc</vt:lpwstr>
  </property>
</Properties>
</file>