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6C69C5C5" w:rsidR="0016385D" w:rsidRPr="00531A24" w:rsidRDefault="000329CA" w:rsidP="000329CA">
      <w:pPr>
        <w:jc w:val="center"/>
        <w:rPr>
          <w:b/>
          <w:sz w:val="36"/>
        </w:rPr>
      </w:pPr>
      <w:r w:rsidRPr="00531A24">
        <w:rPr>
          <w:b/>
          <w:sz w:val="36"/>
        </w:rPr>
        <w:t>Temperature-Dependent Permeability of Cob: Impact on Hygrothermal Storage and Energy Efficiency in Buildings</w:t>
      </w:r>
    </w:p>
    <w:p w14:paraId="732BB2DF" w14:textId="2060E064" w:rsidR="000329CA" w:rsidRPr="00531A24" w:rsidRDefault="000329CA" w:rsidP="000329CA">
      <w:pPr>
        <w:pStyle w:val="MDPI13authornames"/>
        <w:spacing w:after="0" w:line="360" w:lineRule="auto"/>
        <w:jc w:val="center"/>
        <w:rPr>
          <w:rFonts w:asciiTheme="majorBidi" w:hAnsiTheme="majorBidi" w:cstheme="majorBidi"/>
          <w:b w:val="0"/>
          <w:sz w:val="28"/>
          <w:szCs w:val="28"/>
        </w:rPr>
      </w:pPr>
      <w:r w:rsidRPr="00531A24">
        <w:rPr>
          <w:rFonts w:asciiTheme="majorBidi" w:hAnsiTheme="majorBidi" w:cstheme="majorBidi"/>
          <w:b w:val="0"/>
          <w:sz w:val="28"/>
          <w:szCs w:val="28"/>
        </w:rPr>
        <w:t xml:space="preserve">Yousra </w:t>
      </w:r>
      <w:r w:rsidR="006A79D5" w:rsidRPr="00531A24">
        <w:rPr>
          <w:rFonts w:asciiTheme="majorBidi" w:hAnsiTheme="majorBidi" w:cstheme="majorBidi"/>
          <w:b w:val="0"/>
          <w:sz w:val="28"/>
          <w:szCs w:val="28"/>
        </w:rPr>
        <w:t>TAOUIRTE</w:t>
      </w:r>
      <w:r w:rsidRPr="00531A24">
        <w:rPr>
          <w:rFonts w:asciiTheme="majorBidi" w:hAnsiTheme="majorBidi" w:cstheme="majorBidi"/>
          <w:b w:val="0"/>
          <w:sz w:val="28"/>
          <w:szCs w:val="28"/>
          <w:vertAlign w:val="superscript"/>
        </w:rPr>
        <w:t>1,2</w:t>
      </w:r>
      <w:r w:rsidR="00E366A6" w:rsidRPr="00531A24">
        <w:rPr>
          <w:rFonts w:asciiTheme="majorBidi" w:hAnsiTheme="majorBidi" w:cstheme="majorBidi"/>
          <w:b w:val="0"/>
          <w:sz w:val="28"/>
          <w:szCs w:val="28"/>
        </w:rPr>
        <w:t>, Hasna</w:t>
      </w:r>
      <w:r w:rsidRPr="00531A24">
        <w:rPr>
          <w:rFonts w:asciiTheme="majorBidi" w:hAnsiTheme="majorBidi" w:cstheme="majorBidi"/>
          <w:b w:val="0"/>
          <w:sz w:val="28"/>
          <w:szCs w:val="28"/>
        </w:rPr>
        <w:t xml:space="preserve"> </w:t>
      </w:r>
      <w:proofErr w:type="spellStart"/>
      <w:r w:rsidRPr="00531A24">
        <w:rPr>
          <w:rFonts w:asciiTheme="majorBidi" w:hAnsiTheme="majorBidi" w:cstheme="majorBidi"/>
          <w:b w:val="0"/>
          <w:sz w:val="28"/>
          <w:szCs w:val="28"/>
        </w:rPr>
        <w:t>Louahlia</w:t>
      </w:r>
      <w:proofErr w:type="spellEnd"/>
      <w:r w:rsidRPr="00531A24">
        <w:rPr>
          <w:rFonts w:asciiTheme="majorBidi" w:hAnsiTheme="majorBidi" w:cstheme="majorBidi"/>
          <w:b w:val="0"/>
          <w:sz w:val="28"/>
          <w:szCs w:val="28"/>
          <w:vertAlign w:val="superscript"/>
        </w:rPr>
        <w:t xml:space="preserve"> 1, *</w:t>
      </w:r>
      <w:r w:rsidRPr="00531A24">
        <w:rPr>
          <w:rFonts w:asciiTheme="majorBidi" w:hAnsiTheme="majorBidi" w:cstheme="majorBidi"/>
          <w:b w:val="0"/>
          <w:sz w:val="28"/>
          <w:szCs w:val="28"/>
        </w:rPr>
        <w:t>, Ayoub Gounni</w:t>
      </w:r>
      <w:r w:rsidRPr="00531A24">
        <w:rPr>
          <w:rFonts w:asciiTheme="majorBidi" w:hAnsiTheme="majorBidi" w:cstheme="majorBidi"/>
          <w:b w:val="0"/>
          <w:sz w:val="28"/>
          <w:szCs w:val="28"/>
          <w:vertAlign w:val="superscript"/>
        </w:rPr>
        <w:t>2</w:t>
      </w:r>
      <w:r w:rsidRPr="00531A24">
        <w:rPr>
          <w:rFonts w:asciiTheme="majorBidi" w:hAnsiTheme="majorBidi" w:cstheme="majorBidi"/>
          <w:b w:val="0"/>
          <w:sz w:val="28"/>
          <w:szCs w:val="28"/>
        </w:rPr>
        <w:t xml:space="preserve"> and Mustapha El Alami</w:t>
      </w:r>
      <w:r w:rsidRPr="00531A24">
        <w:rPr>
          <w:rFonts w:asciiTheme="majorBidi" w:hAnsiTheme="majorBidi" w:cstheme="majorBidi"/>
          <w:b w:val="0"/>
          <w:sz w:val="28"/>
          <w:szCs w:val="28"/>
          <w:vertAlign w:val="superscript"/>
        </w:rPr>
        <w:t>2</w:t>
      </w:r>
    </w:p>
    <w:p w14:paraId="6E7A1450" w14:textId="77777777" w:rsidR="000329CA" w:rsidRPr="00531A24" w:rsidRDefault="000329CA" w:rsidP="000329CA">
      <w:pPr>
        <w:pStyle w:val="NoSpacing"/>
        <w:spacing w:line="360" w:lineRule="auto"/>
        <w:jc w:val="center"/>
        <w:rPr>
          <w:rFonts w:asciiTheme="majorBidi" w:eastAsia="Times New Roman" w:hAnsiTheme="majorBidi" w:cstheme="majorBidi"/>
          <w:i/>
          <w:iCs/>
          <w:color w:val="000000"/>
          <w:kern w:val="0"/>
          <w:sz w:val="20"/>
          <w:szCs w:val="20"/>
          <w:lang w:val="en-US" w:eastAsia="de-DE"/>
          <w14:ligatures w14:val="none"/>
        </w:rPr>
      </w:pPr>
      <w:r w:rsidRPr="00531A24">
        <w:rPr>
          <w:rFonts w:asciiTheme="majorBidi" w:hAnsiTheme="majorBidi" w:cstheme="majorBidi"/>
          <w:i/>
          <w:iCs/>
          <w:sz w:val="20"/>
          <w:szCs w:val="20"/>
          <w:vertAlign w:val="superscript"/>
          <w:lang w:val="en-US"/>
        </w:rPr>
        <w:t xml:space="preserve">1 </w:t>
      </w:r>
      <w:r w:rsidRPr="00531A24">
        <w:rPr>
          <w:rFonts w:asciiTheme="majorBidi" w:eastAsia="Times New Roman" w:hAnsiTheme="majorBidi" w:cstheme="majorBidi"/>
          <w:i/>
          <w:iCs/>
          <w:color w:val="000000"/>
          <w:kern w:val="0"/>
          <w:sz w:val="20"/>
          <w:szCs w:val="20"/>
          <w:lang w:val="en-US" w:eastAsia="de-DE"/>
          <w14:ligatures w14:val="none"/>
        </w:rPr>
        <w:t>LUSAC Laboratory, University of Caen Normandy, Saint-Lo, France</w:t>
      </w:r>
    </w:p>
    <w:p w14:paraId="5C6A3247" w14:textId="77777777" w:rsidR="000329CA" w:rsidRPr="00531A24" w:rsidRDefault="000329CA" w:rsidP="000329CA">
      <w:pPr>
        <w:pStyle w:val="NoSpacing"/>
        <w:spacing w:line="360" w:lineRule="auto"/>
        <w:jc w:val="center"/>
        <w:rPr>
          <w:rFonts w:asciiTheme="majorBidi" w:hAnsiTheme="majorBidi" w:cstheme="majorBidi"/>
          <w:i/>
          <w:iCs/>
          <w:sz w:val="20"/>
          <w:szCs w:val="20"/>
          <w:lang w:val="en-US"/>
        </w:rPr>
      </w:pPr>
      <w:r w:rsidRPr="00531A24">
        <w:rPr>
          <w:rFonts w:asciiTheme="majorBidi" w:hAnsiTheme="majorBidi" w:cstheme="majorBidi"/>
          <w:i/>
          <w:iCs/>
          <w:sz w:val="20"/>
          <w:szCs w:val="20"/>
          <w:vertAlign w:val="superscript"/>
          <w:lang w:val="en-US"/>
        </w:rPr>
        <w:t>2</w:t>
      </w:r>
      <w:r w:rsidRPr="00531A24">
        <w:rPr>
          <w:rFonts w:asciiTheme="majorBidi" w:eastAsia="Times New Roman" w:hAnsiTheme="majorBidi" w:cstheme="majorBidi"/>
          <w:i/>
          <w:iCs/>
          <w:color w:val="000000"/>
          <w:kern w:val="0"/>
          <w:sz w:val="20"/>
          <w:szCs w:val="20"/>
          <w:lang w:val="en-US" w:eastAsia="de-DE"/>
          <w14:ligatures w14:val="none"/>
        </w:rPr>
        <w:t xml:space="preserve"> LPMAT Laboratory, Faculty of Sciences Ain Chock, Hassan II University, Casablanca, Morrocco</w:t>
      </w:r>
      <w:r w:rsidRPr="00531A24">
        <w:rPr>
          <w:rFonts w:asciiTheme="majorBidi" w:hAnsiTheme="majorBidi" w:cstheme="majorBidi"/>
          <w:i/>
          <w:iCs/>
          <w:sz w:val="20"/>
          <w:szCs w:val="20"/>
          <w:lang w:val="en-US"/>
        </w:rPr>
        <w:t>.</w:t>
      </w:r>
    </w:p>
    <w:p w14:paraId="7117B950" w14:textId="77777777" w:rsidR="000329CA" w:rsidRPr="00531A24" w:rsidRDefault="000329CA" w:rsidP="000329CA">
      <w:pPr>
        <w:pStyle w:val="NoSpacing"/>
        <w:spacing w:line="360" w:lineRule="auto"/>
        <w:jc w:val="center"/>
        <w:rPr>
          <w:rFonts w:asciiTheme="majorBidi" w:eastAsia="Times New Roman" w:hAnsiTheme="majorBidi" w:cstheme="majorBidi"/>
          <w:i/>
          <w:iCs/>
          <w:color w:val="000000"/>
          <w:kern w:val="0"/>
          <w:sz w:val="20"/>
          <w:szCs w:val="20"/>
          <w:lang w:val="en-US" w:eastAsia="de-DE"/>
          <w14:ligatures w14:val="none"/>
        </w:rPr>
      </w:pPr>
      <w:r w:rsidRPr="00531A24">
        <w:rPr>
          <w:rFonts w:asciiTheme="majorBidi" w:eastAsia="Times New Roman" w:hAnsiTheme="majorBidi" w:cstheme="majorBidi"/>
          <w:i/>
          <w:iCs/>
          <w:color w:val="000000"/>
          <w:kern w:val="0"/>
          <w:sz w:val="20"/>
          <w:szCs w:val="20"/>
          <w:lang w:val="en-US" w:eastAsia="de-DE"/>
          <w14:ligatures w14:val="none"/>
        </w:rPr>
        <w:t xml:space="preserve">*Correspondence: </w:t>
      </w:r>
      <w:hyperlink r:id="rId9" w:history="1">
        <w:r w:rsidRPr="00531A24">
          <w:rPr>
            <w:rFonts w:asciiTheme="majorBidi" w:eastAsia="Times New Roman" w:hAnsiTheme="majorBidi" w:cstheme="majorBidi"/>
            <w:i/>
            <w:iCs/>
            <w:color w:val="000000"/>
            <w:kern w:val="0"/>
            <w:sz w:val="20"/>
            <w:szCs w:val="20"/>
            <w:lang w:val="en-US" w:eastAsia="de-DE"/>
            <w14:ligatures w14:val="none"/>
          </w:rPr>
          <w:t>hasna.louahlia@unicaen.fr</w:t>
        </w:r>
      </w:hyperlink>
    </w:p>
    <w:p w14:paraId="3BA415EE" w14:textId="6DB347CE" w:rsidR="000329CA" w:rsidRPr="00531A24" w:rsidRDefault="0016385D" w:rsidP="00E27832">
      <w:pPr>
        <w:pStyle w:val="Abstract"/>
      </w:pPr>
      <w:r w:rsidRPr="00531A24">
        <w:rPr>
          <w:b/>
          <w:bCs/>
        </w:rPr>
        <w:t>Abstract.</w:t>
      </w:r>
      <w:r w:rsidR="00E27832" w:rsidRPr="00531A24">
        <w:t xml:space="preserve"> </w:t>
      </w:r>
      <w:r w:rsidR="000329CA" w:rsidRPr="00531A24">
        <w:t xml:space="preserve">Porous earthen materials, such as cob, enhance building energy efficiency by acting as passive energy storage systems through heat and moisture regulation. Their ability to absorb, store, and release thermal energy depends on their hygrothermal properties, which are strongly influenced by temperature variations. </w:t>
      </w:r>
      <w:r w:rsidR="00531A24" w:rsidRPr="00531A24">
        <w:t>This study examines the effect of temperature on the permeability of cob at 23 °C (representative of typical indoor comfort conditions) and 30 °C (representative of warm summer indoor or near-surface wall conditions), experimentally determined using the wet cup method.</w:t>
      </w:r>
      <w:r w:rsidR="000329CA" w:rsidRPr="00531A24">
        <w:t xml:space="preserve"> Results show a decrease in permeability with increasing temperature, with an average value of 3.53 × 10⁻¹¹ (Kg</w:t>
      </w:r>
      <w:r w:rsidR="00D10B00">
        <w:t>.</w:t>
      </w:r>
      <w:r w:rsidR="000329CA" w:rsidRPr="00531A24">
        <w:t>m</w:t>
      </w:r>
      <w:r w:rsidR="00D10B00">
        <w:rPr>
          <w:vertAlign w:val="superscript"/>
        </w:rPr>
        <w:t>-</w:t>
      </w:r>
      <w:proofErr w:type="gramStart"/>
      <w:r w:rsidR="00D10B00">
        <w:rPr>
          <w:vertAlign w:val="superscript"/>
        </w:rPr>
        <w:t>1</w:t>
      </w:r>
      <w:r w:rsidR="000329CA" w:rsidRPr="00531A24">
        <w:t>.s</w:t>
      </w:r>
      <w:proofErr w:type="gramEnd"/>
      <w:r w:rsidR="00D10B00">
        <w:rPr>
          <w:vertAlign w:val="superscript"/>
        </w:rPr>
        <w:t>-</w:t>
      </w:r>
      <w:proofErr w:type="gramStart"/>
      <w:r w:rsidR="00D10B00">
        <w:rPr>
          <w:vertAlign w:val="superscript"/>
        </w:rPr>
        <w:t>1</w:t>
      </w:r>
      <w:r w:rsidR="000329CA" w:rsidRPr="00531A24">
        <w:t>.Pa</w:t>
      </w:r>
      <w:proofErr w:type="gramEnd"/>
      <w:r w:rsidR="00D10B00">
        <w:rPr>
          <w:vertAlign w:val="superscript"/>
        </w:rPr>
        <w:t>-1</w:t>
      </w:r>
      <w:r w:rsidR="000329CA" w:rsidRPr="00531A24">
        <w:t>) at 23°C and 1.87 × 10⁻¹¹ (Kg</w:t>
      </w:r>
      <w:r w:rsidR="00D10B00">
        <w:t>.</w:t>
      </w:r>
      <w:r w:rsidR="000329CA" w:rsidRPr="00531A24">
        <w:t>m</w:t>
      </w:r>
      <w:r w:rsidR="00D10B00">
        <w:rPr>
          <w:vertAlign w:val="superscript"/>
        </w:rPr>
        <w:t>-</w:t>
      </w:r>
      <w:proofErr w:type="gramStart"/>
      <w:r w:rsidR="00D10B00">
        <w:rPr>
          <w:vertAlign w:val="superscript"/>
        </w:rPr>
        <w:t>1</w:t>
      </w:r>
      <w:r w:rsidR="000329CA" w:rsidRPr="00531A24">
        <w:t>.s</w:t>
      </w:r>
      <w:proofErr w:type="gramEnd"/>
      <w:r w:rsidR="00D10B00">
        <w:rPr>
          <w:vertAlign w:val="superscript"/>
        </w:rPr>
        <w:t>-</w:t>
      </w:r>
      <w:proofErr w:type="gramStart"/>
      <w:r w:rsidR="00D10B00">
        <w:rPr>
          <w:vertAlign w:val="superscript"/>
        </w:rPr>
        <w:t>1</w:t>
      </w:r>
      <w:r w:rsidR="000329CA" w:rsidRPr="00531A24">
        <w:t>.Pa</w:t>
      </w:r>
      <w:proofErr w:type="gramEnd"/>
      <w:r w:rsidR="00D10B00">
        <w:rPr>
          <w:vertAlign w:val="superscript"/>
        </w:rPr>
        <w:t>-1</w:t>
      </w:r>
      <w:r w:rsidR="000329CA" w:rsidRPr="00531A24">
        <w:t xml:space="preserve">) at 30°C. This reduction limits moisture exchange, decreasing latent heat transfer through adsorption and desorption. Consequently, more thermal energy is retained as sensible heat, increasing thermal inertia.  Additionally, the </w:t>
      </w:r>
      <w:r w:rsidR="00DB2AE7">
        <w:t xml:space="preserve">open porosity </w:t>
      </w:r>
      <w:r w:rsidR="000329CA" w:rsidRPr="00531A24">
        <w:t xml:space="preserve">and the hygroscopic diffusivity coefficient were evaluated at both temperatures, highlighting their role in heat and moisture storage. </w:t>
      </w:r>
      <w:r w:rsidR="00180ED9">
        <w:t xml:space="preserve"> The findings provide new experimental evidence on how temperature influences the permeability of bio-sourced materials, together with complementary data on diffusivity coefficient and open porosity, enriching the understanding of cob’s hygrothermal behavior.</w:t>
      </w:r>
    </w:p>
    <w:p w14:paraId="4128BE8C" w14:textId="0C6605F3" w:rsidR="00E27832" w:rsidRPr="00531A24" w:rsidRDefault="00E27832" w:rsidP="00BC7B9C">
      <w:pPr>
        <w:pStyle w:val="Abstract"/>
      </w:pPr>
      <w:r w:rsidRPr="00531A24">
        <w:rPr>
          <w:b/>
          <w:bCs/>
        </w:rPr>
        <w:t>Keywords</w:t>
      </w:r>
      <w:r w:rsidRPr="00531A24">
        <w:t>. Bioclimatic buildings, hygrothermal properties, moisture transfer, hygroscopic diffusivity, energy efficiency.</w:t>
      </w:r>
    </w:p>
    <w:p w14:paraId="663F4442" w14:textId="77777777" w:rsidR="00E27832" w:rsidRPr="00531A24" w:rsidRDefault="00E27832" w:rsidP="00C242B5">
      <w:pPr>
        <w:pStyle w:val="Heading1"/>
      </w:pPr>
      <w:r w:rsidRPr="00531A24">
        <w:t xml:space="preserve">Introduction </w:t>
      </w:r>
    </w:p>
    <w:p w14:paraId="242A8333" w14:textId="6276A184" w:rsidR="00E27832" w:rsidRPr="00531A24" w:rsidRDefault="00E27832" w:rsidP="00665E5B">
      <w:pPr>
        <w:pStyle w:val="Paragraph"/>
      </w:pPr>
      <w:r w:rsidRPr="00531A24">
        <w:t>Today, earthen construction is enjoying a revival, driven by a growing awareness of ecological issues and the need to develop sustainable solutions. Against a backdrop of energy transition and the fight against climate change, earth construction is positioning itself as a relevant alternative to conventional materials, offering environmental, economic</w:t>
      </w:r>
      <w:r w:rsidR="00531A24">
        <w:t>,</w:t>
      </w:r>
      <w:r w:rsidRPr="00531A24">
        <w:t xml:space="preserve"> and health benefits </w:t>
      </w:r>
      <w:r w:rsidRPr="00531A24">
        <w:fldChar w:fldCharType="begin"/>
      </w:r>
      <w:r w:rsidR="00665E5B" w:rsidRPr="00531A24">
        <w:instrText xml:space="preserve"> ADDIN ZOTERO_ITEM CSL_CITATION {"citationID":"osMChJGP","properties":{"formattedCitation":"[1]","plainCitation":"[1]","noteIndex":0},"citationItems":[{"id":1208,"uris":["http://zotero.org/users/10618926/items/G2WV4AC9"],"itemData":{"id":1208,"type":"article-journal","abstract":"Faced with the current challenges of the energy transition and the quest for sustainable materials, biobased materials are attracting growing interest for their environmental and thermal properties. Cob is well known for regulating humidity and improving thermal comfort in buildings. A building’s thermal inertia can be increased by integrating phase-change materials (PCMs), enabling energy storage. This study explores the integration of microencapsulated PCMs into biobased materials considering realistic environmental conditions during experimental tests. The results show a homogeneous thermal distribution with low temperature variation at different locations. The relative humidity results confirm a one-dimensional thermal and hygroscopic distribution. The material with PCMs exhibits better thermal regulation. It retains more heat on the outside and reduces indoor temperature variations, improving thermal insulation. Measurements show that PCM integration contributes to reducing wall thermal conductivity and increases its thermal capacity, reaching 2.6 times during phase transition. The simulation is conducted with real 96 h Normandy climate data (January and August) for conventional and biobased walls incorporating PCMs. The results show that winter heat losses are highest for conventional walls (−44.08 kWh/m2), low for cob walls (−24.17 kWh/m2), and lowest for cob walls with PCMs (−13.17 kWh/m2). In summer, all walls exhibit the lowest heat gain, while adding PCMs stabilizes heat flux, reducing peak summer heat flux from 150 W/m2 to 50 W/m2. The results show that the addition of PCMs significantly improves thermal and hygroscopic performance.","container-title":"Buildings","DOI":"10.3390/buildings15071047","ISSN":"2075-5309","issue":"7","language":"en","license":"http://creativecommons.org/licenses/by/3.0/","note":"number: 7\npublisher: Multidisciplinary Digital Publishing Institute","page":"1047","source":"www.mdpi.com","title":"Experimental Study on the Hygrothermal Effect of Incorporating Phase-Change Materials in Cob Construction","volume":"15","author":[{"family":"Taouirte","given":"Yousra"},{"family":"Kaoutari","given":"Taoufiq"},{"family":"Louahlia","given":"Hasna"},{"family":"Gounni","given":"Ayoub"},{"family":"El Alami","given":"Mustapha"}],"issued":{"date-parts":[["2025",1]]}}}],"schema":"https://github.com/citation-style-language/schema/raw/master/csl-citation.json"} </w:instrText>
      </w:r>
      <w:r w:rsidRPr="00531A24">
        <w:fldChar w:fldCharType="separate"/>
      </w:r>
      <w:r w:rsidR="00665E5B" w:rsidRPr="00531A24">
        <w:t>[1]</w:t>
      </w:r>
      <w:r w:rsidRPr="00531A24">
        <w:fldChar w:fldCharType="end"/>
      </w:r>
      <w:r w:rsidRPr="00531A24">
        <w:t>. Among the many traditional techniques available, cob is distinguished by its simplicity and efficiency. These materials, essentially made from raw earth, water</w:t>
      </w:r>
      <w:r w:rsidR="00531A24" w:rsidRPr="00531A24">
        <w:t>,</w:t>
      </w:r>
      <w:r w:rsidRPr="00531A24">
        <w:t xml:space="preserve"> and often plant or animal fibers, can be used to build load-bearing, insulating walls while minimizing the building's carbon footprint </w:t>
      </w:r>
      <w:r w:rsidRPr="00531A24">
        <w:fldChar w:fldCharType="begin"/>
      </w:r>
      <w:r w:rsidR="00665E5B" w:rsidRPr="00531A24">
        <w:instrText xml:space="preserve"> ADDIN ZOTERO_ITEM CSL_CITATION {"citationID":"NWvyHX94","properties":{"formattedCitation":"[2]","plainCitation":"[2]","noteIndex":0},"citationItems":[{"id":972,"uris":["http://zotero.org/users/10618926/items/3CIABCLA"],"itemData":{"id":972,"type":"article-journal","container-title":"Construction and building materials","note":"publisher: Elsevier","page":"512–519","source":"Google Scholar","title":"Earth construction: Lessons from the past for future eco-efficient construction","title-short":"Earth construction","volume":"29","author":[{"family":"Pacheco-Torgal","given":"F."},{"family":"Jalali","given":"Said"}],"issued":{"date-parts":[["2012"]]}}}],"schema":"https://github.com/citation-style-language/schema/raw/master/csl-citation.json"} </w:instrText>
      </w:r>
      <w:r w:rsidRPr="00531A24">
        <w:fldChar w:fldCharType="separate"/>
      </w:r>
      <w:r w:rsidR="00665E5B" w:rsidRPr="00531A24">
        <w:t>[2]</w:t>
      </w:r>
      <w:r w:rsidRPr="00531A24">
        <w:fldChar w:fldCharType="end"/>
      </w:r>
      <w:r w:rsidRPr="00531A24">
        <w:t>. Clay, naturally present in the earth, plays an essential role in ensuring the cohesion of the mixture, while fibers reinforce the structure and improve the mechanical and hygrothermal properties of the walls.</w:t>
      </w:r>
    </w:p>
    <w:p w14:paraId="0DF81299" w14:textId="75BF486B" w:rsidR="00E27832" w:rsidRPr="00531A24" w:rsidRDefault="00E27832" w:rsidP="00665E5B">
      <w:pPr>
        <w:pStyle w:val="Paragraph"/>
      </w:pPr>
      <w:r w:rsidRPr="00531A24">
        <w:t xml:space="preserve">The energy efficiency of buildings is largely influenced by the materials' ability to regulate both heat and humidity. Building materials, particularly porous ones, play a key role in this regulation. The performance of these materials, specifically their ability to store and release heat and moisture, is strongly dependent on their hygroscopic properties, which in turn are influenced by temperature. Several recent studies have demonstrated that these properties vary with thermal conditions. For instance, Aït </w:t>
      </w:r>
      <w:proofErr w:type="spellStart"/>
      <w:r w:rsidRPr="00531A24">
        <w:t>Oumeziane</w:t>
      </w:r>
      <w:proofErr w:type="spellEnd"/>
      <w:r w:rsidRPr="00531A24">
        <w:t xml:space="preserve"> et al. </w:t>
      </w:r>
      <w:r w:rsidRPr="00531A24">
        <w:fldChar w:fldCharType="begin"/>
      </w:r>
      <w:r w:rsidR="00665E5B" w:rsidRPr="00531A24">
        <w:instrText xml:space="preserve"> ADDIN ZOTERO_ITEM CSL_CITATION {"citationID":"dtWMNHoS","properties":{"formattedCitation":"[3]","plainCitation":"[3]","noteIndex":0},"citationItems":[{"id":147,"uris":["http://zotero.org/users/10618926/items/8B566D7J"],"itemData":{"id":147,"type":"article-journal","abstract":"Hemp concrete is a bio-based material which is currently undergoing a growing development. Its hygrothermal behaviour highly depends on the evolution of the moisture content which has a significant influence on heat and moisture transfer. Hysteresis phenomenon and temperature effects on sorption process make difficult the prediction of the moisture content evolution. Hysteresis phenomenon determines the equilibrium moisture content during successive adsorption/desorption cycles. Temperature influences also the equilibrium moisture content: the warmer the temperature, the lower will be the equilibrium moisture content at the same relative humidity. These two phenomena are most often neglected for modelling the moisture content evolution in heat and moisture transfer models. This can cause significant discrepancies to predict the hygrothermal response of a material subjected to climatic variations. This paper intents to contribute to the better knowledge of such sorption processes by providing new measurements and by analysing and comparing different theoretical approaches. Some adsorption and desorption main and intermediate scanning curves are measured at two different temperatures. Models taking into account these phenomena are presented. The comparison between experimental and numerical results shows that the theoretical approaches investigated are promising.","container-title":"Construction and Building Materials","DOI":"10.1016/j.conbuildmat.2015.12.117","ISSN":"0950-0618","journalAbbreviation":"Construction and Building Materials","language":"en","page":"600-607","source":"ScienceDirect","title":"Influence of temperature on sorption process in hemp concrete","volume":"106","author":[{"family":"Aït Oumeziane","given":"Yacine"},{"family":"Moissette","given":"Sophie"},{"family":"Bart","given":"Marjorie"},{"family":"Lanos","given":"Christophe"}],"issued":{"date-parts":[["2016",3,1]]}}}],"schema":"https://github.com/citation-style-language/schema/raw/master/csl-citation.json"} </w:instrText>
      </w:r>
      <w:r w:rsidRPr="00531A24">
        <w:fldChar w:fldCharType="separate"/>
      </w:r>
      <w:r w:rsidR="00665E5B" w:rsidRPr="00531A24">
        <w:t>[3]</w:t>
      </w:r>
      <w:r w:rsidRPr="00531A24">
        <w:fldChar w:fldCharType="end"/>
      </w:r>
      <w:r w:rsidRPr="00531A24">
        <w:t xml:space="preserve">, Poyet. </w:t>
      </w:r>
      <w:r w:rsidRPr="00531A24">
        <w:fldChar w:fldCharType="begin"/>
      </w:r>
      <w:r w:rsidR="00665E5B" w:rsidRPr="00531A24">
        <w:instrText xml:space="preserve"> ADDIN ZOTERO_ITEM CSL_CITATION {"citationID":"uSqRXsa2","properties":{"formattedCitation":"[4]","plainCitation":"[4]","noteIndex":0},"citationItems":[{"id":24,"uris":["http://zotero.org/users/10618926/items/ABC3AFXU"],"itemData":{"id":24,"type":"article-journal","abstract":"In the framework of the radioactive waste management in France, interim storage concrete structures should be submitted to temperatures up to 80°C and subsequent desiccation. The impact of temperature on the sorption properties of concretes has been poorly studied and results are scarce. An experimental campaign was thus carried out to characterize the first desorption isotherms of a modern concrete at 30°C and 80°C. The results show a significant influence of the temperature increase that will have to be accounted for the durability assessment of the long-term interim storage concrete structures. Investigating the causes of these modifications, it appeared that desorption induced by temperature might be the principal mechanism rather than microstructure alteration and water properties evolution.","container-title":"Cement and Concrete Research","DOI":"10.1016/j.cemconres.2009.06.019","ISSN":"0008-8846","issue":"11","journalAbbreviation":"Cement and Concrete Research","language":"en","page":"1052-1059","source":"ScienceDirect","title":"Experimental investigation of the effect of temperature on the first desorption isotherm of concrete","volume":"39","author":[{"family":"Poyet","given":"Stéphane"}],"issued":{"date-parts":[["2009",11,1]]}}}],"schema":"https://github.com/citation-style-language/schema/raw/master/csl-citation.json"} </w:instrText>
      </w:r>
      <w:r w:rsidRPr="00531A24">
        <w:fldChar w:fldCharType="separate"/>
      </w:r>
      <w:r w:rsidR="00665E5B" w:rsidRPr="00531A24">
        <w:t>[4]</w:t>
      </w:r>
      <w:r w:rsidRPr="00531A24">
        <w:fldChar w:fldCharType="end"/>
      </w:r>
      <w:r w:rsidRPr="00531A24">
        <w:t xml:space="preserve">, and Taouirte et al. </w:t>
      </w:r>
      <w:r w:rsidRPr="00531A24">
        <w:fldChar w:fldCharType="begin"/>
      </w:r>
      <w:r w:rsidR="00665E5B" w:rsidRPr="00531A24">
        <w:instrText xml:space="preserve"> ADDIN ZOTERO_ITEM CSL_CITATION {"citationID":"Q08KDZBK","properties":{"formattedCitation":"[5]","plainCitation":"[5]","noteIndex":0},"citationItems":[{"id":600,"uris":["http://zotero.org/users/10618926/items/SPAGCMUJ"],"itemData":{"id":600,"type":"article-journal","abstract":"This paper highlights the impact of environmental conditions on cob buildings. Different factors such as wall thickness, material permeability and interactions between moisture and heat fluxes can all have significant effects on the performance and durability of cob buildings. An experimental and modeling-based study was conducted on the hygrothermal characterization of cob building materials, which were obtained by mixing earth and fibers. Two types of cob materials that can be used as insulation and to form structural materials in buildings were tested. The effect of outside temperature on adsorption isotherms was investigated for both materials. The experimental data were fitted using the GAB model, after which a new correlation of water content correlation was proposed. Three specific configurations were investigated in which cob material was subjected to moisture transfer and a zero, positive or negative temperature gradient. Based on the resulting measurements, a high coupling effect between heat and moisture transfer inside the structural material was analyzed. A comparison of the experimental and modeling results demonstrated the satisfactory correlation and reliability of the developed model. Simulations were carried out for various wall thicknesses, in order to assess the effect of heat and moisture transfer on water content. The three scenarios were simulated and distributions of water content inside the walls were determined. The results show that the wall thickness of cob buildings and the direction of heat and moisture fluxes affect water content distribution in the structure. A greater thickness of the cob wall leads to higher water content, but this relationship reverses when the heat and moisture fluxes move in the same direction.","container-title":"Energies","ISSN":"1996-1073","issue":"14","language":"en","license":"http://creativecommons.org/licenses/by/3.0/","note":"number: 14\npublisher: Multidisciplinary Digital Publishing Institute","page":"5526","source":"www.mdpi.com","title":"Effect of Temperature on Moisture Migration in Earth and Fiber Mixtures for Cob Materials","volume":"16","author":[{"family":"Taouirte","given":"Yousra"},{"family":"Tiffonnet","given":"Anne-Lise"},{"family":"Marion","given":"Michael"},{"family":"Louahlia","given":"Hasna"},{"family":"El Alami","given":"Mustapha"},{"family":"Ayoub Gounni","given":""}],"issued":{"date-parts":[["2023",1]]}}}],"schema":"https://github.com/citation-style-language/schema/raw/master/csl-citation.json"} </w:instrText>
      </w:r>
      <w:r w:rsidRPr="00531A24">
        <w:fldChar w:fldCharType="separate"/>
      </w:r>
      <w:r w:rsidR="00665E5B" w:rsidRPr="00531A24">
        <w:t>[5]</w:t>
      </w:r>
      <w:r w:rsidRPr="00531A24">
        <w:fldChar w:fldCharType="end"/>
      </w:r>
      <w:r w:rsidRPr="00531A24">
        <w:t xml:space="preserve"> measured adsorption isotherms at different temperatures and observed that these isotherms are not identical at varying temperatures. These findings indicate that the ability of materials to adsorb moisture and store thermal energy changes with temperature, which alters their hygroscopic and thermal behavior. </w:t>
      </w:r>
      <w:r w:rsidRPr="008059A1">
        <w:rPr>
          <w:lang w:val="fr-FR"/>
        </w:rPr>
        <w:t xml:space="preserve">Feng et al. </w:t>
      </w:r>
      <w:r w:rsidRPr="00531A24">
        <w:fldChar w:fldCharType="begin"/>
      </w:r>
      <w:r w:rsidR="00665E5B" w:rsidRPr="008059A1">
        <w:rPr>
          <w:lang w:val="fr-FR"/>
        </w:rPr>
        <w:instrText xml:space="preserve"> ADDIN ZOTERO_ITEM CSL_CITATION {"citationID":"emuJ4hdv","properties":{"formattedCitation":"[6]","plainCitation":"[6]","noteIndex":0},"citationItems":[{"id":136,"uris":["http://zotero.org/users/10618926/items/GPQW4CIM"],"itemData":{"id":136,"type":"article-journal","abstract":"Material properties are crucial input parameters for the analysis of heat, air and moisture transfer phenomena in built environment. However, many round robin tests reveal that the measurements on material properties – especially hygric properties – have poor reproducibility. Thus the measurement and data analysis methods should be questioned, and the currently available databases for material properties are not perfectly reliable. In this paper we aim at analyzing the material errors, repeatability errors, between-lab errors and reproducibility errors involved in the determination of hygric properties of porous building materials. The same materials as those used in the EC HAMSTAD project – autoclaved aerated concrete, calcium silicate board and ceramic brick – are chosen as target materials in our tests to facilitate error analysis. Static gravimetric tests, cup tests, capillary absorption tests, vacuum saturation tests and pressure plate tests have been repeated three times under repeatability conditions. Then the experimental results are analyzed in combination with the EC HAMSTAD report to calculate various errors. Results show that different materials have different heterogeneity errors, which can hardly be avoided. Moreover, in general these tests have excellent repeatability, indicating that under proper control the tests themselves are trustworthy. However, the large between-lab errors and the subsequent poor reproducibility demonstrate that in different labs the experimental procedures, condition controls, as well as data processing methods can deviate significantly. As a result, stricter and more detailed instructions are needed to improve the reproducibility of the tests for determining the hygric properties of porous building materials.","container-title":"Building and Environment","DOI":"10.1016/j.buildenv.2014.11.036","ISSN":"0360-1323","journalAbbreviation":"Building and Environment","language":"en","page":"160-172","source":"ScienceDirect","title":"Hygric properties of porous building materials: Analysis of measurement repeatability and reproducibility","title-short":"Hygric properties of porous building materials","volume":"85","author":[{"family":"Feng","given":"Chi"},{"family":"Janssen","given":"Hans"},{"family":"Feng","given":"Ya"},{"family":"Meng","given":"Qinglin"}],"issued":{"date-parts":[["2015",2,1]]}}}],"schema":"https://github.com/citation-style-language/schema/raw/master/csl-citation.json"} </w:instrText>
      </w:r>
      <w:r w:rsidRPr="00531A24">
        <w:fldChar w:fldCharType="separate"/>
      </w:r>
      <w:r w:rsidR="00665E5B" w:rsidRPr="008059A1">
        <w:rPr>
          <w:lang w:val="fr-FR"/>
        </w:rPr>
        <w:t>[6]</w:t>
      </w:r>
      <w:r w:rsidRPr="00531A24">
        <w:fldChar w:fldCharType="end"/>
      </w:r>
      <w:r w:rsidRPr="008059A1">
        <w:rPr>
          <w:lang w:val="fr-FR"/>
        </w:rPr>
        <w:t xml:space="preserve"> and Aït </w:t>
      </w:r>
      <w:proofErr w:type="spellStart"/>
      <w:r w:rsidRPr="008059A1">
        <w:rPr>
          <w:lang w:val="fr-FR"/>
        </w:rPr>
        <w:t>Oumeziane</w:t>
      </w:r>
      <w:proofErr w:type="spellEnd"/>
      <w:r w:rsidRPr="008059A1">
        <w:rPr>
          <w:lang w:val="fr-FR"/>
        </w:rPr>
        <w:t xml:space="preserve"> et al. </w:t>
      </w:r>
      <w:r w:rsidRPr="00531A24">
        <w:fldChar w:fldCharType="begin"/>
      </w:r>
      <w:r w:rsidR="00665E5B" w:rsidRPr="008059A1">
        <w:rPr>
          <w:lang w:val="fr-FR"/>
        </w:rPr>
        <w:instrText xml:space="preserve"> ADDIN ZOTERO_ITEM CSL_CITATION {"citationID":"NvPlsUZY","properties":{"formattedCitation":"[3]","plainCitation":"[3]","noteIndex":0},"citationItems":[{"id":147,"uris":["http://zotero.org/users/10618926/items/8B566D7J"],"itemData":{"id":147,"type":"article-journal","abstract":"Hemp concrete is a bio-based material which is currently undergoing a growing development. Its hygrothermal behaviour highly depends on the evolution of the moisture content which has a significant influence on heat and moisture transfer. Hysteresis phenomenon and temperature effects on sorption process make difficult the prediction of the moisture content evolution. Hysteresis phenomenon determines the equilibrium moisture content during successive adsorption/desorption cycles. Temperature influences also the equilibrium moisture content: the warmer the temperature, the lower will be the equilibrium moisture content at the same relative humidity. These two phenomena are most often neglected for modelling the moisture content evolution in heat and moisture transfer models. This can cause significant discrepancies to predict the hygrothermal response of a material subjected to climatic variations. This paper intents to contribute to the better knowledge of such sorption processes by providing new measurements and by analysing and comparing different theoretical approaches. Some adsorption and desorption main and intermediate scanning curves are measured at two different temperatures. Models taking into account these phenomena are presented. The comparison between experimental and numerical results shows that the theoretical approaches investigated are promising.","container-title":"Construction and Building Materials","DOI":"10.1016/j.conbuildmat.2015.12.117","ISSN":"0950-0618","journalAbbreviation":"Construction and Building Materials","language":"en","page":"600-607","source":"ScienceDirect","title":"Influence of temperature on sorption process in hemp concrete","volume":"106","author":[{"family":"Aït Oumeziane","given":"Yacine"},{"family":"Moissette","given":"Sophie"},{"family":"Bart","given":"Marjorie"},{"family":"Lanos","given":"Christophe"}],"issued":{"date-parts":[["2016",3,1]]}}}],"schema":"https://github.com/citation-style-language/schema/raw/master/csl-citation.json"} </w:instrText>
      </w:r>
      <w:r w:rsidRPr="00531A24">
        <w:fldChar w:fldCharType="separate"/>
      </w:r>
      <w:r w:rsidR="00665E5B" w:rsidRPr="008059A1">
        <w:rPr>
          <w:lang w:val="fr-FR"/>
        </w:rPr>
        <w:t>[3]</w:t>
      </w:r>
      <w:r w:rsidRPr="00531A24">
        <w:fldChar w:fldCharType="end"/>
      </w:r>
      <w:r w:rsidRPr="008059A1">
        <w:rPr>
          <w:lang w:val="fr-FR"/>
        </w:rPr>
        <w:t xml:space="preserve"> </w:t>
      </w:r>
      <w:proofErr w:type="spellStart"/>
      <w:r w:rsidRPr="008059A1">
        <w:rPr>
          <w:lang w:val="fr-FR"/>
        </w:rPr>
        <w:t>also</w:t>
      </w:r>
      <w:proofErr w:type="spellEnd"/>
      <w:r w:rsidRPr="008059A1">
        <w:rPr>
          <w:lang w:val="fr-FR"/>
        </w:rPr>
        <w:t xml:space="preserve"> </w:t>
      </w:r>
      <w:proofErr w:type="spellStart"/>
      <w:r w:rsidRPr="008059A1">
        <w:rPr>
          <w:lang w:val="fr-FR"/>
        </w:rPr>
        <w:t>confirmed</w:t>
      </w:r>
      <w:proofErr w:type="spellEnd"/>
      <w:r w:rsidRPr="008059A1">
        <w:rPr>
          <w:lang w:val="fr-FR"/>
        </w:rPr>
        <w:t xml:space="preserve"> </w:t>
      </w:r>
      <w:proofErr w:type="spellStart"/>
      <w:r w:rsidRPr="008059A1">
        <w:rPr>
          <w:lang w:val="fr-FR"/>
        </w:rPr>
        <w:t>that</w:t>
      </w:r>
      <w:proofErr w:type="spellEnd"/>
      <w:r w:rsidRPr="008059A1">
        <w:rPr>
          <w:lang w:val="fr-FR"/>
        </w:rPr>
        <w:t xml:space="preserve"> the </w:t>
      </w:r>
      <w:proofErr w:type="spellStart"/>
      <w:r w:rsidRPr="008059A1">
        <w:rPr>
          <w:lang w:val="fr-FR"/>
        </w:rPr>
        <w:t>moisture</w:t>
      </w:r>
      <w:proofErr w:type="spellEnd"/>
      <w:r w:rsidRPr="008059A1">
        <w:rPr>
          <w:lang w:val="fr-FR"/>
        </w:rPr>
        <w:t xml:space="preserve"> </w:t>
      </w:r>
      <w:proofErr w:type="spellStart"/>
      <w:r w:rsidRPr="008059A1">
        <w:rPr>
          <w:lang w:val="fr-FR"/>
        </w:rPr>
        <w:t>buffering</w:t>
      </w:r>
      <w:proofErr w:type="spellEnd"/>
      <w:r w:rsidRPr="008059A1">
        <w:rPr>
          <w:lang w:val="fr-FR"/>
        </w:rPr>
        <w:t xml:space="preserve"> </w:t>
      </w:r>
      <w:proofErr w:type="spellStart"/>
      <w:r w:rsidRPr="008059A1">
        <w:rPr>
          <w:lang w:val="fr-FR"/>
        </w:rPr>
        <w:t>capacity</w:t>
      </w:r>
      <w:proofErr w:type="spellEnd"/>
      <w:r w:rsidR="00531A24" w:rsidRPr="008059A1">
        <w:rPr>
          <w:lang w:val="fr-FR"/>
        </w:rPr>
        <w:t>,</w:t>
      </w:r>
      <w:r w:rsidRPr="008059A1">
        <w:rPr>
          <w:lang w:val="fr-FR"/>
        </w:rPr>
        <w:t xml:space="preserve"> </w:t>
      </w:r>
      <w:proofErr w:type="spellStart"/>
      <w:r w:rsidRPr="008059A1">
        <w:rPr>
          <w:lang w:val="fr-FR"/>
        </w:rPr>
        <w:t>defined</w:t>
      </w:r>
      <w:proofErr w:type="spellEnd"/>
      <w:r w:rsidRPr="008059A1">
        <w:rPr>
          <w:lang w:val="fr-FR"/>
        </w:rPr>
        <w:t xml:space="preserve"> as a </w:t>
      </w:r>
      <w:proofErr w:type="spellStart"/>
      <w:r w:rsidRPr="008059A1">
        <w:rPr>
          <w:lang w:val="fr-FR"/>
        </w:rPr>
        <w:t>material’s</w:t>
      </w:r>
      <w:proofErr w:type="spellEnd"/>
      <w:r w:rsidRPr="008059A1">
        <w:rPr>
          <w:lang w:val="fr-FR"/>
        </w:rPr>
        <w:t xml:space="preserve"> </w:t>
      </w:r>
      <w:proofErr w:type="spellStart"/>
      <w:r w:rsidRPr="008059A1">
        <w:rPr>
          <w:lang w:val="fr-FR"/>
        </w:rPr>
        <w:t>ability</w:t>
      </w:r>
      <w:proofErr w:type="spellEnd"/>
      <w:r w:rsidRPr="008059A1">
        <w:rPr>
          <w:lang w:val="fr-FR"/>
        </w:rPr>
        <w:t xml:space="preserve"> to </w:t>
      </w:r>
      <w:proofErr w:type="spellStart"/>
      <w:r w:rsidRPr="008059A1">
        <w:rPr>
          <w:lang w:val="fr-FR"/>
        </w:rPr>
        <w:t>absorb</w:t>
      </w:r>
      <w:proofErr w:type="spellEnd"/>
      <w:r w:rsidRPr="008059A1">
        <w:rPr>
          <w:lang w:val="fr-FR"/>
        </w:rPr>
        <w:t xml:space="preserve"> or release </w:t>
      </w:r>
      <w:proofErr w:type="spellStart"/>
      <w:r w:rsidRPr="008059A1">
        <w:rPr>
          <w:lang w:val="fr-FR"/>
        </w:rPr>
        <w:t>moisture</w:t>
      </w:r>
      <w:proofErr w:type="spellEnd"/>
      <w:r w:rsidRPr="008059A1">
        <w:rPr>
          <w:lang w:val="fr-FR"/>
        </w:rPr>
        <w:t xml:space="preserve"> </w:t>
      </w:r>
      <w:proofErr w:type="spellStart"/>
      <w:r w:rsidRPr="008059A1">
        <w:rPr>
          <w:lang w:val="fr-FR"/>
        </w:rPr>
        <w:t>without</w:t>
      </w:r>
      <w:proofErr w:type="spellEnd"/>
      <w:r w:rsidRPr="008059A1">
        <w:rPr>
          <w:lang w:val="fr-FR"/>
        </w:rPr>
        <w:t xml:space="preserve"> </w:t>
      </w:r>
      <w:proofErr w:type="spellStart"/>
      <w:r w:rsidRPr="008059A1">
        <w:rPr>
          <w:lang w:val="fr-FR"/>
        </w:rPr>
        <w:t>significant</w:t>
      </w:r>
      <w:proofErr w:type="spellEnd"/>
      <w:r w:rsidRPr="008059A1">
        <w:rPr>
          <w:lang w:val="fr-FR"/>
        </w:rPr>
        <w:t xml:space="preserve"> </w:t>
      </w:r>
      <w:proofErr w:type="spellStart"/>
      <w:r w:rsidRPr="008059A1">
        <w:rPr>
          <w:lang w:val="fr-FR"/>
        </w:rPr>
        <w:t>temperature</w:t>
      </w:r>
      <w:proofErr w:type="spellEnd"/>
      <w:r w:rsidRPr="008059A1">
        <w:rPr>
          <w:lang w:val="fr-FR"/>
        </w:rPr>
        <w:t xml:space="preserve"> variation</w:t>
      </w:r>
      <w:r w:rsidR="00531A24" w:rsidRPr="008059A1">
        <w:rPr>
          <w:lang w:val="fr-FR"/>
        </w:rPr>
        <w:t>,</w:t>
      </w:r>
      <w:r w:rsidRPr="008059A1">
        <w:rPr>
          <w:lang w:val="fr-FR"/>
        </w:rPr>
        <w:t xml:space="preserve"> </w:t>
      </w:r>
      <w:proofErr w:type="spellStart"/>
      <w:r w:rsidRPr="008059A1">
        <w:rPr>
          <w:lang w:val="fr-FR"/>
        </w:rPr>
        <w:t>is</w:t>
      </w:r>
      <w:proofErr w:type="spellEnd"/>
      <w:r w:rsidRPr="008059A1">
        <w:rPr>
          <w:lang w:val="fr-FR"/>
        </w:rPr>
        <w:t xml:space="preserve"> </w:t>
      </w:r>
      <w:proofErr w:type="spellStart"/>
      <w:r w:rsidRPr="008059A1">
        <w:rPr>
          <w:lang w:val="fr-FR"/>
        </w:rPr>
        <w:t>strongly</w:t>
      </w:r>
      <w:proofErr w:type="spellEnd"/>
      <w:r w:rsidRPr="008059A1">
        <w:rPr>
          <w:lang w:val="fr-FR"/>
        </w:rPr>
        <w:t xml:space="preserve"> </w:t>
      </w:r>
      <w:proofErr w:type="spellStart"/>
      <w:r w:rsidRPr="008059A1">
        <w:rPr>
          <w:lang w:val="fr-FR"/>
        </w:rPr>
        <w:t>affected</w:t>
      </w:r>
      <w:proofErr w:type="spellEnd"/>
      <w:r w:rsidRPr="008059A1">
        <w:rPr>
          <w:lang w:val="fr-FR"/>
        </w:rPr>
        <w:t xml:space="preserve"> by </w:t>
      </w:r>
      <w:proofErr w:type="spellStart"/>
      <w:r w:rsidRPr="008059A1">
        <w:rPr>
          <w:lang w:val="fr-FR"/>
        </w:rPr>
        <w:t>temperature</w:t>
      </w:r>
      <w:proofErr w:type="spellEnd"/>
      <w:r w:rsidRPr="008059A1">
        <w:rPr>
          <w:lang w:val="fr-FR"/>
        </w:rPr>
        <w:t xml:space="preserve">. </w:t>
      </w:r>
      <w:r w:rsidRPr="00531A24">
        <w:t>As temperature increases, the material’s moisture buffering capacity can vary, which affects its ability to regulate the internal humidity of a building.</w:t>
      </w:r>
    </w:p>
    <w:p w14:paraId="00EE2D9C" w14:textId="42D3C639" w:rsidR="00E27832" w:rsidRPr="00531A24" w:rsidRDefault="00E27832" w:rsidP="00665E5B">
      <w:pPr>
        <w:pStyle w:val="Paragraph"/>
      </w:pPr>
      <w:r w:rsidRPr="00531A24">
        <w:t xml:space="preserve">In this context, Poyet et al. </w:t>
      </w:r>
      <w:r w:rsidRPr="00531A24">
        <w:fldChar w:fldCharType="begin"/>
      </w:r>
      <w:r w:rsidR="00665E5B" w:rsidRPr="00531A24">
        <w:instrText xml:space="preserve"> ADDIN ZOTERO_ITEM CSL_CITATION {"citationID":"f6ObJ6gK","properties":{"formattedCitation":"[7]","plainCitation":"[7]","noteIndex":0},"citationItems":[{"id":1222,"uris":["http://zotero.org/users/10618926/items/9F8G22CQ"],"itemData":{"id":1222,"type":"article-journal","abstract":"In the field of radioactive waste management the concrete structures are expected to undergo significant heating due to the waste thermal power and significant drying (in the French design, the temperature is not expected to exceed 80°C). The durability assessment of such structures thus requires the knowledge of the evolution of the water vapour sorption properties versus temperature. The latter can be easily estimated using the Clausius–Clapeyron (CC) equation: the approach presented hereafter requires the knowledge of the isosteric heat of adsorption and one desorption isotherm (at ambient or any other temperature). Moreover, it is shown that using the CC equation and the desorption isotherms at two different temperatures, it is possible to estimate accurately the desorption isotherm at any other temperature.","container-title":"Cement and Concrete Research","DOI":"10.1016/j.cemconres.2009.07.018","ISSN":"0008-8846","issue":"11","journalAbbreviation":"Cement and Concrete Research","page":"1060-1067","source":"ScienceDirect","title":"Temperature dependence of the sorption isotherms of cement-based materials: Heat of sorption and Clausius–Clapeyron formula","title-short":"Temperature dependence of the sorption isotherms of cement-based materials","volume":"39","author":[{"family":"Poyet","given":"Stéphane"},{"family":"Charles","given":"Sébastien"}],"issued":{"date-parts":[["2009",11,1]]}}}],"schema":"https://github.com/citation-style-language/schema/raw/master/csl-citation.json"} </w:instrText>
      </w:r>
      <w:r w:rsidRPr="00531A24">
        <w:fldChar w:fldCharType="separate"/>
      </w:r>
      <w:r w:rsidR="00665E5B" w:rsidRPr="00531A24">
        <w:t>[7]</w:t>
      </w:r>
      <w:r w:rsidRPr="00531A24">
        <w:fldChar w:fldCharType="end"/>
      </w:r>
      <w:r w:rsidRPr="00531A24">
        <w:t xml:space="preserve"> proposed a theoretical framework to describe the relationship between temperature and the hygroscopic properties of materials. This theoretical model is validated by </w:t>
      </w:r>
      <w:proofErr w:type="spellStart"/>
      <w:r w:rsidRPr="00531A24">
        <w:t>Colinart</w:t>
      </w:r>
      <w:proofErr w:type="spellEnd"/>
      <w:r w:rsidRPr="00531A24">
        <w:t xml:space="preserve"> </w:t>
      </w:r>
      <w:r w:rsidRPr="00531A24">
        <w:fldChar w:fldCharType="begin"/>
      </w:r>
      <w:r w:rsidR="00665E5B" w:rsidRPr="00531A24">
        <w:instrText xml:space="preserve"> ADDIN ZOTERO_ITEM CSL_CITATION {"citationID":"u56NLYvC","properties":{"formattedCitation":"[8], [9]","plainCitation":"[8], [9]","noteIndex":0},"citationItems":[{"id":133,"uris":["http://zotero.org/users/10618926/items/7X2KLL2P"],"itemData":{"id":133,"type":"article-journal","abstract":"The knowledge of sorption isotherm is of high importance when evaluating the performance and the durability of building envelope. Whereas the influence of hysteresis was often investigated, less attention has been paid to the influence of temperature. In the present paper, a specific experimental protocol is defined to investigate the influence of temperature on relative humidity variations within three building materials (Autoclaved Aerated Concrete, wood fiber insulation and hemp concrete). The measurements are analyzed in terms of a hygrometric coefficient κ [%r.h./°C], defined as the maximal relative humidity amplitude against the maximal temperature amplitude, and are compared to three modeling approaches: temperature dependent sorption model, Kelvin equation and Clausius-Clapeyron equation. Discussions show that the third approach is relevant and that it can be used to evaluate effortless the isosteric heat of sorption and the temperature dependence of the sorption isotherm.","container-title":"Energy and Buildings","DOI":"10.1016/j.enbuild.2016.12.082","ISSN":"0378-7788","journalAbbreviation":"Energy and Buildings","language":"en","page":"360-370","source":"ScienceDirect","title":"Temperature dependence of sorption isotherm of hygroscopic building materials. Part 1: Experimental evidence and modeling","title-short":"Temperature dependence of sorption isotherm of hygroscopic building materials. Part 1","volume":"139","author":[{"family":"Colinart","given":"T."},{"family":"Glouannec","given":"P."}],"issued":{"date-parts":[["2017",3,15]]}}},{"id":503,"uris":["http://zotero.org/users/10618926/items/7HXI69EX"],"itemData":{"id":503,"type":"article-journal","abstract":"In the part I of the paper, a temperature effect was experimentally observed for the relative humidity measurement. This effect was correlated to the temperature dependence of the sorption isotherm. In this part II of the paper, the influence of this temperature dependence is investigated on the simulated hygrothermal behavior of hemp concrete. Sorption isotherm was modeled through three approaches: a unique curve (like in WUFI), a temperature-dependent GAB model or the Clapeyron equation associated to the isosteric heat of sorption evaluated in the part I of the paper. Comparison between simulation and experiment is performed for the sample presented the part I of the paper and for a wall subjected either to a slow temperature decrease toward 0°C or to a fast temperature increase due to solar radiation. Whatever the investigated case, results underline that accounting for the temperature dependence improve the relative humidity prediction. Nevertheless, a great sensitivity to the modeling approach and to the input parameter was observed.","container-title":"Energy and Buildings","DOI":"10.1016/j.enbuild.2017.07.016","ISSN":"0378-7788","journalAbbreviation":"Energy and Buildings","page":"42-51","source":"ScienceDirect","title":"Temperature dependence of sorption isotherm of hygroscopic building materials. Part 2: Influence on hygrothermal behavior of hemp concrete","title-short":"Temperature dependence of sorption isotherm of hygroscopic building materials. Part 2","volume":"152","author":[{"family":"Colinart","given":"T."},{"family":"Glouannec","given":"P."},{"family":"Bendouma","given":"M."},{"family":"Chauvelon","given":"P."}],"issued":{"date-parts":[["2017",10,1]]}}}],"schema":"https://github.com/citation-style-language/schema/raw/master/csl-citation.json"} </w:instrText>
      </w:r>
      <w:r w:rsidRPr="00531A24">
        <w:fldChar w:fldCharType="separate"/>
      </w:r>
      <w:r w:rsidR="00665E5B" w:rsidRPr="00531A24">
        <w:t>[8], [9]</w:t>
      </w:r>
      <w:r w:rsidRPr="00531A24">
        <w:fldChar w:fldCharType="end"/>
      </w:r>
      <w:r w:rsidRPr="00531A24">
        <w:t>, who conducted experiments to study the influence of temperature on relative humidity variations in building materials. The experimental results confirmed that temperature plays a crucial role in the hygroscopic behavior of materials, altering their capacity to adsorb and release moisture depending on climatic conditions.</w:t>
      </w:r>
    </w:p>
    <w:p w14:paraId="4C586BB9" w14:textId="575A5C91" w:rsidR="00E27832" w:rsidRPr="00531A24" w:rsidRDefault="00180ED9" w:rsidP="00C242B5">
      <w:pPr>
        <w:pStyle w:val="Paragraph"/>
      </w:pPr>
      <w:r>
        <w:lastRenderedPageBreak/>
        <w:t>This study investigates the influence of temperature on the vapor permeability of cob and examines its implications for heat storage and overall building energy efficiency. Permeability is analyzed at 23 °C and 30 °C, representative of typical indoor comfort and warm summer conditions, respectively. In addition, other key hygroscopic properties, such as the</w:t>
      </w:r>
      <w:r w:rsidR="00DB2AE7">
        <w:t xml:space="preserve"> </w:t>
      </w:r>
      <w:r>
        <w:t>hygroscopic diffusivity coefficient, and open porosity, were evaluated. By addressing the temperature dependence of these parameters, the research provides valuable insights into the hygrothermal performance of cob, thereby supporting its application as a sustainable and high-performance building material across different climatic contexts.</w:t>
      </w:r>
    </w:p>
    <w:p w14:paraId="3CD4A71F" w14:textId="77777777" w:rsidR="00E27832" w:rsidRPr="00531A24" w:rsidRDefault="00E27832" w:rsidP="00C242B5">
      <w:pPr>
        <w:pStyle w:val="Heading1"/>
      </w:pPr>
      <w:r w:rsidRPr="00531A24">
        <w:t>Materials</w:t>
      </w:r>
    </w:p>
    <w:p w14:paraId="451C3245" w14:textId="4F0E901F" w:rsidR="00E27832" w:rsidRPr="00531A24" w:rsidRDefault="00E27832" w:rsidP="008059A1">
      <w:pPr>
        <w:pStyle w:val="Paragraph"/>
      </w:pPr>
      <w:r w:rsidRPr="00531A24">
        <w:t>The soil studied is characterized by a granulometric composition consisting mainly of three fractions: clay (7.64 %), silt (74.38 %), and sand (10.70 %)</w:t>
      </w:r>
      <w:r w:rsidR="008059A1">
        <w:t xml:space="preserve"> </w:t>
      </w:r>
      <w:r w:rsidR="008059A1">
        <w:fldChar w:fldCharType="begin"/>
      </w:r>
      <w:r w:rsidR="008059A1">
        <w:instrText xml:space="preserve"> ADDIN ZOTERO_ITEM CSL_CITATION {"citationID":"wIRdAYWF","properties":{"formattedCitation":"[10]","plainCitation":"[10]","noteIndex":0},"citationItems":[{"id":69,"uris":["http://zotero.org/users/10618926/items/H6LZDRGV"],"itemData":{"id":69,"type":"document","title":"Technical-report_ESITC_feb2019.pdf","URL":"http://www.cobbauge.eu/wp-content/uploads/2019/05/Technical-report_ESITC_feb2019.pdf","accessed":{"date-parts":[["2022",12,9]]}}}],"schema":"https://github.com/citation-style-language/schema/raw/master/csl-citation.json"} </w:instrText>
      </w:r>
      <w:r w:rsidR="008059A1">
        <w:fldChar w:fldCharType="separate"/>
      </w:r>
      <w:r w:rsidR="008059A1" w:rsidRPr="008059A1">
        <w:t>[10]</w:t>
      </w:r>
      <w:r w:rsidR="008059A1">
        <w:fldChar w:fldCharType="end"/>
      </w:r>
      <w:r w:rsidRPr="00531A24">
        <w:t xml:space="preserve">. The clay fraction, composed of particles smaller than 2 µm, plays a crucial binding role, although its proportion is slightly below the optimal range (10–30 %) needed to prevent shrinkage cracks. The silt fraction improves workability and balances the texture, while the sand fraction ensures mechanical strength and limits shrinkage. The soil moisture content is 14 %. The clay activity, assessed by the methylene blue value (0.55 g/100 g), provides information on the adsorption capacity and cohesion of the particles. A precise balance between these fractions is essential to guarantee the structural and thermal performance of cob materials, adapted to local soils and intended use </w:t>
      </w:r>
      <w:r w:rsidRPr="00531A24">
        <w:fldChar w:fldCharType="begin"/>
      </w:r>
      <w:r w:rsidR="008059A1">
        <w:instrText xml:space="preserve"> ADDIN ZOTERO_ITEM CSL_CITATION {"citationID":"5Fzu6qxV","properties":{"formattedCitation":"[11]","plainCitation":"[11]","noteIndex":0},"citationItems":[{"id":1193,"uris":["http://zotero.org/users/10618926/items/E5PJY47G"],"itemData":{"id":1193,"type":"article-journal","abstract":"Earth building techniques make use of unbaked earth as a material for constructing walls. We consider that evaluation of soils is a primary question because not all soils are adequate for earth building, and not for any of the earth building techniques. Following a selection of more than 20 technical documents including standards from National Standards Bodies, we analysed the provisions they offered concerning soil suitability, for the use of unstabilised earth. The work presented here articulates the whole of the different approaches and kinds of recommendation offered, for providing a way of comparison. Particle size distribution is the property most frequently mentioned, followed in number by the organic matter and salts content. Plasticity, binding force, shrinkage, presence of cracks and compactibility are the other properties for which recommendations are given. Most of the times these are imprecise, variable and not strict enough, and a unification work would be desirable.","container-title":"Construction and Building Materials","DOI":"10.1016/j.conbuildmat.2005.08.006","ISSN":"0950-0618","issue":"2","journalAbbreviation":"Construction and Building Materials","page":"237-251","source":"ScienceDirect","title":"The selection of soils for unstabilised earth building: A normative review","title-short":"The selection of soils for unstabilised earth building","volume":"21","author":[{"family":"Jiménez Delgado","given":"M. Carmen"},{"family":"Guerrero","given":"Ignacio Cañas"}],"issued":{"date-parts":[["2007",2,1]]}}}],"schema":"https://github.com/citation-style-language/schema/raw/master/csl-citation.json"} </w:instrText>
      </w:r>
      <w:r w:rsidRPr="00531A24">
        <w:fldChar w:fldCharType="separate"/>
      </w:r>
      <w:r w:rsidR="008059A1" w:rsidRPr="008059A1">
        <w:t>[11]</w:t>
      </w:r>
      <w:r w:rsidRPr="00531A24">
        <w:fldChar w:fldCharType="end"/>
      </w:r>
      <w:r w:rsidRPr="00531A24">
        <w:t>. The mixture consists of a volumetric ratio of one bucket of soil to one bucket of flax straw fibers, corresponding to a fiber content of approximately 2.5 % by dry weight of the soil, ensuring a solid and durable structure. Figure 1 presents a cob sample made from this mixture.</w:t>
      </w:r>
    </w:p>
    <w:p w14:paraId="65C14B05" w14:textId="77777777" w:rsidR="00E27832" w:rsidRPr="00531A24" w:rsidRDefault="00E27832" w:rsidP="00C242B5">
      <w:pPr>
        <w:pStyle w:val="Paragraph"/>
      </w:pPr>
      <w:r w:rsidRPr="00531A24">
        <w:t xml:space="preserve">All materials used in this study originate from the Normandy region, which simplifies sourcing while promoting the use of local resources, thereby reducing the carbon footprint. This choice offers several advantages, including minimizing the environmental impact associated with transportation, supporting the local economy, and ensuring better adaptation of materials to the specific climatic and geological conditions of Normandy. This approach aligns with a sustainable strategy aimed at fostering more ecological and resilient construction. </w:t>
      </w:r>
    </w:p>
    <w:p w14:paraId="228BECEF" w14:textId="77777777" w:rsidR="001F642E" w:rsidRPr="00531A24" w:rsidRDefault="001F642E" w:rsidP="00C242B5">
      <w:pPr>
        <w:pStyle w:val="Paragraph"/>
      </w:pPr>
    </w:p>
    <w:p w14:paraId="4367E35F" w14:textId="77777777" w:rsidR="00E27832" w:rsidRPr="00531A24" w:rsidRDefault="00E27832" w:rsidP="00C867FB">
      <w:pPr>
        <w:pStyle w:val="Figure"/>
      </w:pPr>
      <w:r w:rsidRPr="00531A24">
        <w:rPr>
          <w:noProof/>
        </w:rPr>
        <w:drawing>
          <wp:inline distT="0" distB="0" distL="0" distR="0" wp14:anchorId="73FED724" wp14:editId="1F33EBB2">
            <wp:extent cx="2520000" cy="2425970"/>
            <wp:effectExtent l="0" t="0" r="0" b="0"/>
            <wp:docPr id="3" name="Image 3" descr="Une image contenant gâteau, dessert, gâteau d’anniversaire,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gâteau, dessert, gâteau d’anniversaire, nourriture&#10;&#10;Description générée automatiquement"/>
                    <pic:cNvPicPr/>
                  </pic:nvPicPr>
                  <pic:blipFill rotWithShape="1">
                    <a:blip r:embed="rId10" cstate="print">
                      <a:extLst>
                        <a:ext uri="{28A0092B-C50C-407E-A947-70E740481C1C}">
                          <a14:useLocalDpi xmlns:a14="http://schemas.microsoft.com/office/drawing/2010/main" val="0"/>
                        </a:ext>
                      </a:extLst>
                    </a:blip>
                    <a:srcRect l="3293" t="7588" r="2145" b="3430"/>
                    <a:stretch/>
                  </pic:blipFill>
                  <pic:spPr bwMode="auto">
                    <a:xfrm>
                      <a:off x="0" y="0"/>
                      <a:ext cx="2520000" cy="2425970"/>
                    </a:xfrm>
                    <a:prstGeom prst="rect">
                      <a:avLst/>
                    </a:prstGeom>
                    <a:ln>
                      <a:noFill/>
                    </a:ln>
                    <a:extLst>
                      <a:ext uri="{53640926-AAD7-44D8-BBD7-CCE9431645EC}">
                        <a14:shadowObscured xmlns:a14="http://schemas.microsoft.com/office/drawing/2010/main"/>
                      </a:ext>
                    </a:extLst>
                  </pic:spPr>
                </pic:pic>
              </a:graphicData>
            </a:graphic>
          </wp:inline>
        </w:drawing>
      </w:r>
    </w:p>
    <w:p w14:paraId="066DC96A" w14:textId="029C2103" w:rsidR="00E27832" w:rsidRPr="00531A24" w:rsidRDefault="00C867FB" w:rsidP="00C242B5">
      <w:pPr>
        <w:pStyle w:val="FigureCaption"/>
        <w:rPr>
          <w:b/>
          <w:bCs/>
        </w:rPr>
      </w:pPr>
      <w:r w:rsidRPr="00531A24">
        <w:rPr>
          <w:b/>
          <w:caps/>
        </w:rPr>
        <w:t>Figure 1</w:t>
      </w:r>
      <w:r w:rsidR="00E27832" w:rsidRPr="00531A24">
        <w:t>. Cob sample</w:t>
      </w:r>
    </w:p>
    <w:p w14:paraId="1954C99F" w14:textId="77777777" w:rsidR="00C242B5" w:rsidRPr="00531A24" w:rsidRDefault="00C242B5" w:rsidP="00C242B5">
      <w:pPr>
        <w:pStyle w:val="Heading1"/>
      </w:pPr>
      <w:r w:rsidRPr="00531A24">
        <w:t>Experimental methods</w:t>
      </w:r>
    </w:p>
    <w:p w14:paraId="64C78FFB" w14:textId="4C8711B0" w:rsidR="00C242B5" w:rsidRPr="00531A24" w:rsidRDefault="00C242B5" w:rsidP="008059A1">
      <w:pPr>
        <w:pStyle w:val="Paragraph"/>
      </w:pPr>
      <w:r w:rsidRPr="00531A24">
        <w:t xml:space="preserve">In order to assess the influence of temperature on the water vapor permeability of cob materials, an experimental campaign is carried out in accordance with ISO 12572 </w:t>
      </w:r>
      <w:r w:rsidRPr="00531A24">
        <w:fldChar w:fldCharType="begin"/>
      </w:r>
      <w:r w:rsidR="008059A1">
        <w:instrText xml:space="preserve"> ADDIN ZOTERO_ITEM CSL_CITATION {"citationID":"aDTZvLjg","properties":{"formattedCitation":"[12]","plainCitation":"[12]","noteIndex":0},"citationItems":[{"id":89,"uris":["http://zotero.org/users/10618926/items/SDG7HMY4"],"itemData":{"id":89,"type":"webpage","abstract":"Performance hygrothermique des matériaux et produits pour le bâtiment — Détermination des propriétés de transmission de la vapeur d'eau — Méthode de la coupelle","container-title":"ISO","language":"fr","title":"ISO 12572:2016","title-short":"ISO 12572","URL":"https://www.iso.org/fr/standard/64988.html","author":[{"literal":"14:00-17:00"}],"accessed":{"date-parts":[["2023",5,25]]}}}],"schema":"https://github.com/citation-style-language/schema/raw/master/csl-citation.json"} </w:instrText>
      </w:r>
      <w:r w:rsidRPr="00531A24">
        <w:fldChar w:fldCharType="separate"/>
      </w:r>
      <w:r w:rsidR="008059A1" w:rsidRPr="008059A1">
        <w:t>[12]</w:t>
      </w:r>
      <w:r w:rsidRPr="00531A24">
        <w:fldChar w:fldCharType="end"/>
      </w:r>
      <w:r w:rsidRPr="00531A24">
        <w:t>, using the wet cup method. This method is based on the establishment of a controlled hygrometric gradient across the sample, generally between 50% and 98% relative humidity, to analyze the material's ability to diffuse water vapor.</w:t>
      </w:r>
      <w:r w:rsidR="00CF0DFF">
        <w:t xml:space="preserve"> </w:t>
      </w:r>
      <w:bookmarkStart w:id="0" w:name="_Hlk206184999"/>
      <w:r w:rsidR="00CF0DFF">
        <w:t>This method is selected because it reproduces high-humidity conditions representative of real applications and provides reliable and reproducible measurements compared to other approaches.</w:t>
      </w:r>
    </w:p>
    <w:bookmarkEnd w:id="0"/>
    <w:p w14:paraId="762C2F5F" w14:textId="77777777" w:rsidR="00EA0B70" w:rsidRDefault="00C242B5" w:rsidP="00EA0B70">
      <w:pPr>
        <w:pStyle w:val="Paragraph"/>
      </w:pPr>
      <w:r w:rsidRPr="00531A24">
        <w:t>To achieve this, each</w:t>
      </w:r>
      <w:r w:rsidR="004A24B2">
        <w:t xml:space="preserve"> cubic</w:t>
      </w:r>
      <w:r w:rsidRPr="00531A24">
        <w:t xml:space="preserve"> sample</w:t>
      </w:r>
      <w:r w:rsidR="004A24B2">
        <w:t xml:space="preserve"> (7 cm³)</w:t>
      </w:r>
      <w:r w:rsidRPr="00531A24">
        <w:t xml:space="preserve"> is placed between two experimental compartments in which temperature and relative humidity were strictly regulated. On the lower side, a saturated saline solution is used to impose a constant, </w:t>
      </w:r>
      <w:r w:rsidRPr="00531A24">
        <w:lastRenderedPageBreak/>
        <w:t xml:space="preserve">known humidity, enabling the partial pressure of water vapor to be fixed, while the upper side is left free, without hygrometric control, </w:t>
      </w:r>
      <w:proofErr w:type="gramStart"/>
      <w:r w:rsidRPr="00531A24">
        <w:t>in order to</w:t>
      </w:r>
      <w:proofErr w:type="gramEnd"/>
      <w:r w:rsidRPr="00531A24">
        <w:t xml:space="preserve"> create a concentration gradient conducive to diffusion (figure 2).  A thermal gradient is also introduced to study the coupled effect of temperature and humidity on the material's transfer properties; to this end, two electrical resistors controlled by controllers were installed on either side of the sample to maintain distinct temperatures. All temperature and humidity sensors were calibrated beforehand to guarantee the reliability of the measured data. Combined temperature-humidity sensors of type HMP110, with an accuracy of ±1.5%, were positioned in the upper and lower compartments, while miniature sensors of type HIH-400-003, with an accuracy of ±3.5%, were inserted at various depths inside the sample as well as on its surfaces, enabling fine analysis of the hygrometric distribution. In addition, six K-type thermocouples, 0.5 mm in diameter and accurate to ±0.5°C, were strategically placed in the center of the sample, on its surfaces</w:t>
      </w:r>
      <w:r w:rsidR="004A24B2">
        <w:t>,</w:t>
      </w:r>
      <w:r w:rsidRPr="00531A24">
        <w:t xml:space="preserve"> and in the experimental environment, providing detailed monitoring of temperature trends throughout the test phase. All the sensors were connected to data acquisition cards linked to a computer, enabling automatic, continuous recording of measurements every 30 seconds. A data acquisition and processing program </w:t>
      </w:r>
      <w:r w:rsidR="00EA0B70">
        <w:t>is</w:t>
      </w:r>
      <w:r w:rsidRPr="00531A24">
        <w:t xml:space="preserve"> developed using LABVIEW software, guaranteeing synchronization of measurements and complete traceability of experiments.</w:t>
      </w:r>
    </w:p>
    <w:p w14:paraId="3D438E7A" w14:textId="03307CB0" w:rsidR="00EA0B70" w:rsidRPr="00EA0B70" w:rsidRDefault="00EA0B70" w:rsidP="00EA0B70">
      <w:pPr>
        <w:pStyle w:val="Paragraph"/>
      </w:pPr>
      <w:r w:rsidRPr="00EA0B70">
        <w:t>Based on the specified accuracies of the temperature and humidity sensors, the overall measurement uncertainty is estimated to be approximately ±2.5% using Gaussian error propagation.</w:t>
      </w:r>
    </w:p>
    <w:p w14:paraId="312932FB" w14:textId="77777777" w:rsidR="001F642E" w:rsidRPr="00531A24" w:rsidRDefault="001F642E" w:rsidP="00C242B5">
      <w:pPr>
        <w:pStyle w:val="Paragraph"/>
      </w:pPr>
    </w:p>
    <w:p w14:paraId="5AA433D7" w14:textId="77777777" w:rsidR="00C242B5" w:rsidRPr="00531A24" w:rsidRDefault="00C242B5" w:rsidP="00C242B5">
      <w:pPr>
        <w:pStyle w:val="FigureCaption"/>
        <w:rPr>
          <w:b/>
          <w:caps/>
        </w:rPr>
      </w:pPr>
      <w:r w:rsidRPr="00531A24">
        <w:rPr>
          <w:noProof/>
        </w:rPr>
        <w:drawing>
          <wp:inline distT="0" distB="0" distL="0" distR="0" wp14:anchorId="4AF08838" wp14:editId="0DD6988A">
            <wp:extent cx="5040000" cy="2392650"/>
            <wp:effectExtent l="0" t="0" r="825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2392650"/>
                    </a:xfrm>
                    <a:prstGeom prst="rect">
                      <a:avLst/>
                    </a:prstGeom>
                    <a:noFill/>
                  </pic:spPr>
                </pic:pic>
              </a:graphicData>
            </a:graphic>
          </wp:inline>
        </w:drawing>
      </w:r>
      <w:r w:rsidRPr="00531A24">
        <w:rPr>
          <w:b/>
          <w:caps/>
        </w:rPr>
        <w:t xml:space="preserve"> </w:t>
      </w:r>
    </w:p>
    <w:p w14:paraId="254E604E" w14:textId="5D830776" w:rsidR="00C242B5" w:rsidRPr="00531A24" w:rsidRDefault="00C242B5" w:rsidP="00C242B5">
      <w:pPr>
        <w:pStyle w:val="FigureCaption"/>
      </w:pPr>
      <w:r w:rsidRPr="00531A24">
        <w:rPr>
          <w:b/>
          <w:caps/>
        </w:rPr>
        <w:t xml:space="preserve">Figure </w:t>
      </w:r>
      <w:r w:rsidR="001F642E" w:rsidRPr="00531A24">
        <w:rPr>
          <w:b/>
          <w:caps/>
        </w:rPr>
        <w:t>2</w:t>
      </w:r>
      <w:r w:rsidRPr="00531A24">
        <w:t>. Experimental set-up</w:t>
      </w:r>
    </w:p>
    <w:p w14:paraId="75D00A37" w14:textId="77777777" w:rsidR="001F642E" w:rsidRPr="00531A24" w:rsidRDefault="001F642E" w:rsidP="001F642E">
      <w:pPr>
        <w:pStyle w:val="Paragraph"/>
      </w:pPr>
    </w:p>
    <w:p w14:paraId="0C1C1A17" w14:textId="6D8303B1" w:rsidR="00675741" w:rsidRDefault="00675741" w:rsidP="00675741">
      <w:pPr>
        <w:pStyle w:val="Heading1"/>
      </w:pPr>
      <w:r>
        <w:t xml:space="preserve">Modeling </w:t>
      </w:r>
      <w:r w:rsidRPr="00675741">
        <w:t>framework</w:t>
      </w:r>
    </w:p>
    <w:p w14:paraId="6A99C81B" w14:textId="1BC11F7C" w:rsidR="00675741" w:rsidRPr="00675741" w:rsidRDefault="00675741" w:rsidP="00675741">
      <w:pPr>
        <w:pStyle w:val="Heading2"/>
      </w:pPr>
      <w:r w:rsidRPr="00675741">
        <w:t>Water vapor permeability</w:t>
      </w:r>
    </w:p>
    <w:p w14:paraId="4AD14AEE" w14:textId="302B6706" w:rsidR="00C242B5" w:rsidRPr="00531A24" w:rsidRDefault="00C242B5" w:rsidP="00C242B5">
      <w:pPr>
        <w:pStyle w:val="Paragraph"/>
      </w:pPr>
      <w:r w:rsidRPr="00531A24">
        <w:t>In steady-state conditions, the water vapor flux passing through the sample is determined from the slope of the linear regression curve linking the sample mass to time. This calculation is performed after excluding the initial phase, which exhibits nonlinear behavior, to ensure reliable results. The vapor flux measurement is based on tracking the sample mass over time. The variation in the sample's weight is then expressed as:</w:t>
      </w:r>
    </w:p>
    <w:p w14:paraId="50488878" w14:textId="77777777" w:rsidR="00C242B5" w:rsidRPr="00531A24" w:rsidRDefault="00C242B5" w:rsidP="00C242B5">
      <w:pPr>
        <w:pStyle w:val="Paragraph"/>
      </w:pPr>
    </w:p>
    <w:tbl>
      <w:tblPr>
        <w:tblStyle w:val="TableGrid"/>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8068"/>
        <w:gridCol w:w="947"/>
      </w:tblGrid>
      <w:tr w:rsidR="00C242B5" w:rsidRPr="00531A24" w14:paraId="3F254791" w14:textId="77777777" w:rsidTr="00F46DD7">
        <w:trPr>
          <w:trHeight w:val="512"/>
        </w:trPr>
        <w:tc>
          <w:tcPr>
            <w:tcW w:w="250" w:type="pct"/>
          </w:tcPr>
          <w:p w14:paraId="5A3467F2" w14:textId="77777777" w:rsidR="00C242B5" w:rsidRPr="00531A24" w:rsidRDefault="00C242B5" w:rsidP="00F46DD7"/>
        </w:tc>
        <w:tc>
          <w:tcPr>
            <w:tcW w:w="4251" w:type="pct"/>
          </w:tcPr>
          <w:p w14:paraId="2784A6CD" w14:textId="77777777" w:rsidR="00C242B5" w:rsidRPr="00531A24" w:rsidRDefault="00C242B5" w:rsidP="00C242B5">
            <w:pPr>
              <w:pStyle w:val="Equation"/>
              <w:rPr>
                <w:rFonts w:eastAsiaTheme="minorEastAsia"/>
              </w:rPr>
            </w:pPr>
            <m:oMathPara>
              <m:oMath>
                <m:r>
                  <w:rPr>
                    <w:rFonts w:ascii="Cambria Math" w:hAnsi="Cambria Math"/>
                  </w:rPr>
                  <m:t>G</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m</m:t>
                    </m:r>
                  </m:num>
                  <m:den>
                    <m:r>
                      <m:rPr>
                        <m:sty m:val="p"/>
                      </m:rPr>
                      <w:rPr>
                        <w:rFonts w:ascii="Cambria Math" w:hAnsi="Cambria Math"/>
                      </w:rPr>
                      <m:t>∆</m:t>
                    </m:r>
                    <m:r>
                      <w:rPr>
                        <w:rFonts w:ascii="Cambria Math" w:hAnsi="Cambria Math"/>
                      </w:rPr>
                      <m:t>t</m:t>
                    </m:r>
                  </m:den>
                </m:f>
              </m:oMath>
            </m:oMathPara>
          </w:p>
        </w:tc>
        <w:tc>
          <w:tcPr>
            <w:tcW w:w="499" w:type="pct"/>
          </w:tcPr>
          <w:p w14:paraId="26FFD1ED" w14:textId="77777777" w:rsidR="00C242B5" w:rsidRPr="00531A24" w:rsidRDefault="00C242B5" w:rsidP="00F46DD7">
            <w:pPr>
              <w:pStyle w:val="Caption"/>
              <w:spacing w:line="360" w:lineRule="auto"/>
              <w:jc w:val="center"/>
              <w:rPr>
                <w:rFonts w:ascii="Times New Roman" w:hAnsi="Times New Roman" w:cs="Times New Roman"/>
                <w:i w:val="0"/>
                <w:iCs w:val="0"/>
                <w:color w:val="auto"/>
                <w:sz w:val="20"/>
                <w:szCs w:val="20"/>
                <w:lang w:val="en-US"/>
              </w:rPr>
            </w:pPr>
            <w:r w:rsidRPr="00531A24">
              <w:rPr>
                <w:rFonts w:ascii="Times New Roman" w:hAnsi="Times New Roman" w:cs="Times New Roman"/>
                <w:i w:val="0"/>
                <w:iCs w:val="0"/>
                <w:color w:val="auto"/>
                <w:sz w:val="20"/>
                <w:szCs w:val="20"/>
                <w:lang w:val="en-US"/>
              </w:rPr>
              <w:t>(1)</w:t>
            </w:r>
          </w:p>
        </w:tc>
      </w:tr>
    </w:tbl>
    <w:p w14:paraId="143750AF" w14:textId="77777777" w:rsidR="00C242B5" w:rsidRPr="00531A24" w:rsidRDefault="00C242B5" w:rsidP="00C242B5">
      <w:pPr>
        <w:rPr>
          <w:rFonts w:cstheme="majorBidi"/>
        </w:rPr>
      </w:pPr>
    </w:p>
    <w:p w14:paraId="291EF63C" w14:textId="377F4C06" w:rsidR="00C242B5" w:rsidRPr="00531A24" w:rsidRDefault="00C242B5" w:rsidP="00C242B5">
      <w:pPr>
        <w:pStyle w:val="Paragraph"/>
        <w:rPr>
          <w:rFonts w:eastAsiaTheme="minorEastAsia"/>
          <w:iCs/>
        </w:rPr>
      </w:pPr>
      <w:r w:rsidRPr="00531A24">
        <w:t xml:space="preserve">Where </w:t>
      </w:r>
      <w:r w:rsidRPr="00531A24">
        <w:rPr>
          <w:rFonts w:ascii="Cambria Math" w:hAnsi="Cambria Math" w:cs="Cambria Math"/>
        </w:rPr>
        <w:t>𝐺</w:t>
      </w:r>
      <w:r w:rsidRPr="00531A24">
        <w:t xml:space="preserve"> is the mass gain over time </w:t>
      </w:r>
      <w:r w:rsidRPr="00531A24">
        <w:rPr>
          <w:rFonts w:eastAsiaTheme="minorEastAsia"/>
          <w:iCs/>
        </w:rPr>
        <w:t>[</w:t>
      </w:r>
      <w:r w:rsidR="00D10B00" w:rsidRPr="00531A24">
        <w:rPr>
          <w:rFonts w:eastAsiaTheme="minorEastAsia"/>
          <w:iCs/>
        </w:rPr>
        <w:t>kg.</w:t>
      </w:r>
      <w:r w:rsidR="00D10B00">
        <w:rPr>
          <w:rFonts w:eastAsiaTheme="minorEastAsia"/>
          <w:iCs/>
        </w:rPr>
        <w:t xml:space="preserve"> s</w:t>
      </w:r>
      <w:r w:rsidR="00D10B00">
        <w:rPr>
          <w:rFonts w:eastAsiaTheme="minorEastAsia"/>
          <w:iCs/>
          <w:vertAlign w:val="superscript"/>
        </w:rPr>
        <w:t>-1</w:t>
      </w:r>
      <w:r w:rsidRPr="00531A24">
        <w:rPr>
          <w:rFonts w:eastAsiaTheme="minorEastAsia"/>
          <w:iCs/>
        </w:rPr>
        <w:t>]</w:t>
      </w:r>
      <w:r w:rsidRPr="00531A24">
        <w:t xml:space="preserve">, </w:t>
      </w:r>
      <m:oMath>
        <m:r>
          <w:rPr>
            <w:rFonts w:ascii="Cambria Math" w:hAnsi="Cambria Math"/>
          </w:rPr>
          <m:t>∆m</m:t>
        </m:r>
      </m:oMath>
      <w:r w:rsidRPr="00531A24">
        <w:rPr>
          <w:rFonts w:eastAsiaTheme="minorEastAsia"/>
          <w:iCs/>
        </w:rPr>
        <w:t xml:space="preserve"> [kg] </w:t>
      </w:r>
      <w:r w:rsidRPr="00531A24">
        <w:t>is the mass variation of the assembly during the time interval ∆t [s].</w:t>
      </w:r>
    </w:p>
    <w:p w14:paraId="23D9192A" w14:textId="01559ADC" w:rsidR="00C242B5" w:rsidRPr="00531A24" w:rsidRDefault="00C242B5" w:rsidP="00C242B5">
      <w:pPr>
        <w:pStyle w:val="Paragraph"/>
        <w:rPr>
          <w:rFonts w:cstheme="majorBidi"/>
        </w:rPr>
      </w:pPr>
      <w:r w:rsidRPr="00531A24">
        <w:rPr>
          <w:rFonts w:cstheme="majorBidi"/>
        </w:rPr>
        <w:t>Thus, the flux density of the vapor, [kg</w:t>
      </w:r>
      <w:r w:rsidR="00D10B00">
        <w:rPr>
          <w:rFonts w:cstheme="majorBidi"/>
        </w:rPr>
        <w:t>.</w:t>
      </w:r>
      <w:r w:rsidRPr="00531A24">
        <w:rPr>
          <w:rFonts w:cstheme="majorBidi"/>
        </w:rPr>
        <w:t>m</w:t>
      </w:r>
      <w:r w:rsidR="00D10B00">
        <w:rPr>
          <w:rFonts w:cstheme="majorBidi"/>
          <w:vertAlign w:val="superscript"/>
        </w:rPr>
        <w:t>-1</w:t>
      </w:r>
      <w:r w:rsidR="00D10B00">
        <w:rPr>
          <w:rFonts w:cstheme="majorBidi"/>
        </w:rPr>
        <w:t>.</w:t>
      </w:r>
      <w:r w:rsidR="00D10B00" w:rsidRPr="00531A24">
        <w:rPr>
          <w:rFonts w:cstheme="majorBidi"/>
        </w:rPr>
        <w:t xml:space="preserve"> s</w:t>
      </w:r>
      <w:r w:rsidR="00D10B00">
        <w:rPr>
          <w:rFonts w:cstheme="majorBidi"/>
          <w:vertAlign w:val="superscript"/>
        </w:rPr>
        <w:t>-1</w:t>
      </w:r>
      <w:r w:rsidRPr="00531A24">
        <w:rPr>
          <w:rFonts w:cstheme="majorBidi"/>
        </w:rPr>
        <w:t>], is expressed as follows:</w:t>
      </w:r>
    </w:p>
    <w:tbl>
      <w:tblPr>
        <w:tblStyle w:val="TableGrid"/>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8068"/>
        <w:gridCol w:w="947"/>
      </w:tblGrid>
      <w:tr w:rsidR="00C242B5" w:rsidRPr="00531A24" w14:paraId="405DFD8E" w14:textId="77777777" w:rsidTr="00F46DD7">
        <w:trPr>
          <w:trHeight w:val="512"/>
        </w:trPr>
        <w:tc>
          <w:tcPr>
            <w:tcW w:w="250" w:type="pct"/>
          </w:tcPr>
          <w:p w14:paraId="5AA73107" w14:textId="77777777" w:rsidR="00C242B5" w:rsidRPr="00531A24" w:rsidRDefault="00C242B5" w:rsidP="00F46DD7"/>
        </w:tc>
        <w:tc>
          <w:tcPr>
            <w:tcW w:w="4251" w:type="pct"/>
          </w:tcPr>
          <w:p w14:paraId="5B10D267" w14:textId="77777777" w:rsidR="00C242B5" w:rsidRPr="00531A24" w:rsidRDefault="006A79D5" w:rsidP="00C242B5">
            <w:pPr>
              <w:pStyle w:val="Equation"/>
              <w:rPr>
                <w:rFonts w:eastAsiaTheme="minorEastAsia"/>
              </w:rPr>
            </w:pPr>
            <m:oMathPara>
              <m:oMath>
                <m:sSub>
                  <m:sSubPr>
                    <m:ctrlPr>
                      <w:rPr>
                        <w:rFonts w:ascii="Cambria Math" w:hAnsi="Cambria Math"/>
                      </w:rPr>
                    </m:ctrlPr>
                  </m:sSubPr>
                  <m:e>
                    <m:r>
                      <w:rPr>
                        <w:rFonts w:ascii="Cambria Math" w:hAnsi="Cambria Math"/>
                      </w:rPr>
                      <m:t>g</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δ</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v</m:t>
                        </m:r>
                      </m:sub>
                    </m:sSub>
                  </m:num>
                  <m:den>
                    <m:r>
                      <w:rPr>
                        <w:rFonts w:ascii="Cambria Math" w:hAnsi="Cambria Math"/>
                      </w:rPr>
                      <m:t>e</m:t>
                    </m:r>
                  </m:den>
                </m:f>
              </m:oMath>
            </m:oMathPara>
          </w:p>
        </w:tc>
        <w:tc>
          <w:tcPr>
            <w:tcW w:w="499" w:type="pct"/>
          </w:tcPr>
          <w:p w14:paraId="2F6492BC" w14:textId="77777777" w:rsidR="00C242B5" w:rsidRPr="00531A24" w:rsidRDefault="00C242B5" w:rsidP="00F46DD7">
            <w:pPr>
              <w:pStyle w:val="Caption"/>
              <w:spacing w:line="360" w:lineRule="auto"/>
              <w:jc w:val="center"/>
              <w:rPr>
                <w:rFonts w:ascii="Times New Roman" w:hAnsi="Times New Roman" w:cs="Times New Roman"/>
                <w:i w:val="0"/>
                <w:iCs w:val="0"/>
                <w:color w:val="auto"/>
                <w:sz w:val="20"/>
                <w:szCs w:val="20"/>
                <w:lang w:val="en-US"/>
              </w:rPr>
            </w:pPr>
            <w:r w:rsidRPr="00531A24">
              <w:rPr>
                <w:rFonts w:ascii="Times New Roman" w:hAnsi="Times New Roman" w:cs="Times New Roman"/>
                <w:i w:val="0"/>
                <w:iCs w:val="0"/>
                <w:color w:val="auto"/>
                <w:sz w:val="20"/>
                <w:szCs w:val="20"/>
                <w:lang w:val="en-US"/>
              </w:rPr>
              <w:t>(2)</w:t>
            </w:r>
          </w:p>
        </w:tc>
      </w:tr>
    </w:tbl>
    <w:p w14:paraId="70D50075" w14:textId="77777777" w:rsidR="00C242B5" w:rsidRPr="00531A24" w:rsidRDefault="00C242B5" w:rsidP="00C242B5"/>
    <w:p w14:paraId="367F7A79" w14:textId="0B4A0F47" w:rsidR="00C242B5" w:rsidRPr="00531A24" w:rsidRDefault="006A79D5" w:rsidP="00D10B00">
      <w:pPr>
        <w:pStyle w:val="Paragraph"/>
      </w:pPr>
      <m:oMath>
        <m:sSub>
          <m:sSubPr>
            <m:ctrlPr>
              <w:rPr>
                <w:rFonts w:ascii="Cambria Math" w:hAnsi="Cambria Math"/>
                <w:i/>
              </w:rPr>
            </m:ctrlPr>
          </m:sSubPr>
          <m:e>
            <m:r>
              <w:rPr>
                <w:rFonts w:ascii="Cambria Math" w:hAnsi="Cambria Math"/>
              </w:rPr>
              <m:t>δ</m:t>
            </m:r>
          </m:e>
          <m:sub>
            <m:r>
              <w:rPr>
                <w:rFonts w:ascii="Cambria Math" w:hAnsi="Cambria Math"/>
              </w:rPr>
              <m:t>m</m:t>
            </m:r>
          </m:sub>
        </m:sSub>
      </m:oMath>
      <w:r w:rsidR="00C242B5" w:rsidRPr="00531A24">
        <w:rPr>
          <w:rFonts w:eastAsiaTheme="minorEastAsia"/>
        </w:rPr>
        <w:t xml:space="preserve"> [</w:t>
      </w:r>
      <m:oMath>
        <m:r>
          <m:rPr>
            <m:sty m:val="p"/>
          </m:rPr>
          <w:rPr>
            <w:rFonts w:ascii="Cambria Math" w:eastAsiaTheme="minorEastAsia" w:hAnsi="Cambria Math"/>
          </w:rPr>
          <m:t>kg</m:t>
        </m:r>
      </m:oMath>
      <w:r w:rsidR="00C242B5" w:rsidRPr="00531A24">
        <w:rPr>
          <w:rFonts w:eastAsiaTheme="minorEastAsia"/>
        </w:rPr>
        <w:t>.</w:t>
      </w:r>
      <w:r w:rsidR="00D10B00">
        <w:rPr>
          <w:rFonts w:eastAsiaTheme="minorEastAsia"/>
        </w:rPr>
        <w:t>m</w:t>
      </w:r>
      <w:r w:rsidR="00D10B00">
        <w:rPr>
          <w:rFonts w:eastAsiaTheme="minorEastAsia"/>
          <w:vertAlign w:val="superscript"/>
        </w:rPr>
        <w:t>-1</w:t>
      </w:r>
      <w:r w:rsidR="00D10B00">
        <w:rPr>
          <w:rFonts w:eastAsiaTheme="minorEastAsia"/>
        </w:rPr>
        <w:t>. s</w:t>
      </w:r>
      <w:r w:rsidR="00D10B00">
        <w:rPr>
          <w:rFonts w:eastAsiaTheme="minorEastAsia"/>
          <w:vertAlign w:val="superscript"/>
        </w:rPr>
        <w:t>-1</w:t>
      </w:r>
      <w:r w:rsidR="00D10B00">
        <w:rPr>
          <w:rFonts w:eastAsiaTheme="minorEastAsia"/>
        </w:rPr>
        <w:t>. Pa</w:t>
      </w:r>
      <w:r w:rsidR="00D10B00">
        <w:rPr>
          <w:rFonts w:eastAsiaTheme="minorEastAsia"/>
          <w:vertAlign w:val="superscript"/>
        </w:rPr>
        <w:t>-1</w:t>
      </w:r>
      <w:r w:rsidR="00D10B00">
        <w:rPr>
          <w:rFonts w:eastAsiaTheme="minorEastAsia"/>
        </w:rPr>
        <w:t>]</w:t>
      </w:r>
      <w:r w:rsidR="00D10B00">
        <w:rPr>
          <w:rFonts w:eastAsiaTheme="minorEastAsia"/>
          <w:vertAlign w:val="superscript"/>
        </w:rPr>
        <w:t xml:space="preserve"> </w:t>
      </w:r>
      <w:r w:rsidR="00C242B5" w:rsidRPr="00531A24">
        <w:t>denotes the material's vapor permeability</w:t>
      </w:r>
      <w:r w:rsidR="00C242B5" w:rsidRPr="00531A24">
        <w:rPr>
          <w:rFonts w:eastAsiaTheme="minorEastAsia"/>
          <w:iCs/>
        </w:rPr>
        <w:t xml:space="preserve">,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v</m:t>
            </m:r>
          </m:sub>
        </m:sSub>
      </m:oMath>
      <w:r w:rsidR="00C242B5" w:rsidRPr="00531A24">
        <w:rPr>
          <w:rFonts w:eastAsiaTheme="minorEastAsia"/>
          <w:iCs/>
        </w:rPr>
        <w:t xml:space="preserve"> [Pa] </w:t>
      </w:r>
      <w:r w:rsidR="00C242B5" w:rsidRPr="00531A24">
        <w:t xml:space="preserve">s the partial vapor pressure, and e [m] is the thickness of the sample. </w:t>
      </w:r>
    </w:p>
    <w:p w14:paraId="538A3212" w14:textId="77777777" w:rsidR="00C242B5" w:rsidRPr="00531A24" w:rsidRDefault="00C242B5" w:rsidP="00C242B5">
      <w:pPr>
        <w:pStyle w:val="Paragraph"/>
      </w:pPr>
      <w:r w:rsidRPr="00531A24">
        <w:t>We thus conclude the vapor flux density as:</w:t>
      </w:r>
    </w:p>
    <w:tbl>
      <w:tblPr>
        <w:tblStyle w:val="TableGrid"/>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8068"/>
        <w:gridCol w:w="947"/>
      </w:tblGrid>
      <w:tr w:rsidR="00C242B5" w:rsidRPr="00531A24" w14:paraId="24967F97" w14:textId="77777777" w:rsidTr="00F46DD7">
        <w:trPr>
          <w:trHeight w:val="512"/>
        </w:trPr>
        <w:tc>
          <w:tcPr>
            <w:tcW w:w="250" w:type="pct"/>
          </w:tcPr>
          <w:p w14:paraId="77AFCCA1" w14:textId="77777777" w:rsidR="00C242B5" w:rsidRPr="00531A24" w:rsidRDefault="00C242B5" w:rsidP="00F46DD7"/>
        </w:tc>
        <w:tc>
          <w:tcPr>
            <w:tcW w:w="4251" w:type="pct"/>
          </w:tcPr>
          <w:p w14:paraId="2E4A3280" w14:textId="77777777" w:rsidR="00C242B5" w:rsidRPr="00531A24" w:rsidRDefault="006A79D5" w:rsidP="00C242B5">
            <w:pPr>
              <w:pStyle w:val="Equation"/>
              <w:rPr>
                <w:rFonts w:eastAsiaTheme="minorEastAsia"/>
                <w:iCs/>
              </w:rPr>
            </w:pPr>
            <m:oMathPara>
              <m:oMath>
                <m:sSub>
                  <m:sSubPr>
                    <m:ctrlPr>
                      <w:rPr>
                        <w:rFonts w:ascii="Cambria Math" w:hAnsi="Cambria Math"/>
                      </w:rPr>
                    </m:ctrlPr>
                  </m:sSubPr>
                  <m:e>
                    <m:r>
                      <w:rPr>
                        <w:rFonts w:ascii="Cambria Math" w:hAnsi="Cambria Math"/>
                      </w:rPr>
                      <m:t>g</m:t>
                    </m:r>
                  </m:e>
                  <m:sub>
                    <m:r>
                      <w:rPr>
                        <w:rFonts w:ascii="Cambria Math" w:hAnsi="Cambria Math"/>
                      </w:rPr>
                      <m:t>v</m:t>
                    </m:r>
                  </m:sub>
                </m:sSub>
                <m:r>
                  <m:rPr>
                    <m:sty m:val="p"/>
                  </m:rPr>
                  <w:rPr>
                    <w:rFonts w:ascii="Cambria Math" w:hAnsi="Cambria Math"/>
                  </w:rPr>
                  <m:t>=</m:t>
                </m:r>
                <m:f>
                  <m:fPr>
                    <m:ctrlPr>
                      <w:rPr>
                        <w:rFonts w:ascii="Cambria Math" w:hAnsi="Cambria Math"/>
                        <w:iCs/>
                      </w:rPr>
                    </m:ctrlPr>
                  </m:fPr>
                  <m:num>
                    <m:r>
                      <w:rPr>
                        <w:rFonts w:ascii="Cambria Math" w:hAnsi="Cambria Math"/>
                      </w:rPr>
                      <m:t>G</m:t>
                    </m:r>
                  </m:num>
                  <m:den>
                    <m:r>
                      <w:rPr>
                        <w:rFonts w:ascii="Cambria Math" w:hAnsi="Cambria Math"/>
                      </w:rPr>
                      <m:t>A</m:t>
                    </m:r>
                  </m:den>
                </m:f>
              </m:oMath>
            </m:oMathPara>
          </w:p>
        </w:tc>
        <w:tc>
          <w:tcPr>
            <w:tcW w:w="499" w:type="pct"/>
          </w:tcPr>
          <w:p w14:paraId="6F8035A2" w14:textId="77777777" w:rsidR="00C242B5" w:rsidRPr="00531A24" w:rsidRDefault="00C242B5" w:rsidP="00F46DD7">
            <w:pPr>
              <w:pStyle w:val="Caption"/>
              <w:spacing w:line="360" w:lineRule="auto"/>
              <w:jc w:val="center"/>
              <w:rPr>
                <w:rFonts w:ascii="Times New Roman" w:hAnsi="Times New Roman" w:cs="Times New Roman"/>
                <w:color w:val="auto"/>
                <w:sz w:val="22"/>
                <w:szCs w:val="22"/>
                <w:lang w:val="en-US"/>
              </w:rPr>
            </w:pPr>
            <w:r w:rsidRPr="00531A24">
              <w:rPr>
                <w:rFonts w:ascii="Times New Roman" w:hAnsi="Times New Roman" w:cs="Times New Roman"/>
                <w:i w:val="0"/>
                <w:iCs w:val="0"/>
                <w:color w:val="auto"/>
                <w:sz w:val="20"/>
                <w:szCs w:val="20"/>
                <w:lang w:val="en-US"/>
              </w:rPr>
              <w:t>(3)</w:t>
            </w:r>
          </w:p>
        </w:tc>
      </w:tr>
    </w:tbl>
    <w:p w14:paraId="4DDAB7F6" w14:textId="77777777" w:rsidR="00C242B5" w:rsidRPr="00531A24" w:rsidRDefault="00C242B5" w:rsidP="00C242B5">
      <w:pPr>
        <w:pStyle w:val="Paragraph"/>
        <w:rPr>
          <w:iCs/>
        </w:rPr>
      </w:pPr>
      <w:r w:rsidRPr="00531A24">
        <w:t>Where A [m²] is the exposed surface area of the sample, averaged between the inner and outer surfaces.</w:t>
      </w:r>
    </w:p>
    <w:p w14:paraId="5AD040BE" w14:textId="77777777" w:rsidR="00C242B5" w:rsidRPr="00531A24" w:rsidRDefault="00C242B5" w:rsidP="00C242B5">
      <w:pPr>
        <w:pStyle w:val="Paragraph"/>
        <w:rPr>
          <w:iCs/>
        </w:rPr>
      </w:pPr>
      <w:r w:rsidRPr="00531A24">
        <w:t>In conclusion, vapor permeability is determined from the established relations at steady state, as shown in equation (4).</w:t>
      </w:r>
    </w:p>
    <w:tbl>
      <w:tblPr>
        <w:tblStyle w:val="TableGrid"/>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8068"/>
        <w:gridCol w:w="947"/>
      </w:tblGrid>
      <w:tr w:rsidR="00C242B5" w:rsidRPr="00531A24" w14:paraId="6783EB8E" w14:textId="77777777" w:rsidTr="00F46DD7">
        <w:trPr>
          <w:trHeight w:val="512"/>
        </w:trPr>
        <w:tc>
          <w:tcPr>
            <w:tcW w:w="250" w:type="pct"/>
          </w:tcPr>
          <w:p w14:paraId="025093D7" w14:textId="77777777" w:rsidR="00C242B5" w:rsidRPr="00531A24" w:rsidRDefault="00C242B5" w:rsidP="00F46DD7"/>
        </w:tc>
        <w:tc>
          <w:tcPr>
            <w:tcW w:w="4251" w:type="pct"/>
          </w:tcPr>
          <w:p w14:paraId="68445846" w14:textId="77777777" w:rsidR="00C242B5" w:rsidRPr="00531A24" w:rsidRDefault="006A79D5" w:rsidP="00C242B5">
            <w:pPr>
              <w:pStyle w:val="Equation"/>
              <w:rPr>
                <w:rFonts w:eastAsiaTheme="minorEastAsia"/>
                <w:iCs/>
              </w:rPr>
            </w:pPr>
            <m:oMathPara>
              <m:oMath>
                <m:sSub>
                  <m:sSubPr>
                    <m:ctrlPr>
                      <w:rPr>
                        <w:rFonts w:ascii="Cambria Math" w:hAnsi="Cambria Math"/>
                      </w:rPr>
                    </m:ctrlPr>
                  </m:sSubPr>
                  <m:e>
                    <m:r>
                      <w:rPr>
                        <w:rFonts w:ascii="Cambria Math" w:hAnsi="Cambria Math"/>
                      </w:rPr>
                      <m:t>δ</m:t>
                    </m:r>
                  </m:e>
                  <m:sub>
                    <m:r>
                      <w:rPr>
                        <w:rFonts w:ascii="Cambria Math" w:hAnsi="Cambria Math"/>
                      </w:rPr>
                      <m:t>m</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e</m:t>
                    </m:r>
                  </m:num>
                  <m:den>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v</m:t>
                        </m:r>
                      </m:sub>
                    </m:sSub>
                  </m:den>
                </m:f>
              </m:oMath>
            </m:oMathPara>
          </w:p>
        </w:tc>
        <w:tc>
          <w:tcPr>
            <w:tcW w:w="499" w:type="pct"/>
          </w:tcPr>
          <w:p w14:paraId="20FB65FA" w14:textId="77777777" w:rsidR="00C242B5" w:rsidRPr="00531A24" w:rsidRDefault="00C242B5" w:rsidP="00F46DD7">
            <w:pPr>
              <w:pStyle w:val="Caption"/>
              <w:spacing w:line="360" w:lineRule="auto"/>
              <w:jc w:val="center"/>
              <w:rPr>
                <w:rFonts w:ascii="Times New Roman" w:hAnsi="Times New Roman" w:cs="Times New Roman"/>
                <w:i w:val="0"/>
                <w:iCs w:val="0"/>
                <w:color w:val="auto"/>
                <w:sz w:val="20"/>
                <w:szCs w:val="20"/>
                <w:lang w:val="en-US"/>
              </w:rPr>
            </w:pPr>
            <w:r w:rsidRPr="00531A24">
              <w:rPr>
                <w:rFonts w:ascii="Times New Roman" w:hAnsi="Times New Roman" w:cs="Times New Roman"/>
                <w:i w:val="0"/>
                <w:iCs w:val="0"/>
                <w:color w:val="auto"/>
                <w:sz w:val="20"/>
                <w:szCs w:val="20"/>
                <w:lang w:val="en-US"/>
              </w:rPr>
              <w:t>(4)</w:t>
            </w:r>
          </w:p>
        </w:tc>
      </w:tr>
    </w:tbl>
    <w:p w14:paraId="34963431" w14:textId="77777777" w:rsidR="000329CA" w:rsidRPr="00531A24" w:rsidRDefault="000329CA" w:rsidP="000329CA">
      <w:pPr>
        <w:jc w:val="both"/>
        <w:rPr>
          <w:sz w:val="18"/>
        </w:rPr>
      </w:pPr>
    </w:p>
    <w:p w14:paraId="7BC90F5D" w14:textId="4D218144" w:rsidR="00675741" w:rsidRDefault="00675741" w:rsidP="00675741">
      <w:pPr>
        <w:pStyle w:val="Heading2"/>
      </w:pPr>
      <w:r>
        <w:t>Hygroscopic diffusivity coefficient</w:t>
      </w:r>
    </w:p>
    <w:p w14:paraId="40EFD2BE" w14:textId="77777777" w:rsidR="00675741" w:rsidRPr="00531A24" w:rsidRDefault="00675741" w:rsidP="00675741">
      <w:pPr>
        <w:pStyle w:val="Paragraph"/>
        <w:rPr>
          <w:lang w:eastAsia="de-DE" w:bidi="en-US"/>
        </w:rPr>
      </w:pPr>
      <w:r w:rsidRPr="00531A24">
        <w:rPr>
          <w:lang w:eastAsia="de-DE" w:bidi="en-US"/>
        </w:rPr>
        <w:t>Water diffusivity measures a material's ability to diffuse water vapor. It depends on porosity, permeability and the surrounding temperature and pressure. A high-water diffusivity allows water to move quickly, while a low-porosity material has a lower diffusivity, making it more resistant to water infiltration.</w:t>
      </w:r>
    </w:p>
    <w:p w14:paraId="4B7487E2" w14:textId="77777777" w:rsidR="00675741" w:rsidRPr="00531A24" w:rsidRDefault="00675741" w:rsidP="00675741">
      <w:pPr>
        <w:pStyle w:val="Paragraph"/>
        <w:rPr>
          <w:lang w:eastAsia="de-DE" w:bidi="en-US"/>
        </w:rPr>
      </w:pPr>
      <w:r w:rsidRPr="00531A24">
        <w:rPr>
          <w:lang w:eastAsia="de-DE" w:bidi="en-US"/>
        </w:rPr>
        <w:t>The moisture flux density through a material in the isothermal regime and in the case of one-dimensional transfer is written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020"/>
        <w:gridCol w:w="1404"/>
      </w:tblGrid>
      <w:tr w:rsidR="00675741" w:rsidRPr="00531A24" w14:paraId="27D9BACE" w14:textId="77777777" w:rsidTr="00735B20">
        <w:tc>
          <w:tcPr>
            <w:tcW w:w="500" w:type="pct"/>
          </w:tcPr>
          <w:p w14:paraId="508DC02B" w14:textId="77777777" w:rsidR="00675741" w:rsidRPr="00531A24" w:rsidRDefault="00675741" w:rsidP="00735B20">
            <w:bookmarkStart w:id="1" w:name="_Hlk200035905"/>
          </w:p>
        </w:tc>
        <w:tc>
          <w:tcPr>
            <w:tcW w:w="3750" w:type="pct"/>
          </w:tcPr>
          <w:p w14:paraId="69120E01" w14:textId="77777777" w:rsidR="00675741" w:rsidRPr="00531A24" w:rsidRDefault="00675741" w:rsidP="00735B20">
            <w:pPr>
              <w:pStyle w:val="Equation"/>
            </w:pPr>
            <m:oMathPara>
              <m:oMath>
                <m:r>
                  <m:rPr>
                    <m:sty m:val="p"/>
                  </m:rPr>
                  <w:rPr>
                    <w:rFonts w:ascii="Cambria Math" w:hAnsi="Cambria Math"/>
                  </w:rPr>
                  <m:t>J=-</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ω</m:t>
                    </m:r>
                  </m:sub>
                </m:sSub>
                <m:f>
                  <m:fPr>
                    <m:ctrlPr>
                      <w:rPr>
                        <w:rFonts w:ascii="Cambria Math" w:hAnsi="Cambria Math"/>
                      </w:rPr>
                    </m:ctrlPr>
                  </m:fPr>
                  <m:num>
                    <m:r>
                      <m:rPr>
                        <m:sty m:val="p"/>
                      </m:rPr>
                      <w:rPr>
                        <w:rFonts w:ascii="Cambria Math" w:hAnsi="Cambria Math"/>
                      </w:rPr>
                      <m:t>∂ω</m:t>
                    </m:r>
                  </m:num>
                  <m:den>
                    <m:r>
                      <m:rPr>
                        <m:sty m:val="p"/>
                      </m:rPr>
                      <w:rPr>
                        <w:rFonts w:ascii="Cambria Math" w:hAnsi="Cambria Math"/>
                      </w:rPr>
                      <m:t>∂x</m:t>
                    </m:r>
                  </m:den>
                </m:f>
              </m:oMath>
            </m:oMathPara>
          </w:p>
        </w:tc>
        <w:tc>
          <w:tcPr>
            <w:tcW w:w="750" w:type="pct"/>
          </w:tcPr>
          <w:p w14:paraId="74B03B24" w14:textId="77777777" w:rsidR="00675741" w:rsidRPr="00531A24" w:rsidRDefault="00675741" w:rsidP="00735B20">
            <w:pPr>
              <w:jc w:val="right"/>
              <w:rPr>
                <w:sz w:val="20"/>
              </w:rPr>
            </w:pPr>
            <w:r w:rsidRPr="00531A24">
              <w:rPr>
                <w:sz w:val="20"/>
              </w:rPr>
              <w:t xml:space="preserve"> (8)</w:t>
            </w:r>
          </w:p>
        </w:tc>
      </w:tr>
      <w:tr w:rsidR="00675741" w:rsidRPr="00531A24" w14:paraId="7041DC38" w14:textId="77777777" w:rsidTr="00735B20">
        <w:tc>
          <w:tcPr>
            <w:tcW w:w="500" w:type="pct"/>
          </w:tcPr>
          <w:p w14:paraId="66E04BDF" w14:textId="77777777" w:rsidR="00675741" w:rsidRPr="00531A24" w:rsidRDefault="00675741" w:rsidP="00735B20"/>
        </w:tc>
        <w:tc>
          <w:tcPr>
            <w:tcW w:w="3750" w:type="pct"/>
          </w:tcPr>
          <w:p w14:paraId="45CB9E73" w14:textId="77777777" w:rsidR="00675741" w:rsidRPr="00531A24" w:rsidRDefault="00675741" w:rsidP="00735B20">
            <w:pPr>
              <w:pStyle w:val="Equation"/>
            </w:pPr>
            <m:oMathPara>
              <m:oMath>
                <m:r>
                  <m:rPr>
                    <m:sty m:val="p"/>
                  </m:rPr>
                  <w:rPr>
                    <w:rFonts w:ascii="Cambria Math" w:hAnsi="Cambria Math"/>
                  </w:rPr>
                  <m:t>J=-</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ω</m:t>
                    </m:r>
                  </m:sub>
                </m:sSub>
                <m:f>
                  <m:fPr>
                    <m:ctrlPr>
                      <w:rPr>
                        <w:rFonts w:ascii="Cambria Math" w:hAnsi="Cambria Math"/>
                      </w:rPr>
                    </m:ctrlPr>
                  </m:fPr>
                  <m:num>
                    <m:r>
                      <m:rPr>
                        <m:sty m:val="p"/>
                      </m:rPr>
                      <w:rPr>
                        <w:rFonts w:ascii="Cambria Math" w:hAnsi="Cambria Math"/>
                      </w:rPr>
                      <m:t>∂ω</m:t>
                    </m:r>
                  </m:num>
                  <m:den>
                    <m:r>
                      <m:rPr>
                        <m:sty m:val="p"/>
                      </m:rPr>
                      <w:rPr>
                        <w:rFonts w:ascii="Cambria Math" w:hAnsi="Cambria Math"/>
                      </w:rPr>
                      <m:t>∂φ</m:t>
                    </m:r>
                  </m:den>
                </m:f>
                <m:f>
                  <m:fPr>
                    <m:ctrlPr>
                      <w:rPr>
                        <w:rFonts w:ascii="Cambria Math" w:hAnsi="Cambria Math"/>
                      </w:rPr>
                    </m:ctrlPr>
                  </m:fPr>
                  <m:num>
                    <m:r>
                      <m:rPr>
                        <m:sty m:val="p"/>
                      </m:rPr>
                      <w:rPr>
                        <w:rFonts w:ascii="Cambria Math" w:hAnsi="Cambria Math"/>
                      </w:rPr>
                      <m:t>∂φ</m:t>
                    </m:r>
                  </m:num>
                  <m:den>
                    <m:r>
                      <m:rPr>
                        <m:sty m:val="p"/>
                      </m:rPr>
                      <w:rPr>
                        <w:rFonts w:ascii="Cambria Math" w:hAnsi="Cambria Math"/>
                      </w:rPr>
                      <m:t>∂x</m:t>
                    </m:r>
                  </m:den>
                </m:f>
              </m:oMath>
            </m:oMathPara>
          </w:p>
        </w:tc>
        <w:tc>
          <w:tcPr>
            <w:tcW w:w="750" w:type="pct"/>
          </w:tcPr>
          <w:p w14:paraId="2F8A85F5" w14:textId="77777777" w:rsidR="00675741" w:rsidRPr="00531A24" w:rsidRDefault="00675741" w:rsidP="00735B20">
            <w:pPr>
              <w:jc w:val="right"/>
              <w:rPr>
                <w:sz w:val="20"/>
              </w:rPr>
            </w:pPr>
            <w:r w:rsidRPr="00531A24">
              <w:rPr>
                <w:sz w:val="20"/>
              </w:rPr>
              <w:t xml:space="preserve"> (9)</w:t>
            </w:r>
          </w:p>
        </w:tc>
      </w:tr>
    </w:tbl>
    <w:bookmarkEnd w:id="1"/>
    <w:p w14:paraId="29AA56D7" w14:textId="77777777" w:rsidR="00675741" w:rsidRPr="00531A24" w:rsidRDefault="00675741" w:rsidP="00675741">
      <w:pPr>
        <w:pStyle w:val="Paragraph"/>
        <w:rPr>
          <w:b/>
        </w:rPr>
      </w:pPr>
      <w:r w:rsidRPr="00531A24">
        <w:t xml:space="preserve">The analogy between Fourier's law for thermal diffusion and Fick's law for mass diffusion is clearly demonstrated by this equation. Indeed, the water diffusivity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ω</m:t>
            </m:r>
          </m:sub>
        </m:sSub>
      </m:oMath>
      <w:r w:rsidRPr="00531A24">
        <w:t xml:space="preserve"> is equivalent to the thermal diffusivity. Water vapor transport theory is based on Fick's law. Consequently, vapor transfer in air by molecular diffusion can be expressed as a function of the vapor concentration gradient: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020"/>
        <w:gridCol w:w="1404"/>
      </w:tblGrid>
      <w:tr w:rsidR="00675741" w:rsidRPr="00531A24" w14:paraId="525B6031" w14:textId="77777777" w:rsidTr="00735B20">
        <w:tc>
          <w:tcPr>
            <w:tcW w:w="500" w:type="pct"/>
          </w:tcPr>
          <w:p w14:paraId="06D251BF" w14:textId="77777777" w:rsidR="00675741" w:rsidRPr="00531A24" w:rsidRDefault="00675741" w:rsidP="00735B20"/>
        </w:tc>
        <w:tc>
          <w:tcPr>
            <w:tcW w:w="3750" w:type="pct"/>
          </w:tcPr>
          <w:p w14:paraId="4D96C57B" w14:textId="77777777" w:rsidR="00675741" w:rsidRPr="00531A24" w:rsidRDefault="00675741" w:rsidP="00735B20">
            <w:pPr>
              <w:pStyle w:val="Equation"/>
            </w:pPr>
            <m:oMathPara>
              <m:oMath>
                <m:r>
                  <m:rPr>
                    <m:sty m:val="p"/>
                  </m:rPr>
                  <w:rPr>
                    <w:rFonts w:ascii="Cambria Math" w:hAnsi="Cambria Math"/>
                  </w:rPr>
                  <m:t>J=-</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m</m:t>
                    </m:r>
                  </m:sub>
                </m:sSub>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v</m:t>
                        </m:r>
                      </m:sub>
                    </m:sSub>
                  </m:num>
                  <m:den>
                    <m:r>
                      <m:rPr>
                        <m:sty m:val="p"/>
                      </m:rPr>
                      <w:rPr>
                        <w:rFonts w:ascii="Cambria Math" w:hAnsi="Cambria Math"/>
                      </w:rPr>
                      <m:t>δx</m:t>
                    </m:r>
                  </m:den>
                </m:f>
              </m:oMath>
            </m:oMathPara>
          </w:p>
        </w:tc>
        <w:tc>
          <w:tcPr>
            <w:tcW w:w="750" w:type="pct"/>
          </w:tcPr>
          <w:p w14:paraId="2C22E942" w14:textId="77777777" w:rsidR="00675741" w:rsidRPr="00531A24" w:rsidRDefault="00675741" w:rsidP="00735B20">
            <w:pPr>
              <w:jc w:val="right"/>
              <w:rPr>
                <w:sz w:val="20"/>
              </w:rPr>
            </w:pPr>
            <w:r w:rsidRPr="00531A24">
              <w:rPr>
                <w:sz w:val="20"/>
              </w:rPr>
              <w:t xml:space="preserve"> (10)</w:t>
            </w:r>
          </w:p>
        </w:tc>
      </w:tr>
    </w:tbl>
    <w:p w14:paraId="16862220" w14:textId="77777777" w:rsidR="00675741" w:rsidRPr="00531A24" w:rsidRDefault="00675741" w:rsidP="00675741">
      <w:pPr>
        <w:pStyle w:val="Paragraph"/>
      </w:pPr>
    </w:p>
    <w:p w14:paraId="32D7F5CD" w14:textId="77777777" w:rsidR="00675741" w:rsidRPr="00531A24" w:rsidRDefault="00675741" w:rsidP="00675741">
      <w:pPr>
        <w:pStyle w:val="Paragraph"/>
      </w:pPr>
      <w:r w:rsidRPr="00531A24">
        <w:t xml:space="preserve">With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020"/>
        <w:gridCol w:w="1404"/>
      </w:tblGrid>
      <w:tr w:rsidR="00675741" w:rsidRPr="00531A24" w14:paraId="05C83941" w14:textId="77777777" w:rsidTr="00735B20">
        <w:tc>
          <w:tcPr>
            <w:tcW w:w="500" w:type="pct"/>
          </w:tcPr>
          <w:p w14:paraId="21FD7A96" w14:textId="77777777" w:rsidR="00675741" w:rsidRPr="00531A24" w:rsidRDefault="00675741" w:rsidP="00735B20"/>
        </w:tc>
        <w:tc>
          <w:tcPr>
            <w:tcW w:w="3750" w:type="pct"/>
          </w:tcPr>
          <w:p w14:paraId="1454A06A" w14:textId="77777777" w:rsidR="00675741" w:rsidRPr="00531A24" w:rsidRDefault="00675741" w:rsidP="00735B20">
            <w:pPr>
              <w:pStyle w:val="Equation"/>
            </w:pPr>
            <m:oMathPara>
              <m:oMath>
                <m:r>
                  <m:rPr>
                    <m:sty m:val="p"/>
                  </m:rPr>
                  <w:rPr>
                    <w:rFonts w:ascii="Cambria Math" w:hAnsi="Cambria Math"/>
                  </w:rPr>
                  <m:t>φ=</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v</m:t>
                        </m:r>
                      </m:sub>
                    </m:sSub>
                  </m:num>
                  <m:den>
                    <m:sSub>
                      <m:sSubPr>
                        <m:ctrlPr>
                          <w:rPr>
                            <w:rFonts w:ascii="Cambria Math" w:hAnsi="Cambria Math"/>
                          </w:rPr>
                        </m:ctrlPr>
                      </m:sSubPr>
                      <m:e>
                        <m:r>
                          <m:rPr>
                            <m:sty m:val="p"/>
                          </m:rPr>
                          <w:rPr>
                            <w:rFonts w:ascii="Cambria Math" w:hAnsi="Cambria Math"/>
                          </w:rPr>
                          <m:t>P</m:t>
                        </m:r>
                      </m:e>
                      <m:sub>
                        <m:r>
                          <m:rPr>
                            <m:sty m:val="p"/>
                          </m:rPr>
                          <w:rPr>
                            <w:rFonts w:ascii="Cambria Math" w:hAnsi="Cambria Math"/>
                          </w:rPr>
                          <m:t>s</m:t>
                        </m:r>
                      </m:sub>
                    </m:sSub>
                  </m:den>
                </m:f>
              </m:oMath>
            </m:oMathPara>
          </w:p>
        </w:tc>
        <w:tc>
          <w:tcPr>
            <w:tcW w:w="750" w:type="pct"/>
          </w:tcPr>
          <w:p w14:paraId="0D9AC6C5" w14:textId="77777777" w:rsidR="00675741" w:rsidRPr="00531A24" w:rsidRDefault="00675741" w:rsidP="00735B20">
            <w:pPr>
              <w:jc w:val="right"/>
              <w:rPr>
                <w:sz w:val="20"/>
              </w:rPr>
            </w:pPr>
            <w:r w:rsidRPr="00531A24">
              <w:rPr>
                <w:sz w:val="20"/>
              </w:rPr>
              <w:t xml:space="preserve"> (11)</w:t>
            </w:r>
          </w:p>
        </w:tc>
      </w:tr>
    </w:tbl>
    <w:p w14:paraId="6D49233D" w14:textId="77777777" w:rsidR="00675741" w:rsidRPr="00531A24" w:rsidRDefault="00675741" w:rsidP="00675741">
      <w:pPr>
        <w:rPr>
          <w:lang w:eastAsia="de-DE" w:bidi="en-US"/>
        </w:rPr>
      </w:pPr>
    </w:p>
    <w:p w14:paraId="29D9D6F2" w14:textId="77777777" w:rsidR="00675741" w:rsidRPr="00531A24" w:rsidRDefault="00675741" w:rsidP="00675741">
      <w:pPr>
        <w:pStyle w:val="Paragraph"/>
        <w:rPr>
          <w:lang w:eastAsia="de-DE" w:bidi="en-US"/>
        </w:rPr>
      </w:pPr>
      <w:r w:rsidRPr="00531A24">
        <w:rPr>
          <w:lang w:eastAsia="de-DE" w:bidi="en-US"/>
        </w:rPr>
        <w:t>According to the two relations, the diffusion coefficient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020"/>
        <w:gridCol w:w="1404"/>
      </w:tblGrid>
      <w:tr w:rsidR="00675741" w:rsidRPr="00531A24" w14:paraId="3D812DDA" w14:textId="77777777" w:rsidTr="00735B20">
        <w:tc>
          <w:tcPr>
            <w:tcW w:w="500" w:type="pct"/>
          </w:tcPr>
          <w:p w14:paraId="2517B817" w14:textId="77777777" w:rsidR="00675741" w:rsidRPr="00531A24" w:rsidRDefault="00675741" w:rsidP="00735B20"/>
        </w:tc>
        <w:tc>
          <w:tcPr>
            <w:tcW w:w="3750" w:type="pct"/>
          </w:tcPr>
          <w:p w14:paraId="19FE0A59" w14:textId="77777777" w:rsidR="00675741" w:rsidRPr="00531A24" w:rsidRDefault="006A79D5" w:rsidP="00735B20">
            <w:pPr>
              <w:pStyle w:val="Equation"/>
            </w:pPr>
            <m:oMathPara>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ω</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δ</m:t>
                        </m:r>
                      </m:e>
                      <m:sub>
                        <m:r>
                          <m:rPr>
                            <m:sty m:val="p"/>
                          </m:rPr>
                          <w:rPr>
                            <w:rFonts w:ascii="Cambria Math" w:hAnsi="Cambria Math"/>
                          </w:rPr>
                          <m:t>m</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s</m:t>
                        </m:r>
                      </m:sub>
                    </m:sSub>
                  </m:num>
                  <m:den>
                    <m:f>
                      <m:fPr>
                        <m:ctrlPr>
                          <w:rPr>
                            <w:rFonts w:ascii="Cambria Math" w:hAnsi="Cambria Math"/>
                          </w:rPr>
                        </m:ctrlPr>
                      </m:fPr>
                      <m:num>
                        <m:r>
                          <m:rPr>
                            <m:sty m:val="p"/>
                          </m:rPr>
                          <w:rPr>
                            <w:rFonts w:ascii="Cambria Math" w:hAnsi="Cambria Math"/>
                          </w:rPr>
                          <m:t>∂ω</m:t>
                        </m:r>
                      </m:num>
                      <m:den>
                        <m:r>
                          <m:rPr>
                            <m:sty m:val="p"/>
                          </m:rPr>
                          <w:rPr>
                            <w:rFonts w:ascii="Cambria Math" w:hAnsi="Cambria Math"/>
                          </w:rPr>
                          <m:t>∂φ</m:t>
                        </m:r>
                      </m:den>
                    </m:f>
                  </m:den>
                </m:f>
              </m:oMath>
            </m:oMathPara>
          </w:p>
        </w:tc>
        <w:tc>
          <w:tcPr>
            <w:tcW w:w="750" w:type="pct"/>
          </w:tcPr>
          <w:p w14:paraId="41DFB074" w14:textId="77777777" w:rsidR="00675741" w:rsidRPr="00531A24" w:rsidRDefault="00675741" w:rsidP="00735B20">
            <w:pPr>
              <w:jc w:val="right"/>
              <w:rPr>
                <w:sz w:val="20"/>
              </w:rPr>
            </w:pPr>
            <w:r w:rsidRPr="00531A24">
              <w:rPr>
                <w:sz w:val="20"/>
              </w:rPr>
              <w:t xml:space="preserve"> (12)</w:t>
            </w:r>
          </w:p>
        </w:tc>
      </w:tr>
    </w:tbl>
    <w:p w14:paraId="5224975B" w14:textId="77777777" w:rsidR="00675741" w:rsidRDefault="00675741" w:rsidP="00C242B5">
      <w:pPr>
        <w:pStyle w:val="Heading1"/>
      </w:pPr>
    </w:p>
    <w:p w14:paraId="32E3FDA3" w14:textId="74B4AB82" w:rsidR="00C242B5" w:rsidRPr="00531A24" w:rsidRDefault="00C242B5" w:rsidP="00C242B5">
      <w:pPr>
        <w:pStyle w:val="Heading1"/>
      </w:pPr>
      <w:r w:rsidRPr="00531A24">
        <w:t>Results and discussion</w:t>
      </w:r>
    </w:p>
    <w:p w14:paraId="6F86251D" w14:textId="77777777" w:rsidR="00C242B5" w:rsidRPr="00531A24" w:rsidRDefault="00C242B5" w:rsidP="00C242B5">
      <w:pPr>
        <w:pStyle w:val="Heading2"/>
      </w:pPr>
      <w:r w:rsidRPr="00531A24">
        <w:t>Effect of Humidity and Temperature on cob Porosity</w:t>
      </w:r>
    </w:p>
    <w:p w14:paraId="084AADA5" w14:textId="4016F550" w:rsidR="00C242B5" w:rsidRPr="00531A24" w:rsidRDefault="00C242B5" w:rsidP="008059A1">
      <w:pPr>
        <w:pStyle w:val="Paragraph"/>
        <w:rPr>
          <w:lang w:eastAsia="de-DE" w:bidi="en-US"/>
        </w:rPr>
      </w:pPr>
      <w:r w:rsidRPr="00531A24">
        <w:rPr>
          <w:lang w:eastAsia="de-DE" w:bidi="en-US"/>
        </w:rPr>
        <w:t xml:space="preserve">Open porosity, also known as effective porosity </w:t>
      </w:r>
      <w:r w:rsidRPr="00531A24">
        <w:rPr>
          <w:lang w:eastAsia="de-DE" w:bidi="en-US"/>
        </w:rPr>
        <w:fldChar w:fldCharType="begin"/>
      </w:r>
      <w:r w:rsidR="008059A1">
        <w:rPr>
          <w:lang w:eastAsia="de-DE" w:bidi="en-US"/>
        </w:rPr>
        <w:instrText xml:space="preserve"> ADDIN ZOTERO_ITEM CSL_CITATION {"citationID":"riNXfxa7","properties":{"formattedCitation":"[13]","plainCitation":"[13]","noteIndex":0},"citationItems":[{"id":875,"uris":["http://zotero.org/users/10618926/items/8MLJQUYX"],"itemData":{"id":875,"type":"book","publisher":"Academic press","source":"Google Scholar","title":"Porous media: fluid transport and pore structure","title-short":"Porous media","author":[{"family":"Dullien","given":"Francis AL"}],"issued":{"date-parts":[["2012"]]}}}],"schema":"https://github.com/citation-style-language/schema/raw/master/csl-citation.json"} </w:instrText>
      </w:r>
      <w:r w:rsidRPr="00531A24">
        <w:rPr>
          <w:lang w:eastAsia="de-DE" w:bidi="en-US"/>
        </w:rPr>
        <w:fldChar w:fldCharType="separate"/>
      </w:r>
      <w:r w:rsidR="008059A1" w:rsidRPr="008059A1">
        <w:rPr>
          <w:rFonts w:ascii="Calibri" w:hAnsi="Calibri" w:cs="Calibri"/>
        </w:rPr>
        <w:t>[13]</w:t>
      </w:r>
      <w:r w:rsidRPr="00531A24">
        <w:rPr>
          <w:lang w:eastAsia="de-DE" w:bidi="en-US"/>
        </w:rPr>
        <w:fldChar w:fldCharType="end"/>
      </w:r>
      <w:r w:rsidRPr="00531A24">
        <w:rPr>
          <w:lang w:eastAsia="de-DE" w:bidi="en-US"/>
        </w:rPr>
        <w:t xml:space="preserve">, is the amount of empty space accessible from the volume of a material. It is measured as the fraction of the total volume occupied by open pores and can influence the material's physical and mechanical properties. Saturation of the sample occurs when all the pores in the material are filled with water, enabling open porosity to be calculated using the saturation mass water content value </w:t>
      </w:r>
      <w:r w:rsidRPr="00531A24">
        <w:rPr>
          <w:lang w:eastAsia="de-DE" w:bidi="en-US"/>
        </w:rPr>
        <w:fldChar w:fldCharType="begin"/>
      </w:r>
      <w:r w:rsidR="008059A1">
        <w:rPr>
          <w:lang w:eastAsia="de-DE" w:bidi="en-US"/>
        </w:rPr>
        <w:instrText xml:space="preserve"> ADDIN ZOTERO_ITEM CSL_CITATION {"citationID":"Mt5NLMl1","properties":{"formattedCitation":"[14], [15]","plainCitation":"[14], [15]","noteIndex":0},"citationItems":[{"id":878,"uris":["http://zotero.org/users/10618926/items/LAFQP3ZP"],"itemData":{"id":878,"type":"article-journal","abstract":"Abstract\n            Water is one of the key deterioration factors for porous building materials and has the capability of enhancing the deleterious effect of other factors such as air pollution and biocolonization, among others. The focus of the paper is the interaction of water with the porous inorganic materials: how does water enter the pore system, and how does it leave it? How does the presence of clays or soluble salts in porous materials affect these mechanisms? Pairwise examples are provided to illustrate the varying behavior of water in different materials. Also addressed is the importance of the pore size distribution on the behavior of water and its transport mechanisms. The aim of the paper is to synthesize the key points required to understand why water enters a porous system, in what way it is distributed within it, and the slow manner in which it departs, since time of wetness is fundamental in enhancing the effect of co-factors.","container-title":"Restoration of Buildings and Monuments","DOI":"10.1515/rbm-2015-2006","ISSN":"1864-7251, 1864-7022","issue":"2-3","page":"55-65","source":"DOI.org (Crossref)","title":"An Overview of the Water-Porous Building Materials Interactions","volume":"21","author":[{"family":"Charola","given":"A. Elena"},{"family":"Wendler","given":"Eberhard"}],"issued":{"date-parts":[["2015",6,1]]}}},{"id":876,"uris":["http://zotero.org/users/10618926/items/QYLJUJBP"],"itemData":{"id":876,"type":"article-journal","container-title":"Bulletin of the Polish Academy of Sciences. Technical Sciences","issue":"4","source":"Google Scholar","title":"Open porosity of cement pastes and their gas permeability","volume":"64","author":[{"family":"Tracz","given":"Tomasz"}],"issued":{"date-parts":[["2016"]]}}}],"schema":"https://github.com/citation-style-language/schema/raw/master/csl-citation.json"} </w:instrText>
      </w:r>
      <w:r w:rsidRPr="00531A24">
        <w:rPr>
          <w:lang w:eastAsia="de-DE" w:bidi="en-US"/>
        </w:rPr>
        <w:fldChar w:fldCharType="separate"/>
      </w:r>
      <w:r w:rsidR="008059A1" w:rsidRPr="008059A1">
        <w:rPr>
          <w:rFonts w:ascii="Calibri" w:hAnsi="Calibri" w:cs="Calibri"/>
        </w:rPr>
        <w:t>[14], [15]</w:t>
      </w:r>
      <w:r w:rsidRPr="00531A24">
        <w:rPr>
          <w:lang w:eastAsia="de-DE" w:bidi="en-US"/>
        </w:rPr>
        <w:fldChar w:fldCharType="end"/>
      </w:r>
      <w:r w:rsidRPr="00531A24">
        <w:rPr>
          <w:lang w:eastAsia="de-DE" w:bidi="en-US"/>
        </w:rPr>
        <w:t>.</w:t>
      </w:r>
    </w:p>
    <w:p w14:paraId="4A1E828F" w14:textId="77777777" w:rsidR="001F642E" w:rsidRPr="00531A24" w:rsidRDefault="001F642E" w:rsidP="00C242B5">
      <w:pPr>
        <w:pStyle w:val="Paragraph"/>
        <w:rPr>
          <w:lang w:eastAsia="de-DE" w:bidi="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56"/>
        <w:gridCol w:w="842"/>
      </w:tblGrid>
      <w:tr w:rsidR="00C242B5" w:rsidRPr="00531A24" w14:paraId="151291A1" w14:textId="77777777" w:rsidTr="00F46DD7">
        <w:tc>
          <w:tcPr>
            <w:tcW w:w="300" w:type="pct"/>
          </w:tcPr>
          <w:p w14:paraId="33F439D5" w14:textId="77777777" w:rsidR="00C242B5" w:rsidRPr="00531A24" w:rsidRDefault="00C242B5" w:rsidP="00F46DD7"/>
        </w:tc>
        <w:tc>
          <w:tcPr>
            <w:tcW w:w="4250" w:type="pct"/>
          </w:tcPr>
          <w:p w14:paraId="3B5B5E45" w14:textId="77777777" w:rsidR="00C242B5" w:rsidRPr="00531A24" w:rsidRDefault="006A79D5" w:rsidP="00C242B5">
            <w:pPr>
              <w:pStyle w:val="Equation"/>
            </w:pPr>
            <m:oMathPara>
              <m:oMath>
                <m:sSub>
                  <m:sSubPr>
                    <m:ctrlPr>
                      <w:rPr>
                        <w:rFonts w:ascii="Cambria Math" w:hAnsi="Cambria Math"/>
                      </w:rPr>
                    </m:ctrlPr>
                  </m:sSubPr>
                  <m:e>
                    <m:r>
                      <w:rPr>
                        <w:rFonts w:ascii="Cambria Math" w:hAnsi="Cambria Math"/>
                      </w:rPr>
                      <m:t>ε</m:t>
                    </m:r>
                  </m:e>
                  <m:sub>
                    <m:r>
                      <w:rPr>
                        <w:rFonts w:ascii="Cambria Math" w:hAnsi="Cambria Math"/>
                      </w:rPr>
                      <m:t>o</m:t>
                    </m:r>
                  </m:sub>
                </m:sSub>
                <m:d>
                  <m:dPr>
                    <m:ctrlPr>
                      <w:rPr>
                        <w:rFonts w:ascii="Cambria Math" w:hAnsi="Cambria Math"/>
                      </w:rPr>
                    </m:ctrlPr>
                  </m:dPr>
                  <m:e>
                    <m:r>
                      <m:rPr>
                        <m:sty m:val="p"/>
                      </m:rPr>
                      <w:rPr>
                        <w:rFonts w:ascii="Cambria Math" w:hAnsi="Cambria Math"/>
                      </w:rPr>
                      <m:t>%</m:t>
                    </m:r>
                  </m:e>
                </m:d>
                <m:r>
                  <m:rPr>
                    <m:sty m:val="p"/>
                  </m:rPr>
                  <w:rPr>
                    <w:rFonts w:ascii="Cambria Math" w:hAnsi="Cambria Math"/>
                  </w:rPr>
                  <m:t>=</m:t>
                </m:r>
                <m:r>
                  <w:rPr>
                    <w:rFonts w:ascii="Cambria Math" w:hAnsi="Cambria Math"/>
                  </w:rPr>
                  <m:t>W</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M</m:t>
                        </m:r>
                      </m:sub>
                    </m:sSub>
                  </m:num>
                  <m:den>
                    <m:sSub>
                      <m:sSubPr>
                        <m:ctrlPr>
                          <w:rPr>
                            <w:rFonts w:ascii="Cambria Math" w:hAnsi="Cambria Math"/>
                          </w:rPr>
                        </m:ctrlPr>
                      </m:sSubPr>
                      <m:e>
                        <m:r>
                          <w:rPr>
                            <w:rFonts w:ascii="Cambria Math" w:hAnsi="Cambria Math"/>
                          </w:rPr>
                          <m:t>ρ</m:t>
                        </m:r>
                      </m:e>
                      <m:sub>
                        <m:r>
                          <w:rPr>
                            <w:rFonts w:ascii="Cambria Math" w:hAnsi="Cambria Math"/>
                          </w:rPr>
                          <m:t>l</m:t>
                        </m:r>
                      </m:sub>
                    </m:sSub>
                  </m:den>
                </m:f>
              </m:oMath>
            </m:oMathPara>
          </w:p>
        </w:tc>
        <w:tc>
          <w:tcPr>
            <w:tcW w:w="450" w:type="pct"/>
          </w:tcPr>
          <w:p w14:paraId="3B3C5841" w14:textId="77777777" w:rsidR="00C242B5" w:rsidRPr="00531A24" w:rsidRDefault="00C242B5" w:rsidP="00F46DD7">
            <w:pPr>
              <w:pStyle w:val="Caption"/>
              <w:spacing w:line="360" w:lineRule="auto"/>
              <w:jc w:val="right"/>
              <w:rPr>
                <w:rFonts w:ascii="Times New Roman" w:hAnsi="Times New Roman" w:cs="Times New Roman"/>
                <w:i w:val="0"/>
                <w:iCs w:val="0"/>
                <w:color w:val="auto"/>
                <w:sz w:val="20"/>
                <w:szCs w:val="20"/>
                <w:lang w:val="en-US"/>
              </w:rPr>
            </w:pPr>
            <w:r w:rsidRPr="00531A24">
              <w:rPr>
                <w:rFonts w:ascii="Times New Roman" w:hAnsi="Times New Roman" w:cs="Times New Roman"/>
                <w:i w:val="0"/>
                <w:iCs w:val="0"/>
                <w:color w:val="auto"/>
                <w:sz w:val="20"/>
                <w:szCs w:val="20"/>
                <w:lang w:val="en-US"/>
              </w:rPr>
              <w:t>(5)</w:t>
            </w:r>
          </w:p>
        </w:tc>
      </w:tr>
    </w:tbl>
    <w:p w14:paraId="04698311" w14:textId="77777777" w:rsidR="00C242B5" w:rsidRPr="00531A24" w:rsidRDefault="00C242B5" w:rsidP="00C242B5">
      <w:pPr>
        <w:rPr>
          <w:lang w:eastAsia="de-DE" w:bidi="en-US"/>
        </w:rPr>
      </w:pPr>
    </w:p>
    <w:p w14:paraId="5ED5D1C8" w14:textId="77777777" w:rsidR="00C242B5" w:rsidRPr="00531A24" w:rsidRDefault="00C242B5" w:rsidP="00C242B5">
      <w:pPr>
        <w:pStyle w:val="Paragraph"/>
        <w:rPr>
          <w:lang w:eastAsia="de-DE" w:bidi="en-US"/>
        </w:rPr>
      </w:pPr>
      <w:r w:rsidRPr="00531A24">
        <w:rPr>
          <w:lang w:eastAsia="de-DE" w:bidi="en-US"/>
        </w:rPr>
        <w:t>W: Saturation water content by mass.</w:t>
      </w:r>
    </w:p>
    <w:p w14:paraId="4BDDBEBF" w14:textId="77777777" w:rsidR="00C242B5" w:rsidRPr="00531A24" w:rsidRDefault="006A79D5" w:rsidP="00C242B5">
      <w:pPr>
        <w:pStyle w:val="Paragraph"/>
        <w:rPr>
          <w:lang w:eastAsia="de-DE" w:bidi="en-US"/>
        </w:rPr>
      </w:pPr>
      <m:oMath>
        <m:sSub>
          <m:sSubPr>
            <m:ctrlPr>
              <w:rPr>
                <w:rFonts w:ascii="Cambria Math" w:hAnsi="Cambria Math"/>
              </w:rPr>
            </m:ctrlPr>
          </m:sSubPr>
          <m:e>
            <m:r>
              <w:rPr>
                <w:rFonts w:ascii="Cambria Math" w:hAnsi="Cambria Math"/>
              </w:rPr>
              <m:t>ρ</m:t>
            </m:r>
          </m:e>
          <m:sub>
            <m:r>
              <w:rPr>
                <w:rFonts w:ascii="Cambria Math" w:hAnsi="Cambria Math"/>
              </w:rPr>
              <m:t>M</m:t>
            </m:r>
          </m:sub>
        </m:sSub>
      </m:oMath>
      <w:r w:rsidR="00C242B5" w:rsidRPr="00531A24">
        <w:rPr>
          <w:lang w:eastAsia="de-DE" w:bidi="en-US"/>
        </w:rPr>
        <w:t>: Dry bulk density.</w:t>
      </w:r>
    </w:p>
    <w:p w14:paraId="14EB7E1B" w14:textId="77777777" w:rsidR="00C242B5" w:rsidRPr="00531A24" w:rsidRDefault="006A79D5" w:rsidP="00C242B5">
      <w:pPr>
        <w:pStyle w:val="Paragraph"/>
        <w:rPr>
          <w:lang w:eastAsia="de-DE" w:bidi="en-US"/>
        </w:rPr>
      </w:pPr>
      <m:oMath>
        <m:sSub>
          <m:sSubPr>
            <m:ctrlPr>
              <w:rPr>
                <w:rFonts w:ascii="Cambria Math" w:hAnsi="Cambria Math"/>
              </w:rPr>
            </m:ctrlPr>
          </m:sSubPr>
          <m:e>
            <m:r>
              <w:rPr>
                <w:rFonts w:ascii="Cambria Math" w:hAnsi="Cambria Math"/>
              </w:rPr>
              <m:t>ρ</m:t>
            </m:r>
          </m:e>
          <m:sub>
            <m:r>
              <w:rPr>
                <w:rFonts w:ascii="Cambria Math" w:hAnsi="Cambria Math"/>
              </w:rPr>
              <m:t>l</m:t>
            </m:r>
          </m:sub>
        </m:sSub>
      </m:oMath>
      <w:r w:rsidR="00C242B5" w:rsidRPr="00531A24">
        <w:rPr>
          <w:lang w:eastAsia="de-DE" w:bidi="en-US"/>
        </w:rPr>
        <w:t>: Density of liquid water.</w:t>
      </w:r>
    </w:p>
    <w:p w14:paraId="453EDB39" w14:textId="448BBE7E" w:rsidR="001F642E" w:rsidRPr="00531A24" w:rsidRDefault="00C242B5" w:rsidP="00665E5B">
      <w:pPr>
        <w:pStyle w:val="Paragraph"/>
      </w:pPr>
      <w:r w:rsidRPr="00531A24">
        <w:t xml:space="preserve">Regarding the water content of the cob material, it is investigated by Taouirte et al. </w:t>
      </w:r>
      <w:r w:rsidRPr="00531A24">
        <w:fldChar w:fldCharType="begin"/>
      </w:r>
      <w:r w:rsidR="00665E5B" w:rsidRPr="00531A24">
        <w:instrText xml:space="preserve"> ADDIN ZOTERO_ITEM CSL_CITATION {"citationID":"WmgzRCMr","properties":{"formattedCitation":"[5]","plainCitation":"[5]","noteIndex":0},"citationItems":[{"id":600,"uris":["http://zotero.org/users/10618926/items/SPAGCMUJ"],"itemData":{"id":600,"type":"article-journal","abstract":"This paper highlights the impact of environmental conditions on cob buildings. Different factors such as wall thickness, material permeability and interactions between moisture and heat fluxes can all have significant effects on the performance and durability of cob buildings. An experimental and modeling-based study was conducted on the hygrothermal characterization of cob building materials, which were obtained by mixing earth and fibers. Two types of cob materials that can be used as insulation and to form structural materials in buildings were tested. The effect of outside temperature on adsorption isotherms was investigated for both materials. The experimental data were fitted using the GAB model, after which a new correlation of water content correlation was proposed. Three specific configurations were investigated in which cob material was subjected to moisture transfer and a zero, positive or negative temperature gradient. Based on the resulting measurements, a high coupling effect between heat and moisture transfer inside the structural material was analyzed. A comparison of the experimental and modeling results demonstrated the satisfactory correlation and reliability of the developed model. Simulations were carried out for various wall thicknesses, in order to assess the effect of heat and moisture transfer on water content. The three scenarios were simulated and distributions of water content inside the walls were determined. The results show that the wall thickness of cob buildings and the direction of heat and moisture fluxes affect water content distribution in the structure. A greater thickness of the cob wall leads to higher water content, but this relationship reverses when the heat and moisture fluxes move in the same direction.","container-title":"Energies","ISSN":"1996-1073","issue":"14","language":"en","license":"http://creativecommons.org/licenses/by/3.0/","note":"number: 14\npublisher: Multidisciplinary Digital Publishing Institute","page":"5526","source":"www.mdpi.com","title":"Effect of Temperature on Moisture Migration in Earth and Fiber Mixtures for Cob Materials","volume":"16","author":[{"family":"Taouirte","given":"Yousra"},{"family":"Tiffonnet","given":"Anne-Lise"},{"family":"Marion","given":"Michael"},{"family":"Louahlia","given":"Hasna"},{"family":"El Alami","given":"Mustapha"},{"family":"Ayoub Gounni","given":""}],"issued":{"date-parts":[["2023",1]]}}}],"schema":"https://github.com/citation-style-language/schema/raw/master/csl-citation.json"} </w:instrText>
      </w:r>
      <w:r w:rsidRPr="00531A24">
        <w:fldChar w:fldCharType="separate"/>
      </w:r>
      <w:r w:rsidR="00665E5B" w:rsidRPr="00531A24">
        <w:rPr>
          <w:rFonts w:ascii="Calibri" w:hAnsi="Calibri" w:cs="Calibri"/>
        </w:rPr>
        <w:t>[5]</w:t>
      </w:r>
      <w:r w:rsidRPr="00531A24">
        <w:fldChar w:fldCharType="end"/>
      </w:r>
      <w:r w:rsidRPr="00531A24">
        <w:t xml:space="preserve"> at two specific temperatures, 23°C and 30°C. The experimental measurements were adjusted using the GAB model, which allows for modeling the variations in water content based on relative humidity. As a result, the following equations were derived: (1) the water content of the cob at 23°C, and (2) the water content at 30°C.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56"/>
        <w:gridCol w:w="842"/>
      </w:tblGrid>
      <w:tr w:rsidR="00C242B5" w:rsidRPr="00531A24" w14:paraId="223D6A1B" w14:textId="77777777" w:rsidTr="00F46DD7">
        <w:tc>
          <w:tcPr>
            <w:tcW w:w="300" w:type="pct"/>
          </w:tcPr>
          <w:p w14:paraId="37CF0F0E" w14:textId="77777777" w:rsidR="00C242B5" w:rsidRPr="00531A24" w:rsidRDefault="00C242B5" w:rsidP="00F46DD7"/>
        </w:tc>
        <w:tc>
          <w:tcPr>
            <w:tcW w:w="4250" w:type="pct"/>
          </w:tcPr>
          <w:p w14:paraId="1D8154B2" w14:textId="77777777" w:rsidR="00C242B5" w:rsidRPr="00531A24" w:rsidRDefault="00C242B5" w:rsidP="00C242B5">
            <w:pPr>
              <w:pStyle w:val="Equation"/>
              <w:rPr>
                <w:rFonts w:asciiTheme="minorHAnsi" w:hAnsiTheme="minorHAnsi"/>
                <w:kern w:val="2"/>
                <w:lang w:eastAsia="de-DE" w:bidi="en-US"/>
              </w:rPr>
            </w:pPr>
            <m:oMathPara>
              <m:oMath>
                <m:r>
                  <w:rPr>
                    <w:rFonts w:ascii="Cambria Math" w:hAnsi="Cambria Math"/>
                    <w:lang w:eastAsia="de-DE" w:bidi="en-US"/>
                  </w:rPr>
                  <m:t>W</m:t>
                </m:r>
                <m:r>
                  <m:rPr>
                    <m:sty m:val="p"/>
                  </m:rPr>
                  <w:rPr>
                    <w:rFonts w:ascii="Cambria Math" w:hAnsi="Cambria Math"/>
                    <w:lang w:eastAsia="de-DE" w:bidi="en-US"/>
                  </w:rPr>
                  <m:t>(</m:t>
                </m:r>
                <m:r>
                  <w:rPr>
                    <w:rFonts w:ascii="Cambria Math" w:hAnsi="Cambria Math"/>
                    <w:lang w:eastAsia="de-DE" w:bidi="en-US"/>
                  </w:rPr>
                  <m:t>φ</m:t>
                </m:r>
                <m:r>
                  <m:rPr>
                    <m:sty m:val="p"/>
                  </m:rPr>
                  <w:rPr>
                    <w:rFonts w:ascii="Cambria Math" w:hAnsi="Cambria Math"/>
                    <w:lang w:eastAsia="de-DE" w:bidi="en-US"/>
                  </w:rPr>
                  <m:t>)= </m:t>
                </m:r>
                <m:f>
                  <m:fPr>
                    <m:ctrlPr>
                      <w:rPr>
                        <w:rFonts w:ascii="Cambria Math" w:hAnsi="Cambria Math"/>
                        <w:iCs/>
                        <w:lang w:eastAsia="de-DE" w:bidi="en-US"/>
                      </w:rPr>
                    </m:ctrlPr>
                  </m:fPr>
                  <m:num>
                    <m:r>
                      <m:rPr>
                        <m:sty m:val="p"/>
                      </m:rPr>
                      <w:rPr>
                        <w:rFonts w:ascii="Cambria Math" w:hAnsi="Cambria Math"/>
                        <w:lang w:eastAsia="de-DE" w:bidi="en-US"/>
                      </w:rPr>
                      <m:t>0.196 </m:t>
                    </m:r>
                    <m:r>
                      <w:rPr>
                        <w:rFonts w:ascii="Cambria Math" w:hAnsi="Cambria Math"/>
                        <w:lang w:eastAsia="de-DE" w:bidi="en-US"/>
                      </w:rPr>
                      <m:t>φ</m:t>
                    </m:r>
                  </m:num>
                  <m:den>
                    <m:d>
                      <m:dPr>
                        <m:ctrlPr>
                          <w:rPr>
                            <w:rFonts w:ascii="Cambria Math" w:hAnsi="Cambria Math"/>
                            <w:iCs/>
                            <w:lang w:eastAsia="de-DE" w:bidi="en-US"/>
                          </w:rPr>
                        </m:ctrlPr>
                      </m:dPr>
                      <m:e>
                        <m:r>
                          <m:rPr>
                            <m:sty m:val="p"/>
                          </m:rPr>
                          <w:rPr>
                            <w:rFonts w:ascii="Cambria Math" w:hAnsi="Cambria Math"/>
                            <w:lang w:eastAsia="de-DE" w:bidi="en-US"/>
                          </w:rPr>
                          <m:t>1-0.802 </m:t>
                        </m:r>
                        <m:r>
                          <w:rPr>
                            <w:rFonts w:ascii="Cambria Math" w:hAnsi="Cambria Math"/>
                            <w:lang w:eastAsia="de-DE" w:bidi="en-US"/>
                          </w:rPr>
                          <m:t>φ</m:t>
                        </m:r>
                      </m:e>
                    </m:d>
                    <m:d>
                      <m:dPr>
                        <m:ctrlPr>
                          <w:rPr>
                            <w:rFonts w:ascii="Cambria Math" w:hAnsi="Cambria Math"/>
                            <w:iCs/>
                            <w:lang w:eastAsia="de-DE" w:bidi="en-US"/>
                          </w:rPr>
                        </m:ctrlPr>
                      </m:dPr>
                      <m:e>
                        <m:r>
                          <m:rPr>
                            <m:sty m:val="p"/>
                          </m:rPr>
                          <w:rPr>
                            <w:rFonts w:ascii="Cambria Math" w:hAnsi="Cambria Math"/>
                            <w:lang w:eastAsia="de-DE" w:bidi="en-US"/>
                          </w:rPr>
                          <m:t>1+2.47 </m:t>
                        </m:r>
                        <m:r>
                          <w:rPr>
                            <w:rFonts w:ascii="Cambria Math" w:hAnsi="Cambria Math"/>
                            <w:lang w:eastAsia="de-DE" w:bidi="en-US"/>
                          </w:rPr>
                          <m:t>φ</m:t>
                        </m:r>
                      </m:e>
                    </m:d>
                  </m:den>
                </m:f>
              </m:oMath>
            </m:oMathPara>
          </w:p>
        </w:tc>
        <w:tc>
          <w:tcPr>
            <w:tcW w:w="450" w:type="pct"/>
          </w:tcPr>
          <w:p w14:paraId="059AE485" w14:textId="77777777" w:rsidR="00C242B5" w:rsidRPr="00531A24" w:rsidRDefault="00C242B5" w:rsidP="00F46DD7">
            <w:pPr>
              <w:pStyle w:val="Caption"/>
              <w:spacing w:line="360" w:lineRule="auto"/>
              <w:jc w:val="right"/>
              <w:rPr>
                <w:rFonts w:ascii="Times New Roman" w:hAnsi="Times New Roman" w:cs="Times New Roman"/>
                <w:i w:val="0"/>
                <w:iCs w:val="0"/>
                <w:color w:val="auto"/>
                <w:sz w:val="20"/>
                <w:szCs w:val="20"/>
                <w:lang w:val="en-US"/>
              </w:rPr>
            </w:pPr>
            <w:r w:rsidRPr="00531A24">
              <w:rPr>
                <w:rFonts w:ascii="Times New Roman" w:hAnsi="Times New Roman" w:cs="Times New Roman"/>
                <w:i w:val="0"/>
                <w:iCs w:val="0"/>
                <w:color w:val="auto"/>
                <w:sz w:val="20"/>
                <w:szCs w:val="20"/>
                <w:lang w:val="en-US"/>
              </w:rPr>
              <w:t>(6)</w:t>
            </w:r>
          </w:p>
        </w:tc>
      </w:tr>
    </w:tbl>
    <w:p w14:paraId="291C5298" w14:textId="77777777" w:rsidR="00C242B5" w:rsidRPr="00531A24" w:rsidRDefault="00C242B5" w:rsidP="00C242B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956"/>
        <w:gridCol w:w="842"/>
      </w:tblGrid>
      <w:tr w:rsidR="00C242B5" w:rsidRPr="00531A24" w14:paraId="2F6C5089" w14:textId="77777777" w:rsidTr="00F46DD7">
        <w:tc>
          <w:tcPr>
            <w:tcW w:w="300" w:type="pct"/>
          </w:tcPr>
          <w:p w14:paraId="3E996151" w14:textId="77777777" w:rsidR="00C242B5" w:rsidRPr="00531A24" w:rsidRDefault="00C242B5" w:rsidP="00F46DD7"/>
        </w:tc>
        <w:tc>
          <w:tcPr>
            <w:tcW w:w="4250" w:type="pct"/>
          </w:tcPr>
          <w:p w14:paraId="1D3740F0" w14:textId="77777777" w:rsidR="00C242B5" w:rsidRPr="00531A24" w:rsidRDefault="00C242B5" w:rsidP="00C242B5">
            <w:pPr>
              <w:pStyle w:val="Equation"/>
              <w:rPr>
                <w:iCs/>
                <w:lang w:eastAsia="de-DE" w:bidi="en-US"/>
              </w:rPr>
            </w:pPr>
            <m:oMathPara>
              <m:oMath>
                <m:r>
                  <w:rPr>
                    <w:rFonts w:ascii="Cambria Math" w:hAnsi="Cambria Math"/>
                    <w:lang w:eastAsia="de-DE" w:bidi="en-US"/>
                  </w:rPr>
                  <m:t>W</m:t>
                </m:r>
                <m:r>
                  <m:rPr>
                    <m:sty m:val="p"/>
                  </m:rPr>
                  <w:rPr>
                    <w:rFonts w:ascii="Cambria Math" w:hAnsi="Cambria Math"/>
                    <w:lang w:eastAsia="de-DE" w:bidi="en-US"/>
                  </w:rPr>
                  <m:t>(</m:t>
                </m:r>
                <m:r>
                  <w:rPr>
                    <w:rFonts w:ascii="Cambria Math" w:hAnsi="Cambria Math"/>
                    <w:lang w:eastAsia="de-DE" w:bidi="en-US"/>
                  </w:rPr>
                  <m:t>φ</m:t>
                </m:r>
                <m:r>
                  <m:rPr>
                    <m:sty m:val="p"/>
                  </m:rPr>
                  <w:rPr>
                    <w:rFonts w:ascii="Cambria Math" w:hAnsi="Cambria Math"/>
                    <w:lang w:eastAsia="de-DE" w:bidi="en-US"/>
                  </w:rPr>
                  <m:t>)= </m:t>
                </m:r>
                <m:f>
                  <m:fPr>
                    <m:ctrlPr>
                      <w:rPr>
                        <w:rFonts w:ascii="Cambria Math" w:hAnsi="Cambria Math"/>
                        <w:iCs/>
                        <w:lang w:eastAsia="de-DE" w:bidi="en-US"/>
                      </w:rPr>
                    </m:ctrlPr>
                  </m:fPr>
                  <m:num>
                    <m:r>
                      <m:rPr>
                        <m:sty m:val="p"/>
                      </m:rPr>
                      <w:rPr>
                        <w:rFonts w:ascii="Cambria Math" w:hAnsi="Cambria Math"/>
                        <w:lang w:eastAsia="de-DE" w:bidi="en-US"/>
                      </w:rPr>
                      <m:t>0.0021</m:t>
                    </m:r>
                    <m:r>
                      <w:rPr>
                        <w:rFonts w:ascii="Cambria Math" w:hAnsi="Cambria Math"/>
                        <w:lang w:eastAsia="de-DE" w:bidi="en-US"/>
                      </w:rPr>
                      <m:t>φ</m:t>
                    </m:r>
                    <m:r>
                      <m:rPr>
                        <m:sty m:val="p"/>
                      </m:rPr>
                      <w:rPr>
                        <w:rFonts w:ascii="Cambria Math" w:hAnsi="Cambria Math"/>
                        <w:lang w:eastAsia="de-DE" w:bidi="en-US"/>
                      </w:rPr>
                      <m:t> </m:t>
                    </m:r>
                  </m:num>
                  <m:den>
                    <m:d>
                      <m:dPr>
                        <m:ctrlPr>
                          <w:rPr>
                            <w:rFonts w:ascii="Cambria Math" w:hAnsi="Cambria Math"/>
                            <w:iCs/>
                            <w:lang w:eastAsia="de-DE" w:bidi="en-US"/>
                          </w:rPr>
                        </m:ctrlPr>
                      </m:dPr>
                      <m:e>
                        <m:r>
                          <m:rPr>
                            <m:sty m:val="p"/>
                          </m:rPr>
                          <w:rPr>
                            <w:rFonts w:ascii="Cambria Math" w:hAnsi="Cambria Math"/>
                            <w:lang w:eastAsia="de-DE" w:bidi="en-US"/>
                          </w:rPr>
                          <m:t>1-0.704 </m:t>
                        </m:r>
                        <m:r>
                          <w:rPr>
                            <w:rFonts w:ascii="Cambria Math" w:hAnsi="Cambria Math"/>
                            <w:lang w:eastAsia="de-DE" w:bidi="en-US"/>
                          </w:rPr>
                          <m:t>φ</m:t>
                        </m:r>
                      </m:e>
                    </m:d>
                    <m:d>
                      <m:dPr>
                        <m:ctrlPr>
                          <w:rPr>
                            <w:rFonts w:ascii="Cambria Math" w:hAnsi="Cambria Math"/>
                            <w:iCs/>
                            <w:lang w:eastAsia="de-DE" w:bidi="en-US"/>
                          </w:rPr>
                        </m:ctrlPr>
                      </m:dPr>
                      <m:e>
                        <m:r>
                          <m:rPr>
                            <m:sty m:val="p"/>
                          </m:rPr>
                          <w:rPr>
                            <w:rFonts w:ascii="Cambria Math" w:hAnsi="Cambria Math"/>
                            <w:lang w:eastAsia="de-DE" w:bidi="en-US"/>
                          </w:rPr>
                          <m:t>1-0.682 </m:t>
                        </m:r>
                        <m:r>
                          <w:rPr>
                            <w:rFonts w:ascii="Cambria Math" w:hAnsi="Cambria Math"/>
                            <w:lang w:eastAsia="de-DE" w:bidi="en-US"/>
                          </w:rPr>
                          <m:t>φ</m:t>
                        </m:r>
                      </m:e>
                    </m:d>
                  </m:den>
                </m:f>
              </m:oMath>
            </m:oMathPara>
          </w:p>
        </w:tc>
        <w:tc>
          <w:tcPr>
            <w:tcW w:w="450" w:type="pct"/>
          </w:tcPr>
          <w:p w14:paraId="6BC2E8DD" w14:textId="77777777" w:rsidR="00C242B5" w:rsidRPr="00531A24" w:rsidRDefault="00C242B5" w:rsidP="00F46DD7">
            <w:pPr>
              <w:pStyle w:val="Caption"/>
              <w:spacing w:line="360" w:lineRule="auto"/>
              <w:jc w:val="right"/>
              <w:rPr>
                <w:rFonts w:ascii="Times New Roman" w:hAnsi="Times New Roman" w:cs="Times New Roman"/>
                <w:i w:val="0"/>
                <w:iCs w:val="0"/>
                <w:color w:val="auto"/>
                <w:sz w:val="20"/>
                <w:szCs w:val="20"/>
                <w:lang w:val="en-US"/>
              </w:rPr>
            </w:pPr>
            <w:r w:rsidRPr="00531A24">
              <w:rPr>
                <w:rFonts w:ascii="Times New Roman" w:hAnsi="Times New Roman" w:cs="Times New Roman"/>
                <w:i w:val="0"/>
                <w:iCs w:val="0"/>
                <w:color w:val="auto"/>
                <w:sz w:val="20"/>
                <w:szCs w:val="20"/>
                <w:lang w:val="en-US"/>
              </w:rPr>
              <w:t>(7)</w:t>
            </w:r>
          </w:p>
        </w:tc>
      </w:tr>
    </w:tbl>
    <w:p w14:paraId="695A611F" w14:textId="77777777" w:rsidR="00C242B5" w:rsidRPr="00531A24" w:rsidRDefault="00C242B5" w:rsidP="00C242B5">
      <w:pPr>
        <w:rPr>
          <w:lang w:eastAsia="de-DE" w:bidi="en-US"/>
        </w:rPr>
      </w:pPr>
    </w:p>
    <w:p w14:paraId="4B4CDBCC" w14:textId="77777777" w:rsidR="00C242B5" w:rsidRPr="00531A24" w:rsidRDefault="00C242B5" w:rsidP="001F642E">
      <w:pPr>
        <w:pStyle w:val="Paragraph"/>
      </w:pPr>
      <w:r w:rsidRPr="00531A24">
        <w:t>It is important to highlight that the equilibrium water content decreases with increasing temperature for a given relative humidity, as shown in Figure 3. This indicates that at higher temperatures, the water adsorption capacity of cob materials is reduced. For instance, at a relative humidity of 80%, the difference in adsorbed water mass between 30°C and 23°C is 0.1%. These results clearly demonstrate the significant impact of temperature on the sorption process in the studied cob materials. Higher temperatures promote the desorption of water molecules due to the increased thermal energy, which reduces the affinity of the pores for retaining water. This relationship between temperature and sorption is crucial for understanding the hygroscopic behavior of cob materials in varying climatic conditions.</w:t>
      </w:r>
    </w:p>
    <w:p w14:paraId="121C9121" w14:textId="77777777" w:rsidR="00BC7B9C" w:rsidRPr="00531A24" w:rsidRDefault="00BC7B9C" w:rsidP="001F642E">
      <w:pPr>
        <w:pStyle w:val="Paragraph"/>
        <w:rPr>
          <w:lang w:eastAsia="de-DE" w:bidi="en-US"/>
        </w:rPr>
      </w:pPr>
    </w:p>
    <w:p w14:paraId="5E98EC69" w14:textId="77777777" w:rsidR="00C242B5" w:rsidRPr="00531A24" w:rsidRDefault="00C242B5" w:rsidP="00C242B5">
      <w:pPr>
        <w:jc w:val="center"/>
        <w:rPr>
          <w:rFonts w:cstheme="majorBidi"/>
        </w:rPr>
      </w:pPr>
      <w:r w:rsidRPr="00531A24">
        <w:rPr>
          <w:rFonts w:cstheme="majorBidi"/>
          <w:noProof/>
        </w:rPr>
        <w:drawing>
          <wp:inline distT="0" distB="0" distL="0" distR="0" wp14:anchorId="42D4E47F" wp14:editId="3EA0F2A1">
            <wp:extent cx="3600000" cy="2688493"/>
            <wp:effectExtent l="0" t="0" r="635" b="0"/>
            <wp:docPr id="13" name="Image 12" descr="Une image contenant texte, ligne, Tracé, diagramme&#10;&#10;Description générée automatiquement">
              <a:extLst xmlns:a="http://schemas.openxmlformats.org/drawingml/2006/main">
                <a:ext uri="{FF2B5EF4-FFF2-40B4-BE49-F238E27FC236}">
                  <a16:creationId xmlns:a16="http://schemas.microsoft.com/office/drawing/2014/main" id="{8B92EE3A-8089-77CD-3F04-816289739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Une image contenant texte, ligne, Tracé, diagramme&#10;&#10;Description générée automatiquement">
                      <a:extLst>
                        <a:ext uri="{FF2B5EF4-FFF2-40B4-BE49-F238E27FC236}">
                          <a16:creationId xmlns:a16="http://schemas.microsoft.com/office/drawing/2014/main" id="{8B92EE3A-8089-77CD-3F04-81628973958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688493"/>
                    </a:xfrm>
                    <a:prstGeom prst="rect">
                      <a:avLst/>
                    </a:prstGeom>
                  </pic:spPr>
                </pic:pic>
              </a:graphicData>
            </a:graphic>
          </wp:inline>
        </w:drawing>
      </w:r>
    </w:p>
    <w:p w14:paraId="2BB2670A" w14:textId="468D6D8F" w:rsidR="00C242B5" w:rsidRPr="00531A24" w:rsidRDefault="001F642E" w:rsidP="001F642E">
      <w:pPr>
        <w:pStyle w:val="FigureCaption"/>
      </w:pPr>
      <w:r w:rsidRPr="00531A24">
        <w:rPr>
          <w:b/>
          <w:caps/>
        </w:rPr>
        <w:t>Figure 3</w:t>
      </w:r>
      <w:r w:rsidR="00C242B5" w:rsidRPr="00531A24">
        <w:t>. Water Content of the cob Material as a Function of Relative Humidity at 23°C and 30°C</w:t>
      </w:r>
    </w:p>
    <w:p w14:paraId="3B315A72" w14:textId="77777777" w:rsidR="001F642E" w:rsidRPr="00531A24" w:rsidRDefault="001F642E" w:rsidP="001F642E">
      <w:pPr>
        <w:pStyle w:val="Paragraph"/>
      </w:pPr>
    </w:p>
    <w:p w14:paraId="7627BDE0" w14:textId="2323A76F" w:rsidR="00C242B5" w:rsidRPr="00531A24" w:rsidRDefault="00C242B5" w:rsidP="001F642E">
      <w:pPr>
        <w:pStyle w:val="Paragraph"/>
      </w:pPr>
      <w:r w:rsidRPr="00531A24">
        <w:t xml:space="preserve">Figure 4 shows the evolution of the open porosity of the cob as a function of relative humidity, for two temperatures: 23°C and 30°C. It is observed that open porosity increases with the increase in relative humidity but decreases with the </w:t>
      </w:r>
      <w:r w:rsidR="004A24B2">
        <w:t>temperature rise</w:t>
      </w:r>
      <w:r w:rsidRPr="00531A24">
        <w:t xml:space="preserve">. When a material is exposed to a relative humidity of 40% and a temperature of 23°C, it absorbs moisture until it reaches a saturation point, where equilibrium is achieved. This saturation point means that the pores of the material are filled to the maximum moisture level that this combination of relative humidity and temperature can allow. As relative humidity increases, even if the temperature remains constant, the material can still absorb more moisture. This phenomenon can be explained by the characteristics of open porosity and the interactions between the pores and water vapor. In other words, when relative humidity increases, the concentration of water vapor in the air also increases, disturbing the adsorption equilibrium that is established in the material. This causes the internal surfaces of the pores to capture more water molecules to restore this equilibrium. Thus, a higher relative humidity means that a greater amount of water vapor is available to be adsorbed by the pore walls. However, when the temperature increases, a decrease in open porosity is observed. This phenomenon can be explained by the thermal </w:t>
      </w:r>
      <w:r w:rsidRPr="00531A24">
        <w:lastRenderedPageBreak/>
        <w:t>effects on the material's structure. At higher temperatures, porous materials often undergo partial pore contraction due to a thermal reorganization of the bonds at the microscopic scale. This contraction reduces the available space for water adsorption, leading to a decrease in effective open porosity. Moreover, an increase in temperature alters the dynamics of interactions between water and the pore walls. A higher temperature generally reduces the adsorption forces of water molecules on the pore walls because the increased thermal energy favors the desorption of water molecules. Consequently, although water diffusion in the pore network is accelerated at high temperatures, the effective adsorption of water molecules decreases, limiting the overall absorption capacity of the material.</w:t>
      </w:r>
    </w:p>
    <w:p w14:paraId="0EA5A3B7" w14:textId="77777777" w:rsidR="00BC7B9C" w:rsidRPr="00531A24" w:rsidRDefault="00BC7B9C" w:rsidP="001F642E">
      <w:pPr>
        <w:pStyle w:val="Paragraph"/>
        <w:rPr>
          <w:rFonts w:cstheme="majorBidi"/>
        </w:rPr>
      </w:pPr>
    </w:p>
    <w:p w14:paraId="6DAC3302" w14:textId="77777777" w:rsidR="00C242B5" w:rsidRPr="00531A24" w:rsidRDefault="00C242B5" w:rsidP="00C242B5">
      <w:pPr>
        <w:jc w:val="center"/>
        <w:rPr>
          <w:rFonts w:cstheme="majorBidi"/>
        </w:rPr>
      </w:pPr>
      <w:r w:rsidRPr="00531A24">
        <w:rPr>
          <w:rFonts w:cstheme="majorBidi"/>
          <w:noProof/>
        </w:rPr>
        <w:drawing>
          <wp:inline distT="0" distB="0" distL="0" distR="0" wp14:anchorId="70830231" wp14:editId="078D45C6">
            <wp:extent cx="3600000" cy="2725397"/>
            <wp:effectExtent l="0" t="0" r="635" b="0"/>
            <wp:docPr id="10" name="Image 10"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ligne, Tracé, diagramm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725397"/>
                    </a:xfrm>
                    <a:prstGeom prst="rect">
                      <a:avLst/>
                    </a:prstGeom>
                  </pic:spPr>
                </pic:pic>
              </a:graphicData>
            </a:graphic>
          </wp:inline>
        </w:drawing>
      </w:r>
    </w:p>
    <w:p w14:paraId="022DBEA7" w14:textId="3CAE17C4" w:rsidR="00C242B5" w:rsidRPr="00531A24" w:rsidRDefault="001F642E" w:rsidP="001F642E">
      <w:pPr>
        <w:pStyle w:val="FigureCaption"/>
        <w:rPr>
          <w:lang w:eastAsia="de-DE" w:bidi="en-US"/>
        </w:rPr>
      </w:pPr>
      <w:r w:rsidRPr="00531A24">
        <w:rPr>
          <w:b/>
          <w:caps/>
        </w:rPr>
        <w:t>Figure 4</w:t>
      </w:r>
      <w:r w:rsidRPr="00531A24">
        <w:t xml:space="preserve">. </w:t>
      </w:r>
      <w:r w:rsidR="00C242B5" w:rsidRPr="00531A24">
        <w:rPr>
          <w:lang w:eastAsia="de-DE" w:bidi="en-US"/>
        </w:rPr>
        <w:t xml:space="preserve"> </w:t>
      </w:r>
      <w:r w:rsidR="00C242B5" w:rsidRPr="00531A24">
        <w:t>Open Porosity vs Relative Humidity at 23°C and 30°C</w:t>
      </w:r>
    </w:p>
    <w:p w14:paraId="2FF7C7F0" w14:textId="77777777" w:rsidR="00C242B5" w:rsidRPr="00531A24" w:rsidRDefault="00C242B5" w:rsidP="001F642E">
      <w:pPr>
        <w:pStyle w:val="Heading2"/>
      </w:pPr>
      <w:r w:rsidRPr="00531A24">
        <w:t>Impact of Temperature on Cob Permeability</w:t>
      </w:r>
    </w:p>
    <w:p w14:paraId="4FBE0FAA" w14:textId="333D4368" w:rsidR="00C242B5" w:rsidRPr="00531A24" w:rsidRDefault="00C242B5" w:rsidP="008059A1">
      <w:pPr>
        <w:pStyle w:val="Paragraph"/>
      </w:pPr>
      <w:r w:rsidRPr="00531A24">
        <w:t xml:space="preserve">Temperature plays a crucial role in the behavior of porous materials, influencing their ability to transport fluids through their structure. Thermal variations can lead to significant changes in permeability, depending on the intrinsic properties of the materials and their interactions with the environment. The effect of temperature on the permeability of porous materials can follow three main trends: a decrease in permeability with increasing temperature, an initial decrease followed by an increase, or a continuous increase. Kallel </w:t>
      </w:r>
      <w:r w:rsidRPr="00531A24">
        <w:fldChar w:fldCharType="begin"/>
      </w:r>
      <w:r w:rsidR="008059A1">
        <w:instrText xml:space="preserve"> ADDIN ZOTERO_ITEM CSL_CITATION {"citationID":"qNJAtGIL","properties":{"formattedCitation":"[16], [17]","plainCitation":"[16], [17]","noteIndex":0},"citationItems":[{"id":426,"uris":["http://zotero.org/users/10618926/items/RQKNYW5X"],"itemData":{"id":426,"type":"paper-conference","abstract":"Les enceintes de confinement sont sollicitées lors d'un accident grave par la modification thermodynamique du milieu interne qui génère une pression pouvant monter jusqu'à 5 bars, une température évaluée au maximum à 140 °C et une humidité relative pouvant aller jusqu'à la saturation. Au-delà de calculs réglementaires, la complexité de la sollicitation nécessite une bonne connaissance du comportement mécanique et thermique des matériaux et en particulier du béton dans la gamme de température et d'hygrométrie imposée afin de mener les simulations numériques les plus réalistes possibles.  Cette étude a consisté à déterminer l'évolution de la perméabilité relative à l'azote du béton en fonction de la température jusqu'à 90 °C et du pourcentage de saturation en eau du béton. Les essais de perméabilité sont réalisés sous conditions thermo-hydriques contrôlées. La température (T) est fixée à deux valeurs cibles : 30 et 90 °C. Les quater degrés de saturation en eau liquide du béton (Sw) varient entre 0 % et 70 %. Le degré de saturation en eau liquide des éprouvettes sont obtenus par le contrôle de l'humidité relative de l'ambiance entourant l'éprouvette. La perméabilité diminue avec Sw et les résultats obtenus à 30 et 90 °C sont très similaires.","container-title":"Rencontres Universitaires de Génie Civil","event-place":"Bayonne, France","publisher-place":"Bayonne, France","source":"HAL Archives Ouvertes","title":"Influence de la température et de l'hygrométrie sur la perméabilité à l'Azote du béton","URL":"https://hal.science/hal-01167595","author":[{"family":"Kallel","given":"Hatem"},{"family":"Carré","given":"Hélène"},{"family":"La Borderie","given":"Christian"},{"family":"Masson","given":"Benoit"},{"family":"Tran","given":"Nhu Cuong"}],"accessed":{"date-parts":[["2023",8,20]]},"issued":{"date-parts":[["2015",5]]}}},{"id":1038,"uris":["http://zotero.org/users/10618926/items/5U4CQTUF"],"itemData":{"id":1038,"type":"thesis","genre":"PhD Thesis","publisher":"Université de Pau et des Pays de l'Adour-Laboratoire SIAME","source":"Google Scholar","title":"Influence de la température et de l'hygrométrie sur le comportement instantané du béton","URL":"https://univ-pau.hal.science/tel-02367577/","author":[{"family":"Kallel","given":"Hatem"}],"accessed":{"date-parts":[["2024",12,5]]},"issued":{"date-parts":[["2016"]]}}}],"schema":"https://github.com/citation-style-language/schema/raw/master/csl-citation.json"} </w:instrText>
      </w:r>
      <w:r w:rsidRPr="00531A24">
        <w:fldChar w:fldCharType="separate"/>
      </w:r>
      <w:r w:rsidR="008059A1" w:rsidRPr="008059A1">
        <w:t>[16], [17]</w:t>
      </w:r>
      <w:r w:rsidRPr="00531A24">
        <w:fldChar w:fldCharType="end"/>
      </w:r>
      <w:r w:rsidRPr="00531A24">
        <w:t xml:space="preserve"> showed that for concrete tested at 30°C and 90°C under different relative humidities, temperature had no significant effect on permeability. In contrast, Lion et al. </w:t>
      </w:r>
      <w:r w:rsidRPr="00531A24">
        <w:fldChar w:fldCharType="begin"/>
      </w:r>
      <w:r w:rsidR="008059A1">
        <w:instrText xml:space="preserve"> ADDIN ZOTERO_ITEM CSL_CITATION {"citationID":"Ks4sD2G2","properties":{"formattedCitation":"[18]","plainCitation":"[18]","noteIndex":0},"citationItems":[{"id":1061,"uris":["http://zotero.org/users/10618926/items/PHRZEFFW"],"itemData":{"id":1061,"type":"article-journal","source":"Google Scholar","title":"Perméabilité au gaz des matériaux à matrice cimentaire en fonction de la température","author":[{"family":"Lion","given":"Maxime"},{"family":"Skoczylas","given":"Frédéric"},{"family":"Play","given":"Alain"}]}}],"schema":"https://github.com/citation-style-language/schema/raw/master/csl-citation.json"} </w:instrText>
      </w:r>
      <w:r w:rsidRPr="00531A24">
        <w:fldChar w:fldCharType="separate"/>
      </w:r>
      <w:r w:rsidR="008059A1" w:rsidRPr="008059A1">
        <w:t>[18]</w:t>
      </w:r>
      <w:r w:rsidRPr="00531A24">
        <w:fldChar w:fldCharType="end"/>
      </w:r>
      <w:r w:rsidRPr="00531A24">
        <w:t xml:space="preserve">, studying mortars at 25°C, 105°C, and 200°C, found a significant increase in permeability with temperature, attributed to thermal cracking and an increase in porosity due to the dehydration of hydrates. </w:t>
      </w:r>
      <w:proofErr w:type="spellStart"/>
      <w:r w:rsidRPr="00531A24">
        <w:t>Joshaghani</w:t>
      </w:r>
      <w:proofErr w:type="spellEnd"/>
      <w:r w:rsidRPr="00531A24">
        <w:t xml:space="preserve"> and Ghasemi-Fare </w:t>
      </w:r>
      <w:r w:rsidRPr="00531A24">
        <w:fldChar w:fldCharType="begin"/>
      </w:r>
      <w:r w:rsidR="008059A1">
        <w:instrText xml:space="preserve"> ADDIN ZOTERO_ITEM CSL_CITATION {"citationID":"MZkfsDWk","properties":{"formattedCitation":"[19]","plainCitation":"[19]","noteIndex":0},"citationItems":[{"id":1062,"uris":["http://zotero.org/users/10618926/items/3I7XJGDP"],"itemData":{"id":1062,"type":"article-journal","abstract":"An increase in temperature changes the groundwater density and viscosity, therefore, it is expected that the soil hydraulic conductivity varies with temperature. Beyond this point, thermal loading induces volumetric changes for both sand and clay and may alter soil fabric. These variations might increase or decrease the intrinsic permeability of the soil. A modified temperature-controlled triaxial permeameter cell was used in this study to elevate soil temperature from 20 °C to 80 °C. Moreover, the setup was designed to control the temperature and pressure of the permeant water injected into the specimen. The hydraulic conductivity of both Ottawa sand and Kaolin clay under different confinement stresses (69 kPa to 690 kPa) was measured. Then, intrinsic permeability was calculated considering water properties variation with temperature. The results determined that, although hydraulic conductivity increases with temperature for both Ottawa sand and Kaolin clay, the intrinsic permeability of Ottawa sand reduces by 50%, while in Kaolin clay it slightly reduces when the temperature rises from 20 °C to 80 °C. Nonetheless, analyzing volumetric changes and void ratio variations for both selected soil types show a reduction in void ratio with temperature. Reduction in the void ratio can explain the lower intrinsic permeability in Ottawa sand at the elevated temperature, however in Kaolin clay despite the higher void ratio reduction, another mechanism which is the degeneration of a part of the immobile water within the structure into the mobile water plays an important role.","container-title":"Engineering Geology","DOI":"10.1016/j.enggeo.2021.106299","ISSN":"0013-7952","journalAbbreviation":"Engineering Geology","page":"106299","source":"ScienceDirect","title":"Exploring the effects of temperature on intrinsic permeability and void ratio alteration through temperature-controlled experiments","volume":"293","author":[{"family":"Joshaghani","given":"Mohammad"},{"family":"Ghasemi-Fare","given":"Omid"}],"issued":{"date-parts":[["2021",11,1]]}}}],"schema":"https://github.com/citation-style-language/schema/raw/master/csl-citation.json"} </w:instrText>
      </w:r>
      <w:r w:rsidRPr="00531A24">
        <w:fldChar w:fldCharType="separate"/>
      </w:r>
      <w:r w:rsidR="008059A1" w:rsidRPr="008059A1">
        <w:t>[19]</w:t>
      </w:r>
      <w:r w:rsidRPr="00531A24">
        <w:fldChar w:fldCharType="end"/>
      </w:r>
      <w:r w:rsidRPr="00531A24">
        <w:t xml:space="preserve"> studied the permeability of soils and observed that Ottawa sand permeability decreased by 50% between 20°C and 80°C, while kaolinitic clay permeability decreased slightly. </w:t>
      </w:r>
    </w:p>
    <w:p w14:paraId="496BD68E" w14:textId="77777777" w:rsidR="00C242B5" w:rsidRPr="00531A24" w:rsidRDefault="00C242B5" w:rsidP="001F642E">
      <w:pPr>
        <w:pStyle w:val="Paragraph"/>
      </w:pPr>
      <w:r w:rsidRPr="00531A24">
        <w:t>The effect of temperature on the permeability of the cob material is studied at two temperatures, 23°C and 30°C. The results, presented in Figure 5, show that the permeability of the material decreases with increasing temperature. This decrease can be explained by several factors. First, the reduction in air viscosity at higher temperatures could theoretically facilitate moisture transfer, but it could also lead to a redistribution of moisture within the material, thus limiting the water vapor transfer. Second, microstructural changes may occur at higher temperatures, such as the expansion or contraction of the internal structures of the material, altering the size and distribution of the pores. This change could reduce the connectivity of the pores, thereby decreasing permeability. Furthermore, we observed that the open porosity of the material decreases with increasing temperature. This reduction in open porosity is directly related to the observed decrease in permeability. When open porosity decreases, there are fewer connected pathways through the material, which restricts moisture flow. At higher temperatures, phenomena such as thermal expansion, moisture evaporation, and microstructural changes can contribute to this reduction in open porosity, tightening the pores or reducing their connectivity. As a result, the material's permeability decreases due to the reduced ability of these pores to allow moisture passage.</w:t>
      </w:r>
    </w:p>
    <w:p w14:paraId="53F0C49B" w14:textId="77777777" w:rsidR="00BC7B9C" w:rsidRPr="00531A24" w:rsidRDefault="00BC7B9C" w:rsidP="001F642E">
      <w:pPr>
        <w:pStyle w:val="Paragraph"/>
      </w:pPr>
    </w:p>
    <w:p w14:paraId="4912F1B5" w14:textId="65BA0AB6" w:rsidR="00C242B5" w:rsidRPr="00531A24" w:rsidRDefault="007F557D" w:rsidP="00C242B5">
      <w:pPr>
        <w:jc w:val="center"/>
        <w:rPr>
          <w:rFonts w:cstheme="majorBidi"/>
        </w:rPr>
      </w:pPr>
      <w:r>
        <w:rPr>
          <w:rFonts w:cstheme="majorBidi"/>
          <w:noProof/>
        </w:rPr>
        <w:lastRenderedPageBreak/>
        <mc:AlternateContent>
          <mc:Choice Requires="wps">
            <w:drawing>
              <wp:anchor distT="0" distB="0" distL="114300" distR="114300" simplePos="0" relativeHeight="251661312" behindDoc="0" locked="0" layoutInCell="1" allowOverlap="1" wp14:anchorId="2D39D90A" wp14:editId="6DB4356A">
                <wp:simplePos x="0" y="0"/>
                <wp:positionH relativeFrom="column">
                  <wp:posOffset>2552700</wp:posOffset>
                </wp:positionH>
                <wp:positionV relativeFrom="paragraph">
                  <wp:posOffset>2522221</wp:posOffset>
                </wp:positionV>
                <wp:extent cx="1127760" cy="2133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27760" cy="213360"/>
                        </a:xfrm>
                        <a:prstGeom prst="rect">
                          <a:avLst/>
                        </a:prstGeom>
                        <a:solidFill>
                          <a:schemeClr val="lt1"/>
                        </a:solidFill>
                        <a:ln w="6350">
                          <a:noFill/>
                        </a:ln>
                      </wps:spPr>
                      <wps:txbx>
                        <w:txbxContent>
                          <w:p w14:paraId="51429AFD" w14:textId="6CB00A5C" w:rsidR="007F557D" w:rsidRPr="001635EE" w:rsidRDefault="007F557D" w:rsidP="007F557D">
                            <w:pPr>
                              <w:rPr>
                                <w:sz w:val="16"/>
                                <w:szCs w:val="16"/>
                              </w:rPr>
                            </w:pPr>
                            <w:r>
                              <w:rPr>
                                <w:sz w:val="16"/>
                                <w:szCs w:val="16"/>
                              </w:rPr>
                              <w:t>Relative humidity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9D90A" id="_x0000_t202" coordsize="21600,21600" o:spt="202" path="m,l,21600r21600,l21600,xe">
                <v:stroke joinstyle="miter"/>
                <v:path gradientshapeok="t" o:connecttype="rect"/>
              </v:shapetype>
              <v:shape id="Zone de texte 2" o:spid="_x0000_s1026" type="#_x0000_t202" style="position:absolute;left:0;text-align:left;margin-left:201pt;margin-top:198.6pt;width:88.8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" fillcolor="white [3201]" stroked="f" strokeweight=".5pt">
                <v:textbox>
                  <w:txbxContent>
                    <w:p w14:paraId="51429AFD" w14:textId="6CB00A5C" w:rsidR="007F557D" w:rsidRPr="001635EE" w:rsidRDefault="007F557D" w:rsidP="007F557D">
                      <w:pPr>
                        <w:rPr>
                          <w:sz w:val="16"/>
                          <w:szCs w:val="16"/>
                        </w:rPr>
                      </w:pPr>
                      <w:r>
                        <w:rPr>
                          <w:sz w:val="16"/>
                          <w:szCs w:val="16"/>
                        </w:rPr>
                        <w:t>Relative humidity (%)</w:t>
                      </w:r>
                    </w:p>
                  </w:txbxContent>
                </v:textbox>
              </v:shape>
            </w:pict>
          </mc:Fallback>
        </mc:AlternateContent>
      </w:r>
      <w:r w:rsidR="00D10B00">
        <w:rPr>
          <w:rFonts w:cstheme="majorBidi"/>
          <w:noProof/>
        </w:rPr>
        <mc:AlternateContent>
          <mc:Choice Requires="wps">
            <w:drawing>
              <wp:anchor distT="0" distB="0" distL="114300" distR="114300" simplePos="0" relativeHeight="251659264" behindDoc="0" locked="0" layoutInCell="1" allowOverlap="1" wp14:anchorId="15FA59B5" wp14:editId="48B931FF">
                <wp:simplePos x="0" y="0"/>
                <wp:positionH relativeFrom="column">
                  <wp:posOffset>164795</wp:posOffset>
                </wp:positionH>
                <wp:positionV relativeFrom="paragraph">
                  <wp:posOffset>1061609</wp:posOffset>
                </wp:positionV>
                <wp:extent cx="1993925" cy="293077"/>
                <wp:effectExtent l="0" t="6668" r="0" b="0"/>
                <wp:wrapNone/>
                <wp:docPr id="1" name="Zone de texte 1"/>
                <wp:cNvGraphicFramePr/>
                <a:graphic xmlns:a="http://schemas.openxmlformats.org/drawingml/2006/main">
                  <a:graphicData uri="http://schemas.microsoft.com/office/word/2010/wordprocessingShape">
                    <wps:wsp>
                      <wps:cNvSpPr txBox="1"/>
                      <wps:spPr>
                        <a:xfrm rot="16200000">
                          <a:off x="0" y="0"/>
                          <a:ext cx="1993925" cy="293077"/>
                        </a:xfrm>
                        <a:prstGeom prst="rect">
                          <a:avLst/>
                        </a:prstGeom>
                        <a:solidFill>
                          <a:schemeClr val="lt1"/>
                        </a:solidFill>
                        <a:ln w="6350">
                          <a:noFill/>
                        </a:ln>
                      </wps:spPr>
                      <wps:txbx>
                        <w:txbxContent>
                          <w:p w14:paraId="3AE34E2C" w14:textId="6419AA07" w:rsidR="00D10B00" w:rsidRPr="001635EE" w:rsidRDefault="00D10B00" w:rsidP="001635EE">
                            <w:pPr>
                              <w:rPr>
                                <w:sz w:val="16"/>
                                <w:szCs w:val="16"/>
                              </w:rPr>
                            </w:pPr>
                            <w:r w:rsidRPr="001635EE">
                              <w:rPr>
                                <w:sz w:val="16"/>
                                <w:szCs w:val="16"/>
                              </w:rPr>
                              <w:t>Permeability (</w:t>
                            </w:r>
                            <m:oMath>
                              <m:r>
                                <w:rPr>
                                  <w:rFonts w:ascii="Cambria Math" w:hAnsi="Cambria Math"/>
                                  <w:sz w:val="16"/>
                                  <w:szCs w:val="16"/>
                                </w:rPr>
                                <m:t>×</m:t>
                              </m:r>
                            </m:oMath>
                            <w:r w:rsidR="001635EE" w:rsidRPr="001635EE">
                              <w:rPr>
                                <w:sz w:val="16"/>
                                <w:szCs w:val="16"/>
                              </w:rPr>
                              <w:t xml:space="preserve"> 10</w:t>
                            </w:r>
                            <w:r w:rsidR="001635EE" w:rsidRPr="001635EE">
                              <w:rPr>
                                <w:sz w:val="16"/>
                                <w:szCs w:val="16"/>
                                <w:vertAlign w:val="superscript"/>
                              </w:rPr>
                              <w:t>-11</w:t>
                            </w:r>
                            <w:r w:rsidR="001635EE" w:rsidRPr="001635EE">
                              <w:rPr>
                                <w:sz w:val="16"/>
                                <w:szCs w:val="16"/>
                              </w:rPr>
                              <w:t>.kg.m</w:t>
                            </w:r>
                            <w:r w:rsidR="001635EE" w:rsidRPr="001635EE">
                              <w:rPr>
                                <w:sz w:val="16"/>
                                <w:szCs w:val="16"/>
                                <w:vertAlign w:val="superscript"/>
                              </w:rPr>
                              <w:t>-1</w:t>
                            </w:r>
                            <w:r w:rsidR="001635EE" w:rsidRPr="001635EE">
                              <w:rPr>
                                <w:sz w:val="16"/>
                                <w:szCs w:val="16"/>
                              </w:rPr>
                              <w:t>. s</w:t>
                            </w:r>
                            <w:r w:rsidR="001635EE" w:rsidRPr="001635EE">
                              <w:rPr>
                                <w:sz w:val="16"/>
                                <w:szCs w:val="16"/>
                                <w:vertAlign w:val="superscript"/>
                              </w:rPr>
                              <w:t>-1</w:t>
                            </w:r>
                            <w:r w:rsidR="001635EE" w:rsidRPr="001635EE">
                              <w:rPr>
                                <w:sz w:val="16"/>
                                <w:szCs w:val="16"/>
                              </w:rPr>
                              <w:t>. Pa</w:t>
                            </w:r>
                            <w:r w:rsidR="001635EE" w:rsidRPr="001635EE">
                              <w:rPr>
                                <w:sz w:val="16"/>
                                <w:szCs w:val="16"/>
                                <w:vertAlign w:val="superscript"/>
                              </w:rPr>
                              <w:t>-1</w:t>
                            </w:r>
                            <w:r w:rsidR="001635EE" w:rsidRPr="001635E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A59B5" id="Zone de texte 1" o:spid="_x0000_s1027" type="#_x0000_t202" style="position:absolute;left:0;text-align:left;margin-left:13pt;margin-top:83.6pt;width:157pt;height:23.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" fillcolor="white [3201]" stroked="f" strokeweight=".5pt">
                <v:textbox>
                  <w:txbxContent>
                    <w:p w14:paraId="3AE34E2C" w14:textId="6419AA07" w:rsidR="00D10B00" w:rsidRPr="001635EE" w:rsidRDefault="00D10B00" w:rsidP="001635EE">
                      <w:pPr>
                        <w:rPr>
                          <w:sz w:val="16"/>
                          <w:szCs w:val="16"/>
                        </w:rPr>
                      </w:pPr>
                      <w:r w:rsidRPr="001635EE">
                        <w:rPr>
                          <w:sz w:val="16"/>
                          <w:szCs w:val="16"/>
                        </w:rPr>
                        <w:t>Permeability (</w:t>
                      </w:r>
                      <m:oMath>
                        <m:r>
                          <w:rPr>
                            <w:rFonts w:ascii="Cambria Math" w:hAnsi="Cambria Math"/>
                            <w:sz w:val="16"/>
                            <w:szCs w:val="16"/>
                          </w:rPr>
                          <m:t>×</m:t>
                        </m:r>
                      </m:oMath>
                      <w:r w:rsidR="001635EE" w:rsidRPr="001635EE">
                        <w:rPr>
                          <w:sz w:val="16"/>
                          <w:szCs w:val="16"/>
                        </w:rPr>
                        <w:t xml:space="preserve"> 10</w:t>
                      </w:r>
                      <w:r w:rsidR="001635EE" w:rsidRPr="001635EE">
                        <w:rPr>
                          <w:sz w:val="16"/>
                          <w:szCs w:val="16"/>
                          <w:vertAlign w:val="superscript"/>
                        </w:rPr>
                        <w:t>-11</w:t>
                      </w:r>
                      <w:r w:rsidR="001635EE" w:rsidRPr="001635EE">
                        <w:rPr>
                          <w:sz w:val="16"/>
                          <w:szCs w:val="16"/>
                        </w:rPr>
                        <w:t>.kg.m</w:t>
                      </w:r>
                      <w:r w:rsidR="001635EE" w:rsidRPr="001635EE">
                        <w:rPr>
                          <w:sz w:val="16"/>
                          <w:szCs w:val="16"/>
                          <w:vertAlign w:val="superscript"/>
                        </w:rPr>
                        <w:t>-1</w:t>
                      </w:r>
                      <w:r w:rsidR="001635EE" w:rsidRPr="001635EE">
                        <w:rPr>
                          <w:sz w:val="16"/>
                          <w:szCs w:val="16"/>
                        </w:rPr>
                        <w:t>. s</w:t>
                      </w:r>
                      <w:r w:rsidR="001635EE" w:rsidRPr="001635EE">
                        <w:rPr>
                          <w:sz w:val="16"/>
                          <w:szCs w:val="16"/>
                          <w:vertAlign w:val="superscript"/>
                        </w:rPr>
                        <w:t>-1</w:t>
                      </w:r>
                      <w:r w:rsidR="001635EE" w:rsidRPr="001635EE">
                        <w:rPr>
                          <w:sz w:val="16"/>
                          <w:szCs w:val="16"/>
                        </w:rPr>
                        <w:t>. Pa</w:t>
                      </w:r>
                      <w:r w:rsidR="001635EE" w:rsidRPr="001635EE">
                        <w:rPr>
                          <w:sz w:val="16"/>
                          <w:szCs w:val="16"/>
                          <w:vertAlign w:val="superscript"/>
                        </w:rPr>
                        <w:t>-1</w:t>
                      </w:r>
                      <w:r w:rsidR="001635EE" w:rsidRPr="001635EE">
                        <w:rPr>
                          <w:sz w:val="16"/>
                          <w:szCs w:val="16"/>
                        </w:rPr>
                        <w:t>)</w:t>
                      </w:r>
                    </w:p>
                  </w:txbxContent>
                </v:textbox>
              </v:shape>
            </w:pict>
          </mc:Fallback>
        </mc:AlternateContent>
      </w:r>
      <w:r w:rsidR="00C242B5" w:rsidRPr="00531A24">
        <w:rPr>
          <w:rFonts w:cstheme="majorBidi"/>
          <w:noProof/>
        </w:rPr>
        <w:drawing>
          <wp:inline distT="0" distB="0" distL="0" distR="0" wp14:anchorId="010322B4" wp14:editId="3ACB1176">
            <wp:extent cx="3600000" cy="2684127"/>
            <wp:effectExtent l="0" t="0" r="635" b="2540"/>
            <wp:docPr id="8" name="Image 8" descr="Une image contenant texte, diagramme, ligne, capture d’écran&#10;&#10;Description générée automatiquement">
              <a:extLst xmlns:a="http://schemas.openxmlformats.org/drawingml/2006/main">
                <a:ext uri="{FF2B5EF4-FFF2-40B4-BE49-F238E27FC236}">
                  <a16:creationId xmlns:a16="http://schemas.microsoft.com/office/drawing/2014/main" id="{27557342-E692-96DE-9722-869A0287E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texte, diagramme, ligne, capture d’écran&#10;&#10;Description générée automatiquement">
                      <a:extLst>
                        <a:ext uri="{FF2B5EF4-FFF2-40B4-BE49-F238E27FC236}">
                          <a16:creationId xmlns:a16="http://schemas.microsoft.com/office/drawing/2014/main" id="{27557342-E692-96DE-9722-869A0287E6F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684127"/>
                    </a:xfrm>
                    <a:prstGeom prst="rect">
                      <a:avLst/>
                    </a:prstGeom>
                  </pic:spPr>
                </pic:pic>
              </a:graphicData>
            </a:graphic>
          </wp:inline>
        </w:drawing>
      </w:r>
    </w:p>
    <w:p w14:paraId="76CF8AB6" w14:textId="0695A916" w:rsidR="00C242B5" w:rsidRPr="00531A24" w:rsidRDefault="001F642E" w:rsidP="001F642E">
      <w:pPr>
        <w:pStyle w:val="FigureCaption"/>
      </w:pPr>
      <w:r w:rsidRPr="00531A24">
        <w:rPr>
          <w:b/>
          <w:caps/>
        </w:rPr>
        <w:t>Figure 5.</w:t>
      </w:r>
      <w:r w:rsidRPr="00531A24">
        <w:t xml:space="preserve"> </w:t>
      </w:r>
      <w:r w:rsidRPr="00531A24">
        <w:rPr>
          <w:lang w:eastAsia="de-DE" w:bidi="en-US"/>
        </w:rPr>
        <w:t xml:space="preserve"> </w:t>
      </w:r>
      <w:r w:rsidR="00C242B5" w:rsidRPr="00531A24">
        <w:t>Variation of Cob Material Permeability as a Function of Temperature and Relative Humidity</w:t>
      </w:r>
    </w:p>
    <w:p w14:paraId="4C632E18" w14:textId="5E1AB071" w:rsidR="00C242B5" w:rsidRPr="00675741" w:rsidRDefault="00C242B5" w:rsidP="00675741">
      <w:pPr>
        <w:pStyle w:val="Heading2"/>
      </w:pPr>
      <w:r w:rsidRPr="00531A24">
        <w:t>Impact of Temperature and Humidity on Cob Diffusivity</w:t>
      </w:r>
    </w:p>
    <w:p w14:paraId="13EC30BA" w14:textId="77777777" w:rsidR="00C242B5" w:rsidRPr="00531A24" w:rsidRDefault="00C242B5" w:rsidP="001F642E">
      <w:pPr>
        <w:pStyle w:val="Paragraph"/>
      </w:pPr>
      <w:r w:rsidRPr="00531A24">
        <w:t>The water vapor diffusivity of the materials investigated is presented in Figure 6 on a logarithmic Y-axis as a function of relative humidity, at constant temperatures of 23°C and 30°C. The results indicate that as relative humidity increases, the water vapor diffusivity decreases. This behavior can be attributed to the fact that at high relative humidity, the pores within the material are partially saturated, reducing the available pathways for moisture transport. At lower relative humidity, the pores are more accessible, which facilitates the movement of water vapor. In contrast, at higher humidity levels, pore saturation limits the diffusion process. Furthermore, at low relative humidity, the sorption capacity is still far from its maximum, meaning that there are more available pores for water vapor transport, thus increasing diffusivity. As relative humidity rises, the pores gradually fill, and the competition between adsorption and diffusion reduces the efficiency of moisture transport. Additionally, it is observed that the water vapor diffusivity increases with temperature, with higher values recorded at 30°C compared to 23°C. This higher temperature enhances the material’s ability to retain moisture by increasing the mobility of water molecules in the pores, thus improving the transport of water vapor.</w:t>
      </w:r>
    </w:p>
    <w:p w14:paraId="163F0AB3" w14:textId="5EA1810E" w:rsidR="00D62141" w:rsidRPr="00531A24" w:rsidRDefault="00D62141" w:rsidP="001F642E">
      <w:pPr>
        <w:pStyle w:val="Paragraph"/>
      </w:pPr>
    </w:p>
    <w:p w14:paraId="67161986" w14:textId="59D8BEDC" w:rsidR="00C242B5" w:rsidRPr="00531A24" w:rsidRDefault="007F557D" w:rsidP="00C242B5">
      <w:pPr>
        <w:jc w:val="center"/>
        <w:rPr>
          <w:rFonts w:cstheme="majorBidi"/>
        </w:rPr>
      </w:pPr>
      <w:r>
        <w:rPr>
          <w:rFonts w:cstheme="majorBidi"/>
          <w:noProof/>
        </w:rPr>
        <mc:AlternateContent>
          <mc:Choice Requires="wps">
            <w:drawing>
              <wp:anchor distT="0" distB="0" distL="114300" distR="114300" simplePos="0" relativeHeight="251665408" behindDoc="0" locked="0" layoutInCell="1" allowOverlap="1" wp14:anchorId="11C8A5D7" wp14:editId="57036C31">
                <wp:simplePos x="0" y="0"/>
                <wp:positionH relativeFrom="column">
                  <wp:posOffset>2331720</wp:posOffset>
                </wp:positionH>
                <wp:positionV relativeFrom="paragraph">
                  <wp:posOffset>2545080</wp:posOffset>
                </wp:positionV>
                <wp:extent cx="1516380" cy="213360"/>
                <wp:effectExtent l="0" t="0" r="7620" b="0"/>
                <wp:wrapNone/>
                <wp:docPr id="7" name="Zone de texte 7"/>
                <wp:cNvGraphicFramePr/>
                <a:graphic xmlns:a="http://schemas.openxmlformats.org/drawingml/2006/main">
                  <a:graphicData uri="http://schemas.microsoft.com/office/word/2010/wordprocessingShape">
                    <wps:wsp>
                      <wps:cNvSpPr txBox="1"/>
                      <wps:spPr>
                        <a:xfrm>
                          <a:off x="0" y="0"/>
                          <a:ext cx="1516380" cy="213360"/>
                        </a:xfrm>
                        <a:prstGeom prst="rect">
                          <a:avLst/>
                        </a:prstGeom>
                        <a:solidFill>
                          <a:schemeClr val="lt1"/>
                        </a:solidFill>
                        <a:ln w="6350">
                          <a:noFill/>
                        </a:ln>
                      </wps:spPr>
                      <wps:txbx>
                        <w:txbxContent>
                          <w:p w14:paraId="583C2E15" w14:textId="1B530FE3" w:rsidR="007F557D" w:rsidRPr="007F557D" w:rsidRDefault="007F557D" w:rsidP="007F557D">
                            <w:pPr>
                              <w:rPr>
                                <w:sz w:val="16"/>
                                <w:szCs w:val="16"/>
                              </w:rPr>
                            </w:pPr>
                            <w:r>
                              <w:rPr>
                                <w:sz w:val="16"/>
                                <w:szCs w:val="16"/>
                              </w:rPr>
                              <w:t>Relative humidity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8A5D7" id="Zone de texte 7" o:spid="_x0000_s1028" type="#_x0000_t202" style="position:absolute;left:0;text-align:left;margin-left:183.6pt;margin-top:200.4pt;width:119.4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" fillcolor="white [3201]" stroked="f" strokeweight=".5pt">
                <v:textbox>
                  <w:txbxContent>
                    <w:p w14:paraId="583C2E15" w14:textId="1B530FE3" w:rsidR="007F557D" w:rsidRPr="007F557D" w:rsidRDefault="007F557D" w:rsidP="007F557D">
                      <w:pPr>
                        <w:rPr>
                          <w:sz w:val="16"/>
                          <w:szCs w:val="16"/>
                        </w:rPr>
                      </w:pPr>
                      <w:r>
                        <w:rPr>
                          <w:sz w:val="16"/>
                          <w:szCs w:val="16"/>
                        </w:rPr>
                        <w:t>Relative humidity (%)</w:t>
                      </w:r>
                    </w:p>
                  </w:txbxContent>
                </v:textbox>
              </v:shape>
            </w:pict>
          </mc:Fallback>
        </mc:AlternateContent>
      </w:r>
      <w:r>
        <w:rPr>
          <w:rFonts w:cstheme="majorBidi"/>
          <w:noProof/>
        </w:rPr>
        <mc:AlternateContent>
          <mc:Choice Requires="wps">
            <w:drawing>
              <wp:anchor distT="0" distB="0" distL="114300" distR="114300" simplePos="0" relativeHeight="251663360" behindDoc="0" locked="0" layoutInCell="1" allowOverlap="1" wp14:anchorId="3339589F" wp14:editId="683EBA10">
                <wp:simplePos x="0" y="0"/>
                <wp:positionH relativeFrom="column">
                  <wp:posOffset>464820</wp:posOffset>
                </wp:positionH>
                <wp:positionV relativeFrom="paragraph">
                  <wp:posOffset>1097280</wp:posOffset>
                </wp:positionV>
                <wp:extent cx="1516380" cy="213360"/>
                <wp:effectExtent l="3810" t="0" r="0" b="0"/>
                <wp:wrapNone/>
                <wp:docPr id="6" name="Zone de texte 6"/>
                <wp:cNvGraphicFramePr/>
                <a:graphic xmlns:a="http://schemas.openxmlformats.org/drawingml/2006/main">
                  <a:graphicData uri="http://schemas.microsoft.com/office/word/2010/wordprocessingShape">
                    <wps:wsp>
                      <wps:cNvSpPr txBox="1"/>
                      <wps:spPr>
                        <a:xfrm rot="16200000">
                          <a:off x="0" y="0"/>
                          <a:ext cx="1516380" cy="213360"/>
                        </a:xfrm>
                        <a:prstGeom prst="rect">
                          <a:avLst/>
                        </a:prstGeom>
                        <a:solidFill>
                          <a:schemeClr val="lt1"/>
                        </a:solidFill>
                        <a:ln w="6350">
                          <a:noFill/>
                        </a:ln>
                      </wps:spPr>
                      <wps:txbx>
                        <w:txbxContent>
                          <w:p w14:paraId="2A6A86CA" w14:textId="17B3C70B" w:rsidR="007F557D" w:rsidRPr="007F557D" w:rsidRDefault="007F557D" w:rsidP="007F557D">
                            <w:pPr>
                              <w:rPr>
                                <w:sz w:val="16"/>
                                <w:szCs w:val="16"/>
                              </w:rPr>
                            </w:pPr>
                            <w:r>
                              <w:rPr>
                                <w:sz w:val="16"/>
                                <w:szCs w:val="16"/>
                              </w:rPr>
                              <w:t>Water vapor diffusivity (m².s</w:t>
                            </w:r>
                            <w:r>
                              <w:rPr>
                                <w:sz w:val="16"/>
                                <w:szCs w:val="16"/>
                                <w:vertAlign w:val="superscript"/>
                              </w:rPr>
                              <w:t>-1</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589F" id="Zone de texte 6" o:spid="_x0000_s1029" type="#_x0000_t202" style="position:absolute;left:0;text-align:left;margin-left:36.6pt;margin-top:86.4pt;width:119.4pt;height:16.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" fillcolor="white [3201]" stroked="f" strokeweight=".5pt">
                <v:textbox>
                  <w:txbxContent>
                    <w:p w14:paraId="2A6A86CA" w14:textId="17B3C70B" w:rsidR="007F557D" w:rsidRPr="007F557D" w:rsidRDefault="007F557D" w:rsidP="007F557D">
                      <w:pPr>
                        <w:rPr>
                          <w:sz w:val="16"/>
                          <w:szCs w:val="16"/>
                        </w:rPr>
                      </w:pPr>
                      <w:r>
                        <w:rPr>
                          <w:sz w:val="16"/>
                          <w:szCs w:val="16"/>
                        </w:rPr>
                        <w:t>Water vapor diffusivity (m².s</w:t>
                      </w:r>
                      <w:r>
                        <w:rPr>
                          <w:sz w:val="16"/>
                          <w:szCs w:val="16"/>
                          <w:vertAlign w:val="superscript"/>
                        </w:rPr>
                        <w:t>-1</w:t>
                      </w:r>
                      <w:r>
                        <w:rPr>
                          <w:sz w:val="16"/>
                          <w:szCs w:val="16"/>
                        </w:rPr>
                        <w:t>)</w:t>
                      </w:r>
                    </w:p>
                  </w:txbxContent>
                </v:textbox>
              </v:shape>
            </w:pict>
          </mc:Fallback>
        </mc:AlternateContent>
      </w:r>
      <w:r w:rsidR="00C242B5" w:rsidRPr="00531A24">
        <w:rPr>
          <w:rFonts w:cstheme="majorBidi"/>
          <w:noProof/>
        </w:rPr>
        <w:drawing>
          <wp:inline distT="0" distB="0" distL="0" distR="0" wp14:anchorId="5713B449" wp14:editId="4BDEBB7A">
            <wp:extent cx="3600000" cy="2688492"/>
            <wp:effectExtent l="0" t="0" r="635" b="0"/>
            <wp:docPr id="5" name="Image 4" descr="Une image contenant texte, ligne, Tracé, diagramme&#10;&#10;Description générée automatiquement">
              <a:extLst xmlns:a="http://schemas.openxmlformats.org/drawingml/2006/main">
                <a:ext uri="{FF2B5EF4-FFF2-40B4-BE49-F238E27FC236}">
                  <a16:creationId xmlns:a16="http://schemas.microsoft.com/office/drawing/2014/main" id="{AB94636E-B0DD-C8A7-50A8-47B22A7AF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igne, Tracé, diagramme&#10;&#10;Description générée automatiquement">
                      <a:extLst>
                        <a:ext uri="{FF2B5EF4-FFF2-40B4-BE49-F238E27FC236}">
                          <a16:creationId xmlns:a16="http://schemas.microsoft.com/office/drawing/2014/main" id="{AB94636E-B0DD-C8A7-50A8-47B22A7AF67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688492"/>
                    </a:xfrm>
                    <a:prstGeom prst="rect">
                      <a:avLst/>
                    </a:prstGeom>
                  </pic:spPr>
                </pic:pic>
              </a:graphicData>
            </a:graphic>
          </wp:inline>
        </w:drawing>
      </w:r>
    </w:p>
    <w:p w14:paraId="55DE0E3C" w14:textId="4EE8F3AB" w:rsidR="00C242B5" w:rsidRPr="00531A24" w:rsidRDefault="001F642E" w:rsidP="001F642E">
      <w:pPr>
        <w:pStyle w:val="FigureCaption"/>
      </w:pPr>
      <w:r w:rsidRPr="00531A24">
        <w:rPr>
          <w:b/>
          <w:caps/>
        </w:rPr>
        <w:t xml:space="preserve">Figure </w:t>
      </w:r>
      <w:r w:rsidR="00867ED2" w:rsidRPr="00531A24">
        <w:rPr>
          <w:b/>
          <w:caps/>
        </w:rPr>
        <w:t>6</w:t>
      </w:r>
      <w:r w:rsidRPr="00531A24">
        <w:rPr>
          <w:b/>
          <w:caps/>
        </w:rPr>
        <w:t>.</w:t>
      </w:r>
      <w:r w:rsidRPr="00531A24">
        <w:t xml:space="preserve"> </w:t>
      </w:r>
      <w:r w:rsidR="00C242B5" w:rsidRPr="00531A24">
        <w:t xml:space="preserve"> Effect of Relative Humidity and Temperature on Water Vapor Diffusivity in cob Material</w:t>
      </w:r>
    </w:p>
    <w:p w14:paraId="238F91B4" w14:textId="71CF02C9" w:rsidR="00D87E2A" w:rsidRPr="00531A24" w:rsidRDefault="00D87E2A" w:rsidP="00D87E2A">
      <w:pPr>
        <w:pStyle w:val="Heading1"/>
        <w:rPr>
          <w:b w:val="0"/>
          <w:caps w:val="0"/>
          <w:sz w:val="20"/>
        </w:rPr>
      </w:pPr>
      <w:r w:rsidRPr="00531A24">
        <w:rPr>
          <w:rFonts w:asciiTheme="majorBidi" w:hAnsiTheme="majorBidi" w:cstheme="majorBidi"/>
        </w:rPr>
        <w:lastRenderedPageBreak/>
        <w:t>CONCLUSION</w:t>
      </w:r>
    </w:p>
    <w:p w14:paraId="24B95327" w14:textId="77777777" w:rsidR="00BC7B9C" w:rsidRPr="00531A24" w:rsidRDefault="00BC7B9C" w:rsidP="00BC7B9C">
      <w:pPr>
        <w:pStyle w:val="Paragraph"/>
      </w:pPr>
      <w:r w:rsidRPr="00531A24">
        <w:t>This study demonstrates that temperature has a significant impact on the hygroscopic properties of cob material, directly influencing its effectiveness for thermal storage and moisture regulation in buildings. At higher temperatures, the vapor permeability and porosity of the material decrease, which reduces latent heat transfer through adsorption and desorption, favoring the conservation of sensible heat. This improves the material's thermal inertia, allowing for better indoor temperature regulation.</w:t>
      </w:r>
    </w:p>
    <w:p w14:paraId="7C9572E7" w14:textId="77777777" w:rsidR="00BC7B9C" w:rsidRPr="00531A24" w:rsidRDefault="00BC7B9C" w:rsidP="00BC7B9C">
      <w:pPr>
        <w:pStyle w:val="Paragraph"/>
      </w:pPr>
      <w:r w:rsidRPr="00531A24">
        <w:t>However, this reduction in permeability and porosity limits the cob’s ability to absorb and store moisture, affecting its efficiency for latent heat storage. In other words, at higher temperatures, although the vapor diffusion capacity increases, pore saturation reduces the material’s ability to store heat in its latent form.</w:t>
      </w:r>
    </w:p>
    <w:p w14:paraId="383998B4" w14:textId="4BEA74F3" w:rsidR="00BC7B9C" w:rsidRPr="00531A24" w:rsidRDefault="00BC7B9C" w:rsidP="00BC7B9C">
      <w:pPr>
        <w:pStyle w:val="Paragraph"/>
        <w:rPr>
          <w:rFonts w:asciiTheme="majorBidi" w:hAnsiTheme="majorBidi" w:cstheme="majorBidi"/>
        </w:rPr>
      </w:pPr>
      <w:r w:rsidRPr="00531A24">
        <w:t>Thus, rammed earth remains an effective material for thermal regulation through sensible heat, but its overall energy efficiency depends on the balance between temperature variations and its moisture adsorption and diffusion capacities. These results highlight the importance of considering climatic conditions and thermal variations when using cob material in energy-efficient construction.</w:t>
      </w:r>
    </w:p>
    <w:p w14:paraId="2B2F520D" w14:textId="77777777" w:rsidR="00BC7B9C" w:rsidRPr="00531A24" w:rsidRDefault="00BC7B9C" w:rsidP="003B0050">
      <w:pPr>
        <w:pStyle w:val="Paragraph"/>
      </w:pPr>
    </w:p>
    <w:p w14:paraId="0542E43C" w14:textId="77777777" w:rsidR="00BC7B9C" w:rsidRPr="00531A24" w:rsidRDefault="0016385D" w:rsidP="00BC7B9C">
      <w:pPr>
        <w:pStyle w:val="Heading1"/>
        <w:rPr>
          <w:rFonts w:asciiTheme="majorBidi" w:hAnsiTheme="majorBidi" w:cstheme="majorBidi"/>
        </w:rPr>
      </w:pPr>
      <w:r w:rsidRPr="00531A24">
        <w:rPr>
          <w:rFonts w:asciiTheme="majorBidi" w:hAnsiTheme="majorBidi" w:cstheme="majorBidi"/>
        </w:rPr>
        <w:t>Acknowledgments</w:t>
      </w:r>
    </w:p>
    <w:p w14:paraId="3E1D541B" w14:textId="35FF38BF" w:rsidR="005C3851" w:rsidRPr="005C3851" w:rsidRDefault="005C3851" w:rsidP="005C3851">
      <w:pPr>
        <w:pStyle w:val="NormalWeb"/>
        <w:jc w:val="both"/>
        <w:rPr>
          <w:rFonts w:asciiTheme="majorBidi" w:hAnsiTheme="majorBidi" w:cstheme="majorBidi"/>
          <w:sz w:val="22"/>
          <w:szCs w:val="22"/>
          <w:lang w:val="en-US"/>
        </w:rPr>
      </w:pPr>
      <w:r w:rsidRPr="005C3851">
        <w:rPr>
          <w:rFonts w:asciiTheme="majorBidi" w:hAnsiTheme="majorBidi" w:cstheme="majorBidi"/>
          <w:color w:val="000000"/>
          <w:sz w:val="22"/>
          <w:szCs w:val="22"/>
          <w:shd w:val="clear" w:color="auto" w:fill="FFFFFF"/>
          <w:lang w:val="en-US"/>
        </w:rPr>
        <w:t xml:space="preserve">This work is conducted as part of the </w:t>
      </w:r>
      <w:proofErr w:type="spellStart"/>
      <w:r w:rsidRPr="005C3851">
        <w:rPr>
          <w:rFonts w:asciiTheme="majorBidi" w:hAnsiTheme="majorBidi" w:cstheme="majorBidi"/>
          <w:color w:val="000000"/>
          <w:sz w:val="22"/>
          <w:szCs w:val="22"/>
          <w:shd w:val="clear" w:color="auto" w:fill="FFFFFF"/>
          <w:lang w:val="en-US"/>
        </w:rPr>
        <w:t>CobBauge</w:t>
      </w:r>
      <w:proofErr w:type="spellEnd"/>
      <w:r w:rsidRPr="005C3851">
        <w:rPr>
          <w:rFonts w:asciiTheme="majorBidi" w:hAnsiTheme="majorBidi" w:cstheme="majorBidi"/>
          <w:color w:val="000000"/>
          <w:sz w:val="22"/>
          <w:szCs w:val="22"/>
          <w:shd w:val="clear" w:color="auto" w:fill="FFFFFF"/>
          <w:lang w:val="en-US"/>
        </w:rPr>
        <w:t xml:space="preserve"> project selected by the European cross-border cooperation program, INTEREG V France (Manche)–England. The authors would like to thank the ERDF for funding this work</w:t>
      </w:r>
      <w:r w:rsidRPr="005C3851">
        <w:rPr>
          <w:rFonts w:asciiTheme="majorBidi" w:hAnsiTheme="majorBidi" w:cstheme="majorBidi"/>
          <w:sz w:val="22"/>
          <w:szCs w:val="22"/>
          <w:lang w:val="en-US"/>
        </w:rPr>
        <w:t>. The authors also acknowledge the scholarship support provided by the Moroccan National Center for Scientific and Technical Research (CNRST).</w:t>
      </w:r>
    </w:p>
    <w:p w14:paraId="16F21B4D" w14:textId="4719A6B5" w:rsidR="00613B4D" w:rsidRPr="00531A24" w:rsidRDefault="0016385D" w:rsidP="00613B4D">
      <w:pPr>
        <w:pStyle w:val="Heading1"/>
        <w:rPr>
          <w:b w:val="0"/>
          <w:caps w:val="0"/>
          <w:sz w:val="20"/>
        </w:rPr>
      </w:pPr>
      <w:r w:rsidRPr="00531A24">
        <w:rPr>
          <w:rFonts w:asciiTheme="majorBidi" w:hAnsiTheme="majorBidi" w:cstheme="majorBidi"/>
        </w:rPr>
        <w:t>References</w:t>
      </w:r>
    </w:p>
    <w:p w14:paraId="13443683" w14:textId="77777777" w:rsidR="008059A1" w:rsidRPr="008059A1" w:rsidRDefault="00977230" w:rsidP="008059A1">
      <w:pPr>
        <w:pStyle w:val="Bibliography"/>
        <w:rPr>
          <w:sz w:val="20"/>
        </w:rPr>
      </w:pPr>
      <w:r w:rsidRPr="00531A24">
        <w:rPr>
          <w:rFonts w:asciiTheme="majorBidi" w:hAnsiTheme="majorBidi" w:cstheme="majorBidi"/>
        </w:rPr>
        <w:fldChar w:fldCharType="begin"/>
      </w:r>
      <w:r w:rsidR="00665E5B" w:rsidRPr="00531A24">
        <w:rPr>
          <w:rFonts w:asciiTheme="majorBidi" w:hAnsiTheme="majorBidi" w:cstheme="majorBidi"/>
        </w:rPr>
        <w:instrText xml:space="preserve"> ADDIN ZOTERO_BIBL {"uncited":[],"omitted":[],"custom":[]} CSL_BIBLIOGRAPHY </w:instrText>
      </w:r>
      <w:r w:rsidRPr="00531A24">
        <w:rPr>
          <w:rFonts w:asciiTheme="majorBidi" w:hAnsiTheme="majorBidi" w:cstheme="majorBidi"/>
        </w:rPr>
        <w:fldChar w:fldCharType="separate"/>
      </w:r>
      <w:r w:rsidR="008059A1" w:rsidRPr="008059A1">
        <w:rPr>
          <w:sz w:val="20"/>
        </w:rPr>
        <w:t>[1]</w:t>
      </w:r>
      <w:r w:rsidR="008059A1" w:rsidRPr="008059A1">
        <w:rPr>
          <w:sz w:val="20"/>
        </w:rPr>
        <w:tab/>
        <w:t xml:space="preserve">Y. Taouirte, T. Kaoutari, H. Louahlia, A. Gounni, et M. El Alami, « Experimental Study on the Hygrothermal Effect of Incorporating Phase-Change Materials in Cob Construction », </w:t>
      </w:r>
      <w:r w:rsidR="008059A1" w:rsidRPr="008059A1">
        <w:rPr>
          <w:i/>
          <w:iCs/>
          <w:sz w:val="20"/>
        </w:rPr>
        <w:t>Buildings</w:t>
      </w:r>
      <w:r w:rsidR="008059A1" w:rsidRPr="008059A1">
        <w:rPr>
          <w:sz w:val="20"/>
        </w:rPr>
        <w:t>, vol. 15, n</w:t>
      </w:r>
      <w:r w:rsidR="008059A1" w:rsidRPr="008059A1">
        <w:rPr>
          <w:sz w:val="20"/>
          <w:vertAlign w:val="superscript"/>
        </w:rPr>
        <w:t>o</w:t>
      </w:r>
      <w:r w:rsidR="008059A1" w:rsidRPr="008059A1">
        <w:rPr>
          <w:sz w:val="20"/>
        </w:rPr>
        <w:t xml:space="preserve"> 7, Art. n</w:t>
      </w:r>
      <w:r w:rsidR="008059A1" w:rsidRPr="008059A1">
        <w:rPr>
          <w:sz w:val="20"/>
          <w:vertAlign w:val="superscript"/>
        </w:rPr>
        <w:t>o</w:t>
      </w:r>
      <w:r w:rsidR="008059A1" w:rsidRPr="008059A1">
        <w:rPr>
          <w:sz w:val="20"/>
        </w:rPr>
        <w:t xml:space="preserve"> 7, janv. 2025, doi: 10.3390/buildings15071047.</w:t>
      </w:r>
    </w:p>
    <w:p w14:paraId="3AEC07B5" w14:textId="77777777" w:rsidR="008059A1" w:rsidRPr="008059A1" w:rsidRDefault="008059A1" w:rsidP="008059A1">
      <w:pPr>
        <w:pStyle w:val="Bibliography"/>
        <w:rPr>
          <w:sz w:val="20"/>
        </w:rPr>
      </w:pPr>
      <w:r w:rsidRPr="008059A1">
        <w:rPr>
          <w:sz w:val="20"/>
        </w:rPr>
        <w:t>[2]</w:t>
      </w:r>
      <w:r w:rsidRPr="008059A1">
        <w:rPr>
          <w:sz w:val="20"/>
        </w:rPr>
        <w:tab/>
        <w:t xml:space="preserve">F. Pacheco-Torgal et S. Jalali, « Earth construction: Lessons from the past for future eco-efficient construction », </w:t>
      </w:r>
      <w:r w:rsidRPr="008059A1">
        <w:rPr>
          <w:i/>
          <w:iCs/>
          <w:sz w:val="20"/>
        </w:rPr>
        <w:t>Construction and building materials</w:t>
      </w:r>
      <w:r w:rsidRPr="008059A1">
        <w:rPr>
          <w:sz w:val="20"/>
        </w:rPr>
        <w:t>, vol. 29, p. 512‑519, 2012.</w:t>
      </w:r>
    </w:p>
    <w:p w14:paraId="0BF09139" w14:textId="77777777" w:rsidR="008059A1" w:rsidRPr="008059A1" w:rsidRDefault="008059A1" w:rsidP="008059A1">
      <w:pPr>
        <w:pStyle w:val="Bibliography"/>
        <w:rPr>
          <w:sz w:val="20"/>
        </w:rPr>
      </w:pPr>
      <w:r w:rsidRPr="008059A1">
        <w:rPr>
          <w:sz w:val="20"/>
        </w:rPr>
        <w:t>[3]</w:t>
      </w:r>
      <w:r w:rsidRPr="008059A1">
        <w:rPr>
          <w:sz w:val="20"/>
        </w:rPr>
        <w:tab/>
        <w:t xml:space="preserve">Y. Aït Oumeziane, S. Moissette, M. Bart, et C. Lanos, « Influence of temperature on sorption process in hemp concrete », </w:t>
      </w:r>
      <w:r w:rsidRPr="008059A1">
        <w:rPr>
          <w:i/>
          <w:iCs/>
          <w:sz w:val="20"/>
        </w:rPr>
        <w:t>Construction and Building Materials</w:t>
      </w:r>
      <w:r w:rsidRPr="008059A1">
        <w:rPr>
          <w:sz w:val="20"/>
        </w:rPr>
        <w:t>, vol. 106, p. 600‑607, mars 2016, doi: 10.1016/j.conbuildmat.2015.12.117.</w:t>
      </w:r>
    </w:p>
    <w:p w14:paraId="26FFE710" w14:textId="77777777" w:rsidR="008059A1" w:rsidRPr="008059A1" w:rsidRDefault="008059A1" w:rsidP="008059A1">
      <w:pPr>
        <w:pStyle w:val="Bibliography"/>
        <w:rPr>
          <w:sz w:val="20"/>
        </w:rPr>
      </w:pPr>
      <w:r w:rsidRPr="008059A1">
        <w:rPr>
          <w:sz w:val="20"/>
        </w:rPr>
        <w:t>[4]</w:t>
      </w:r>
      <w:r w:rsidRPr="008059A1">
        <w:rPr>
          <w:sz w:val="20"/>
        </w:rPr>
        <w:tab/>
        <w:t xml:space="preserve">S. Poyet, « Experimental investigation of the effect of temperature on the first desorption isotherm of concrete », </w:t>
      </w:r>
      <w:r w:rsidRPr="008059A1">
        <w:rPr>
          <w:i/>
          <w:iCs/>
          <w:sz w:val="20"/>
        </w:rPr>
        <w:t>Cement and Concrete Research</w:t>
      </w:r>
      <w:r w:rsidRPr="008059A1">
        <w:rPr>
          <w:sz w:val="20"/>
        </w:rPr>
        <w:t>, vol. 39, n</w:t>
      </w:r>
      <w:r w:rsidRPr="008059A1">
        <w:rPr>
          <w:sz w:val="20"/>
          <w:vertAlign w:val="superscript"/>
        </w:rPr>
        <w:t>o</w:t>
      </w:r>
      <w:r w:rsidRPr="008059A1">
        <w:rPr>
          <w:sz w:val="20"/>
        </w:rPr>
        <w:t xml:space="preserve"> 11, p. 1052‑1059, nov. 2009, doi: 10.1016/j.cemconres.2009.06.019.</w:t>
      </w:r>
    </w:p>
    <w:p w14:paraId="425022DC" w14:textId="77777777" w:rsidR="008059A1" w:rsidRPr="008059A1" w:rsidRDefault="008059A1" w:rsidP="008059A1">
      <w:pPr>
        <w:pStyle w:val="Bibliography"/>
        <w:rPr>
          <w:sz w:val="20"/>
        </w:rPr>
      </w:pPr>
      <w:r w:rsidRPr="008059A1">
        <w:rPr>
          <w:sz w:val="20"/>
        </w:rPr>
        <w:t>[5]</w:t>
      </w:r>
      <w:r w:rsidRPr="008059A1">
        <w:rPr>
          <w:sz w:val="20"/>
        </w:rPr>
        <w:tab/>
        <w:t xml:space="preserve">Y. Taouirte, A.-L. Tiffonnet, M. Marion, H. Louahlia, M. El Alami, et Ayoub Gounni, « Effect of Temperature on Moisture Migration in Earth and Fiber Mixtures for Cob Materials », </w:t>
      </w:r>
      <w:r w:rsidRPr="008059A1">
        <w:rPr>
          <w:i/>
          <w:iCs/>
          <w:sz w:val="20"/>
        </w:rPr>
        <w:t>Energies</w:t>
      </w:r>
      <w:r w:rsidRPr="008059A1">
        <w:rPr>
          <w:sz w:val="20"/>
        </w:rPr>
        <w:t>, vol. 16, n</w:t>
      </w:r>
      <w:r w:rsidRPr="008059A1">
        <w:rPr>
          <w:sz w:val="20"/>
          <w:vertAlign w:val="superscript"/>
        </w:rPr>
        <w:t>o</w:t>
      </w:r>
      <w:r w:rsidRPr="008059A1">
        <w:rPr>
          <w:sz w:val="20"/>
        </w:rPr>
        <w:t xml:space="preserve"> 14, Art. n</w:t>
      </w:r>
      <w:r w:rsidRPr="008059A1">
        <w:rPr>
          <w:sz w:val="20"/>
          <w:vertAlign w:val="superscript"/>
        </w:rPr>
        <w:t>o</w:t>
      </w:r>
      <w:r w:rsidRPr="008059A1">
        <w:rPr>
          <w:sz w:val="20"/>
        </w:rPr>
        <w:t xml:space="preserve"> 14, janv. 2023.</w:t>
      </w:r>
    </w:p>
    <w:p w14:paraId="175627CB" w14:textId="77777777" w:rsidR="008059A1" w:rsidRPr="008059A1" w:rsidRDefault="008059A1" w:rsidP="008059A1">
      <w:pPr>
        <w:pStyle w:val="Bibliography"/>
        <w:rPr>
          <w:sz w:val="20"/>
        </w:rPr>
      </w:pPr>
      <w:r w:rsidRPr="008059A1">
        <w:rPr>
          <w:sz w:val="20"/>
        </w:rPr>
        <w:t>[6]</w:t>
      </w:r>
      <w:r w:rsidRPr="008059A1">
        <w:rPr>
          <w:sz w:val="20"/>
        </w:rPr>
        <w:tab/>
        <w:t xml:space="preserve">C. Feng, H. Janssen, Y. Feng, et Q. Meng, « Hygric properties of porous building materials: Analysis of measurement repeatability and reproducibility », </w:t>
      </w:r>
      <w:r w:rsidRPr="008059A1">
        <w:rPr>
          <w:i/>
          <w:iCs/>
          <w:sz w:val="20"/>
        </w:rPr>
        <w:t>Building and Environment</w:t>
      </w:r>
      <w:r w:rsidRPr="008059A1">
        <w:rPr>
          <w:sz w:val="20"/>
        </w:rPr>
        <w:t>, vol. 85, p. 160‑172, févr. 2015, doi: 10.1016/j.buildenv.2014.11.036.</w:t>
      </w:r>
    </w:p>
    <w:p w14:paraId="5F41505D" w14:textId="77777777" w:rsidR="008059A1" w:rsidRPr="008059A1" w:rsidRDefault="008059A1" w:rsidP="008059A1">
      <w:pPr>
        <w:pStyle w:val="Bibliography"/>
        <w:rPr>
          <w:sz w:val="20"/>
        </w:rPr>
      </w:pPr>
      <w:r w:rsidRPr="008059A1">
        <w:rPr>
          <w:sz w:val="20"/>
        </w:rPr>
        <w:t>[7]</w:t>
      </w:r>
      <w:r w:rsidRPr="008059A1">
        <w:rPr>
          <w:sz w:val="20"/>
        </w:rPr>
        <w:tab/>
        <w:t xml:space="preserve">S. Poyet et S. Charles, « Temperature dependence of the sorption isotherms of cement-based materials: Heat of sorption and Clausius–Clapeyron formula », </w:t>
      </w:r>
      <w:r w:rsidRPr="008059A1">
        <w:rPr>
          <w:i/>
          <w:iCs/>
          <w:sz w:val="20"/>
        </w:rPr>
        <w:t>Cement and Concrete Research</w:t>
      </w:r>
      <w:r w:rsidRPr="008059A1">
        <w:rPr>
          <w:sz w:val="20"/>
        </w:rPr>
        <w:t>, vol. 39, n</w:t>
      </w:r>
      <w:r w:rsidRPr="008059A1">
        <w:rPr>
          <w:sz w:val="20"/>
          <w:vertAlign w:val="superscript"/>
        </w:rPr>
        <w:t>o</w:t>
      </w:r>
      <w:r w:rsidRPr="008059A1">
        <w:rPr>
          <w:sz w:val="20"/>
        </w:rPr>
        <w:t xml:space="preserve"> 11, p. 1060‑1067, nov. 2009, doi: 10.1016/j.cemconres.2009.07.018.</w:t>
      </w:r>
    </w:p>
    <w:p w14:paraId="67B4F3C6" w14:textId="77777777" w:rsidR="008059A1" w:rsidRPr="008059A1" w:rsidRDefault="008059A1" w:rsidP="008059A1">
      <w:pPr>
        <w:pStyle w:val="Bibliography"/>
        <w:rPr>
          <w:sz w:val="20"/>
        </w:rPr>
      </w:pPr>
      <w:r w:rsidRPr="008059A1">
        <w:rPr>
          <w:sz w:val="20"/>
        </w:rPr>
        <w:t>[8]</w:t>
      </w:r>
      <w:r w:rsidRPr="008059A1">
        <w:rPr>
          <w:sz w:val="20"/>
        </w:rPr>
        <w:tab/>
        <w:t xml:space="preserve">T. Colinart et P. Glouannec, « Temperature dependence of sorption isotherm of hygroscopic building materials. Part 1: Experimental evidence and modeling », </w:t>
      </w:r>
      <w:r w:rsidRPr="008059A1">
        <w:rPr>
          <w:i/>
          <w:iCs/>
          <w:sz w:val="20"/>
        </w:rPr>
        <w:t>Energy and Buildings</w:t>
      </w:r>
      <w:r w:rsidRPr="008059A1">
        <w:rPr>
          <w:sz w:val="20"/>
        </w:rPr>
        <w:t>, vol. 139, p. 360‑370, mars 2017, doi: 10.1016/j.enbuild.2016.12.082.</w:t>
      </w:r>
    </w:p>
    <w:p w14:paraId="23F8D3AA" w14:textId="77777777" w:rsidR="008059A1" w:rsidRPr="008059A1" w:rsidRDefault="008059A1" w:rsidP="008059A1">
      <w:pPr>
        <w:pStyle w:val="Bibliography"/>
        <w:rPr>
          <w:sz w:val="20"/>
        </w:rPr>
      </w:pPr>
      <w:r w:rsidRPr="008059A1">
        <w:rPr>
          <w:sz w:val="20"/>
        </w:rPr>
        <w:t>[9]</w:t>
      </w:r>
      <w:r w:rsidRPr="008059A1">
        <w:rPr>
          <w:sz w:val="20"/>
        </w:rPr>
        <w:tab/>
        <w:t xml:space="preserve">T. Colinart, P. Glouannec, M. Bendouma, et P. Chauvelon, « Temperature dependence of sorption isotherm of hygroscopic building materials. Part 2: Influence on hygrothermal behavior of hemp concrete », </w:t>
      </w:r>
      <w:r w:rsidRPr="008059A1">
        <w:rPr>
          <w:i/>
          <w:iCs/>
          <w:sz w:val="20"/>
        </w:rPr>
        <w:t>Energy and Buildings</w:t>
      </w:r>
      <w:r w:rsidRPr="008059A1">
        <w:rPr>
          <w:sz w:val="20"/>
        </w:rPr>
        <w:t>, vol. 152, p. 42‑51, oct. 2017, doi: 10.1016/j.enbuild.2017.07.016.</w:t>
      </w:r>
    </w:p>
    <w:p w14:paraId="1BDCE758" w14:textId="77777777" w:rsidR="008059A1" w:rsidRPr="008059A1" w:rsidRDefault="008059A1" w:rsidP="008059A1">
      <w:pPr>
        <w:pStyle w:val="Bibliography"/>
        <w:rPr>
          <w:sz w:val="20"/>
          <w:lang w:val="fr-FR"/>
        </w:rPr>
      </w:pPr>
      <w:r w:rsidRPr="008059A1">
        <w:rPr>
          <w:sz w:val="20"/>
          <w:lang w:val="fr-FR"/>
        </w:rPr>
        <w:t>[10]</w:t>
      </w:r>
      <w:r w:rsidRPr="008059A1">
        <w:rPr>
          <w:sz w:val="20"/>
          <w:lang w:val="fr-FR"/>
        </w:rPr>
        <w:tab/>
        <w:t>« Technical-report_ESITC_feb2019.pdf ». Consulté le: 9 décembre 2022. [En ligne]. Disponible sur: http://www.cobbauge.eu/wp-content/uploads/2019/05/Technical-report_ESITC_feb2019.pdf</w:t>
      </w:r>
    </w:p>
    <w:p w14:paraId="04A3D27F" w14:textId="77777777" w:rsidR="008059A1" w:rsidRPr="008059A1" w:rsidRDefault="008059A1" w:rsidP="008059A1">
      <w:pPr>
        <w:pStyle w:val="Bibliography"/>
        <w:rPr>
          <w:sz w:val="20"/>
          <w:lang w:val="fr-FR"/>
        </w:rPr>
      </w:pPr>
      <w:r w:rsidRPr="008059A1">
        <w:rPr>
          <w:sz w:val="20"/>
        </w:rPr>
        <w:lastRenderedPageBreak/>
        <w:t>[11]</w:t>
      </w:r>
      <w:r w:rsidRPr="008059A1">
        <w:rPr>
          <w:sz w:val="20"/>
        </w:rPr>
        <w:tab/>
        <w:t xml:space="preserve">M. C. Jiménez Delgado et I. C. Guerrero, « The selection of soils for unstabilised earth building: A normative review », </w:t>
      </w:r>
      <w:r w:rsidRPr="008059A1">
        <w:rPr>
          <w:i/>
          <w:iCs/>
          <w:sz w:val="20"/>
        </w:rPr>
        <w:t>Construction and Building Materials</w:t>
      </w:r>
      <w:r w:rsidRPr="008059A1">
        <w:rPr>
          <w:sz w:val="20"/>
        </w:rPr>
        <w:t>, vol. 21, n</w:t>
      </w:r>
      <w:r w:rsidRPr="008059A1">
        <w:rPr>
          <w:sz w:val="20"/>
          <w:vertAlign w:val="superscript"/>
        </w:rPr>
        <w:t>o</w:t>
      </w:r>
      <w:r w:rsidRPr="008059A1">
        <w:rPr>
          <w:sz w:val="20"/>
        </w:rPr>
        <w:t xml:space="preserve"> 2, p. 237‑251, févr. </w:t>
      </w:r>
      <w:r w:rsidRPr="008059A1">
        <w:rPr>
          <w:sz w:val="20"/>
          <w:lang w:val="fr-FR"/>
        </w:rPr>
        <w:t>2007, doi: 10.1016/j.conbuildmat.2005.08.006.</w:t>
      </w:r>
    </w:p>
    <w:p w14:paraId="1BCEF61B" w14:textId="77777777" w:rsidR="008059A1" w:rsidRPr="008059A1" w:rsidRDefault="008059A1" w:rsidP="008059A1">
      <w:pPr>
        <w:pStyle w:val="Bibliography"/>
        <w:rPr>
          <w:sz w:val="20"/>
        </w:rPr>
      </w:pPr>
      <w:r w:rsidRPr="008059A1">
        <w:rPr>
          <w:sz w:val="20"/>
          <w:lang w:val="fr-FR"/>
        </w:rPr>
        <w:t>[12]</w:t>
      </w:r>
      <w:r w:rsidRPr="008059A1">
        <w:rPr>
          <w:sz w:val="20"/>
          <w:lang w:val="fr-FR"/>
        </w:rPr>
        <w:tab/>
        <w:t xml:space="preserve">14:00-17:00, « ISO 12572:2016 », ISO. Consulté le: 25 mai 2023. [En ligne]. </w:t>
      </w:r>
      <w:r w:rsidRPr="008059A1">
        <w:rPr>
          <w:sz w:val="20"/>
        </w:rPr>
        <w:t>Disponible sur: https://www.iso.org/fr/standard/64988.html</w:t>
      </w:r>
    </w:p>
    <w:p w14:paraId="6DC4247A" w14:textId="77777777" w:rsidR="008059A1" w:rsidRPr="008059A1" w:rsidRDefault="008059A1" w:rsidP="008059A1">
      <w:pPr>
        <w:pStyle w:val="Bibliography"/>
        <w:rPr>
          <w:sz w:val="20"/>
        </w:rPr>
      </w:pPr>
      <w:r w:rsidRPr="008059A1">
        <w:rPr>
          <w:sz w:val="20"/>
        </w:rPr>
        <w:t>[13]</w:t>
      </w:r>
      <w:r w:rsidRPr="008059A1">
        <w:rPr>
          <w:sz w:val="20"/>
        </w:rPr>
        <w:tab/>
        <w:t xml:space="preserve">F. A. Dullien, </w:t>
      </w:r>
      <w:r w:rsidRPr="008059A1">
        <w:rPr>
          <w:i/>
          <w:iCs/>
          <w:sz w:val="20"/>
        </w:rPr>
        <w:t>Porous media: fluid transport and pore structure</w:t>
      </w:r>
      <w:r w:rsidRPr="008059A1">
        <w:rPr>
          <w:sz w:val="20"/>
        </w:rPr>
        <w:t>. Academic press, 2012.</w:t>
      </w:r>
    </w:p>
    <w:p w14:paraId="18B83EC7" w14:textId="77777777" w:rsidR="008059A1" w:rsidRPr="008059A1" w:rsidRDefault="008059A1" w:rsidP="008059A1">
      <w:pPr>
        <w:pStyle w:val="Bibliography"/>
        <w:rPr>
          <w:sz w:val="20"/>
        </w:rPr>
      </w:pPr>
      <w:r w:rsidRPr="008059A1">
        <w:rPr>
          <w:sz w:val="20"/>
        </w:rPr>
        <w:t>[14]</w:t>
      </w:r>
      <w:r w:rsidRPr="008059A1">
        <w:rPr>
          <w:sz w:val="20"/>
        </w:rPr>
        <w:tab/>
        <w:t xml:space="preserve">A. E. Charola et E. Wendler, « An Overview of the Water-Porous Building Materials Interactions », </w:t>
      </w:r>
      <w:r w:rsidRPr="008059A1">
        <w:rPr>
          <w:i/>
          <w:iCs/>
          <w:sz w:val="20"/>
        </w:rPr>
        <w:t>Restoration of Buildings and Monuments</w:t>
      </w:r>
      <w:r w:rsidRPr="008059A1">
        <w:rPr>
          <w:sz w:val="20"/>
        </w:rPr>
        <w:t>, vol. 21, n</w:t>
      </w:r>
      <w:r w:rsidRPr="008059A1">
        <w:rPr>
          <w:sz w:val="20"/>
          <w:vertAlign w:val="superscript"/>
        </w:rPr>
        <w:t>o</w:t>
      </w:r>
      <w:r w:rsidRPr="008059A1">
        <w:rPr>
          <w:sz w:val="20"/>
        </w:rPr>
        <w:t xml:space="preserve"> 2‑3, p. 55‑65, juin 2015, doi: 10.1515/rbm-2015-2006.</w:t>
      </w:r>
    </w:p>
    <w:p w14:paraId="6F4D25D7" w14:textId="77777777" w:rsidR="008059A1" w:rsidRPr="008059A1" w:rsidRDefault="008059A1" w:rsidP="008059A1">
      <w:pPr>
        <w:pStyle w:val="Bibliography"/>
        <w:rPr>
          <w:sz w:val="20"/>
          <w:lang w:val="fr-FR"/>
        </w:rPr>
      </w:pPr>
      <w:r w:rsidRPr="008059A1">
        <w:rPr>
          <w:sz w:val="20"/>
        </w:rPr>
        <w:t>[15]</w:t>
      </w:r>
      <w:r w:rsidRPr="008059A1">
        <w:rPr>
          <w:sz w:val="20"/>
        </w:rPr>
        <w:tab/>
        <w:t xml:space="preserve">T. Tracz, « Open porosity of cement pastes and their gas permeability », </w:t>
      </w:r>
      <w:r w:rsidRPr="008059A1">
        <w:rPr>
          <w:i/>
          <w:iCs/>
          <w:sz w:val="20"/>
        </w:rPr>
        <w:t xml:space="preserve">Bulletin of the Polish Academy of Sciences. </w:t>
      </w:r>
      <w:r w:rsidRPr="008059A1">
        <w:rPr>
          <w:i/>
          <w:iCs/>
          <w:sz w:val="20"/>
          <w:lang w:val="fr-FR"/>
        </w:rPr>
        <w:t>Technical Sciences</w:t>
      </w:r>
      <w:r w:rsidRPr="008059A1">
        <w:rPr>
          <w:sz w:val="20"/>
          <w:lang w:val="fr-FR"/>
        </w:rPr>
        <w:t>, vol. 64, n</w:t>
      </w:r>
      <w:r w:rsidRPr="008059A1">
        <w:rPr>
          <w:sz w:val="20"/>
          <w:vertAlign w:val="superscript"/>
          <w:lang w:val="fr-FR"/>
        </w:rPr>
        <w:t>o</w:t>
      </w:r>
      <w:r w:rsidRPr="008059A1">
        <w:rPr>
          <w:sz w:val="20"/>
          <w:lang w:val="fr-FR"/>
        </w:rPr>
        <w:t xml:space="preserve"> 4, 2016.</w:t>
      </w:r>
    </w:p>
    <w:p w14:paraId="7DB1A93B" w14:textId="77777777" w:rsidR="008059A1" w:rsidRPr="008059A1" w:rsidRDefault="008059A1" w:rsidP="008059A1">
      <w:pPr>
        <w:pStyle w:val="Bibliography"/>
        <w:rPr>
          <w:sz w:val="20"/>
          <w:lang w:val="fr-FR"/>
        </w:rPr>
      </w:pPr>
      <w:r w:rsidRPr="008059A1">
        <w:rPr>
          <w:sz w:val="20"/>
          <w:lang w:val="fr-FR"/>
        </w:rPr>
        <w:t>[16]</w:t>
      </w:r>
      <w:r w:rsidRPr="008059A1">
        <w:rPr>
          <w:sz w:val="20"/>
          <w:lang w:val="fr-FR"/>
        </w:rPr>
        <w:tab/>
        <w:t xml:space="preserve">H. Kallel, H. Carré, C. La Borderie, B. Masson, et N. C. Tran, « Influence de la température et de l’hygrométrie sur la perméabilité à l’Azote du béton », in </w:t>
      </w:r>
      <w:r w:rsidRPr="008059A1">
        <w:rPr>
          <w:i/>
          <w:iCs/>
          <w:sz w:val="20"/>
          <w:lang w:val="fr-FR"/>
        </w:rPr>
        <w:t>Rencontres Universitaires de Génie Civil</w:t>
      </w:r>
      <w:r w:rsidRPr="008059A1">
        <w:rPr>
          <w:sz w:val="20"/>
          <w:lang w:val="fr-FR"/>
        </w:rPr>
        <w:t>, Bayonne, France, mai 2015. Consulté le: 20 août 2023. [En ligne]. Disponible sur: https://hal.science/hal-01167595</w:t>
      </w:r>
    </w:p>
    <w:p w14:paraId="23B62DA7" w14:textId="77777777" w:rsidR="008059A1" w:rsidRPr="008059A1" w:rsidRDefault="008059A1" w:rsidP="008059A1">
      <w:pPr>
        <w:pStyle w:val="Bibliography"/>
        <w:rPr>
          <w:sz w:val="20"/>
          <w:lang w:val="fr-FR"/>
        </w:rPr>
      </w:pPr>
      <w:r w:rsidRPr="008059A1">
        <w:rPr>
          <w:sz w:val="20"/>
          <w:lang w:val="fr-FR"/>
        </w:rPr>
        <w:t>[17]</w:t>
      </w:r>
      <w:r w:rsidRPr="008059A1">
        <w:rPr>
          <w:sz w:val="20"/>
          <w:lang w:val="fr-FR"/>
        </w:rPr>
        <w:tab/>
        <w:t>H. Kallel, « Influence de la température et de l’hygrométrie sur le comportement instantané du béton », PhD Thesis, Université de Pau et des Pays de l’Adour-Laboratoire SIAME, 2016. Consulté le: 5 décembre 2024. [En ligne]. Disponible sur: https://univ-pau.hal.science/tel-02367577/</w:t>
      </w:r>
    </w:p>
    <w:p w14:paraId="1F0224D4" w14:textId="77777777" w:rsidR="008059A1" w:rsidRPr="008059A1" w:rsidRDefault="008059A1" w:rsidP="008059A1">
      <w:pPr>
        <w:pStyle w:val="Bibliography"/>
        <w:rPr>
          <w:sz w:val="20"/>
          <w:lang w:val="fr-FR"/>
        </w:rPr>
      </w:pPr>
      <w:r w:rsidRPr="008059A1">
        <w:rPr>
          <w:sz w:val="20"/>
          <w:lang w:val="fr-FR"/>
        </w:rPr>
        <w:t>[18]</w:t>
      </w:r>
      <w:r w:rsidRPr="008059A1">
        <w:rPr>
          <w:sz w:val="20"/>
          <w:lang w:val="fr-FR"/>
        </w:rPr>
        <w:tab/>
        <w:t>M. Lion, F. Skoczylas, et A. Play, « Perméabilité au gaz des matériaux à matrice cimentaire en fonction de la température ».</w:t>
      </w:r>
    </w:p>
    <w:p w14:paraId="304BA598" w14:textId="77777777" w:rsidR="008059A1" w:rsidRPr="008059A1" w:rsidRDefault="008059A1" w:rsidP="008059A1">
      <w:pPr>
        <w:pStyle w:val="Bibliography"/>
        <w:rPr>
          <w:sz w:val="20"/>
        </w:rPr>
      </w:pPr>
      <w:r w:rsidRPr="008059A1">
        <w:rPr>
          <w:sz w:val="20"/>
        </w:rPr>
        <w:t>[19]</w:t>
      </w:r>
      <w:r w:rsidRPr="008059A1">
        <w:rPr>
          <w:sz w:val="20"/>
        </w:rPr>
        <w:tab/>
        <w:t xml:space="preserve">M. Joshaghani et O. Ghasemi-Fare, « Exploring the effects of temperature on intrinsic permeability and void ratio alteration through temperature-controlled experiments », </w:t>
      </w:r>
      <w:r w:rsidRPr="008059A1">
        <w:rPr>
          <w:i/>
          <w:iCs/>
          <w:sz w:val="20"/>
        </w:rPr>
        <w:t>Engineering Geology</w:t>
      </w:r>
      <w:r w:rsidRPr="008059A1">
        <w:rPr>
          <w:sz w:val="20"/>
        </w:rPr>
        <w:t>, vol. 293, p. 106299, nov. 2021, doi: 10.1016/j.enggeo.2021.106299.</w:t>
      </w:r>
    </w:p>
    <w:p w14:paraId="4DE91CCB" w14:textId="52205DFD" w:rsidR="00326AE0" w:rsidRPr="00531A24" w:rsidRDefault="00977230" w:rsidP="00665E5B">
      <w:pPr>
        <w:pStyle w:val="Reference"/>
        <w:numPr>
          <w:ilvl w:val="0"/>
          <w:numId w:val="0"/>
        </w:numPr>
        <w:ind w:left="426"/>
        <w:rPr>
          <w:rFonts w:asciiTheme="majorBidi" w:hAnsiTheme="majorBidi" w:cstheme="majorBidi"/>
        </w:rPr>
      </w:pPr>
      <w:r w:rsidRPr="00531A24">
        <w:rPr>
          <w:rFonts w:asciiTheme="majorBidi" w:hAnsiTheme="majorBidi" w:cstheme="majorBidi"/>
        </w:rPr>
        <w:fldChar w:fldCharType="end"/>
      </w:r>
    </w:p>
    <w:sectPr w:rsidR="00326AE0" w:rsidRPr="00531A24"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4498E"/>
    <w:multiLevelType w:val="multilevel"/>
    <w:tmpl w:val="C46C20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B6C32A1"/>
    <w:multiLevelType w:val="multilevel"/>
    <w:tmpl w:val="C46C20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6"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82F2F69"/>
    <w:multiLevelType w:val="multilevel"/>
    <w:tmpl w:val="C46C20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1"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6"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8"/>
  </w:num>
  <w:num w:numId="2" w16cid:durableId="1623537524">
    <w:abstractNumId w:val="5"/>
  </w:num>
  <w:num w:numId="3" w16cid:durableId="333149680">
    <w:abstractNumId w:val="15"/>
  </w:num>
  <w:num w:numId="4" w16cid:durableId="1958750756">
    <w:abstractNumId w:val="10"/>
  </w:num>
  <w:num w:numId="5" w16cid:durableId="1466237890">
    <w:abstractNumId w:val="14"/>
  </w:num>
  <w:num w:numId="6" w16cid:durableId="846751398">
    <w:abstractNumId w:val="6"/>
  </w:num>
  <w:num w:numId="7" w16cid:durableId="982584711">
    <w:abstractNumId w:val="9"/>
  </w:num>
  <w:num w:numId="8" w16cid:durableId="247734440">
    <w:abstractNumId w:val="2"/>
  </w:num>
  <w:num w:numId="9" w16cid:durableId="1514879319">
    <w:abstractNumId w:val="17"/>
  </w:num>
  <w:num w:numId="10" w16cid:durableId="1383210328">
    <w:abstractNumId w:val="12"/>
  </w:num>
  <w:num w:numId="11" w16cid:durableId="1513061117">
    <w:abstractNumId w:val="16"/>
  </w:num>
  <w:num w:numId="12" w16cid:durableId="958226418">
    <w:abstractNumId w:val="13"/>
  </w:num>
  <w:num w:numId="13" w16cid:durableId="771170886">
    <w:abstractNumId w:val="7"/>
  </w:num>
  <w:num w:numId="14" w16cid:durableId="1315187322">
    <w:abstractNumId w:val="17"/>
  </w:num>
  <w:num w:numId="15" w16cid:durableId="1726029251">
    <w:abstractNumId w:val="11"/>
  </w:num>
  <w:num w:numId="16" w16cid:durableId="1685588258">
    <w:abstractNumId w:val="7"/>
  </w:num>
  <w:num w:numId="17" w16cid:durableId="1886479068">
    <w:abstractNumId w:val="7"/>
  </w:num>
  <w:num w:numId="18" w16cid:durableId="122507144">
    <w:abstractNumId w:val="7"/>
  </w:num>
  <w:num w:numId="19" w16cid:durableId="377123869">
    <w:abstractNumId w:val="7"/>
  </w:num>
  <w:num w:numId="20" w16cid:durableId="497497882">
    <w:abstractNumId w:val="7"/>
  </w:num>
  <w:num w:numId="21" w16cid:durableId="1717657651">
    <w:abstractNumId w:val="7"/>
  </w:num>
  <w:num w:numId="22" w16cid:durableId="311255422">
    <w:abstractNumId w:val="7"/>
  </w:num>
  <w:num w:numId="23" w16cid:durableId="85927171">
    <w:abstractNumId w:val="7"/>
  </w:num>
  <w:num w:numId="24" w16cid:durableId="1880437806">
    <w:abstractNumId w:val="7"/>
  </w:num>
  <w:num w:numId="25" w16cid:durableId="392965441">
    <w:abstractNumId w:val="7"/>
  </w:num>
  <w:num w:numId="26" w16cid:durableId="1947694933">
    <w:abstractNumId w:val="7"/>
  </w:num>
  <w:num w:numId="27" w16cid:durableId="296030027">
    <w:abstractNumId w:val="7"/>
  </w:num>
  <w:num w:numId="28" w16cid:durableId="136382022">
    <w:abstractNumId w:val="7"/>
  </w:num>
  <w:num w:numId="29" w16cid:durableId="1747334233">
    <w:abstractNumId w:val="14"/>
  </w:num>
  <w:num w:numId="30" w16cid:durableId="1575971747">
    <w:abstractNumId w:val="14"/>
  </w:num>
  <w:num w:numId="31" w16cid:durableId="1939214429">
    <w:abstractNumId w:val="14"/>
    <w:lvlOverride w:ilvl="0">
      <w:startOverride w:val="1"/>
    </w:lvlOverride>
  </w:num>
  <w:num w:numId="32" w16cid:durableId="1782339355">
    <w:abstractNumId w:val="14"/>
  </w:num>
  <w:num w:numId="33" w16cid:durableId="957906086">
    <w:abstractNumId w:val="14"/>
    <w:lvlOverride w:ilvl="0">
      <w:startOverride w:val="1"/>
    </w:lvlOverride>
  </w:num>
  <w:num w:numId="34" w16cid:durableId="1087652185">
    <w:abstractNumId w:val="14"/>
    <w:lvlOverride w:ilvl="0">
      <w:startOverride w:val="1"/>
    </w:lvlOverride>
  </w:num>
  <w:num w:numId="35" w16cid:durableId="1054889863">
    <w:abstractNumId w:val="15"/>
    <w:lvlOverride w:ilvl="0">
      <w:startOverride w:val="1"/>
    </w:lvlOverride>
  </w:num>
  <w:num w:numId="36" w16cid:durableId="1812165908">
    <w:abstractNumId w:val="15"/>
  </w:num>
  <w:num w:numId="37" w16cid:durableId="1903178079">
    <w:abstractNumId w:val="15"/>
    <w:lvlOverride w:ilvl="0">
      <w:startOverride w:val="1"/>
    </w:lvlOverride>
  </w:num>
  <w:num w:numId="38" w16cid:durableId="1316564979">
    <w:abstractNumId w:val="15"/>
  </w:num>
  <w:num w:numId="39" w16cid:durableId="874267395">
    <w:abstractNumId w:val="15"/>
    <w:lvlOverride w:ilvl="0">
      <w:startOverride w:val="1"/>
    </w:lvlOverride>
  </w:num>
  <w:num w:numId="40" w16cid:durableId="1368025285">
    <w:abstractNumId w:val="15"/>
    <w:lvlOverride w:ilvl="0">
      <w:startOverride w:val="1"/>
    </w:lvlOverride>
  </w:num>
  <w:num w:numId="41" w16cid:durableId="944078796">
    <w:abstractNumId w:val="15"/>
    <w:lvlOverride w:ilvl="0">
      <w:startOverride w:val="1"/>
    </w:lvlOverride>
  </w:num>
  <w:num w:numId="42" w16cid:durableId="996031766">
    <w:abstractNumId w:val="15"/>
  </w:num>
  <w:num w:numId="43" w16cid:durableId="1289776494">
    <w:abstractNumId w:val="15"/>
  </w:num>
  <w:num w:numId="44" w16cid:durableId="1653829719">
    <w:abstractNumId w:val="3"/>
  </w:num>
  <w:num w:numId="45" w16cid:durableId="1775442011">
    <w:abstractNumId w:val="0"/>
  </w:num>
  <w:num w:numId="46" w16cid:durableId="151333684">
    <w:abstractNumId w:val="8"/>
  </w:num>
  <w:num w:numId="47" w16cid:durableId="2144225766">
    <w:abstractNumId w:val="4"/>
  </w:num>
  <w:num w:numId="48" w16cid:durableId="31343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7428"/>
    <w:rsid w:val="00031EC9"/>
    <w:rsid w:val="000329CA"/>
    <w:rsid w:val="00066FED"/>
    <w:rsid w:val="00075EA6"/>
    <w:rsid w:val="0007709F"/>
    <w:rsid w:val="00086F62"/>
    <w:rsid w:val="00090674"/>
    <w:rsid w:val="0009320B"/>
    <w:rsid w:val="00096AE0"/>
    <w:rsid w:val="000B1B74"/>
    <w:rsid w:val="000B3A2D"/>
    <w:rsid w:val="000B49C0"/>
    <w:rsid w:val="000E382F"/>
    <w:rsid w:val="000E75CD"/>
    <w:rsid w:val="001036BA"/>
    <w:rsid w:val="001146DC"/>
    <w:rsid w:val="00114AB1"/>
    <w:rsid w:val="001230FF"/>
    <w:rsid w:val="00130BD7"/>
    <w:rsid w:val="00155B67"/>
    <w:rsid w:val="001562AF"/>
    <w:rsid w:val="00161A5B"/>
    <w:rsid w:val="001635EE"/>
    <w:rsid w:val="0016385D"/>
    <w:rsid w:val="0016782F"/>
    <w:rsid w:val="00180ED9"/>
    <w:rsid w:val="001937E9"/>
    <w:rsid w:val="001964E5"/>
    <w:rsid w:val="001B263B"/>
    <w:rsid w:val="001B476A"/>
    <w:rsid w:val="001C764F"/>
    <w:rsid w:val="001C7BB3"/>
    <w:rsid w:val="001D469C"/>
    <w:rsid w:val="001F642E"/>
    <w:rsid w:val="0021619E"/>
    <w:rsid w:val="0023171B"/>
    <w:rsid w:val="00236BFC"/>
    <w:rsid w:val="00237437"/>
    <w:rsid w:val="002502FD"/>
    <w:rsid w:val="00274622"/>
    <w:rsid w:val="00285D24"/>
    <w:rsid w:val="00290390"/>
    <w:rsid w:val="002915D3"/>
    <w:rsid w:val="002924DB"/>
    <w:rsid w:val="002941DA"/>
    <w:rsid w:val="002B5648"/>
    <w:rsid w:val="002E3C35"/>
    <w:rsid w:val="002F5298"/>
    <w:rsid w:val="00326AE0"/>
    <w:rsid w:val="00337E4F"/>
    <w:rsid w:val="00340C36"/>
    <w:rsid w:val="00346A9D"/>
    <w:rsid w:val="0039090E"/>
    <w:rsid w:val="0039376F"/>
    <w:rsid w:val="003A287B"/>
    <w:rsid w:val="003A5C85"/>
    <w:rsid w:val="003A61B1"/>
    <w:rsid w:val="003B0050"/>
    <w:rsid w:val="003D6312"/>
    <w:rsid w:val="003E7C74"/>
    <w:rsid w:val="003F31C6"/>
    <w:rsid w:val="0040225B"/>
    <w:rsid w:val="00402DA2"/>
    <w:rsid w:val="00425AC2"/>
    <w:rsid w:val="0044771F"/>
    <w:rsid w:val="004A24B2"/>
    <w:rsid w:val="004B151D"/>
    <w:rsid w:val="004B4F44"/>
    <w:rsid w:val="004C7243"/>
    <w:rsid w:val="004E21DE"/>
    <w:rsid w:val="004E3C57"/>
    <w:rsid w:val="004E3CB2"/>
    <w:rsid w:val="00525813"/>
    <w:rsid w:val="00531A24"/>
    <w:rsid w:val="0053513F"/>
    <w:rsid w:val="00574405"/>
    <w:rsid w:val="005854B0"/>
    <w:rsid w:val="005A0E21"/>
    <w:rsid w:val="005B3A34"/>
    <w:rsid w:val="005C3851"/>
    <w:rsid w:val="005D49AF"/>
    <w:rsid w:val="005E415C"/>
    <w:rsid w:val="005E71ED"/>
    <w:rsid w:val="005E7946"/>
    <w:rsid w:val="005F7475"/>
    <w:rsid w:val="00611299"/>
    <w:rsid w:val="00613B4D"/>
    <w:rsid w:val="00616365"/>
    <w:rsid w:val="00616F3B"/>
    <w:rsid w:val="006249A7"/>
    <w:rsid w:val="0064225B"/>
    <w:rsid w:val="00665E5B"/>
    <w:rsid w:val="00674F3A"/>
    <w:rsid w:val="00675741"/>
    <w:rsid w:val="006763F9"/>
    <w:rsid w:val="006949BC"/>
    <w:rsid w:val="006A79D5"/>
    <w:rsid w:val="006D1229"/>
    <w:rsid w:val="006D372F"/>
    <w:rsid w:val="006D7A18"/>
    <w:rsid w:val="006E4474"/>
    <w:rsid w:val="00701388"/>
    <w:rsid w:val="00723B7F"/>
    <w:rsid w:val="00725861"/>
    <w:rsid w:val="0073393A"/>
    <w:rsid w:val="0073539D"/>
    <w:rsid w:val="00767B8A"/>
    <w:rsid w:val="00775481"/>
    <w:rsid w:val="007A233B"/>
    <w:rsid w:val="007B4863"/>
    <w:rsid w:val="007C65E6"/>
    <w:rsid w:val="007D406B"/>
    <w:rsid w:val="007D4407"/>
    <w:rsid w:val="007E1CA3"/>
    <w:rsid w:val="007F557D"/>
    <w:rsid w:val="008059A1"/>
    <w:rsid w:val="00812D62"/>
    <w:rsid w:val="00812F29"/>
    <w:rsid w:val="00821713"/>
    <w:rsid w:val="00827050"/>
    <w:rsid w:val="0083278B"/>
    <w:rsid w:val="00834538"/>
    <w:rsid w:val="00850E89"/>
    <w:rsid w:val="00867ED2"/>
    <w:rsid w:val="008930E4"/>
    <w:rsid w:val="00893821"/>
    <w:rsid w:val="008A7B9C"/>
    <w:rsid w:val="008B39FA"/>
    <w:rsid w:val="008B4754"/>
    <w:rsid w:val="008E6A7A"/>
    <w:rsid w:val="008F1038"/>
    <w:rsid w:val="008F7046"/>
    <w:rsid w:val="009005FC"/>
    <w:rsid w:val="00922E5A"/>
    <w:rsid w:val="00943315"/>
    <w:rsid w:val="00946C27"/>
    <w:rsid w:val="00977230"/>
    <w:rsid w:val="009A4F3D"/>
    <w:rsid w:val="009B696B"/>
    <w:rsid w:val="009B7671"/>
    <w:rsid w:val="009E5BA1"/>
    <w:rsid w:val="009F056E"/>
    <w:rsid w:val="00A24F3D"/>
    <w:rsid w:val="00A26DCD"/>
    <w:rsid w:val="00A314BB"/>
    <w:rsid w:val="00A32B7D"/>
    <w:rsid w:val="00A5596B"/>
    <w:rsid w:val="00A646B3"/>
    <w:rsid w:val="00A6739B"/>
    <w:rsid w:val="00A829C4"/>
    <w:rsid w:val="00A90413"/>
    <w:rsid w:val="00AA728C"/>
    <w:rsid w:val="00AB0A9C"/>
    <w:rsid w:val="00AB7119"/>
    <w:rsid w:val="00AD5855"/>
    <w:rsid w:val="00AE7500"/>
    <w:rsid w:val="00AE7F87"/>
    <w:rsid w:val="00AF3542"/>
    <w:rsid w:val="00AF5ABE"/>
    <w:rsid w:val="00B00415"/>
    <w:rsid w:val="00B03C2A"/>
    <w:rsid w:val="00B1000D"/>
    <w:rsid w:val="00B10134"/>
    <w:rsid w:val="00B16BFE"/>
    <w:rsid w:val="00B500E5"/>
    <w:rsid w:val="00BA39BB"/>
    <w:rsid w:val="00BA3B3D"/>
    <w:rsid w:val="00BB7EEA"/>
    <w:rsid w:val="00BC7B9C"/>
    <w:rsid w:val="00BD1909"/>
    <w:rsid w:val="00BE5E16"/>
    <w:rsid w:val="00BE5FD1"/>
    <w:rsid w:val="00C06E05"/>
    <w:rsid w:val="00C14B14"/>
    <w:rsid w:val="00C17370"/>
    <w:rsid w:val="00C2054D"/>
    <w:rsid w:val="00C242B5"/>
    <w:rsid w:val="00C252EB"/>
    <w:rsid w:val="00C26EC0"/>
    <w:rsid w:val="00C56C77"/>
    <w:rsid w:val="00C84923"/>
    <w:rsid w:val="00C867FB"/>
    <w:rsid w:val="00CB7B3E"/>
    <w:rsid w:val="00CC713F"/>
    <w:rsid w:val="00CC739D"/>
    <w:rsid w:val="00CF0DFF"/>
    <w:rsid w:val="00D04468"/>
    <w:rsid w:val="00D10B00"/>
    <w:rsid w:val="00D30640"/>
    <w:rsid w:val="00D36257"/>
    <w:rsid w:val="00D4687E"/>
    <w:rsid w:val="00D53A12"/>
    <w:rsid w:val="00D62141"/>
    <w:rsid w:val="00D87E2A"/>
    <w:rsid w:val="00DB0C43"/>
    <w:rsid w:val="00DB2AE7"/>
    <w:rsid w:val="00DE3354"/>
    <w:rsid w:val="00DF7DCD"/>
    <w:rsid w:val="00E27832"/>
    <w:rsid w:val="00E366A6"/>
    <w:rsid w:val="00E40C43"/>
    <w:rsid w:val="00E50B7D"/>
    <w:rsid w:val="00E904A1"/>
    <w:rsid w:val="00EA0B70"/>
    <w:rsid w:val="00EB7D28"/>
    <w:rsid w:val="00EC0D0C"/>
    <w:rsid w:val="00ED4A2C"/>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NoSpacing">
    <w:name w:val="No Spacing"/>
    <w:uiPriority w:val="1"/>
    <w:qFormat/>
    <w:rsid w:val="000329CA"/>
    <w:rPr>
      <w:rFonts w:eastAsiaTheme="minorHAnsi" w:cstheme="minorBidi"/>
      <w:kern w:val="2"/>
      <w:sz w:val="22"/>
      <w:szCs w:val="22"/>
      <w:lang w:val="fr-FR" w:eastAsia="en-US"/>
      <w14:ligatures w14:val="standardContextual"/>
    </w:rPr>
  </w:style>
  <w:style w:type="paragraph" w:customStyle="1" w:styleId="MDPI13authornames">
    <w:name w:val="MDPI_1.3_authornames"/>
    <w:next w:val="Normal"/>
    <w:qFormat/>
    <w:rsid w:val="000329CA"/>
    <w:pPr>
      <w:adjustRightInd w:val="0"/>
      <w:snapToGrid w:val="0"/>
      <w:spacing w:after="360" w:line="260" w:lineRule="atLeast"/>
    </w:pPr>
    <w:rPr>
      <w:rFonts w:ascii="Palatino Linotype" w:hAnsi="Palatino Linotype"/>
      <w:b/>
      <w:color w:val="000000"/>
      <w:szCs w:val="22"/>
      <w:lang w:val="en-US" w:eastAsia="de-DE" w:bidi="en-US"/>
      <w14:ligatures w14:val="standardContextual"/>
    </w:rPr>
  </w:style>
  <w:style w:type="paragraph" w:customStyle="1" w:styleId="SolarPACESReferences">
    <w:name w:val="SolarPACES_References"/>
    <w:rsid w:val="00E27832"/>
    <w:pPr>
      <w:tabs>
        <w:tab w:val="left" w:pos="136"/>
      </w:tabs>
      <w:spacing w:after="120" w:line="240" w:lineRule="exact"/>
      <w:ind w:left="255" w:hanging="255"/>
    </w:pPr>
    <w:rPr>
      <w:color w:val="000000"/>
      <w:lang w:eastAsia="de-DE"/>
      <w14:ligatures w14:val="standardContextual"/>
    </w:rPr>
  </w:style>
  <w:style w:type="paragraph" w:styleId="Caption">
    <w:name w:val="caption"/>
    <w:basedOn w:val="Normal"/>
    <w:next w:val="Normal"/>
    <w:uiPriority w:val="35"/>
    <w:unhideWhenUsed/>
    <w:qFormat/>
    <w:rsid w:val="00C242B5"/>
    <w:pPr>
      <w:spacing w:after="200"/>
      <w:jc w:val="both"/>
    </w:pPr>
    <w:rPr>
      <w:rFonts w:asciiTheme="majorBidi" w:eastAsiaTheme="minorHAnsi" w:hAnsiTheme="majorBidi" w:cstheme="minorBidi"/>
      <w:i/>
      <w:iCs/>
      <w:color w:val="1F497D" w:themeColor="text2"/>
      <w:kern w:val="2"/>
      <w:sz w:val="18"/>
      <w:szCs w:val="18"/>
      <w:lang w:val="fr-FR"/>
      <w14:ligatures w14:val="standardContextual"/>
    </w:rPr>
  </w:style>
  <w:style w:type="paragraph" w:styleId="Bibliography">
    <w:name w:val="Bibliography"/>
    <w:basedOn w:val="Normal"/>
    <w:next w:val="Normal"/>
    <w:uiPriority w:val="37"/>
    <w:unhideWhenUsed/>
    <w:rsid w:val="00977230"/>
    <w:pPr>
      <w:tabs>
        <w:tab w:val="left" w:pos="504"/>
      </w:tabs>
      <w:ind w:left="504" w:hanging="504"/>
    </w:pPr>
  </w:style>
  <w:style w:type="character" w:styleId="PlaceholderText">
    <w:name w:val="Placeholder Text"/>
    <w:basedOn w:val="DefaultParagraphFont"/>
    <w:uiPriority w:val="99"/>
    <w:semiHidden/>
    <w:rsid w:val="004A24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122199">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544903108">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hyperlink" Target="mailto:hasna.louahlia@unicaen.fr"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4647</TotalTime>
  <Pages>9</Pages>
  <Words>3823</Words>
  <Characters>58024</Characters>
  <Application>Microsoft Office Word</Application>
  <DocSecurity>0</DocSecurity>
  <Lines>483</Lines>
  <Paragraphs>123</Paragraphs>
  <ScaleCrop>false</ScaleCrop>
  <HeadingPairs>
    <vt:vector size="2" baseType="variant">
      <vt:variant>
        <vt:lpstr>Titre</vt:lpstr>
      </vt:variant>
      <vt:variant>
        <vt:i4>1</vt:i4>
      </vt:variant>
    </vt:vector>
  </HeadingPairs>
  <TitlesOfParts>
    <vt:vector size="1" baseType="lpstr">
      <vt:lpstr>Title Goes Here</vt:lpstr>
    </vt:vector>
  </TitlesOfParts>
  <Company>PPI</Company>
  <LinksUpToDate>false</LinksUpToDate>
  <CharactersWithSpaces>61724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Alae Azouzoute</cp:lastModifiedBy>
  <cp:revision>13</cp:revision>
  <cp:lastPrinted>2025-06-15T11:47:00Z</cp:lastPrinted>
  <dcterms:created xsi:type="dcterms:W3CDTF">2025-06-10T11:55:00Z</dcterms:created>
  <dcterms:modified xsi:type="dcterms:W3CDTF">2026-01-15T11:21:00Z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ZOTERO_PREF_1">
    <vt:lpwstr>&lt;data data-version="3" zotero-version="6.0.36"&gt;&lt;session id="9Q0UqkhP"/&gt;&lt;style id="http://www.zotero.org/styles/ieee" locale="fr-FR" hasBibliography="1" bibliographyStyleHasBeenSet="1"/&gt;&lt;prefs&gt;&lt;pref name="fieldType" value="Field"/&gt;&lt;/prefs&gt;&lt;/data&gt;</vt:lpwstr>
  </property>
  <property fmtid="{D5CDD505-2E9C-101B-9397-08002B2CF9AE}" pid="4" name="GrammarlyDocumentId">
    <vt:lpwstr>0611a3e5-23b7-4fa5-b510-ac0ecf5b4386</vt:lpwstr>
  </property>
</Properties>
</file>