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4299A3B5" w:rsidR="0016385D" w:rsidRPr="00075EA6" w:rsidRDefault="00252D3C" w:rsidP="00E350E6">
      <w:pPr>
        <w:pStyle w:val="PaperTitle"/>
        <w:spacing w:before="0"/>
        <w:rPr>
          <w:b w:val="0"/>
          <w:bCs/>
          <w:sz w:val="24"/>
          <w:szCs w:val="24"/>
        </w:rPr>
      </w:pPr>
      <w:r w:rsidRPr="00252D3C">
        <w:t>Comparative Analysis of Heat Transfer Fluids in a Rock-Based Packed-Bed Storage System</w:t>
      </w:r>
    </w:p>
    <w:p w14:paraId="548D96A3" w14:textId="79C8B30D" w:rsidR="00C14B14" w:rsidRPr="00A10407" w:rsidRDefault="0067465B" w:rsidP="00A10407">
      <w:pPr>
        <w:pStyle w:val="AuthorName"/>
      </w:pPr>
      <w:r>
        <w:t xml:space="preserve">Aicha </w:t>
      </w:r>
      <w:r w:rsidR="00ED49E1">
        <w:t>EDDEMANI</w:t>
      </w:r>
      <w:r w:rsidR="008955A6" w:rsidRPr="008955A6">
        <w:rPr>
          <w:vertAlign w:val="superscript"/>
        </w:rPr>
        <w:t>1, a)</w:t>
      </w:r>
      <w:r w:rsidR="008955A6" w:rsidRPr="008955A6">
        <w:t xml:space="preserve"> Omar Achahour</w:t>
      </w:r>
      <w:r w:rsidR="008955A6" w:rsidRPr="008955A6">
        <w:rPr>
          <w:vertAlign w:val="superscript"/>
        </w:rPr>
        <w:t>2</w:t>
      </w:r>
      <w:r w:rsidR="008955A6" w:rsidRPr="008955A6">
        <w:t>, Hayat El Baamrani</w:t>
      </w:r>
      <w:r w:rsidR="008955A6" w:rsidRPr="008955A6">
        <w:rPr>
          <w:vertAlign w:val="superscript"/>
        </w:rPr>
        <w:t>1</w:t>
      </w:r>
      <w:r>
        <w:t>, Ahmed Aharoune</w:t>
      </w:r>
      <w:r w:rsidR="008955A6" w:rsidRPr="008955A6">
        <w:rPr>
          <w:vertAlign w:val="superscript"/>
        </w:rPr>
        <w:t>1</w:t>
      </w:r>
      <w:r w:rsidR="008955A6" w:rsidRPr="008955A6">
        <w:t>, Lahcen Bouirden</w:t>
      </w:r>
      <w:r w:rsidR="008955A6" w:rsidRPr="008955A6">
        <w:rPr>
          <w:vertAlign w:val="superscript"/>
        </w:rPr>
        <w:t>1</w:t>
      </w:r>
      <w:r>
        <w:t>, Ahmed Ihlal</w:t>
      </w:r>
      <w:r w:rsidR="008955A6" w:rsidRPr="008955A6">
        <w:rPr>
          <w:vertAlign w:val="superscript"/>
        </w:rPr>
        <w:t>2</w:t>
      </w:r>
    </w:p>
    <w:p w14:paraId="5CFA9C09" w14:textId="4C1A051F" w:rsidR="00C14B14" w:rsidRDefault="00027428" w:rsidP="00A10407">
      <w:pPr>
        <w:pStyle w:val="AuthorAffiliation"/>
      </w:pPr>
      <w:r w:rsidRPr="00075EA6">
        <w:rPr>
          <w:i w:val="0"/>
          <w:iCs/>
          <w:vertAlign w:val="superscript"/>
        </w:rPr>
        <w:t>1</w:t>
      </w:r>
      <w:r w:rsidR="00A10407" w:rsidRPr="00A10407">
        <w:t>Thermodynamic and Energetics Laboratory, Physics Department, University of Ibn Zohr, Agadir, Morocco</w:t>
      </w:r>
      <w:r w:rsidR="00A10407">
        <w:t xml:space="preserve">. </w:t>
      </w:r>
    </w:p>
    <w:p w14:paraId="1540EEFF" w14:textId="770D3683" w:rsidR="00A10407" w:rsidRDefault="0016782F" w:rsidP="00A10407">
      <w:pPr>
        <w:pStyle w:val="AuthorAffiliation"/>
      </w:pPr>
      <w:r w:rsidRPr="00075EA6">
        <w:t xml:space="preserve"> </w:t>
      </w:r>
      <w:r w:rsidR="00C14B14" w:rsidRPr="00075EA6">
        <w:rPr>
          <w:i w:val="0"/>
          <w:iCs/>
          <w:vertAlign w:val="superscript"/>
        </w:rPr>
        <w:t>2</w:t>
      </w:r>
      <w:r w:rsidR="00A10407" w:rsidRPr="00A10407">
        <w:t xml:space="preserve"> Materials and Renewable Energies Laboratory, Physics Department, University of Ibn Zohr, Agadir, Morocco</w:t>
      </w:r>
      <w:r w:rsidR="00A10407">
        <w:t>.</w:t>
      </w:r>
    </w:p>
    <w:p w14:paraId="5E05E235" w14:textId="451A8DF8" w:rsidR="003A5C85" w:rsidRPr="00075EA6" w:rsidRDefault="00003D7C" w:rsidP="00A10407">
      <w:pPr>
        <w:pStyle w:val="AuthorEmail"/>
      </w:pPr>
      <w:r w:rsidRPr="00075EA6">
        <w:rPr>
          <w:szCs w:val="28"/>
          <w:vertAlign w:val="superscript"/>
        </w:rPr>
        <w:t>a)</w:t>
      </w:r>
      <w:r w:rsidRPr="00075EA6">
        <w:t xml:space="preserve"> Corresponding</w:t>
      </w:r>
      <w:r w:rsidR="004E3CB2" w:rsidRPr="00075EA6">
        <w:t xml:space="preserve"> author: </w:t>
      </w:r>
      <w:r w:rsidR="00A10407" w:rsidRPr="00A10407">
        <w:t>eddemani.aicha@gmail.com</w:t>
      </w:r>
    </w:p>
    <w:p w14:paraId="22C3F2A8" w14:textId="61C529BC" w:rsidR="0016385D" w:rsidRPr="00075EA6" w:rsidRDefault="0016385D" w:rsidP="00B53DC1">
      <w:pPr>
        <w:pStyle w:val="Abstract"/>
      </w:pPr>
      <w:r w:rsidRPr="00075EA6">
        <w:rPr>
          <w:b/>
          <w:bCs/>
        </w:rPr>
        <w:t>Abstract.</w:t>
      </w:r>
      <w:r w:rsidRPr="00075EA6">
        <w:t xml:space="preserve"> </w:t>
      </w:r>
      <w:r w:rsidR="00725947" w:rsidRPr="00725947">
        <w:t>This study examines the thermal performance of a packed-bed thermal energy storage (TES) system using a non-equilibrium numerical model capable of independently capturing heat transfer in both the fluid and solid phases. The model's accuracy was confirmed through close agreement with experimental data</w:t>
      </w:r>
      <w:r w:rsidR="00725947">
        <w:t>.</w:t>
      </w:r>
      <w:r w:rsidR="00A80708" w:rsidRPr="00A80708">
        <w:t xml:space="preserve"> The analysis focuses on a comparative evaluation of three commonly used heat transfer fluids (HTFs): air, solar salt, and Therminol VP-1</w:t>
      </w:r>
      <w:r w:rsidR="00B53DC1">
        <w:t xml:space="preserve"> (oil)</w:t>
      </w:r>
      <w:r w:rsidR="00A80708" w:rsidRPr="00A80708">
        <w:t>. Simulations were conducted under identical energy input conditions, with operating temperature ranges tailored to the thermal properties of each fl</w:t>
      </w:r>
      <w:r w:rsidR="00CD3CBD">
        <w:t xml:space="preserve">uid. </w:t>
      </w:r>
      <w:r w:rsidR="00CD3CBD" w:rsidRPr="00CD3CBD">
        <w:t xml:space="preserve">Key performance indicators, including temperature distribution, thermal stratification, and storage efficiency, were assessed during both the </w:t>
      </w:r>
      <w:r w:rsidR="00CD3CBD">
        <w:t>charging and discharging phases</w:t>
      </w:r>
      <w:r w:rsidR="00A80708" w:rsidRPr="00A80708">
        <w:t xml:space="preserve">. The findings reveal distinct differences in thermal behavior among the HTFs, highlighting the critical impact of fluid properties such as </w:t>
      </w:r>
      <w:r w:rsidR="00B53DC1">
        <w:t>specific heat capacity, density</w:t>
      </w:r>
      <w:r w:rsidR="00A80708" w:rsidRPr="00A80708">
        <w:t xml:space="preserve"> </w:t>
      </w:r>
      <w:r w:rsidR="00B53DC1" w:rsidRPr="00A80708">
        <w:t xml:space="preserve">and </w:t>
      </w:r>
      <w:r w:rsidR="00A80708" w:rsidRPr="00A80708">
        <w:t>thermal conductivity. Solar salt demonstrated the highest efficiency (85%) and excellent thermal stability. Therminol VP-1 exhibited an efficiency of 77% but is constrained by its lower maximum operating temperature and higher cost. Air, while showing the lowest efficiency (67%), offers advantages such as cost-effectiveness and suitability fo</w:t>
      </w:r>
      <w:r w:rsidR="00A80708">
        <w:t>r high-temperature applications</w:t>
      </w:r>
      <w:r w:rsidR="00B10134" w:rsidRPr="00075EA6">
        <w:t>.</w:t>
      </w:r>
    </w:p>
    <w:p w14:paraId="5240E3FB" w14:textId="2716637A" w:rsidR="003A287B" w:rsidRPr="00075EA6" w:rsidRDefault="00636849" w:rsidP="00636849">
      <w:pPr>
        <w:pStyle w:val="Heading1"/>
        <w:rPr>
          <w:b w:val="0"/>
          <w:caps w:val="0"/>
          <w:sz w:val="20"/>
        </w:rPr>
      </w:pPr>
      <w:r w:rsidRPr="00636849">
        <w:t>Introduction</w:t>
      </w:r>
    </w:p>
    <w:p w14:paraId="585410B9" w14:textId="5DDE28DF" w:rsidR="00F83D49" w:rsidRDefault="00F83D49" w:rsidP="00E9022F">
      <w:pPr>
        <w:pStyle w:val="Paragraph"/>
      </w:pPr>
      <w:r>
        <w:t xml:space="preserve">Thermal energy storage (TES) systems are critical enablers of modern renewable energy infrastructure, providing a means to decouple energy supply from demand, enhance grid flexibility, and mitigate the variability inherent in solar and wind power generation. Among the various TES technologies, packed-bed stand out for their economic viability, structural </w:t>
      </w:r>
      <w:r w:rsidR="00A55BAF">
        <w:t>simplicity, modular scalability</w:t>
      </w:r>
      <w:r>
        <w:t xml:space="preserve"> and high thermal efficiency. These attributes make them particularly well-suited for large-scale applications such as concentrated solar power (CSP) plants and industrial process heat recovery [1].</w:t>
      </w:r>
    </w:p>
    <w:p w14:paraId="56B829C5" w14:textId="3E834721" w:rsidR="003F31C6" w:rsidRDefault="00F83D49" w:rsidP="00F83D49">
      <w:pPr>
        <w:pStyle w:val="Paragraph"/>
      </w:pPr>
      <w:r>
        <w:t>These systems typically comprise two interacting phases: a solid phase, which acts as the thermal storage medium, and a fluid phase, which functi</w:t>
      </w:r>
      <w:r w:rsidR="00C95479">
        <w:t>ons as the HTF</w:t>
      </w:r>
      <w:r>
        <w:t>. The solid phase is usually composed of inexpensive, thermally stable materials such as natural rocks [2, 3], alumina [4], or industrial by-products like copper slag [5]. The fluid phas</w:t>
      </w:r>
      <w:r w:rsidR="00F96DEB">
        <w:t>e circulates through the packed-</w:t>
      </w:r>
      <w:r>
        <w:t>bed, delivering thermal energy to the solid medium during the charging process and recovering it during the discharging p</w:t>
      </w:r>
      <w:r w:rsidR="005826F7">
        <w:t>rocess, as illustrated in Fig.</w:t>
      </w:r>
      <w:r>
        <w:t xml:space="preserve"> 1.</w:t>
      </w:r>
    </w:p>
    <w:p w14:paraId="7F2F45C5" w14:textId="476369DF" w:rsidR="00890245" w:rsidRDefault="00890245" w:rsidP="00890245">
      <w:pPr>
        <w:pStyle w:val="Paragraph"/>
        <w:spacing w:before="240"/>
        <w:jc w:val="center"/>
      </w:pPr>
      <w:r w:rsidRPr="00890245">
        <w:rPr>
          <w:rFonts w:ascii="Calibri" w:eastAsia="Calibri" w:hAnsi="Calibri" w:cs="Arial"/>
          <w:noProof/>
          <w:lang w:val="fr-FR" w:eastAsia="fr-FR"/>
        </w:rPr>
        <w:drawing>
          <wp:inline distT="0" distB="0" distL="0" distR="0" wp14:anchorId="4BE176AA" wp14:editId="0D5805E6">
            <wp:extent cx="2412160" cy="1924050"/>
            <wp:effectExtent l="0" t="0" r="7620" b="0"/>
            <wp:docPr id="4" name="Image 4" descr="Experimental study on energy storage performances of packed bed with  different solid materials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erimental study on energy storage performances of packed bed with  different solid materials - ScienceDi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6678" cy="1951583"/>
                    </a:xfrm>
                    <a:prstGeom prst="rect">
                      <a:avLst/>
                    </a:prstGeom>
                    <a:noFill/>
                    <a:ln>
                      <a:noFill/>
                    </a:ln>
                  </pic:spPr>
                </pic:pic>
              </a:graphicData>
            </a:graphic>
          </wp:inline>
        </w:drawing>
      </w:r>
    </w:p>
    <w:p w14:paraId="5140E334" w14:textId="77777777" w:rsidR="0088496A" w:rsidRDefault="0088496A" w:rsidP="0088496A">
      <w:pPr>
        <w:pStyle w:val="Paragraph"/>
      </w:pPr>
    </w:p>
    <w:p w14:paraId="41591E81" w14:textId="660034C4" w:rsidR="0088496A" w:rsidRPr="0095013E" w:rsidRDefault="0088496A" w:rsidP="00890245">
      <w:pPr>
        <w:pStyle w:val="Paragraph"/>
        <w:spacing w:after="240"/>
        <w:rPr>
          <w:sz w:val="18"/>
          <w:szCs w:val="18"/>
        </w:rPr>
      </w:pPr>
      <w:r w:rsidRPr="0095013E">
        <w:rPr>
          <w:b/>
          <w:caps/>
          <w:sz w:val="18"/>
          <w:szCs w:val="18"/>
        </w:rPr>
        <w:t>Figure 1</w:t>
      </w:r>
      <w:r w:rsidR="005826F7" w:rsidRPr="0095013E">
        <w:rPr>
          <w:sz w:val="18"/>
          <w:szCs w:val="18"/>
        </w:rPr>
        <w:t>.</w:t>
      </w:r>
      <w:r w:rsidRPr="0095013E">
        <w:rPr>
          <w:sz w:val="18"/>
          <w:szCs w:val="18"/>
        </w:rPr>
        <w:t xml:space="preserve"> Schematic illustration of the operating principle of a packed-bed </w:t>
      </w:r>
      <w:r w:rsidR="00890245" w:rsidRPr="0095013E">
        <w:rPr>
          <w:sz w:val="18"/>
          <w:szCs w:val="18"/>
        </w:rPr>
        <w:t>in</w:t>
      </w:r>
      <w:r w:rsidRPr="0095013E">
        <w:rPr>
          <w:sz w:val="18"/>
          <w:szCs w:val="18"/>
        </w:rPr>
        <w:t xml:space="preserve"> charging and discharging cycle [6].</w:t>
      </w:r>
    </w:p>
    <w:p w14:paraId="536EFA9E" w14:textId="347A3401" w:rsidR="00C720E5" w:rsidRPr="00BC5E3A" w:rsidRDefault="0088496A" w:rsidP="00B43435">
      <w:pPr>
        <w:pStyle w:val="Paragraph"/>
      </w:pPr>
      <w:r w:rsidRPr="00BC5E3A">
        <w:lastRenderedPageBreak/>
        <w:t>A variety of HTFs have been utilized in packed-bed TES systems, including air [7], molten s</w:t>
      </w:r>
      <w:r w:rsidR="00F642D7" w:rsidRPr="00BC5E3A">
        <w:t>alts [8], liquid sodium [9],</w:t>
      </w:r>
      <w:r w:rsidRPr="00BC5E3A">
        <w:t xml:space="preserve"> thermal oils [10]</w:t>
      </w:r>
      <w:r w:rsidR="00F642D7" w:rsidRPr="00BC5E3A">
        <w:t xml:space="preserve">, and carbon dioxide </w:t>
      </w:r>
      <w:r w:rsidR="00870FA6" w:rsidRPr="00BC5E3A">
        <w:t>CO</w:t>
      </w:r>
      <w:r w:rsidR="00870FA6" w:rsidRPr="00BC5E3A">
        <w:rPr>
          <w:vertAlign w:val="subscript"/>
        </w:rPr>
        <w:t>2</w:t>
      </w:r>
      <w:r w:rsidR="00870FA6" w:rsidRPr="00BC5E3A">
        <w:t xml:space="preserve"> </w:t>
      </w:r>
      <w:r w:rsidR="00F642D7" w:rsidRPr="00BC5E3A">
        <w:t>[</w:t>
      </w:r>
      <w:r w:rsidR="00D34B22" w:rsidRPr="00BC5E3A">
        <w:t>11</w:t>
      </w:r>
      <w:r w:rsidR="00F642D7" w:rsidRPr="00BC5E3A">
        <w:t>].</w:t>
      </w:r>
      <w:r w:rsidRPr="00BC5E3A">
        <w:t xml:space="preserve"> </w:t>
      </w:r>
      <w:r w:rsidR="00A117A8" w:rsidRPr="00BC5E3A">
        <w:t>A recent comparative study</w:t>
      </w:r>
      <w:r w:rsidR="00083D08" w:rsidRPr="00BC5E3A">
        <w:t xml:space="preserve"> [</w:t>
      </w:r>
      <w:r w:rsidR="00DF75E5" w:rsidRPr="00BC5E3A">
        <w:t>12</w:t>
      </w:r>
      <w:r w:rsidR="00083D08" w:rsidRPr="00BC5E3A">
        <w:t>]</w:t>
      </w:r>
      <w:r w:rsidR="00A117A8" w:rsidRPr="00BC5E3A">
        <w:t xml:space="preserve"> investigated the suitability of various gaseous HTFs, including air, argon, helium, hydrogen, nitrogen, and carbon dioxide, for packed-bed TES systems. </w:t>
      </w:r>
      <w:r w:rsidR="00870FA6" w:rsidRPr="00BC5E3A">
        <w:t>The analysis revealed that CO₂ outperformed all other gases, especially in charge/discharge capacity and thermal stratification. Hydrogen, nitrogen, and air displayed moderate efficiency, whereas helium and argon were the least effective</w:t>
      </w:r>
      <w:r w:rsidR="00A117A8" w:rsidRPr="00BC5E3A">
        <w:t xml:space="preserve">. </w:t>
      </w:r>
      <w:r w:rsidR="00B43435" w:rsidRPr="00BC5E3A">
        <w:t>A comparative study investigated</w:t>
      </w:r>
      <w:r w:rsidR="00DF75E5" w:rsidRPr="00BC5E3A">
        <w:t xml:space="preserve"> [13</w:t>
      </w:r>
      <w:r w:rsidR="00B43435" w:rsidRPr="00BC5E3A">
        <w:t>] packed-bed TES systems using ternary salts and silicone oil as HTFs, with solar salt as the benchmark. The results indicated that silicone oil is a promising HTF due to its favorable thermophysical properties and round-trip efficiencies of up to 90%, although its use may be constrained by higher costs and safety concerns at elevated temperatures. Conversely, ternary salts showed poor performance because viscosity fluctuations within the operating range led to efficiency losses, whereas solar salt achieved strong overall performance and thermocline stability but required higher operating temperatures.</w:t>
      </w:r>
    </w:p>
    <w:p w14:paraId="1E94C753" w14:textId="1A0AB515" w:rsidR="0088496A" w:rsidRPr="00BC5E3A" w:rsidRDefault="0088496A" w:rsidP="00DC76FA">
      <w:pPr>
        <w:pStyle w:val="Paragraph"/>
      </w:pPr>
      <w:r w:rsidRPr="00BC5E3A">
        <w:t>The selection of a suitable HTF is a critical design consideration, as it significantly influences the system’s thermal efficiency, operational safety, and overall economic performance.</w:t>
      </w:r>
      <w:r w:rsidR="00DC76FA" w:rsidRPr="00BC5E3A">
        <w:t xml:space="preserve"> </w:t>
      </w:r>
      <w:r w:rsidRPr="00BC5E3A">
        <w:t>To ensure optimal performance, several key criteria must be con</w:t>
      </w:r>
      <w:r w:rsidR="0017476E" w:rsidRPr="00BC5E3A">
        <w:t>sidered when selecting a HTF [14, 15</w:t>
      </w:r>
      <w:r w:rsidRPr="00BC5E3A">
        <w:t>]</w:t>
      </w:r>
      <w:r w:rsidR="002A47F5" w:rsidRPr="00BC5E3A">
        <w:t>: t</w:t>
      </w:r>
      <w:r w:rsidRPr="00BC5E3A">
        <w:t>hese include a low freezing point to prevent solidifica</w:t>
      </w:r>
      <w:r w:rsidR="007404B8" w:rsidRPr="00BC5E3A">
        <w:t>tion under operating conditions,</w:t>
      </w:r>
      <w:r w:rsidRPr="00BC5E3A">
        <w:t xml:space="preserve"> high thermal stability and a high boiling point to enable operation at elevated t</w:t>
      </w:r>
      <w:r w:rsidR="007404B8" w:rsidRPr="00BC5E3A">
        <w:t>emperatures,</w:t>
      </w:r>
      <w:r w:rsidR="00A55BAF" w:rsidRPr="00BC5E3A">
        <w:t xml:space="preserve"> low vapor pressure</w:t>
      </w:r>
      <w:r w:rsidRPr="00BC5E3A">
        <w:t xml:space="preserve"> to </w:t>
      </w:r>
      <w:r w:rsidR="007404B8" w:rsidRPr="00BC5E3A">
        <w:t>reduce containment requirements,</w:t>
      </w:r>
      <w:r w:rsidRPr="00BC5E3A">
        <w:t xml:space="preserve"> high thermal conductivity and specific heat capacity for effi</w:t>
      </w:r>
      <w:r w:rsidR="007404B8" w:rsidRPr="00BC5E3A">
        <w:t>cient heat transfer and storage,</w:t>
      </w:r>
      <w:r w:rsidRPr="00BC5E3A">
        <w:t xml:space="preserve"> low dynamic visc</w:t>
      </w:r>
      <w:r w:rsidR="007404B8" w:rsidRPr="00BC5E3A">
        <w:t>osity to minimize pumping power,</w:t>
      </w:r>
      <w:r w:rsidRPr="00BC5E3A">
        <w:t xml:space="preserve"> chemical compatibility with structural and storage materials to </w:t>
      </w:r>
      <w:r w:rsidR="007404B8" w:rsidRPr="00BC5E3A">
        <w:t>avoid corrosion and degradation,</w:t>
      </w:r>
      <w:r w:rsidR="00A21907" w:rsidRPr="00BC5E3A">
        <w:t xml:space="preserve"> cost-effectiveness,</w:t>
      </w:r>
      <w:r w:rsidRPr="00BC5E3A">
        <w:t xml:space="preserve"> widespread availability</w:t>
      </w:r>
      <w:r w:rsidR="00A21907" w:rsidRPr="00BC5E3A">
        <w:t>,</w:t>
      </w:r>
      <w:r w:rsidRPr="00BC5E3A">
        <w:t xml:space="preserve"> and environmental and health safety to ensure sustainable and safe operation.</w:t>
      </w:r>
    </w:p>
    <w:p w14:paraId="5F74B962" w14:textId="4A287D87" w:rsidR="00C34A1A" w:rsidRPr="00BC5E3A" w:rsidRDefault="007A5A8E" w:rsidP="000F504F">
      <w:pPr>
        <w:pStyle w:val="Paragraph"/>
      </w:pPr>
      <w:r w:rsidRPr="00BC5E3A">
        <w:t>The literature indicates that the influence of HTFs on the performance of packed-bed systems rem</w:t>
      </w:r>
      <w:r w:rsidR="00454855" w:rsidRPr="00BC5E3A">
        <w:t>ains insufficiently explored [16</w:t>
      </w:r>
      <w:r w:rsidRPr="00BC5E3A">
        <w:t>]. Despite the critical role that HTFs play in shaping the thermal behavior of these systems, only a limited number of studies have specifically addressed their impact on system performance, particularly regarding the formation and evolution of the thermocline zone, which directly affects thermal stratification and overall storage efficiency.</w:t>
      </w:r>
      <w:r w:rsidR="0088496A" w:rsidRPr="00BC5E3A">
        <w:t xml:space="preserve"> </w:t>
      </w:r>
      <w:r w:rsidR="00E30ECB" w:rsidRPr="00BC5E3A">
        <w:t>This study aims to conduct a comparative analysis of three widely used HTFs, namely air, solar salt, and Therminol VP-1 (oil)</w:t>
      </w:r>
      <w:r w:rsidR="00874867" w:rsidRPr="00BC5E3A">
        <w:t xml:space="preserve">. </w:t>
      </w:r>
      <w:r w:rsidR="000F504F" w:rsidRPr="00BC5E3A">
        <w:t>A non-equilibrium modeling approach is employed to assess the effects of each HTF on thermal behavior and efficiency. Simulations are conducted under identical energy input conditions, with operating temperature ranges tailored to the specific thermal characteristics of each fluid. Particular emphasis is placed on the formation and evolution of the thermocline zone during both charging and discharging periods, as well as on the overall thermal performance of the system.</w:t>
      </w:r>
    </w:p>
    <w:p w14:paraId="3097C7C2" w14:textId="4732AD04" w:rsidR="00C34A1A" w:rsidRPr="00BC5E3A" w:rsidRDefault="00C34A1A" w:rsidP="00C34A1A">
      <w:pPr>
        <w:pStyle w:val="Heading1"/>
      </w:pPr>
      <w:r w:rsidRPr="00BC5E3A">
        <w:t>Methodology and experimental validation</w:t>
      </w:r>
    </w:p>
    <w:p w14:paraId="278FA080" w14:textId="57C197A5" w:rsidR="0029297C" w:rsidRPr="00BC5E3A" w:rsidRDefault="00C107C7" w:rsidP="008A5B00">
      <w:pPr>
        <w:pStyle w:val="Paragraph"/>
      </w:pPr>
      <w:r w:rsidRPr="00BC5E3A">
        <w:t>A numerical model has been developed to investigate the thermal behavior within the storage bed, employing a non-equilibrium approach.</w:t>
      </w:r>
      <w:r w:rsidR="0029297C" w:rsidRPr="00BC5E3A">
        <w:t xml:space="preserve"> The computational domain is a 3D axisymmetric cylindrical tank with a height of 1.2 m and a diameter of 0.148 m, representing a vertically oriented packed-bed configuration. The porous medium, composed of solid storage material and HTF, is characterized by a void fraction of 0.4. </w:t>
      </w:r>
      <w:r w:rsidR="008A5B00" w:rsidRPr="00BC5E3A">
        <w:t>A mass flow inlet boundary condition was applied at the inlet of the storage tank, where the mass flow rate and temperature of the fluid were specified. At the outlet, a pressure outlet boundary condition was imposed, with the static pressure set to the reference value (0 Pa gauge). This configuration enables the solver to compute the pressure field consistently, while ensuring that the outlet serves as the pressure reference for the entire domain</w:t>
      </w:r>
      <w:r w:rsidR="007375BD" w:rsidRPr="00BC5E3A">
        <w:t xml:space="preserve">. </w:t>
      </w:r>
      <w:r w:rsidR="0029297C" w:rsidRPr="00BC5E3A">
        <w:t xml:space="preserve">The governing equations for mass, momentum, and energy conservation in both fluid and solid phases are discretized using the finite volume method and </w:t>
      </w:r>
      <w:r w:rsidR="00457AF5" w:rsidRPr="00BC5E3A">
        <w:t>computed using ANSYS-Fluent</w:t>
      </w:r>
      <w:r w:rsidR="0029297C" w:rsidRPr="00BC5E3A">
        <w:t>. Pressure-velocity coupling is handled using the SIMPLE algorithm, while the PISO algorithm and the PRESTO! Scheme a</w:t>
      </w:r>
      <w:r w:rsidR="00BE70CD" w:rsidRPr="00BC5E3A">
        <w:t>re applied to</w:t>
      </w:r>
      <w:r w:rsidR="008C7DC9" w:rsidRPr="00BC5E3A">
        <w:t xml:space="preserve"> </w:t>
      </w:r>
      <w:r w:rsidR="00BE70CD" w:rsidRPr="00BC5E3A">
        <w:t>enhance the accuracy of pressure correction and improve the resolution of the pressure field</w:t>
      </w:r>
      <w:r w:rsidR="0029297C" w:rsidRPr="00BC5E3A">
        <w:t>. Second-order upwind schemes are employed for spatial discretization to ensure numerical stability and accuracy. The solution is considered converged when the residuals for mass and momentum fall below 10⁻⁶, and the energy residual drops below 10⁻⁷.</w:t>
      </w:r>
    </w:p>
    <w:p w14:paraId="7453BDAC" w14:textId="13FAC361" w:rsidR="000C1EAF" w:rsidRPr="00BC5E3A" w:rsidRDefault="0029297C" w:rsidP="00E166B2">
      <w:pPr>
        <w:pStyle w:val="Paragraph"/>
        <w:spacing w:after="240"/>
      </w:pPr>
      <w:r w:rsidRPr="00BC5E3A">
        <w:t xml:space="preserve">The non-equilibrium model, also known as the two-temperature model, is employed in this study to simulate the thermal behavior of the packed-bed system. In this approach, the solid storage medium (rocks) and the HTF are treated as two distinct phases, each with its own temperature field. The thermal interaction between these phases is captured through an interstitial convective heat transfer term. </w:t>
      </w:r>
      <w:r w:rsidR="00E166B2" w:rsidRPr="00BC5E3A">
        <w:t>The system is modeled under fully adiabatic operating conditions, allowing the analysis to focus on the intrinsic thermal behavior of t</w:t>
      </w:r>
      <w:r w:rsidR="00CA0B18" w:rsidRPr="00BC5E3A">
        <w:t>he system, incl</w:t>
      </w:r>
      <w:r w:rsidR="007A3947" w:rsidRPr="00BC5E3A">
        <w:t>uding charge/</w:t>
      </w:r>
      <w:r w:rsidR="00E166B2" w:rsidRPr="00BC5E3A">
        <w:t>discharge dynamics and thermocline development, without the confounding effects of external heat losses</w:t>
      </w:r>
      <w:r w:rsidR="00C1759A" w:rsidRPr="00BC5E3A">
        <w:t>. The thermal energy balances for the fluid and solid phases are given by Equations (1) and (2), respectively</w:t>
      </w:r>
      <w:r w:rsidRPr="00BC5E3A">
        <w:t>.</w:t>
      </w:r>
    </w:p>
    <w:tbl>
      <w:tblPr>
        <w:tblStyle w:val="Grilledutableau1"/>
        <w:tblW w:w="9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8"/>
        <w:gridCol w:w="934"/>
      </w:tblGrid>
      <w:tr w:rsidR="00BC5E3A" w:rsidRPr="00BC5E3A" w14:paraId="308AA144" w14:textId="77777777" w:rsidTr="00F24AE1">
        <w:trPr>
          <w:trHeight w:val="496"/>
        </w:trPr>
        <w:tc>
          <w:tcPr>
            <w:tcW w:w="8428" w:type="dxa"/>
          </w:tcPr>
          <w:p w14:paraId="4BA06EDD" w14:textId="77777777" w:rsidR="000C1EAF" w:rsidRPr="00BC5E3A" w:rsidRDefault="00ED49E1" w:rsidP="000C1EAF">
            <w:pPr>
              <w:spacing w:line="336" w:lineRule="auto"/>
              <w:rPr>
                <w:rFonts w:asciiTheme="majorBidi" w:hAnsiTheme="majorBidi" w:cstheme="majorBidi"/>
                <w:kern w:val="24"/>
                <w:sz w:val="20"/>
                <w:lang w:eastAsia="fr-FR" w:bidi="ar-LB"/>
              </w:rPr>
            </w:pPr>
            <m:oMathPara>
              <m:oMathParaPr>
                <m:jc m:val="left"/>
              </m:oMathParaPr>
              <m:oMath>
                <m:f>
                  <m:fPr>
                    <m:ctrlPr>
                      <w:rPr>
                        <w:rFonts w:ascii="Cambria Math" w:hAnsi="Cambria Math" w:cstheme="majorBidi"/>
                        <w:i/>
                        <w:iCs/>
                        <w:kern w:val="24"/>
                        <w:sz w:val="20"/>
                        <w:lang w:eastAsia="fr-FR" w:bidi="ar-LB"/>
                      </w:rPr>
                    </m:ctrlPr>
                  </m:fPr>
                  <m:num>
                    <m:r>
                      <w:rPr>
                        <w:rFonts w:ascii="Cambria Math" w:hAnsi="Cambria Math" w:cstheme="majorBidi"/>
                        <w:kern w:val="24"/>
                        <w:sz w:val="20"/>
                        <w:lang w:eastAsia="fr-FR" w:bidi="ar-LB"/>
                      </w:rPr>
                      <m:t>∂</m:t>
                    </m:r>
                  </m:num>
                  <m:den>
                    <m:r>
                      <w:rPr>
                        <w:rFonts w:ascii="Cambria Math" w:hAnsi="Cambria Math" w:cstheme="majorBidi"/>
                        <w:kern w:val="24"/>
                        <w:sz w:val="20"/>
                        <w:lang w:eastAsia="fr-FR" w:bidi="ar-LB"/>
                      </w:rPr>
                      <m:t>∂t</m:t>
                    </m:r>
                  </m:den>
                </m:f>
                <m:d>
                  <m:dPr>
                    <m:ctrlPr>
                      <w:rPr>
                        <w:rFonts w:ascii="Cambria Math" w:hAnsi="Cambria Math" w:cstheme="majorBidi"/>
                        <w:i/>
                        <w:iCs/>
                        <w:kern w:val="24"/>
                        <w:sz w:val="20"/>
                        <w:lang w:eastAsia="fr-FR" w:bidi="ar-LB"/>
                      </w:rPr>
                    </m:ctrlPr>
                  </m:dPr>
                  <m:e>
                    <m:r>
                      <w:rPr>
                        <w:rFonts w:ascii="Cambria Math" w:hAnsi="Cambria Math" w:cstheme="majorBidi"/>
                        <w:kern w:val="24"/>
                        <w:sz w:val="20"/>
                        <w:lang w:eastAsia="fr-FR" w:bidi="ar-LB"/>
                      </w:rPr>
                      <m:t>ε</m:t>
                    </m:r>
                    <m:sSub>
                      <m:sSubPr>
                        <m:ctrlPr>
                          <w:rPr>
                            <w:rFonts w:ascii="Cambria Math" w:hAnsi="Cambria Math" w:cstheme="majorBidi"/>
                            <w:i/>
                            <w:iCs/>
                            <w:kern w:val="24"/>
                            <w:sz w:val="20"/>
                            <w:lang w:eastAsia="fr-FR" w:bidi="ar-LB"/>
                          </w:rPr>
                        </m:ctrlPr>
                      </m:sSubPr>
                      <m:e>
                        <m:r>
                          <w:rPr>
                            <w:rFonts w:ascii="Cambria Math" w:hAnsi="Cambria Math" w:cstheme="majorBidi"/>
                            <w:kern w:val="24"/>
                            <w:sz w:val="20"/>
                            <w:lang w:eastAsia="fr-FR" w:bidi="ar-LB"/>
                          </w:rPr>
                          <m:t>ρ</m:t>
                        </m:r>
                      </m:e>
                      <m:sub>
                        <m:r>
                          <w:rPr>
                            <w:rFonts w:ascii="Cambria Math" w:hAnsi="Cambria Math" w:cstheme="majorBidi"/>
                            <w:kern w:val="24"/>
                            <w:sz w:val="20"/>
                            <w:lang w:eastAsia="fr-FR" w:bidi="ar-LB"/>
                          </w:rPr>
                          <m:t>f</m:t>
                        </m:r>
                      </m:sub>
                    </m:sSub>
                    <m:sSub>
                      <m:sSubPr>
                        <m:ctrlPr>
                          <w:rPr>
                            <w:rFonts w:ascii="Cambria Math" w:hAnsi="Cambria Math" w:cstheme="majorBidi"/>
                            <w:i/>
                            <w:iCs/>
                            <w:kern w:val="24"/>
                            <w:sz w:val="20"/>
                            <w:lang w:eastAsia="fr-FR" w:bidi="ar-LB"/>
                          </w:rPr>
                        </m:ctrlPr>
                      </m:sSubPr>
                      <m:e>
                        <m:r>
                          <w:rPr>
                            <w:rFonts w:ascii="Cambria Math" w:hAnsi="Cambria Math" w:cstheme="majorBidi"/>
                            <w:kern w:val="24"/>
                            <w:sz w:val="20"/>
                            <w:lang w:eastAsia="fr-FR" w:bidi="ar-LB"/>
                          </w:rPr>
                          <m:t>E</m:t>
                        </m:r>
                      </m:e>
                      <m:sub>
                        <m:r>
                          <w:rPr>
                            <w:rFonts w:ascii="Cambria Math" w:hAnsi="Cambria Math" w:cstheme="majorBidi"/>
                            <w:kern w:val="24"/>
                            <w:sz w:val="20"/>
                            <w:lang w:eastAsia="fr-FR" w:bidi="ar-LB"/>
                          </w:rPr>
                          <m:t>f</m:t>
                        </m:r>
                      </m:sub>
                    </m:sSub>
                  </m:e>
                </m:d>
                <m:r>
                  <w:rPr>
                    <w:rFonts w:ascii="Cambria Math" w:hAnsi="Cambria Math" w:cstheme="majorBidi"/>
                    <w:kern w:val="24"/>
                    <w:sz w:val="20"/>
                    <w:lang w:eastAsia="fr-FR" w:bidi="ar-LB"/>
                  </w:rPr>
                  <m:t>+∇</m:t>
                </m:r>
                <m:d>
                  <m:dPr>
                    <m:ctrlPr>
                      <w:rPr>
                        <w:rFonts w:ascii="Cambria Math" w:hAnsi="Cambria Math" w:cstheme="majorBidi"/>
                        <w:i/>
                        <w:iCs/>
                        <w:kern w:val="24"/>
                        <w:sz w:val="20"/>
                        <w:lang w:eastAsia="fr-FR" w:bidi="ar-LB"/>
                      </w:rPr>
                    </m:ctrlPr>
                  </m:dPr>
                  <m:e>
                    <m:acc>
                      <m:accPr>
                        <m:chr m:val="⃗"/>
                        <m:ctrlPr>
                          <w:rPr>
                            <w:rFonts w:ascii="Cambria Math" w:hAnsi="Cambria Math" w:cstheme="majorBidi"/>
                            <w:i/>
                            <w:iCs/>
                            <w:kern w:val="24"/>
                            <w:sz w:val="20"/>
                            <w:lang w:eastAsia="fr-FR" w:bidi="ar-LB"/>
                          </w:rPr>
                        </m:ctrlPr>
                      </m:accPr>
                      <m:e>
                        <m:r>
                          <w:rPr>
                            <w:rFonts w:ascii="Cambria Math" w:hAnsi="Cambria Math" w:cstheme="majorBidi"/>
                            <w:kern w:val="24"/>
                            <w:sz w:val="20"/>
                            <w:lang w:eastAsia="fr-FR" w:bidi="ar-LB"/>
                          </w:rPr>
                          <m:t>u</m:t>
                        </m:r>
                      </m:e>
                    </m:acc>
                    <m:d>
                      <m:dPr>
                        <m:ctrlPr>
                          <w:rPr>
                            <w:rFonts w:ascii="Cambria Math" w:hAnsi="Cambria Math" w:cstheme="majorBidi"/>
                            <w:i/>
                            <w:iCs/>
                            <w:kern w:val="24"/>
                            <w:sz w:val="20"/>
                            <w:lang w:eastAsia="fr-FR" w:bidi="ar-LB"/>
                          </w:rPr>
                        </m:ctrlPr>
                      </m:dPr>
                      <m:e>
                        <m:sSub>
                          <m:sSubPr>
                            <m:ctrlPr>
                              <w:rPr>
                                <w:rFonts w:ascii="Cambria Math" w:hAnsi="Cambria Math" w:cstheme="majorBidi"/>
                                <w:i/>
                                <w:iCs/>
                                <w:kern w:val="24"/>
                                <w:sz w:val="20"/>
                                <w:lang w:eastAsia="fr-FR" w:bidi="ar-LB"/>
                              </w:rPr>
                            </m:ctrlPr>
                          </m:sSubPr>
                          <m:e>
                            <m:r>
                              <w:rPr>
                                <w:rFonts w:ascii="Cambria Math" w:hAnsi="Cambria Math" w:cstheme="majorBidi"/>
                                <w:kern w:val="24"/>
                                <w:sz w:val="20"/>
                                <w:lang w:eastAsia="fr-FR" w:bidi="ar-LB"/>
                              </w:rPr>
                              <m:t>ρ</m:t>
                            </m:r>
                          </m:e>
                          <m:sub>
                            <m:r>
                              <w:rPr>
                                <w:rFonts w:ascii="Cambria Math" w:hAnsi="Cambria Math" w:cstheme="majorBidi"/>
                                <w:kern w:val="24"/>
                                <w:sz w:val="20"/>
                                <w:lang w:eastAsia="fr-FR" w:bidi="ar-LB"/>
                              </w:rPr>
                              <m:t>f</m:t>
                            </m:r>
                          </m:sub>
                        </m:sSub>
                        <m:sSub>
                          <m:sSubPr>
                            <m:ctrlPr>
                              <w:rPr>
                                <w:rFonts w:ascii="Cambria Math" w:hAnsi="Cambria Math" w:cstheme="majorBidi"/>
                                <w:i/>
                                <w:iCs/>
                                <w:kern w:val="24"/>
                                <w:sz w:val="20"/>
                                <w:lang w:eastAsia="fr-FR" w:bidi="ar-LB"/>
                              </w:rPr>
                            </m:ctrlPr>
                          </m:sSubPr>
                          <m:e>
                            <m:r>
                              <w:rPr>
                                <w:rFonts w:ascii="Cambria Math" w:hAnsi="Cambria Math" w:cstheme="majorBidi"/>
                                <w:kern w:val="24"/>
                                <w:sz w:val="20"/>
                                <w:lang w:eastAsia="fr-FR" w:bidi="ar-LB"/>
                              </w:rPr>
                              <m:t>E</m:t>
                            </m:r>
                          </m:e>
                          <m:sub>
                            <m:r>
                              <w:rPr>
                                <w:rFonts w:ascii="Cambria Math" w:hAnsi="Cambria Math" w:cstheme="majorBidi"/>
                                <w:kern w:val="24"/>
                                <w:sz w:val="20"/>
                                <w:lang w:eastAsia="fr-FR" w:bidi="ar-LB"/>
                              </w:rPr>
                              <m:t>f</m:t>
                            </m:r>
                          </m:sub>
                        </m:sSub>
                        <m:r>
                          <w:rPr>
                            <w:rFonts w:ascii="Cambria Math" w:hAnsi="Cambria Math" w:cstheme="majorBidi"/>
                            <w:kern w:val="24"/>
                            <w:sz w:val="20"/>
                            <w:lang w:eastAsia="fr-FR" w:bidi="ar-LB"/>
                          </w:rPr>
                          <m:t>+P</m:t>
                        </m:r>
                      </m:e>
                    </m:d>
                  </m:e>
                </m:d>
                <m:r>
                  <w:rPr>
                    <w:rFonts w:ascii="Cambria Math" w:hAnsi="Cambria Math" w:cstheme="majorBidi"/>
                    <w:kern w:val="24"/>
                    <w:sz w:val="20"/>
                    <w:lang w:eastAsia="fr-FR" w:bidi="ar-LB"/>
                  </w:rPr>
                  <m:t>=</m:t>
                </m:r>
                <m:r>
                  <w:rPr>
                    <w:rFonts w:ascii="Cambria Math" w:hAnsi="Cambria Math" w:cstheme="majorBidi"/>
                    <w:kern w:val="24"/>
                    <w:sz w:val="20"/>
                    <w:lang w:bidi="ar-LB"/>
                  </w:rPr>
                  <m:t xml:space="preserve"> ∇</m:t>
                </m:r>
                <m:d>
                  <m:dPr>
                    <m:ctrlPr>
                      <w:rPr>
                        <w:rFonts w:ascii="Cambria Math" w:hAnsi="Cambria Math" w:cstheme="majorBidi"/>
                        <w:i/>
                        <w:iCs/>
                        <w:kern w:val="24"/>
                        <w:sz w:val="20"/>
                        <w:lang w:bidi="ar-LB"/>
                      </w:rPr>
                    </m:ctrlPr>
                  </m:dPr>
                  <m:e>
                    <m:sSub>
                      <m:sSubPr>
                        <m:ctrlPr>
                          <w:rPr>
                            <w:rFonts w:ascii="Cambria Math" w:hAnsi="Cambria Math" w:cstheme="majorBidi"/>
                            <w:i/>
                            <w:iCs/>
                            <w:kern w:val="24"/>
                            <w:sz w:val="20"/>
                            <w:lang w:bidi="ar-LB"/>
                          </w:rPr>
                        </m:ctrlPr>
                      </m:sSubPr>
                      <m:e>
                        <m:r>
                          <w:rPr>
                            <w:rFonts w:ascii="Cambria Math" w:hAnsi="Cambria Math" w:cstheme="majorBidi"/>
                            <w:kern w:val="24"/>
                            <w:sz w:val="20"/>
                            <w:lang w:bidi="ar-LB"/>
                          </w:rPr>
                          <m:t>εk</m:t>
                        </m:r>
                      </m:e>
                      <m:sub>
                        <m:r>
                          <w:rPr>
                            <w:rFonts w:ascii="Cambria Math" w:hAnsi="Cambria Math" w:cstheme="majorBidi"/>
                            <w:kern w:val="24"/>
                            <w:sz w:val="20"/>
                            <w:lang w:bidi="ar-LB"/>
                          </w:rPr>
                          <m:t>f</m:t>
                        </m:r>
                      </m:sub>
                    </m:sSub>
                    <m:r>
                      <w:rPr>
                        <w:rFonts w:ascii="Cambria Math" w:hAnsi="Cambria Math" w:cstheme="majorBidi"/>
                        <w:kern w:val="24"/>
                        <w:sz w:val="20"/>
                        <w:lang w:bidi="ar-LB"/>
                      </w:rPr>
                      <m:t>∇</m:t>
                    </m:r>
                    <m:sSub>
                      <m:sSubPr>
                        <m:ctrlPr>
                          <w:rPr>
                            <w:rFonts w:ascii="Cambria Math" w:hAnsi="Cambria Math" w:cstheme="majorBidi"/>
                            <w:i/>
                            <w:kern w:val="24"/>
                            <w:sz w:val="20"/>
                            <w:lang w:bidi="ar-LB"/>
                          </w:rPr>
                        </m:ctrlPr>
                      </m:sSubPr>
                      <m:e>
                        <m:r>
                          <w:rPr>
                            <w:rFonts w:ascii="Cambria Math" w:hAnsi="Cambria Math" w:cstheme="majorBidi"/>
                            <w:kern w:val="24"/>
                            <w:sz w:val="20"/>
                            <w:lang w:bidi="ar-LB"/>
                          </w:rPr>
                          <m:t>T</m:t>
                        </m:r>
                      </m:e>
                      <m:sub>
                        <m:r>
                          <w:rPr>
                            <w:rFonts w:ascii="Cambria Math" w:hAnsi="Cambria Math" w:cstheme="majorBidi"/>
                            <w:kern w:val="24"/>
                            <w:sz w:val="20"/>
                            <w:lang w:bidi="ar-LB"/>
                          </w:rPr>
                          <m:t>f</m:t>
                        </m:r>
                      </m:sub>
                    </m:sSub>
                  </m:e>
                </m:d>
                <m:r>
                  <w:rPr>
                    <w:rFonts w:ascii="Cambria Math" w:hAnsi="Cambria Math" w:cstheme="majorBidi"/>
                    <w:kern w:val="24"/>
                    <w:sz w:val="20"/>
                    <w:lang w:bidi="ar-LB"/>
                  </w:rPr>
                  <m:t>+</m:t>
                </m:r>
                <m:sSubSup>
                  <m:sSubSupPr>
                    <m:ctrlPr>
                      <w:rPr>
                        <w:rFonts w:ascii="Cambria Math" w:hAnsi="Cambria Math" w:cstheme="majorBidi"/>
                        <w:i/>
                        <w:iCs/>
                        <w:kern w:val="24"/>
                        <w:sz w:val="20"/>
                        <w:lang w:bidi="ar-LB"/>
                      </w:rPr>
                    </m:ctrlPr>
                  </m:sSubSupPr>
                  <m:e>
                    <m:r>
                      <w:rPr>
                        <w:rFonts w:ascii="Cambria Math" w:hAnsi="Cambria Math" w:cstheme="majorBidi"/>
                        <w:kern w:val="24"/>
                        <w:sz w:val="20"/>
                        <w:lang w:bidi="ar-LB"/>
                      </w:rPr>
                      <m:t>S</m:t>
                    </m:r>
                  </m:e>
                  <m:sub>
                    <m:r>
                      <w:rPr>
                        <w:rFonts w:ascii="Cambria Math" w:hAnsi="Cambria Math" w:cstheme="majorBidi"/>
                        <w:kern w:val="24"/>
                        <w:sz w:val="20"/>
                        <w:lang w:bidi="ar-LB"/>
                      </w:rPr>
                      <m:t>f</m:t>
                    </m:r>
                  </m:sub>
                  <m:sup>
                    <m:r>
                      <w:rPr>
                        <w:rFonts w:ascii="Cambria Math" w:hAnsi="Cambria Math" w:cstheme="majorBidi"/>
                        <w:kern w:val="24"/>
                        <w:sz w:val="20"/>
                        <w:lang w:bidi="ar-LB"/>
                      </w:rPr>
                      <m:t>h</m:t>
                    </m:r>
                  </m:sup>
                </m:sSubSup>
                <m:r>
                  <w:rPr>
                    <w:rFonts w:ascii="Cambria Math" w:hAnsi="Cambria Math" w:cstheme="majorBidi"/>
                    <w:kern w:val="24"/>
                    <w:sz w:val="20"/>
                    <w:lang w:bidi="ar-LB"/>
                  </w:rPr>
                  <m:t>+</m:t>
                </m:r>
                <m:sSub>
                  <m:sSubPr>
                    <m:ctrlPr>
                      <w:rPr>
                        <w:rFonts w:ascii="Cambria Math" w:hAnsi="Cambria Math" w:cstheme="majorBidi"/>
                        <w:i/>
                        <w:iCs/>
                        <w:kern w:val="24"/>
                        <w:sz w:val="20"/>
                        <w:lang w:bidi="ar-LB"/>
                      </w:rPr>
                    </m:ctrlPr>
                  </m:sSubPr>
                  <m:e>
                    <m:r>
                      <w:rPr>
                        <w:rFonts w:ascii="Cambria Math" w:hAnsi="Cambria Math" w:cstheme="majorBidi"/>
                        <w:kern w:val="24"/>
                        <w:sz w:val="20"/>
                        <w:lang w:bidi="ar-LB"/>
                      </w:rPr>
                      <m:t>h</m:t>
                    </m:r>
                  </m:e>
                  <m:sub>
                    <m:r>
                      <w:rPr>
                        <w:rFonts w:ascii="Cambria Math" w:hAnsi="Cambria Math" w:cstheme="majorBidi"/>
                        <w:kern w:val="24"/>
                        <w:sz w:val="20"/>
                        <w:lang w:bidi="ar-LB"/>
                      </w:rPr>
                      <m:t>fs</m:t>
                    </m:r>
                  </m:sub>
                </m:sSub>
                <m:sSub>
                  <m:sSubPr>
                    <m:ctrlPr>
                      <w:rPr>
                        <w:rFonts w:ascii="Cambria Math" w:hAnsi="Cambria Math" w:cstheme="majorBidi"/>
                        <w:i/>
                        <w:kern w:val="24"/>
                        <w:sz w:val="20"/>
                        <w:lang w:bidi="ar-LB"/>
                      </w:rPr>
                    </m:ctrlPr>
                  </m:sSubPr>
                  <m:e>
                    <m:r>
                      <w:rPr>
                        <w:rFonts w:ascii="Cambria Math" w:hAnsi="Cambria Math" w:cstheme="majorBidi"/>
                        <w:kern w:val="24"/>
                        <w:sz w:val="20"/>
                        <w:lang w:bidi="ar-LB"/>
                      </w:rPr>
                      <m:t>A</m:t>
                    </m:r>
                  </m:e>
                  <m:sub>
                    <m:r>
                      <w:rPr>
                        <w:rFonts w:ascii="Cambria Math" w:hAnsi="Cambria Math" w:cstheme="majorBidi"/>
                        <w:kern w:val="24"/>
                        <w:sz w:val="20"/>
                        <w:lang w:bidi="ar-LB"/>
                      </w:rPr>
                      <m:t>fs</m:t>
                    </m:r>
                  </m:sub>
                </m:sSub>
                <m:d>
                  <m:dPr>
                    <m:ctrlPr>
                      <w:rPr>
                        <w:rFonts w:ascii="Cambria Math" w:hAnsi="Cambria Math" w:cstheme="majorBidi"/>
                        <w:i/>
                        <w:iCs/>
                        <w:kern w:val="24"/>
                        <w:sz w:val="20"/>
                        <w:lang w:bidi="ar-LB"/>
                      </w:rPr>
                    </m:ctrlPr>
                  </m:dPr>
                  <m:e>
                    <m:sSub>
                      <m:sSubPr>
                        <m:ctrlPr>
                          <w:rPr>
                            <w:rFonts w:ascii="Cambria Math" w:hAnsi="Cambria Math" w:cstheme="majorBidi"/>
                            <w:i/>
                            <w:iCs/>
                            <w:kern w:val="24"/>
                            <w:sz w:val="20"/>
                            <w:lang w:bidi="ar-LB"/>
                          </w:rPr>
                        </m:ctrlPr>
                      </m:sSubPr>
                      <m:e>
                        <m:r>
                          <w:rPr>
                            <w:rFonts w:ascii="Cambria Math" w:hAnsi="Cambria Math" w:cstheme="majorBidi"/>
                            <w:kern w:val="24"/>
                            <w:sz w:val="20"/>
                            <w:lang w:bidi="ar-LB"/>
                          </w:rPr>
                          <m:t>T</m:t>
                        </m:r>
                      </m:e>
                      <m:sub>
                        <m:r>
                          <w:rPr>
                            <w:rFonts w:ascii="Cambria Math" w:hAnsi="Cambria Math" w:cstheme="majorBidi"/>
                            <w:kern w:val="24"/>
                            <w:sz w:val="20"/>
                            <w:lang w:bidi="ar-LB"/>
                          </w:rPr>
                          <m:t>s</m:t>
                        </m:r>
                      </m:sub>
                    </m:sSub>
                    <m:r>
                      <w:rPr>
                        <w:rFonts w:ascii="Cambria Math" w:hAnsi="Cambria Math" w:cstheme="majorBidi"/>
                        <w:kern w:val="24"/>
                        <w:sz w:val="20"/>
                        <w:lang w:bidi="ar-LB"/>
                      </w:rPr>
                      <m:t>-</m:t>
                    </m:r>
                    <m:sSub>
                      <m:sSubPr>
                        <m:ctrlPr>
                          <w:rPr>
                            <w:rFonts w:ascii="Cambria Math" w:hAnsi="Cambria Math" w:cstheme="majorBidi"/>
                            <w:i/>
                            <w:iCs/>
                            <w:kern w:val="24"/>
                            <w:sz w:val="20"/>
                            <w:lang w:bidi="ar-LB"/>
                          </w:rPr>
                        </m:ctrlPr>
                      </m:sSubPr>
                      <m:e>
                        <m:r>
                          <w:rPr>
                            <w:rFonts w:ascii="Cambria Math" w:hAnsi="Cambria Math" w:cstheme="majorBidi"/>
                            <w:kern w:val="24"/>
                            <w:sz w:val="20"/>
                            <w:lang w:bidi="ar-LB"/>
                          </w:rPr>
                          <m:t>T</m:t>
                        </m:r>
                      </m:e>
                      <m:sub>
                        <m:r>
                          <w:rPr>
                            <w:rFonts w:ascii="Cambria Math" w:hAnsi="Cambria Math" w:cstheme="majorBidi"/>
                            <w:kern w:val="24"/>
                            <w:sz w:val="20"/>
                            <w:lang w:bidi="ar-LB"/>
                          </w:rPr>
                          <m:t>f</m:t>
                        </m:r>
                      </m:sub>
                    </m:sSub>
                  </m:e>
                </m:d>
              </m:oMath>
            </m:oMathPara>
          </w:p>
        </w:tc>
        <w:tc>
          <w:tcPr>
            <w:tcW w:w="934" w:type="dxa"/>
          </w:tcPr>
          <w:p w14:paraId="64C9E608" w14:textId="7D84CDB3" w:rsidR="000C1EAF" w:rsidRPr="00BC5E3A" w:rsidRDefault="000C1EAF" w:rsidP="000C1EAF">
            <w:pPr>
              <w:spacing w:before="240" w:line="336" w:lineRule="auto"/>
              <w:jc w:val="both"/>
              <w:rPr>
                <w:rFonts w:asciiTheme="majorBidi" w:hAnsiTheme="majorBidi" w:cstheme="majorBidi"/>
                <w:sz w:val="20"/>
                <w:lang w:bidi="ar-LB"/>
              </w:rPr>
            </w:pPr>
            <w:r w:rsidRPr="00BC5E3A">
              <w:rPr>
                <w:rFonts w:asciiTheme="majorBidi" w:hAnsiTheme="majorBidi" w:cstheme="majorBidi"/>
                <w:sz w:val="20"/>
                <w:lang w:bidi="ar-LB"/>
              </w:rPr>
              <w:t>(</w:t>
            </w:r>
            <w:r w:rsidRPr="00BC5E3A">
              <w:rPr>
                <w:rFonts w:asciiTheme="majorBidi" w:hAnsiTheme="majorBidi" w:cstheme="majorBidi"/>
                <w:sz w:val="20"/>
                <w:lang w:bidi="ar-LB"/>
              </w:rPr>
              <w:fldChar w:fldCharType="begin"/>
            </w:r>
            <w:r w:rsidRPr="00BC5E3A">
              <w:rPr>
                <w:rFonts w:asciiTheme="majorBidi" w:hAnsiTheme="majorBidi" w:cstheme="majorBidi"/>
                <w:sz w:val="20"/>
                <w:lang w:bidi="ar-LB"/>
              </w:rPr>
              <w:instrText xml:space="preserve"> SEQ eq2 \* MERGEFORMAT </w:instrText>
            </w:r>
            <w:r w:rsidRPr="00BC5E3A">
              <w:rPr>
                <w:rFonts w:asciiTheme="majorBidi" w:hAnsiTheme="majorBidi" w:cstheme="majorBidi"/>
                <w:sz w:val="20"/>
                <w:lang w:bidi="ar-LB"/>
              </w:rPr>
              <w:fldChar w:fldCharType="separate"/>
            </w:r>
            <w:r w:rsidR="00B02199">
              <w:rPr>
                <w:rFonts w:asciiTheme="majorBidi" w:hAnsiTheme="majorBidi" w:cstheme="majorBidi"/>
                <w:noProof/>
                <w:sz w:val="20"/>
                <w:lang w:bidi="ar-LB"/>
              </w:rPr>
              <w:t>1</w:t>
            </w:r>
            <w:r w:rsidRPr="00BC5E3A">
              <w:rPr>
                <w:rFonts w:asciiTheme="majorBidi" w:hAnsiTheme="majorBidi" w:cstheme="majorBidi"/>
                <w:sz w:val="20"/>
                <w:lang w:bidi="ar-LB"/>
              </w:rPr>
              <w:fldChar w:fldCharType="end"/>
            </w:r>
            <w:r w:rsidRPr="00BC5E3A">
              <w:rPr>
                <w:rFonts w:asciiTheme="majorBidi" w:hAnsiTheme="majorBidi" w:cstheme="majorBidi"/>
                <w:noProof/>
                <w:sz w:val="20"/>
                <w:lang w:bidi="ar-LB"/>
              </w:rPr>
              <w:t>)</w:t>
            </w:r>
          </w:p>
        </w:tc>
      </w:tr>
    </w:tbl>
    <w:tbl>
      <w:tblPr>
        <w:tblStyle w:val="Grilledutableau2"/>
        <w:tblW w:w="9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3"/>
        <w:gridCol w:w="985"/>
      </w:tblGrid>
      <w:tr w:rsidR="00BC5E3A" w:rsidRPr="00BC5E3A" w14:paraId="3023BAF9" w14:textId="77777777" w:rsidTr="0066499A">
        <w:trPr>
          <w:trHeight w:val="768"/>
        </w:trPr>
        <w:tc>
          <w:tcPr>
            <w:tcW w:w="8443" w:type="dxa"/>
          </w:tcPr>
          <w:p w14:paraId="515977CE" w14:textId="77777777" w:rsidR="000C1EAF" w:rsidRPr="00BC5E3A" w:rsidRDefault="00ED49E1" w:rsidP="000C1EAF">
            <w:pPr>
              <w:spacing w:before="240" w:line="336" w:lineRule="auto"/>
              <w:rPr>
                <w:rFonts w:asciiTheme="majorBidi" w:hAnsiTheme="majorBidi" w:cstheme="majorBidi"/>
                <w:sz w:val="20"/>
                <w:lang w:bidi="ar-LB"/>
              </w:rPr>
            </w:pPr>
            <m:oMathPara>
              <m:oMathParaPr>
                <m:jc m:val="left"/>
              </m:oMathParaPr>
              <m:oMath>
                <m:f>
                  <m:fPr>
                    <m:ctrlPr>
                      <w:rPr>
                        <w:rFonts w:ascii="Cambria Math" w:hAnsi="Cambria Math" w:cstheme="majorBidi"/>
                        <w:i/>
                        <w:iCs/>
                        <w:kern w:val="24"/>
                        <w:sz w:val="20"/>
                        <w:lang w:bidi="ar-LB"/>
                      </w:rPr>
                    </m:ctrlPr>
                  </m:fPr>
                  <m:num>
                    <m:r>
                      <w:rPr>
                        <w:rFonts w:ascii="Cambria Math" w:hAnsi="Cambria Math" w:cstheme="majorBidi"/>
                        <w:kern w:val="24"/>
                        <w:sz w:val="20"/>
                        <w:lang w:bidi="ar-LB"/>
                      </w:rPr>
                      <m:t>∂</m:t>
                    </m:r>
                  </m:num>
                  <m:den>
                    <m:r>
                      <w:rPr>
                        <w:rFonts w:ascii="Cambria Math" w:hAnsi="Cambria Math" w:cstheme="majorBidi"/>
                        <w:kern w:val="24"/>
                        <w:sz w:val="20"/>
                        <w:lang w:bidi="ar-LB"/>
                      </w:rPr>
                      <m:t>∂t</m:t>
                    </m:r>
                  </m:den>
                </m:f>
                <m:d>
                  <m:dPr>
                    <m:ctrlPr>
                      <w:rPr>
                        <w:rFonts w:ascii="Cambria Math" w:hAnsi="Cambria Math" w:cstheme="majorBidi"/>
                        <w:i/>
                        <w:iCs/>
                        <w:kern w:val="24"/>
                        <w:sz w:val="20"/>
                        <w:lang w:bidi="ar-LB"/>
                      </w:rPr>
                    </m:ctrlPr>
                  </m:dPr>
                  <m:e>
                    <m:d>
                      <m:dPr>
                        <m:ctrlPr>
                          <w:rPr>
                            <w:rFonts w:ascii="Cambria Math" w:hAnsi="Cambria Math" w:cstheme="majorBidi"/>
                            <w:i/>
                            <w:iCs/>
                            <w:kern w:val="24"/>
                            <w:sz w:val="20"/>
                            <w:lang w:eastAsia="fr-FR" w:bidi="ar-LB"/>
                          </w:rPr>
                        </m:ctrlPr>
                      </m:dPr>
                      <m:e>
                        <m:r>
                          <w:rPr>
                            <w:rFonts w:ascii="Cambria Math" w:hAnsi="Cambria Math" w:cstheme="majorBidi"/>
                            <w:kern w:val="24"/>
                            <w:sz w:val="20"/>
                            <w:lang w:bidi="ar-LB"/>
                          </w:rPr>
                          <m:t>1-ε</m:t>
                        </m:r>
                      </m:e>
                    </m:d>
                    <m:sSub>
                      <m:sSubPr>
                        <m:ctrlPr>
                          <w:rPr>
                            <w:rFonts w:ascii="Cambria Math" w:hAnsi="Cambria Math" w:cstheme="majorBidi"/>
                            <w:i/>
                            <w:iCs/>
                            <w:kern w:val="24"/>
                            <w:sz w:val="20"/>
                            <w:lang w:bidi="ar-LB"/>
                          </w:rPr>
                        </m:ctrlPr>
                      </m:sSubPr>
                      <m:e>
                        <m:r>
                          <w:rPr>
                            <w:rFonts w:ascii="Cambria Math" w:hAnsi="Cambria Math" w:cstheme="majorBidi"/>
                            <w:kern w:val="24"/>
                            <w:sz w:val="20"/>
                            <w:lang w:bidi="ar-LB"/>
                          </w:rPr>
                          <m:t>ρ</m:t>
                        </m:r>
                      </m:e>
                      <m:sub>
                        <m:r>
                          <w:rPr>
                            <w:rFonts w:ascii="Cambria Math" w:hAnsi="Cambria Math" w:cstheme="majorBidi"/>
                            <w:kern w:val="24"/>
                            <w:sz w:val="20"/>
                            <w:lang w:bidi="ar-LB"/>
                          </w:rPr>
                          <m:t>s</m:t>
                        </m:r>
                      </m:sub>
                    </m:sSub>
                    <m:sSub>
                      <m:sSubPr>
                        <m:ctrlPr>
                          <w:rPr>
                            <w:rFonts w:ascii="Cambria Math" w:hAnsi="Cambria Math" w:cstheme="majorBidi"/>
                            <w:i/>
                            <w:iCs/>
                            <w:kern w:val="24"/>
                            <w:sz w:val="20"/>
                            <w:lang w:bidi="ar-LB"/>
                          </w:rPr>
                        </m:ctrlPr>
                      </m:sSubPr>
                      <m:e>
                        <m:r>
                          <w:rPr>
                            <w:rFonts w:ascii="Cambria Math" w:hAnsi="Cambria Math" w:cstheme="majorBidi"/>
                            <w:kern w:val="24"/>
                            <w:sz w:val="20"/>
                            <w:lang w:bidi="ar-LB"/>
                          </w:rPr>
                          <m:t>E</m:t>
                        </m:r>
                      </m:e>
                      <m:sub>
                        <m:r>
                          <w:rPr>
                            <w:rFonts w:ascii="Cambria Math" w:hAnsi="Cambria Math" w:cstheme="majorBidi"/>
                            <w:kern w:val="24"/>
                            <w:sz w:val="20"/>
                            <w:lang w:bidi="ar-LB"/>
                          </w:rPr>
                          <m:t>s</m:t>
                        </m:r>
                      </m:sub>
                    </m:sSub>
                  </m:e>
                </m:d>
                <m:r>
                  <w:rPr>
                    <w:rFonts w:ascii="Cambria Math" w:hAnsi="Cambria Math" w:cstheme="majorBidi"/>
                    <w:kern w:val="24"/>
                    <w:sz w:val="20"/>
                    <w:lang w:bidi="ar-LB"/>
                  </w:rPr>
                  <m:t> =∇</m:t>
                </m:r>
                <m:d>
                  <m:dPr>
                    <m:ctrlPr>
                      <w:rPr>
                        <w:rFonts w:ascii="Cambria Math" w:hAnsi="Cambria Math" w:cstheme="majorBidi"/>
                        <w:i/>
                        <w:iCs/>
                        <w:kern w:val="24"/>
                        <w:sz w:val="20"/>
                        <w:lang w:bidi="ar-LB"/>
                      </w:rPr>
                    </m:ctrlPr>
                  </m:dPr>
                  <m:e>
                    <m:sSub>
                      <m:sSubPr>
                        <m:ctrlPr>
                          <w:rPr>
                            <w:rFonts w:ascii="Cambria Math" w:hAnsi="Cambria Math" w:cstheme="majorBidi"/>
                            <w:i/>
                            <w:iCs/>
                            <w:kern w:val="24"/>
                            <w:sz w:val="20"/>
                            <w:lang w:bidi="ar-LB"/>
                          </w:rPr>
                        </m:ctrlPr>
                      </m:sSubPr>
                      <m:e>
                        <m:d>
                          <m:dPr>
                            <m:ctrlPr>
                              <w:rPr>
                                <w:rFonts w:ascii="Cambria Math" w:hAnsi="Cambria Math" w:cstheme="majorBidi"/>
                                <w:i/>
                                <w:kern w:val="24"/>
                                <w:sz w:val="20"/>
                                <w:lang w:bidi="ar-LB"/>
                              </w:rPr>
                            </m:ctrlPr>
                          </m:dPr>
                          <m:e>
                            <m:r>
                              <w:rPr>
                                <w:rFonts w:ascii="Cambria Math" w:hAnsi="Cambria Math" w:cstheme="majorBidi"/>
                                <w:kern w:val="24"/>
                                <w:sz w:val="20"/>
                                <w:lang w:bidi="ar-LB"/>
                              </w:rPr>
                              <m:t>1-ε</m:t>
                            </m:r>
                          </m:e>
                        </m:d>
                        <m:r>
                          <w:rPr>
                            <w:rFonts w:ascii="Cambria Math" w:hAnsi="Cambria Math" w:cstheme="majorBidi"/>
                            <w:kern w:val="24"/>
                            <w:sz w:val="20"/>
                            <w:lang w:bidi="ar-LB"/>
                          </w:rPr>
                          <m:t>k</m:t>
                        </m:r>
                      </m:e>
                      <m:sub>
                        <m:r>
                          <w:rPr>
                            <w:rFonts w:ascii="Cambria Math" w:hAnsi="Cambria Math" w:cstheme="majorBidi"/>
                            <w:kern w:val="24"/>
                            <w:sz w:val="20"/>
                            <w:lang w:bidi="ar-LB"/>
                          </w:rPr>
                          <m:t>s</m:t>
                        </m:r>
                      </m:sub>
                    </m:sSub>
                    <m:r>
                      <w:rPr>
                        <w:rFonts w:ascii="Cambria Math" w:hAnsi="Cambria Math" w:cstheme="majorBidi"/>
                        <w:kern w:val="24"/>
                        <w:sz w:val="20"/>
                        <w:lang w:bidi="ar-LB"/>
                      </w:rPr>
                      <m:t>∇</m:t>
                    </m:r>
                    <m:sSub>
                      <m:sSubPr>
                        <m:ctrlPr>
                          <w:rPr>
                            <w:rFonts w:ascii="Cambria Math" w:hAnsi="Cambria Math" w:cstheme="majorBidi"/>
                            <w:i/>
                            <w:kern w:val="24"/>
                            <w:sz w:val="20"/>
                            <w:lang w:bidi="ar-LB"/>
                          </w:rPr>
                        </m:ctrlPr>
                      </m:sSubPr>
                      <m:e>
                        <m:r>
                          <w:rPr>
                            <w:rFonts w:ascii="Cambria Math" w:hAnsi="Cambria Math" w:cstheme="majorBidi"/>
                            <w:kern w:val="24"/>
                            <w:sz w:val="20"/>
                            <w:lang w:bidi="ar-LB"/>
                          </w:rPr>
                          <m:t>T</m:t>
                        </m:r>
                      </m:e>
                      <m:sub>
                        <m:r>
                          <w:rPr>
                            <w:rFonts w:ascii="Cambria Math" w:hAnsi="Cambria Math" w:cstheme="majorBidi"/>
                            <w:kern w:val="24"/>
                            <w:sz w:val="20"/>
                            <w:lang w:bidi="ar-LB"/>
                          </w:rPr>
                          <m:t>s</m:t>
                        </m:r>
                      </m:sub>
                    </m:sSub>
                  </m:e>
                </m:d>
                <m:r>
                  <w:rPr>
                    <w:rFonts w:ascii="Cambria Math" w:hAnsi="Cambria Math" w:cstheme="majorBidi"/>
                    <w:kern w:val="24"/>
                    <w:sz w:val="20"/>
                    <w:lang w:bidi="ar-LB"/>
                  </w:rPr>
                  <m:t>+</m:t>
                </m:r>
                <m:sSubSup>
                  <m:sSubSupPr>
                    <m:ctrlPr>
                      <w:rPr>
                        <w:rFonts w:ascii="Cambria Math" w:hAnsi="Cambria Math" w:cstheme="majorBidi"/>
                        <w:i/>
                        <w:iCs/>
                        <w:kern w:val="24"/>
                        <w:sz w:val="20"/>
                        <w:lang w:bidi="ar-LB"/>
                      </w:rPr>
                    </m:ctrlPr>
                  </m:sSubSupPr>
                  <m:e>
                    <m:r>
                      <w:rPr>
                        <w:rFonts w:ascii="Cambria Math" w:hAnsi="Cambria Math" w:cstheme="majorBidi"/>
                        <w:kern w:val="24"/>
                        <w:sz w:val="20"/>
                        <w:lang w:bidi="ar-LB"/>
                      </w:rPr>
                      <m:t>S</m:t>
                    </m:r>
                  </m:e>
                  <m:sub>
                    <m:r>
                      <w:rPr>
                        <w:rFonts w:ascii="Cambria Math" w:hAnsi="Cambria Math" w:cstheme="majorBidi"/>
                        <w:kern w:val="24"/>
                        <w:sz w:val="20"/>
                        <w:lang w:bidi="ar-LB"/>
                      </w:rPr>
                      <m:t>s</m:t>
                    </m:r>
                  </m:sub>
                  <m:sup>
                    <m:r>
                      <w:rPr>
                        <w:rFonts w:ascii="Cambria Math" w:hAnsi="Cambria Math" w:cstheme="majorBidi"/>
                        <w:kern w:val="24"/>
                        <w:sz w:val="20"/>
                        <w:lang w:bidi="ar-LB"/>
                      </w:rPr>
                      <m:t>h</m:t>
                    </m:r>
                  </m:sup>
                </m:sSubSup>
                <m:r>
                  <w:rPr>
                    <w:rFonts w:ascii="Cambria Math" w:hAnsi="Cambria Math" w:cstheme="majorBidi"/>
                    <w:kern w:val="24"/>
                    <w:sz w:val="20"/>
                    <w:lang w:bidi="ar-LB"/>
                  </w:rPr>
                  <m:t>+</m:t>
                </m:r>
                <m:sSub>
                  <m:sSubPr>
                    <m:ctrlPr>
                      <w:rPr>
                        <w:rFonts w:ascii="Cambria Math" w:hAnsi="Cambria Math" w:cstheme="majorBidi"/>
                        <w:i/>
                        <w:iCs/>
                        <w:kern w:val="24"/>
                        <w:sz w:val="20"/>
                        <w:lang w:bidi="ar-LB"/>
                      </w:rPr>
                    </m:ctrlPr>
                  </m:sSubPr>
                  <m:e>
                    <m:r>
                      <w:rPr>
                        <w:rFonts w:ascii="Cambria Math" w:hAnsi="Cambria Math" w:cstheme="majorBidi"/>
                        <w:kern w:val="24"/>
                        <w:sz w:val="20"/>
                        <w:lang w:bidi="ar-LB"/>
                      </w:rPr>
                      <m:t>h</m:t>
                    </m:r>
                  </m:e>
                  <m:sub>
                    <m:r>
                      <w:rPr>
                        <w:rFonts w:ascii="Cambria Math" w:hAnsi="Cambria Math" w:cstheme="majorBidi"/>
                        <w:kern w:val="24"/>
                        <w:sz w:val="20"/>
                        <w:lang w:bidi="ar-LB"/>
                      </w:rPr>
                      <m:t>fs</m:t>
                    </m:r>
                  </m:sub>
                </m:sSub>
                <m:sSub>
                  <m:sSubPr>
                    <m:ctrlPr>
                      <w:rPr>
                        <w:rFonts w:ascii="Cambria Math" w:hAnsi="Cambria Math" w:cstheme="majorBidi"/>
                        <w:i/>
                        <w:kern w:val="24"/>
                        <w:sz w:val="20"/>
                        <w:lang w:bidi="ar-LB"/>
                      </w:rPr>
                    </m:ctrlPr>
                  </m:sSubPr>
                  <m:e>
                    <m:r>
                      <w:rPr>
                        <w:rFonts w:ascii="Cambria Math" w:hAnsi="Cambria Math" w:cstheme="majorBidi"/>
                        <w:kern w:val="24"/>
                        <w:sz w:val="20"/>
                        <w:lang w:bidi="ar-LB"/>
                      </w:rPr>
                      <m:t>A</m:t>
                    </m:r>
                  </m:e>
                  <m:sub>
                    <m:r>
                      <w:rPr>
                        <w:rFonts w:ascii="Cambria Math" w:hAnsi="Cambria Math" w:cstheme="majorBidi"/>
                        <w:kern w:val="24"/>
                        <w:sz w:val="20"/>
                        <w:lang w:bidi="ar-LB"/>
                      </w:rPr>
                      <m:t>fs</m:t>
                    </m:r>
                  </m:sub>
                </m:sSub>
                <m:d>
                  <m:dPr>
                    <m:ctrlPr>
                      <w:rPr>
                        <w:rFonts w:ascii="Cambria Math" w:hAnsi="Cambria Math" w:cstheme="majorBidi"/>
                        <w:i/>
                        <w:iCs/>
                        <w:kern w:val="24"/>
                        <w:sz w:val="20"/>
                        <w:lang w:bidi="ar-LB"/>
                      </w:rPr>
                    </m:ctrlPr>
                  </m:dPr>
                  <m:e>
                    <m:sSub>
                      <m:sSubPr>
                        <m:ctrlPr>
                          <w:rPr>
                            <w:rFonts w:ascii="Cambria Math" w:hAnsi="Cambria Math" w:cstheme="majorBidi"/>
                            <w:i/>
                            <w:iCs/>
                            <w:kern w:val="24"/>
                            <w:sz w:val="20"/>
                            <w:lang w:bidi="ar-LB"/>
                          </w:rPr>
                        </m:ctrlPr>
                      </m:sSubPr>
                      <m:e>
                        <m:r>
                          <w:rPr>
                            <w:rFonts w:ascii="Cambria Math" w:hAnsi="Cambria Math" w:cstheme="majorBidi"/>
                            <w:kern w:val="24"/>
                            <w:sz w:val="20"/>
                            <w:lang w:bidi="ar-LB"/>
                          </w:rPr>
                          <m:t>T</m:t>
                        </m:r>
                      </m:e>
                      <m:sub>
                        <m:r>
                          <w:rPr>
                            <w:rFonts w:ascii="Cambria Math" w:hAnsi="Cambria Math" w:cstheme="majorBidi"/>
                            <w:kern w:val="24"/>
                            <w:sz w:val="20"/>
                            <w:lang w:bidi="ar-LB"/>
                          </w:rPr>
                          <m:t>f</m:t>
                        </m:r>
                      </m:sub>
                    </m:sSub>
                    <m:r>
                      <w:rPr>
                        <w:rFonts w:ascii="Cambria Math" w:hAnsi="Cambria Math" w:cstheme="majorBidi"/>
                        <w:kern w:val="24"/>
                        <w:sz w:val="20"/>
                        <w:lang w:bidi="ar-LB"/>
                      </w:rPr>
                      <m:t>-</m:t>
                    </m:r>
                    <m:sSub>
                      <m:sSubPr>
                        <m:ctrlPr>
                          <w:rPr>
                            <w:rFonts w:ascii="Cambria Math" w:hAnsi="Cambria Math" w:cstheme="majorBidi"/>
                            <w:i/>
                            <w:iCs/>
                            <w:kern w:val="24"/>
                            <w:sz w:val="20"/>
                            <w:lang w:bidi="ar-LB"/>
                          </w:rPr>
                        </m:ctrlPr>
                      </m:sSubPr>
                      <m:e>
                        <m:r>
                          <w:rPr>
                            <w:rFonts w:ascii="Cambria Math" w:hAnsi="Cambria Math" w:cstheme="majorBidi"/>
                            <w:kern w:val="24"/>
                            <w:sz w:val="20"/>
                            <w:lang w:bidi="ar-LB"/>
                          </w:rPr>
                          <m:t>T</m:t>
                        </m:r>
                      </m:e>
                      <m:sub>
                        <m:r>
                          <w:rPr>
                            <w:rFonts w:ascii="Cambria Math" w:hAnsi="Cambria Math" w:cstheme="majorBidi"/>
                            <w:kern w:val="24"/>
                            <w:sz w:val="20"/>
                            <w:lang w:bidi="ar-LB"/>
                          </w:rPr>
                          <m:t>s</m:t>
                        </m:r>
                      </m:sub>
                    </m:sSub>
                  </m:e>
                </m:d>
              </m:oMath>
            </m:oMathPara>
          </w:p>
        </w:tc>
        <w:tc>
          <w:tcPr>
            <w:tcW w:w="985" w:type="dxa"/>
          </w:tcPr>
          <w:p w14:paraId="70560C53" w14:textId="6E94188F" w:rsidR="000C1EAF" w:rsidRPr="00BC5E3A" w:rsidRDefault="000C1EAF" w:rsidP="000C1EAF">
            <w:pPr>
              <w:spacing w:before="240" w:line="336" w:lineRule="auto"/>
              <w:jc w:val="both"/>
              <w:rPr>
                <w:rFonts w:asciiTheme="majorBidi" w:hAnsiTheme="majorBidi" w:cstheme="majorBidi"/>
                <w:sz w:val="20"/>
                <w:lang w:bidi="ar-LB"/>
              </w:rPr>
            </w:pPr>
            <w:r w:rsidRPr="00BC5E3A">
              <w:rPr>
                <w:rFonts w:asciiTheme="majorBidi" w:hAnsiTheme="majorBidi" w:cstheme="majorBidi"/>
                <w:sz w:val="20"/>
                <w:lang w:bidi="ar-LB"/>
              </w:rPr>
              <w:t>(</w:t>
            </w:r>
            <w:r w:rsidRPr="00BC5E3A">
              <w:rPr>
                <w:rFonts w:asciiTheme="majorBidi" w:hAnsiTheme="majorBidi" w:cstheme="majorBidi"/>
                <w:sz w:val="20"/>
                <w:lang w:bidi="ar-LB"/>
              </w:rPr>
              <w:fldChar w:fldCharType="begin"/>
            </w:r>
            <w:r w:rsidRPr="00BC5E3A">
              <w:rPr>
                <w:rFonts w:asciiTheme="majorBidi" w:hAnsiTheme="majorBidi" w:cstheme="majorBidi"/>
                <w:sz w:val="20"/>
                <w:lang w:bidi="ar-LB"/>
              </w:rPr>
              <w:instrText xml:space="preserve"> SEQ eq2 \* MERGEFORMAT </w:instrText>
            </w:r>
            <w:r w:rsidRPr="00BC5E3A">
              <w:rPr>
                <w:rFonts w:asciiTheme="majorBidi" w:hAnsiTheme="majorBidi" w:cstheme="majorBidi"/>
                <w:sz w:val="20"/>
                <w:lang w:bidi="ar-LB"/>
              </w:rPr>
              <w:fldChar w:fldCharType="separate"/>
            </w:r>
            <w:r w:rsidR="00B02199">
              <w:rPr>
                <w:rFonts w:asciiTheme="majorBidi" w:hAnsiTheme="majorBidi" w:cstheme="majorBidi"/>
                <w:noProof/>
                <w:sz w:val="20"/>
                <w:lang w:bidi="ar-LB"/>
              </w:rPr>
              <w:t>2</w:t>
            </w:r>
            <w:r w:rsidRPr="00BC5E3A">
              <w:rPr>
                <w:rFonts w:asciiTheme="majorBidi" w:hAnsiTheme="majorBidi" w:cstheme="majorBidi"/>
                <w:sz w:val="20"/>
                <w:lang w:bidi="ar-LB"/>
              </w:rPr>
              <w:fldChar w:fldCharType="end"/>
            </w:r>
            <w:r w:rsidRPr="00BC5E3A">
              <w:rPr>
                <w:rFonts w:asciiTheme="majorBidi" w:hAnsiTheme="majorBidi" w:cstheme="majorBidi"/>
                <w:sz w:val="20"/>
                <w:lang w:bidi="ar-LB"/>
              </w:rPr>
              <w:t>)</w:t>
            </w:r>
          </w:p>
        </w:tc>
      </w:tr>
    </w:tbl>
    <w:p w14:paraId="0A81FB05" w14:textId="2CBCD1F6" w:rsidR="00707140" w:rsidRPr="00BC5E3A" w:rsidRDefault="00707140" w:rsidP="000A45DB">
      <w:pPr>
        <w:pStyle w:val="Paragraph"/>
        <w:spacing w:before="240" w:after="240"/>
      </w:pPr>
      <w:r w:rsidRPr="00BC5E3A">
        <w:t xml:space="preserve">The internal energy of the fluid and solid is represented by </w:t>
      </w:r>
      <m:oMath>
        <m:sSub>
          <m:sSubPr>
            <m:ctrlPr>
              <w:rPr>
                <w:rFonts w:ascii="Cambria Math" w:hAnsi="Cambria Math"/>
                <w:i/>
                <w:iCs/>
                <w:lang w:val="fr-FR"/>
              </w:rPr>
            </m:ctrlPr>
          </m:sSubPr>
          <m:e>
            <m:r>
              <w:rPr>
                <w:rFonts w:ascii="Cambria Math" w:hAnsi="Cambria Math"/>
              </w:rPr>
              <m:t>E</m:t>
            </m:r>
          </m:e>
          <m:sub>
            <m:r>
              <w:rPr>
                <w:rFonts w:ascii="Cambria Math" w:hAnsi="Cambria Math"/>
                <w:lang w:val="fr-FR"/>
              </w:rPr>
              <m:t>f</m:t>
            </m:r>
          </m:sub>
        </m:sSub>
      </m:oMath>
      <w:r w:rsidRPr="00BC5E3A">
        <w:t xml:space="preserve">​ and </w:t>
      </w:r>
      <m:oMath>
        <m:sSub>
          <m:sSubPr>
            <m:ctrlPr>
              <w:rPr>
                <w:rFonts w:ascii="Cambria Math" w:hAnsi="Cambria Math"/>
                <w:i/>
                <w:iCs/>
                <w:lang w:val="fr-FR"/>
              </w:rPr>
            </m:ctrlPr>
          </m:sSubPr>
          <m:e>
            <m:r>
              <w:rPr>
                <w:rFonts w:ascii="Cambria Math" w:hAnsi="Cambria Math"/>
              </w:rPr>
              <m:t>E</m:t>
            </m:r>
          </m:e>
          <m:sub>
            <m:r>
              <w:rPr>
                <w:rFonts w:ascii="Cambria Math" w:hAnsi="Cambria Math"/>
                <w:lang w:val="fr-FR"/>
              </w:rPr>
              <m:t>s</m:t>
            </m:r>
          </m:sub>
        </m:sSub>
      </m:oMath>
      <w:r w:rsidRPr="00BC5E3A">
        <w:t xml:space="preserve">, respectively. The fluid velocity is denoted by the vector </w:t>
      </w:r>
      <m:oMath>
        <m:acc>
          <m:accPr>
            <m:chr m:val="⃗"/>
            <m:ctrlPr>
              <w:rPr>
                <w:rFonts w:ascii="Cambria Math" w:hAnsi="Cambria Math"/>
                <w:lang w:val="en-GB"/>
              </w:rPr>
            </m:ctrlPr>
          </m:accPr>
          <m:e>
            <m:r>
              <w:rPr>
                <w:rFonts w:ascii="Cambria Math" w:hAnsi="Cambria Math"/>
                <w:lang w:val="en-GB"/>
              </w:rPr>
              <m:t>u</m:t>
            </m:r>
          </m:e>
        </m:acc>
      </m:oMath>
      <w:r w:rsidRPr="00BC5E3A">
        <w:t xml:space="preserve">, and </w:t>
      </w:r>
      <m:oMath>
        <m:r>
          <w:rPr>
            <w:rFonts w:ascii="Cambria Math" w:hAnsi="Cambria Math"/>
            <w:lang w:val="en-GB"/>
          </w:rPr>
          <m:t>P</m:t>
        </m:r>
      </m:oMath>
      <w:r w:rsidRPr="00BC5E3A">
        <w:t xml:space="preserve"> represents its press</w:t>
      </w:r>
      <w:r w:rsidR="00D76738" w:rsidRPr="00BC5E3A">
        <w:t>ure. The porosity of the packed-</w:t>
      </w:r>
      <w:r w:rsidRPr="00BC5E3A">
        <w:t xml:space="preserve">bed is indicated by </w:t>
      </w:r>
      <m:oMath>
        <m:r>
          <w:rPr>
            <w:rFonts w:ascii="Cambria Math" w:hAnsi="Cambria Math"/>
            <w:lang w:val="fr-FR"/>
          </w:rPr>
          <m:t>ε</m:t>
        </m:r>
      </m:oMath>
      <w:r w:rsidRPr="00BC5E3A">
        <w:t xml:space="preserve">, while </w:t>
      </w:r>
      <m:oMath>
        <m:sSub>
          <m:sSubPr>
            <m:ctrlPr>
              <w:rPr>
                <w:rFonts w:ascii="Cambria Math" w:hAnsi="Cambria Math"/>
                <w:i/>
                <w:iCs/>
                <w:lang w:val="fr-FR"/>
              </w:rPr>
            </m:ctrlPr>
          </m:sSubPr>
          <m:e>
            <m:r>
              <w:rPr>
                <w:rFonts w:ascii="Cambria Math" w:hAnsi="Cambria Math"/>
                <w:lang w:val="fr-FR"/>
              </w:rPr>
              <m:t>ρ</m:t>
            </m:r>
          </m:e>
          <m:sub>
            <m:r>
              <w:rPr>
                <w:rFonts w:ascii="Cambria Math" w:hAnsi="Cambria Math"/>
                <w:lang w:val="fr-FR"/>
              </w:rPr>
              <m:t>f</m:t>
            </m:r>
          </m:sub>
        </m:sSub>
      </m:oMath>
      <w:r w:rsidRPr="00BC5E3A">
        <w:rPr>
          <w:iCs/>
        </w:rPr>
        <w:t xml:space="preserve"> and </w:t>
      </w:r>
      <m:oMath>
        <m:sSub>
          <m:sSubPr>
            <m:ctrlPr>
              <w:rPr>
                <w:rFonts w:ascii="Cambria Math" w:hAnsi="Cambria Math"/>
                <w:i/>
                <w:iCs/>
              </w:rPr>
            </m:ctrlPr>
          </m:sSubPr>
          <m:e>
            <m:r>
              <w:rPr>
                <w:rFonts w:ascii="Cambria Math" w:hAnsi="Cambria Math"/>
              </w:rPr>
              <m:t>ρ</m:t>
            </m:r>
          </m:e>
          <m:sub>
            <m:r>
              <w:rPr>
                <w:rFonts w:ascii="Cambria Math" w:hAnsi="Cambria Math"/>
              </w:rPr>
              <m:t>s</m:t>
            </m:r>
          </m:sub>
        </m:sSub>
      </m:oMath>
      <w:r w:rsidRPr="00BC5E3A">
        <w:t xml:space="preserve"> ​are the respective densities. </w:t>
      </w:r>
      <m:oMath>
        <m:sSub>
          <m:sSubPr>
            <m:ctrlPr>
              <w:rPr>
                <w:rFonts w:ascii="Cambria Math" w:hAnsi="Cambria Math"/>
                <w:lang w:val="en-GB"/>
              </w:rPr>
            </m:ctrlPr>
          </m:sSubPr>
          <m:e>
            <m:r>
              <w:rPr>
                <w:rFonts w:ascii="Cambria Math" w:hAnsi="Cambria Math"/>
                <w:lang w:val="en-GB"/>
              </w:rPr>
              <m:t>k</m:t>
            </m:r>
          </m:e>
          <m:sub>
            <m:r>
              <w:rPr>
                <w:rFonts w:ascii="Cambria Math" w:hAnsi="Cambria Math"/>
                <w:lang w:val="en-GB"/>
              </w:rPr>
              <m:t>f</m:t>
            </m:r>
          </m:sub>
        </m:sSub>
      </m:oMath>
      <w:r w:rsidRPr="00BC5E3A">
        <w:rPr>
          <w:lang w:val="en-GB"/>
        </w:rPr>
        <w:t xml:space="preserve">and </w:t>
      </w:r>
      <m:oMath>
        <m:sSub>
          <m:sSubPr>
            <m:ctrlPr>
              <w:rPr>
                <w:rFonts w:ascii="Cambria Math" w:hAnsi="Cambria Math"/>
                <w:i/>
                <w:iCs/>
              </w:rPr>
            </m:ctrlPr>
          </m:sSubPr>
          <m:e>
            <m:r>
              <w:rPr>
                <w:rFonts w:ascii="Cambria Math" w:hAnsi="Cambria Math"/>
              </w:rPr>
              <m:t>k</m:t>
            </m:r>
          </m:e>
          <m:sub>
            <m:r>
              <w:rPr>
                <w:rFonts w:ascii="Cambria Math" w:hAnsi="Cambria Math"/>
              </w:rPr>
              <m:t>s</m:t>
            </m:r>
          </m:sub>
        </m:sSub>
      </m:oMath>
      <w:r w:rsidRPr="00BC5E3A">
        <w:t xml:space="preserve">​ denote the thermal conductivities, and </w:t>
      </w:r>
      <m:oMath>
        <m:sSub>
          <m:sSubPr>
            <m:ctrlPr>
              <w:rPr>
                <w:rFonts w:ascii="Cambria Math" w:hAnsi="Cambria Math"/>
                <w:lang w:val="en-GB"/>
              </w:rPr>
            </m:ctrlPr>
          </m:sSubPr>
          <m:e>
            <m:r>
              <w:rPr>
                <w:rFonts w:ascii="Cambria Math" w:hAnsi="Cambria Math"/>
                <w:lang w:val="en-GB"/>
              </w:rPr>
              <m:t>T</m:t>
            </m:r>
          </m:e>
          <m:sub>
            <m:r>
              <w:rPr>
                <w:rFonts w:ascii="Cambria Math" w:hAnsi="Cambria Math"/>
                <w:lang w:val="en-GB"/>
              </w:rPr>
              <m:t>f</m:t>
            </m:r>
          </m:sub>
        </m:sSub>
      </m:oMath>
      <w:r w:rsidRPr="00BC5E3A">
        <w:rPr>
          <w:lang w:val="en-GB"/>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sidRPr="00BC5E3A">
        <w:t xml:space="preserve">​ correspond to the temperatures for the two phases. The enthalpy source terms are given by </w:t>
      </w:r>
      <m:oMath>
        <m:sSubSup>
          <m:sSubSupPr>
            <m:ctrlPr>
              <w:rPr>
                <w:rFonts w:ascii="Cambria Math" w:hAnsi="Cambria Math"/>
                <w:i/>
                <w:iCs/>
              </w:rPr>
            </m:ctrlPr>
          </m:sSubSupPr>
          <m:e>
            <m:r>
              <w:rPr>
                <w:rFonts w:ascii="Cambria Math" w:hAnsi="Cambria Math"/>
              </w:rPr>
              <m:t>S</m:t>
            </m:r>
          </m:e>
          <m:sub>
            <m:r>
              <w:rPr>
                <w:rFonts w:ascii="Cambria Math" w:hAnsi="Cambria Math"/>
              </w:rPr>
              <m:t>f</m:t>
            </m:r>
          </m:sub>
          <m:sup>
            <m:r>
              <w:rPr>
                <w:rFonts w:ascii="Cambria Math" w:hAnsi="Cambria Math"/>
              </w:rPr>
              <m:t>h</m:t>
            </m:r>
          </m:sup>
        </m:sSubSup>
      </m:oMath>
      <w:r w:rsidRPr="00BC5E3A">
        <w:t xml:space="preserve">​ and </w:t>
      </w:r>
      <m:oMath>
        <m:sSubSup>
          <m:sSubSupPr>
            <m:ctrlPr>
              <w:rPr>
                <w:rFonts w:ascii="Cambria Math" w:hAnsi="Cambria Math"/>
                <w:i/>
                <w:iCs/>
              </w:rPr>
            </m:ctrlPr>
          </m:sSubSupPr>
          <m:e>
            <m:r>
              <w:rPr>
                <w:rFonts w:ascii="Cambria Math" w:hAnsi="Cambria Math"/>
              </w:rPr>
              <m:t>S</m:t>
            </m:r>
          </m:e>
          <m:sub>
            <m:r>
              <w:rPr>
                <w:rFonts w:ascii="Cambria Math" w:hAnsi="Cambria Math"/>
              </w:rPr>
              <m:t>s</m:t>
            </m:r>
          </m:sub>
          <m:sup>
            <m:r>
              <w:rPr>
                <w:rFonts w:ascii="Cambria Math" w:hAnsi="Cambria Math"/>
              </w:rPr>
              <m:t>h</m:t>
            </m:r>
          </m:sup>
        </m:sSubSup>
      </m:oMath>
      <w:r w:rsidR="00D76738" w:rsidRPr="00BC5E3A">
        <w:t>​</w:t>
      </w:r>
      <w:r w:rsidRPr="00BC5E3A">
        <w:t>. The specific surf</w:t>
      </w:r>
      <w:r w:rsidR="00D76738" w:rsidRPr="00BC5E3A">
        <w:t>ace area between the two phases</w:t>
      </w:r>
      <w:r w:rsidRPr="00BC5E3A">
        <w:t xml:space="preserve"> denoted by </w:t>
      </w:r>
      <m:oMath>
        <m:sSub>
          <m:sSubPr>
            <m:ctrlPr>
              <w:rPr>
                <w:rFonts w:ascii="Cambria Math" w:hAnsi="Cambria Math"/>
                <w:i/>
              </w:rPr>
            </m:ctrlPr>
          </m:sSubPr>
          <m:e>
            <m:r>
              <w:rPr>
                <w:rFonts w:ascii="Cambria Math" w:hAnsi="Cambria Math"/>
              </w:rPr>
              <m:t>A</m:t>
            </m:r>
          </m:e>
          <m:sub>
            <m:r>
              <w:rPr>
                <w:rFonts w:ascii="Cambria Math" w:hAnsi="Cambria Math"/>
              </w:rPr>
              <m:t>fs</m:t>
            </m:r>
          </m:sub>
        </m:sSub>
      </m:oMath>
      <w:r w:rsidRPr="00BC5E3A">
        <w:t>​, is calculated as follows (Eq. 3):</w:t>
      </w:r>
    </w:p>
    <w:tbl>
      <w:tblPr>
        <w:tblW w:w="9443" w:type="dxa"/>
        <w:tblLook w:val="04A0" w:firstRow="1" w:lastRow="0" w:firstColumn="1" w:lastColumn="0" w:noHBand="0" w:noVBand="1"/>
      </w:tblPr>
      <w:tblGrid>
        <w:gridCol w:w="8456"/>
        <w:gridCol w:w="987"/>
      </w:tblGrid>
      <w:tr w:rsidR="00BC5E3A" w:rsidRPr="00BC5E3A" w14:paraId="7DAC2DB6" w14:textId="77777777" w:rsidTr="0025095D">
        <w:trPr>
          <w:trHeight w:val="688"/>
        </w:trPr>
        <w:tc>
          <w:tcPr>
            <w:tcW w:w="8456" w:type="dxa"/>
          </w:tcPr>
          <w:p w14:paraId="3787A045" w14:textId="2EF0BF6F" w:rsidR="00707140" w:rsidRPr="00BC5E3A" w:rsidRDefault="00ED49E1" w:rsidP="00707140">
            <w:pPr>
              <w:pStyle w:val="Paragraph"/>
            </w:pPr>
            <m:oMathPara>
              <m:oMath>
                <m:sSub>
                  <m:sSubPr>
                    <m:ctrlPr>
                      <w:rPr>
                        <w:rFonts w:ascii="Cambria Math" w:hAnsi="Cambria Math"/>
                        <w:i/>
                        <w:iCs/>
                      </w:rPr>
                    </m:ctrlPr>
                  </m:sSubPr>
                  <m:e>
                    <m:r>
                      <w:rPr>
                        <w:rFonts w:ascii="Cambria Math" w:hAnsi="Cambria Math"/>
                      </w:rPr>
                      <m:t>A</m:t>
                    </m:r>
                  </m:e>
                  <m:sub>
                    <m:r>
                      <w:rPr>
                        <w:rFonts w:ascii="Cambria Math" w:hAnsi="Cambria Math"/>
                      </w:rPr>
                      <m:t>fs</m:t>
                    </m:r>
                  </m:sub>
                </m:sSub>
                <m:r>
                  <w:rPr>
                    <w:rFonts w:ascii="Cambria Math" w:hAnsi="Cambria Math"/>
                  </w:rPr>
                  <m:t>=</m:t>
                </m:r>
                <m:f>
                  <m:fPr>
                    <m:ctrlPr>
                      <w:rPr>
                        <w:rFonts w:ascii="Cambria Math" w:hAnsi="Cambria Math"/>
                        <w:i/>
                        <w:iCs/>
                      </w:rPr>
                    </m:ctrlPr>
                  </m:fPr>
                  <m:num>
                    <m:r>
                      <w:rPr>
                        <w:rFonts w:ascii="Cambria Math" w:hAnsi="Cambria Math"/>
                      </w:rPr>
                      <m:t>6(1-ε)</m:t>
                    </m:r>
                  </m:num>
                  <m:den>
                    <m:sSub>
                      <m:sSubPr>
                        <m:ctrlPr>
                          <w:rPr>
                            <w:rFonts w:ascii="Cambria Math" w:hAnsi="Cambria Math"/>
                            <w:i/>
                            <w:iCs/>
                          </w:rPr>
                        </m:ctrlPr>
                      </m:sSubPr>
                      <m:e>
                        <m:r>
                          <w:rPr>
                            <w:rFonts w:ascii="Cambria Math" w:hAnsi="Cambria Math"/>
                          </w:rPr>
                          <m:t>d</m:t>
                        </m:r>
                      </m:e>
                      <m:sub>
                        <m:r>
                          <w:rPr>
                            <w:rFonts w:ascii="Cambria Math" w:hAnsi="Cambria Math"/>
                          </w:rPr>
                          <m:t>s</m:t>
                        </m:r>
                      </m:sub>
                    </m:sSub>
                  </m:den>
                </m:f>
              </m:oMath>
            </m:oMathPara>
          </w:p>
        </w:tc>
        <w:tc>
          <w:tcPr>
            <w:tcW w:w="987" w:type="dxa"/>
          </w:tcPr>
          <w:p w14:paraId="691C4C68" w14:textId="206F145E" w:rsidR="00707140" w:rsidRPr="00BC5E3A" w:rsidRDefault="00707140" w:rsidP="00707140">
            <w:pPr>
              <w:pStyle w:val="Paragraph"/>
            </w:pPr>
            <w:r w:rsidRPr="00BC5E3A">
              <w:t>(</w:t>
            </w:r>
            <w:fldSimple w:instr=" SEQ eq2 \* MERGEFORMAT ">
              <w:r w:rsidR="00B02199">
                <w:rPr>
                  <w:noProof/>
                </w:rPr>
                <w:t>3</w:t>
              </w:r>
            </w:fldSimple>
            <w:r w:rsidRPr="00BC5E3A">
              <w:t>)</w:t>
            </w:r>
          </w:p>
        </w:tc>
      </w:tr>
    </w:tbl>
    <w:p w14:paraId="51628997" w14:textId="45865A98" w:rsidR="00707140" w:rsidRPr="00BC5E3A" w:rsidRDefault="00F9739B" w:rsidP="00F9739B">
      <w:pPr>
        <w:pStyle w:val="Paragraph"/>
        <w:spacing w:after="240"/>
      </w:pPr>
      <w:r w:rsidRPr="00BC5E3A">
        <w:t>The calculation of the heat transfer coefficient between air and rock was performed using Equation (4)</w:t>
      </w:r>
      <w:r w:rsidR="00D26C23" w:rsidRPr="00BC5E3A">
        <w:t>.</w:t>
      </w:r>
    </w:p>
    <w:tbl>
      <w:tblPr>
        <w:tblW w:w="9459" w:type="dxa"/>
        <w:tblLook w:val="04A0" w:firstRow="1" w:lastRow="0" w:firstColumn="1" w:lastColumn="0" w:noHBand="0" w:noVBand="1"/>
      </w:tblPr>
      <w:tblGrid>
        <w:gridCol w:w="8470"/>
        <w:gridCol w:w="989"/>
      </w:tblGrid>
      <w:tr w:rsidR="00BC5E3A" w:rsidRPr="00BC5E3A" w14:paraId="53FBF74A" w14:textId="77777777" w:rsidTr="00F24AE1">
        <w:trPr>
          <w:trHeight w:val="689"/>
        </w:trPr>
        <w:tc>
          <w:tcPr>
            <w:tcW w:w="8470" w:type="dxa"/>
          </w:tcPr>
          <w:p w14:paraId="4C45440A" w14:textId="2D62DBE3" w:rsidR="00707140" w:rsidRPr="00BC5E3A" w:rsidRDefault="00ED49E1" w:rsidP="00707140">
            <w:pPr>
              <w:pStyle w:val="Paragraph"/>
              <w:rPr>
                <w:lang w:val="en-GB"/>
              </w:rPr>
            </w:pPr>
            <m:oMathPara>
              <m:oMath>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fs</m:t>
                    </m:r>
                  </m:sub>
                </m:sSub>
                <m:r>
                  <w:rPr>
                    <w:rFonts w:ascii="Cambria Math" w:hAnsi="Cambria Math"/>
                    <w:lang w:val="en-GB"/>
                  </w:rPr>
                  <m:t>=</m:t>
                </m:r>
                <m:f>
                  <m:fPr>
                    <m:ctrlPr>
                      <w:rPr>
                        <w:rFonts w:ascii="Cambria Math" w:hAnsi="Cambria Math"/>
                        <w:i/>
                        <w:lang w:val="en-GB"/>
                      </w:rPr>
                    </m:ctrlPr>
                  </m:fPr>
                  <m:num>
                    <m:r>
                      <w:rPr>
                        <w:rFonts w:ascii="Cambria Math" w:hAnsi="Cambria Math"/>
                        <w:lang w:val="en-GB"/>
                      </w:rPr>
                      <m:t xml:space="preserve">Nu </m:t>
                    </m:r>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f</m:t>
                        </m:r>
                      </m:sub>
                    </m:sSub>
                  </m:num>
                  <m:den>
                    <m:sSub>
                      <m:sSubPr>
                        <m:ctrlPr>
                          <w:rPr>
                            <w:rFonts w:ascii="Cambria Math" w:hAnsi="Cambria Math"/>
                            <w:i/>
                            <w:lang w:val="en-GB"/>
                          </w:rPr>
                        </m:ctrlPr>
                      </m:sSubPr>
                      <m:e>
                        <m:r>
                          <w:rPr>
                            <w:rFonts w:ascii="Cambria Math" w:hAnsi="Cambria Math"/>
                            <w:lang w:val="en-GB"/>
                          </w:rPr>
                          <m:t>d</m:t>
                        </m:r>
                      </m:e>
                      <m:sub>
                        <m:r>
                          <w:rPr>
                            <w:rFonts w:ascii="Cambria Math" w:hAnsi="Cambria Math"/>
                            <w:lang w:val="en-GB"/>
                          </w:rPr>
                          <m:t>s</m:t>
                        </m:r>
                      </m:sub>
                    </m:sSub>
                  </m:den>
                </m:f>
              </m:oMath>
            </m:oMathPara>
          </w:p>
        </w:tc>
        <w:tc>
          <w:tcPr>
            <w:tcW w:w="989" w:type="dxa"/>
          </w:tcPr>
          <w:p w14:paraId="185019D6" w14:textId="574DEFA5" w:rsidR="00707140" w:rsidRPr="00BC5E3A" w:rsidRDefault="00707140" w:rsidP="00707140">
            <w:pPr>
              <w:pStyle w:val="Paragraph"/>
            </w:pPr>
            <w:r w:rsidRPr="00BC5E3A">
              <w:t>(</w:t>
            </w:r>
            <w:fldSimple w:instr=" SEQ eq2 \* MERGEFORMAT ">
              <w:r w:rsidR="00B02199">
                <w:rPr>
                  <w:noProof/>
                </w:rPr>
                <w:t>4</w:t>
              </w:r>
            </w:fldSimple>
            <w:r w:rsidRPr="00BC5E3A">
              <w:t>)</w:t>
            </w:r>
          </w:p>
        </w:tc>
      </w:tr>
    </w:tbl>
    <w:p w14:paraId="044AB5D7" w14:textId="2C56153C" w:rsidR="00707140" w:rsidRPr="00BC5E3A" w:rsidRDefault="007E5784" w:rsidP="007E5784">
      <w:pPr>
        <w:pStyle w:val="Paragraph"/>
        <w:spacing w:after="240"/>
      </w:pPr>
      <w:r w:rsidRPr="00BC5E3A">
        <w:t xml:space="preserve">Nusselt number </w:t>
      </w:r>
      <m:oMath>
        <m:r>
          <w:rPr>
            <w:rFonts w:ascii="Cambria Math" w:hAnsi="Cambria Math"/>
            <w:lang w:val="en-GB"/>
          </w:rPr>
          <m:t>Nu</m:t>
        </m:r>
      </m:oMath>
      <w:r w:rsidRPr="00BC5E3A">
        <w:t>, which quantifies the effectiveness of convective heat transfer relative to conduction, is determined using the empirical correlation given in Equation (5)</w:t>
      </w:r>
      <w:r w:rsidR="00707140" w:rsidRPr="00BC5E3A">
        <w:t xml:space="preserve">.  </w:t>
      </w:r>
    </w:p>
    <w:tbl>
      <w:tblPr>
        <w:tblW w:w="9469" w:type="dxa"/>
        <w:tblLook w:val="04A0" w:firstRow="1" w:lastRow="0" w:firstColumn="1" w:lastColumn="0" w:noHBand="0" w:noVBand="1"/>
      </w:tblPr>
      <w:tblGrid>
        <w:gridCol w:w="8480"/>
        <w:gridCol w:w="989"/>
      </w:tblGrid>
      <w:tr w:rsidR="00BC5E3A" w:rsidRPr="00BC5E3A" w14:paraId="34846997" w14:textId="77777777" w:rsidTr="00C527F1">
        <w:trPr>
          <w:trHeight w:val="432"/>
        </w:trPr>
        <w:tc>
          <w:tcPr>
            <w:tcW w:w="8480" w:type="dxa"/>
          </w:tcPr>
          <w:p w14:paraId="412EB86C" w14:textId="533332EF" w:rsidR="00707140" w:rsidRPr="00BC5E3A" w:rsidRDefault="00707140" w:rsidP="00707140">
            <w:pPr>
              <w:pStyle w:val="Paragraph"/>
              <w:rPr>
                <w:i/>
                <w:lang w:val="en-GB"/>
              </w:rPr>
            </w:pPr>
            <m:oMathPara>
              <m:oMath>
                <m:r>
                  <w:rPr>
                    <w:rFonts w:ascii="Cambria Math" w:hAnsi="Cambria Math"/>
                    <w:lang w:val="en-GB"/>
                  </w:rPr>
                  <m:t xml:space="preserve">Nu=2+1.1 </m:t>
                </m:r>
                <m:d>
                  <m:dPr>
                    <m:ctrlPr>
                      <w:rPr>
                        <w:rFonts w:ascii="Cambria Math" w:hAnsi="Cambria Math"/>
                        <w:i/>
                        <w:lang w:val="en-GB"/>
                      </w:rPr>
                    </m:ctrlPr>
                  </m:dPr>
                  <m:e>
                    <m:sSup>
                      <m:sSupPr>
                        <m:ctrlPr>
                          <w:rPr>
                            <w:rFonts w:ascii="Cambria Math" w:hAnsi="Cambria Math"/>
                            <w:i/>
                            <w:lang w:val="en-GB"/>
                          </w:rPr>
                        </m:ctrlPr>
                      </m:sSupPr>
                      <m:e>
                        <m:r>
                          <w:rPr>
                            <w:rFonts w:ascii="Cambria Math" w:hAnsi="Cambria Math"/>
                            <w:lang w:val="en-GB"/>
                          </w:rPr>
                          <m:t>Re</m:t>
                        </m:r>
                      </m:e>
                      <m:sup>
                        <m:r>
                          <w:rPr>
                            <w:rFonts w:ascii="Cambria Math" w:hAnsi="Cambria Math"/>
                            <w:lang w:val="en-GB"/>
                          </w:rPr>
                          <m:t>0.6</m:t>
                        </m:r>
                      </m:sup>
                    </m:sSup>
                    <m:r>
                      <w:rPr>
                        <w:rFonts w:ascii="Cambria Math" w:hAnsi="Cambria Math"/>
                        <w:lang w:val="en-GB"/>
                      </w:rPr>
                      <m:t xml:space="preserve"> </m:t>
                    </m:r>
                    <m:sSup>
                      <m:sSupPr>
                        <m:ctrlPr>
                          <w:rPr>
                            <w:rFonts w:ascii="Cambria Math" w:hAnsi="Cambria Math"/>
                            <w:i/>
                            <w:lang w:val="en-GB"/>
                          </w:rPr>
                        </m:ctrlPr>
                      </m:sSupPr>
                      <m:e>
                        <m:r>
                          <w:rPr>
                            <w:rFonts w:ascii="Cambria Math" w:hAnsi="Cambria Math"/>
                            <w:lang w:val="en-GB"/>
                          </w:rPr>
                          <m:t>Pr</m:t>
                        </m:r>
                      </m:e>
                      <m:sup>
                        <m:r>
                          <w:rPr>
                            <w:rFonts w:ascii="Cambria Math" w:hAnsi="Cambria Math"/>
                            <w:lang w:val="en-GB"/>
                          </w:rPr>
                          <m:t>0.33</m:t>
                        </m:r>
                      </m:sup>
                    </m:sSup>
                  </m:e>
                </m:d>
              </m:oMath>
            </m:oMathPara>
          </w:p>
        </w:tc>
        <w:tc>
          <w:tcPr>
            <w:tcW w:w="989" w:type="dxa"/>
          </w:tcPr>
          <w:p w14:paraId="3865CD5E" w14:textId="7158430F" w:rsidR="00707140" w:rsidRPr="00BC5E3A" w:rsidRDefault="00707140" w:rsidP="00707140">
            <w:pPr>
              <w:pStyle w:val="Paragraph"/>
            </w:pPr>
            <w:r w:rsidRPr="00BC5E3A">
              <w:t>(</w:t>
            </w:r>
            <w:fldSimple w:instr=" SEQ eq2 \* MERGEFORMAT ">
              <w:r w:rsidR="00B02199">
                <w:rPr>
                  <w:noProof/>
                </w:rPr>
                <w:t>5</w:t>
              </w:r>
            </w:fldSimple>
            <w:r w:rsidRPr="00BC5E3A">
              <w:t>)</w:t>
            </w:r>
          </w:p>
        </w:tc>
      </w:tr>
    </w:tbl>
    <w:p w14:paraId="56D3828C" w14:textId="5442A98A" w:rsidR="00707140" w:rsidRPr="00BC5E3A" w:rsidRDefault="00707140" w:rsidP="005039F6">
      <w:pPr>
        <w:pStyle w:val="Paragraph"/>
        <w:spacing w:after="240"/>
        <w:ind w:firstLine="0"/>
      </w:pPr>
      <w:r w:rsidRPr="00BC5E3A">
        <w:t xml:space="preserve">Where the Reynolds number </w:t>
      </w:r>
      <m:oMath>
        <m:r>
          <w:rPr>
            <w:rFonts w:ascii="Cambria Math" w:hAnsi="Cambria Math"/>
            <w:lang w:val="fr-FR"/>
          </w:rPr>
          <m:t>Re</m:t>
        </m:r>
      </m:oMath>
      <w:r w:rsidRPr="00BC5E3A">
        <w:t xml:space="preserve"> and the Prandtl number</w:t>
      </w:r>
      <w:r w:rsidR="007D1A41" w:rsidRPr="00BC5E3A">
        <w:t xml:space="preserve"> </w:t>
      </w:r>
      <m:oMath>
        <m:r>
          <w:rPr>
            <w:rFonts w:ascii="Cambria Math" w:hAnsi="Cambria Math"/>
            <w:lang w:val="fr-FR"/>
          </w:rPr>
          <m:t>Pr</m:t>
        </m:r>
      </m:oMath>
      <w:r w:rsidRPr="00BC5E3A">
        <w:t xml:space="preserve"> are determined using the following expressions:</w:t>
      </w:r>
    </w:p>
    <w:tbl>
      <w:tblPr>
        <w:tblW w:w="9560" w:type="dxa"/>
        <w:tblLook w:val="04A0" w:firstRow="1" w:lastRow="0" w:firstColumn="1" w:lastColumn="0" w:noHBand="0" w:noVBand="1"/>
      </w:tblPr>
      <w:tblGrid>
        <w:gridCol w:w="8428"/>
        <w:gridCol w:w="1132"/>
      </w:tblGrid>
      <w:tr w:rsidR="00BC5E3A" w:rsidRPr="00BC5E3A" w14:paraId="51D28B33" w14:textId="77777777" w:rsidTr="00F24AE1">
        <w:trPr>
          <w:trHeight w:val="284"/>
        </w:trPr>
        <w:tc>
          <w:tcPr>
            <w:tcW w:w="8428" w:type="dxa"/>
          </w:tcPr>
          <w:p w14:paraId="0B4413A6" w14:textId="797CE963" w:rsidR="00707140" w:rsidRPr="00BC5E3A" w:rsidRDefault="00707140" w:rsidP="00707140">
            <w:pPr>
              <w:pStyle w:val="Paragraph"/>
              <w:spacing w:after="240"/>
            </w:pPr>
            <m:oMathPara>
              <m:oMath>
                <m:r>
                  <w:rPr>
                    <w:rFonts w:ascii="Cambria Math" w:hAnsi="Cambria Math"/>
                  </w:rPr>
                  <m:t>Re=</m:t>
                </m:r>
                <m:f>
                  <m:fPr>
                    <m:ctrlPr>
                      <w:rPr>
                        <w:rFonts w:ascii="Cambria Math" w:hAnsi="Cambria Math"/>
                        <w:i/>
                      </w:rPr>
                    </m:ctrlPr>
                  </m:fPr>
                  <m:num>
                    <m:sSub>
                      <m:sSubPr>
                        <m:ctrlPr>
                          <w:rPr>
                            <w:rFonts w:ascii="Cambria Math" w:hAnsi="Cambria Math"/>
                            <w:i/>
                          </w:rPr>
                        </m:ctrlPr>
                      </m:sSubPr>
                      <m:e>
                        <m:r>
                          <w:rPr>
                            <w:rFonts w:ascii="Cambria Math" w:hAnsi="Cambria Math"/>
                          </w:rPr>
                          <m:t>ρ</m:t>
                        </m:r>
                      </m:e>
                      <m:sub>
                        <m:r>
                          <w:rPr>
                            <w:rFonts w:ascii="Cambria Math" w:hAnsi="Cambria Math"/>
                          </w:rPr>
                          <m:t>f</m:t>
                        </m:r>
                      </m:sub>
                    </m:sSub>
                    <m:sSub>
                      <m:sSubPr>
                        <m:ctrlPr>
                          <w:rPr>
                            <w:rFonts w:ascii="Cambria Math" w:hAnsi="Cambria Math"/>
                            <w:i/>
                          </w:rPr>
                        </m:ctrlPr>
                      </m:sSubPr>
                      <m:e>
                        <m:r>
                          <w:rPr>
                            <w:rFonts w:ascii="Cambria Math" w:hAnsi="Cambria Math"/>
                          </w:rPr>
                          <m:t>d</m:t>
                        </m:r>
                      </m:e>
                      <m:sub>
                        <m:r>
                          <w:rPr>
                            <w:rFonts w:ascii="Cambria Math" w:hAnsi="Cambria Math"/>
                          </w:rPr>
                          <m:t>s</m:t>
                        </m:r>
                      </m:sub>
                    </m:sSub>
                    <m:d>
                      <m:dPr>
                        <m:begChr m:val="|"/>
                        <m:endChr m:val="|"/>
                        <m:ctrlPr>
                          <w:rPr>
                            <w:rFonts w:ascii="Cambria Math" w:hAnsi="Cambria Math"/>
                            <w:i/>
                          </w:rPr>
                        </m:ctrlPr>
                      </m:dPr>
                      <m:e>
                        <m:acc>
                          <m:accPr>
                            <m:chr m:val="⃗"/>
                            <m:ctrlPr>
                              <w:rPr>
                                <w:rFonts w:ascii="Cambria Math" w:hAnsi="Cambria Math"/>
                                <w:i/>
                              </w:rPr>
                            </m:ctrlPr>
                          </m:accPr>
                          <m:e>
                            <m:r>
                              <w:rPr>
                                <w:rFonts w:ascii="Cambria Math" w:hAnsi="Cambria Math"/>
                              </w:rPr>
                              <m:t>u</m:t>
                            </m:r>
                          </m:e>
                        </m:acc>
                      </m:e>
                    </m:d>
                  </m:num>
                  <m:den>
                    <m:r>
                      <w:rPr>
                        <w:rFonts w:ascii="Cambria Math" w:hAnsi="Cambria Math"/>
                      </w:rPr>
                      <m:t>(1-ε)</m:t>
                    </m:r>
                    <m:sSub>
                      <m:sSubPr>
                        <m:ctrlPr>
                          <w:rPr>
                            <w:rFonts w:ascii="Cambria Math" w:hAnsi="Cambria Math"/>
                            <w:i/>
                          </w:rPr>
                        </m:ctrlPr>
                      </m:sSubPr>
                      <m:e>
                        <m:r>
                          <w:rPr>
                            <w:rFonts w:ascii="Cambria Math" w:hAnsi="Cambria Math"/>
                          </w:rPr>
                          <m:t>μ</m:t>
                        </m:r>
                      </m:e>
                      <m:sub>
                        <m:r>
                          <w:rPr>
                            <w:rFonts w:ascii="Cambria Math" w:hAnsi="Cambria Math"/>
                          </w:rPr>
                          <m:t>f</m:t>
                        </m:r>
                      </m:sub>
                    </m:sSub>
                  </m:den>
                </m:f>
              </m:oMath>
            </m:oMathPara>
          </w:p>
        </w:tc>
        <w:tc>
          <w:tcPr>
            <w:tcW w:w="1132" w:type="dxa"/>
          </w:tcPr>
          <w:p w14:paraId="4DB2722A" w14:textId="57407CD3" w:rsidR="00707140" w:rsidRPr="00BC5E3A" w:rsidRDefault="00707140" w:rsidP="00707140">
            <w:pPr>
              <w:pStyle w:val="Paragraph"/>
            </w:pPr>
            <w:r w:rsidRPr="00BC5E3A">
              <w:t xml:space="preserve">  (</w:t>
            </w:r>
            <w:fldSimple w:instr=" SEQ eq2 \* MERGEFORMAT ">
              <w:r w:rsidR="00B02199">
                <w:rPr>
                  <w:noProof/>
                </w:rPr>
                <w:t>6</w:t>
              </w:r>
            </w:fldSimple>
            <w:r w:rsidRPr="00BC5E3A">
              <w:t>)</w:t>
            </w:r>
          </w:p>
        </w:tc>
      </w:tr>
      <w:tr w:rsidR="00BC5E3A" w:rsidRPr="00BC5E3A" w14:paraId="6130448B" w14:textId="77777777" w:rsidTr="00F24AE1">
        <w:trPr>
          <w:trHeight w:val="533"/>
        </w:trPr>
        <w:tc>
          <w:tcPr>
            <w:tcW w:w="8428" w:type="dxa"/>
          </w:tcPr>
          <w:p w14:paraId="15330A7B" w14:textId="264851BF" w:rsidR="00707140" w:rsidRPr="00BC5E3A" w:rsidRDefault="00707140" w:rsidP="00707140">
            <w:pPr>
              <w:pStyle w:val="Paragraph"/>
            </w:pPr>
            <m:oMathPara>
              <m:oMath>
                <m:r>
                  <w:rPr>
                    <w:rFonts w:ascii="Cambria Math" w:hAnsi="Cambria Math"/>
                    <w:lang w:val="fr-FR"/>
                  </w:rPr>
                  <m:t>Pr=</m:t>
                </m:r>
                <m:f>
                  <m:fPr>
                    <m:ctrlPr>
                      <w:rPr>
                        <w:rFonts w:ascii="Cambria Math" w:hAnsi="Cambria Math"/>
                        <w:i/>
                        <w:lang w:val="fr-FR"/>
                      </w:rPr>
                    </m:ctrlPr>
                  </m:fPr>
                  <m:num>
                    <m:sSub>
                      <m:sSubPr>
                        <m:ctrlPr>
                          <w:rPr>
                            <w:rFonts w:ascii="Cambria Math" w:hAnsi="Cambria Math"/>
                            <w:i/>
                            <w:lang w:val="fr-FR"/>
                          </w:rPr>
                        </m:ctrlPr>
                      </m:sSubPr>
                      <m:e>
                        <m:r>
                          <w:rPr>
                            <w:rFonts w:ascii="Cambria Math" w:hAnsi="Cambria Math"/>
                            <w:lang w:val="fr-FR"/>
                          </w:rPr>
                          <m:t>c</m:t>
                        </m:r>
                      </m:e>
                      <m:sub>
                        <m:r>
                          <w:rPr>
                            <w:rFonts w:ascii="Cambria Math" w:hAnsi="Cambria Math"/>
                            <w:lang w:val="fr-FR"/>
                          </w:rPr>
                          <m:t>p</m:t>
                        </m:r>
                      </m:sub>
                    </m:sSub>
                    <m:sSub>
                      <m:sSubPr>
                        <m:ctrlPr>
                          <w:rPr>
                            <w:rFonts w:ascii="Cambria Math" w:hAnsi="Cambria Math"/>
                            <w:i/>
                            <w:lang w:val="fr-FR"/>
                          </w:rPr>
                        </m:ctrlPr>
                      </m:sSubPr>
                      <m:e>
                        <m:r>
                          <w:rPr>
                            <w:rFonts w:ascii="Cambria Math" w:hAnsi="Cambria Math"/>
                            <w:lang w:val="fr-FR"/>
                          </w:rPr>
                          <m:t>μ</m:t>
                        </m:r>
                      </m:e>
                      <m:sub>
                        <m:r>
                          <w:rPr>
                            <w:rFonts w:ascii="Cambria Math" w:hAnsi="Cambria Math"/>
                            <w:lang w:val="fr-FR"/>
                          </w:rPr>
                          <m:t>f</m:t>
                        </m:r>
                      </m:sub>
                    </m:sSub>
                  </m:num>
                  <m:den>
                    <m:sSub>
                      <m:sSubPr>
                        <m:ctrlPr>
                          <w:rPr>
                            <w:rFonts w:ascii="Cambria Math" w:hAnsi="Cambria Math"/>
                            <w:i/>
                            <w:lang w:val="fr-FR"/>
                          </w:rPr>
                        </m:ctrlPr>
                      </m:sSubPr>
                      <m:e>
                        <m:r>
                          <w:rPr>
                            <w:rFonts w:ascii="Cambria Math" w:hAnsi="Cambria Math"/>
                            <w:lang w:val="fr-FR"/>
                          </w:rPr>
                          <m:t>k</m:t>
                        </m:r>
                      </m:e>
                      <m:sub>
                        <m:r>
                          <w:rPr>
                            <w:rFonts w:ascii="Cambria Math" w:hAnsi="Cambria Math"/>
                            <w:lang w:val="fr-FR"/>
                          </w:rPr>
                          <m:t>f</m:t>
                        </m:r>
                      </m:sub>
                    </m:sSub>
                  </m:den>
                </m:f>
              </m:oMath>
            </m:oMathPara>
          </w:p>
        </w:tc>
        <w:tc>
          <w:tcPr>
            <w:tcW w:w="1132" w:type="dxa"/>
          </w:tcPr>
          <w:p w14:paraId="6225DA30" w14:textId="38CE1EB5" w:rsidR="00707140" w:rsidRPr="00BC5E3A" w:rsidRDefault="00707140" w:rsidP="00707140">
            <w:pPr>
              <w:pStyle w:val="Paragraph"/>
            </w:pPr>
            <w:r w:rsidRPr="00BC5E3A">
              <w:t xml:space="preserve">  (</w:t>
            </w:r>
            <w:fldSimple w:instr=" SEQ eq2 \* MERGEFORMAT ">
              <w:r w:rsidR="00B02199">
                <w:rPr>
                  <w:noProof/>
                </w:rPr>
                <w:t>7</w:t>
              </w:r>
            </w:fldSimple>
            <w:r w:rsidRPr="00BC5E3A">
              <w:t>)</w:t>
            </w:r>
          </w:p>
        </w:tc>
      </w:tr>
    </w:tbl>
    <w:p w14:paraId="6B88C9F2" w14:textId="5FD95E55" w:rsidR="00A65E4C" w:rsidRPr="00BC5E3A" w:rsidRDefault="00A65E4C" w:rsidP="00CD2D58">
      <w:pPr>
        <w:pStyle w:val="Paragraph"/>
      </w:pPr>
      <w:r w:rsidRPr="00BC5E3A">
        <w:t xml:space="preserve">The Reynolds number </w:t>
      </w:r>
      <m:oMath>
        <m:r>
          <w:rPr>
            <w:rFonts w:ascii="Cambria Math" w:hAnsi="Cambria Math"/>
            <w:lang w:val="fr-FR"/>
          </w:rPr>
          <m:t>Re</m:t>
        </m:r>
      </m:oMath>
      <w:r w:rsidRPr="00BC5E3A">
        <w:t xml:space="preserve"> is a fundamental dimensionless parameter used to character</w:t>
      </w:r>
      <w:r w:rsidR="00572BDE" w:rsidRPr="00BC5E3A">
        <w:t>ize the flow regime in a packed-bed. As reported by Rabi et al.</w:t>
      </w:r>
      <w:r w:rsidR="00C872DE" w:rsidRPr="00BC5E3A">
        <w:t xml:space="preserve"> [17</w:t>
      </w:r>
      <w:r w:rsidRPr="00BC5E3A">
        <w:t>], a Reynolds number below 10 generally corresponds to</w:t>
      </w:r>
      <w:r w:rsidR="00572BDE" w:rsidRPr="00BC5E3A">
        <w:t xml:space="preserve"> laminar flow within the packed-</w:t>
      </w:r>
      <w:r w:rsidRPr="00BC5E3A">
        <w:t>bed, where Darcy’s law accurately describes the fluid behavior. In contrast, when Re exceeds 300, the flow is considered fully turbulent. In this study, the Reynolds number satisfies the criteria for laminar fl</w:t>
      </w:r>
      <w:r w:rsidR="00C52933" w:rsidRPr="00BC5E3A">
        <w:t>ow conditions within the packed-</w:t>
      </w:r>
      <w:r w:rsidRPr="00BC5E3A">
        <w:t>bed.</w:t>
      </w:r>
    </w:p>
    <w:p w14:paraId="3104DA64" w14:textId="2187B80F" w:rsidR="003A49AA" w:rsidRPr="00BC5E3A" w:rsidRDefault="003A49AA" w:rsidP="004F5AC8">
      <w:pPr>
        <w:pStyle w:val="Paragraph"/>
        <w:spacing w:after="240"/>
      </w:pPr>
      <w:r w:rsidRPr="00BC5E3A">
        <w:t xml:space="preserve">The </w:t>
      </w:r>
      <w:r w:rsidR="0092725F" w:rsidRPr="00BC5E3A">
        <w:t>pressure drop within the packed-</w:t>
      </w:r>
      <w:r w:rsidRPr="00BC5E3A">
        <w:t>bed, representing the reduction in fluid pressure along the flow path due to friction and flow resistance, was evaluated using the Ergun equation</w:t>
      </w:r>
      <w:r w:rsidR="000F6CE0" w:rsidRPr="00BC5E3A">
        <w:t xml:space="preserve"> [18]</w:t>
      </w:r>
      <w:r w:rsidRPr="00BC5E3A">
        <w:t>, which accounts for both viscous and inertial contributions in porous media. The equation is given by:</w:t>
      </w:r>
    </w:p>
    <w:tbl>
      <w:tblPr>
        <w:tblW w:w="9711" w:type="dxa"/>
        <w:tblInd w:w="-35" w:type="dxa"/>
        <w:tblLook w:val="04A0" w:firstRow="1" w:lastRow="0" w:firstColumn="1" w:lastColumn="0" w:noHBand="0" w:noVBand="1"/>
      </w:tblPr>
      <w:tblGrid>
        <w:gridCol w:w="8564"/>
        <w:gridCol w:w="1147"/>
      </w:tblGrid>
      <w:tr w:rsidR="00BC5E3A" w:rsidRPr="00BC5E3A" w14:paraId="55F66FC2" w14:textId="77777777" w:rsidTr="007A3947">
        <w:trPr>
          <w:trHeight w:val="384"/>
        </w:trPr>
        <w:tc>
          <w:tcPr>
            <w:tcW w:w="8564" w:type="dxa"/>
          </w:tcPr>
          <w:p w14:paraId="069CDE67" w14:textId="43C57999" w:rsidR="00D80F79" w:rsidRPr="00BC5E3A" w:rsidRDefault="00ED49E1" w:rsidP="000A45DB">
            <w:pPr>
              <w:pStyle w:val="Paragraph"/>
              <w:rPr>
                <w:rFonts w:ascii="Cambria Math" w:hAnsi="Cambria Math"/>
                <w:i/>
                <w:lang w:val="fr-FR"/>
              </w:rPr>
            </w:pPr>
            <m:oMathPara>
              <m:oMath>
                <m:f>
                  <m:fPr>
                    <m:ctrlPr>
                      <w:rPr>
                        <w:rFonts w:ascii="Cambria Math" w:hAnsi="Cambria Math"/>
                        <w:i/>
                        <w:lang w:val="fr-FR"/>
                      </w:rPr>
                    </m:ctrlPr>
                  </m:fPr>
                  <m:num>
                    <m:r>
                      <w:rPr>
                        <w:rFonts w:ascii="Cambria Math" w:hAnsi="Cambria Math"/>
                        <w:lang w:val="fr-FR"/>
                      </w:rPr>
                      <m:t>∆P</m:t>
                    </m:r>
                  </m:num>
                  <m:den>
                    <m:r>
                      <w:rPr>
                        <w:rFonts w:ascii="Cambria Math" w:hAnsi="Cambria Math"/>
                        <w:lang w:val="fr-FR"/>
                      </w:rPr>
                      <m:t>L</m:t>
                    </m:r>
                  </m:den>
                </m:f>
                <m:r>
                  <w:rPr>
                    <w:rFonts w:ascii="Cambria Math" w:hAnsi="Cambria Math"/>
                    <w:lang w:val="fr-FR"/>
                  </w:rPr>
                  <m:t>=</m:t>
                </m:r>
                <m:f>
                  <m:fPr>
                    <m:ctrlPr>
                      <w:rPr>
                        <w:rFonts w:ascii="Cambria Math" w:hAnsi="Cambria Math"/>
                        <w:i/>
                        <w:lang w:val="fr-FR"/>
                      </w:rPr>
                    </m:ctrlPr>
                  </m:fPr>
                  <m:num>
                    <m:r>
                      <w:rPr>
                        <w:rFonts w:ascii="Cambria Math" w:hAnsi="Cambria Math"/>
                        <w:lang w:val="fr-FR"/>
                      </w:rPr>
                      <m:t>150</m:t>
                    </m:r>
                    <m:sSub>
                      <m:sSubPr>
                        <m:ctrlPr>
                          <w:rPr>
                            <w:rFonts w:ascii="Cambria Math" w:hAnsi="Cambria Math"/>
                            <w:i/>
                            <w:lang w:val="fr-FR"/>
                          </w:rPr>
                        </m:ctrlPr>
                      </m:sSubPr>
                      <m:e>
                        <m:r>
                          <w:rPr>
                            <w:rFonts w:ascii="Cambria Math" w:hAnsi="Cambria Math"/>
                            <w:lang w:val="fr-FR"/>
                          </w:rPr>
                          <m:t>μ</m:t>
                        </m:r>
                      </m:e>
                      <m:sub>
                        <m:r>
                          <w:rPr>
                            <w:rFonts w:ascii="Cambria Math" w:hAnsi="Cambria Math"/>
                            <w:lang w:val="fr-FR"/>
                          </w:rPr>
                          <m:t>f</m:t>
                        </m:r>
                      </m:sub>
                    </m:sSub>
                    <m:sSup>
                      <m:sSupPr>
                        <m:ctrlPr>
                          <w:rPr>
                            <w:rFonts w:ascii="Cambria Math" w:hAnsi="Cambria Math"/>
                            <w:i/>
                            <w:lang w:val="fr-FR"/>
                          </w:rPr>
                        </m:ctrlPr>
                      </m:sSupPr>
                      <m:e>
                        <m:r>
                          <w:rPr>
                            <w:rFonts w:ascii="Cambria Math" w:hAnsi="Cambria Math"/>
                            <w:lang w:val="fr-FR"/>
                          </w:rPr>
                          <m:t>(1-</m:t>
                        </m:r>
                        <m:r>
                          <w:rPr>
                            <w:rFonts w:ascii="Cambria Math" w:hAnsi="Cambria Math"/>
                          </w:rPr>
                          <m:t>ε</m:t>
                        </m:r>
                        <m:r>
                          <w:rPr>
                            <w:rFonts w:ascii="Cambria Math" w:hAnsi="Cambria Math"/>
                            <w:lang w:val="fr-FR"/>
                          </w:rPr>
                          <m:t>)</m:t>
                        </m:r>
                      </m:e>
                      <m:sup>
                        <m:r>
                          <w:rPr>
                            <w:rFonts w:ascii="Cambria Math" w:hAnsi="Cambria Math"/>
                            <w:lang w:val="fr-FR"/>
                          </w:rPr>
                          <m:t>2</m:t>
                        </m:r>
                      </m:sup>
                    </m:sSup>
                  </m:num>
                  <m:den>
                    <m:sSup>
                      <m:sSupPr>
                        <m:ctrlPr>
                          <w:rPr>
                            <w:rFonts w:ascii="Cambria Math" w:hAnsi="Cambria Math"/>
                            <w:i/>
                            <w:lang w:val="fr-FR"/>
                          </w:rPr>
                        </m:ctrlPr>
                      </m:sSupPr>
                      <m:e>
                        <m:r>
                          <w:rPr>
                            <w:rFonts w:ascii="Cambria Math" w:hAnsi="Cambria Math"/>
                          </w:rPr>
                          <m:t>ε</m:t>
                        </m:r>
                      </m:e>
                      <m:sup>
                        <m:r>
                          <w:rPr>
                            <w:rFonts w:ascii="Cambria Math" w:hAnsi="Cambria Math"/>
                            <w:lang w:val="fr-FR"/>
                          </w:rPr>
                          <m:t>3</m:t>
                        </m:r>
                      </m:sup>
                    </m:sSup>
                    <m:sSup>
                      <m:sSupPr>
                        <m:ctrlPr>
                          <w:rPr>
                            <w:rFonts w:ascii="Cambria Math" w:hAnsi="Cambria Math"/>
                            <w:i/>
                            <w:lang w:val="fr-FR"/>
                          </w:rPr>
                        </m:ctrlPr>
                      </m:sSupPr>
                      <m:e>
                        <m:sSub>
                          <m:sSubPr>
                            <m:ctrlPr>
                              <w:rPr>
                                <w:rFonts w:ascii="Cambria Math" w:hAnsi="Cambria Math"/>
                                <w:i/>
                                <w:lang w:val="fr-FR"/>
                              </w:rPr>
                            </m:ctrlPr>
                          </m:sSubPr>
                          <m:e>
                            <m:r>
                              <w:rPr>
                                <w:rFonts w:ascii="Cambria Math" w:hAnsi="Cambria Math"/>
                                <w:lang w:val="fr-FR"/>
                              </w:rPr>
                              <m:t>d</m:t>
                            </m:r>
                          </m:e>
                          <m:sub>
                            <m:r>
                              <w:rPr>
                                <w:rFonts w:ascii="Cambria Math" w:hAnsi="Cambria Math"/>
                                <w:lang w:val="fr-FR"/>
                              </w:rPr>
                              <m:t>s</m:t>
                            </m:r>
                          </m:sub>
                        </m:sSub>
                      </m:e>
                      <m:sup>
                        <m:r>
                          <w:rPr>
                            <w:rFonts w:ascii="Cambria Math" w:hAnsi="Cambria Math"/>
                            <w:lang w:val="fr-FR"/>
                          </w:rPr>
                          <m:t>2</m:t>
                        </m:r>
                      </m:sup>
                    </m:sSup>
                  </m:den>
                </m:f>
                <m:r>
                  <w:rPr>
                    <w:rFonts w:ascii="Cambria Math" w:hAnsi="Cambria Math"/>
                    <w:lang w:val="fr-FR"/>
                  </w:rPr>
                  <m:t>u+</m:t>
                </m:r>
                <m:f>
                  <m:fPr>
                    <m:ctrlPr>
                      <w:rPr>
                        <w:rFonts w:ascii="Cambria Math" w:hAnsi="Cambria Math"/>
                        <w:i/>
                        <w:lang w:val="fr-FR"/>
                      </w:rPr>
                    </m:ctrlPr>
                  </m:fPr>
                  <m:num>
                    <m:r>
                      <w:rPr>
                        <w:rFonts w:ascii="Cambria Math" w:hAnsi="Cambria Math"/>
                        <w:lang w:val="fr-FR"/>
                      </w:rPr>
                      <m:t>1.75</m:t>
                    </m:r>
                    <m:sSub>
                      <m:sSubPr>
                        <m:ctrlPr>
                          <w:rPr>
                            <w:rFonts w:ascii="Cambria Math" w:hAnsi="Cambria Math"/>
                            <w:i/>
                            <w:lang w:val="fr-FR"/>
                          </w:rPr>
                        </m:ctrlPr>
                      </m:sSubPr>
                      <m:e>
                        <m:r>
                          <w:rPr>
                            <w:rFonts w:ascii="Cambria Math" w:hAnsi="Cambria Math"/>
                            <w:lang w:val="fr-FR"/>
                          </w:rPr>
                          <m:t>ρ</m:t>
                        </m:r>
                      </m:e>
                      <m:sub>
                        <m:r>
                          <w:rPr>
                            <w:rFonts w:ascii="Cambria Math" w:hAnsi="Cambria Math"/>
                            <w:lang w:val="fr-FR"/>
                          </w:rPr>
                          <m:t>f</m:t>
                        </m:r>
                      </m:sub>
                    </m:sSub>
                    <m:r>
                      <w:rPr>
                        <w:rFonts w:ascii="Cambria Math" w:hAnsi="Cambria Math"/>
                        <w:lang w:val="fr-FR"/>
                      </w:rPr>
                      <m:t>(1-</m:t>
                    </m:r>
                    <m:r>
                      <w:rPr>
                        <w:rFonts w:ascii="Cambria Math" w:hAnsi="Cambria Math"/>
                      </w:rPr>
                      <m:t>ε</m:t>
                    </m:r>
                    <m:r>
                      <w:rPr>
                        <w:rFonts w:ascii="Cambria Math" w:hAnsi="Cambria Math"/>
                        <w:lang w:val="fr-FR"/>
                      </w:rPr>
                      <m:t>)</m:t>
                    </m:r>
                  </m:num>
                  <m:den>
                    <m:sSup>
                      <m:sSupPr>
                        <m:ctrlPr>
                          <w:rPr>
                            <w:rFonts w:ascii="Cambria Math" w:hAnsi="Cambria Math"/>
                            <w:i/>
                            <w:lang w:val="fr-FR"/>
                          </w:rPr>
                        </m:ctrlPr>
                      </m:sSupPr>
                      <m:e>
                        <m:r>
                          <w:rPr>
                            <w:rFonts w:ascii="Cambria Math" w:hAnsi="Cambria Math"/>
                          </w:rPr>
                          <m:t>ε</m:t>
                        </m:r>
                      </m:e>
                      <m:sup>
                        <m:r>
                          <w:rPr>
                            <w:rFonts w:ascii="Cambria Math" w:hAnsi="Cambria Math"/>
                            <w:lang w:val="fr-FR"/>
                          </w:rPr>
                          <m:t>3</m:t>
                        </m:r>
                      </m:sup>
                    </m:sSup>
                    <m:sSub>
                      <m:sSubPr>
                        <m:ctrlPr>
                          <w:rPr>
                            <w:rFonts w:ascii="Cambria Math" w:hAnsi="Cambria Math"/>
                            <w:i/>
                            <w:lang w:val="fr-FR"/>
                          </w:rPr>
                        </m:ctrlPr>
                      </m:sSubPr>
                      <m:e>
                        <m:r>
                          <w:rPr>
                            <w:rFonts w:ascii="Cambria Math" w:hAnsi="Cambria Math"/>
                            <w:lang w:val="fr-FR"/>
                          </w:rPr>
                          <m:t>d</m:t>
                        </m:r>
                      </m:e>
                      <m:sub>
                        <m:r>
                          <w:rPr>
                            <w:rFonts w:ascii="Cambria Math" w:hAnsi="Cambria Math"/>
                            <w:lang w:val="fr-FR"/>
                          </w:rPr>
                          <m:t>s</m:t>
                        </m:r>
                      </m:sub>
                    </m:sSub>
                  </m:den>
                </m:f>
                <m:sSup>
                  <m:sSupPr>
                    <m:ctrlPr>
                      <w:rPr>
                        <w:rFonts w:ascii="Cambria Math" w:hAnsi="Cambria Math"/>
                        <w:i/>
                        <w:lang w:val="fr-FR"/>
                      </w:rPr>
                    </m:ctrlPr>
                  </m:sSupPr>
                  <m:e>
                    <m:r>
                      <w:rPr>
                        <w:rFonts w:ascii="Cambria Math" w:hAnsi="Cambria Math"/>
                        <w:lang w:val="fr-FR"/>
                      </w:rPr>
                      <m:t>u</m:t>
                    </m:r>
                  </m:e>
                  <m:sup>
                    <m:r>
                      <w:rPr>
                        <w:rFonts w:ascii="Cambria Math" w:hAnsi="Cambria Math"/>
                        <w:lang w:val="fr-FR"/>
                      </w:rPr>
                      <m:t>2</m:t>
                    </m:r>
                  </m:sup>
                </m:sSup>
              </m:oMath>
            </m:oMathPara>
          </w:p>
          <w:p w14:paraId="4B91764D" w14:textId="73726515" w:rsidR="00D80F79" w:rsidRPr="00BC5E3A" w:rsidRDefault="00D80F79" w:rsidP="007A3947">
            <w:pPr>
              <w:pStyle w:val="Paragraph"/>
            </w:pPr>
          </w:p>
        </w:tc>
        <w:tc>
          <w:tcPr>
            <w:tcW w:w="1147" w:type="dxa"/>
          </w:tcPr>
          <w:p w14:paraId="267447E2" w14:textId="1077F1F0" w:rsidR="00D80F79" w:rsidRPr="00BC5E3A" w:rsidRDefault="00D80F79" w:rsidP="007A3947">
            <w:pPr>
              <w:pStyle w:val="Paragraph"/>
            </w:pPr>
            <w:r w:rsidRPr="00BC5E3A">
              <w:t>(</w:t>
            </w:r>
            <w:fldSimple w:instr=" SEQ eq2 \* MERGEFORMAT ">
              <w:r w:rsidR="00B02199">
                <w:rPr>
                  <w:noProof/>
                </w:rPr>
                <w:t>8</w:t>
              </w:r>
            </w:fldSimple>
            <w:r w:rsidRPr="00BC5E3A">
              <w:t>)</w:t>
            </w:r>
          </w:p>
        </w:tc>
      </w:tr>
    </w:tbl>
    <w:p w14:paraId="0E9FB285" w14:textId="08A59A86" w:rsidR="004F5AC8" w:rsidRPr="00BC5E3A" w:rsidRDefault="004F5AC8" w:rsidP="004F5AC8">
      <w:pPr>
        <w:pStyle w:val="Paragraph"/>
        <w:spacing w:after="240"/>
        <w:ind w:firstLine="0"/>
      </w:pPr>
      <w:r w:rsidRPr="00BC5E3A">
        <w:t xml:space="preserve">where </w:t>
      </w:r>
      <m:oMath>
        <m:r>
          <m:rPr>
            <m:sty m:val="p"/>
          </m:rPr>
          <w:rPr>
            <w:rFonts w:ascii="Cambria Math" w:hAnsi="Cambria Math"/>
          </w:rPr>
          <m:t>∆</m:t>
        </m:r>
        <m:r>
          <w:rPr>
            <w:rFonts w:ascii="Cambria Math" w:hAnsi="Cambria Math"/>
          </w:rPr>
          <m:t>P</m:t>
        </m:r>
      </m:oMath>
      <w:r w:rsidRPr="00BC5E3A">
        <w:t xml:space="preserve"> represents the pressure drop along a bed of length </w:t>
      </w:r>
      <m:oMath>
        <m:r>
          <w:rPr>
            <w:rFonts w:ascii="Cambria Math" w:hAnsi="Cambria Math"/>
          </w:rPr>
          <m:t>L</m:t>
        </m:r>
      </m:oMath>
      <w:r w:rsidRPr="00BC5E3A">
        <w:t xml:space="preserve">, and </w:t>
      </w:r>
      <m:oMath>
        <m:sSub>
          <m:sSubPr>
            <m:ctrlPr>
              <w:rPr>
                <w:rFonts w:ascii="Cambria Math" w:hAnsi="Cambria Math"/>
              </w:rPr>
            </m:ctrlPr>
          </m:sSubPr>
          <m:e>
            <m:r>
              <w:rPr>
                <w:rFonts w:ascii="Cambria Math" w:hAnsi="Cambria Math"/>
              </w:rPr>
              <m:t>μ</m:t>
            </m:r>
          </m:e>
          <m:sub>
            <m:r>
              <w:rPr>
                <w:rFonts w:ascii="Cambria Math" w:hAnsi="Cambria Math"/>
              </w:rPr>
              <m:t>f</m:t>
            </m:r>
          </m:sub>
        </m:sSub>
      </m:oMath>
      <w:r w:rsidRPr="00BC5E3A">
        <w:t>denotes the dynamic viscosity of the fluid.</w:t>
      </w:r>
    </w:p>
    <w:p w14:paraId="0554183B" w14:textId="5C42F5EF" w:rsidR="00F37982" w:rsidRPr="00BC5E3A" w:rsidRDefault="00BC074F" w:rsidP="00BC074F">
      <w:pPr>
        <w:pStyle w:val="Paragraph"/>
        <w:spacing w:after="240"/>
      </w:pPr>
      <w:r w:rsidRPr="00BC5E3A">
        <w:t xml:space="preserve">The total pumping energy </w:t>
      </w:r>
      <m:oMath>
        <m:sSub>
          <m:sSubPr>
            <m:ctrlPr>
              <w:rPr>
                <w:rFonts w:ascii="Cambria Math" w:hAnsi="Cambria Math" w:cstheme="majorBidi"/>
                <w:i/>
                <w:szCs w:val="24"/>
              </w:rPr>
            </m:ctrlPr>
          </m:sSubPr>
          <m:e>
            <m:r>
              <w:rPr>
                <w:rFonts w:ascii="Cambria Math" w:hAnsi="Cambria Math" w:cstheme="majorBidi"/>
                <w:szCs w:val="24"/>
              </w:rPr>
              <m:t>E</m:t>
            </m:r>
          </m:e>
          <m:sub>
            <m:r>
              <w:rPr>
                <w:rFonts w:ascii="Cambria Math" w:hAnsi="Cambria Math" w:cstheme="majorBidi"/>
                <w:szCs w:val="24"/>
              </w:rPr>
              <m:t>p</m:t>
            </m:r>
          </m:sub>
        </m:sSub>
      </m:oMath>
      <w:r w:rsidRPr="00BC5E3A">
        <w:rPr>
          <w:rStyle w:val="vlist-s"/>
        </w:rPr>
        <w:t>​</w:t>
      </w:r>
      <w:r w:rsidRPr="00BC5E3A">
        <w:t>​ required to pump the heat tr</w:t>
      </w:r>
      <w:r w:rsidR="0092725F" w:rsidRPr="00BC5E3A">
        <w:t>ansfer fluid through the packed-</w:t>
      </w:r>
      <w:r w:rsidRPr="00BC5E3A">
        <w:t xml:space="preserve">bed is calculated using Eq. (9), which accounts for the fluid properties, bed cross-sectional area </w:t>
      </w:r>
      <m:oMath>
        <m:r>
          <w:rPr>
            <w:rFonts w:ascii="Cambria Math" w:hAnsi="Cambria Math"/>
          </w:rPr>
          <m:t>A</m:t>
        </m:r>
      </m:oMath>
      <w:r w:rsidRPr="00BC5E3A">
        <w:t xml:space="preserve">, mass flux </w:t>
      </w:r>
      <m:oMath>
        <m:r>
          <w:rPr>
            <w:rFonts w:ascii="Cambria Math" w:hAnsi="Cambria Math" w:cstheme="majorBidi"/>
            <w:szCs w:val="24"/>
          </w:rPr>
          <m:t>G</m:t>
        </m:r>
      </m:oMath>
      <w:r w:rsidRPr="00BC5E3A">
        <w:t>, and the pressure drop along the bed</w:t>
      </w:r>
      <w:r w:rsidR="006A6A2E" w:rsidRPr="00BC5E3A">
        <w:t>.</w:t>
      </w:r>
    </w:p>
    <w:tbl>
      <w:tblPr>
        <w:tblW w:w="9711" w:type="dxa"/>
        <w:tblInd w:w="-35" w:type="dxa"/>
        <w:tblLook w:val="04A0" w:firstRow="1" w:lastRow="0" w:firstColumn="1" w:lastColumn="0" w:noHBand="0" w:noVBand="1"/>
      </w:tblPr>
      <w:tblGrid>
        <w:gridCol w:w="8564"/>
        <w:gridCol w:w="1147"/>
      </w:tblGrid>
      <w:tr w:rsidR="00BC5E3A" w:rsidRPr="00BC5E3A" w14:paraId="4BCE6A61" w14:textId="77777777" w:rsidTr="007A3947">
        <w:trPr>
          <w:trHeight w:val="384"/>
        </w:trPr>
        <w:tc>
          <w:tcPr>
            <w:tcW w:w="8564" w:type="dxa"/>
          </w:tcPr>
          <w:p w14:paraId="0380E805" w14:textId="1D735C60" w:rsidR="009F2284" w:rsidRPr="00BC5E3A" w:rsidRDefault="00ED49E1" w:rsidP="009F2284">
            <w:pPr>
              <w:pStyle w:val="Paragraph"/>
              <w:ind w:firstLine="0"/>
            </w:pPr>
            <m:oMathPara>
              <m:oMath>
                <m:sSub>
                  <m:sSubPr>
                    <m:ctrlPr>
                      <w:rPr>
                        <w:rFonts w:ascii="Cambria Math" w:hAnsi="Cambria Math" w:cstheme="majorBidi"/>
                        <w:i/>
                        <w:szCs w:val="24"/>
                      </w:rPr>
                    </m:ctrlPr>
                  </m:sSubPr>
                  <m:e>
                    <m:r>
                      <w:rPr>
                        <w:rFonts w:ascii="Cambria Math" w:hAnsi="Cambria Math" w:cstheme="majorBidi"/>
                        <w:szCs w:val="24"/>
                      </w:rPr>
                      <m:t>E</m:t>
                    </m:r>
                  </m:e>
                  <m:sub>
                    <m:r>
                      <w:rPr>
                        <w:rFonts w:ascii="Cambria Math" w:hAnsi="Cambria Math" w:cstheme="majorBidi"/>
                        <w:szCs w:val="24"/>
                      </w:rPr>
                      <m:t>p</m:t>
                    </m:r>
                  </m:sub>
                </m:sSub>
                <m:r>
                  <w:rPr>
                    <w:rFonts w:ascii="Cambria Math" w:hAnsi="Cambria Math" w:cstheme="majorBidi"/>
                    <w:szCs w:val="24"/>
                  </w:rPr>
                  <m:t>=</m:t>
                </m:r>
                <m:nary>
                  <m:naryPr>
                    <m:limLoc m:val="undOvr"/>
                    <m:ctrlPr>
                      <w:rPr>
                        <w:rFonts w:ascii="Cambria Math" w:hAnsi="Cambria Math" w:cstheme="majorBidi"/>
                        <w:i/>
                        <w:szCs w:val="24"/>
                      </w:rPr>
                    </m:ctrlPr>
                  </m:naryPr>
                  <m:sub>
                    <m:r>
                      <w:rPr>
                        <w:rFonts w:ascii="Cambria Math" w:hAnsi="Cambria Math" w:cstheme="majorBidi"/>
                        <w:szCs w:val="24"/>
                      </w:rPr>
                      <m:t>0</m:t>
                    </m:r>
                  </m:sub>
                  <m:sup>
                    <m:r>
                      <w:rPr>
                        <w:rFonts w:ascii="Cambria Math" w:hAnsi="Cambria Math" w:cstheme="majorBidi"/>
                        <w:szCs w:val="24"/>
                      </w:rPr>
                      <m:t>t</m:t>
                    </m:r>
                  </m:sup>
                  <m:e>
                    <m:f>
                      <m:fPr>
                        <m:ctrlPr>
                          <w:rPr>
                            <w:rFonts w:ascii="Cambria Math" w:hAnsi="Cambria Math" w:cstheme="majorBidi"/>
                            <w:i/>
                            <w:szCs w:val="24"/>
                          </w:rPr>
                        </m:ctrlPr>
                      </m:fPr>
                      <m:num>
                        <m:r>
                          <w:rPr>
                            <w:rFonts w:ascii="Cambria Math" w:hAnsi="Cambria Math" w:cstheme="majorBidi"/>
                            <w:szCs w:val="24"/>
                          </w:rPr>
                          <m:t>AG</m:t>
                        </m:r>
                      </m:num>
                      <m:den>
                        <m:sSub>
                          <m:sSubPr>
                            <m:ctrlPr>
                              <w:rPr>
                                <w:rFonts w:ascii="Cambria Math" w:hAnsi="Cambria Math" w:cstheme="majorBidi"/>
                                <w:i/>
                                <w:szCs w:val="24"/>
                              </w:rPr>
                            </m:ctrlPr>
                          </m:sSubPr>
                          <m:e>
                            <m:r>
                              <w:rPr>
                                <w:rFonts w:ascii="Cambria Math" w:hAnsi="Cambria Math" w:cstheme="majorBidi"/>
                                <w:szCs w:val="24"/>
                              </w:rPr>
                              <m:t>ρ</m:t>
                            </m:r>
                          </m:e>
                          <m:sub>
                            <m:r>
                              <w:rPr>
                                <w:rFonts w:ascii="Cambria Math" w:hAnsi="Cambria Math" w:cstheme="majorBidi"/>
                                <w:szCs w:val="24"/>
                              </w:rPr>
                              <m:t>f</m:t>
                            </m:r>
                          </m:sub>
                        </m:sSub>
                      </m:den>
                    </m:f>
                    <m:r>
                      <w:rPr>
                        <w:rFonts w:ascii="Cambria Math" w:hAnsi="Cambria Math" w:cstheme="majorBidi"/>
                        <w:szCs w:val="24"/>
                      </w:rPr>
                      <m:t>∆P dt</m:t>
                    </m:r>
                  </m:e>
                </m:nary>
              </m:oMath>
            </m:oMathPara>
          </w:p>
          <w:p w14:paraId="2B664BDB" w14:textId="77777777" w:rsidR="009F2284" w:rsidRPr="00BC5E3A" w:rsidRDefault="009F2284" w:rsidP="009F2284">
            <w:pPr>
              <w:pStyle w:val="Paragraph"/>
            </w:pPr>
          </w:p>
        </w:tc>
        <w:tc>
          <w:tcPr>
            <w:tcW w:w="1147" w:type="dxa"/>
          </w:tcPr>
          <w:p w14:paraId="0E78CFF4" w14:textId="7D88792E" w:rsidR="009F2284" w:rsidRPr="00BC5E3A" w:rsidRDefault="009F2284" w:rsidP="009F2284">
            <w:pPr>
              <w:pStyle w:val="Paragraph"/>
            </w:pPr>
            <w:r w:rsidRPr="00BC5E3A">
              <w:lastRenderedPageBreak/>
              <w:t>(</w:t>
            </w:r>
            <w:fldSimple w:instr=" SEQ eq2 \* MERGEFORMAT ">
              <w:r w:rsidR="00B02199">
                <w:rPr>
                  <w:noProof/>
                </w:rPr>
                <w:t>9</w:t>
              </w:r>
            </w:fldSimple>
            <w:r w:rsidRPr="00BC5E3A">
              <w:t>)</w:t>
            </w:r>
          </w:p>
        </w:tc>
      </w:tr>
    </w:tbl>
    <w:p w14:paraId="79B83C27" w14:textId="08B07EEB" w:rsidR="00A65E4C" w:rsidRPr="00BC5E3A" w:rsidRDefault="0092725F" w:rsidP="00653B4F">
      <w:pPr>
        <w:pStyle w:val="Paragraph"/>
      </w:pPr>
      <w:r w:rsidRPr="00BC5E3A">
        <w:t>The efficiency of the packed-</w:t>
      </w:r>
      <w:r w:rsidR="00653B4F" w:rsidRPr="00BC5E3A">
        <w:t>bed with various HTFs is evaluated as the fraction of thermal energy recovered during the discharge stage relative to the energy supplied during charging, accounting for the total pumping energy in both charge and discharge phases (Eq. 10)</w:t>
      </w:r>
      <w:r w:rsidR="00A65E4C" w:rsidRPr="00BC5E3A">
        <w:t>.</w:t>
      </w:r>
    </w:p>
    <w:tbl>
      <w:tblPr>
        <w:tblW w:w="9711" w:type="dxa"/>
        <w:tblInd w:w="-35" w:type="dxa"/>
        <w:tblLook w:val="04A0" w:firstRow="1" w:lastRow="0" w:firstColumn="1" w:lastColumn="0" w:noHBand="0" w:noVBand="1"/>
      </w:tblPr>
      <w:tblGrid>
        <w:gridCol w:w="8564"/>
        <w:gridCol w:w="1147"/>
      </w:tblGrid>
      <w:tr w:rsidR="00BC5E3A" w:rsidRPr="00BC5E3A" w14:paraId="7D9D99C2" w14:textId="77777777" w:rsidTr="00F24AE1">
        <w:trPr>
          <w:trHeight w:val="384"/>
        </w:trPr>
        <w:tc>
          <w:tcPr>
            <w:tcW w:w="8564" w:type="dxa"/>
          </w:tcPr>
          <w:p w14:paraId="2BE88C18" w14:textId="0AFB7A4A" w:rsidR="00A65E4C" w:rsidRPr="00BC5E3A" w:rsidRDefault="00A65E4C" w:rsidP="00653B4F">
            <w:pPr>
              <w:pStyle w:val="Paragraph"/>
              <w:spacing w:after="240"/>
            </w:pPr>
            <m:oMathPara>
              <m:oMath>
                <m:r>
                  <w:rPr>
                    <w:rFonts w:ascii="Cambria Math" w:hAnsi="Cambria Math"/>
                  </w:rPr>
                  <m:t>η=</m:t>
                </m:r>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recovred</m:t>
                        </m:r>
                      </m:sub>
                    </m:sSub>
                  </m:num>
                  <m:den>
                    <m:sSub>
                      <m:sSubPr>
                        <m:ctrlPr>
                          <w:rPr>
                            <w:rFonts w:ascii="Cambria Math" w:hAnsi="Cambria Math"/>
                            <w:i/>
                          </w:rPr>
                        </m:ctrlPr>
                      </m:sSubPr>
                      <m:e>
                        <m:r>
                          <w:rPr>
                            <w:rFonts w:ascii="Cambria Math" w:hAnsi="Cambria Math"/>
                          </w:rPr>
                          <m:t>E</m:t>
                        </m:r>
                      </m:e>
                      <m:sub>
                        <m:r>
                          <w:rPr>
                            <w:rFonts w:ascii="Cambria Math" w:hAnsi="Cambria Math"/>
                          </w:rPr>
                          <m:t>input</m:t>
                        </m:r>
                      </m:sub>
                    </m:sSub>
                    <m:r>
                      <w:rPr>
                        <w:rFonts w:ascii="Cambria Math" w:hAnsi="Cambria Math"/>
                      </w:rPr>
                      <m:t>+</m:t>
                    </m:r>
                    <m:sSubSup>
                      <m:sSubSupPr>
                        <m:ctrlPr>
                          <w:rPr>
                            <w:rFonts w:ascii="Cambria Math" w:hAnsi="Cambria Math"/>
                            <w:i/>
                          </w:rPr>
                        </m:ctrlPr>
                      </m:sSubSupPr>
                      <m:e>
                        <m:r>
                          <w:rPr>
                            <w:rFonts w:ascii="Cambria Math" w:hAnsi="Cambria Math"/>
                          </w:rPr>
                          <m:t>E</m:t>
                        </m:r>
                      </m:e>
                      <m:sub>
                        <m:r>
                          <w:rPr>
                            <w:rFonts w:ascii="Cambria Math" w:hAnsi="Cambria Math"/>
                          </w:rPr>
                          <m:t>p</m:t>
                        </m:r>
                      </m:sub>
                      <m:sup>
                        <m:r>
                          <w:rPr>
                            <w:rFonts w:ascii="Cambria Math" w:hAnsi="Cambria Math"/>
                          </w:rPr>
                          <m:t>ch</m:t>
                        </m:r>
                      </m:sup>
                    </m:sSubSup>
                    <m:r>
                      <w:rPr>
                        <w:rFonts w:ascii="Cambria Math" w:hAnsi="Cambria Math"/>
                      </w:rPr>
                      <m:t>+</m:t>
                    </m:r>
                    <m:sSubSup>
                      <m:sSubSupPr>
                        <m:ctrlPr>
                          <w:rPr>
                            <w:rFonts w:ascii="Cambria Math" w:hAnsi="Cambria Math"/>
                            <w:i/>
                          </w:rPr>
                        </m:ctrlPr>
                      </m:sSubSupPr>
                      <m:e>
                        <m:r>
                          <w:rPr>
                            <w:rFonts w:ascii="Cambria Math" w:hAnsi="Cambria Math"/>
                          </w:rPr>
                          <m:t>E</m:t>
                        </m:r>
                      </m:e>
                      <m:sub>
                        <m:r>
                          <w:rPr>
                            <w:rFonts w:ascii="Cambria Math" w:hAnsi="Cambria Math"/>
                          </w:rPr>
                          <m:t>p</m:t>
                        </m:r>
                      </m:sub>
                      <m:sup>
                        <m:r>
                          <w:rPr>
                            <w:rFonts w:ascii="Cambria Math" w:hAnsi="Cambria Math"/>
                          </w:rPr>
                          <m:t>disch</m:t>
                        </m:r>
                      </m:sup>
                    </m:sSubSup>
                  </m:den>
                </m:f>
              </m:oMath>
            </m:oMathPara>
          </w:p>
        </w:tc>
        <w:tc>
          <w:tcPr>
            <w:tcW w:w="1147" w:type="dxa"/>
          </w:tcPr>
          <w:p w14:paraId="13534C2A" w14:textId="7B3CB484" w:rsidR="00A65E4C" w:rsidRPr="00BC5E3A" w:rsidRDefault="00A65E4C" w:rsidP="00A65E4C">
            <w:pPr>
              <w:pStyle w:val="Paragraph"/>
            </w:pPr>
            <w:r w:rsidRPr="00BC5E3A">
              <w:t>(</w:t>
            </w:r>
            <w:fldSimple w:instr=" SEQ eq2 \* MERGEFORMAT ">
              <w:r w:rsidR="00B02199">
                <w:rPr>
                  <w:noProof/>
                </w:rPr>
                <w:t>10</w:t>
              </w:r>
            </w:fldSimple>
            <w:r w:rsidRPr="00BC5E3A">
              <w:t>)</w:t>
            </w:r>
          </w:p>
        </w:tc>
      </w:tr>
    </w:tbl>
    <w:p w14:paraId="75B23F77" w14:textId="7AE878D4" w:rsidR="00717DD2" w:rsidRPr="00BC5E3A" w:rsidRDefault="00A65E4C" w:rsidP="00993A62">
      <w:pPr>
        <w:pStyle w:val="Paragraph"/>
        <w:spacing w:after="240"/>
      </w:pPr>
      <w:r w:rsidRPr="00BC5E3A">
        <w:t>The numerical</w:t>
      </w:r>
      <w:r w:rsidR="00C022C4" w:rsidRPr="00BC5E3A">
        <w:t xml:space="preserve"> model is validated against the data obtained from experiments conducted by</w:t>
      </w:r>
      <w:r w:rsidR="00A04F44" w:rsidRPr="00BC5E3A">
        <w:t xml:space="preserve"> Meier et al. [19</w:t>
      </w:r>
      <w:r w:rsidR="00055222" w:rsidRPr="00BC5E3A">
        <w:t xml:space="preserve">]. </w:t>
      </w:r>
      <w:r w:rsidR="00435835" w:rsidRPr="00BC5E3A">
        <w:t xml:space="preserve">The thermal storage bed features a cylindrical geometry with a height of 1.2 m and a diameter of 0.148 m. It is packed with steatite rocks of approximately 0.02 m in diameter, arranged randomly to achieve a porosity of 0.4. </w:t>
      </w:r>
      <w:r w:rsidR="00055222" w:rsidRPr="00BC5E3A">
        <w:t>Fig.</w:t>
      </w:r>
      <w:r w:rsidRPr="00BC5E3A">
        <w:t xml:space="preserve"> 2 presents a comparison of the simulated and measured temperature pro</w:t>
      </w:r>
      <w:r w:rsidR="00717DD2" w:rsidRPr="00BC5E3A">
        <w:t>files during the charging phase.</w:t>
      </w:r>
      <w:r w:rsidRPr="00BC5E3A">
        <w:t xml:space="preserve"> </w:t>
      </w:r>
      <w:r w:rsidR="001F0B5E" w:rsidRPr="00BC5E3A">
        <w:t xml:space="preserve">The comparative analysis between the numerical temperature </w:t>
      </w:r>
      <m:oMath>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num</m:t>
                </m:r>
                <m:r>
                  <m:rPr>
                    <m:sty m:val="p"/>
                  </m:rPr>
                  <w:rPr>
                    <w:rFonts w:ascii="Cambria Math" w:hAnsi="Cambria Math"/>
                  </w:rPr>
                  <m:t>,</m:t>
                </m:r>
                <m:r>
                  <w:rPr>
                    <w:rFonts w:ascii="Cambria Math" w:hAnsi="Cambria Math"/>
                  </w:rPr>
                  <m:t>i</m:t>
                </m:r>
              </m:sub>
            </m:sSub>
          </m:e>
        </m:d>
      </m:oMath>
      <w:r w:rsidR="001F0B5E" w:rsidRPr="00BC5E3A">
        <w:t xml:space="preserve"> and the experimental temperature </w:t>
      </w:r>
      <m:oMath>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exp</m:t>
                </m:r>
                <m:r>
                  <m:rPr>
                    <m:sty m:val="p"/>
                  </m:rPr>
                  <w:rPr>
                    <w:rFonts w:ascii="Cambria Math" w:hAnsi="Cambria Math"/>
                  </w:rPr>
                  <m:t>,</m:t>
                </m:r>
                <m:r>
                  <w:rPr>
                    <w:rFonts w:ascii="Cambria Math" w:hAnsi="Cambria Math"/>
                  </w:rPr>
                  <m:t>i</m:t>
                </m:r>
              </m:sub>
            </m:sSub>
          </m:e>
        </m:d>
      </m:oMath>
      <w:r w:rsidR="001F0B5E" w:rsidRPr="00BC5E3A">
        <w:t xml:space="preserve">​ at the </w:t>
      </w:r>
      <m:oMath>
        <m:sSup>
          <m:sSupPr>
            <m:ctrlPr>
              <w:rPr>
                <w:rFonts w:ascii="Cambria Math" w:hAnsi="Cambria Math"/>
              </w:rPr>
            </m:ctrlPr>
          </m:sSupPr>
          <m:e>
            <m:r>
              <w:rPr>
                <w:rFonts w:ascii="Cambria Math" w:hAnsi="Cambria Math"/>
              </w:rPr>
              <m:t>i</m:t>
            </m:r>
          </m:e>
          <m:sup>
            <m:r>
              <w:rPr>
                <w:rFonts w:ascii="Cambria Math" w:hAnsi="Cambria Math"/>
              </w:rPr>
              <m:t>th</m:t>
            </m:r>
          </m:sup>
        </m:sSup>
      </m:oMath>
      <w:r w:rsidR="001F0B5E" w:rsidRPr="00BC5E3A">
        <w:t xml:space="preserve"> measurement point is evaluated using the relative error </w:t>
      </w:r>
      <m:oMath>
        <m:d>
          <m:dPr>
            <m:ctrlPr>
              <w:rPr>
                <w:rFonts w:ascii="Cambria Math" w:hAnsi="Cambria Math"/>
              </w:rPr>
            </m:ctrlPr>
          </m:dPr>
          <m:e>
            <m:sSub>
              <m:sSubPr>
                <m:ctrlPr>
                  <w:rPr>
                    <w:rFonts w:ascii="Cambria Math" w:hAnsi="Cambria Math"/>
                  </w:rPr>
                </m:ctrlPr>
              </m:sSubPr>
              <m:e>
                <m:r>
                  <w:rPr>
                    <w:rFonts w:ascii="Cambria Math" w:hAnsi="Cambria Math"/>
                  </w:rPr>
                  <m:t>Er</m:t>
                </m:r>
              </m:e>
              <m:sub>
                <m:r>
                  <w:rPr>
                    <w:rFonts w:ascii="Cambria Math" w:hAnsi="Cambria Math"/>
                  </w:rPr>
                  <m:t>i</m:t>
                </m:r>
              </m:sub>
            </m:sSub>
            <m:r>
              <m:rPr>
                <m:sty m:val="p"/>
              </m:rPr>
              <w:rPr>
                <w:rFonts w:ascii="Cambria Math" w:hAnsi="Cambria Math"/>
              </w:rPr>
              <m:t>=</m:t>
            </m:r>
            <m:f>
              <m:fPr>
                <m:type m:val="lin"/>
                <m:ctrlPr>
                  <w:rPr>
                    <w:rFonts w:ascii="Cambria Math" w:hAnsi="Cambria Math"/>
                    <w:i/>
                  </w:rPr>
                </m:ctrlPr>
              </m:fPr>
              <m:num>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num</m:t>
                        </m:r>
                        <m:r>
                          <m:rPr>
                            <m:sty m:val="p"/>
                          </m:rPr>
                          <w:rPr>
                            <w:rFonts w:ascii="Cambria Math" w:hAnsi="Cambria Math"/>
                          </w:rPr>
                          <m:t>,</m:t>
                        </m:r>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exp</m:t>
                        </m:r>
                        <m:r>
                          <m:rPr>
                            <m:sty m:val="p"/>
                          </m:rPr>
                          <w:rPr>
                            <w:rFonts w:ascii="Cambria Math" w:hAnsi="Cambria Math"/>
                          </w:rPr>
                          <m:t>,</m:t>
                        </m:r>
                        <m:r>
                          <w:rPr>
                            <w:rFonts w:ascii="Cambria Math" w:hAnsi="Cambria Math"/>
                          </w:rPr>
                          <m:t>i</m:t>
                        </m:r>
                      </m:sub>
                    </m:sSub>
                  </m:e>
                </m:d>
              </m:num>
              <m:den>
                <m:sSub>
                  <m:sSubPr>
                    <m:ctrlPr>
                      <w:rPr>
                        <w:rFonts w:ascii="Cambria Math" w:hAnsi="Cambria Math"/>
                      </w:rPr>
                    </m:ctrlPr>
                  </m:sSubPr>
                  <m:e>
                    <m:r>
                      <w:rPr>
                        <w:rFonts w:ascii="Cambria Math" w:hAnsi="Cambria Math"/>
                      </w:rPr>
                      <m:t>T</m:t>
                    </m:r>
                  </m:e>
                  <m:sub>
                    <m:r>
                      <w:rPr>
                        <w:rFonts w:ascii="Cambria Math" w:hAnsi="Cambria Math"/>
                      </w:rPr>
                      <m:t>exp</m:t>
                    </m:r>
                    <m:r>
                      <m:rPr>
                        <m:sty m:val="p"/>
                      </m:rPr>
                      <w:rPr>
                        <w:rFonts w:ascii="Cambria Math" w:hAnsi="Cambria Math"/>
                      </w:rPr>
                      <m:t>,</m:t>
                    </m:r>
                    <m:r>
                      <w:rPr>
                        <w:rFonts w:ascii="Cambria Math" w:hAnsi="Cambria Math"/>
                      </w:rPr>
                      <m:t>i</m:t>
                    </m:r>
                  </m:sub>
                </m:sSub>
              </m:den>
            </m:f>
          </m:e>
        </m:d>
      </m:oMath>
      <w:r w:rsidR="00717DD2" w:rsidRPr="00BC5E3A">
        <w:t xml:space="preserve">. The maximum relative error </w:t>
      </w:r>
      <m:oMath>
        <m:sSub>
          <m:sSubPr>
            <m:ctrlPr>
              <w:rPr>
                <w:rFonts w:ascii="Cambria Math" w:hAnsi="Cambria Math"/>
              </w:rPr>
            </m:ctrlPr>
          </m:sSubPr>
          <m:e>
            <m:r>
              <w:rPr>
                <w:rFonts w:ascii="Cambria Math" w:hAnsi="Cambria Math"/>
              </w:rPr>
              <m:t>RE</m:t>
            </m:r>
          </m:e>
          <m:sub>
            <m:r>
              <w:rPr>
                <w:rFonts w:ascii="Cambria Math" w:hAnsi="Cambria Math"/>
              </w:rPr>
              <m:t>max</m:t>
            </m:r>
          </m:sub>
        </m:sSub>
        <m:r>
          <m:rPr>
            <m:sty m:val="p"/>
          </m:rPr>
          <w:rPr>
            <w:rFonts w:ascii="Cambria Math" w:hAnsi="Cambria Math"/>
          </w:rPr>
          <m:t>=9.2%</m:t>
        </m:r>
      </m:oMath>
      <w:r w:rsidR="00717DD2" w:rsidRPr="00BC5E3A">
        <w:t xml:space="preserve"> is observed at a bed height of </w:t>
      </w:r>
      <m:oMath>
        <m:r>
          <w:rPr>
            <w:rFonts w:ascii="Cambria Math" w:hAnsi="Cambria Math"/>
          </w:rPr>
          <m:t>h</m:t>
        </m:r>
        <m:r>
          <m:rPr>
            <m:sty m:val="p"/>
          </m:rPr>
          <w:rPr>
            <w:rFonts w:ascii="Cambria Math" w:hAnsi="Cambria Math"/>
          </w:rPr>
          <m:t xml:space="preserve">=0.3 </m:t>
        </m:r>
        <m:r>
          <w:rPr>
            <w:rFonts w:ascii="Cambria Math" w:hAnsi="Cambria Math"/>
          </w:rPr>
          <m:t>m</m:t>
        </m:r>
      </m:oMath>
      <w:r w:rsidR="00717DD2" w:rsidRPr="00BC5E3A">
        <w:t xml:space="preserve"> after 1800 s. This relatively higher deviation occurs during the early stage of the charging process, when steep temperature gradients and rapid front propagation make precise prediction more sensitive to local measurement uncertainties and modeling assumptions. In contrast, the minimum relative error </w:t>
      </w:r>
      <m:oMath>
        <m:sSub>
          <m:sSubPr>
            <m:ctrlPr>
              <w:rPr>
                <w:rFonts w:ascii="Cambria Math" w:hAnsi="Cambria Math"/>
              </w:rPr>
            </m:ctrlPr>
          </m:sSubPr>
          <m:e>
            <m:r>
              <w:rPr>
                <w:rFonts w:ascii="Cambria Math" w:hAnsi="Cambria Math"/>
              </w:rPr>
              <m:t>RE</m:t>
            </m:r>
          </m:e>
          <m:sub>
            <m:r>
              <w:rPr>
                <w:rFonts w:ascii="Cambria Math" w:hAnsi="Cambria Math"/>
              </w:rPr>
              <m:t>min</m:t>
            </m:r>
          </m:sub>
        </m:sSub>
        <m:r>
          <m:rPr>
            <m:sty m:val="p"/>
          </m:rPr>
          <w:rPr>
            <w:rFonts w:ascii="Cambria Math" w:hAnsi="Cambria Math"/>
          </w:rPr>
          <m:t>=0.007%</m:t>
        </m:r>
      </m:oMath>
      <w:r w:rsidR="00717DD2" w:rsidRPr="00BC5E3A">
        <w:t xml:space="preserve"> is obtained at a bed height of </w:t>
      </w:r>
      <m:oMath>
        <m:r>
          <w:rPr>
            <w:rFonts w:ascii="Cambria Math" w:hAnsi="Cambria Math"/>
          </w:rPr>
          <m:t>h</m:t>
        </m:r>
        <m:r>
          <m:rPr>
            <m:sty m:val="p"/>
          </m:rPr>
          <w:rPr>
            <w:rFonts w:ascii="Cambria Math" w:hAnsi="Cambria Math"/>
          </w:rPr>
          <m:t>=0.7</m:t>
        </m:r>
        <m:r>
          <w:rPr>
            <w:rFonts w:ascii="Cambria Math" w:hAnsi="Cambria Math"/>
          </w:rPr>
          <m:t>m</m:t>
        </m:r>
      </m:oMath>
      <w:r w:rsidR="00717DD2" w:rsidRPr="00BC5E3A">
        <w:t xml:space="preserve"> after 10800 s, corresponding to the later stage of charging when the temperature field becomes more uniform and the thermocline front is well stabilized, leading to an almost perfect agreement with experimental data. </w:t>
      </w:r>
      <w:r w:rsidR="00993A62" w:rsidRPr="00BC5E3A">
        <w:t xml:space="preserve">The overall accuracy of the model is assessed through the mean relative error over all </w:t>
      </w:r>
      <m:oMath>
        <m:r>
          <w:rPr>
            <w:rFonts w:ascii="Cambria Math" w:hAnsi="Cambria Math"/>
          </w:rPr>
          <m:t>n</m:t>
        </m:r>
      </m:oMath>
      <w:r w:rsidR="00993A62" w:rsidRPr="00BC5E3A">
        <w:t xml:space="preserve"> measurements</w:t>
      </w:r>
      <w:r w:rsidR="00E66422" w:rsidRPr="00BC5E3A">
        <w:t xml:space="preserve"> </w:t>
      </w:r>
      <m:oMath>
        <m:d>
          <m:dPr>
            <m:ctrlPr>
              <w:rPr>
                <w:rFonts w:ascii="Cambria Math" w:hAnsi="Cambria Math"/>
                <w:i/>
              </w:rPr>
            </m:ctrlPr>
          </m:dPr>
          <m:e>
            <m:r>
              <w:rPr>
                <w:rFonts w:ascii="Cambria Math" w:hAnsi="Cambria Math"/>
              </w:rPr>
              <m:t>MRE=</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E</m:t>
                    </m:r>
                  </m:e>
                  <m:sub>
                    <m:r>
                      <w:rPr>
                        <w:rFonts w:ascii="Cambria Math" w:hAnsi="Cambria Math"/>
                      </w:rPr>
                      <m:t>r,i</m:t>
                    </m:r>
                  </m:sub>
                </m:sSub>
              </m:e>
            </m:nary>
          </m:e>
        </m:d>
      </m:oMath>
      <w:r w:rsidR="00993A62" w:rsidRPr="00BC5E3A">
        <w:t xml:space="preserve"> , which yields a value of 2.3% and confirms the robustness and predictive capability of the non-equilibrium modeling approach</w:t>
      </w:r>
      <w:r w:rsidR="00717DD2" w:rsidRPr="00BC5E3A">
        <w:t>.</w:t>
      </w:r>
    </w:p>
    <w:p w14:paraId="7012233C" w14:textId="7365863E" w:rsidR="0029297C" w:rsidRPr="00BC5E3A" w:rsidRDefault="0007755D" w:rsidP="0007755D">
      <w:pPr>
        <w:pStyle w:val="Paragraph"/>
        <w:spacing w:before="240" w:after="240"/>
        <w:jc w:val="center"/>
      </w:pPr>
      <w:r w:rsidRPr="00BC5E3A">
        <w:rPr>
          <w:noProof/>
          <w:lang w:val="fr-FR" w:eastAsia="fr-FR"/>
        </w:rPr>
        <w:drawing>
          <wp:inline distT="0" distB="0" distL="0" distR="0" wp14:anchorId="0A45EBA6" wp14:editId="244D34C4">
            <wp:extent cx="3090496" cy="2337683"/>
            <wp:effectExtent l="0" t="0" r="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52301" cy="2384433"/>
                    </a:xfrm>
                    <a:prstGeom prst="rect">
                      <a:avLst/>
                    </a:prstGeom>
                  </pic:spPr>
                </pic:pic>
              </a:graphicData>
            </a:graphic>
          </wp:inline>
        </w:drawing>
      </w:r>
    </w:p>
    <w:p w14:paraId="23358C90" w14:textId="3F5CD4BC" w:rsidR="0095013E" w:rsidRPr="00BC5E3A" w:rsidRDefault="0095013E" w:rsidP="00680F7B">
      <w:pPr>
        <w:pStyle w:val="NormalWeb"/>
        <w:spacing w:before="0" w:beforeAutospacing="0"/>
        <w:jc w:val="center"/>
        <w:rPr>
          <w:sz w:val="18"/>
          <w:szCs w:val="18"/>
        </w:rPr>
      </w:pPr>
      <w:r w:rsidRPr="00BC5E3A">
        <w:rPr>
          <w:b/>
          <w:caps/>
          <w:sz w:val="18"/>
          <w:szCs w:val="18"/>
        </w:rPr>
        <w:t>Figure 2.</w:t>
      </w:r>
      <w:r w:rsidRPr="00BC5E3A">
        <w:rPr>
          <w:sz w:val="18"/>
          <w:szCs w:val="18"/>
          <w:lang w:val="en-US"/>
        </w:rPr>
        <w:t xml:space="preserve"> </w:t>
      </w:r>
      <w:r w:rsidRPr="00BC5E3A">
        <w:rPr>
          <w:sz w:val="18"/>
          <w:szCs w:val="18"/>
        </w:rPr>
        <w:t>Simulated versus experimental temperature profiles during the charging phase.</w:t>
      </w:r>
    </w:p>
    <w:p w14:paraId="036D7F25" w14:textId="447DC517" w:rsidR="00D80F79" w:rsidRPr="00BC5E3A" w:rsidRDefault="009D086B" w:rsidP="003519B2">
      <w:pPr>
        <w:pStyle w:val="Paragraph"/>
        <w:spacing w:before="240" w:after="240"/>
      </w:pPr>
      <w:r w:rsidRPr="00BC5E3A">
        <w:t xml:space="preserve">Air, solar salt, and </w:t>
      </w:r>
      <w:r w:rsidR="00491CF2" w:rsidRPr="00BC5E3A">
        <w:t>Therminol VP-1</w:t>
      </w:r>
      <w:r w:rsidRPr="00BC5E3A">
        <w:t xml:space="preserve"> exhibit significantly different physical properties, as presented in Table 1. The simulations are conducted using the same energy input for each HTF to ensure a consistent basis for comparison. Additionally, the operating temperature ranges are tailored to the actual thermal limits of each fluid. Both the charging and discharging periods are kept constant across all cases. </w:t>
      </w:r>
      <w:r w:rsidR="0075054E" w:rsidRPr="00BC5E3A">
        <w:t xml:space="preserve">The mass flow rates were determined based on the imposed energy input and the specific heat capacities of the respective HTFs, as summarized in Table 1. The operating pressure, defined as the </w:t>
      </w:r>
      <w:r w:rsidR="0092725F" w:rsidRPr="00BC5E3A">
        <w:t>pressure drop across the packed-</w:t>
      </w:r>
      <w:r w:rsidR="0075054E" w:rsidRPr="00BC5E3A">
        <w:t>bed, was found to be approximately 63.77 Pa for air, 0.11 Pa for Therminol VP-1, and 0.</w:t>
      </w:r>
      <w:r w:rsidR="003519B2" w:rsidRPr="00BC5E3A">
        <w:t xml:space="preserve">33 Pa for solar salt, remaining </w:t>
      </w:r>
      <w:r w:rsidR="0075054E" w:rsidRPr="00BC5E3A">
        <w:t>constant throughout the entire charging process. These variations are directly linked to the thermo-physical properties of the working fluids, which determine the balance between viscous and inertial contributions to pressure loss in the porous medium. Owing to its low density, air reaches a relatively high superficial velocity for the imposed mass flux, which amplifies inertial effects and leads to a substantially higher pressure drop. Conversely, the liquid heat transfer fluids, Therminol VP-1 and solar salt, have much higher densities, resulting in significantly lower superficial velocities under comparable conditions. Consequently, their pressure losses are minimal and predominantly governed by viscous effects</w:t>
      </w:r>
      <w:r w:rsidR="00062348" w:rsidRPr="00BC5E3A">
        <w:t>.</w:t>
      </w:r>
    </w:p>
    <w:tbl>
      <w:tblPr>
        <w:tblStyle w:val="ListTable6Colorful"/>
        <w:tblW w:w="8675" w:type="dxa"/>
        <w:jc w:val="center"/>
        <w:shd w:val="clear" w:color="auto" w:fill="FFFFFF" w:themeFill="background1"/>
        <w:tblLook w:val="04A0" w:firstRow="1" w:lastRow="0" w:firstColumn="1" w:lastColumn="0" w:noHBand="0" w:noVBand="1"/>
      </w:tblPr>
      <w:tblGrid>
        <w:gridCol w:w="3572"/>
        <w:gridCol w:w="165"/>
        <w:gridCol w:w="1536"/>
        <w:gridCol w:w="51"/>
        <w:gridCol w:w="1587"/>
        <w:gridCol w:w="63"/>
        <w:gridCol w:w="733"/>
        <w:gridCol w:w="852"/>
        <w:gridCol w:w="116"/>
      </w:tblGrid>
      <w:tr w:rsidR="00BC5E3A" w:rsidRPr="00BC5E3A" w14:paraId="31670D56" w14:textId="77777777" w:rsidTr="00010B00">
        <w:trPr>
          <w:gridAfter w:val="2"/>
          <w:cnfStyle w:val="100000000000" w:firstRow="1" w:lastRow="0" w:firstColumn="0" w:lastColumn="0" w:oddVBand="0" w:evenVBand="0" w:oddHBand="0" w:evenHBand="0" w:firstRowFirstColumn="0" w:firstRowLastColumn="0" w:lastRowFirstColumn="0" w:lastRowLastColumn="0"/>
          <w:wAfter w:w="968" w:type="dxa"/>
          <w:jc w:val="center"/>
        </w:trPr>
        <w:tc>
          <w:tcPr>
            <w:cnfStyle w:val="001000000000" w:firstRow="0" w:lastRow="0" w:firstColumn="1" w:lastColumn="0" w:oddVBand="0" w:evenVBand="0" w:oddHBand="0" w:evenHBand="0" w:firstRowFirstColumn="0" w:firstRowLastColumn="0" w:lastRowFirstColumn="0" w:lastRowLastColumn="0"/>
            <w:tcW w:w="7707" w:type="dxa"/>
            <w:gridSpan w:val="7"/>
            <w:tcBorders>
              <w:top w:val="nil"/>
              <w:bottom w:val="single" w:sz="6" w:space="0" w:color="auto"/>
            </w:tcBorders>
            <w:shd w:val="clear" w:color="auto" w:fill="FFFFFF" w:themeFill="background1"/>
          </w:tcPr>
          <w:p w14:paraId="585E36BE" w14:textId="4FE4B51B" w:rsidR="0095013E" w:rsidRPr="00BC5E3A" w:rsidRDefault="00F24AE1" w:rsidP="00680F7B">
            <w:pPr>
              <w:pStyle w:val="NormalWeb"/>
              <w:spacing w:line="276" w:lineRule="auto"/>
              <w:jc w:val="center"/>
              <w:rPr>
                <w:rFonts w:asciiTheme="majorBidi" w:hAnsiTheme="majorBidi" w:cstheme="majorBidi"/>
                <w:color w:val="auto"/>
                <w:sz w:val="18"/>
                <w:szCs w:val="18"/>
              </w:rPr>
            </w:pPr>
            <w:r w:rsidRPr="00BC5E3A">
              <w:rPr>
                <w:bCs w:val="0"/>
                <w:color w:val="auto"/>
                <w:sz w:val="18"/>
                <w:szCs w:val="18"/>
                <w:lang w:val="en-US" w:eastAsia="en-US"/>
              </w:rPr>
              <w:lastRenderedPageBreak/>
              <w:t xml:space="preserve">TABLE 1. </w:t>
            </w:r>
            <w:r w:rsidRPr="00BC5E3A">
              <w:rPr>
                <w:b w:val="0"/>
                <w:bCs w:val="0"/>
                <w:color w:val="auto"/>
                <w:sz w:val="18"/>
                <w:szCs w:val="18"/>
                <w:lang w:val="en-US" w:eastAsia="en-US"/>
              </w:rPr>
              <w:t>Thermophysical properties of HTFs and simulation parameters.</w:t>
            </w:r>
          </w:p>
        </w:tc>
      </w:tr>
      <w:tr w:rsidR="00BC5E3A" w:rsidRPr="00BC5E3A" w14:paraId="19C6FBEC" w14:textId="77777777" w:rsidTr="00A956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74" w:type="dxa"/>
            <w:gridSpan w:val="9"/>
            <w:tcBorders>
              <w:top w:val="single" w:sz="6" w:space="0" w:color="auto"/>
              <w:bottom w:val="single" w:sz="6" w:space="0" w:color="auto"/>
            </w:tcBorders>
            <w:shd w:val="clear" w:color="auto" w:fill="FFFFFF" w:themeFill="background1"/>
          </w:tcPr>
          <w:p w14:paraId="1DA338CE" w14:textId="3E8DED6C" w:rsidR="00F24AE1" w:rsidRPr="00BC5E3A" w:rsidRDefault="00F24AE1" w:rsidP="007929B6">
            <w:pPr>
              <w:spacing w:line="276" w:lineRule="auto"/>
              <w:jc w:val="center"/>
              <w:rPr>
                <w:rFonts w:asciiTheme="majorBidi" w:hAnsiTheme="majorBidi" w:cstheme="majorBidi"/>
                <w:color w:val="auto"/>
                <w:sz w:val="18"/>
                <w:szCs w:val="18"/>
              </w:rPr>
            </w:pPr>
            <w:r w:rsidRPr="00BC5E3A">
              <w:rPr>
                <w:rFonts w:asciiTheme="majorBidi" w:hAnsiTheme="majorBidi" w:cstheme="majorBidi"/>
                <w:bCs w:val="0"/>
                <w:color w:val="auto"/>
                <w:sz w:val="18"/>
                <w:szCs w:val="18"/>
              </w:rPr>
              <w:t xml:space="preserve">Properties of HTFs </w:t>
            </w:r>
          </w:p>
        </w:tc>
      </w:tr>
      <w:tr w:rsidR="00BC5E3A" w:rsidRPr="00BC5E3A" w14:paraId="14326410" w14:textId="77777777" w:rsidTr="005827B1">
        <w:trPr>
          <w:gridAfter w:val="1"/>
          <w:wAfter w:w="116" w:type="dxa"/>
          <w:jc w:val="center"/>
        </w:trPr>
        <w:tc>
          <w:tcPr>
            <w:cnfStyle w:val="001000000000" w:firstRow="0" w:lastRow="0" w:firstColumn="1" w:lastColumn="0" w:oddVBand="0" w:evenVBand="0" w:oddHBand="0" w:evenHBand="0" w:firstRowFirstColumn="0" w:firstRowLastColumn="0" w:lastRowFirstColumn="0" w:lastRowLastColumn="0"/>
            <w:tcW w:w="3737" w:type="dxa"/>
            <w:gridSpan w:val="2"/>
            <w:vMerge w:val="restart"/>
            <w:tcBorders>
              <w:top w:val="single" w:sz="6" w:space="0" w:color="auto"/>
            </w:tcBorders>
            <w:shd w:val="clear" w:color="auto" w:fill="FFFFFF" w:themeFill="background1"/>
          </w:tcPr>
          <w:p w14:paraId="59776ED0" w14:textId="77777777" w:rsidR="0095013E" w:rsidRPr="00BC5E3A" w:rsidRDefault="0095013E" w:rsidP="00680F7B">
            <w:pPr>
              <w:spacing w:line="276" w:lineRule="auto"/>
              <w:rPr>
                <w:rFonts w:asciiTheme="majorBidi" w:hAnsiTheme="majorBidi" w:cstheme="majorBidi"/>
                <w:b w:val="0"/>
                <w:bCs w:val="0"/>
                <w:color w:val="auto"/>
                <w:sz w:val="20"/>
              </w:rPr>
            </w:pPr>
          </w:p>
          <w:p w14:paraId="55E301D8" w14:textId="6832587B" w:rsidR="0095013E" w:rsidRPr="00BC5E3A" w:rsidRDefault="0095013E" w:rsidP="001C70DF">
            <w:pPr>
              <w:spacing w:line="276" w:lineRule="auto"/>
              <w:rPr>
                <w:rFonts w:asciiTheme="majorBidi" w:hAnsiTheme="majorBidi" w:cstheme="majorBidi"/>
                <w:b w:val="0"/>
                <w:bCs w:val="0"/>
                <w:color w:val="auto"/>
                <w:sz w:val="20"/>
              </w:rPr>
            </w:pPr>
            <w:r w:rsidRPr="00BC5E3A">
              <w:rPr>
                <w:rFonts w:asciiTheme="majorBidi" w:hAnsiTheme="majorBidi" w:cstheme="majorBidi"/>
                <w:b w:val="0"/>
                <w:bCs w:val="0"/>
                <w:color w:val="auto"/>
                <w:sz w:val="20"/>
              </w:rPr>
              <w:t>Density</w:t>
            </w:r>
            <w:r w:rsidR="00266941" w:rsidRPr="00BC5E3A">
              <w:rPr>
                <w:rFonts w:asciiTheme="majorBidi" w:hAnsiTheme="majorBidi" w:cstheme="majorBidi"/>
                <w:b w:val="0"/>
                <w:bCs w:val="0"/>
                <w:color w:val="auto"/>
                <w:sz w:val="20"/>
              </w:rPr>
              <w:t xml:space="preserve"> </w:t>
            </w:r>
            <m:oMath>
              <m:sSub>
                <m:sSubPr>
                  <m:ctrlPr>
                    <w:rPr>
                      <w:rFonts w:ascii="Cambria Math" w:eastAsia="Calibri" w:hAnsi="Cambria Math" w:cstheme="majorBidi"/>
                      <w:b w:val="0"/>
                      <w:bCs w:val="0"/>
                      <w:i/>
                      <w:color w:val="auto"/>
                      <w:sz w:val="20"/>
                      <w:lang w:bidi="ar-LB"/>
                    </w:rPr>
                  </m:ctrlPr>
                </m:sSubPr>
                <m:e>
                  <m:r>
                    <m:rPr>
                      <m:sty m:val="bi"/>
                    </m:rPr>
                    <w:rPr>
                      <w:rFonts w:ascii="Cambria Math" w:hAnsi="Cambria Math" w:cstheme="majorBidi"/>
                      <w:color w:val="auto"/>
                      <w:sz w:val="20"/>
                      <w:lang w:bidi="ar-LB"/>
                    </w:rPr>
                    <m:t>ρ</m:t>
                  </m:r>
                </m:e>
                <m:sub>
                  <m:r>
                    <m:rPr>
                      <m:sty m:val="bi"/>
                    </m:rPr>
                    <w:rPr>
                      <w:rFonts w:ascii="Cambria Math" w:hAnsi="Cambria Math" w:cstheme="majorBidi"/>
                      <w:color w:val="auto"/>
                      <w:sz w:val="20"/>
                      <w:lang w:bidi="ar-LB"/>
                    </w:rPr>
                    <m:t>f</m:t>
                  </m:r>
                </m:sub>
              </m:sSub>
              <m:r>
                <m:rPr>
                  <m:sty m:val="b"/>
                </m:rPr>
                <w:rPr>
                  <w:rFonts w:ascii="Cambria Math" w:hAnsi="Cambria Math" w:cstheme="majorBidi"/>
                  <w:color w:val="auto"/>
                  <w:sz w:val="20"/>
                </w:rPr>
                <m:t>[kg/</m:t>
              </m:r>
              <m:sSup>
                <m:sSupPr>
                  <m:ctrlPr>
                    <w:rPr>
                      <w:rFonts w:ascii="Cambria Math" w:hAnsi="Cambria Math" w:cstheme="majorBidi"/>
                      <w:b w:val="0"/>
                      <w:bCs w:val="0"/>
                      <w:color w:val="auto"/>
                      <w:sz w:val="20"/>
                    </w:rPr>
                  </m:ctrlPr>
                </m:sSupPr>
                <m:e>
                  <m:r>
                    <m:rPr>
                      <m:sty m:val="b"/>
                    </m:rPr>
                    <w:rPr>
                      <w:rFonts w:ascii="Cambria Math" w:hAnsi="Cambria Math" w:cstheme="majorBidi"/>
                      <w:color w:val="auto"/>
                      <w:sz w:val="20"/>
                    </w:rPr>
                    <m:t>m</m:t>
                  </m:r>
                </m:e>
                <m:sup>
                  <m:r>
                    <m:rPr>
                      <m:sty m:val="bi"/>
                    </m:rPr>
                    <w:rPr>
                      <w:rFonts w:ascii="Cambria Math" w:hAnsi="Cambria Math" w:cstheme="majorBidi"/>
                      <w:color w:val="auto"/>
                      <w:sz w:val="20"/>
                    </w:rPr>
                    <m:t>3</m:t>
                  </m:r>
                </m:sup>
              </m:sSup>
              <m:r>
                <m:rPr>
                  <m:sty m:val="b"/>
                </m:rPr>
                <w:rPr>
                  <w:rFonts w:ascii="Cambria Math" w:hAnsi="Cambria Math" w:cstheme="majorBidi"/>
                  <w:color w:val="auto"/>
                  <w:sz w:val="20"/>
                </w:rPr>
                <m:t>]</m:t>
              </m:r>
            </m:oMath>
            <w:r w:rsidR="007327D1" w:rsidRPr="00BC5E3A">
              <w:rPr>
                <w:rFonts w:asciiTheme="majorBidi" w:hAnsiTheme="majorBidi" w:cstheme="majorBidi"/>
                <w:b w:val="0"/>
                <w:bCs w:val="0"/>
                <w:color w:val="auto"/>
                <w:sz w:val="20"/>
              </w:rPr>
              <w:t>, 300°C</w:t>
            </w:r>
          </w:p>
        </w:tc>
        <w:tc>
          <w:tcPr>
            <w:tcW w:w="1587" w:type="dxa"/>
            <w:gridSpan w:val="2"/>
            <w:tcBorders>
              <w:top w:val="single" w:sz="6" w:space="0" w:color="auto"/>
            </w:tcBorders>
            <w:shd w:val="clear" w:color="auto" w:fill="FFFFFF" w:themeFill="background1"/>
          </w:tcPr>
          <w:p w14:paraId="00CAA4F9" w14:textId="77777777" w:rsidR="0095013E" w:rsidRPr="00BC5E3A" w:rsidRDefault="0095013E" w:rsidP="00680F7B">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18"/>
                <w:szCs w:val="18"/>
              </w:rPr>
            </w:pPr>
            <w:r w:rsidRPr="00BC5E3A">
              <w:rPr>
                <w:rFonts w:asciiTheme="majorBidi" w:hAnsiTheme="majorBidi" w:cstheme="majorBidi"/>
                <w:b/>
                <w:bCs/>
                <w:color w:val="auto"/>
                <w:sz w:val="18"/>
                <w:szCs w:val="18"/>
              </w:rPr>
              <w:t>Air</w:t>
            </w:r>
          </w:p>
        </w:tc>
        <w:tc>
          <w:tcPr>
            <w:tcW w:w="1587" w:type="dxa"/>
            <w:tcBorders>
              <w:top w:val="single" w:sz="6" w:space="0" w:color="auto"/>
            </w:tcBorders>
            <w:shd w:val="clear" w:color="auto" w:fill="FFFFFF" w:themeFill="background1"/>
          </w:tcPr>
          <w:p w14:paraId="79278E57" w14:textId="77777777" w:rsidR="0095013E" w:rsidRPr="00BC5E3A" w:rsidRDefault="0095013E" w:rsidP="00680F7B">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18"/>
                <w:szCs w:val="18"/>
              </w:rPr>
            </w:pPr>
            <w:r w:rsidRPr="00BC5E3A">
              <w:rPr>
                <w:rFonts w:asciiTheme="majorBidi" w:hAnsiTheme="majorBidi" w:cstheme="majorBidi"/>
                <w:b/>
                <w:bCs/>
                <w:color w:val="auto"/>
                <w:sz w:val="18"/>
                <w:szCs w:val="18"/>
              </w:rPr>
              <w:t>Solar salt</w:t>
            </w:r>
          </w:p>
        </w:tc>
        <w:tc>
          <w:tcPr>
            <w:tcW w:w="1648" w:type="dxa"/>
            <w:gridSpan w:val="3"/>
            <w:tcBorders>
              <w:top w:val="single" w:sz="6" w:space="0" w:color="auto"/>
            </w:tcBorders>
            <w:shd w:val="clear" w:color="auto" w:fill="FFFFFF" w:themeFill="background1"/>
          </w:tcPr>
          <w:p w14:paraId="7D8C8E0C" w14:textId="77777777" w:rsidR="0095013E" w:rsidRPr="00BC5E3A" w:rsidRDefault="0095013E" w:rsidP="00680F7B">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18"/>
                <w:szCs w:val="18"/>
              </w:rPr>
            </w:pPr>
            <w:r w:rsidRPr="00BC5E3A">
              <w:rPr>
                <w:rFonts w:asciiTheme="majorBidi" w:hAnsiTheme="majorBidi" w:cstheme="majorBidi"/>
                <w:b/>
                <w:bCs/>
                <w:color w:val="auto"/>
                <w:sz w:val="18"/>
                <w:szCs w:val="18"/>
              </w:rPr>
              <w:t>Therminol VP-1</w:t>
            </w:r>
          </w:p>
        </w:tc>
      </w:tr>
      <w:tr w:rsidR="00BC5E3A" w:rsidRPr="00BC5E3A" w14:paraId="296DD999" w14:textId="77777777" w:rsidTr="00372013">
        <w:trPr>
          <w:gridAfter w:val="1"/>
          <w:cnfStyle w:val="000000100000" w:firstRow="0" w:lastRow="0" w:firstColumn="0" w:lastColumn="0" w:oddVBand="0" w:evenVBand="0" w:oddHBand="1" w:evenHBand="0" w:firstRowFirstColumn="0" w:firstRowLastColumn="0" w:lastRowFirstColumn="0" w:lastRowLastColumn="0"/>
          <w:wAfter w:w="116" w:type="dxa"/>
          <w:jc w:val="center"/>
        </w:trPr>
        <w:tc>
          <w:tcPr>
            <w:cnfStyle w:val="001000000000" w:firstRow="0" w:lastRow="0" w:firstColumn="1" w:lastColumn="0" w:oddVBand="0" w:evenVBand="0" w:oddHBand="0" w:evenHBand="0" w:firstRowFirstColumn="0" w:firstRowLastColumn="0" w:lastRowFirstColumn="0" w:lastRowLastColumn="0"/>
            <w:tcW w:w="3737" w:type="dxa"/>
            <w:gridSpan w:val="2"/>
            <w:vMerge/>
            <w:shd w:val="clear" w:color="auto" w:fill="FFFFFF" w:themeFill="background1"/>
          </w:tcPr>
          <w:p w14:paraId="6C357D78" w14:textId="77777777" w:rsidR="0095013E" w:rsidRPr="00BC5E3A" w:rsidRDefault="0095013E" w:rsidP="00680F7B">
            <w:pPr>
              <w:spacing w:line="276" w:lineRule="auto"/>
              <w:rPr>
                <w:rFonts w:asciiTheme="majorBidi" w:hAnsiTheme="majorBidi" w:cstheme="majorBidi"/>
                <w:b w:val="0"/>
                <w:bCs w:val="0"/>
                <w:color w:val="auto"/>
                <w:sz w:val="20"/>
              </w:rPr>
            </w:pPr>
          </w:p>
        </w:tc>
        <w:tc>
          <w:tcPr>
            <w:tcW w:w="1587" w:type="dxa"/>
            <w:gridSpan w:val="2"/>
            <w:shd w:val="clear" w:color="auto" w:fill="FFFFFF" w:themeFill="background1"/>
          </w:tcPr>
          <w:p w14:paraId="5B1B659E" w14:textId="1FAB4EED" w:rsidR="0095013E" w:rsidRPr="00BC5E3A" w:rsidRDefault="00523859" w:rsidP="00680F7B">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rPr>
            </w:pPr>
            <w:r w:rsidRPr="00BC5E3A">
              <w:rPr>
                <w:rFonts w:asciiTheme="majorBidi" w:hAnsiTheme="majorBidi" w:cstheme="majorBidi"/>
                <w:color w:val="auto"/>
                <w:sz w:val="20"/>
              </w:rPr>
              <w:t>0.61</w:t>
            </w:r>
          </w:p>
        </w:tc>
        <w:tc>
          <w:tcPr>
            <w:tcW w:w="1587" w:type="dxa"/>
            <w:shd w:val="clear" w:color="auto" w:fill="FFFFFF" w:themeFill="background1"/>
          </w:tcPr>
          <w:p w14:paraId="45165682" w14:textId="19716C6B" w:rsidR="0095013E" w:rsidRPr="00BC5E3A" w:rsidRDefault="006E13F4" w:rsidP="00680F7B">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rPr>
            </w:pPr>
            <w:r w:rsidRPr="00BC5E3A">
              <w:rPr>
                <w:rFonts w:asciiTheme="majorBidi" w:hAnsiTheme="majorBidi" w:cstheme="majorBidi"/>
                <w:color w:val="auto"/>
                <w:sz w:val="20"/>
              </w:rPr>
              <w:t>1901</w:t>
            </w:r>
          </w:p>
        </w:tc>
        <w:tc>
          <w:tcPr>
            <w:tcW w:w="1648" w:type="dxa"/>
            <w:gridSpan w:val="3"/>
            <w:shd w:val="clear" w:color="auto" w:fill="FFFFFF" w:themeFill="background1"/>
          </w:tcPr>
          <w:p w14:paraId="05019997" w14:textId="7AFB3CF2" w:rsidR="0095013E" w:rsidRPr="00BC5E3A" w:rsidRDefault="008F63DE" w:rsidP="00680F7B">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rPr>
            </w:pPr>
            <w:r w:rsidRPr="00BC5E3A">
              <w:rPr>
                <w:rFonts w:asciiTheme="majorBidi" w:hAnsiTheme="majorBidi" w:cstheme="majorBidi"/>
                <w:color w:val="auto"/>
                <w:sz w:val="20"/>
              </w:rPr>
              <w:t>945</w:t>
            </w:r>
          </w:p>
        </w:tc>
      </w:tr>
      <w:tr w:rsidR="00BC5E3A" w:rsidRPr="00BC5E3A" w14:paraId="26A0EC3C" w14:textId="77777777" w:rsidTr="00372013">
        <w:trPr>
          <w:gridAfter w:val="1"/>
          <w:wAfter w:w="116" w:type="dxa"/>
          <w:jc w:val="center"/>
        </w:trPr>
        <w:tc>
          <w:tcPr>
            <w:cnfStyle w:val="001000000000" w:firstRow="0" w:lastRow="0" w:firstColumn="1" w:lastColumn="0" w:oddVBand="0" w:evenVBand="0" w:oddHBand="0" w:evenHBand="0" w:firstRowFirstColumn="0" w:firstRowLastColumn="0" w:lastRowFirstColumn="0" w:lastRowLastColumn="0"/>
            <w:tcW w:w="3737" w:type="dxa"/>
            <w:gridSpan w:val="2"/>
            <w:shd w:val="clear" w:color="auto" w:fill="FFFFFF" w:themeFill="background1"/>
          </w:tcPr>
          <w:p w14:paraId="76418EB5" w14:textId="1B80BE75" w:rsidR="0095013E" w:rsidRPr="00BC5E3A" w:rsidRDefault="0095013E" w:rsidP="001C70DF">
            <w:pPr>
              <w:spacing w:line="276" w:lineRule="auto"/>
              <w:rPr>
                <w:rFonts w:asciiTheme="majorBidi" w:hAnsiTheme="majorBidi" w:cstheme="majorBidi"/>
                <w:b w:val="0"/>
                <w:bCs w:val="0"/>
                <w:color w:val="auto"/>
                <w:sz w:val="20"/>
              </w:rPr>
            </w:pPr>
            <w:r w:rsidRPr="00BC5E3A">
              <w:rPr>
                <w:rFonts w:asciiTheme="majorBidi" w:hAnsiTheme="majorBidi" w:cstheme="majorBidi"/>
                <w:b w:val="0"/>
                <w:bCs w:val="0"/>
                <w:color w:val="auto"/>
                <w:sz w:val="20"/>
              </w:rPr>
              <w:t>Specific heat capacity</w:t>
            </w:r>
            <w:r w:rsidR="00266941" w:rsidRPr="00BC5E3A">
              <w:rPr>
                <w:rFonts w:asciiTheme="majorBidi" w:hAnsiTheme="majorBidi" w:cstheme="majorBidi"/>
                <w:b w:val="0"/>
                <w:bCs w:val="0"/>
                <w:color w:val="auto"/>
                <w:sz w:val="20"/>
              </w:rPr>
              <w:t xml:space="preserve"> </w:t>
            </w:r>
            <m:oMath>
              <m:sSub>
                <m:sSubPr>
                  <m:ctrlPr>
                    <w:rPr>
                      <w:rFonts w:ascii="Cambria Math" w:eastAsia="Calibri" w:hAnsi="Cambria Math" w:cstheme="majorBidi"/>
                      <w:b w:val="0"/>
                      <w:bCs w:val="0"/>
                      <w:i/>
                      <w:color w:val="auto"/>
                      <w:sz w:val="20"/>
                      <w:lang w:bidi="ar-LB"/>
                    </w:rPr>
                  </m:ctrlPr>
                </m:sSubPr>
                <m:e>
                  <m:r>
                    <m:rPr>
                      <m:sty m:val="bi"/>
                    </m:rPr>
                    <w:rPr>
                      <w:rFonts w:ascii="Cambria Math" w:hAnsi="Cambria Math" w:cstheme="majorBidi"/>
                      <w:color w:val="auto"/>
                      <w:sz w:val="20"/>
                      <w:lang w:bidi="ar-LB"/>
                    </w:rPr>
                    <m:t>c</m:t>
                  </m:r>
                </m:e>
                <m:sub>
                  <m:r>
                    <m:rPr>
                      <m:sty m:val="bi"/>
                    </m:rPr>
                    <w:rPr>
                      <w:rFonts w:ascii="Cambria Math" w:hAnsi="Cambria Math" w:cstheme="majorBidi"/>
                      <w:color w:val="auto"/>
                      <w:sz w:val="20"/>
                      <w:lang w:bidi="ar-LB"/>
                    </w:rPr>
                    <m:t>p</m:t>
                  </m:r>
                </m:sub>
              </m:sSub>
              <m:r>
                <m:rPr>
                  <m:sty m:val="b"/>
                </m:rPr>
                <w:rPr>
                  <w:rFonts w:ascii="Cambria Math" w:hAnsi="Cambria Math" w:cstheme="majorBidi"/>
                  <w:color w:val="auto"/>
                  <w:sz w:val="20"/>
                </w:rPr>
                <m:t>[J/kg K]</m:t>
              </m:r>
            </m:oMath>
            <w:r w:rsidR="007327D1" w:rsidRPr="00BC5E3A">
              <w:rPr>
                <w:rFonts w:asciiTheme="majorBidi" w:hAnsiTheme="majorBidi" w:cstheme="majorBidi"/>
                <w:b w:val="0"/>
                <w:bCs w:val="0"/>
                <w:color w:val="auto"/>
                <w:sz w:val="20"/>
              </w:rPr>
              <w:t xml:space="preserve">, 300°C </w:t>
            </w:r>
          </w:p>
        </w:tc>
        <w:tc>
          <w:tcPr>
            <w:tcW w:w="1587" w:type="dxa"/>
            <w:gridSpan w:val="2"/>
            <w:shd w:val="clear" w:color="auto" w:fill="FFFFFF" w:themeFill="background1"/>
          </w:tcPr>
          <w:p w14:paraId="4C0CA493" w14:textId="36FD8455" w:rsidR="0095013E" w:rsidRPr="00BC5E3A" w:rsidRDefault="00523859" w:rsidP="00680F7B">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rPr>
            </w:pPr>
            <w:r w:rsidRPr="00BC5E3A">
              <w:rPr>
                <w:rFonts w:asciiTheme="majorBidi" w:hAnsiTheme="majorBidi" w:cstheme="majorBidi"/>
                <w:color w:val="auto"/>
                <w:sz w:val="20"/>
              </w:rPr>
              <w:t>1046</w:t>
            </w:r>
          </w:p>
        </w:tc>
        <w:tc>
          <w:tcPr>
            <w:tcW w:w="1587" w:type="dxa"/>
            <w:shd w:val="clear" w:color="auto" w:fill="FFFFFF" w:themeFill="background1"/>
          </w:tcPr>
          <w:p w14:paraId="1C1267C2" w14:textId="6CF51849" w:rsidR="0095013E" w:rsidRPr="00BC5E3A" w:rsidRDefault="006E13F4" w:rsidP="00680F7B">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rPr>
            </w:pPr>
            <w:r w:rsidRPr="00BC5E3A">
              <w:rPr>
                <w:rFonts w:asciiTheme="majorBidi" w:hAnsiTheme="majorBidi" w:cstheme="majorBidi"/>
                <w:color w:val="auto"/>
                <w:sz w:val="20"/>
              </w:rPr>
              <w:t>1549</w:t>
            </w:r>
          </w:p>
        </w:tc>
        <w:tc>
          <w:tcPr>
            <w:tcW w:w="1648" w:type="dxa"/>
            <w:gridSpan w:val="3"/>
            <w:shd w:val="clear" w:color="auto" w:fill="FFFFFF" w:themeFill="background1"/>
          </w:tcPr>
          <w:p w14:paraId="0923347A" w14:textId="1B9CB75B" w:rsidR="0095013E" w:rsidRPr="00BC5E3A" w:rsidRDefault="008F63DE" w:rsidP="00680F7B">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rPr>
            </w:pPr>
            <w:r w:rsidRPr="00BC5E3A">
              <w:rPr>
                <w:rFonts w:asciiTheme="majorBidi" w:hAnsiTheme="majorBidi" w:cstheme="majorBidi"/>
                <w:color w:val="auto"/>
                <w:sz w:val="20"/>
              </w:rPr>
              <w:t>2309</w:t>
            </w:r>
          </w:p>
        </w:tc>
      </w:tr>
      <w:tr w:rsidR="00BC5E3A" w:rsidRPr="00BC5E3A" w14:paraId="1F9C5769" w14:textId="77777777" w:rsidTr="00372013">
        <w:trPr>
          <w:gridAfter w:val="1"/>
          <w:cnfStyle w:val="000000100000" w:firstRow="0" w:lastRow="0" w:firstColumn="0" w:lastColumn="0" w:oddVBand="0" w:evenVBand="0" w:oddHBand="1" w:evenHBand="0" w:firstRowFirstColumn="0" w:firstRowLastColumn="0" w:lastRowFirstColumn="0" w:lastRowLastColumn="0"/>
          <w:wAfter w:w="116" w:type="dxa"/>
          <w:jc w:val="center"/>
        </w:trPr>
        <w:tc>
          <w:tcPr>
            <w:cnfStyle w:val="001000000000" w:firstRow="0" w:lastRow="0" w:firstColumn="1" w:lastColumn="0" w:oddVBand="0" w:evenVBand="0" w:oddHBand="0" w:evenHBand="0" w:firstRowFirstColumn="0" w:firstRowLastColumn="0" w:lastRowFirstColumn="0" w:lastRowLastColumn="0"/>
            <w:tcW w:w="3737" w:type="dxa"/>
            <w:gridSpan w:val="2"/>
            <w:shd w:val="clear" w:color="auto" w:fill="FFFFFF" w:themeFill="background1"/>
          </w:tcPr>
          <w:p w14:paraId="06939151" w14:textId="558FFB0F" w:rsidR="0095013E" w:rsidRPr="00BC5E3A" w:rsidRDefault="0095013E" w:rsidP="001C70DF">
            <w:pPr>
              <w:spacing w:line="276" w:lineRule="auto"/>
              <w:rPr>
                <w:rFonts w:asciiTheme="majorBidi" w:hAnsiTheme="majorBidi" w:cstheme="majorBidi"/>
                <w:b w:val="0"/>
                <w:bCs w:val="0"/>
                <w:color w:val="auto"/>
                <w:sz w:val="20"/>
              </w:rPr>
            </w:pPr>
            <w:r w:rsidRPr="00BC5E3A">
              <w:rPr>
                <w:rFonts w:asciiTheme="majorBidi" w:hAnsiTheme="majorBidi" w:cstheme="majorBidi"/>
                <w:b w:val="0"/>
                <w:bCs w:val="0"/>
                <w:color w:val="auto"/>
                <w:sz w:val="20"/>
              </w:rPr>
              <w:t>Thermal conductivity</w:t>
            </w:r>
            <w:r w:rsidR="00266941" w:rsidRPr="00BC5E3A">
              <w:rPr>
                <w:rFonts w:asciiTheme="majorBidi" w:hAnsiTheme="majorBidi" w:cstheme="majorBidi"/>
                <w:b w:val="0"/>
                <w:bCs w:val="0"/>
                <w:color w:val="auto"/>
                <w:sz w:val="20"/>
              </w:rPr>
              <w:t xml:space="preserve"> </w:t>
            </w:r>
            <m:oMath>
              <m:sSub>
                <m:sSubPr>
                  <m:ctrlPr>
                    <w:rPr>
                      <w:rFonts w:ascii="Cambria Math" w:eastAsia="Calibri" w:hAnsi="Cambria Math" w:cstheme="majorBidi"/>
                      <w:b w:val="0"/>
                      <w:bCs w:val="0"/>
                      <w:i/>
                      <w:color w:val="auto"/>
                      <w:sz w:val="20"/>
                      <w:lang w:bidi="ar-LB"/>
                    </w:rPr>
                  </m:ctrlPr>
                </m:sSubPr>
                <m:e>
                  <m:r>
                    <m:rPr>
                      <m:sty m:val="bi"/>
                    </m:rPr>
                    <w:rPr>
                      <w:rFonts w:ascii="Cambria Math" w:hAnsi="Cambria Math" w:cstheme="majorBidi"/>
                      <w:color w:val="auto"/>
                      <w:sz w:val="20"/>
                      <w:lang w:bidi="ar-LB"/>
                    </w:rPr>
                    <m:t>k</m:t>
                  </m:r>
                </m:e>
                <m:sub>
                  <m:r>
                    <m:rPr>
                      <m:sty m:val="bi"/>
                    </m:rPr>
                    <w:rPr>
                      <w:rFonts w:ascii="Cambria Math" w:hAnsi="Cambria Math" w:cstheme="majorBidi"/>
                      <w:color w:val="auto"/>
                      <w:sz w:val="20"/>
                      <w:lang w:bidi="ar-LB"/>
                    </w:rPr>
                    <m:t>f</m:t>
                  </m:r>
                </m:sub>
              </m:sSub>
              <m:r>
                <m:rPr>
                  <m:sty m:val="b"/>
                </m:rPr>
                <w:rPr>
                  <w:rFonts w:ascii="Cambria Math" w:hAnsi="Cambria Math" w:cstheme="majorBidi"/>
                  <w:color w:val="auto"/>
                  <w:sz w:val="20"/>
                </w:rPr>
                <m:t>[W/mK]</m:t>
              </m:r>
            </m:oMath>
            <w:r w:rsidR="007327D1" w:rsidRPr="00BC5E3A">
              <w:rPr>
                <w:rFonts w:asciiTheme="majorBidi" w:hAnsiTheme="majorBidi" w:cstheme="majorBidi"/>
                <w:b w:val="0"/>
                <w:bCs w:val="0"/>
                <w:color w:val="auto"/>
                <w:sz w:val="20"/>
              </w:rPr>
              <w:t>, 300°C</w:t>
            </w:r>
          </w:p>
        </w:tc>
        <w:tc>
          <w:tcPr>
            <w:tcW w:w="1587" w:type="dxa"/>
            <w:gridSpan w:val="2"/>
            <w:shd w:val="clear" w:color="auto" w:fill="FFFFFF" w:themeFill="background1"/>
          </w:tcPr>
          <w:p w14:paraId="663A89E5" w14:textId="77777777" w:rsidR="0095013E" w:rsidRPr="00BC5E3A" w:rsidRDefault="0095013E" w:rsidP="00680F7B">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rPr>
            </w:pPr>
            <w:r w:rsidRPr="00BC5E3A">
              <w:rPr>
                <w:rFonts w:asciiTheme="majorBidi" w:hAnsiTheme="majorBidi" w:cstheme="majorBidi"/>
                <w:color w:val="auto"/>
                <w:sz w:val="20"/>
              </w:rPr>
              <w:t>0.05</w:t>
            </w:r>
          </w:p>
        </w:tc>
        <w:tc>
          <w:tcPr>
            <w:tcW w:w="1587" w:type="dxa"/>
            <w:shd w:val="clear" w:color="auto" w:fill="FFFFFF" w:themeFill="background1"/>
          </w:tcPr>
          <w:p w14:paraId="6EC8FC3E" w14:textId="39C57FFF" w:rsidR="0095013E" w:rsidRPr="00BC5E3A" w:rsidRDefault="00FE4FCF" w:rsidP="00680F7B">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rPr>
            </w:pPr>
            <w:r w:rsidRPr="00BC5E3A">
              <w:rPr>
                <w:rFonts w:asciiTheme="majorBidi" w:hAnsiTheme="majorBidi" w:cstheme="majorBidi"/>
                <w:color w:val="auto"/>
                <w:sz w:val="20"/>
              </w:rPr>
              <w:t>0.5</w:t>
            </w:r>
          </w:p>
        </w:tc>
        <w:tc>
          <w:tcPr>
            <w:tcW w:w="1648" w:type="dxa"/>
            <w:gridSpan w:val="3"/>
            <w:shd w:val="clear" w:color="auto" w:fill="FFFFFF" w:themeFill="background1"/>
          </w:tcPr>
          <w:p w14:paraId="2F81BF80" w14:textId="684D9812" w:rsidR="0095013E" w:rsidRPr="00BC5E3A" w:rsidRDefault="008F63DE" w:rsidP="00680F7B">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rPr>
            </w:pPr>
            <w:r w:rsidRPr="00BC5E3A">
              <w:rPr>
                <w:rFonts w:asciiTheme="majorBidi" w:hAnsiTheme="majorBidi" w:cstheme="majorBidi"/>
                <w:color w:val="auto"/>
                <w:sz w:val="20"/>
              </w:rPr>
              <w:t>0.04</w:t>
            </w:r>
          </w:p>
        </w:tc>
      </w:tr>
      <w:tr w:rsidR="00BC5E3A" w:rsidRPr="00BC5E3A" w14:paraId="51DFB36F" w14:textId="77777777" w:rsidTr="00372013">
        <w:trPr>
          <w:gridAfter w:val="1"/>
          <w:wAfter w:w="116" w:type="dxa"/>
          <w:jc w:val="center"/>
        </w:trPr>
        <w:tc>
          <w:tcPr>
            <w:cnfStyle w:val="001000000000" w:firstRow="0" w:lastRow="0" w:firstColumn="1" w:lastColumn="0" w:oddVBand="0" w:evenVBand="0" w:oddHBand="0" w:evenHBand="0" w:firstRowFirstColumn="0" w:firstRowLastColumn="0" w:lastRowFirstColumn="0" w:lastRowLastColumn="0"/>
            <w:tcW w:w="3737" w:type="dxa"/>
            <w:gridSpan w:val="2"/>
            <w:shd w:val="clear" w:color="auto" w:fill="FFFFFF" w:themeFill="background1"/>
          </w:tcPr>
          <w:p w14:paraId="4BD21CAD" w14:textId="6C80E9A4" w:rsidR="0095013E" w:rsidRPr="00BC5E3A" w:rsidRDefault="0095013E" w:rsidP="001C70DF">
            <w:pPr>
              <w:spacing w:line="276" w:lineRule="auto"/>
              <w:rPr>
                <w:rFonts w:asciiTheme="majorBidi" w:hAnsiTheme="majorBidi" w:cstheme="majorBidi"/>
                <w:b w:val="0"/>
                <w:bCs w:val="0"/>
                <w:color w:val="auto"/>
                <w:sz w:val="20"/>
              </w:rPr>
            </w:pPr>
            <w:r w:rsidRPr="00BC5E3A">
              <w:rPr>
                <w:rFonts w:asciiTheme="majorBidi" w:hAnsiTheme="majorBidi" w:cstheme="majorBidi"/>
                <w:b w:val="0"/>
                <w:bCs w:val="0"/>
                <w:color w:val="auto"/>
                <w:sz w:val="20"/>
              </w:rPr>
              <w:t>Dynamic viscosity</w:t>
            </w:r>
            <w:r w:rsidR="00266941" w:rsidRPr="00BC5E3A">
              <w:rPr>
                <w:rFonts w:asciiTheme="majorBidi" w:hAnsiTheme="majorBidi" w:cstheme="majorBidi"/>
                <w:b w:val="0"/>
                <w:bCs w:val="0"/>
                <w:color w:val="auto"/>
                <w:sz w:val="20"/>
              </w:rPr>
              <w:t xml:space="preserve"> </w:t>
            </w:r>
            <m:oMath>
              <m:sSub>
                <m:sSubPr>
                  <m:ctrlPr>
                    <w:rPr>
                      <w:rFonts w:ascii="Cambria Math" w:eastAsia="Calibri" w:hAnsi="Cambria Math" w:cstheme="majorBidi"/>
                      <w:b w:val="0"/>
                      <w:bCs w:val="0"/>
                      <w:i/>
                      <w:color w:val="auto"/>
                      <w:sz w:val="20"/>
                      <w:lang w:bidi="ar-LB"/>
                    </w:rPr>
                  </m:ctrlPr>
                </m:sSubPr>
                <m:e>
                  <m:r>
                    <m:rPr>
                      <m:sty m:val="bi"/>
                    </m:rPr>
                    <w:rPr>
                      <w:rFonts w:ascii="Cambria Math" w:hAnsi="Cambria Math" w:cstheme="majorBidi"/>
                      <w:color w:val="auto"/>
                      <w:sz w:val="20"/>
                      <w:lang w:bidi="ar-LB"/>
                    </w:rPr>
                    <m:t>μ</m:t>
                  </m:r>
                </m:e>
                <m:sub>
                  <m:r>
                    <m:rPr>
                      <m:sty m:val="bi"/>
                    </m:rPr>
                    <w:rPr>
                      <w:rFonts w:ascii="Cambria Math" w:hAnsi="Cambria Math" w:cstheme="majorBidi"/>
                      <w:color w:val="auto"/>
                      <w:sz w:val="20"/>
                      <w:lang w:bidi="ar-LB"/>
                    </w:rPr>
                    <m:t>f</m:t>
                  </m:r>
                </m:sub>
              </m:sSub>
              <m:r>
                <m:rPr>
                  <m:sty m:val="b"/>
                </m:rPr>
                <w:rPr>
                  <w:rFonts w:ascii="Cambria Math" w:hAnsi="Cambria Math" w:cstheme="majorBidi"/>
                  <w:color w:val="auto"/>
                  <w:sz w:val="20"/>
                </w:rPr>
                <m:t>[Pa s]</m:t>
              </m:r>
            </m:oMath>
            <w:r w:rsidR="007327D1" w:rsidRPr="00BC5E3A">
              <w:rPr>
                <w:rFonts w:asciiTheme="majorBidi" w:hAnsiTheme="majorBidi" w:cstheme="majorBidi"/>
                <w:b w:val="0"/>
                <w:bCs w:val="0"/>
                <w:color w:val="auto"/>
                <w:sz w:val="20"/>
              </w:rPr>
              <w:t>, 300°C</w:t>
            </w:r>
          </w:p>
        </w:tc>
        <w:tc>
          <w:tcPr>
            <w:tcW w:w="1587" w:type="dxa"/>
            <w:gridSpan w:val="2"/>
            <w:shd w:val="clear" w:color="auto" w:fill="FFFFFF" w:themeFill="background1"/>
          </w:tcPr>
          <w:p w14:paraId="56A30844" w14:textId="049466D2" w:rsidR="0095013E" w:rsidRPr="00BC5E3A" w:rsidRDefault="00523859" w:rsidP="00680F7B">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rPr>
            </w:pPr>
            <w:r w:rsidRPr="00BC5E3A">
              <w:rPr>
                <w:rFonts w:asciiTheme="majorBidi" w:hAnsiTheme="majorBidi" w:cstheme="majorBidi"/>
                <w:color w:val="auto"/>
                <w:sz w:val="20"/>
              </w:rPr>
              <w:t>2.9</w:t>
            </w:r>
            <w:r w:rsidR="00746F1D" w:rsidRPr="00BC5E3A">
              <w:rPr>
                <w:rFonts w:asciiTheme="majorBidi" w:hAnsiTheme="majorBidi" w:cstheme="majorBidi"/>
                <w:color w:val="auto"/>
                <w:sz w:val="20"/>
              </w:rPr>
              <w:t>2</w:t>
            </w:r>
            <w:r w:rsidR="0095013E" w:rsidRPr="00BC5E3A">
              <w:rPr>
                <w:rFonts w:asciiTheme="majorBidi" w:hAnsiTheme="majorBidi" w:cstheme="majorBidi"/>
                <w:color w:val="auto"/>
                <w:sz w:val="20"/>
              </w:rPr>
              <w:t xml:space="preserve"> 10</w:t>
            </w:r>
            <w:r w:rsidR="0095013E" w:rsidRPr="00BC5E3A">
              <w:rPr>
                <w:rFonts w:asciiTheme="majorBidi" w:hAnsiTheme="majorBidi" w:cstheme="majorBidi"/>
                <w:color w:val="auto"/>
                <w:sz w:val="20"/>
                <w:vertAlign w:val="superscript"/>
              </w:rPr>
              <w:t>-5</w:t>
            </w:r>
          </w:p>
        </w:tc>
        <w:tc>
          <w:tcPr>
            <w:tcW w:w="1587" w:type="dxa"/>
            <w:shd w:val="clear" w:color="auto" w:fill="FFFFFF" w:themeFill="background1"/>
          </w:tcPr>
          <w:p w14:paraId="4780F65D" w14:textId="733F6E6B" w:rsidR="0095013E" w:rsidRPr="00BC5E3A" w:rsidRDefault="006E13F4" w:rsidP="00680F7B">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rPr>
            </w:pPr>
            <w:r w:rsidRPr="00BC5E3A">
              <w:rPr>
                <w:rFonts w:asciiTheme="majorBidi" w:hAnsiTheme="majorBidi" w:cstheme="majorBidi"/>
                <w:color w:val="auto"/>
                <w:sz w:val="20"/>
              </w:rPr>
              <w:t>3.07</w:t>
            </w:r>
            <w:r w:rsidR="0095013E" w:rsidRPr="00BC5E3A">
              <w:rPr>
                <w:rFonts w:asciiTheme="majorBidi" w:hAnsiTheme="majorBidi" w:cstheme="majorBidi"/>
                <w:color w:val="auto"/>
                <w:sz w:val="20"/>
              </w:rPr>
              <w:t xml:space="preserve"> 10</w:t>
            </w:r>
            <w:r w:rsidR="0095013E" w:rsidRPr="00BC5E3A">
              <w:rPr>
                <w:rFonts w:asciiTheme="majorBidi" w:hAnsiTheme="majorBidi" w:cstheme="majorBidi"/>
                <w:color w:val="auto"/>
                <w:sz w:val="20"/>
                <w:vertAlign w:val="superscript"/>
              </w:rPr>
              <w:t>-3</w:t>
            </w:r>
          </w:p>
        </w:tc>
        <w:tc>
          <w:tcPr>
            <w:tcW w:w="1648" w:type="dxa"/>
            <w:gridSpan w:val="3"/>
            <w:shd w:val="clear" w:color="auto" w:fill="FFFFFF" w:themeFill="background1"/>
          </w:tcPr>
          <w:p w14:paraId="39782993" w14:textId="12C1FDB2" w:rsidR="0095013E" w:rsidRPr="00BC5E3A" w:rsidRDefault="008F63DE" w:rsidP="00680F7B">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rPr>
            </w:pPr>
            <w:r w:rsidRPr="00BC5E3A">
              <w:rPr>
                <w:rFonts w:asciiTheme="majorBidi" w:hAnsiTheme="majorBidi" w:cstheme="majorBidi"/>
                <w:color w:val="auto"/>
                <w:sz w:val="20"/>
              </w:rPr>
              <w:t>2.36</w:t>
            </w:r>
            <w:r w:rsidR="0095013E" w:rsidRPr="00BC5E3A">
              <w:rPr>
                <w:rFonts w:asciiTheme="majorBidi" w:hAnsiTheme="majorBidi" w:cstheme="majorBidi"/>
                <w:color w:val="auto"/>
                <w:sz w:val="20"/>
              </w:rPr>
              <w:t xml:space="preserve"> 10</w:t>
            </w:r>
            <w:r w:rsidR="0095013E" w:rsidRPr="00BC5E3A">
              <w:rPr>
                <w:rFonts w:asciiTheme="majorBidi" w:hAnsiTheme="majorBidi" w:cstheme="majorBidi"/>
                <w:color w:val="auto"/>
                <w:sz w:val="20"/>
                <w:vertAlign w:val="superscript"/>
              </w:rPr>
              <w:t>-</w:t>
            </w:r>
            <w:r w:rsidRPr="00BC5E3A">
              <w:rPr>
                <w:rFonts w:asciiTheme="majorBidi" w:hAnsiTheme="majorBidi" w:cstheme="majorBidi"/>
                <w:color w:val="auto"/>
                <w:sz w:val="20"/>
                <w:vertAlign w:val="superscript"/>
              </w:rPr>
              <w:t>4</w:t>
            </w:r>
          </w:p>
        </w:tc>
      </w:tr>
      <w:tr w:rsidR="00BC5E3A" w:rsidRPr="00BC5E3A" w14:paraId="7EFC6AE2" w14:textId="77777777" w:rsidTr="00AC3409">
        <w:trPr>
          <w:gridAfter w:val="1"/>
          <w:cnfStyle w:val="000000100000" w:firstRow="0" w:lastRow="0" w:firstColumn="0" w:lastColumn="0" w:oddVBand="0" w:evenVBand="0" w:oddHBand="1" w:evenHBand="0" w:firstRowFirstColumn="0" w:firstRowLastColumn="0" w:lastRowFirstColumn="0" w:lastRowLastColumn="0"/>
          <w:wAfter w:w="116" w:type="dxa"/>
          <w:jc w:val="center"/>
        </w:trPr>
        <w:tc>
          <w:tcPr>
            <w:cnfStyle w:val="001000000000" w:firstRow="0" w:lastRow="0" w:firstColumn="1" w:lastColumn="0" w:oddVBand="0" w:evenVBand="0" w:oddHBand="0" w:evenHBand="0" w:firstRowFirstColumn="0" w:firstRowLastColumn="0" w:lastRowFirstColumn="0" w:lastRowLastColumn="0"/>
            <w:tcW w:w="3737" w:type="dxa"/>
            <w:gridSpan w:val="2"/>
            <w:tcBorders>
              <w:bottom w:val="single" w:sz="6" w:space="0" w:color="auto"/>
            </w:tcBorders>
            <w:shd w:val="clear" w:color="auto" w:fill="FFFFFF" w:themeFill="background1"/>
          </w:tcPr>
          <w:p w14:paraId="0DF38AA9" w14:textId="4FB9D83A" w:rsidR="0095013E" w:rsidRPr="00BC5E3A" w:rsidRDefault="0095013E" w:rsidP="00680F7B">
            <w:pPr>
              <w:spacing w:line="276" w:lineRule="auto"/>
              <w:rPr>
                <w:rFonts w:asciiTheme="majorBidi" w:hAnsiTheme="majorBidi" w:cstheme="majorBidi"/>
                <w:b w:val="0"/>
                <w:bCs w:val="0"/>
                <w:color w:val="auto"/>
                <w:sz w:val="20"/>
              </w:rPr>
            </w:pPr>
            <w:r w:rsidRPr="00BC5E3A">
              <w:rPr>
                <w:rFonts w:asciiTheme="majorBidi" w:hAnsiTheme="majorBidi" w:cstheme="majorBidi"/>
                <w:b w:val="0"/>
                <w:bCs w:val="0"/>
                <w:color w:val="auto"/>
                <w:sz w:val="20"/>
              </w:rPr>
              <w:t xml:space="preserve"> T</w:t>
            </w:r>
            <w:r w:rsidRPr="00BC5E3A">
              <w:rPr>
                <w:rFonts w:asciiTheme="majorBidi" w:hAnsiTheme="majorBidi" w:cstheme="majorBidi"/>
                <w:b w:val="0"/>
                <w:bCs w:val="0"/>
                <w:color w:val="auto"/>
                <w:sz w:val="20"/>
                <w:vertAlign w:val="subscript"/>
              </w:rPr>
              <w:t>max</w:t>
            </w:r>
            <w:r w:rsidRPr="00BC5E3A">
              <w:rPr>
                <w:rFonts w:asciiTheme="majorBidi" w:hAnsiTheme="majorBidi" w:cstheme="majorBidi"/>
                <w:b w:val="0"/>
                <w:bCs w:val="0"/>
                <w:color w:val="auto"/>
                <w:sz w:val="20"/>
              </w:rPr>
              <w:t>-T</w:t>
            </w:r>
            <w:r w:rsidRPr="00BC5E3A">
              <w:rPr>
                <w:rFonts w:asciiTheme="majorBidi" w:hAnsiTheme="majorBidi" w:cstheme="majorBidi"/>
                <w:b w:val="0"/>
                <w:bCs w:val="0"/>
                <w:color w:val="auto"/>
                <w:sz w:val="20"/>
                <w:vertAlign w:val="subscript"/>
              </w:rPr>
              <w:t xml:space="preserve">min  </w:t>
            </w:r>
            <w:r w:rsidRPr="00BC5E3A">
              <w:rPr>
                <w:rFonts w:asciiTheme="majorBidi" w:hAnsiTheme="majorBidi" w:cstheme="majorBidi"/>
                <w:b w:val="0"/>
                <w:bCs w:val="0"/>
                <w:color w:val="auto"/>
                <w:sz w:val="20"/>
              </w:rPr>
              <w:t>[°C]</w:t>
            </w:r>
            <w:r w:rsidR="007929B6" w:rsidRPr="00BC5E3A">
              <w:rPr>
                <w:rFonts w:asciiTheme="majorBidi" w:hAnsiTheme="majorBidi" w:cstheme="majorBidi"/>
                <w:b w:val="0"/>
                <w:bCs w:val="0"/>
                <w:color w:val="auto"/>
                <w:sz w:val="20"/>
              </w:rPr>
              <w:t xml:space="preserve"> </w:t>
            </w:r>
            <w:r w:rsidR="007929B6" w:rsidRPr="00BC5E3A">
              <w:rPr>
                <w:rFonts w:asciiTheme="majorBidi" w:hAnsiTheme="majorBidi" w:cstheme="majorBidi"/>
                <w:b w:val="0"/>
                <w:color w:val="auto"/>
                <w:sz w:val="18"/>
                <w:szCs w:val="18"/>
              </w:rPr>
              <w:t>[</w:t>
            </w:r>
            <w:r w:rsidR="00A04F44" w:rsidRPr="00BC5E3A">
              <w:rPr>
                <w:rFonts w:asciiTheme="majorBidi" w:hAnsiTheme="majorBidi" w:cstheme="majorBidi"/>
                <w:b w:val="0"/>
                <w:color w:val="auto"/>
                <w:sz w:val="18"/>
                <w:szCs w:val="18"/>
              </w:rPr>
              <w:t>20</w:t>
            </w:r>
            <w:r w:rsidR="007929B6" w:rsidRPr="00BC5E3A">
              <w:rPr>
                <w:rFonts w:asciiTheme="majorBidi" w:hAnsiTheme="majorBidi" w:cstheme="majorBidi"/>
                <w:b w:val="0"/>
                <w:color w:val="auto"/>
                <w:sz w:val="18"/>
                <w:szCs w:val="18"/>
              </w:rPr>
              <w:t>]</w:t>
            </w:r>
          </w:p>
        </w:tc>
        <w:tc>
          <w:tcPr>
            <w:tcW w:w="1587" w:type="dxa"/>
            <w:gridSpan w:val="2"/>
            <w:tcBorders>
              <w:bottom w:val="single" w:sz="6" w:space="0" w:color="auto"/>
            </w:tcBorders>
            <w:shd w:val="clear" w:color="auto" w:fill="FFFFFF" w:themeFill="background1"/>
          </w:tcPr>
          <w:p w14:paraId="531B26FF" w14:textId="77777777" w:rsidR="0095013E" w:rsidRPr="00BC5E3A" w:rsidRDefault="0095013E" w:rsidP="00680F7B">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rPr>
            </w:pPr>
            <w:r w:rsidRPr="00BC5E3A">
              <w:rPr>
                <w:rFonts w:asciiTheme="majorBidi" w:hAnsiTheme="majorBidi" w:cstheme="majorBidi"/>
                <w:color w:val="auto"/>
                <w:sz w:val="20"/>
              </w:rPr>
              <w:t>20-650</w:t>
            </w:r>
          </w:p>
        </w:tc>
        <w:tc>
          <w:tcPr>
            <w:tcW w:w="1587" w:type="dxa"/>
            <w:tcBorders>
              <w:bottom w:val="single" w:sz="6" w:space="0" w:color="auto"/>
            </w:tcBorders>
            <w:shd w:val="clear" w:color="auto" w:fill="FFFFFF" w:themeFill="background1"/>
          </w:tcPr>
          <w:p w14:paraId="53B3E7EA" w14:textId="77777777" w:rsidR="0095013E" w:rsidRPr="00BC5E3A" w:rsidRDefault="0095013E" w:rsidP="00680F7B">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rPr>
            </w:pPr>
            <w:r w:rsidRPr="00BC5E3A">
              <w:rPr>
                <w:rFonts w:asciiTheme="majorBidi" w:hAnsiTheme="majorBidi" w:cstheme="majorBidi"/>
                <w:color w:val="auto"/>
                <w:sz w:val="20"/>
              </w:rPr>
              <w:t>220-600</w:t>
            </w:r>
          </w:p>
        </w:tc>
        <w:tc>
          <w:tcPr>
            <w:tcW w:w="1648" w:type="dxa"/>
            <w:gridSpan w:val="3"/>
            <w:tcBorders>
              <w:bottom w:val="single" w:sz="6" w:space="0" w:color="auto"/>
            </w:tcBorders>
            <w:shd w:val="clear" w:color="auto" w:fill="FFFFFF" w:themeFill="background1"/>
          </w:tcPr>
          <w:p w14:paraId="37D4EFB3" w14:textId="77777777" w:rsidR="0095013E" w:rsidRPr="00BC5E3A" w:rsidRDefault="0095013E" w:rsidP="00680F7B">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rPr>
            </w:pPr>
            <w:r w:rsidRPr="00BC5E3A">
              <w:rPr>
                <w:rFonts w:asciiTheme="majorBidi" w:hAnsiTheme="majorBidi" w:cstheme="majorBidi"/>
                <w:color w:val="auto"/>
                <w:sz w:val="20"/>
              </w:rPr>
              <w:t>12-400</w:t>
            </w:r>
          </w:p>
        </w:tc>
      </w:tr>
      <w:tr w:rsidR="00BC5E3A" w:rsidRPr="00BC5E3A" w14:paraId="24C3900A" w14:textId="77777777" w:rsidTr="00A956EC">
        <w:trPr>
          <w:jc w:val="center"/>
        </w:trPr>
        <w:tc>
          <w:tcPr>
            <w:cnfStyle w:val="001000000000" w:firstRow="0" w:lastRow="0" w:firstColumn="1" w:lastColumn="0" w:oddVBand="0" w:evenVBand="0" w:oddHBand="0" w:evenHBand="0" w:firstRowFirstColumn="0" w:firstRowLastColumn="0" w:lastRowFirstColumn="0" w:lastRowLastColumn="0"/>
            <w:tcW w:w="8675" w:type="dxa"/>
            <w:gridSpan w:val="9"/>
            <w:tcBorders>
              <w:top w:val="single" w:sz="6" w:space="0" w:color="auto"/>
              <w:bottom w:val="single" w:sz="6" w:space="0" w:color="auto"/>
            </w:tcBorders>
            <w:shd w:val="clear" w:color="auto" w:fill="FFFFFF" w:themeFill="background1"/>
          </w:tcPr>
          <w:p w14:paraId="7F456869" w14:textId="3D01EF11" w:rsidR="0095013E" w:rsidRPr="00BC5E3A" w:rsidRDefault="0095013E" w:rsidP="005D4888">
            <w:pPr>
              <w:pStyle w:val="NormalWeb"/>
              <w:tabs>
                <w:tab w:val="left" w:pos="2730"/>
                <w:tab w:val="center" w:pos="3747"/>
              </w:tabs>
              <w:spacing w:line="276" w:lineRule="auto"/>
              <w:jc w:val="center"/>
              <w:rPr>
                <w:rFonts w:asciiTheme="majorBidi" w:hAnsiTheme="majorBidi" w:cstheme="majorBidi"/>
                <w:color w:val="auto"/>
                <w:sz w:val="18"/>
                <w:szCs w:val="18"/>
              </w:rPr>
            </w:pPr>
            <w:r w:rsidRPr="00BC5E3A">
              <w:rPr>
                <w:rFonts w:asciiTheme="majorBidi" w:hAnsiTheme="majorBidi" w:cstheme="majorBidi"/>
                <w:color w:val="auto"/>
                <w:sz w:val="18"/>
                <w:szCs w:val="18"/>
              </w:rPr>
              <w:t>Simulation parameters</w:t>
            </w:r>
          </w:p>
        </w:tc>
      </w:tr>
      <w:tr w:rsidR="00BC5E3A" w:rsidRPr="00BC5E3A" w14:paraId="0A8B481C" w14:textId="77777777" w:rsidTr="00010B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72" w:type="dxa"/>
            <w:tcBorders>
              <w:top w:val="single" w:sz="6" w:space="0" w:color="auto"/>
            </w:tcBorders>
            <w:shd w:val="clear" w:color="auto" w:fill="FFFFFF" w:themeFill="background1"/>
          </w:tcPr>
          <w:p w14:paraId="7D7987E7" w14:textId="77777777" w:rsidR="0095013E" w:rsidRPr="00BC5E3A" w:rsidRDefault="0095013E" w:rsidP="00680F7B">
            <w:pPr>
              <w:spacing w:line="276" w:lineRule="auto"/>
              <w:rPr>
                <w:rFonts w:asciiTheme="majorBidi" w:hAnsiTheme="majorBidi" w:cstheme="majorBidi"/>
                <w:b w:val="0"/>
                <w:bCs w:val="0"/>
                <w:color w:val="auto"/>
                <w:sz w:val="20"/>
              </w:rPr>
            </w:pPr>
            <w:r w:rsidRPr="00BC5E3A">
              <w:rPr>
                <w:rFonts w:asciiTheme="majorBidi" w:hAnsiTheme="majorBidi" w:cstheme="majorBidi"/>
                <w:b w:val="0"/>
                <w:bCs w:val="0"/>
                <w:color w:val="auto"/>
                <w:sz w:val="20"/>
              </w:rPr>
              <w:t>Input power [W]</w:t>
            </w:r>
          </w:p>
        </w:tc>
        <w:tc>
          <w:tcPr>
            <w:tcW w:w="1701" w:type="dxa"/>
            <w:gridSpan w:val="2"/>
            <w:tcBorders>
              <w:top w:val="single" w:sz="6" w:space="0" w:color="auto"/>
            </w:tcBorders>
            <w:shd w:val="clear" w:color="auto" w:fill="FFFFFF" w:themeFill="background1"/>
          </w:tcPr>
          <w:p w14:paraId="3A5F9291" w14:textId="77777777" w:rsidR="0095013E" w:rsidRPr="00BC5E3A" w:rsidRDefault="0095013E" w:rsidP="00680F7B">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rPr>
            </w:pPr>
            <w:r w:rsidRPr="00BC5E3A">
              <w:rPr>
                <w:rFonts w:asciiTheme="majorBidi" w:hAnsiTheme="majorBidi" w:cstheme="majorBidi"/>
                <w:color w:val="auto"/>
                <w:sz w:val="20"/>
              </w:rPr>
              <w:t>2500</w:t>
            </w:r>
          </w:p>
        </w:tc>
        <w:tc>
          <w:tcPr>
            <w:tcW w:w="1701" w:type="dxa"/>
            <w:gridSpan w:val="3"/>
            <w:tcBorders>
              <w:top w:val="single" w:sz="6" w:space="0" w:color="auto"/>
            </w:tcBorders>
            <w:shd w:val="clear" w:color="auto" w:fill="FFFFFF" w:themeFill="background1"/>
          </w:tcPr>
          <w:p w14:paraId="7F86A302" w14:textId="77777777" w:rsidR="0095013E" w:rsidRPr="00BC5E3A" w:rsidRDefault="0095013E" w:rsidP="00680F7B">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rPr>
            </w:pPr>
            <w:r w:rsidRPr="00BC5E3A">
              <w:rPr>
                <w:rFonts w:asciiTheme="majorBidi" w:hAnsiTheme="majorBidi" w:cstheme="majorBidi"/>
                <w:color w:val="auto"/>
                <w:sz w:val="20"/>
              </w:rPr>
              <w:t>2500</w:t>
            </w:r>
          </w:p>
        </w:tc>
        <w:tc>
          <w:tcPr>
            <w:tcW w:w="1701" w:type="dxa"/>
            <w:gridSpan w:val="3"/>
            <w:tcBorders>
              <w:top w:val="single" w:sz="6" w:space="0" w:color="auto"/>
            </w:tcBorders>
            <w:shd w:val="clear" w:color="auto" w:fill="FFFFFF" w:themeFill="background1"/>
          </w:tcPr>
          <w:p w14:paraId="6B2877DD" w14:textId="77777777" w:rsidR="0095013E" w:rsidRPr="00BC5E3A" w:rsidRDefault="0095013E" w:rsidP="00680F7B">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rPr>
            </w:pPr>
            <w:r w:rsidRPr="00BC5E3A">
              <w:rPr>
                <w:rFonts w:asciiTheme="majorBidi" w:hAnsiTheme="majorBidi" w:cstheme="majorBidi"/>
                <w:color w:val="auto"/>
                <w:sz w:val="20"/>
              </w:rPr>
              <w:t>2500</w:t>
            </w:r>
          </w:p>
        </w:tc>
      </w:tr>
      <w:tr w:rsidR="00BC5E3A" w:rsidRPr="00BC5E3A" w14:paraId="6FFFCECD" w14:textId="77777777" w:rsidTr="00372013">
        <w:trPr>
          <w:jc w:val="center"/>
        </w:trPr>
        <w:tc>
          <w:tcPr>
            <w:cnfStyle w:val="001000000000" w:firstRow="0" w:lastRow="0" w:firstColumn="1" w:lastColumn="0" w:oddVBand="0" w:evenVBand="0" w:oddHBand="0" w:evenHBand="0" w:firstRowFirstColumn="0" w:firstRowLastColumn="0" w:lastRowFirstColumn="0" w:lastRowLastColumn="0"/>
            <w:tcW w:w="3572" w:type="dxa"/>
            <w:shd w:val="clear" w:color="auto" w:fill="FFFFFF" w:themeFill="background1"/>
          </w:tcPr>
          <w:p w14:paraId="1C5A002A" w14:textId="77777777" w:rsidR="0095013E" w:rsidRPr="00BC5E3A" w:rsidRDefault="0095013E" w:rsidP="00680F7B">
            <w:pPr>
              <w:spacing w:line="276" w:lineRule="auto"/>
              <w:rPr>
                <w:rFonts w:asciiTheme="majorBidi" w:hAnsiTheme="majorBidi" w:cstheme="majorBidi"/>
                <w:b w:val="0"/>
                <w:bCs w:val="0"/>
                <w:color w:val="auto"/>
                <w:sz w:val="20"/>
              </w:rPr>
            </w:pPr>
            <w:r w:rsidRPr="00BC5E3A">
              <w:rPr>
                <w:rFonts w:asciiTheme="majorBidi" w:hAnsiTheme="majorBidi" w:cstheme="majorBidi"/>
                <w:b w:val="0"/>
                <w:bCs w:val="0"/>
                <w:color w:val="auto"/>
                <w:sz w:val="20"/>
              </w:rPr>
              <w:t>Mass flow [kg/s m</w:t>
            </w:r>
            <w:r w:rsidRPr="00BC5E3A">
              <w:rPr>
                <w:rFonts w:asciiTheme="majorBidi" w:hAnsiTheme="majorBidi" w:cstheme="majorBidi"/>
                <w:b w:val="0"/>
                <w:bCs w:val="0"/>
                <w:color w:val="auto"/>
                <w:sz w:val="20"/>
                <w:vertAlign w:val="superscript"/>
              </w:rPr>
              <w:t>2</w:t>
            </w:r>
            <w:r w:rsidRPr="00BC5E3A">
              <w:rPr>
                <w:rFonts w:asciiTheme="majorBidi" w:hAnsiTheme="majorBidi" w:cstheme="majorBidi"/>
                <w:b w:val="0"/>
                <w:bCs w:val="0"/>
                <w:color w:val="auto"/>
                <w:sz w:val="20"/>
              </w:rPr>
              <w:t>]</w:t>
            </w:r>
          </w:p>
        </w:tc>
        <w:tc>
          <w:tcPr>
            <w:tcW w:w="1701" w:type="dxa"/>
            <w:gridSpan w:val="2"/>
            <w:shd w:val="clear" w:color="auto" w:fill="FFFFFF" w:themeFill="background1"/>
          </w:tcPr>
          <w:p w14:paraId="43C50241" w14:textId="77777777" w:rsidR="0095013E" w:rsidRPr="00BC5E3A" w:rsidRDefault="0095013E" w:rsidP="00680F7B">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rPr>
            </w:pPr>
            <w:r w:rsidRPr="00BC5E3A">
              <w:rPr>
                <w:rFonts w:asciiTheme="majorBidi" w:hAnsiTheme="majorBidi" w:cstheme="majorBidi"/>
                <w:color w:val="auto"/>
                <w:sz w:val="20"/>
              </w:rPr>
              <w:t>0.215</w:t>
            </w:r>
          </w:p>
        </w:tc>
        <w:tc>
          <w:tcPr>
            <w:tcW w:w="1701" w:type="dxa"/>
            <w:gridSpan w:val="3"/>
            <w:shd w:val="clear" w:color="auto" w:fill="FFFFFF" w:themeFill="background1"/>
          </w:tcPr>
          <w:p w14:paraId="77F45DE3" w14:textId="77777777" w:rsidR="0095013E" w:rsidRPr="00BC5E3A" w:rsidRDefault="0095013E" w:rsidP="00680F7B">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rPr>
            </w:pPr>
            <w:r w:rsidRPr="00BC5E3A">
              <w:rPr>
                <w:rFonts w:asciiTheme="majorBidi" w:hAnsiTheme="majorBidi" w:cstheme="majorBidi"/>
                <w:color w:val="auto"/>
                <w:sz w:val="20"/>
              </w:rPr>
              <w:t>0.253</w:t>
            </w:r>
          </w:p>
        </w:tc>
        <w:tc>
          <w:tcPr>
            <w:tcW w:w="1701" w:type="dxa"/>
            <w:gridSpan w:val="3"/>
            <w:shd w:val="clear" w:color="auto" w:fill="FFFFFF" w:themeFill="background1"/>
          </w:tcPr>
          <w:p w14:paraId="74C2CB57" w14:textId="77777777" w:rsidR="0095013E" w:rsidRPr="00BC5E3A" w:rsidRDefault="0095013E" w:rsidP="00680F7B">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rPr>
            </w:pPr>
            <w:r w:rsidRPr="00BC5E3A">
              <w:rPr>
                <w:rFonts w:asciiTheme="majorBidi" w:hAnsiTheme="majorBidi" w:cstheme="majorBidi"/>
                <w:color w:val="auto"/>
                <w:sz w:val="20"/>
              </w:rPr>
              <w:t>0.184</w:t>
            </w:r>
          </w:p>
        </w:tc>
      </w:tr>
      <w:tr w:rsidR="00BC5E3A" w:rsidRPr="00BC5E3A" w14:paraId="1A3AB079" w14:textId="77777777" w:rsidTr="003720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72" w:type="dxa"/>
            <w:shd w:val="clear" w:color="auto" w:fill="FFFFFF" w:themeFill="background1"/>
          </w:tcPr>
          <w:p w14:paraId="43AD749A" w14:textId="77777777" w:rsidR="0095013E" w:rsidRPr="00BC5E3A" w:rsidRDefault="0095013E" w:rsidP="00680F7B">
            <w:pPr>
              <w:spacing w:line="276" w:lineRule="auto"/>
              <w:rPr>
                <w:rFonts w:asciiTheme="majorBidi" w:hAnsiTheme="majorBidi" w:cstheme="majorBidi"/>
                <w:b w:val="0"/>
                <w:bCs w:val="0"/>
                <w:color w:val="auto"/>
                <w:sz w:val="20"/>
              </w:rPr>
            </w:pPr>
            <w:r w:rsidRPr="00BC5E3A">
              <w:rPr>
                <w:rFonts w:asciiTheme="majorBidi" w:hAnsiTheme="majorBidi" w:cstheme="majorBidi"/>
                <w:b w:val="0"/>
                <w:bCs w:val="0"/>
                <w:color w:val="auto"/>
                <w:sz w:val="20"/>
              </w:rPr>
              <w:t>T</w:t>
            </w:r>
            <w:r w:rsidRPr="00BC5E3A">
              <w:rPr>
                <w:rFonts w:asciiTheme="majorBidi" w:hAnsiTheme="majorBidi" w:cstheme="majorBidi"/>
                <w:b w:val="0"/>
                <w:bCs w:val="0"/>
                <w:color w:val="auto"/>
                <w:sz w:val="20"/>
                <w:vertAlign w:val="subscript"/>
              </w:rPr>
              <w:t>max</w:t>
            </w:r>
            <w:r w:rsidRPr="00BC5E3A">
              <w:rPr>
                <w:rFonts w:asciiTheme="majorBidi" w:hAnsiTheme="majorBidi" w:cstheme="majorBidi"/>
                <w:b w:val="0"/>
                <w:bCs w:val="0"/>
                <w:color w:val="auto"/>
                <w:sz w:val="20"/>
              </w:rPr>
              <w:t>-T</w:t>
            </w:r>
            <w:r w:rsidRPr="00BC5E3A">
              <w:rPr>
                <w:rFonts w:asciiTheme="majorBidi" w:hAnsiTheme="majorBidi" w:cstheme="majorBidi"/>
                <w:b w:val="0"/>
                <w:bCs w:val="0"/>
                <w:color w:val="auto"/>
                <w:sz w:val="20"/>
                <w:vertAlign w:val="subscript"/>
              </w:rPr>
              <w:t xml:space="preserve">min </w:t>
            </w:r>
            <w:r w:rsidRPr="00BC5E3A">
              <w:rPr>
                <w:rFonts w:asciiTheme="majorBidi" w:hAnsiTheme="majorBidi" w:cstheme="majorBidi"/>
                <w:b w:val="0"/>
                <w:bCs w:val="0"/>
                <w:color w:val="auto"/>
                <w:sz w:val="20"/>
              </w:rPr>
              <w:t>[°C]</w:t>
            </w:r>
          </w:p>
        </w:tc>
        <w:tc>
          <w:tcPr>
            <w:tcW w:w="1701" w:type="dxa"/>
            <w:gridSpan w:val="2"/>
            <w:shd w:val="clear" w:color="auto" w:fill="FFFFFF" w:themeFill="background1"/>
          </w:tcPr>
          <w:p w14:paraId="705F0199" w14:textId="3EF843C7" w:rsidR="0095013E" w:rsidRPr="00BC5E3A" w:rsidRDefault="00E24092" w:rsidP="00E2409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rPr>
            </w:pPr>
            <w:r w:rsidRPr="00BC5E3A">
              <w:rPr>
                <w:rFonts w:asciiTheme="majorBidi" w:hAnsiTheme="majorBidi" w:cstheme="majorBidi"/>
                <w:color w:val="auto"/>
                <w:sz w:val="20"/>
              </w:rPr>
              <w:t>20-650</w:t>
            </w:r>
          </w:p>
        </w:tc>
        <w:tc>
          <w:tcPr>
            <w:tcW w:w="1701" w:type="dxa"/>
            <w:gridSpan w:val="3"/>
            <w:shd w:val="clear" w:color="auto" w:fill="FFFFFF" w:themeFill="background1"/>
          </w:tcPr>
          <w:p w14:paraId="07CD39A1" w14:textId="1892A798" w:rsidR="0095013E" w:rsidRPr="00BC5E3A" w:rsidRDefault="0095013E" w:rsidP="00680F7B">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rPr>
            </w:pPr>
            <w:r w:rsidRPr="00BC5E3A">
              <w:rPr>
                <w:rFonts w:asciiTheme="majorBidi" w:hAnsiTheme="majorBidi" w:cstheme="majorBidi"/>
                <w:color w:val="auto"/>
                <w:sz w:val="20"/>
              </w:rPr>
              <w:t>220</w:t>
            </w:r>
            <w:r w:rsidR="00E24092" w:rsidRPr="00BC5E3A">
              <w:rPr>
                <w:rFonts w:asciiTheme="majorBidi" w:hAnsiTheme="majorBidi" w:cstheme="majorBidi"/>
                <w:color w:val="auto"/>
                <w:sz w:val="20"/>
              </w:rPr>
              <w:t>-600</w:t>
            </w:r>
          </w:p>
        </w:tc>
        <w:tc>
          <w:tcPr>
            <w:tcW w:w="1701" w:type="dxa"/>
            <w:gridSpan w:val="3"/>
            <w:shd w:val="clear" w:color="auto" w:fill="FFFFFF" w:themeFill="background1"/>
          </w:tcPr>
          <w:p w14:paraId="67289074" w14:textId="78E4C09E" w:rsidR="0095013E" w:rsidRPr="00BC5E3A" w:rsidRDefault="00E24092" w:rsidP="00E2409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rPr>
            </w:pPr>
            <w:r w:rsidRPr="00BC5E3A">
              <w:rPr>
                <w:rFonts w:asciiTheme="majorBidi" w:hAnsiTheme="majorBidi" w:cstheme="majorBidi"/>
                <w:color w:val="auto"/>
                <w:sz w:val="20"/>
              </w:rPr>
              <w:t>20-400</w:t>
            </w:r>
          </w:p>
        </w:tc>
      </w:tr>
      <w:tr w:rsidR="00BC5E3A" w:rsidRPr="00BC5E3A" w14:paraId="3E7F27D0" w14:textId="77777777" w:rsidTr="00A05C7F">
        <w:trPr>
          <w:jc w:val="center"/>
        </w:trPr>
        <w:tc>
          <w:tcPr>
            <w:cnfStyle w:val="001000000000" w:firstRow="0" w:lastRow="0" w:firstColumn="1" w:lastColumn="0" w:oddVBand="0" w:evenVBand="0" w:oddHBand="0" w:evenHBand="0" w:firstRowFirstColumn="0" w:firstRowLastColumn="0" w:lastRowFirstColumn="0" w:lastRowLastColumn="0"/>
            <w:tcW w:w="3572" w:type="dxa"/>
            <w:shd w:val="clear" w:color="auto" w:fill="FFFFFF" w:themeFill="background1"/>
          </w:tcPr>
          <w:p w14:paraId="5890CEDF" w14:textId="77777777" w:rsidR="0095013E" w:rsidRPr="00BC5E3A" w:rsidRDefault="0095013E" w:rsidP="00680F7B">
            <w:pPr>
              <w:spacing w:line="276" w:lineRule="auto"/>
              <w:rPr>
                <w:rFonts w:asciiTheme="majorBidi" w:hAnsiTheme="majorBidi" w:cstheme="majorBidi"/>
                <w:b w:val="0"/>
                <w:bCs w:val="0"/>
                <w:color w:val="auto"/>
                <w:sz w:val="20"/>
              </w:rPr>
            </w:pPr>
            <w:r w:rsidRPr="00BC5E3A">
              <w:rPr>
                <w:rFonts w:asciiTheme="majorBidi" w:hAnsiTheme="majorBidi" w:cstheme="majorBidi"/>
                <w:b w:val="0"/>
                <w:bCs w:val="0"/>
                <w:color w:val="auto"/>
                <w:sz w:val="20"/>
              </w:rPr>
              <w:t>Charge–Discharge time [h]</w:t>
            </w:r>
          </w:p>
        </w:tc>
        <w:tc>
          <w:tcPr>
            <w:tcW w:w="1701" w:type="dxa"/>
            <w:gridSpan w:val="2"/>
            <w:shd w:val="clear" w:color="auto" w:fill="FFFFFF" w:themeFill="background1"/>
          </w:tcPr>
          <w:p w14:paraId="465D34B3" w14:textId="3A366571" w:rsidR="0095013E" w:rsidRPr="00BC5E3A" w:rsidRDefault="0095013E" w:rsidP="00680F7B">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rPr>
            </w:pPr>
            <w:r w:rsidRPr="00BC5E3A">
              <w:rPr>
                <w:rFonts w:asciiTheme="majorBidi" w:hAnsiTheme="majorBidi" w:cstheme="majorBidi"/>
                <w:color w:val="auto"/>
                <w:sz w:val="20"/>
              </w:rPr>
              <w:t>1.33</w:t>
            </w:r>
            <w:r w:rsidR="001934D0" w:rsidRPr="00BC5E3A">
              <w:rPr>
                <w:rFonts w:asciiTheme="majorBidi" w:hAnsiTheme="majorBidi" w:cstheme="majorBidi"/>
                <w:color w:val="auto"/>
                <w:sz w:val="20"/>
              </w:rPr>
              <w:t>3</w:t>
            </w:r>
          </w:p>
        </w:tc>
        <w:tc>
          <w:tcPr>
            <w:tcW w:w="1701" w:type="dxa"/>
            <w:gridSpan w:val="3"/>
            <w:shd w:val="clear" w:color="auto" w:fill="FFFFFF" w:themeFill="background1"/>
          </w:tcPr>
          <w:p w14:paraId="00BBA241" w14:textId="245081E0" w:rsidR="0095013E" w:rsidRPr="00BC5E3A" w:rsidRDefault="0095013E" w:rsidP="00680F7B">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rPr>
            </w:pPr>
            <w:r w:rsidRPr="00BC5E3A">
              <w:rPr>
                <w:rFonts w:asciiTheme="majorBidi" w:hAnsiTheme="majorBidi" w:cstheme="majorBidi"/>
                <w:color w:val="auto"/>
                <w:sz w:val="20"/>
              </w:rPr>
              <w:t>1.33</w:t>
            </w:r>
            <w:r w:rsidR="00482BA9" w:rsidRPr="00BC5E3A">
              <w:rPr>
                <w:rFonts w:asciiTheme="majorBidi" w:hAnsiTheme="majorBidi" w:cstheme="majorBidi"/>
                <w:color w:val="auto"/>
                <w:sz w:val="20"/>
              </w:rPr>
              <w:t>3</w:t>
            </w:r>
          </w:p>
        </w:tc>
        <w:tc>
          <w:tcPr>
            <w:tcW w:w="1701" w:type="dxa"/>
            <w:gridSpan w:val="3"/>
            <w:shd w:val="clear" w:color="auto" w:fill="FFFFFF" w:themeFill="background1"/>
          </w:tcPr>
          <w:p w14:paraId="394C4851" w14:textId="3F9322C0" w:rsidR="0095013E" w:rsidRPr="00BC5E3A" w:rsidRDefault="0095013E" w:rsidP="00680F7B">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rPr>
            </w:pPr>
            <w:r w:rsidRPr="00BC5E3A">
              <w:rPr>
                <w:rFonts w:asciiTheme="majorBidi" w:hAnsiTheme="majorBidi" w:cstheme="majorBidi"/>
                <w:color w:val="auto"/>
                <w:sz w:val="20"/>
              </w:rPr>
              <w:t>1.33</w:t>
            </w:r>
            <w:r w:rsidR="00482BA9" w:rsidRPr="00BC5E3A">
              <w:rPr>
                <w:rFonts w:asciiTheme="majorBidi" w:hAnsiTheme="majorBidi" w:cstheme="majorBidi"/>
                <w:color w:val="auto"/>
                <w:sz w:val="20"/>
              </w:rPr>
              <w:t>3</w:t>
            </w:r>
          </w:p>
        </w:tc>
      </w:tr>
      <w:tr w:rsidR="00BC5E3A" w:rsidRPr="00BC5E3A" w14:paraId="1E17E0CB" w14:textId="77777777" w:rsidTr="00937B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72" w:type="dxa"/>
            <w:shd w:val="clear" w:color="auto" w:fill="FFFFFF" w:themeFill="background1"/>
          </w:tcPr>
          <w:p w14:paraId="37D63859" w14:textId="48E48D0F" w:rsidR="00A05C7F" w:rsidRPr="00BC5E3A" w:rsidRDefault="00A05C7F" w:rsidP="00A05C7F">
            <w:pPr>
              <w:spacing w:line="276" w:lineRule="auto"/>
              <w:rPr>
                <w:rFonts w:asciiTheme="majorBidi" w:hAnsiTheme="majorBidi" w:cstheme="majorBidi"/>
                <w:b w:val="0"/>
                <w:bCs w:val="0"/>
                <w:color w:val="auto"/>
                <w:sz w:val="20"/>
              </w:rPr>
            </w:pPr>
            <w:r w:rsidRPr="00BC5E3A">
              <w:rPr>
                <w:rFonts w:asciiTheme="majorBidi" w:hAnsiTheme="majorBidi" w:cstheme="majorBidi"/>
                <w:b w:val="0"/>
                <w:bCs w:val="0"/>
                <w:color w:val="auto"/>
                <w:sz w:val="20"/>
              </w:rPr>
              <w:t>Operating pressure [Pa]</w:t>
            </w:r>
          </w:p>
        </w:tc>
        <w:tc>
          <w:tcPr>
            <w:tcW w:w="1701" w:type="dxa"/>
            <w:gridSpan w:val="2"/>
            <w:shd w:val="clear" w:color="auto" w:fill="FFFFFF" w:themeFill="background1"/>
          </w:tcPr>
          <w:p w14:paraId="303C80E8" w14:textId="45907042" w:rsidR="00A05C7F" w:rsidRPr="00BC5E3A" w:rsidRDefault="00140464" w:rsidP="00680F7B">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rPr>
            </w:pPr>
            <w:r w:rsidRPr="00BC5E3A">
              <w:rPr>
                <w:rFonts w:asciiTheme="majorBidi" w:hAnsiTheme="majorBidi" w:cstheme="majorBidi"/>
                <w:color w:val="auto"/>
                <w:sz w:val="20"/>
              </w:rPr>
              <w:t>63.77</w:t>
            </w:r>
          </w:p>
        </w:tc>
        <w:tc>
          <w:tcPr>
            <w:tcW w:w="1701" w:type="dxa"/>
            <w:gridSpan w:val="3"/>
            <w:shd w:val="clear" w:color="auto" w:fill="FFFFFF" w:themeFill="background1"/>
          </w:tcPr>
          <w:p w14:paraId="1C29FE34" w14:textId="367D9073" w:rsidR="00A05C7F" w:rsidRPr="00BC5E3A" w:rsidRDefault="00140464" w:rsidP="00680F7B">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rPr>
            </w:pPr>
            <w:r w:rsidRPr="00BC5E3A">
              <w:rPr>
                <w:rFonts w:asciiTheme="majorBidi" w:hAnsiTheme="majorBidi" w:cstheme="majorBidi"/>
                <w:color w:val="auto"/>
                <w:sz w:val="20"/>
              </w:rPr>
              <w:t>0.33</w:t>
            </w:r>
          </w:p>
        </w:tc>
        <w:tc>
          <w:tcPr>
            <w:tcW w:w="1701" w:type="dxa"/>
            <w:gridSpan w:val="3"/>
            <w:shd w:val="clear" w:color="auto" w:fill="FFFFFF" w:themeFill="background1"/>
          </w:tcPr>
          <w:p w14:paraId="1209D408" w14:textId="524605CC" w:rsidR="00A05C7F" w:rsidRPr="00BC5E3A" w:rsidRDefault="00140464" w:rsidP="00680F7B">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rPr>
            </w:pPr>
            <w:r w:rsidRPr="00BC5E3A">
              <w:rPr>
                <w:rFonts w:asciiTheme="majorBidi" w:hAnsiTheme="majorBidi" w:cstheme="majorBidi"/>
                <w:color w:val="auto"/>
                <w:sz w:val="20"/>
              </w:rPr>
              <w:t>0.11</w:t>
            </w:r>
          </w:p>
        </w:tc>
      </w:tr>
      <w:tr w:rsidR="00BC5E3A" w:rsidRPr="00BC5E3A" w14:paraId="4ABA3E42" w14:textId="77777777" w:rsidTr="00010B00">
        <w:trPr>
          <w:jc w:val="center"/>
        </w:trPr>
        <w:tc>
          <w:tcPr>
            <w:cnfStyle w:val="001000000000" w:firstRow="0" w:lastRow="0" w:firstColumn="1" w:lastColumn="0" w:oddVBand="0" w:evenVBand="0" w:oddHBand="0" w:evenHBand="0" w:firstRowFirstColumn="0" w:firstRowLastColumn="0" w:lastRowFirstColumn="0" w:lastRowLastColumn="0"/>
            <w:tcW w:w="3572" w:type="dxa"/>
            <w:tcBorders>
              <w:bottom w:val="single" w:sz="6" w:space="0" w:color="auto"/>
            </w:tcBorders>
            <w:shd w:val="clear" w:color="auto" w:fill="FFFFFF" w:themeFill="background1"/>
          </w:tcPr>
          <w:p w14:paraId="1F362563" w14:textId="54301ED0" w:rsidR="00937B2D" w:rsidRPr="00BC5E3A" w:rsidRDefault="00937B2D" w:rsidP="00A05C7F">
            <w:pPr>
              <w:spacing w:line="276" w:lineRule="auto"/>
              <w:rPr>
                <w:rFonts w:asciiTheme="majorBidi" w:hAnsiTheme="majorBidi" w:cstheme="majorBidi"/>
                <w:b w:val="0"/>
                <w:bCs w:val="0"/>
                <w:color w:val="auto"/>
                <w:sz w:val="20"/>
              </w:rPr>
            </w:pPr>
            <w:r w:rsidRPr="00BC5E3A">
              <w:rPr>
                <w:rFonts w:asciiTheme="majorBidi" w:hAnsiTheme="majorBidi" w:cstheme="majorBidi"/>
                <w:b w:val="0"/>
                <w:bCs w:val="0"/>
                <w:color w:val="auto"/>
                <w:sz w:val="20"/>
              </w:rPr>
              <w:t>Pumping energy [Wh]</w:t>
            </w:r>
          </w:p>
        </w:tc>
        <w:tc>
          <w:tcPr>
            <w:tcW w:w="1701" w:type="dxa"/>
            <w:gridSpan w:val="2"/>
            <w:tcBorders>
              <w:bottom w:val="single" w:sz="6" w:space="0" w:color="auto"/>
            </w:tcBorders>
            <w:shd w:val="clear" w:color="auto" w:fill="FFFFFF" w:themeFill="background1"/>
          </w:tcPr>
          <w:p w14:paraId="7B4502D4" w14:textId="088C587D" w:rsidR="00937B2D" w:rsidRPr="00BC5E3A" w:rsidRDefault="00937B2D" w:rsidP="00680F7B">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rPr>
            </w:pPr>
            <w:r w:rsidRPr="00BC5E3A">
              <w:rPr>
                <w:rFonts w:asciiTheme="majorBidi" w:hAnsiTheme="majorBidi" w:cstheme="majorBidi"/>
                <w:color w:val="auto"/>
                <w:sz w:val="20"/>
              </w:rPr>
              <w:t>0.629</w:t>
            </w:r>
          </w:p>
        </w:tc>
        <w:tc>
          <w:tcPr>
            <w:tcW w:w="1701" w:type="dxa"/>
            <w:gridSpan w:val="3"/>
            <w:tcBorders>
              <w:bottom w:val="single" w:sz="6" w:space="0" w:color="auto"/>
            </w:tcBorders>
            <w:shd w:val="clear" w:color="auto" w:fill="FFFFFF" w:themeFill="background1"/>
          </w:tcPr>
          <w:p w14:paraId="218A843E" w14:textId="12356450" w:rsidR="00937B2D" w:rsidRPr="00BC5E3A" w:rsidRDefault="00B01DF2" w:rsidP="00680F7B">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rPr>
            </w:pPr>
            <w:r w:rsidRPr="00BC5E3A">
              <w:rPr>
                <w:rFonts w:asciiTheme="majorBidi" w:hAnsiTheme="majorBidi" w:cstheme="majorBidi"/>
                <w:color w:val="auto"/>
                <w:sz w:val="20"/>
              </w:rPr>
              <w:t>1.04</w:t>
            </w:r>
            <w:r w:rsidRPr="00BC5E3A">
              <w:rPr>
                <w:rFonts w:ascii="Cambria Math" w:hAnsi="Cambria Math" w:cstheme="majorBidi"/>
                <w:color w:val="auto"/>
                <w:sz w:val="20"/>
              </w:rPr>
              <w:t>⋅</w:t>
            </w:r>
            <w:r w:rsidRPr="00BC5E3A">
              <w:rPr>
                <w:rFonts w:asciiTheme="majorBidi" w:hAnsiTheme="majorBidi" w:cstheme="majorBidi"/>
                <w:color w:val="auto"/>
                <w:sz w:val="20"/>
              </w:rPr>
              <w:t>10</w:t>
            </w:r>
            <w:r w:rsidRPr="00BC5E3A">
              <w:rPr>
                <w:rFonts w:asciiTheme="majorBidi" w:hAnsiTheme="majorBidi" w:cstheme="majorBidi"/>
                <w:color w:val="auto"/>
                <w:sz w:val="20"/>
                <w:vertAlign w:val="superscript"/>
              </w:rPr>
              <w:t>-6</w:t>
            </w:r>
          </w:p>
        </w:tc>
        <w:tc>
          <w:tcPr>
            <w:tcW w:w="1701" w:type="dxa"/>
            <w:gridSpan w:val="3"/>
            <w:tcBorders>
              <w:bottom w:val="single" w:sz="6" w:space="0" w:color="auto"/>
            </w:tcBorders>
            <w:shd w:val="clear" w:color="auto" w:fill="FFFFFF" w:themeFill="background1"/>
          </w:tcPr>
          <w:p w14:paraId="59FFF080" w14:textId="6762BA6E" w:rsidR="00937B2D" w:rsidRPr="00BC5E3A" w:rsidRDefault="00937B2D" w:rsidP="00937B2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rPr>
            </w:pPr>
            <w:r w:rsidRPr="00BC5E3A">
              <w:rPr>
                <w:rFonts w:asciiTheme="majorBidi" w:hAnsiTheme="majorBidi" w:cstheme="majorBidi"/>
                <w:color w:val="auto"/>
                <w:sz w:val="20"/>
              </w:rPr>
              <w:t>5.1</w:t>
            </w:r>
            <w:r w:rsidRPr="00BC5E3A">
              <w:rPr>
                <w:rFonts w:ascii="Cambria Math" w:hAnsi="Cambria Math" w:cstheme="majorBidi"/>
                <w:color w:val="auto"/>
                <w:sz w:val="20"/>
              </w:rPr>
              <w:t>⋅</w:t>
            </w:r>
            <w:r w:rsidRPr="00BC5E3A">
              <w:rPr>
                <w:rFonts w:asciiTheme="majorBidi" w:hAnsiTheme="majorBidi" w:cstheme="majorBidi"/>
                <w:color w:val="auto"/>
                <w:sz w:val="20"/>
              </w:rPr>
              <w:t>10</w:t>
            </w:r>
            <w:r w:rsidRPr="00BC5E3A">
              <w:rPr>
                <w:rFonts w:asciiTheme="majorBidi" w:hAnsiTheme="majorBidi" w:cstheme="majorBidi"/>
                <w:color w:val="auto"/>
                <w:sz w:val="20"/>
                <w:vertAlign w:val="superscript"/>
              </w:rPr>
              <w:t>-7</w:t>
            </w:r>
          </w:p>
        </w:tc>
      </w:tr>
    </w:tbl>
    <w:p w14:paraId="052782E0" w14:textId="7A086A56" w:rsidR="00C637DC" w:rsidRPr="00BC5E3A" w:rsidRDefault="00C637DC" w:rsidP="004C3A5F">
      <w:pPr>
        <w:pStyle w:val="Paragraph"/>
        <w:spacing w:before="240" w:after="240"/>
      </w:pPr>
      <w:r w:rsidRPr="00BC5E3A">
        <w:t xml:space="preserve">In terms of cost–performance trade-offs, Therminol VP-1 offers a relatively high specific heat capacity, which enhances energy storage per unit mass, but its high cost </w:t>
      </w:r>
      <w:r w:rsidR="004B6D68" w:rsidRPr="00BC5E3A">
        <w:t>(Table 3</w:t>
      </w:r>
      <w:r w:rsidR="004C3A5F" w:rsidRPr="00BC5E3A">
        <w:t xml:space="preserve">) </w:t>
      </w:r>
      <w:r w:rsidRPr="00BC5E3A">
        <w:t>and limited maximum operating temperature of 400 °C restrict its suitability for large-scale CSP applications. Solar salt, by contrast, combines low cost</w:t>
      </w:r>
      <w:r w:rsidR="007C0AB2" w:rsidRPr="00BC5E3A">
        <w:t>, a wide operational range (220-</w:t>
      </w:r>
      <w:r w:rsidRPr="00BC5E3A">
        <w:t>600 °C), h</w:t>
      </w:r>
      <w:r w:rsidR="00FE4FCF" w:rsidRPr="00BC5E3A">
        <w:t>igher thermal conductivity (0.5</w:t>
      </w:r>
      <w:r w:rsidR="003519B2" w:rsidRPr="00BC5E3A">
        <w:t xml:space="preserve"> W/m </w:t>
      </w:r>
      <w:r w:rsidRPr="00BC5E3A">
        <w:t>K), and greater density, enabling superior volumetric energy storage and efficient thermal transfer. Air, although cost-free and easy to handle, avoids issues such as freezing or decomposition; however, its low density and thermal conductivity limit heat transfer efficiency.</w:t>
      </w:r>
    </w:p>
    <w:p w14:paraId="7381CA8D" w14:textId="3274064A" w:rsidR="003619EA" w:rsidRPr="00BC5E3A" w:rsidRDefault="004B6D68" w:rsidP="00F00DCA">
      <w:pPr>
        <w:pStyle w:val="Paragraph"/>
        <w:spacing w:before="240" w:after="240"/>
      </w:pPr>
      <w:r w:rsidRPr="00BC5E3A">
        <w:t>Table (2</w:t>
      </w:r>
      <w:r w:rsidR="004C5E03" w:rsidRPr="00BC5E3A">
        <w:t>) presents the temperature-dependent thermophysical properties of the three HTFs investigated in this study. For each HTF, the variations in density, specific heat capacity, thermal conductivity, and viscosity with temperature are described using empirical correlations reported in the literature. These correlations were directly incorporated into the numerical model to ensure a realistic representation of heat transfer behavior under the simulated operating conditions.</w:t>
      </w:r>
    </w:p>
    <w:tbl>
      <w:tblPr>
        <w:tblStyle w:val="Tableausimple21"/>
        <w:tblW w:w="8787" w:type="dxa"/>
        <w:jc w:val="center"/>
        <w:tblLook w:val="04A0" w:firstRow="1" w:lastRow="0" w:firstColumn="1" w:lastColumn="0" w:noHBand="0" w:noVBand="1"/>
      </w:tblPr>
      <w:tblGrid>
        <w:gridCol w:w="1585"/>
        <w:gridCol w:w="5426"/>
        <w:gridCol w:w="849"/>
        <w:gridCol w:w="927"/>
      </w:tblGrid>
      <w:tr w:rsidR="00BC5E3A" w:rsidRPr="00BC5E3A" w14:paraId="6AE992BD" w14:textId="77777777" w:rsidTr="00010B0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87" w:type="dxa"/>
            <w:gridSpan w:val="4"/>
            <w:tcBorders>
              <w:top w:val="nil"/>
              <w:bottom w:val="single" w:sz="6" w:space="0" w:color="auto"/>
            </w:tcBorders>
          </w:tcPr>
          <w:p w14:paraId="470A22E5" w14:textId="4910EAF9" w:rsidR="00202DF4" w:rsidRPr="00BC5E3A" w:rsidRDefault="00202DF4" w:rsidP="00202DF4">
            <w:pPr>
              <w:pStyle w:val="NormalWeb"/>
              <w:spacing w:line="276" w:lineRule="auto"/>
              <w:jc w:val="center"/>
              <w:rPr>
                <w:rFonts w:asciiTheme="majorBidi" w:hAnsiTheme="majorBidi" w:cstheme="majorBidi"/>
                <w:b w:val="0"/>
                <w:bCs w:val="0"/>
                <w:sz w:val="20"/>
                <w:lang w:bidi="ar-LB"/>
              </w:rPr>
            </w:pPr>
            <w:r w:rsidRPr="00BC5E3A">
              <w:rPr>
                <w:rFonts w:asciiTheme="majorBidi" w:hAnsiTheme="majorBidi" w:cstheme="majorBidi"/>
                <w:sz w:val="18"/>
                <w:szCs w:val="18"/>
                <w:lang w:val="en-US" w:eastAsia="en-US"/>
              </w:rPr>
              <w:t>TABLE 2</w:t>
            </w:r>
            <w:r w:rsidRPr="00BC5E3A">
              <w:rPr>
                <w:rFonts w:asciiTheme="majorBidi" w:hAnsiTheme="majorBidi" w:cstheme="majorBidi"/>
                <w:b w:val="0"/>
                <w:bCs w:val="0"/>
                <w:sz w:val="18"/>
                <w:szCs w:val="18"/>
                <w:lang w:val="en-US" w:eastAsia="en-US"/>
              </w:rPr>
              <w:t>. Temperature-dependent thermophysical properties of the investigated HTFs.</w:t>
            </w:r>
          </w:p>
        </w:tc>
      </w:tr>
      <w:tr w:rsidR="00BC5E3A" w:rsidRPr="00BC5E3A" w14:paraId="7A82D8E4" w14:textId="77777777" w:rsidTr="00010B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5" w:type="dxa"/>
            <w:tcBorders>
              <w:top w:val="single" w:sz="6" w:space="0" w:color="auto"/>
              <w:bottom w:val="single" w:sz="6" w:space="0" w:color="auto"/>
            </w:tcBorders>
          </w:tcPr>
          <w:p w14:paraId="3D28107F" w14:textId="77777777" w:rsidR="00FB3509" w:rsidRPr="00BC5E3A" w:rsidRDefault="00FB3509" w:rsidP="00DC2992">
            <w:pPr>
              <w:rPr>
                <w:rFonts w:asciiTheme="majorBidi" w:hAnsiTheme="majorBidi" w:cstheme="majorBidi"/>
                <w:sz w:val="20"/>
                <w:szCs w:val="20"/>
                <w:lang w:bidi="ar-LB"/>
              </w:rPr>
            </w:pPr>
            <w:r w:rsidRPr="00BC5E3A">
              <w:rPr>
                <w:rFonts w:asciiTheme="majorBidi" w:hAnsiTheme="majorBidi" w:cstheme="majorBidi"/>
                <w:sz w:val="20"/>
                <w:szCs w:val="20"/>
                <w:lang w:bidi="ar-LB"/>
              </w:rPr>
              <w:t>Fluid</w:t>
            </w:r>
          </w:p>
        </w:tc>
        <w:tc>
          <w:tcPr>
            <w:tcW w:w="5426" w:type="dxa"/>
            <w:tcBorders>
              <w:top w:val="single" w:sz="6" w:space="0" w:color="auto"/>
              <w:bottom w:val="single" w:sz="4" w:space="0" w:color="auto"/>
            </w:tcBorders>
          </w:tcPr>
          <w:p w14:paraId="450DA769" w14:textId="77777777" w:rsidR="00FB3509" w:rsidRPr="00BC5E3A" w:rsidRDefault="00FB3509" w:rsidP="00202DF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LB"/>
              </w:rPr>
            </w:pPr>
            <w:r w:rsidRPr="00BC5E3A">
              <w:rPr>
                <w:rFonts w:asciiTheme="majorBidi" w:hAnsiTheme="majorBidi" w:cstheme="majorBidi"/>
                <w:b/>
                <w:bCs/>
                <w:sz w:val="20"/>
                <w:szCs w:val="20"/>
                <w:lang w:bidi="ar-LB"/>
              </w:rPr>
              <w:t>Thermophysical property</w:t>
            </w:r>
          </w:p>
        </w:tc>
        <w:tc>
          <w:tcPr>
            <w:tcW w:w="849" w:type="dxa"/>
            <w:tcBorders>
              <w:top w:val="single" w:sz="6" w:space="0" w:color="auto"/>
              <w:bottom w:val="single" w:sz="6" w:space="0" w:color="auto"/>
            </w:tcBorders>
          </w:tcPr>
          <w:p w14:paraId="37DC47BA" w14:textId="77777777" w:rsidR="00FB3509" w:rsidRPr="00BC5E3A" w:rsidRDefault="00FB3509" w:rsidP="00202DF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LB"/>
              </w:rPr>
            </w:pPr>
            <w:r w:rsidRPr="00BC5E3A">
              <w:rPr>
                <w:rFonts w:asciiTheme="majorBidi" w:hAnsiTheme="majorBidi" w:cstheme="majorBidi"/>
                <w:b/>
                <w:bCs/>
                <w:sz w:val="20"/>
                <w:szCs w:val="20"/>
                <w:lang w:bidi="ar-LB"/>
              </w:rPr>
              <w:t>Unit</w:t>
            </w:r>
          </w:p>
        </w:tc>
        <w:tc>
          <w:tcPr>
            <w:tcW w:w="927" w:type="dxa"/>
            <w:tcBorders>
              <w:top w:val="single" w:sz="6" w:space="0" w:color="auto"/>
              <w:bottom w:val="single" w:sz="6" w:space="0" w:color="auto"/>
            </w:tcBorders>
          </w:tcPr>
          <w:p w14:paraId="18B88995" w14:textId="77777777" w:rsidR="00FB3509" w:rsidRPr="00BC5E3A" w:rsidRDefault="00FB3509" w:rsidP="00202DF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LB"/>
              </w:rPr>
            </w:pPr>
            <w:r w:rsidRPr="00BC5E3A">
              <w:rPr>
                <w:rFonts w:asciiTheme="majorBidi" w:hAnsiTheme="majorBidi" w:cstheme="majorBidi"/>
                <w:b/>
                <w:bCs/>
                <w:sz w:val="20"/>
                <w:szCs w:val="20"/>
                <w:lang w:bidi="ar-LB"/>
              </w:rPr>
              <w:t>Sources</w:t>
            </w:r>
          </w:p>
        </w:tc>
      </w:tr>
      <w:tr w:rsidR="00BC5E3A" w:rsidRPr="00BC5E3A" w14:paraId="7128D91F" w14:textId="77777777" w:rsidTr="00010B00">
        <w:trPr>
          <w:jc w:val="center"/>
        </w:trPr>
        <w:tc>
          <w:tcPr>
            <w:cnfStyle w:val="001000000000" w:firstRow="0" w:lastRow="0" w:firstColumn="1" w:lastColumn="0" w:oddVBand="0" w:evenVBand="0" w:oddHBand="0" w:evenHBand="0" w:firstRowFirstColumn="0" w:firstRowLastColumn="0" w:lastRowFirstColumn="0" w:lastRowLastColumn="0"/>
            <w:tcW w:w="1585" w:type="dxa"/>
            <w:tcBorders>
              <w:top w:val="single" w:sz="6" w:space="0" w:color="auto"/>
              <w:bottom w:val="single" w:sz="6" w:space="0" w:color="auto"/>
            </w:tcBorders>
          </w:tcPr>
          <w:p w14:paraId="08C792C6" w14:textId="77777777" w:rsidR="00FB3509" w:rsidRPr="00BC5E3A" w:rsidRDefault="00FB3509" w:rsidP="00FB3509">
            <w:pPr>
              <w:rPr>
                <w:rFonts w:asciiTheme="majorBidi" w:hAnsiTheme="majorBidi" w:cstheme="majorBidi"/>
                <w:b w:val="0"/>
                <w:bCs w:val="0"/>
                <w:sz w:val="20"/>
                <w:szCs w:val="20"/>
                <w:lang w:bidi="ar-LB"/>
              </w:rPr>
            </w:pPr>
            <w:r w:rsidRPr="00BC5E3A">
              <w:rPr>
                <w:rFonts w:asciiTheme="majorBidi" w:hAnsiTheme="majorBidi" w:cstheme="majorBidi"/>
                <w:b w:val="0"/>
                <w:bCs w:val="0"/>
                <w:sz w:val="20"/>
                <w:szCs w:val="20"/>
                <w:lang w:bidi="ar-LB"/>
              </w:rPr>
              <w:t>Solar salt</w:t>
            </w:r>
          </w:p>
        </w:tc>
        <w:tc>
          <w:tcPr>
            <w:tcW w:w="5426" w:type="dxa"/>
            <w:tcBorders>
              <w:top w:val="single" w:sz="4" w:space="0" w:color="auto"/>
              <w:bottom w:val="single" w:sz="6" w:space="0" w:color="auto"/>
            </w:tcBorders>
          </w:tcPr>
          <w:p w14:paraId="6B5677CA" w14:textId="67A30585" w:rsidR="00FB3509" w:rsidRPr="00BC5E3A" w:rsidRDefault="00ED49E1" w:rsidP="00202DF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bidi="ar-LB"/>
              </w:rPr>
            </w:pPr>
            <m:oMathPara>
              <m:oMathParaPr>
                <m:jc m:val="center"/>
              </m:oMathParaPr>
              <m:oMath>
                <m:sSub>
                  <m:sSubPr>
                    <m:ctrlPr>
                      <w:rPr>
                        <w:rFonts w:ascii="Cambria Math" w:hAnsi="Cambria Math" w:cstheme="majorBidi"/>
                        <w:i/>
                        <w:sz w:val="20"/>
                        <w:szCs w:val="20"/>
                        <w:lang w:bidi="ar-LB"/>
                      </w:rPr>
                    </m:ctrlPr>
                  </m:sSubPr>
                  <m:e>
                    <m:r>
                      <w:rPr>
                        <w:rFonts w:ascii="Cambria Math" w:hAnsi="Cambria Math" w:cstheme="majorBidi"/>
                        <w:sz w:val="20"/>
                        <w:szCs w:val="20"/>
                        <w:lang w:bidi="ar-LB"/>
                      </w:rPr>
                      <m:t>ρ</m:t>
                    </m:r>
                  </m:e>
                  <m:sub>
                    <m:r>
                      <w:rPr>
                        <w:rFonts w:ascii="Cambria Math" w:hAnsi="Cambria Math" w:cstheme="majorBidi"/>
                        <w:sz w:val="20"/>
                        <w:szCs w:val="20"/>
                        <w:lang w:bidi="ar-LB"/>
                      </w:rPr>
                      <m:t>f</m:t>
                    </m:r>
                  </m:sub>
                </m:sSub>
                <m:r>
                  <w:rPr>
                    <w:rFonts w:ascii="Cambria Math" w:hAnsi="Cambria Math" w:cstheme="majorBidi"/>
                    <w:sz w:val="20"/>
                    <w:szCs w:val="20"/>
                    <w:lang w:bidi="ar-LB"/>
                  </w:rPr>
                  <m:t>(T(°C))=2090-0.63⋅T</m:t>
                </m:r>
              </m:oMath>
            </m:oMathPara>
          </w:p>
          <w:p w14:paraId="6F3E739F" w14:textId="593D0C5D" w:rsidR="00FB3509" w:rsidRPr="00BC5E3A" w:rsidRDefault="00ED49E1" w:rsidP="00202DF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bidi="ar-LB"/>
              </w:rPr>
            </w:pPr>
            <m:oMathPara>
              <m:oMathParaPr>
                <m:jc m:val="center"/>
              </m:oMathParaPr>
              <m:oMath>
                <m:sSub>
                  <m:sSubPr>
                    <m:ctrlPr>
                      <w:rPr>
                        <w:rFonts w:ascii="Cambria Math" w:hAnsi="Cambria Math" w:cstheme="majorBidi"/>
                        <w:i/>
                        <w:sz w:val="20"/>
                        <w:szCs w:val="20"/>
                        <w:lang w:bidi="ar-LB"/>
                      </w:rPr>
                    </m:ctrlPr>
                  </m:sSubPr>
                  <m:e>
                    <m:r>
                      <w:rPr>
                        <w:rFonts w:ascii="Cambria Math" w:hAnsi="Cambria Math" w:cstheme="majorBidi"/>
                        <w:sz w:val="20"/>
                        <w:szCs w:val="20"/>
                        <w:lang w:bidi="ar-LB"/>
                      </w:rPr>
                      <m:t>c</m:t>
                    </m:r>
                  </m:e>
                  <m:sub>
                    <m:r>
                      <w:rPr>
                        <w:rFonts w:ascii="Cambria Math" w:hAnsi="Cambria Math" w:cstheme="majorBidi"/>
                        <w:sz w:val="20"/>
                        <w:szCs w:val="20"/>
                        <w:lang w:bidi="ar-LB"/>
                      </w:rPr>
                      <m:t>p</m:t>
                    </m:r>
                  </m:sub>
                </m:sSub>
                <m:r>
                  <w:rPr>
                    <w:rFonts w:ascii="Cambria Math" w:hAnsi="Cambria Math" w:cstheme="majorBidi"/>
                    <w:sz w:val="20"/>
                    <w:szCs w:val="20"/>
                    <w:lang w:bidi="ar-LB"/>
                  </w:rPr>
                  <m:t>(T(°C))=1.5404+3.0924⋅</m:t>
                </m:r>
                <m:sSup>
                  <m:sSupPr>
                    <m:ctrlPr>
                      <w:rPr>
                        <w:rFonts w:ascii="Cambria Math" w:hAnsi="Cambria Math" w:cstheme="majorBidi"/>
                        <w:i/>
                        <w:sz w:val="20"/>
                        <w:szCs w:val="20"/>
                        <w:lang w:bidi="ar-LB"/>
                      </w:rPr>
                    </m:ctrlPr>
                  </m:sSupPr>
                  <m:e>
                    <m:r>
                      <w:rPr>
                        <w:rFonts w:ascii="Cambria Math" w:hAnsi="Cambria Math" w:cstheme="majorBidi"/>
                        <w:sz w:val="20"/>
                        <w:szCs w:val="20"/>
                        <w:lang w:bidi="ar-LB"/>
                      </w:rPr>
                      <m:t>10</m:t>
                    </m:r>
                  </m:e>
                  <m:sup>
                    <m:r>
                      <w:rPr>
                        <w:rFonts w:ascii="Cambria Math" w:hAnsi="Cambria Math" w:cstheme="majorBidi"/>
                        <w:sz w:val="20"/>
                        <w:szCs w:val="20"/>
                        <w:lang w:bidi="ar-LB"/>
                      </w:rPr>
                      <m:t>-5</m:t>
                    </m:r>
                  </m:sup>
                </m:sSup>
                <m:r>
                  <w:rPr>
                    <w:rFonts w:ascii="Cambria Math" w:hAnsi="Cambria Math" w:cstheme="majorBidi"/>
                    <w:sz w:val="20"/>
                    <w:szCs w:val="20"/>
                    <w:lang w:bidi="ar-LB"/>
                  </w:rPr>
                  <m:t>⋅T</m:t>
                </m:r>
              </m:oMath>
            </m:oMathPara>
          </w:p>
          <w:p w14:paraId="49E682B0" w14:textId="27DB9A8C" w:rsidR="00FB3509" w:rsidRPr="00BC5E3A" w:rsidRDefault="00ED49E1" w:rsidP="00202DF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bidi="ar-LB"/>
              </w:rPr>
            </w:pPr>
            <m:oMathPara>
              <m:oMathParaPr>
                <m:jc m:val="center"/>
              </m:oMathParaPr>
              <m:oMath>
                <m:sSub>
                  <m:sSubPr>
                    <m:ctrlPr>
                      <w:rPr>
                        <w:rFonts w:ascii="Cambria Math" w:hAnsi="Cambria Math" w:cstheme="majorBidi"/>
                        <w:i/>
                        <w:sz w:val="20"/>
                        <w:szCs w:val="20"/>
                        <w:lang w:bidi="ar-LB"/>
                      </w:rPr>
                    </m:ctrlPr>
                  </m:sSubPr>
                  <m:e>
                    <m:r>
                      <w:rPr>
                        <w:rFonts w:ascii="Cambria Math" w:hAnsi="Cambria Math" w:cstheme="majorBidi"/>
                        <w:sz w:val="20"/>
                        <w:szCs w:val="20"/>
                        <w:lang w:bidi="ar-LB"/>
                      </w:rPr>
                      <m:t>k</m:t>
                    </m:r>
                  </m:e>
                  <m:sub>
                    <m:r>
                      <w:rPr>
                        <w:rFonts w:ascii="Cambria Math" w:hAnsi="Cambria Math" w:cstheme="majorBidi"/>
                        <w:sz w:val="20"/>
                        <w:szCs w:val="20"/>
                        <w:lang w:bidi="ar-LB"/>
                      </w:rPr>
                      <m:t>f</m:t>
                    </m:r>
                  </m:sub>
                </m:sSub>
                <m:d>
                  <m:dPr>
                    <m:ctrlPr>
                      <w:rPr>
                        <w:rFonts w:ascii="Cambria Math" w:hAnsi="Cambria Math" w:cstheme="majorBidi"/>
                        <w:i/>
                        <w:sz w:val="20"/>
                        <w:szCs w:val="20"/>
                        <w:lang w:bidi="ar-LB"/>
                      </w:rPr>
                    </m:ctrlPr>
                  </m:dPr>
                  <m:e>
                    <m:r>
                      <w:rPr>
                        <w:rFonts w:ascii="Cambria Math" w:hAnsi="Cambria Math" w:cstheme="majorBidi"/>
                        <w:sz w:val="20"/>
                        <w:szCs w:val="20"/>
                        <w:lang w:bidi="ar-LB"/>
                      </w:rPr>
                      <m:t>T(°C)</m:t>
                    </m:r>
                  </m:e>
                </m:d>
                <m:r>
                  <w:rPr>
                    <w:rFonts w:ascii="Cambria Math" w:hAnsi="Cambria Math" w:cstheme="majorBidi"/>
                    <w:sz w:val="20"/>
                    <w:szCs w:val="20"/>
                    <w:lang w:bidi="ar-LB"/>
                  </w:rPr>
                  <m:t>=0.3804+3.452⋅</m:t>
                </m:r>
                <m:sSup>
                  <m:sSupPr>
                    <m:ctrlPr>
                      <w:rPr>
                        <w:rFonts w:ascii="Cambria Math" w:hAnsi="Cambria Math" w:cstheme="majorBidi"/>
                        <w:i/>
                        <w:sz w:val="20"/>
                        <w:szCs w:val="20"/>
                        <w:lang w:bidi="ar-LB"/>
                      </w:rPr>
                    </m:ctrlPr>
                  </m:sSupPr>
                  <m:e>
                    <m:r>
                      <w:rPr>
                        <w:rFonts w:ascii="Cambria Math" w:hAnsi="Cambria Math" w:cstheme="majorBidi"/>
                        <w:sz w:val="20"/>
                        <w:szCs w:val="20"/>
                        <w:lang w:bidi="ar-LB"/>
                      </w:rPr>
                      <m:t>10</m:t>
                    </m:r>
                  </m:e>
                  <m:sup>
                    <m:r>
                      <w:rPr>
                        <w:rFonts w:ascii="Cambria Math" w:hAnsi="Cambria Math" w:cstheme="majorBidi"/>
                        <w:sz w:val="20"/>
                        <w:szCs w:val="20"/>
                        <w:lang w:bidi="ar-LB"/>
                      </w:rPr>
                      <m:t>-4</m:t>
                    </m:r>
                  </m:sup>
                </m:sSup>
                <m:r>
                  <w:rPr>
                    <w:rFonts w:ascii="Cambria Math" w:hAnsi="Cambria Math" w:cstheme="majorBidi"/>
                    <w:sz w:val="20"/>
                    <w:szCs w:val="20"/>
                    <w:lang w:bidi="ar-LB"/>
                  </w:rPr>
                  <m:t>⋅T</m:t>
                </m:r>
              </m:oMath>
            </m:oMathPara>
          </w:p>
          <w:p w14:paraId="2B307161" w14:textId="5D8A4300" w:rsidR="00FB3509" w:rsidRPr="00BC5E3A" w:rsidRDefault="00ED49E1" w:rsidP="00202DF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bidi="ar-LB"/>
              </w:rPr>
            </w:pPr>
            <m:oMathPara>
              <m:oMathParaPr>
                <m:jc m:val="center"/>
              </m:oMathParaPr>
              <m:oMath>
                <m:sSub>
                  <m:sSubPr>
                    <m:ctrlPr>
                      <w:rPr>
                        <w:rFonts w:ascii="Cambria Math" w:hAnsi="Cambria Math" w:cstheme="majorBidi"/>
                        <w:i/>
                        <w:sz w:val="20"/>
                        <w:szCs w:val="20"/>
                        <w:lang w:bidi="ar-LB"/>
                      </w:rPr>
                    </m:ctrlPr>
                  </m:sSubPr>
                  <m:e>
                    <m:r>
                      <w:rPr>
                        <w:rFonts w:ascii="Cambria Math" w:hAnsi="Cambria Math" w:cstheme="majorBidi"/>
                        <w:sz w:val="20"/>
                        <w:szCs w:val="20"/>
                        <w:lang w:bidi="ar-LB"/>
                      </w:rPr>
                      <m:t>μ</m:t>
                    </m:r>
                  </m:e>
                  <m:sub>
                    <m:r>
                      <w:rPr>
                        <w:rFonts w:ascii="Cambria Math" w:hAnsi="Cambria Math" w:cstheme="majorBidi"/>
                        <w:sz w:val="20"/>
                        <w:szCs w:val="20"/>
                        <w:lang w:bidi="ar-LB"/>
                      </w:rPr>
                      <m:t>f</m:t>
                    </m:r>
                  </m:sub>
                </m:sSub>
                <m:d>
                  <m:dPr>
                    <m:ctrlPr>
                      <w:rPr>
                        <w:rFonts w:ascii="Cambria Math" w:hAnsi="Cambria Math" w:cstheme="majorBidi"/>
                        <w:i/>
                        <w:sz w:val="20"/>
                        <w:szCs w:val="20"/>
                        <w:lang w:bidi="ar-LB"/>
                      </w:rPr>
                    </m:ctrlPr>
                  </m:dPr>
                  <m:e>
                    <m:r>
                      <w:rPr>
                        <w:rFonts w:ascii="Cambria Math" w:hAnsi="Cambria Math" w:cstheme="majorBidi"/>
                        <w:sz w:val="20"/>
                        <w:szCs w:val="20"/>
                        <w:lang w:bidi="ar-LB"/>
                      </w:rPr>
                      <m:t>T(°C)</m:t>
                    </m:r>
                  </m:e>
                </m:d>
                <m:r>
                  <w:rPr>
                    <w:rFonts w:ascii="Cambria Math" w:hAnsi="Cambria Math" w:cstheme="majorBidi"/>
                    <w:sz w:val="20"/>
                    <w:szCs w:val="20"/>
                    <w:lang w:bidi="ar-LB"/>
                  </w:rPr>
                  <m:t>=71,645⋅</m:t>
                </m:r>
                <m:sSup>
                  <m:sSupPr>
                    <m:ctrlPr>
                      <w:rPr>
                        <w:rFonts w:ascii="Cambria Math" w:hAnsi="Cambria Math" w:cstheme="majorBidi"/>
                        <w:i/>
                        <w:sz w:val="20"/>
                        <w:szCs w:val="20"/>
                        <w:lang w:bidi="ar-LB"/>
                      </w:rPr>
                    </m:ctrlPr>
                  </m:sSupPr>
                  <m:e>
                    <m:r>
                      <w:rPr>
                        <w:rFonts w:ascii="Cambria Math" w:hAnsi="Cambria Math" w:cstheme="majorBidi"/>
                        <w:sz w:val="20"/>
                        <w:szCs w:val="20"/>
                        <w:lang w:bidi="ar-LB"/>
                      </w:rPr>
                      <m:t>T</m:t>
                    </m:r>
                  </m:e>
                  <m:sup>
                    <m:r>
                      <w:rPr>
                        <w:rFonts w:ascii="Cambria Math" w:hAnsi="Cambria Math" w:cstheme="majorBidi"/>
                        <w:sz w:val="20"/>
                        <w:szCs w:val="20"/>
                        <w:lang w:bidi="ar-LB"/>
                      </w:rPr>
                      <m:t>-1.763</m:t>
                    </m:r>
                  </m:sup>
                </m:sSup>
              </m:oMath>
            </m:oMathPara>
          </w:p>
        </w:tc>
        <w:tc>
          <w:tcPr>
            <w:tcW w:w="849" w:type="dxa"/>
            <w:tcBorders>
              <w:top w:val="single" w:sz="6" w:space="0" w:color="auto"/>
              <w:bottom w:val="single" w:sz="6" w:space="0" w:color="auto"/>
            </w:tcBorders>
          </w:tcPr>
          <w:p w14:paraId="7C7A6F1A" w14:textId="5DF8C164" w:rsidR="00FB3509" w:rsidRPr="00BC5E3A" w:rsidRDefault="00532758" w:rsidP="00E87E4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iCs/>
                <w:sz w:val="20"/>
                <w:szCs w:val="20"/>
                <w:lang w:bidi="ar-LB"/>
              </w:rPr>
            </w:pPr>
            <m:oMathPara>
              <m:oMathParaPr>
                <m:jc m:val="center"/>
              </m:oMathParaPr>
              <m:oMath>
                <m:r>
                  <m:rPr>
                    <m:sty m:val="p"/>
                  </m:rPr>
                  <w:rPr>
                    <w:rFonts w:ascii="Cambria Math" w:hAnsi="Cambria Math" w:cstheme="majorBidi"/>
                    <w:sz w:val="20"/>
                    <w:szCs w:val="20"/>
                    <w:lang w:bidi="ar-LB"/>
                  </w:rPr>
                  <m:t>kg/m</m:t>
                </m:r>
              </m:oMath>
            </m:oMathPara>
          </w:p>
          <w:p w14:paraId="0005229F" w14:textId="1DC86201" w:rsidR="00FB3509" w:rsidRPr="00BC5E3A" w:rsidRDefault="00532758" w:rsidP="00E87E4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Cs/>
                <w:sz w:val="20"/>
                <w:szCs w:val="20"/>
                <w:lang w:bidi="ar-LB"/>
              </w:rPr>
            </w:pPr>
            <m:oMathPara>
              <m:oMathParaPr>
                <m:jc m:val="center"/>
              </m:oMathParaPr>
              <m:oMath>
                <m:r>
                  <m:rPr>
                    <m:sty m:val="p"/>
                  </m:rPr>
                  <w:rPr>
                    <w:rFonts w:ascii="Cambria Math" w:hAnsi="Cambria Math" w:cstheme="majorBidi"/>
                    <w:sz w:val="20"/>
                    <w:szCs w:val="20"/>
                    <w:lang w:bidi="ar-LB"/>
                  </w:rPr>
                  <m:t>J/g K</m:t>
                </m:r>
              </m:oMath>
            </m:oMathPara>
          </w:p>
          <w:p w14:paraId="600DF012" w14:textId="16E014F1" w:rsidR="00FB3509" w:rsidRPr="00BC5E3A" w:rsidRDefault="00532758" w:rsidP="00E87E4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Cs/>
                <w:sz w:val="20"/>
                <w:szCs w:val="20"/>
                <w:lang w:bidi="ar-LB"/>
              </w:rPr>
            </w:pPr>
            <m:oMathPara>
              <m:oMathParaPr>
                <m:jc m:val="center"/>
              </m:oMathParaPr>
              <m:oMath>
                <m:r>
                  <m:rPr>
                    <m:sty m:val="p"/>
                  </m:rPr>
                  <w:rPr>
                    <w:rFonts w:ascii="Cambria Math" w:hAnsi="Cambria Math" w:cstheme="majorBidi"/>
                    <w:sz w:val="20"/>
                    <w:szCs w:val="20"/>
                    <w:lang w:bidi="ar-LB"/>
                  </w:rPr>
                  <m:t>W/m K</m:t>
                </m:r>
              </m:oMath>
            </m:oMathPara>
          </w:p>
          <w:p w14:paraId="11BFD93B" w14:textId="0BA03DED" w:rsidR="00FB3509" w:rsidRPr="00BC5E3A" w:rsidRDefault="00532758" w:rsidP="00E87E4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Cs/>
                <w:sz w:val="20"/>
                <w:szCs w:val="20"/>
                <w:lang w:bidi="ar-LB"/>
              </w:rPr>
            </w:pPr>
            <m:oMathPara>
              <m:oMathParaPr>
                <m:jc m:val="center"/>
              </m:oMathParaPr>
              <m:oMath>
                <m:r>
                  <w:rPr>
                    <w:rFonts w:ascii="Cambria Math" w:hAnsi="Cambria Math" w:cstheme="majorBidi"/>
                    <w:sz w:val="20"/>
                    <w:szCs w:val="20"/>
                    <w:lang w:bidi="ar-LB"/>
                  </w:rPr>
                  <m:t>cP</m:t>
                </m:r>
              </m:oMath>
            </m:oMathPara>
          </w:p>
        </w:tc>
        <w:tc>
          <w:tcPr>
            <w:tcW w:w="927" w:type="dxa"/>
            <w:tcBorders>
              <w:top w:val="single" w:sz="6" w:space="0" w:color="auto"/>
              <w:bottom w:val="single" w:sz="6" w:space="0" w:color="auto"/>
            </w:tcBorders>
          </w:tcPr>
          <w:p w14:paraId="07FD62FC" w14:textId="44CC5A50" w:rsidR="00FB3509" w:rsidRPr="00BC5E3A" w:rsidRDefault="00FB3509" w:rsidP="00202DF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Cs/>
                <w:sz w:val="20"/>
                <w:szCs w:val="20"/>
                <w:lang w:bidi="ar-LB"/>
              </w:rPr>
            </w:pPr>
            <w:r w:rsidRPr="00BC5E3A">
              <w:rPr>
                <w:rFonts w:asciiTheme="majorBidi" w:hAnsiTheme="majorBidi" w:cstheme="majorBidi"/>
                <w:iCs/>
                <w:sz w:val="20"/>
                <w:szCs w:val="20"/>
                <w:lang w:bidi="ar-LB"/>
              </w:rPr>
              <w:t>[</w:t>
            </w:r>
            <w:r w:rsidR="00A04F44" w:rsidRPr="00BC5E3A">
              <w:rPr>
                <w:rFonts w:asciiTheme="majorBidi" w:hAnsiTheme="majorBidi" w:cstheme="majorBidi"/>
                <w:iCs/>
                <w:sz w:val="20"/>
                <w:szCs w:val="20"/>
                <w:lang w:bidi="ar-LB"/>
              </w:rPr>
              <w:t>21, 22</w:t>
            </w:r>
            <w:r w:rsidR="00B02996" w:rsidRPr="00BC5E3A">
              <w:rPr>
                <w:rFonts w:asciiTheme="majorBidi" w:hAnsiTheme="majorBidi" w:cstheme="majorBidi"/>
                <w:iCs/>
                <w:sz w:val="20"/>
                <w:szCs w:val="20"/>
                <w:lang w:bidi="ar-LB"/>
              </w:rPr>
              <w:t>]</w:t>
            </w:r>
          </w:p>
          <w:p w14:paraId="1ECB1A04" w14:textId="2E05BCE8" w:rsidR="00FB3509" w:rsidRPr="00BC5E3A" w:rsidRDefault="00A04F44" w:rsidP="00202DF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LB"/>
              </w:rPr>
            </w:pPr>
            <w:r w:rsidRPr="00BC5E3A">
              <w:rPr>
                <w:rFonts w:asciiTheme="majorBidi" w:hAnsiTheme="majorBidi" w:cstheme="majorBidi"/>
                <w:iCs/>
                <w:sz w:val="20"/>
                <w:szCs w:val="20"/>
                <w:lang w:bidi="ar-LB"/>
              </w:rPr>
              <w:t>[23, 22</w:t>
            </w:r>
            <w:r w:rsidR="00FB3509" w:rsidRPr="00BC5E3A">
              <w:rPr>
                <w:rFonts w:asciiTheme="majorBidi" w:hAnsiTheme="majorBidi" w:cstheme="majorBidi"/>
                <w:iCs/>
                <w:sz w:val="20"/>
                <w:szCs w:val="20"/>
                <w:lang w:bidi="ar-LB"/>
              </w:rPr>
              <w:t>]</w:t>
            </w:r>
          </w:p>
          <w:p w14:paraId="70B1D554" w14:textId="575A5043" w:rsidR="00FB3509" w:rsidRPr="00BC5E3A" w:rsidRDefault="00A04F44" w:rsidP="00202DF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Cs/>
                <w:sz w:val="20"/>
                <w:szCs w:val="20"/>
                <w:lang w:bidi="ar-LB"/>
              </w:rPr>
            </w:pPr>
            <w:r w:rsidRPr="00BC5E3A">
              <w:rPr>
                <w:rFonts w:asciiTheme="majorBidi" w:hAnsiTheme="majorBidi" w:cstheme="majorBidi"/>
                <w:iCs/>
                <w:sz w:val="20"/>
                <w:szCs w:val="20"/>
                <w:lang w:bidi="ar-LB"/>
              </w:rPr>
              <w:t>[22</w:t>
            </w:r>
            <w:r w:rsidR="00FB3509" w:rsidRPr="00BC5E3A">
              <w:rPr>
                <w:rFonts w:asciiTheme="majorBidi" w:hAnsiTheme="majorBidi" w:cstheme="majorBidi"/>
                <w:iCs/>
                <w:sz w:val="20"/>
                <w:szCs w:val="20"/>
                <w:lang w:bidi="ar-LB"/>
              </w:rPr>
              <w:t>]</w:t>
            </w:r>
          </w:p>
          <w:p w14:paraId="7151FB76" w14:textId="40EE8443" w:rsidR="00FB3509" w:rsidRPr="00BC5E3A" w:rsidRDefault="00FB3509" w:rsidP="00202DF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LB"/>
              </w:rPr>
            </w:pPr>
            <w:r w:rsidRPr="00BC5E3A">
              <w:rPr>
                <w:rFonts w:asciiTheme="majorBidi" w:hAnsiTheme="majorBidi" w:cstheme="majorBidi"/>
                <w:iCs/>
                <w:sz w:val="20"/>
                <w:szCs w:val="20"/>
                <w:lang w:bidi="ar-LB"/>
              </w:rPr>
              <w:t>[</w:t>
            </w:r>
            <w:r w:rsidR="00A04F44" w:rsidRPr="00BC5E3A">
              <w:rPr>
                <w:rFonts w:asciiTheme="majorBidi" w:hAnsiTheme="majorBidi" w:cstheme="majorBidi"/>
                <w:iCs/>
                <w:sz w:val="20"/>
                <w:szCs w:val="20"/>
                <w:lang w:bidi="ar-LB"/>
              </w:rPr>
              <w:t>22</w:t>
            </w:r>
            <w:r w:rsidRPr="00BC5E3A">
              <w:rPr>
                <w:rFonts w:asciiTheme="majorBidi" w:hAnsiTheme="majorBidi" w:cstheme="majorBidi"/>
                <w:iCs/>
                <w:sz w:val="20"/>
                <w:szCs w:val="20"/>
                <w:lang w:bidi="ar-LB"/>
              </w:rPr>
              <w:t>]</w:t>
            </w:r>
          </w:p>
        </w:tc>
      </w:tr>
      <w:tr w:rsidR="00BC5E3A" w:rsidRPr="00BC5E3A" w14:paraId="2FB390DD" w14:textId="77777777" w:rsidTr="00010B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5" w:type="dxa"/>
            <w:tcBorders>
              <w:top w:val="single" w:sz="6" w:space="0" w:color="auto"/>
              <w:bottom w:val="single" w:sz="6" w:space="0" w:color="auto"/>
            </w:tcBorders>
          </w:tcPr>
          <w:p w14:paraId="471E72D2" w14:textId="77777777" w:rsidR="00FB3509" w:rsidRPr="00BC5E3A" w:rsidRDefault="00FB3509" w:rsidP="00FB3509">
            <w:pPr>
              <w:rPr>
                <w:rFonts w:asciiTheme="majorBidi" w:hAnsiTheme="majorBidi" w:cstheme="majorBidi"/>
                <w:b w:val="0"/>
                <w:bCs w:val="0"/>
                <w:sz w:val="20"/>
                <w:szCs w:val="20"/>
                <w:lang w:bidi="ar-LB"/>
              </w:rPr>
            </w:pPr>
            <w:r w:rsidRPr="00BC5E3A">
              <w:rPr>
                <w:rFonts w:asciiTheme="majorBidi" w:hAnsiTheme="majorBidi" w:cstheme="majorBidi"/>
                <w:b w:val="0"/>
                <w:bCs w:val="0"/>
                <w:sz w:val="20"/>
                <w:szCs w:val="20"/>
                <w:lang w:bidi="ar-LB"/>
              </w:rPr>
              <w:t>Air</w:t>
            </w:r>
          </w:p>
        </w:tc>
        <w:tc>
          <w:tcPr>
            <w:tcW w:w="5426" w:type="dxa"/>
            <w:tcBorders>
              <w:top w:val="single" w:sz="6" w:space="0" w:color="auto"/>
              <w:bottom w:val="single" w:sz="6" w:space="0" w:color="auto"/>
            </w:tcBorders>
          </w:tcPr>
          <w:p w14:paraId="7627C62A" w14:textId="2302CE23" w:rsidR="00FB3509" w:rsidRPr="00BC5E3A" w:rsidRDefault="00ED49E1" w:rsidP="00202DF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LB"/>
              </w:rPr>
            </w:pPr>
            <m:oMathPara>
              <m:oMathParaPr>
                <m:jc m:val="center"/>
              </m:oMathParaPr>
              <m:oMath>
                <m:sSub>
                  <m:sSubPr>
                    <m:ctrlPr>
                      <w:rPr>
                        <w:rFonts w:ascii="Cambria Math" w:hAnsi="Cambria Math" w:cstheme="majorBidi"/>
                        <w:i/>
                        <w:sz w:val="20"/>
                        <w:szCs w:val="20"/>
                        <w:lang w:bidi="ar-LB"/>
                      </w:rPr>
                    </m:ctrlPr>
                  </m:sSubPr>
                  <m:e>
                    <m:r>
                      <w:rPr>
                        <w:rFonts w:ascii="Cambria Math" w:hAnsi="Cambria Math" w:cstheme="majorBidi"/>
                        <w:sz w:val="20"/>
                        <w:szCs w:val="20"/>
                        <w:lang w:bidi="ar-LB"/>
                      </w:rPr>
                      <m:t>ρ</m:t>
                    </m:r>
                  </m:e>
                  <m:sub>
                    <m:r>
                      <w:rPr>
                        <w:rFonts w:ascii="Cambria Math" w:hAnsi="Cambria Math" w:cstheme="majorBidi"/>
                        <w:sz w:val="20"/>
                        <w:szCs w:val="20"/>
                        <w:lang w:bidi="ar-LB"/>
                      </w:rPr>
                      <m:t>f</m:t>
                    </m:r>
                  </m:sub>
                </m:sSub>
                <m:r>
                  <w:rPr>
                    <w:rFonts w:ascii="Cambria Math" w:hAnsi="Cambria Math" w:cstheme="majorBidi"/>
                    <w:sz w:val="20"/>
                    <w:szCs w:val="20"/>
                    <w:lang w:bidi="ar-LB"/>
                  </w:rPr>
                  <m:t>(T(K)=</m:t>
                </m:r>
                <m:f>
                  <m:fPr>
                    <m:ctrlPr>
                      <w:rPr>
                        <w:rFonts w:ascii="Cambria Math" w:hAnsi="Cambria Math" w:cstheme="majorBidi"/>
                        <w:i/>
                        <w:sz w:val="20"/>
                        <w:szCs w:val="20"/>
                        <w:lang w:bidi="ar-LB"/>
                      </w:rPr>
                    </m:ctrlPr>
                  </m:fPr>
                  <m:num>
                    <m:r>
                      <w:rPr>
                        <w:rFonts w:ascii="Cambria Math" w:hAnsi="Cambria Math" w:cstheme="majorBidi"/>
                        <w:sz w:val="20"/>
                        <w:szCs w:val="20"/>
                        <w:lang w:bidi="ar-LB"/>
                      </w:rPr>
                      <m:t>p</m:t>
                    </m:r>
                  </m:num>
                  <m:den>
                    <m:r>
                      <w:rPr>
                        <w:rFonts w:ascii="Cambria Math" w:hAnsi="Cambria Math" w:cstheme="majorBidi"/>
                        <w:sz w:val="20"/>
                        <w:szCs w:val="20"/>
                        <w:lang w:bidi="ar-LB"/>
                      </w:rPr>
                      <m:t>R⋅T</m:t>
                    </m:r>
                  </m:den>
                </m:f>
                <m:r>
                  <w:rPr>
                    <w:rFonts w:ascii="Cambria Math" w:hAnsi="Cambria Math" w:cstheme="majorBidi"/>
                    <w:sz w:val="20"/>
                    <w:szCs w:val="20"/>
                    <w:lang w:bidi="ar-LB"/>
                  </w:rPr>
                  <m:t xml:space="preserve"> , R=</m:t>
                </m:r>
                <m:r>
                  <m:rPr>
                    <m:sty m:val="p"/>
                  </m:rPr>
                  <w:rPr>
                    <w:rFonts w:ascii="Cambria Math" w:hAnsi="Cambria Math" w:cstheme="majorBidi"/>
                    <w:sz w:val="20"/>
                    <w:szCs w:val="20"/>
                    <w:lang w:bidi="ar-LB"/>
                  </w:rPr>
                  <m:t>287.05 (J/kg K)</m:t>
                </m:r>
              </m:oMath>
            </m:oMathPara>
          </w:p>
          <w:p w14:paraId="6EEA3E54" w14:textId="72BFCD44" w:rsidR="00FB3509" w:rsidRPr="00BC5E3A" w:rsidRDefault="00ED49E1" w:rsidP="00202DF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LB"/>
              </w:rPr>
            </w:pPr>
            <m:oMathPara>
              <m:oMathParaPr>
                <m:jc m:val="center"/>
              </m:oMathParaPr>
              <m:oMath>
                <m:sSub>
                  <m:sSubPr>
                    <m:ctrlPr>
                      <w:rPr>
                        <w:rFonts w:ascii="Cambria Math" w:hAnsi="Cambria Math" w:cstheme="majorBidi"/>
                        <w:i/>
                        <w:sz w:val="20"/>
                        <w:szCs w:val="20"/>
                        <w:lang w:bidi="ar-LB"/>
                      </w:rPr>
                    </m:ctrlPr>
                  </m:sSubPr>
                  <m:e>
                    <m:r>
                      <w:rPr>
                        <w:rFonts w:ascii="Cambria Math" w:hAnsi="Cambria Math" w:cstheme="majorBidi"/>
                        <w:sz w:val="20"/>
                        <w:szCs w:val="20"/>
                        <w:lang w:bidi="ar-LB"/>
                      </w:rPr>
                      <m:t>c</m:t>
                    </m:r>
                  </m:e>
                  <m:sub>
                    <m:r>
                      <w:rPr>
                        <w:rFonts w:ascii="Cambria Math" w:hAnsi="Cambria Math" w:cstheme="majorBidi"/>
                        <w:sz w:val="20"/>
                        <w:szCs w:val="20"/>
                        <w:lang w:bidi="ar-LB"/>
                      </w:rPr>
                      <m:t>p</m:t>
                    </m:r>
                  </m:sub>
                </m:sSub>
                <m:r>
                  <w:rPr>
                    <w:rFonts w:ascii="Cambria Math" w:hAnsi="Cambria Math" w:cstheme="majorBidi"/>
                    <w:sz w:val="20"/>
                    <w:szCs w:val="20"/>
                    <w:lang w:bidi="ar-LB"/>
                  </w:rPr>
                  <m:t xml:space="preserve">(T(K)=1030.5-0.19975⋅T+ 3.9734 </m:t>
                </m:r>
                <m:sSup>
                  <m:sSupPr>
                    <m:ctrlPr>
                      <w:rPr>
                        <w:rFonts w:ascii="Cambria Math" w:hAnsi="Cambria Math" w:cstheme="majorBidi"/>
                        <w:i/>
                        <w:sz w:val="20"/>
                        <w:szCs w:val="20"/>
                        <w:lang w:bidi="ar-LB"/>
                      </w:rPr>
                    </m:ctrlPr>
                  </m:sSupPr>
                  <m:e>
                    <m:r>
                      <w:rPr>
                        <w:rFonts w:ascii="Cambria Math" w:hAnsi="Cambria Math" w:cstheme="majorBidi"/>
                        <w:sz w:val="20"/>
                        <w:szCs w:val="20"/>
                        <w:lang w:bidi="ar-LB"/>
                      </w:rPr>
                      <m:t>10</m:t>
                    </m:r>
                  </m:e>
                  <m:sup>
                    <m:r>
                      <w:rPr>
                        <w:rFonts w:ascii="Cambria Math" w:hAnsi="Cambria Math" w:cstheme="majorBidi"/>
                        <w:sz w:val="20"/>
                        <w:szCs w:val="20"/>
                        <w:lang w:bidi="ar-LB"/>
                      </w:rPr>
                      <m:t>-4</m:t>
                    </m:r>
                  </m:sup>
                </m:sSup>
                <m:r>
                  <w:rPr>
                    <w:rFonts w:ascii="Cambria Math" w:hAnsi="Cambria Math" w:cstheme="majorBidi"/>
                    <w:sz w:val="20"/>
                    <w:szCs w:val="20"/>
                    <w:lang w:bidi="ar-LB"/>
                  </w:rPr>
                  <m:t>⋅</m:t>
                </m:r>
                <m:sSup>
                  <m:sSupPr>
                    <m:ctrlPr>
                      <w:rPr>
                        <w:rFonts w:ascii="Cambria Math" w:hAnsi="Cambria Math" w:cstheme="majorBidi"/>
                        <w:i/>
                        <w:sz w:val="20"/>
                        <w:szCs w:val="20"/>
                        <w:lang w:bidi="ar-LB"/>
                      </w:rPr>
                    </m:ctrlPr>
                  </m:sSupPr>
                  <m:e>
                    <m:r>
                      <w:rPr>
                        <w:rFonts w:ascii="Cambria Math" w:hAnsi="Cambria Math" w:cstheme="majorBidi"/>
                        <w:sz w:val="20"/>
                        <w:szCs w:val="20"/>
                        <w:lang w:bidi="ar-LB"/>
                      </w:rPr>
                      <m:t>T</m:t>
                    </m:r>
                  </m:e>
                  <m:sup>
                    <m:r>
                      <w:rPr>
                        <w:rFonts w:ascii="Cambria Math" w:hAnsi="Cambria Math" w:cstheme="majorBidi"/>
                        <w:sz w:val="20"/>
                        <w:szCs w:val="20"/>
                        <w:lang w:bidi="ar-LB"/>
                      </w:rPr>
                      <m:t>2</m:t>
                    </m:r>
                  </m:sup>
                </m:sSup>
              </m:oMath>
            </m:oMathPara>
          </w:p>
          <w:p w14:paraId="2B660D22" w14:textId="643FFBFC" w:rsidR="00FB3509" w:rsidRPr="00BC5E3A" w:rsidRDefault="00ED49E1" w:rsidP="00202DF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LB"/>
              </w:rPr>
            </w:pPr>
            <m:oMathPara>
              <m:oMathParaPr>
                <m:jc m:val="center"/>
              </m:oMathParaPr>
              <m:oMath>
                <m:sSub>
                  <m:sSubPr>
                    <m:ctrlPr>
                      <w:rPr>
                        <w:rFonts w:ascii="Cambria Math" w:hAnsi="Cambria Math" w:cstheme="majorBidi"/>
                        <w:i/>
                        <w:sz w:val="20"/>
                        <w:szCs w:val="20"/>
                        <w:lang w:bidi="ar-LB"/>
                      </w:rPr>
                    </m:ctrlPr>
                  </m:sSubPr>
                  <m:e>
                    <m:r>
                      <w:rPr>
                        <w:rFonts w:ascii="Cambria Math" w:hAnsi="Cambria Math" w:cstheme="majorBidi"/>
                        <w:sz w:val="20"/>
                        <w:szCs w:val="20"/>
                        <w:lang w:bidi="ar-LB"/>
                      </w:rPr>
                      <m:t>k</m:t>
                    </m:r>
                  </m:e>
                  <m:sub>
                    <m:r>
                      <w:rPr>
                        <w:rFonts w:ascii="Cambria Math" w:hAnsi="Cambria Math" w:cstheme="majorBidi"/>
                        <w:sz w:val="20"/>
                        <w:szCs w:val="20"/>
                        <w:lang w:bidi="ar-LB"/>
                      </w:rPr>
                      <m:t>f</m:t>
                    </m:r>
                  </m:sub>
                </m:sSub>
                <m:r>
                  <w:rPr>
                    <w:rFonts w:ascii="Cambria Math" w:hAnsi="Cambria Math" w:cstheme="majorBidi"/>
                    <w:sz w:val="20"/>
                    <w:szCs w:val="20"/>
                    <w:lang w:bidi="ar-LB"/>
                  </w:rPr>
                  <m:t>(T(°C))=0.0241+7.72⋅</m:t>
                </m:r>
                <m:sSup>
                  <m:sSupPr>
                    <m:ctrlPr>
                      <w:rPr>
                        <w:rFonts w:ascii="Cambria Math" w:hAnsi="Cambria Math" w:cstheme="majorBidi"/>
                        <w:i/>
                        <w:sz w:val="20"/>
                        <w:szCs w:val="20"/>
                        <w:lang w:bidi="ar-LB"/>
                      </w:rPr>
                    </m:ctrlPr>
                  </m:sSupPr>
                  <m:e>
                    <m:r>
                      <w:rPr>
                        <w:rFonts w:ascii="Cambria Math" w:hAnsi="Cambria Math" w:cstheme="majorBidi"/>
                        <w:sz w:val="20"/>
                        <w:szCs w:val="20"/>
                        <w:lang w:bidi="ar-LB"/>
                      </w:rPr>
                      <m:t>10</m:t>
                    </m:r>
                  </m:e>
                  <m:sup>
                    <m:r>
                      <w:rPr>
                        <w:rFonts w:ascii="Cambria Math" w:hAnsi="Cambria Math" w:cstheme="majorBidi"/>
                        <w:sz w:val="20"/>
                        <w:szCs w:val="20"/>
                        <w:lang w:bidi="ar-LB"/>
                      </w:rPr>
                      <m:t>-5</m:t>
                    </m:r>
                  </m:sup>
                </m:sSup>
                <m:r>
                  <w:rPr>
                    <w:rFonts w:ascii="Cambria Math" w:hAnsi="Cambria Math" w:cstheme="majorBidi"/>
                    <w:sz w:val="20"/>
                    <w:szCs w:val="20"/>
                    <w:lang w:bidi="ar-LB"/>
                  </w:rPr>
                  <m:t>⋅T</m:t>
                </m:r>
              </m:oMath>
            </m:oMathPara>
          </w:p>
          <w:p w14:paraId="0512AB7F" w14:textId="5EF3DB61" w:rsidR="00FB3509" w:rsidRPr="00BC5E3A" w:rsidRDefault="00ED49E1" w:rsidP="00202DF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LB"/>
              </w:rPr>
            </w:pPr>
            <m:oMathPara>
              <m:oMathParaPr>
                <m:jc m:val="center"/>
              </m:oMathParaPr>
              <m:oMath>
                <m:sSub>
                  <m:sSubPr>
                    <m:ctrlPr>
                      <w:rPr>
                        <w:rFonts w:ascii="Cambria Math" w:hAnsi="Cambria Math" w:cstheme="majorBidi"/>
                        <w:i/>
                        <w:sz w:val="20"/>
                        <w:szCs w:val="20"/>
                        <w:lang w:bidi="ar-LB"/>
                      </w:rPr>
                    </m:ctrlPr>
                  </m:sSubPr>
                  <m:e>
                    <m:r>
                      <w:rPr>
                        <w:rFonts w:ascii="Cambria Math" w:hAnsi="Cambria Math" w:cstheme="majorBidi"/>
                        <w:sz w:val="20"/>
                        <w:szCs w:val="20"/>
                        <w:lang w:bidi="ar-LB"/>
                      </w:rPr>
                      <m:t>μ</m:t>
                    </m:r>
                  </m:e>
                  <m:sub>
                    <m:r>
                      <w:rPr>
                        <w:rFonts w:ascii="Cambria Math" w:hAnsi="Cambria Math" w:cstheme="majorBidi"/>
                        <w:sz w:val="20"/>
                        <w:szCs w:val="20"/>
                        <w:lang w:bidi="ar-LB"/>
                      </w:rPr>
                      <m:t>f</m:t>
                    </m:r>
                  </m:sub>
                </m:sSub>
                <m:r>
                  <w:rPr>
                    <w:rFonts w:ascii="Cambria Math" w:hAnsi="Cambria Math" w:cstheme="majorBidi"/>
                    <w:sz w:val="20"/>
                    <w:szCs w:val="20"/>
                    <w:lang w:bidi="ar-LB"/>
                  </w:rPr>
                  <m:t>(T</m:t>
                </m:r>
                <m:d>
                  <m:dPr>
                    <m:ctrlPr>
                      <w:rPr>
                        <w:rFonts w:ascii="Cambria Math" w:hAnsi="Cambria Math" w:cstheme="majorBidi"/>
                        <w:i/>
                        <w:sz w:val="20"/>
                        <w:szCs w:val="20"/>
                        <w:lang w:bidi="ar-LB"/>
                      </w:rPr>
                    </m:ctrlPr>
                  </m:dPr>
                  <m:e>
                    <m:r>
                      <w:rPr>
                        <w:rFonts w:ascii="Cambria Math" w:hAnsi="Cambria Math" w:cstheme="majorBidi"/>
                        <w:sz w:val="20"/>
                        <w:szCs w:val="20"/>
                        <w:lang w:bidi="ar-LB"/>
                      </w:rPr>
                      <m:t>K</m:t>
                    </m:r>
                  </m:e>
                </m:d>
                <m:r>
                  <w:rPr>
                    <w:rFonts w:ascii="Cambria Math" w:hAnsi="Cambria Math" w:cstheme="majorBidi"/>
                    <w:sz w:val="20"/>
                    <w:szCs w:val="20"/>
                    <w:lang w:bidi="ar-LB"/>
                  </w:rPr>
                  <m:t>)=1.458⋅</m:t>
                </m:r>
                <m:sSup>
                  <m:sSupPr>
                    <m:ctrlPr>
                      <w:rPr>
                        <w:rFonts w:ascii="Cambria Math" w:hAnsi="Cambria Math" w:cstheme="majorBidi"/>
                        <w:i/>
                        <w:sz w:val="20"/>
                        <w:szCs w:val="20"/>
                        <w:lang w:bidi="ar-LB"/>
                      </w:rPr>
                    </m:ctrlPr>
                  </m:sSupPr>
                  <m:e>
                    <m:r>
                      <w:rPr>
                        <w:rFonts w:ascii="Cambria Math" w:hAnsi="Cambria Math" w:cstheme="majorBidi"/>
                        <w:sz w:val="20"/>
                        <w:szCs w:val="20"/>
                        <w:lang w:bidi="ar-LB"/>
                      </w:rPr>
                      <m:t>10</m:t>
                    </m:r>
                  </m:e>
                  <m:sup>
                    <m:r>
                      <w:rPr>
                        <w:rFonts w:ascii="Cambria Math" w:hAnsi="Cambria Math" w:cstheme="majorBidi"/>
                        <w:sz w:val="20"/>
                        <w:szCs w:val="20"/>
                        <w:lang w:bidi="ar-LB"/>
                      </w:rPr>
                      <m:t>-6</m:t>
                    </m:r>
                  </m:sup>
                </m:sSup>
                <m:f>
                  <m:fPr>
                    <m:ctrlPr>
                      <w:rPr>
                        <w:rFonts w:ascii="Cambria Math" w:hAnsi="Cambria Math" w:cstheme="majorBidi"/>
                        <w:i/>
                        <w:sz w:val="20"/>
                        <w:szCs w:val="20"/>
                        <w:lang w:bidi="ar-LB"/>
                      </w:rPr>
                    </m:ctrlPr>
                  </m:fPr>
                  <m:num>
                    <m:sSup>
                      <m:sSupPr>
                        <m:ctrlPr>
                          <w:rPr>
                            <w:rFonts w:ascii="Cambria Math" w:hAnsi="Cambria Math" w:cstheme="majorBidi"/>
                            <w:i/>
                            <w:sz w:val="20"/>
                            <w:szCs w:val="20"/>
                            <w:lang w:bidi="ar-LB"/>
                          </w:rPr>
                        </m:ctrlPr>
                      </m:sSupPr>
                      <m:e>
                        <m:r>
                          <w:rPr>
                            <w:rFonts w:ascii="Cambria Math" w:hAnsi="Cambria Math" w:cstheme="majorBidi"/>
                            <w:sz w:val="20"/>
                            <w:szCs w:val="20"/>
                            <w:lang w:bidi="ar-LB"/>
                          </w:rPr>
                          <m:t>T</m:t>
                        </m:r>
                      </m:e>
                      <m:sup>
                        <m:f>
                          <m:fPr>
                            <m:ctrlPr>
                              <w:rPr>
                                <w:rFonts w:ascii="Cambria Math" w:hAnsi="Cambria Math" w:cstheme="majorBidi"/>
                                <w:i/>
                                <w:sz w:val="20"/>
                                <w:szCs w:val="20"/>
                                <w:lang w:bidi="ar-LB"/>
                              </w:rPr>
                            </m:ctrlPr>
                          </m:fPr>
                          <m:num>
                            <m:r>
                              <w:rPr>
                                <w:rFonts w:ascii="Cambria Math" w:hAnsi="Cambria Math" w:cstheme="majorBidi"/>
                                <w:sz w:val="20"/>
                                <w:szCs w:val="20"/>
                                <w:lang w:bidi="ar-LB"/>
                              </w:rPr>
                              <m:t>3</m:t>
                            </m:r>
                          </m:num>
                          <m:den>
                            <m:r>
                              <w:rPr>
                                <w:rFonts w:ascii="Cambria Math" w:hAnsi="Cambria Math" w:cstheme="majorBidi"/>
                                <w:sz w:val="20"/>
                                <w:szCs w:val="20"/>
                                <w:lang w:bidi="ar-LB"/>
                              </w:rPr>
                              <m:t>2</m:t>
                            </m:r>
                          </m:den>
                        </m:f>
                      </m:sup>
                    </m:sSup>
                  </m:num>
                  <m:den>
                    <m:r>
                      <w:rPr>
                        <w:rFonts w:ascii="Cambria Math" w:hAnsi="Cambria Math" w:cstheme="majorBidi"/>
                        <w:sz w:val="20"/>
                        <w:szCs w:val="20"/>
                        <w:lang w:bidi="ar-LB"/>
                      </w:rPr>
                      <m:t>T+110.4</m:t>
                    </m:r>
                  </m:den>
                </m:f>
              </m:oMath>
            </m:oMathPara>
          </w:p>
        </w:tc>
        <w:tc>
          <w:tcPr>
            <w:tcW w:w="849" w:type="dxa"/>
            <w:tcBorders>
              <w:top w:val="single" w:sz="6" w:space="0" w:color="auto"/>
              <w:bottom w:val="single" w:sz="6" w:space="0" w:color="auto"/>
            </w:tcBorders>
          </w:tcPr>
          <w:p w14:paraId="3849C7F5" w14:textId="3C65CB7C" w:rsidR="00FB3509" w:rsidRPr="00BC5E3A" w:rsidRDefault="00532758" w:rsidP="00E87E4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Cs/>
                <w:sz w:val="20"/>
                <w:szCs w:val="20"/>
                <w:lang w:bidi="ar-LB"/>
              </w:rPr>
            </w:pPr>
            <m:oMathPara>
              <m:oMathParaPr>
                <m:jc m:val="center"/>
              </m:oMathParaPr>
              <m:oMath>
                <m:r>
                  <m:rPr>
                    <m:sty m:val="p"/>
                  </m:rPr>
                  <w:rPr>
                    <w:rFonts w:ascii="Cambria Math" w:hAnsi="Cambria Math" w:cstheme="majorBidi"/>
                    <w:sz w:val="20"/>
                    <w:szCs w:val="20"/>
                    <w:lang w:bidi="ar-LB"/>
                  </w:rPr>
                  <m:t>kg/m</m:t>
                </m:r>
              </m:oMath>
            </m:oMathPara>
          </w:p>
          <w:p w14:paraId="0188CAEA" w14:textId="77777777" w:rsidR="00FB3509" w:rsidRPr="00BC5E3A" w:rsidRDefault="00FB3509" w:rsidP="00E87E4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LB"/>
              </w:rPr>
            </w:pPr>
          </w:p>
          <w:p w14:paraId="7896262D" w14:textId="6A0613B9" w:rsidR="00FB3509" w:rsidRPr="00BC5E3A" w:rsidRDefault="00532758" w:rsidP="00E87E4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Cs/>
                <w:sz w:val="20"/>
                <w:szCs w:val="20"/>
                <w:lang w:bidi="ar-LB"/>
              </w:rPr>
            </w:pPr>
            <m:oMathPara>
              <m:oMathParaPr>
                <m:jc m:val="center"/>
              </m:oMathParaPr>
              <m:oMath>
                <m:r>
                  <m:rPr>
                    <m:sty m:val="p"/>
                  </m:rPr>
                  <w:rPr>
                    <w:rFonts w:ascii="Cambria Math" w:hAnsi="Cambria Math" w:cstheme="majorBidi"/>
                    <w:sz w:val="20"/>
                    <w:szCs w:val="20"/>
                    <w:lang w:bidi="ar-LB"/>
                  </w:rPr>
                  <m:t>J/kg K</m:t>
                </m:r>
              </m:oMath>
            </m:oMathPara>
          </w:p>
          <w:p w14:paraId="3343849C" w14:textId="484C229F" w:rsidR="00FB3509" w:rsidRPr="00BC5E3A" w:rsidRDefault="00532758" w:rsidP="00E87E4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Cs/>
                <w:sz w:val="20"/>
                <w:szCs w:val="20"/>
                <w:lang w:bidi="ar-LB"/>
              </w:rPr>
            </w:pPr>
            <m:oMathPara>
              <m:oMathParaPr>
                <m:jc m:val="center"/>
              </m:oMathParaPr>
              <m:oMath>
                <m:r>
                  <m:rPr>
                    <m:sty m:val="p"/>
                  </m:rPr>
                  <w:rPr>
                    <w:rFonts w:ascii="Cambria Math" w:hAnsi="Cambria Math" w:cstheme="majorBidi"/>
                    <w:sz w:val="20"/>
                    <w:szCs w:val="20"/>
                    <w:lang w:bidi="ar-LB"/>
                  </w:rPr>
                  <m:t>W/m K</m:t>
                </m:r>
              </m:oMath>
            </m:oMathPara>
          </w:p>
          <w:p w14:paraId="40431CAE" w14:textId="77777777" w:rsidR="00FB3509" w:rsidRPr="00BC5E3A" w:rsidRDefault="00FB3509" w:rsidP="00E87E4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Cs/>
                <w:sz w:val="20"/>
                <w:szCs w:val="20"/>
                <w:lang w:bidi="ar-LB"/>
              </w:rPr>
            </w:pPr>
          </w:p>
          <w:p w14:paraId="69B0080A" w14:textId="6A0BC5A9" w:rsidR="00FB3509" w:rsidRPr="00BC5E3A" w:rsidRDefault="00532758" w:rsidP="00E87E4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LB"/>
              </w:rPr>
            </w:pPr>
            <m:oMathPara>
              <m:oMathParaPr>
                <m:jc m:val="center"/>
              </m:oMathParaPr>
              <m:oMath>
                <m:r>
                  <w:rPr>
                    <w:rFonts w:ascii="Cambria Math" w:hAnsi="Cambria Math" w:cstheme="majorBidi"/>
                    <w:sz w:val="20"/>
                    <w:szCs w:val="20"/>
                    <w:lang w:bidi="ar-LB"/>
                  </w:rPr>
                  <m:t>Pa s</m:t>
                </m:r>
              </m:oMath>
            </m:oMathPara>
          </w:p>
        </w:tc>
        <w:tc>
          <w:tcPr>
            <w:tcW w:w="927" w:type="dxa"/>
            <w:tcBorders>
              <w:top w:val="single" w:sz="6" w:space="0" w:color="auto"/>
              <w:bottom w:val="single" w:sz="6" w:space="0" w:color="auto"/>
            </w:tcBorders>
          </w:tcPr>
          <w:p w14:paraId="7CD9EBE6" w14:textId="15053DE8" w:rsidR="00FB3509" w:rsidRPr="00BC5E3A" w:rsidRDefault="00B72864" w:rsidP="00202DF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Cs/>
                <w:sz w:val="20"/>
                <w:szCs w:val="20"/>
                <w:lang w:bidi="ar-LB"/>
              </w:rPr>
            </w:pPr>
            <w:r w:rsidRPr="00BC5E3A">
              <w:rPr>
                <w:rFonts w:asciiTheme="majorBidi" w:hAnsiTheme="majorBidi" w:cstheme="majorBidi"/>
                <w:iCs/>
                <w:sz w:val="20"/>
                <w:szCs w:val="20"/>
                <w:lang w:bidi="ar-LB"/>
              </w:rPr>
              <w:t>Standard value</w:t>
            </w:r>
          </w:p>
          <w:p w14:paraId="42AE04A0" w14:textId="4452C847" w:rsidR="00FB3509" w:rsidRPr="00BC5E3A" w:rsidRDefault="00FB3509" w:rsidP="00202DF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LB"/>
              </w:rPr>
            </w:pPr>
            <w:r w:rsidRPr="00BC5E3A">
              <w:rPr>
                <w:rFonts w:asciiTheme="majorBidi" w:hAnsiTheme="majorBidi" w:cstheme="majorBidi"/>
                <w:sz w:val="20"/>
                <w:szCs w:val="20"/>
                <w:lang w:bidi="ar-LB"/>
              </w:rPr>
              <w:t>[</w:t>
            </w:r>
            <w:r w:rsidR="00A04F44" w:rsidRPr="00BC5E3A">
              <w:rPr>
                <w:rFonts w:asciiTheme="majorBidi" w:hAnsiTheme="majorBidi" w:cstheme="majorBidi"/>
                <w:sz w:val="20"/>
                <w:szCs w:val="20"/>
                <w:lang w:bidi="ar-LB"/>
              </w:rPr>
              <w:t>24</w:t>
            </w:r>
            <w:r w:rsidR="00721F89" w:rsidRPr="00BC5E3A">
              <w:rPr>
                <w:rFonts w:asciiTheme="majorBidi" w:hAnsiTheme="majorBidi" w:cstheme="majorBidi"/>
                <w:sz w:val="20"/>
                <w:szCs w:val="20"/>
                <w:lang w:bidi="ar-LB"/>
              </w:rPr>
              <w:t>]</w:t>
            </w:r>
          </w:p>
          <w:p w14:paraId="28F43E26" w14:textId="74137C6B" w:rsidR="00FB3509" w:rsidRPr="00BC5E3A" w:rsidRDefault="00FB3509" w:rsidP="00202DF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LB"/>
              </w:rPr>
            </w:pPr>
            <w:r w:rsidRPr="00BC5E3A">
              <w:rPr>
                <w:rFonts w:asciiTheme="majorBidi" w:hAnsiTheme="majorBidi" w:cstheme="majorBidi"/>
                <w:sz w:val="20"/>
                <w:szCs w:val="20"/>
                <w:lang w:bidi="ar-LB"/>
              </w:rPr>
              <w:t>[</w:t>
            </w:r>
            <w:r w:rsidR="00A04F44" w:rsidRPr="00BC5E3A">
              <w:rPr>
                <w:rFonts w:asciiTheme="majorBidi" w:hAnsiTheme="majorBidi" w:cstheme="majorBidi"/>
                <w:sz w:val="20"/>
                <w:szCs w:val="20"/>
                <w:lang w:bidi="ar-LB"/>
              </w:rPr>
              <w:t>25</w:t>
            </w:r>
            <w:r w:rsidRPr="00BC5E3A">
              <w:rPr>
                <w:rFonts w:asciiTheme="majorBidi" w:hAnsiTheme="majorBidi" w:cstheme="majorBidi"/>
                <w:sz w:val="20"/>
                <w:szCs w:val="20"/>
                <w:lang w:bidi="ar-LB"/>
              </w:rPr>
              <w:t>]</w:t>
            </w:r>
          </w:p>
          <w:p w14:paraId="3D011158" w14:textId="77777777" w:rsidR="00FB3509" w:rsidRPr="00BC5E3A" w:rsidRDefault="00FB3509" w:rsidP="00202DF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LB"/>
              </w:rPr>
            </w:pPr>
          </w:p>
          <w:p w14:paraId="6D033921" w14:textId="005E616B" w:rsidR="00FB3509" w:rsidRPr="00BC5E3A" w:rsidRDefault="00FB3509" w:rsidP="00202DF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LB"/>
              </w:rPr>
            </w:pPr>
            <w:r w:rsidRPr="00BC5E3A">
              <w:rPr>
                <w:rFonts w:asciiTheme="majorBidi" w:hAnsiTheme="majorBidi" w:cstheme="majorBidi"/>
                <w:sz w:val="20"/>
                <w:szCs w:val="20"/>
                <w:lang w:bidi="ar-LB"/>
              </w:rPr>
              <w:t>[</w:t>
            </w:r>
            <w:r w:rsidR="00A04F44" w:rsidRPr="00BC5E3A">
              <w:rPr>
                <w:rFonts w:asciiTheme="majorBidi" w:hAnsiTheme="majorBidi" w:cstheme="majorBidi"/>
                <w:sz w:val="20"/>
                <w:szCs w:val="20"/>
                <w:lang w:bidi="ar-LB"/>
              </w:rPr>
              <w:t>26</w:t>
            </w:r>
            <w:r w:rsidRPr="00BC5E3A">
              <w:rPr>
                <w:rFonts w:asciiTheme="majorBidi" w:hAnsiTheme="majorBidi" w:cstheme="majorBidi"/>
                <w:sz w:val="20"/>
                <w:szCs w:val="20"/>
                <w:lang w:bidi="ar-LB"/>
              </w:rPr>
              <w:t>]</w:t>
            </w:r>
          </w:p>
        </w:tc>
      </w:tr>
      <w:tr w:rsidR="00BC5E3A" w:rsidRPr="00BC5E3A" w14:paraId="019B7B30" w14:textId="77777777" w:rsidTr="00010B00">
        <w:trPr>
          <w:jc w:val="center"/>
        </w:trPr>
        <w:tc>
          <w:tcPr>
            <w:cnfStyle w:val="001000000000" w:firstRow="0" w:lastRow="0" w:firstColumn="1" w:lastColumn="0" w:oddVBand="0" w:evenVBand="0" w:oddHBand="0" w:evenHBand="0" w:firstRowFirstColumn="0" w:firstRowLastColumn="0" w:lastRowFirstColumn="0" w:lastRowLastColumn="0"/>
            <w:tcW w:w="1585" w:type="dxa"/>
            <w:tcBorders>
              <w:top w:val="single" w:sz="6" w:space="0" w:color="auto"/>
              <w:bottom w:val="single" w:sz="6" w:space="0" w:color="auto"/>
            </w:tcBorders>
          </w:tcPr>
          <w:p w14:paraId="16C93B17" w14:textId="77777777" w:rsidR="00FB3509" w:rsidRPr="00BC5E3A" w:rsidRDefault="00FB3509" w:rsidP="00FB3509">
            <w:pPr>
              <w:rPr>
                <w:rFonts w:asciiTheme="majorBidi" w:hAnsiTheme="majorBidi" w:cstheme="majorBidi"/>
                <w:b w:val="0"/>
                <w:bCs w:val="0"/>
                <w:sz w:val="20"/>
                <w:szCs w:val="20"/>
                <w:lang w:bidi="ar-LB"/>
              </w:rPr>
            </w:pPr>
            <w:r w:rsidRPr="00BC5E3A">
              <w:rPr>
                <w:rFonts w:asciiTheme="majorBidi" w:hAnsiTheme="majorBidi" w:cstheme="majorBidi"/>
                <w:b w:val="0"/>
                <w:bCs w:val="0"/>
                <w:sz w:val="20"/>
                <w:szCs w:val="20"/>
                <w:lang w:bidi="ar-LB"/>
              </w:rPr>
              <w:t>Therminol VP-1</w:t>
            </w:r>
          </w:p>
        </w:tc>
        <w:tc>
          <w:tcPr>
            <w:tcW w:w="5426" w:type="dxa"/>
            <w:tcBorders>
              <w:top w:val="single" w:sz="6" w:space="0" w:color="auto"/>
              <w:bottom w:val="single" w:sz="6" w:space="0" w:color="auto"/>
            </w:tcBorders>
          </w:tcPr>
          <w:p w14:paraId="40EC9BCD" w14:textId="70B449EB" w:rsidR="00FB3509" w:rsidRPr="00BC5E3A" w:rsidRDefault="00ED49E1" w:rsidP="00202DF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LB"/>
              </w:rPr>
            </w:pPr>
            <m:oMathPara>
              <m:oMathParaPr>
                <m:jc m:val="center"/>
              </m:oMathParaPr>
              <m:oMath>
                <m:sSub>
                  <m:sSubPr>
                    <m:ctrlPr>
                      <w:rPr>
                        <w:rFonts w:ascii="Cambria Math" w:hAnsi="Cambria Math" w:cstheme="majorBidi"/>
                        <w:i/>
                        <w:sz w:val="20"/>
                        <w:szCs w:val="20"/>
                        <w:lang w:bidi="ar-LB"/>
                      </w:rPr>
                    </m:ctrlPr>
                  </m:sSubPr>
                  <m:e>
                    <m:r>
                      <w:rPr>
                        <w:rFonts w:ascii="Cambria Math" w:eastAsia="Times New Roman" w:hAnsi="Cambria Math" w:cstheme="majorBidi"/>
                        <w:sz w:val="20"/>
                        <w:szCs w:val="20"/>
                        <w:lang w:bidi="ar-LB"/>
                      </w:rPr>
                      <m:t>ρ</m:t>
                    </m:r>
                  </m:e>
                  <m:sub>
                    <m:r>
                      <w:rPr>
                        <w:rFonts w:ascii="Cambria Math" w:eastAsia="Times New Roman" w:hAnsi="Cambria Math" w:cstheme="majorBidi"/>
                        <w:sz w:val="20"/>
                        <w:szCs w:val="20"/>
                        <w:lang w:bidi="ar-LB"/>
                      </w:rPr>
                      <m:t>f</m:t>
                    </m:r>
                  </m:sub>
                </m:sSub>
                <m:d>
                  <m:dPr>
                    <m:ctrlPr>
                      <w:rPr>
                        <w:rFonts w:ascii="Cambria Math" w:hAnsi="Cambria Math" w:cstheme="majorBidi"/>
                        <w:i/>
                        <w:sz w:val="20"/>
                        <w:szCs w:val="20"/>
                        <w:lang w:bidi="ar-LB"/>
                      </w:rPr>
                    </m:ctrlPr>
                  </m:dPr>
                  <m:e>
                    <m:r>
                      <w:rPr>
                        <w:rFonts w:ascii="Cambria Math" w:eastAsia="Times New Roman" w:hAnsi="Cambria Math" w:cstheme="majorBidi"/>
                        <w:sz w:val="20"/>
                        <w:szCs w:val="20"/>
                        <w:lang w:bidi="ar-LB"/>
                      </w:rPr>
                      <m:t>T</m:t>
                    </m:r>
                    <m:r>
                      <w:rPr>
                        <w:rFonts w:ascii="Cambria Math" w:hAnsi="Cambria Math" w:cstheme="majorBidi"/>
                        <w:sz w:val="20"/>
                        <w:szCs w:val="20"/>
                        <w:lang w:bidi="ar-LB"/>
                      </w:rPr>
                      <m:t>(°C)</m:t>
                    </m:r>
                  </m:e>
                </m:d>
                <m:r>
                  <w:rPr>
                    <w:rFonts w:ascii="Cambria Math" w:eastAsia="Times New Roman" w:hAnsi="Cambria Math" w:cstheme="majorBidi"/>
                    <w:sz w:val="20"/>
                    <w:szCs w:val="20"/>
                    <w:lang w:bidi="ar-LB"/>
                  </w:rPr>
                  <m:t>=1083.25-0.90797⋅T+7.8116⋅</m:t>
                </m:r>
                <m:sSup>
                  <m:sSupPr>
                    <m:ctrlPr>
                      <w:rPr>
                        <w:rFonts w:ascii="Cambria Math" w:hAnsi="Cambria Math" w:cstheme="majorBidi"/>
                        <w:i/>
                        <w:sz w:val="20"/>
                        <w:szCs w:val="20"/>
                        <w:lang w:bidi="ar-LB"/>
                      </w:rPr>
                    </m:ctrlPr>
                  </m:sSupPr>
                  <m:e>
                    <m:r>
                      <w:rPr>
                        <w:rFonts w:ascii="Cambria Math" w:eastAsia="Times New Roman" w:hAnsi="Cambria Math" w:cstheme="majorBidi"/>
                        <w:sz w:val="20"/>
                        <w:szCs w:val="20"/>
                        <w:lang w:bidi="ar-LB"/>
                      </w:rPr>
                      <m:t>10</m:t>
                    </m:r>
                  </m:e>
                  <m:sup>
                    <m:r>
                      <w:rPr>
                        <w:rFonts w:ascii="Cambria Math" w:eastAsia="Times New Roman" w:hAnsi="Cambria Math" w:cstheme="majorBidi"/>
                        <w:sz w:val="20"/>
                        <w:szCs w:val="20"/>
                        <w:lang w:bidi="ar-LB"/>
                      </w:rPr>
                      <m:t>-4</m:t>
                    </m:r>
                  </m:sup>
                </m:sSup>
                <m:sSup>
                  <m:sSupPr>
                    <m:ctrlPr>
                      <w:rPr>
                        <w:rFonts w:ascii="Cambria Math" w:hAnsi="Cambria Math" w:cstheme="majorBidi"/>
                        <w:i/>
                        <w:sz w:val="20"/>
                        <w:szCs w:val="20"/>
                        <w:lang w:bidi="ar-LB"/>
                      </w:rPr>
                    </m:ctrlPr>
                  </m:sSupPr>
                  <m:e>
                    <m:r>
                      <w:rPr>
                        <w:rFonts w:ascii="Cambria Math" w:eastAsia="Times New Roman" w:hAnsi="Cambria Math" w:cstheme="majorBidi"/>
                        <w:sz w:val="20"/>
                        <w:szCs w:val="20"/>
                        <w:lang w:bidi="ar-LB"/>
                      </w:rPr>
                      <m:t>⋅T</m:t>
                    </m:r>
                  </m:e>
                  <m:sup>
                    <m:r>
                      <w:rPr>
                        <w:rFonts w:ascii="Cambria Math" w:eastAsia="Times New Roman" w:hAnsi="Cambria Math" w:cstheme="majorBidi"/>
                        <w:sz w:val="20"/>
                        <w:szCs w:val="20"/>
                        <w:lang w:bidi="ar-LB"/>
                      </w:rPr>
                      <m:t>2</m:t>
                    </m:r>
                  </m:sup>
                </m:sSup>
                <m:r>
                  <w:rPr>
                    <w:rFonts w:ascii="Cambria Math" w:eastAsia="Times New Roman" w:hAnsi="Cambria Math" w:cstheme="majorBidi"/>
                    <w:sz w:val="20"/>
                    <w:szCs w:val="20"/>
                    <w:lang w:bidi="ar-LB"/>
                  </w:rPr>
                  <m:t>+2.367⋅</m:t>
                </m:r>
                <m:sSup>
                  <m:sSupPr>
                    <m:ctrlPr>
                      <w:rPr>
                        <w:rFonts w:ascii="Cambria Math" w:hAnsi="Cambria Math" w:cstheme="majorBidi"/>
                        <w:i/>
                        <w:sz w:val="20"/>
                        <w:szCs w:val="20"/>
                        <w:lang w:bidi="ar-LB"/>
                      </w:rPr>
                    </m:ctrlPr>
                  </m:sSupPr>
                  <m:e>
                    <m:r>
                      <w:rPr>
                        <w:rFonts w:ascii="Cambria Math" w:eastAsia="Times New Roman" w:hAnsi="Cambria Math" w:cstheme="majorBidi"/>
                        <w:sz w:val="20"/>
                        <w:szCs w:val="20"/>
                        <w:lang w:bidi="ar-LB"/>
                      </w:rPr>
                      <m:t>10</m:t>
                    </m:r>
                  </m:e>
                  <m:sup>
                    <m:r>
                      <w:rPr>
                        <w:rFonts w:ascii="Cambria Math" w:eastAsia="Times New Roman" w:hAnsi="Cambria Math" w:cstheme="majorBidi"/>
                        <w:sz w:val="20"/>
                        <w:szCs w:val="20"/>
                        <w:lang w:bidi="ar-LB"/>
                      </w:rPr>
                      <m:t>-6</m:t>
                    </m:r>
                  </m:sup>
                </m:sSup>
                <m:sSup>
                  <m:sSupPr>
                    <m:ctrlPr>
                      <w:rPr>
                        <w:rFonts w:ascii="Cambria Math" w:hAnsi="Cambria Math" w:cstheme="majorBidi"/>
                        <w:i/>
                        <w:sz w:val="20"/>
                        <w:szCs w:val="20"/>
                        <w:lang w:bidi="ar-LB"/>
                      </w:rPr>
                    </m:ctrlPr>
                  </m:sSupPr>
                  <m:e>
                    <m:r>
                      <w:rPr>
                        <w:rFonts w:ascii="Cambria Math" w:eastAsia="Times New Roman" w:hAnsi="Cambria Math" w:cstheme="majorBidi"/>
                        <w:sz w:val="20"/>
                        <w:szCs w:val="20"/>
                        <w:lang w:bidi="ar-LB"/>
                      </w:rPr>
                      <m:t>⋅T</m:t>
                    </m:r>
                  </m:e>
                  <m:sup>
                    <m:r>
                      <w:rPr>
                        <w:rFonts w:ascii="Cambria Math" w:eastAsia="Times New Roman" w:hAnsi="Cambria Math" w:cstheme="majorBidi"/>
                        <w:sz w:val="20"/>
                        <w:szCs w:val="20"/>
                        <w:lang w:bidi="ar-LB"/>
                      </w:rPr>
                      <m:t>3</m:t>
                    </m:r>
                  </m:sup>
                </m:sSup>
              </m:oMath>
            </m:oMathPara>
          </w:p>
          <w:p w14:paraId="5021D506" w14:textId="5D3A902B" w:rsidR="00FB3509" w:rsidRPr="00BC5E3A" w:rsidRDefault="00ED49E1" w:rsidP="00202DF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LB"/>
              </w:rPr>
            </w:pPr>
            <m:oMathPara>
              <m:oMathParaPr>
                <m:jc m:val="center"/>
              </m:oMathParaPr>
              <m:oMath>
                <m:sSub>
                  <m:sSubPr>
                    <m:ctrlPr>
                      <w:rPr>
                        <w:rFonts w:ascii="Cambria Math" w:hAnsi="Cambria Math" w:cstheme="majorBidi"/>
                        <w:i/>
                        <w:sz w:val="20"/>
                        <w:szCs w:val="20"/>
                        <w:lang w:bidi="ar-LB"/>
                      </w:rPr>
                    </m:ctrlPr>
                  </m:sSubPr>
                  <m:e>
                    <m:r>
                      <w:rPr>
                        <w:rFonts w:ascii="Cambria Math" w:eastAsia="Times New Roman" w:hAnsi="Cambria Math" w:cstheme="majorBidi"/>
                        <w:sz w:val="20"/>
                        <w:szCs w:val="20"/>
                        <w:lang w:bidi="ar-LB"/>
                      </w:rPr>
                      <m:t>c</m:t>
                    </m:r>
                  </m:e>
                  <m:sub>
                    <m:r>
                      <w:rPr>
                        <w:rFonts w:ascii="Cambria Math" w:eastAsia="Times New Roman" w:hAnsi="Cambria Math" w:cstheme="majorBidi"/>
                        <w:sz w:val="20"/>
                        <w:szCs w:val="20"/>
                        <w:lang w:bidi="ar-LB"/>
                      </w:rPr>
                      <m:t>p</m:t>
                    </m:r>
                  </m:sub>
                </m:sSub>
                <m:d>
                  <m:dPr>
                    <m:ctrlPr>
                      <w:rPr>
                        <w:rFonts w:ascii="Cambria Math" w:hAnsi="Cambria Math" w:cstheme="majorBidi"/>
                        <w:i/>
                        <w:sz w:val="20"/>
                        <w:szCs w:val="20"/>
                        <w:lang w:bidi="ar-LB"/>
                      </w:rPr>
                    </m:ctrlPr>
                  </m:dPr>
                  <m:e>
                    <m:r>
                      <w:rPr>
                        <w:rFonts w:ascii="Cambria Math" w:eastAsia="Times New Roman" w:hAnsi="Cambria Math" w:cstheme="majorBidi"/>
                        <w:sz w:val="20"/>
                        <w:szCs w:val="20"/>
                        <w:lang w:bidi="ar-LB"/>
                      </w:rPr>
                      <m:t>T(°C)</m:t>
                    </m:r>
                  </m:e>
                </m:d>
                <m:r>
                  <w:rPr>
                    <w:rFonts w:ascii="Cambria Math" w:eastAsia="Times New Roman" w:hAnsi="Cambria Math" w:cstheme="majorBidi"/>
                    <w:sz w:val="20"/>
                    <w:szCs w:val="20"/>
                    <w:lang w:bidi="ar-LB"/>
                  </w:rPr>
                  <m:t>=1.498+0.002414⋅T+5.9591⋅</m:t>
                </m:r>
                <m:sSup>
                  <m:sSupPr>
                    <m:ctrlPr>
                      <w:rPr>
                        <w:rFonts w:ascii="Cambria Math" w:hAnsi="Cambria Math" w:cstheme="majorBidi"/>
                        <w:i/>
                        <w:sz w:val="20"/>
                        <w:szCs w:val="20"/>
                        <w:lang w:bidi="ar-LB"/>
                      </w:rPr>
                    </m:ctrlPr>
                  </m:sSupPr>
                  <m:e>
                    <m:r>
                      <w:rPr>
                        <w:rFonts w:ascii="Cambria Math" w:eastAsia="Times New Roman" w:hAnsi="Cambria Math" w:cstheme="majorBidi"/>
                        <w:sz w:val="20"/>
                        <w:szCs w:val="20"/>
                        <w:lang w:bidi="ar-LB"/>
                      </w:rPr>
                      <m:t>10</m:t>
                    </m:r>
                  </m:e>
                  <m:sup>
                    <m:r>
                      <w:rPr>
                        <w:rFonts w:ascii="Cambria Math" w:eastAsia="Times New Roman" w:hAnsi="Cambria Math" w:cstheme="majorBidi"/>
                        <w:sz w:val="20"/>
                        <w:szCs w:val="20"/>
                        <w:lang w:bidi="ar-LB"/>
                      </w:rPr>
                      <m:t>-6</m:t>
                    </m:r>
                  </m:sup>
                </m:sSup>
                <m:r>
                  <w:rPr>
                    <w:rFonts w:ascii="Cambria Math" w:eastAsia="Times New Roman" w:hAnsi="Cambria Math" w:cstheme="majorBidi"/>
                    <w:sz w:val="20"/>
                    <w:szCs w:val="20"/>
                    <w:lang w:bidi="ar-LB"/>
                  </w:rPr>
                  <m:t>⋅</m:t>
                </m:r>
                <m:sSup>
                  <m:sSupPr>
                    <m:ctrlPr>
                      <w:rPr>
                        <w:rFonts w:ascii="Cambria Math" w:hAnsi="Cambria Math" w:cstheme="majorBidi"/>
                        <w:i/>
                        <w:sz w:val="20"/>
                        <w:szCs w:val="20"/>
                        <w:lang w:bidi="ar-LB"/>
                      </w:rPr>
                    </m:ctrlPr>
                  </m:sSupPr>
                  <m:e>
                    <m:r>
                      <w:rPr>
                        <w:rFonts w:ascii="Cambria Math" w:eastAsia="Times New Roman" w:hAnsi="Cambria Math" w:cstheme="majorBidi"/>
                        <w:sz w:val="20"/>
                        <w:szCs w:val="20"/>
                        <w:lang w:bidi="ar-LB"/>
                      </w:rPr>
                      <m:t>T</m:t>
                    </m:r>
                  </m:e>
                  <m:sup>
                    <m:r>
                      <w:rPr>
                        <w:rFonts w:ascii="Cambria Math" w:eastAsia="Times New Roman" w:hAnsi="Cambria Math" w:cstheme="majorBidi"/>
                        <w:sz w:val="20"/>
                        <w:szCs w:val="20"/>
                        <w:lang w:bidi="ar-LB"/>
                      </w:rPr>
                      <m:t>2</m:t>
                    </m:r>
                  </m:sup>
                </m:sSup>
                <m:r>
                  <w:rPr>
                    <w:rFonts w:ascii="Cambria Math" w:eastAsia="Times New Roman" w:hAnsi="Cambria Math" w:cstheme="majorBidi"/>
                    <w:sz w:val="20"/>
                    <w:szCs w:val="20"/>
                    <w:lang w:bidi="ar-LB"/>
                  </w:rPr>
                  <m:t>-2.9879⋅</m:t>
                </m:r>
                <m:sSup>
                  <m:sSupPr>
                    <m:ctrlPr>
                      <w:rPr>
                        <w:rFonts w:ascii="Cambria Math" w:hAnsi="Cambria Math" w:cstheme="majorBidi"/>
                        <w:i/>
                        <w:sz w:val="20"/>
                        <w:szCs w:val="20"/>
                        <w:lang w:bidi="ar-LB"/>
                      </w:rPr>
                    </m:ctrlPr>
                  </m:sSupPr>
                  <m:e>
                    <m:r>
                      <w:rPr>
                        <w:rFonts w:ascii="Cambria Math" w:eastAsia="Times New Roman" w:hAnsi="Cambria Math" w:cstheme="majorBidi"/>
                        <w:sz w:val="20"/>
                        <w:szCs w:val="20"/>
                        <w:lang w:bidi="ar-LB"/>
                      </w:rPr>
                      <m:t>10</m:t>
                    </m:r>
                  </m:e>
                  <m:sup>
                    <m:r>
                      <w:rPr>
                        <w:rFonts w:ascii="Cambria Math" w:eastAsia="Times New Roman" w:hAnsi="Cambria Math" w:cstheme="majorBidi"/>
                        <w:sz w:val="20"/>
                        <w:szCs w:val="20"/>
                        <w:lang w:bidi="ar-LB"/>
                      </w:rPr>
                      <m:t>-8</m:t>
                    </m:r>
                  </m:sup>
                </m:sSup>
                <m:r>
                  <w:rPr>
                    <w:rFonts w:ascii="Cambria Math" w:eastAsia="Times New Roman" w:hAnsi="Cambria Math" w:cstheme="majorBidi"/>
                    <w:sz w:val="20"/>
                    <w:szCs w:val="20"/>
                    <w:lang w:bidi="ar-LB"/>
                  </w:rPr>
                  <m:t>⋅</m:t>
                </m:r>
                <m:sSup>
                  <m:sSupPr>
                    <m:ctrlPr>
                      <w:rPr>
                        <w:rFonts w:ascii="Cambria Math" w:hAnsi="Cambria Math" w:cstheme="majorBidi"/>
                        <w:i/>
                        <w:sz w:val="20"/>
                        <w:szCs w:val="20"/>
                        <w:lang w:bidi="ar-LB"/>
                      </w:rPr>
                    </m:ctrlPr>
                  </m:sSupPr>
                  <m:e>
                    <m:r>
                      <w:rPr>
                        <w:rFonts w:ascii="Cambria Math" w:eastAsia="Times New Roman" w:hAnsi="Cambria Math" w:cstheme="majorBidi"/>
                        <w:sz w:val="20"/>
                        <w:szCs w:val="20"/>
                        <w:lang w:bidi="ar-LB"/>
                      </w:rPr>
                      <m:t>T</m:t>
                    </m:r>
                  </m:e>
                  <m:sup>
                    <m:r>
                      <w:rPr>
                        <w:rFonts w:ascii="Cambria Math" w:eastAsia="Times New Roman" w:hAnsi="Cambria Math" w:cstheme="majorBidi"/>
                        <w:sz w:val="20"/>
                        <w:szCs w:val="20"/>
                        <w:lang w:bidi="ar-LB"/>
                      </w:rPr>
                      <m:t>3</m:t>
                    </m:r>
                  </m:sup>
                </m:sSup>
                <m:r>
                  <w:rPr>
                    <w:rFonts w:ascii="Cambria Math" w:eastAsia="Times New Roman" w:hAnsi="Cambria Math" w:cstheme="majorBidi"/>
                    <w:sz w:val="20"/>
                    <w:szCs w:val="20"/>
                    <w:lang w:bidi="ar-LB"/>
                  </w:rPr>
                  <m:t>+4.4172⋅</m:t>
                </m:r>
                <m:sSup>
                  <m:sSupPr>
                    <m:ctrlPr>
                      <w:rPr>
                        <w:rFonts w:ascii="Cambria Math" w:hAnsi="Cambria Math" w:cstheme="majorBidi"/>
                        <w:i/>
                        <w:sz w:val="20"/>
                        <w:szCs w:val="20"/>
                        <w:lang w:bidi="ar-LB"/>
                      </w:rPr>
                    </m:ctrlPr>
                  </m:sSupPr>
                  <m:e>
                    <m:r>
                      <w:rPr>
                        <w:rFonts w:ascii="Cambria Math" w:eastAsia="Times New Roman" w:hAnsi="Cambria Math" w:cstheme="majorBidi"/>
                        <w:sz w:val="20"/>
                        <w:szCs w:val="20"/>
                        <w:lang w:bidi="ar-LB"/>
                      </w:rPr>
                      <m:t>10</m:t>
                    </m:r>
                  </m:e>
                  <m:sup>
                    <m:r>
                      <w:rPr>
                        <w:rFonts w:ascii="Cambria Math" w:eastAsia="Times New Roman" w:hAnsi="Cambria Math" w:cstheme="majorBidi"/>
                        <w:sz w:val="20"/>
                        <w:szCs w:val="20"/>
                        <w:lang w:bidi="ar-LB"/>
                      </w:rPr>
                      <m:t>-11</m:t>
                    </m:r>
                  </m:sup>
                </m:sSup>
                <m:r>
                  <w:rPr>
                    <w:rFonts w:ascii="Cambria Math" w:eastAsia="Times New Roman" w:hAnsi="Cambria Math" w:cstheme="majorBidi"/>
                    <w:sz w:val="20"/>
                    <w:szCs w:val="20"/>
                    <w:lang w:bidi="ar-LB"/>
                  </w:rPr>
                  <m:t>⋅</m:t>
                </m:r>
                <m:sSup>
                  <m:sSupPr>
                    <m:ctrlPr>
                      <w:rPr>
                        <w:rFonts w:ascii="Cambria Math" w:hAnsi="Cambria Math" w:cstheme="majorBidi"/>
                        <w:i/>
                        <w:sz w:val="20"/>
                        <w:szCs w:val="20"/>
                        <w:lang w:bidi="ar-LB"/>
                      </w:rPr>
                    </m:ctrlPr>
                  </m:sSupPr>
                  <m:e>
                    <m:r>
                      <w:rPr>
                        <w:rFonts w:ascii="Cambria Math" w:eastAsia="Times New Roman" w:hAnsi="Cambria Math" w:cstheme="majorBidi"/>
                        <w:sz w:val="20"/>
                        <w:szCs w:val="20"/>
                        <w:lang w:bidi="ar-LB"/>
                      </w:rPr>
                      <m:t>T</m:t>
                    </m:r>
                  </m:e>
                  <m:sup>
                    <m:r>
                      <w:rPr>
                        <w:rFonts w:ascii="Cambria Math" w:eastAsia="Times New Roman" w:hAnsi="Cambria Math" w:cstheme="majorBidi"/>
                        <w:sz w:val="20"/>
                        <w:szCs w:val="20"/>
                        <w:lang w:bidi="ar-LB"/>
                      </w:rPr>
                      <m:t>4</m:t>
                    </m:r>
                  </m:sup>
                </m:sSup>
              </m:oMath>
            </m:oMathPara>
          </w:p>
          <w:p w14:paraId="3CF620F2" w14:textId="48EF7943" w:rsidR="00FB3509" w:rsidRPr="00BC5E3A" w:rsidRDefault="00ED49E1" w:rsidP="00202DF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LB"/>
              </w:rPr>
            </w:pPr>
            <m:oMathPara>
              <m:oMathParaPr>
                <m:jc m:val="center"/>
              </m:oMathParaPr>
              <m:oMath>
                <m:sSub>
                  <m:sSubPr>
                    <m:ctrlPr>
                      <w:rPr>
                        <w:rFonts w:ascii="Cambria Math" w:hAnsi="Cambria Math" w:cstheme="majorBidi"/>
                        <w:i/>
                        <w:sz w:val="20"/>
                        <w:szCs w:val="20"/>
                        <w:lang w:bidi="ar-LB"/>
                      </w:rPr>
                    </m:ctrlPr>
                  </m:sSubPr>
                  <m:e>
                    <m:r>
                      <w:rPr>
                        <w:rFonts w:ascii="Cambria Math" w:eastAsia="Times New Roman" w:hAnsi="Cambria Math" w:cstheme="majorBidi"/>
                        <w:sz w:val="20"/>
                        <w:szCs w:val="20"/>
                        <w:lang w:bidi="ar-LB"/>
                      </w:rPr>
                      <m:t>k</m:t>
                    </m:r>
                  </m:e>
                  <m:sub>
                    <m:r>
                      <w:rPr>
                        <w:rFonts w:ascii="Cambria Math" w:eastAsia="Times New Roman" w:hAnsi="Cambria Math" w:cstheme="majorBidi"/>
                        <w:sz w:val="20"/>
                        <w:szCs w:val="20"/>
                        <w:lang w:bidi="ar-LB"/>
                      </w:rPr>
                      <m:t>f</m:t>
                    </m:r>
                  </m:sub>
                </m:sSub>
                <m:d>
                  <m:dPr>
                    <m:ctrlPr>
                      <w:rPr>
                        <w:rFonts w:ascii="Cambria Math" w:hAnsi="Cambria Math" w:cstheme="majorBidi"/>
                        <w:i/>
                        <w:sz w:val="20"/>
                        <w:szCs w:val="20"/>
                        <w:lang w:bidi="ar-LB"/>
                      </w:rPr>
                    </m:ctrlPr>
                  </m:dPr>
                  <m:e>
                    <m:r>
                      <w:rPr>
                        <w:rFonts w:ascii="Cambria Math" w:eastAsia="Times New Roman" w:hAnsi="Cambria Math" w:cstheme="majorBidi"/>
                        <w:sz w:val="20"/>
                        <w:szCs w:val="20"/>
                        <w:lang w:bidi="ar-LB"/>
                      </w:rPr>
                      <m:t>T(°C)</m:t>
                    </m:r>
                  </m:e>
                </m:d>
                <m:r>
                  <w:rPr>
                    <w:rFonts w:ascii="Cambria Math" w:eastAsia="Times New Roman" w:hAnsi="Cambria Math" w:cstheme="majorBidi"/>
                    <w:sz w:val="20"/>
                    <w:szCs w:val="20"/>
                    <w:lang w:bidi="ar-LB"/>
                  </w:rPr>
                  <m:t>=0.1377-8.1947⋅</m:t>
                </m:r>
                <m:sSup>
                  <m:sSupPr>
                    <m:ctrlPr>
                      <w:rPr>
                        <w:rFonts w:ascii="Cambria Math" w:hAnsi="Cambria Math" w:cstheme="majorBidi"/>
                        <w:i/>
                        <w:sz w:val="20"/>
                        <w:szCs w:val="20"/>
                        <w:lang w:bidi="ar-LB"/>
                      </w:rPr>
                    </m:ctrlPr>
                  </m:sSupPr>
                  <m:e>
                    <m:r>
                      <w:rPr>
                        <w:rFonts w:ascii="Cambria Math" w:eastAsia="Times New Roman" w:hAnsi="Cambria Math" w:cstheme="majorBidi"/>
                        <w:sz w:val="20"/>
                        <w:szCs w:val="20"/>
                        <w:lang w:bidi="ar-LB"/>
                      </w:rPr>
                      <m:t>10</m:t>
                    </m:r>
                  </m:e>
                  <m:sup>
                    <m:r>
                      <w:rPr>
                        <w:rFonts w:ascii="Cambria Math" w:eastAsia="Times New Roman" w:hAnsi="Cambria Math" w:cstheme="majorBidi"/>
                        <w:sz w:val="20"/>
                        <w:szCs w:val="20"/>
                        <w:lang w:bidi="ar-LB"/>
                      </w:rPr>
                      <m:t>-5</m:t>
                    </m:r>
                  </m:sup>
                </m:sSup>
                <m:r>
                  <w:rPr>
                    <w:rFonts w:ascii="Cambria Math" w:eastAsia="Times New Roman" w:hAnsi="Cambria Math" w:cstheme="majorBidi"/>
                    <w:sz w:val="20"/>
                    <w:szCs w:val="20"/>
                    <w:lang w:bidi="ar-LB"/>
                  </w:rPr>
                  <m:t>⋅T-1.9225⋅</m:t>
                </m:r>
                <m:sSup>
                  <m:sSupPr>
                    <m:ctrlPr>
                      <w:rPr>
                        <w:rFonts w:ascii="Cambria Math" w:hAnsi="Cambria Math" w:cstheme="majorBidi"/>
                        <w:i/>
                        <w:sz w:val="20"/>
                        <w:szCs w:val="20"/>
                        <w:lang w:bidi="ar-LB"/>
                      </w:rPr>
                    </m:ctrlPr>
                  </m:sSupPr>
                  <m:e>
                    <m:r>
                      <w:rPr>
                        <w:rFonts w:ascii="Cambria Math" w:eastAsia="Times New Roman" w:hAnsi="Cambria Math" w:cstheme="majorBidi"/>
                        <w:sz w:val="20"/>
                        <w:szCs w:val="20"/>
                        <w:lang w:bidi="ar-LB"/>
                      </w:rPr>
                      <m:t>10</m:t>
                    </m:r>
                  </m:e>
                  <m:sup>
                    <m:r>
                      <w:rPr>
                        <w:rFonts w:ascii="Cambria Math" w:eastAsia="Times New Roman" w:hAnsi="Cambria Math" w:cstheme="majorBidi"/>
                        <w:sz w:val="20"/>
                        <w:szCs w:val="20"/>
                        <w:lang w:bidi="ar-LB"/>
                      </w:rPr>
                      <m:t>-7</m:t>
                    </m:r>
                  </m:sup>
                </m:sSup>
                <m:r>
                  <w:rPr>
                    <w:rFonts w:ascii="Cambria Math" w:eastAsia="Times New Roman" w:hAnsi="Cambria Math" w:cstheme="majorBidi"/>
                    <w:sz w:val="20"/>
                    <w:szCs w:val="20"/>
                    <w:lang w:bidi="ar-LB"/>
                  </w:rPr>
                  <m:t>⋅</m:t>
                </m:r>
                <m:sSup>
                  <m:sSupPr>
                    <m:ctrlPr>
                      <w:rPr>
                        <w:rFonts w:ascii="Cambria Math" w:hAnsi="Cambria Math" w:cstheme="majorBidi"/>
                        <w:i/>
                        <w:sz w:val="20"/>
                        <w:szCs w:val="20"/>
                        <w:lang w:bidi="ar-LB"/>
                      </w:rPr>
                    </m:ctrlPr>
                  </m:sSupPr>
                  <m:e>
                    <m:r>
                      <w:rPr>
                        <w:rFonts w:ascii="Cambria Math" w:eastAsia="Times New Roman" w:hAnsi="Cambria Math" w:cstheme="majorBidi"/>
                        <w:sz w:val="20"/>
                        <w:szCs w:val="20"/>
                        <w:lang w:bidi="ar-LB"/>
                      </w:rPr>
                      <m:t>T</m:t>
                    </m:r>
                  </m:e>
                  <m:sup>
                    <m:r>
                      <w:rPr>
                        <w:rFonts w:ascii="Cambria Math" w:eastAsia="Times New Roman" w:hAnsi="Cambria Math" w:cstheme="majorBidi"/>
                        <w:sz w:val="20"/>
                        <w:szCs w:val="20"/>
                        <w:lang w:bidi="ar-LB"/>
                      </w:rPr>
                      <m:t>2</m:t>
                    </m:r>
                  </m:sup>
                </m:sSup>
                <m:r>
                  <w:rPr>
                    <w:rFonts w:ascii="Cambria Math" w:eastAsia="Times New Roman" w:hAnsi="Cambria Math" w:cstheme="majorBidi"/>
                    <w:sz w:val="20"/>
                    <w:szCs w:val="20"/>
                    <w:lang w:bidi="ar-LB"/>
                  </w:rPr>
                  <m:t>+2.5034⋅</m:t>
                </m:r>
                <m:sSup>
                  <m:sSupPr>
                    <m:ctrlPr>
                      <w:rPr>
                        <w:rFonts w:ascii="Cambria Math" w:hAnsi="Cambria Math" w:cstheme="majorBidi"/>
                        <w:i/>
                        <w:sz w:val="20"/>
                        <w:szCs w:val="20"/>
                        <w:lang w:bidi="ar-LB"/>
                      </w:rPr>
                    </m:ctrlPr>
                  </m:sSupPr>
                  <m:e>
                    <m:r>
                      <w:rPr>
                        <w:rFonts w:ascii="Cambria Math" w:eastAsia="Times New Roman" w:hAnsi="Cambria Math" w:cstheme="majorBidi"/>
                        <w:sz w:val="20"/>
                        <w:szCs w:val="20"/>
                        <w:lang w:bidi="ar-LB"/>
                      </w:rPr>
                      <m:t>10</m:t>
                    </m:r>
                  </m:e>
                  <m:sup>
                    <m:r>
                      <w:rPr>
                        <w:rFonts w:ascii="Cambria Math" w:eastAsia="Times New Roman" w:hAnsi="Cambria Math" w:cstheme="majorBidi"/>
                        <w:sz w:val="20"/>
                        <w:szCs w:val="20"/>
                        <w:lang w:bidi="ar-LB"/>
                      </w:rPr>
                      <m:t>-11</m:t>
                    </m:r>
                  </m:sup>
                </m:sSup>
                <m:sSup>
                  <m:sSupPr>
                    <m:ctrlPr>
                      <w:rPr>
                        <w:rFonts w:ascii="Cambria Math" w:hAnsi="Cambria Math" w:cstheme="majorBidi"/>
                        <w:i/>
                        <w:sz w:val="20"/>
                        <w:szCs w:val="20"/>
                        <w:lang w:bidi="ar-LB"/>
                      </w:rPr>
                    </m:ctrlPr>
                  </m:sSupPr>
                  <m:e>
                    <m:r>
                      <w:rPr>
                        <w:rFonts w:ascii="Cambria Math" w:eastAsia="Times New Roman" w:hAnsi="Cambria Math" w:cstheme="majorBidi"/>
                        <w:sz w:val="20"/>
                        <w:szCs w:val="20"/>
                        <w:lang w:bidi="ar-LB"/>
                      </w:rPr>
                      <m:t>⋅T</m:t>
                    </m:r>
                  </m:e>
                  <m:sup>
                    <m:r>
                      <w:rPr>
                        <w:rFonts w:ascii="Cambria Math" w:eastAsia="Times New Roman" w:hAnsi="Cambria Math" w:cstheme="majorBidi"/>
                        <w:sz w:val="20"/>
                        <w:szCs w:val="20"/>
                        <w:lang w:bidi="ar-LB"/>
                      </w:rPr>
                      <m:t>3</m:t>
                    </m:r>
                  </m:sup>
                </m:sSup>
                <m:r>
                  <w:rPr>
                    <w:rFonts w:ascii="Cambria Math" w:eastAsia="Times New Roman" w:hAnsi="Cambria Math" w:cstheme="majorBidi"/>
                    <w:sz w:val="20"/>
                    <w:szCs w:val="20"/>
                    <w:lang w:bidi="ar-LB"/>
                  </w:rPr>
                  <m:t>-7.2974⋅</m:t>
                </m:r>
                <m:sSup>
                  <m:sSupPr>
                    <m:ctrlPr>
                      <w:rPr>
                        <w:rFonts w:ascii="Cambria Math" w:hAnsi="Cambria Math" w:cstheme="majorBidi"/>
                        <w:i/>
                        <w:sz w:val="20"/>
                        <w:szCs w:val="20"/>
                        <w:lang w:bidi="ar-LB"/>
                      </w:rPr>
                    </m:ctrlPr>
                  </m:sSupPr>
                  <m:e>
                    <m:r>
                      <w:rPr>
                        <w:rFonts w:ascii="Cambria Math" w:eastAsia="Times New Roman" w:hAnsi="Cambria Math" w:cstheme="majorBidi"/>
                        <w:sz w:val="20"/>
                        <w:szCs w:val="20"/>
                        <w:lang w:bidi="ar-LB"/>
                      </w:rPr>
                      <m:t>10</m:t>
                    </m:r>
                  </m:e>
                  <m:sup>
                    <m:r>
                      <w:rPr>
                        <w:rFonts w:ascii="Cambria Math" w:eastAsia="Times New Roman" w:hAnsi="Cambria Math" w:cstheme="majorBidi"/>
                        <w:sz w:val="20"/>
                        <w:szCs w:val="20"/>
                        <w:lang w:bidi="ar-LB"/>
                      </w:rPr>
                      <m:t>-15</m:t>
                    </m:r>
                  </m:sup>
                </m:sSup>
                <m:r>
                  <w:rPr>
                    <w:rFonts w:ascii="Cambria Math" w:eastAsia="Times New Roman" w:hAnsi="Cambria Math" w:cstheme="majorBidi"/>
                    <w:sz w:val="20"/>
                    <w:szCs w:val="20"/>
                    <w:lang w:bidi="ar-LB"/>
                  </w:rPr>
                  <m:t>⋅</m:t>
                </m:r>
                <m:sSup>
                  <m:sSupPr>
                    <m:ctrlPr>
                      <w:rPr>
                        <w:rFonts w:ascii="Cambria Math" w:hAnsi="Cambria Math" w:cstheme="majorBidi"/>
                        <w:i/>
                        <w:sz w:val="20"/>
                        <w:szCs w:val="20"/>
                        <w:lang w:bidi="ar-LB"/>
                      </w:rPr>
                    </m:ctrlPr>
                  </m:sSupPr>
                  <m:e>
                    <m:r>
                      <w:rPr>
                        <w:rFonts w:ascii="Cambria Math" w:eastAsia="Times New Roman" w:hAnsi="Cambria Math" w:cstheme="majorBidi"/>
                        <w:sz w:val="20"/>
                        <w:szCs w:val="20"/>
                        <w:lang w:bidi="ar-LB"/>
                      </w:rPr>
                      <m:t>T</m:t>
                    </m:r>
                  </m:e>
                  <m:sup>
                    <m:r>
                      <w:rPr>
                        <w:rFonts w:ascii="Cambria Math" w:eastAsia="Times New Roman" w:hAnsi="Cambria Math" w:cstheme="majorBidi"/>
                        <w:sz w:val="20"/>
                        <w:szCs w:val="20"/>
                        <w:lang w:bidi="ar-LB"/>
                      </w:rPr>
                      <m:t>4</m:t>
                    </m:r>
                  </m:sup>
                </m:sSup>
              </m:oMath>
            </m:oMathPara>
          </w:p>
          <w:p w14:paraId="495AAE9E" w14:textId="53065B3E" w:rsidR="00FB3509" w:rsidRPr="00BC5E3A" w:rsidRDefault="00ED49E1" w:rsidP="00202DF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LB"/>
              </w:rPr>
            </w:pPr>
            <m:oMathPara>
              <m:oMathParaPr>
                <m:jc m:val="center"/>
              </m:oMathParaPr>
              <m:oMath>
                <m:sSub>
                  <m:sSubPr>
                    <m:ctrlPr>
                      <w:rPr>
                        <w:rFonts w:ascii="Cambria Math" w:hAnsi="Cambria Math" w:cstheme="majorBidi"/>
                        <w:i/>
                        <w:sz w:val="20"/>
                        <w:szCs w:val="20"/>
                        <w:lang w:bidi="ar-LB"/>
                      </w:rPr>
                    </m:ctrlPr>
                  </m:sSubPr>
                  <m:e>
                    <m:r>
                      <w:rPr>
                        <w:rFonts w:ascii="Cambria Math" w:hAnsi="Cambria Math" w:cstheme="majorBidi"/>
                        <w:sz w:val="20"/>
                        <w:szCs w:val="20"/>
                        <w:lang w:bidi="ar-LB"/>
                      </w:rPr>
                      <m:t>μ</m:t>
                    </m:r>
                  </m:e>
                  <m:sub>
                    <m:r>
                      <w:rPr>
                        <w:rFonts w:ascii="Cambria Math" w:hAnsi="Cambria Math" w:cstheme="majorBidi"/>
                        <w:sz w:val="20"/>
                        <w:szCs w:val="20"/>
                        <w:lang w:bidi="ar-LB"/>
                      </w:rPr>
                      <m:t>f</m:t>
                    </m:r>
                  </m:sub>
                </m:sSub>
                <m:d>
                  <m:dPr>
                    <m:ctrlPr>
                      <w:rPr>
                        <w:rFonts w:ascii="Cambria Math" w:hAnsi="Cambria Math" w:cstheme="majorBidi"/>
                        <w:i/>
                        <w:sz w:val="20"/>
                        <w:szCs w:val="20"/>
                        <w:lang w:bidi="ar-LB"/>
                      </w:rPr>
                    </m:ctrlPr>
                  </m:dPr>
                  <m:e>
                    <m:r>
                      <w:rPr>
                        <w:rFonts w:ascii="Cambria Math" w:hAnsi="Cambria Math" w:cstheme="majorBidi"/>
                        <w:sz w:val="20"/>
                        <w:szCs w:val="20"/>
                        <w:lang w:bidi="ar-LB"/>
                      </w:rPr>
                      <m:t>T(°C)</m:t>
                    </m:r>
                  </m:e>
                </m:d>
                <m:r>
                  <w:rPr>
                    <w:rFonts w:ascii="Cambria Math" w:hAnsi="Cambria Math" w:cstheme="majorBidi"/>
                    <w:sz w:val="20"/>
                    <w:szCs w:val="20"/>
                    <w:lang w:bidi="ar-LB"/>
                  </w:rPr>
                  <m:t>=171.5</m:t>
                </m:r>
                <m:r>
                  <w:rPr>
                    <w:rFonts w:ascii="Cambria Math" w:eastAsia="Times New Roman" w:hAnsi="Cambria Math" w:cstheme="majorBidi"/>
                    <w:sz w:val="20"/>
                    <w:szCs w:val="20"/>
                    <w:lang w:bidi="ar-LB"/>
                  </w:rPr>
                  <m:t xml:space="preserve"> </m:t>
                </m:r>
                <m:sSup>
                  <m:sSupPr>
                    <m:ctrlPr>
                      <w:rPr>
                        <w:rFonts w:ascii="Cambria Math" w:eastAsia="Times New Roman" w:hAnsi="Cambria Math" w:cstheme="majorBidi"/>
                        <w:i/>
                        <w:sz w:val="20"/>
                        <w:szCs w:val="20"/>
                        <w:lang w:bidi="ar-LB"/>
                      </w:rPr>
                    </m:ctrlPr>
                  </m:sSupPr>
                  <m:e>
                    <m:r>
                      <w:rPr>
                        <w:rFonts w:ascii="Cambria Math" w:eastAsia="Times New Roman" w:hAnsi="Cambria Math" w:cstheme="majorBidi"/>
                        <w:sz w:val="20"/>
                        <w:szCs w:val="20"/>
                        <w:lang w:bidi="ar-LB"/>
                      </w:rPr>
                      <m:t>T</m:t>
                    </m:r>
                  </m:e>
                  <m:sup>
                    <m:r>
                      <w:rPr>
                        <w:rFonts w:ascii="Cambria Math" w:eastAsia="Times New Roman" w:hAnsi="Cambria Math" w:cstheme="majorBidi"/>
                        <w:sz w:val="20"/>
                        <w:szCs w:val="20"/>
                        <w:lang w:bidi="ar-LB"/>
                      </w:rPr>
                      <m:t>-1.155</m:t>
                    </m:r>
                  </m:sup>
                </m:sSup>
              </m:oMath>
            </m:oMathPara>
          </w:p>
        </w:tc>
        <w:tc>
          <w:tcPr>
            <w:tcW w:w="849" w:type="dxa"/>
            <w:tcBorders>
              <w:top w:val="single" w:sz="6" w:space="0" w:color="auto"/>
              <w:bottom w:val="single" w:sz="6" w:space="0" w:color="auto"/>
            </w:tcBorders>
          </w:tcPr>
          <w:p w14:paraId="36E9C0E9" w14:textId="257052A6" w:rsidR="00FB3509" w:rsidRPr="00BC5E3A" w:rsidRDefault="00532758" w:rsidP="00202DF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iCs/>
                <w:sz w:val="20"/>
                <w:szCs w:val="20"/>
                <w:lang w:bidi="ar-LB"/>
              </w:rPr>
            </w:pPr>
            <m:oMathPara>
              <m:oMathParaPr>
                <m:jc m:val="center"/>
              </m:oMathParaPr>
              <m:oMath>
                <m:r>
                  <m:rPr>
                    <m:sty m:val="p"/>
                  </m:rPr>
                  <w:rPr>
                    <w:rFonts w:ascii="Cambria Math" w:hAnsi="Cambria Math" w:cstheme="majorBidi"/>
                    <w:sz w:val="20"/>
                    <w:szCs w:val="20"/>
                    <w:lang w:bidi="ar-LB"/>
                  </w:rPr>
                  <m:t>kg/m</m:t>
                </m:r>
              </m:oMath>
            </m:oMathPara>
          </w:p>
          <w:p w14:paraId="4092EA96" w14:textId="77777777" w:rsidR="00721F89" w:rsidRPr="00BC5E3A" w:rsidRDefault="00721F89" w:rsidP="00202DF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iCs/>
                <w:sz w:val="20"/>
                <w:szCs w:val="20"/>
                <w:lang w:bidi="ar-LB"/>
              </w:rPr>
            </w:pPr>
          </w:p>
          <w:p w14:paraId="409A787F" w14:textId="112481C4" w:rsidR="00FB3509" w:rsidRPr="00BC5E3A" w:rsidRDefault="00532758" w:rsidP="00202DF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Cs/>
                <w:sz w:val="20"/>
                <w:szCs w:val="20"/>
                <w:lang w:bidi="ar-LB"/>
              </w:rPr>
            </w:pPr>
            <m:oMathPara>
              <m:oMathParaPr>
                <m:jc m:val="center"/>
              </m:oMathParaPr>
              <m:oMath>
                <m:r>
                  <m:rPr>
                    <m:sty m:val="p"/>
                  </m:rPr>
                  <w:rPr>
                    <w:rFonts w:ascii="Cambria Math" w:hAnsi="Cambria Math" w:cstheme="majorBidi"/>
                    <w:sz w:val="20"/>
                    <w:szCs w:val="20"/>
                    <w:lang w:bidi="ar-LB"/>
                  </w:rPr>
                  <m:t>J/g K</m:t>
                </m:r>
              </m:oMath>
            </m:oMathPara>
          </w:p>
          <w:p w14:paraId="50BFC8A9" w14:textId="77777777" w:rsidR="00721F89" w:rsidRPr="00BC5E3A" w:rsidRDefault="00721F89" w:rsidP="00202DF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Cs/>
                <w:sz w:val="20"/>
                <w:szCs w:val="20"/>
                <w:lang w:bidi="ar-LB"/>
              </w:rPr>
            </w:pPr>
          </w:p>
          <w:p w14:paraId="010D6F6A" w14:textId="38708C36" w:rsidR="00FB3509" w:rsidRPr="00BC5E3A" w:rsidRDefault="00532758" w:rsidP="00202DF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Cs/>
                <w:sz w:val="20"/>
                <w:szCs w:val="20"/>
                <w:lang w:bidi="ar-LB"/>
              </w:rPr>
            </w:pPr>
            <m:oMathPara>
              <m:oMathParaPr>
                <m:jc m:val="center"/>
              </m:oMathParaPr>
              <m:oMath>
                <m:r>
                  <m:rPr>
                    <m:sty m:val="p"/>
                  </m:rPr>
                  <w:rPr>
                    <w:rFonts w:ascii="Cambria Math" w:hAnsi="Cambria Math" w:cstheme="majorBidi"/>
                    <w:sz w:val="20"/>
                    <w:szCs w:val="20"/>
                    <w:lang w:bidi="ar-LB"/>
                  </w:rPr>
                  <m:t>W/m K</m:t>
                </m:r>
              </m:oMath>
            </m:oMathPara>
          </w:p>
          <w:p w14:paraId="717F4699" w14:textId="77777777" w:rsidR="00721F89" w:rsidRPr="00BC5E3A" w:rsidRDefault="00721F89" w:rsidP="00202DF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Cs/>
                <w:sz w:val="20"/>
                <w:szCs w:val="20"/>
                <w:lang w:bidi="ar-LB"/>
              </w:rPr>
            </w:pPr>
          </w:p>
          <w:p w14:paraId="7B77EFB9" w14:textId="42CA99E9" w:rsidR="00FB3509" w:rsidRPr="00BC5E3A" w:rsidRDefault="00532758" w:rsidP="00202DF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Cs/>
                <w:sz w:val="20"/>
                <w:szCs w:val="20"/>
                <w:lang w:bidi="ar-LB"/>
              </w:rPr>
            </w:pPr>
            <m:oMathPara>
              <m:oMathParaPr>
                <m:jc m:val="center"/>
              </m:oMathParaPr>
              <m:oMath>
                <m:r>
                  <w:rPr>
                    <w:rFonts w:ascii="Cambria Math" w:hAnsi="Cambria Math" w:cstheme="majorBidi"/>
                    <w:sz w:val="20"/>
                    <w:szCs w:val="20"/>
                    <w:lang w:bidi="ar-LB"/>
                  </w:rPr>
                  <m:t>cP</m:t>
                </m:r>
              </m:oMath>
            </m:oMathPara>
          </w:p>
        </w:tc>
        <w:tc>
          <w:tcPr>
            <w:tcW w:w="927" w:type="dxa"/>
            <w:tcBorders>
              <w:top w:val="single" w:sz="6" w:space="0" w:color="auto"/>
              <w:bottom w:val="single" w:sz="6" w:space="0" w:color="auto"/>
            </w:tcBorders>
          </w:tcPr>
          <w:p w14:paraId="43349195" w14:textId="5EB522D8" w:rsidR="00FB3509" w:rsidRPr="00BC5E3A" w:rsidRDefault="00FB3509" w:rsidP="00202DF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LB"/>
              </w:rPr>
            </w:pPr>
            <w:r w:rsidRPr="00BC5E3A">
              <w:rPr>
                <w:rFonts w:asciiTheme="majorBidi" w:hAnsiTheme="majorBidi" w:cstheme="majorBidi"/>
                <w:iCs/>
                <w:sz w:val="20"/>
                <w:szCs w:val="20"/>
                <w:lang w:bidi="ar-LB"/>
              </w:rPr>
              <w:t>[</w:t>
            </w:r>
            <w:r w:rsidR="00A04F44" w:rsidRPr="00BC5E3A">
              <w:rPr>
                <w:rFonts w:asciiTheme="majorBidi" w:hAnsiTheme="majorBidi" w:cstheme="majorBidi"/>
                <w:sz w:val="20"/>
                <w:szCs w:val="20"/>
                <w:shd w:val="clear" w:color="auto" w:fill="FFFFFF"/>
                <w:lang w:bidi="ar-LB"/>
              </w:rPr>
              <w:t>27</w:t>
            </w:r>
            <w:r w:rsidRPr="00BC5E3A">
              <w:rPr>
                <w:rFonts w:asciiTheme="majorBidi" w:hAnsiTheme="majorBidi" w:cstheme="majorBidi"/>
                <w:iCs/>
                <w:sz w:val="20"/>
                <w:szCs w:val="20"/>
                <w:lang w:bidi="ar-LB"/>
              </w:rPr>
              <w:t>]</w:t>
            </w:r>
          </w:p>
          <w:p w14:paraId="724411EC" w14:textId="77777777" w:rsidR="00721F89" w:rsidRPr="00BC5E3A" w:rsidRDefault="00721F89" w:rsidP="00202DF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Cs/>
                <w:sz w:val="20"/>
                <w:szCs w:val="20"/>
                <w:lang w:bidi="ar-LB"/>
              </w:rPr>
            </w:pPr>
          </w:p>
          <w:p w14:paraId="52C1CC6E" w14:textId="41318476" w:rsidR="00FB3509" w:rsidRPr="00BC5E3A" w:rsidRDefault="00FB3509" w:rsidP="00202DF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LB"/>
              </w:rPr>
            </w:pPr>
            <w:r w:rsidRPr="00BC5E3A">
              <w:rPr>
                <w:rFonts w:asciiTheme="majorBidi" w:hAnsiTheme="majorBidi" w:cstheme="majorBidi"/>
                <w:iCs/>
                <w:sz w:val="20"/>
                <w:szCs w:val="20"/>
                <w:lang w:bidi="ar-LB"/>
              </w:rPr>
              <w:t>[</w:t>
            </w:r>
            <w:r w:rsidR="00A04F44" w:rsidRPr="00BC5E3A">
              <w:rPr>
                <w:rFonts w:asciiTheme="majorBidi" w:hAnsiTheme="majorBidi" w:cstheme="majorBidi"/>
                <w:sz w:val="20"/>
                <w:szCs w:val="20"/>
                <w:shd w:val="clear" w:color="auto" w:fill="FFFFFF"/>
                <w:lang w:bidi="ar-LB"/>
              </w:rPr>
              <w:t>27</w:t>
            </w:r>
            <w:r w:rsidRPr="00BC5E3A">
              <w:rPr>
                <w:rFonts w:asciiTheme="majorBidi" w:hAnsiTheme="majorBidi" w:cstheme="majorBidi"/>
                <w:iCs/>
                <w:sz w:val="20"/>
                <w:szCs w:val="20"/>
                <w:lang w:bidi="ar-LB"/>
              </w:rPr>
              <w:t>]</w:t>
            </w:r>
          </w:p>
          <w:p w14:paraId="58CCC5BC" w14:textId="77777777" w:rsidR="00721F89" w:rsidRPr="00BC5E3A" w:rsidRDefault="00721F89" w:rsidP="00202DF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Cs/>
                <w:sz w:val="20"/>
                <w:szCs w:val="20"/>
                <w:lang w:bidi="ar-LB"/>
              </w:rPr>
            </w:pPr>
          </w:p>
          <w:p w14:paraId="6FCC86DA" w14:textId="54FA79AE" w:rsidR="00FB3509" w:rsidRPr="00BC5E3A" w:rsidRDefault="00FB3509" w:rsidP="00202DF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LB"/>
              </w:rPr>
            </w:pPr>
            <w:r w:rsidRPr="00BC5E3A">
              <w:rPr>
                <w:rFonts w:asciiTheme="majorBidi" w:hAnsiTheme="majorBidi" w:cstheme="majorBidi"/>
                <w:iCs/>
                <w:sz w:val="20"/>
                <w:szCs w:val="20"/>
                <w:lang w:bidi="ar-LB"/>
              </w:rPr>
              <w:t>[</w:t>
            </w:r>
            <w:r w:rsidR="00A04F44" w:rsidRPr="00BC5E3A">
              <w:rPr>
                <w:rFonts w:asciiTheme="majorBidi" w:hAnsiTheme="majorBidi" w:cstheme="majorBidi"/>
                <w:sz w:val="20"/>
                <w:szCs w:val="20"/>
                <w:shd w:val="clear" w:color="auto" w:fill="FFFFFF"/>
                <w:lang w:bidi="ar-LB"/>
              </w:rPr>
              <w:t>27</w:t>
            </w:r>
            <w:r w:rsidRPr="00BC5E3A">
              <w:rPr>
                <w:rFonts w:asciiTheme="majorBidi" w:hAnsiTheme="majorBidi" w:cstheme="majorBidi"/>
                <w:iCs/>
                <w:sz w:val="20"/>
                <w:szCs w:val="20"/>
                <w:lang w:bidi="ar-LB"/>
              </w:rPr>
              <w:t>]</w:t>
            </w:r>
          </w:p>
          <w:p w14:paraId="1A161EF0" w14:textId="77777777" w:rsidR="00721F89" w:rsidRPr="00BC5E3A" w:rsidRDefault="00721F89" w:rsidP="00202DF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Cs/>
                <w:sz w:val="20"/>
                <w:szCs w:val="20"/>
                <w:lang w:bidi="ar-LB"/>
              </w:rPr>
            </w:pPr>
          </w:p>
          <w:p w14:paraId="145E52CF" w14:textId="239EA57D" w:rsidR="00FB3509" w:rsidRPr="00BC5E3A" w:rsidRDefault="00FB3509" w:rsidP="00202DF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LB"/>
              </w:rPr>
            </w:pPr>
            <w:r w:rsidRPr="00BC5E3A">
              <w:rPr>
                <w:rFonts w:asciiTheme="majorBidi" w:hAnsiTheme="majorBidi" w:cstheme="majorBidi"/>
                <w:iCs/>
                <w:sz w:val="20"/>
                <w:szCs w:val="20"/>
                <w:lang w:bidi="ar-LB"/>
              </w:rPr>
              <w:t>[</w:t>
            </w:r>
            <w:r w:rsidR="00A04F44" w:rsidRPr="00BC5E3A">
              <w:rPr>
                <w:rFonts w:asciiTheme="majorBidi" w:hAnsiTheme="majorBidi" w:cstheme="majorBidi"/>
                <w:iCs/>
                <w:sz w:val="20"/>
                <w:szCs w:val="20"/>
                <w:lang w:bidi="ar-LB"/>
              </w:rPr>
              <w:t>22</w:t>
            </w:r>
            <w:r w:rsidRPr="00BC5E3A">
              <w:rPr>
                <w:rFonts w:asciiTheme="majorBidi" w:hAnsiTheme="majorBidi" w:cstheme="majorBidi"/>
                <w:iCs/>
                <w:sz w:val="20"/>
                <w:szCs w:val="20"/>
                <w:lang w:bidi="ar-LB"/>
              </w:rPr>
              <w:t>]</w:t>
            </w:r>
          </w:p>
        </w:tc>
      </w:tr>
    </w:tbl>
    <w:p w14:paraId="7E87FB55" w14:textId="1D4E1B10" w:rsidR="008772F4" w:rsidRPr="00BC5E3A" w:rsidRDefault="00867242" w:rsidP="00CB39AF">
      <w:pPr>
        <w:pStyle w:val="Heading1"/>
      </w:pPr>
      <w:r w:rsidRPr="00BC5E3A">
        <w:lastRenderedPageBreak/>
        <w:t>Results and Discussion</w:t>
      </w:r>
    </w:p>
    <w:p w14:paraId="5E9CB474" w14:textId="62FE14C0" w:rsidR="00C021DB" w:rsidRPr="00BC5E3A" w:rsidRDefault="00142E22" w:rsidP="00A306BD">
      <w:pPr>
        <w:pStyle w:val="Paragraph"/>
        <w:spacing w:after="240"/>
      </w:pPr>
      <w:r w:rsidRPr="00BC5E3A">
        <w:t xml:space="preserve">To evaluate the performance of various </w:t>
      </w:r>
      <w:r w:rsidR="00B20610" w:rsidRPr="00BC5E3A">
        <w:t>HTFs</w:t>
      </w:r>
      <w:r w:rsidRPr="00BC5E3A">
        <w:t xml:space="preserve"> within the storage bed, numerical simulations were carried out under identical energy input conditions to ensure a fair comparison. The temperature ranges for each HTF were carefully chosen to reflect their specific thermal stability thresholds and operational limits: air was modeled between 650°C and 20°C, solar salt between 600°C and 220°C, and Therminol VP-1 between 400°C and 20°C. This approach enables a realistic assessment of each fluid’s thermal behavior and efficiency within its practical working range</w:t>
      </w:r>
      <w:r w:rsidR="008772F4" w:rsidRPr="00BC5E3A">
        <w:t xml:space="preserve">. </w:t>
      </w:r>
    </w:p>
    <w:p w14:paraId="2C146DD6" w14:textId="7C8E3374" w:rsidR="00A306BD" w:rsidRPr="00BC5E3A" w:rsidRDefault="00BD12F3" w:rsidP="00D12AE9">
      <w:pPr>
        <w:pStyle w:val="Paragraph"/>
        <w:spacing w:after="240"/>
        <w:ind w:firstLine="0"/>
      </w:pPr>
      <w:r w:rsidRPr="00BC5E3A">
        <w:rPr>
          <w:noProof/>
          <w:lang w:val="fr-FR" w:eastAsia="fr-FR"/>
        </w:rPr>
        <w:drawing>
          <wp:anchor distT="0" distB="0" distL="114300" distR="114300" simplePos="0" relativeHeight="251667968" behindDoc="0" locked="0" layoutInCell="1" allowOverlap="1" wp14:anchorId="7A3FC885" wp14:editId="566027A9">
            <wp:simplePos x="0" y="0"/>
            <wp:positionH relativeFrom="column">
              <wp:posOffset>-143332</wp:posOffset>
            </wp:positionH>
            <wp:positionV relativeFrom="paragraph">
              <wp:posOffset>2392299</wp:posOffset>
            </wp:positionV>
            <wp:extent cx="2964180" cy="2265680"/>
            <wp:effectExtent l="0" t="0" r="7620" b="127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964180" cy="2265680"/>
                    </a:xfrm>
                    <a:prstGeom prst="rect">
                      <a:avLst/>
                    </a:prstGeom>
                  </pic:spPr>
                </pic:pic>
              </a:graphicData>
            </a:graphic>
            <wp14:sizeRelH relativeFrom="margin">
              <wp14:pctWidth>0</wp14:pctWidth>
            </wp14:sizeRelH>
            <wp14:sizeRelV relativeFrom="margin">
              <wp14:pctHeight>0</wp14:pctHeight>
            </wp14:sizeRelV>
          </wp:anchor>
        </w:drawing>
      </w:r>
      <w:r w:rsidR="00D12AE9" w:rsidRPr="00BC5E3A">
        <w:rPr>
          <w:noProof/>
          <w:lang w:val="fr-FR" w:eastAsia="fr-FR"/>
        </w:rPr>
        <w:drawing>
          <wp:anchor distT="0" distB="0" distL="114300" distR="114300" simplePos="0" relativeHeight="251670016" behindDoc="0" locked="0" layoutInCell="1" allowOverlap="1" wp14:anchorId="6ED8D4FD" wp14:editId="2C1938D6">
            <wp:simplePos x="0" y="0"/>
            <wp:positionH relativeFrom="margin">
              <wp:posOffset>-68580</wp:posOffset>
            </wp:positionH>
            <wp:positionV relativeFrom="paragraph">
              <wp:posOffset>4445</wp:posOffset>
            </wp:positionV>
            <wp:extent cx="2898140" cy="2243455"/>
            <wp:effectExtent l="0" t="0" r="0" b="444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898140" cy="2243455"/>
                    </a:xfrm>
                    <a:prstGeom prst="rect">
                      <a:avLst/>
                    </a:prstGeom>
                  </pic:spPr>
                </pic:pic>
              </a:graphicData>
            </a:graphic>
            <wp14:sizeRelH relativeFrom="margin">
              <wp14:pctWidth>0</wp14:pctWidth>
            </wp14:sizeRelH>
            <wp14:sizeRelV relativeFrom="margin">
              <wp14:pctHeight>0</wp14:pctHeight>
            </wp14:sizeRelV>
          </wp:anchor>
        </w:drawing>
      </w:r>
      <w:r w:rsidR="00A306BD" w:rsidRPr="00BC5E3A">
        <w:rPr>
          <w:noProof/>
          <w:lang w:val="fr-FR" w:eastAsia="fr-FR"/>
        </w:rPr>
        <w:drawing>
          <wp:inline distT="0" distB="0" distL="0" distR="0" wp14:anchorId="2BF38588" wp14:editId="1691152F">
            <wp:extent cx="2963216" cy="2268000"/>
            <wp:effectExtent l="0" t="0" r="889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63216" cy="2268000"/>
                    </a:xfrm>
                    <a:prstGeom prst="rect">
                      <a:avLst/>
                    </a:prstGeom>
                  </pic:spPr>
                </pic:pic>
              </a:graphicData>
            </a:graphic>
          </wp:inline>
        </w:drawing>
      </w:r>
    </w:p>
    <w:p w14:paraId="020F4250" w14:textId="3B53344D" w:rsidR="00C613F2" w:rsidRPr="00BC5E3A" w:rsidRDefault="00C021DB" w:rsidP="00BD12F3">
      <w:pPr>
        <w:spacing w:before="240" w:after="240" w:line="276" w:lineRule="auto"/>
        <w:jc w:val="right"/>
        <w:rPr>
          <w:b/>
          <w:sz w:val="18"/>
          <w:szCs w:val="18"/>
          <w:lang w:val="en-GB" w:eastAsia="en-GB"/>
        </w:rPr>
      </w:pPr>
      <w:r w:rsidRPr="00BC5E3A">
        <w:rPr>
          <w:noProof/>
          <w:lang w:val="fr-FR" w:eastAsia="fr-FR"/>
        </w:rPr>
        <w:drawing>
          <wp:inline distT="0" distB="0" distL="0" distR="0" wp14:anchorId="73B9D08E" wp14:editId="07B2FFE9">
            <wp:extent cx="2998406" cy="2304000"/>
            <wp:effectExtent l="0" t="0" r="0" b="127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98406" cy="2304000"/>
                    </a:xfrm>
                    <a:prstGeom prst="rect">
                      <a:avLst/>
                    </a:prstGeom>
                  </pic:spPr>
                </pic:pic>
              </a:graphicData>
            </a:graphic>
          </wp:inline>
        </w:drawing>
      </w:r>
    </w:p>
    <w:p w14:paraId="3D142E1B" w14:textId="3763931B" w:rsidR="00C021DB" w:rsidRPr="00BC5E3A" w:rsidRDefault="00C021DB" w:rsidP="00C613F2">
      <w:pPr>
        <w:spacing w:before="240" w:after="240" w:line="276" w:lineRule="auto"/>
        <w:jc w:val="center"/>
        <w:rPr>
          <w:b/>
          <w:sz w:val="18"/>
          <w:szCs w:val="18"/>
          <w:lang w:val="en-GB" w:eastAsia="en-GB"/>
        </w:rPr>
      </w:pPr>
      <w:r w:rsidRPr="00BC5E3A">
        <w:rPr>
          <w:b/>
          <w:sz w:val="18"/>
          <w:szCs w:val="18"/>
          <w:lang w:val="en-GB" w:eastAsia="en-GB"/>
        </w:rPr>
        <w:t>FIGURE 3</w:t>
      </w:r>
      <w:r w:rsidRPr="00BC5E3A">
        <w:rPr>
          <w:sz w:val="18"/>
          <w:szCs w:val="18"/>
          <w:lang w:val="en-GB" w:eastAsia="en-GB"/>
        </w:rPr>
        <w:t>. Temperature profiles, a) Air charge-discharge cycle, b) solar salt charge-discharge cycle, c) Therminol VP-1 charge discharge cycle, d) axial temperature for different HTFs at the end of charge.</w:t>
      </w:r>
    </w:p>
    <w:p w14:paraId="21A78EC4" w14:textId="76DD864A" w:rsidR="00F87169" w:rsidRPr="00BC5E3A" w:rsidRDefault="00DA4E02" w:rsidP="006035A5">
      <w:pPr>
        <w:pStyle w:val="Paragraph"/>
      </w:pPr>
      <w:r w:rsidRPr="00BC5E3A">
        <w:t>Fig. 3 presents the temperature profi</w:t>
      </w:r>
      <w:r w:rsidR="0092725F" w:rsidRPr="00BC5E3A">
        <w:t>les at the end of a full charge/</w:t>
      </w:r>
      <w:r w:rsidRPr="00BC5E3A">
        <w:t xml:space="preserve">discharge cycle for each HTF. </w:t>
      </w:r>
      <w:r w:rsidR="00C206A7" w:rsidRPr="00BC5E3A">
        <w:t xml:space="preserve">During the charging phase, each HTF enters the storage tank at its maximum temperature </w:t>
      </w:r>
      <m:oMath>
        <m:sSub>
          <m:sSubPr>
            <m:ctrlPr>
              <w:rPr>
                <w:rFonts w:ascii="Cambria Math" w:hAnsi="Cambria Math"/>
                <w:i/>
              </w:rPr>
            </m:ctrlPr>
          </m:sSubPr>
          <m:e>
            <m:r>
              <w:rPr>
                <w:rFonts w:ascii="Cambria Math" w:hAnsi="Cambria Math"/>
              </w:rPr>
              <m:t>(T</m:t>
            </m:r>
          </m:e>
          <m:sub>
            <m:r>
              <w:rPr>
                <w:rFonts w:ascii="Cambria Math" w:hAnsi="Cambria Math"/>
              </w:rPr>
              <m:t>max</m:t>
            </m:r>
          </m:sub>
        </m:sSub>
        <m:r>
          <w:rPr>
            <w:rFonts w:ascii="Cambria Math" w:hAnsi="Cambria Math"/>
          </w:rPr>
          <m:t>)</m:t>
        </m:r>
      </m:oMath>
      <w:r w:rsidR="00C206A7" w:rsidRPr="00BC5E3A">
        <w:t xml:space="preserve"> to transfer heat to the packed-bed material. Conversely, during the discharging phase, the inlet temperature corresponds to the minimum temperature </w:t>
      </w:r>
      <m:oMath>
        <m:sSub>
          <m:sSubPr>
            <m:ctrlPr>
              <w:rPr>
                <w:rFonts w:ascii="Cambria Math" w:hAnsi="Cambria Math"/>
                <w:i/>
              </w:rPr>
            </m:ctrlPr>
          </m:sSubPr>
          <m:e>
            <m:r>
              <w:rPr>
                <w:rFonts w:ascii="Cambria Math" w:hAnsi="Cambria Math"/>
              </w:rPr>
              <m:t>(T</m:t>
            </m:r>
          </m:e>
          <m:sub>
            <m:r>
              <w:rPr>
                <w:rFonts w:ascii="Cambria Math" w:hAnsi="Cambria Math"/>
              </w:rPr>
              <m:t>min</m:t>
            </m:r>
          </m:sub>
        </m:sSub>
        <m:r>
          <w:rPr>
            <w:rFonts w:ascii="Cambria Math" w:hAnsi="Cambria Math"/>
          </w:rPr>
          <m:t>)</m:t>
        </m:r>
      </m:oMath>
      <w:r w:rsidR="00C206A7" w:rsidRPr="00BC5E3A">
        <w:t>. For each HTF, the mass flow rate is determined based on the imposed input energy and the specific temperature range of the fluid. The charging and discharging processes are assumed to have equal durations.</w:t>
      </w:r>
      <w:r w:rsidR="005602AE" w:rsidRPr="00BC5E3A">
        <w:t xml:space="preserve"> </w:t>
      </w:r>
      <w:r w:rsidRPr="00BC5E3A">
        <w:t>For air (Fig</w:t>
      </w:r>
      <w:r w:rsidR="005602AE" w:rsidRPr="00BC5E3A">
        <w:t xml:space="preserve">. 3a), the maximum temperature </w:t>
      </w:r>
      <m:oMath>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max</m:t>
                </m:r>
              </m:sub>
            </m:sSub>
            <m:r>
              <w:rPr>
                <w:rFonts w:ascii="Cambria Math" w:hAnsi="Cambria Math"/>
              </w:rPr>
              <m:t>=650 °C</m:t>
            </m:r>
          </m:e>
        </m:d>
      </m:oMath>
      <w:r w:rsidRPr="00BC5E3A">
        <w:t xml:space="preserve">, </w:t>
      </w:r>
      <w:r w:rsidR="00534D6F" w:rsidRPr="00BC5E3A">
        <w:t>is reached only in the upper section of the reservoir</w:t>
      </w:r>
      <w:r w:rsidRPr="00BC5E3A">
        <w:t>, followed by a gr</w:t>
      </w:r>
      <w:r w:rsidR="0092725F" w:rsidRPr="00BC5E3A">
        <w:t>adual decrease along the packed-</w:t>
      </w:r>
      <w:r w:rsidRPr="00BC5E3A">
        <w:t>bed to approximately 300 °C at the bottom</w:t>
      </w:r>
      <w:r w:rsidR="00F87169" w:rsidRPr="00BC5E3A">
        <w:t>. This steep gradient reflects air's lower heat capacity and higher thermal diffusivity, leading to significant thermal stratification and a limited effective thermal storage volume. I</w:t>
      </w:r>
      <w:r w:rsidR="00EC3519" w:rsidRPr="00BC5E3A">
        <w:t>n contrast, solar sa</w:t>
      </w:r>
      <w:r w:rsidR="00055222" w:rsidRPr="00BC5E3A">
        <w:t>lt (Fig. 3</w:t>
      </w:r>
      <w:r w:rsidR="00EC3519" w:rsidRPr="00BC5E3A">
        <w:t xml:space="preserve"> </w:t>
      </w:r>
      <w:r w:rsidR="003F129B" w:rsidRPr="00BC5E3A">
        <w:t>(</w:t>
      </w:r>
      <w:r w:rsidR="00F87169" w:rsidRPr="00BC5E3A">
        <w:t>b</w:t>
      </w:r>
      <w:r w:rsidR="003F129B" w:rsidRPr="00BC5E3A">
        <w:t>)</w:t>
      </w:r>
      <w:r w:rsidR="00F87169" w:rsidRPr="00BC5E3A">
        <w:t>) maintains a more uniform high-temperature region, with the upper portion of the reservoir sustaining</w:t>
      </w:r>
      <w:r w:rsidR="00FE7E57" w:rsidRPr="00BC5E3A">
        <w:t xml:space="preserve"> </w:t>
      </w:r>
      <m:oMath>
        <m:sSub>
          <m:sSubPr>
            <m:ctrlPr>
              <w:rPr>
                <w:rFonts w:ascii="Cambria Math" w:hAnsi="Cambria Math"/>
                <w:i/>
              </w:rPr>
            </m:ctrlPr>
          </m:sSubPr>
          <m:e>
            <m:r>
              <w:rPr>
                <w:rFonts w:ascii="Cambria Math" w:hAnsi="Cambria Math"/>
              </w:rPr>
              <m:t>T</m:t>
            </m:r>
          </m:e>
          <m:sub>
            <m:r>
              <w:rPr>
                <w:rFonts w:ascii="Cambria Math" w:hAnsi="Cambria Math"/>
              </w:rPr>
              <m:t>max</m:t>
            </m:r>
          </m:sub>
        </m:sSub>
        <m:r>
          <w:rPr>
            <w:rFonts w:ascii="Cambria Math" w:hAnsi="Cambria Math"/>
          </w:rPr>
          <m:t>=600 °C</m:t>
        </m:r>
      </m:oMath>
      <w:r w:rsidR="00F87169" w:rsidRPr="00BC5E3A">
        <w:t xml:space="preserve"> over more than a quarter of its height, before rapidly declining towards</w:t>
      </w:r>
      <w:r w:rsidR="003F129B" w:rsidRPr="00BC5E3A">
        <w:t xml:space="preserve"> the minimum temperature</w:t>
      </w:r>
      <w:r w:rsidR="005602AE" w:rsidRPr="00BC5E3A">
        <w:t xml:space="preserve"> </w:t>
      </w:r>
      <m:oMath>
        <m:sSub>
          <m:sSubPr>
            <m:ctrlPr>
              <w:rPr>
                <w:rFonts w:ascii="Cambria Math" w:hAnsi="Cambria Math"/>
                <w:i/>
              </w:rPr>
            </m:ctrlPr>
          </m:sSubPr>
          <m:e>
            <m:r>
              <w:rPr>
                <w:rFonts w:ascii="Cambria Math" w:hAnsi="Cambria Math"/>
              </w:rPr>
              <m:t>(T</m:t>
            </m:r>
          </m:e>
          <m:sub>
            <m:r>
              <w:rPr>
                <w:rFonts w:ascii="Cambria Math" w:hAnsi="Cambria Math"/>
              </w:rPr>
              <m:t>min</m:t>
            </m:r>
          </m:sub>
        </m:sSub>
        <m:r>
          <w:rPr>
            <w:rFonts w:ascii="Cambria Math" w:hAnsi="Cambria Math"/>
          </w:rPr>
          <m:t>=220 °C)</m:t>
        </m:r>
      </m:oMath>
      <w:r w:rsidR="00F87169" w:rsidRPr="00BC5E3A">
        <w:t xml:space="preserve">. At the end of the discharge process, approximately half of the </w:t>
      </w:r>
      <w:r w:rsidR="00F87169" w:rsidRPr="00BC5E3A">
        <w:lastRenderedPageBreak/>
        <w:t>reservoir reaches this minimum temperature, indicating a more complet</w:t>
      </w:r>
      <w:r w:rsidR="00491CF2" w:rsidRPr="00BC5E3A">
        <w:t>e and efficient heat extraction</w:t>
      </w:r>
      <w:r w:rsidR="00F87169" w:rsidRPr="00BC5E3A">
        <w:t>. M</w:t>
      </w:r>
      <w:r w:rsidR="00055222" w:rsidRPr="00BC5E3A">
        <w:t>eanwhile, Therminol VP-1 (Fig. 3</w:t>
      </w:r>
      <w:r w:rsidR="003F129B" w:rsidRPr="00BC5E3A">
        <w:t xml:space="preserve"> (</w:t>
      </w:r>
      <w:r w:rsidR="00F87169" w:rsidRPr="00BC5E3A">
        <w:t>c</w:t>
      </w:r>
      <w:r w:rsidR="003F129B" w:rsidRPr="00BC5E3A">
        <w:t>)</w:t>
      </w:r>
      <w:r w:rsidR="00F87169" w:rsidRPr="00BC5E3A">
        <w:t>) exhibits a concentrated high-temperature zone, with</w:t>
      </w:r>
      <w:r w:rsidR="00205AD9" w:rsidRPr="00BC5E3A">
        <w:t xml:space="preserve"> </w:t>
      </w:r>
      <m:oMath>
        <m:sSub>
          <m:sSubPr>
            <m:ctrlPr>
              <w:rPr>
                <w:rFonts w:ascii="Cambria Math" w:hAnsi="Cambria Math"/>
                <w:i/>
              </w:rPr>
            </m:ctrlPr>
          </m:sSubPr>
          <m:e>
            <m:r>
              <w:rPr>
                <w:rFonts w:ascii="Cambria Math" w:hAnsi="Cambria Math"/>
              </w:rPr>
              <m:t>T</m:t>
            </m:r>
          </m:e>
          <m:sub>
            <m:r>
              <w:rPr>
                <w:rFonts w:ascii="Cambria Math" w:hAnsi="Cambria Math"/>
              </w:rPr>
              <m:t>max</m:t>
            </m:r>
          </m:sub>
        </m:sSub>
        <m:r>
          <w:rPr>
            <w:rFonts w:ascii="Cambria Math" w:hAnsi="Cambria Math"/>
          </w:rPr>
          <m:t>=400 °C</m:t>
        </m:r>
      </m:oMath>
      <w:r w:rsidR="00F87169" w:rsidRPr="00BC5E3A">
        <w:t xml:space="preserve"> sustained over less than a quarter of the reservoir height, followed by a sharp decline to temperatures above the expected</w:t>
      </w:r>
      <w:r w:rsidR="006035A5" w:rsidRPr="00BC5E3A">
        <w:t xml:space="preserve"> </w:t>
      </w:r>
      <m:oMath>
        <m:sSub>
          <m:sSubPr>
            <m:ctrlPr>
              <w:rPr>
                <w:rFonts w:ascii="Cambria Math" w:hAnsi="Cambria Math"/>
                <w:i/>
              </w:rPr>
            </m:ctrlPr>
          </m:sSubPr>
          <m:e>
            <m:r>
              <w:rPr>
                <w:rFonts w:ascii="Cambria Math" w:hAnsi="Cambria Math"/>
              </w:rPr>
              <m:t>T</m:t>
            </m:r>
          </m:e>
          <m:sub>
            <m:r>
              <w:rPr>
                <w:rFonts w:ascii="Cambria Math" w:hAnsi="Cambria Math"/>
              </w:rPr>
              <m:t>min</m:t>
            </m:r>
          </m:sub>
        </m:sSub>
        <m:r>
          <w:rPr>
            <w:rFonts w:ascii="Cambria Math" w:hAnsi="Cambria Math"/>
          </w:rPr>
          <m:t>=20°C</m:t>
        </m:r>
      </m:oMath>
      <w:r w:rsidR="00F87169" w:rsidRPr="00BC5E3A">
        <w:t>. At the end of discharge, only about a quarter of the reservoir is fully discharged, reflecting a more localized and less uniform heat distribution, consistent with the moderate thermal stability and high heat capacity of this fluid. The overall comparison of thermal behavior for the three HTFs at the end of the charge p</w:t>
      </w:r>
      <w:r w:rsidR="00EC3519" w:rsidRPr="00BC5E3A">
        <w:t>r</w:t>
      </w:r>
      <w:r w:rsidR="00055222" w:rsidRPr="00BC5E3A">
        <w:t>ocess, as illustrated in Fig. 3</w:t>
      </w:r>
      <w:r w:rsidR="00EC3519" w:rsidRPr="00BC5E3A">
        <w:t xml:space="preserve"> (</w:t>
      </w:r>
      <w:r w:rsidR="00F87169" w:rsidRPr="00BC5E3A">
        <w:t>d</w:t>
      </w:r>
      <w:r w:rsidR="00EC3519" w:rsidRPr="00BC5E3A">
        <w:t>)</w:t>
      </w:r>
      <w:r w:rsidR="00F87169" w:rsidRPr="00BC5E3A">
        <w:t>, clear</w:t>
      </w:r>
      <w:r w:rsidR="0092725F" w:rsidRPr="00BC5E3A">
        <w:t>ly demonstrates that the packed-</w:t>
      </w:r>
      <w:r w:rsidR="00F87169" w:rsidRPr="00BC5E3A">
        <w:t>bed traversed by molten salt exhibits a more uniform temperature distribution in the upper region, highlighting its superior heat retention and thermal stability compared to air and Therminol VP-1.</w:t>
      </w:r>
    </w:p>
    <w:p w14:paraId="341CB2B8" w14:textId="63449DF1" w:rsidR="00F87169" w:rsidRPr="00BC5E3A" w:rsidRDefault="009E6360" w:rsidP="0089312D">
      <w:pPr>
        <w:pStyle w:val="Paragraph"/>
        <w:spacing w:before="240"/>
        <w:jc w:val="center"/>
      </w:pPr>
      <w:r w:rsidRPr="00BC5E3A">
        <w:rPr>
          <w:rFonts w:ascii="Calibri" w:eastAsia="Calibri" w:hAnsi="Calibri" w:cs="Arial"/>
          <w:noProof/>
          <w:lang w:val="fr-FR" w:eastAsia="fr-FR"/>
        </w:rPr>
        <w:drawing>
          <wp:inline distT="0" distB="0" distL="0" distR="0" wp14:anchorId="6941B0CC" wp14:editId="26F1588B">
            <wp:extent cx="2980707" cy="2282514"/>
            <wp:effectExtent l="0" t="0" r="0" b="381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40961" cy="2328655"/>
                    </a:xfrm>
                    <a:prstGeom prst="rect">
                      <a:avLst/>
                    </a:prstGeom>
                  </pic:spPr>
                </pic:pic>
              </a:graphicData>
            </a:graphic>
          </wp:inline>
        </w:drawing>
      </w:r>
    </w:p>
    <w:p w14:paraId="578753A5" w14:textId="151FA763" w:rsidR="00725861" w:rsidRPr="00BC5E3A" w:rsidRDefault="00055222" w:rsidP="00020B30">
      <w:pPr>
        <w:pStyle w:val="FigureCaption"/>
        <w:spacing w:after="240"/>
      </w:pPr>
      <w:r w:rsidRPr="00BC5E3A">
        <w:rPr>
          <w:b/>
          <w:bCs/>
        </w:rPr>
        <w:t>FIGURE 4</w:t>
      </w:r>
      <w:r w:rsidR="009E6360" w:rsidRPr="00BC5E3A">
        <w:rPr>
          <w:b/>
          <w:bCs/>
        </w:rPr>
        <w:t>.</w:t>
      </w:r>
      <w:r w:rsidR="009E6360" w:rsidRPr="00BC5E3A">
        <w:t xml:space="preserve"> </w:t>
      </w:r>
      <w:r w:rsidR="00F87169" w:rsidRPr="00BC5E3A">
        <w:t>Evolution of recovered power over the discharge period.</w:t>
      </w:r>
    </w:p>
    <w:p w14:paraId="3948A1FB" w14:textId="0871872B" w:rsidR="00020B30" w:rsidRPr="00BC5E3A" w:rsidRDefault="009A44E1" w:rsidP="00355D6D">
      <w:pPr>
        <w:pStyle w:val="Paragraph"/>
      </w:pPr>
      <w:r w:rsidRPr="00BC5E3A">
        <w:t>Fig. 4</w:t>
      </w:r>
      <w:r w:rsidR="00020B30" w:rsidRPr="00BC5E3A">
        <w:t xml:space="preserve"> illustrates the evolution of recovered power during the discharge process </w:t>
      </w:r>
      <w:r w:rsidR="00355D6D" w:rsidRPr="00BC5E3A">
        <w:t>for the evaluated HTFs</w:t>
      </w:r>
      <w:r w:rsidR="00020B30" w:rsidRPr="00BC5E3A">
        <w:t>. It shows that solar salt exhibits the highest recovered power, characterized by a relatively stable output that remains nearly constant for the first 30% of the discharge period. In contrast, Therminol VP-1 demonstrates a slight variation in recovered power at the beginning of the discharge, followed by a gradual decline as the stored heat is released. Meanwhile, air experiences a consistently linear decrease in recovered power throughout the discharge process, reaching the lowest power levels at the end, indicating its limited heat storage capacity and rapid thermal loss.</w:t>
      </w:r>
    </w:p>
    <w:p w14:paraId="7DA0CF28" w14:textId="1F02561E" w:rsidR="00725861" w:rsidRPr="00BC5E3A" w:rsidRDefault="00725861" w:rsidP="00020B30">
      <w:pPr>
        <w:pStyle w:val="Paragraph"/>
        <w:rPr>
          <w:i/>
          <w:iCs/>
        </w:rPr>
      </w:pPr>
    </w:p>
    <w:p w14:paraId="31BAE743" w14:textId="2006A319" w:rsidR="00020B30" w:rsidRPr="00BC5E3A" w:rsidRDefault="00020B30" w:rsidP="00020B30">
      <w:pPr>
        <w:pStyle w:val="Heading2"/>
        <w:tabs>
          <w:tab w:val="left" w:pos="3218"/>
        </w:tabs>
      </w:pPr>
      <w:r w:rsidRPr="00BC5E3A">
        <w:rPr>
          <w:rFonts w:ascii="Calibri" w:eastAsia="Calibri" w:hAnsi="Calibri" w:cs="Arial"/>
          <w:noProof/>
          <w:sz w:val="20"/>
          <w:lang w:val="fr-FR" w:eastAsia="fr-FR"/>
        </w:rPr>
        <w:drawing>
          <wp:inline distT="0" distB="0" distL="0" distR="0" wp14:anchorId="39ABB758" wp14:editId="1B7142EA">
            <wp:extent cx="3459937" cy="2041729"/>
            <wp:effectExtent l="19050" t="19050" r="26670" b="1587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459937" cy="2041729"/>
                    </a:xfrm>
                    <a:prstGeom prst="rect">
                      <a:avLst/>
                    </a:prstGeom>
                    <a:ln>
                      <a:solidFill>
                        <a:sysClr val="windowText" lastClr="000000"/>
                      </a:solidFill>
                    </a:ln>
                  </pic:spPr>
                </pic:pic>
              </a:graphicData>
            </a:graphic>
          </wp:inline>
        </w:drawing>
      </w:r>
    </w:p>
    <w:p w14:paraId="37A8AF87" w14:textId="0DAE898F" w:rsidR="008F3021" w:rsidRPr="00BC5E3A" w:rsidRDefault="009A44E1" w:rsidP="00C86AD3">
      <w:pPr>
        <w:spacing w:before="100" w:beforeAutospacing="1" w:after="100" w:afterAutospacing="1"/>
        <w:jc w:val="center"/>
        <w:rPr>
          <w:sz w:val="20"/>
          <w:lang w:eastAsia="fr-FR"/>
        </w:rPr>
      </w:pPr>
      <w:r w:rsidRPr="00BC5E3A">
        <w:rPr>
          <w:b/>
          <w:bCs/>
          <w:sz w:val="18"/>
        </w:rPr>
        <w:t>FIGURE 5</w:t>
      </w:r>
      <w:r w:rsidR="008F3021" w:rsidRPr="00BC5E3A">
        <w:rPr>
          <w:b/>
          <w:bCs/>
          <w:sz w:val="18"/>
        </w:rPr>
        <w:t>.</w:t>
      </w:r>
      <w:r w:rsidR="008F3021" w:rsidRPr="00BC5E3A">
        <w:rPr>
          <w:sz w:val="18"/>
        </w:rPr>
        <w:t xml:space="preserve"> </w:t>
      </w:r>
      <w:r w:rsidR="00C86AD3" w:rsidRPr="00BC5E3A">
        <w:rPr>
          <w:sz w:val="18"/>
        </w:rPr>
        <w:t>Thermal efficiency comparison of air, Therminol VP-1, and solar salt.</w:t>
      </w:r>
      <w:r w:rsidR="008F3021" w:rsidRPr="00BC5E3A">
        <w:rPr>
          <w:sz w:val="18"/>
        </w:rPr>
        <w:t>.</w:t>
      </w:r>
    </w:p>
    <w:p w14:paraId="684F97EF" w14:textId="0EC58CC4" w:rsidR="00625AF8" w:rsidRPr="00BC5E3A" w:rsidRDefault="009A44E1" w:rsidP="0092725F">
      <w:pPr>
        <w:pStyle w:val="Paragraph"/>
        <w:spacing w:after="240"/>
      </w:pPr>
      <w:r w:rsidRPr="00BC5E3A">
        <w:t>Fig. 5</w:t>
      </w:r>
      <w:r w:rsidR="008F3021" w:rsidRPr="00BC5E3A">
        <w:t xml:space="preserve"> illustrates the efficiency of the packed-bed system for the three HTFs. It reveals that the bed traversed by </w:t>
      </w:r>
      <w:r w:rsidR="001A56C2" w:rsidRPr="00BC5E3A">
        <w:t>solar</w:t>
      </w:r>
      <w:r w:rsidR="008F3021" w:rsidRPr="00BC5E3A">
        <w:t xml:space="preserve"> salt achieves the highest efficiency, r</w:t>
      </w:r>
      <w:r w:rsidR="000A15D8" w:rsidRPr="00BC5E3A">
        <w:t>eaching 85% in the first charge/</w:t>
      </w:r>
      <w:r w:rsidR="008F3021" w:rsidRPr="00BC5E3A">
        <w:t xml:space="preserve">discharge cycle. In comparison, the efficiency for Therminol VP-1 is slightly lower at 77%. Meanwhile, the bed utilizing air as the HTF exhibits the lowest </w:t>
      </w:r>
      <w:r w:rsidR="008F3021" w:rsidRPr="00BC5E3A">
        <w:lastRenderedPageBreak/>
        <w:t>efficiency at 67%, highlighting the impact of its lower heat capacity and higher thermal diffusivity on overall system performance.</w:t>
      </w:r>
      <w:r w:rsidR="00B9329B" w:rsidRPr="00BC5E3A">
        <w:t xml:space="preserve"> </w:t>
      </w:r>
      <w:r w:rsidR="00625AF8" w:rsidRPr="00BC5E3A">
        <w:t>Table 3 summarizes the main characteristics of the investigated HTFs, including thermal stability, efficiency, pumping requirements, cost, replacement, environmental safety, and operational issues. The data are compiled from the results of the present study as well as relevant literature sources, providing a comprehensive comparison of HTF performance for p</w:t>
      </w:r>
      <w:r w:rsidR="0092725F" w:rsidRPr="00BC5E3A">
        <w:t>acked-</w:t>
      </w:r>
      <w:r w:rsidR="00625AF8" w:rsidRPr="00BC5E3A">
        <w:t xml:space="preserve">bed </w:t>
      </w:r>
      <w:r w:rsidR="0092725F" w:rsidRPr="00BC5E3A">
        <w:t>TES</w:t>
      </w:r>
      <w:r w:rsidR="00625AF8" w:rsidRPr="00BC5E3A">
        <w:t xml:space="preserve"> applications.</w:t>
      </w:r>
    </w:p>
    <w:tbl>
      <w:tblPr>
        <w:tblStyle w:val="PlainTable2"/>
        <w:tblW w:w="10035" w:type="dxa"/>
        <w:jc w:val="center"/>
        <w:tblLayout w:type="fixed"/>
        <w:tblLook w:val="04A0" w:firstRow="1" w:lastRow="0" w:firstColumn="1" w:lastColumn="0" w:noHBand="0" w:noVBand="1"/>
      </w:tblPr>
      <w:tblGrid>
        <w:gridCol w:w="964"/>
        <w:gridCol w:w="1531"/>
        <w:gridCol w:w="1191"/>
        <w:gridCol w:w="1247"/>
        <w:gridCol w:w="794"/>
        <w:gridCol w:w="1304"/>
        <w:gridCol w:w="1417"/>
        <w:gridCol w:w="1587"/>
      </w:tblGrid>
      <w:tr w:rsidR="00BC5E3A" w:rsidRPr="00BC5E3A" w14:paraId="7BAF4EEA" w14:textId="77777777" w:rsidTr="00C80C7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35" w:type="dxa"/>
            <w:gridSpan w:val="8"/>
            <w:tcBorders>
              <w:top w:val="nil"/>
              <w:bottom w:val="single" w:sz="6" w:space="0" w:color="auto"/>
            </w:tcBorders>
          </w:tcPr>
          <w:p w14:paraId="04FD122F" w14:textId="185D76A8" w:rsidR="00C534B8" w:rsidRPr="00BC5E3A" w:rsidRDefault="00C534B8" w:rsidP="00C534B8">
            <w:pPr>
              <w:jc w:val="center"/>
              <w:rPr>
                <w:rFonts w:asciiTheme="majorBidi" w:hAnsiTheme="majorBidi" w:cstheme="majorBidi"/>
                <w:b w:val="0"/>
                <w:bCs w:val="0"/>
                <w:sz w:val="17"/>
                <w:szCs w:val="17"/>
              </w:rPr>
            </w:pPr>
            <w:r w:rsidRPr="00BC5E3A">
              <w:rPr>
                <w:sz w:val="18"/>
                <w:szCs w:val="18"/>
              </w:rPr>
              <w:t>TABLE 3</w:t>
            </w:r>
            <w:r w:rsidRPr="00BC5E3A">
              <w:rPr>
                <w:b w:val="0"/>
                <w:bCs w:val="0"/>
                <w:sz w:val="18"/>
                <w:szCs w:val="18"/>
              </w:rPr>
              <w:t>. Comparative techno-economic and operational characteristics of the investigated HTFs in packed-bed systems.</w:t>
            </w:r>
          </w:p>
        </w:tc>
      </w:tr>
      <w:tr w:rsidR="00BC5E3A" w:rsidRPr="00BC5E3A" w14:paraId="27BA2BFF" w14:textId="77777777" w:rsidTr="00C80C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4" w:type="dxa"/>
            <w:tcBorders>
              <w:top w:val="single" w:sz="6" w:space="0" w:color="auto"/>
              <w:bottom w:val="single" w:sz="6" w:space="0" w:color="auto"/>
            </w:tcBorders>
          </w:tcPr>
          <w:p w14:paraId="6FD7365A" w14:textId="77777777" w:rsidR="007D309B" w:rsidRPr="00BC5E3A" w:rsidRDefault="007D309B" w:rsidP="007A3947">
            <w:pPr>
              <w:rPr>
                <w:rFonts w:asciiTheme="majorBidi" w:hAnsiTheme="majorBidi" w:cstheme="majorBidi"/>
                <w:sz w:val="17"/>
                <w:szCs w:val="17"/>
              </w:rPr>
            </w:pPr>
            <w:r w:rsidRPr="00BC5E3A">
              <w:rPr>
                <w:rFonts w:asciiTheme="majorBidi" w:hAnsiTheme="majorBidi" w:cstheme="majorBidi"/>
                <w:sz w:val="17"/>
                <w:szCs w:val="17"/>
              </w:rPr>
              <w:t>HTF</w:t>
            </w:r>
          </w:p>
        </w:tc>
        <w:tc>
          <w:tcPr>
            <w:tcW w:w="1531" w:type="dxa"/>
            <w:tcBorders>
              <w:top w:val="single" w:sz="6" w:space="0" w:color="auto"/>
              <w:bottom w:val="single" w:sz="6" w:space="0" w:color="auto"/>
            </w:tcBorders>
          </w:tcPr>
          <w:p w14:paraId="2E4D10B5" w14:textId="77777777" w:rsidR="007D309B" w:rsidRPr="00BC5E3A" w:rsidRDefault="007D309B" w:rsidP="00B571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7"/>
                <w:szCs w:val="17"/>
              </w:rPr>
            </w:pPr>
            <w:r w:rsidRPr="00BC5E3A">
              <w:rPr>
                <w:rFonts w:asciiTheme="majorBidi" w:hAnsiTheme="majorBidi" w:cstheme="majorBidi"/>
                <w:b/>
                <w:bCs/>
                <w:sz w:val="17"/>
                <w:szCs w:val="17"/>
              </w:rPr>
              <w:t>Thermal Stability</w:t>
            </w:r>
          </w:p>
        </w:tc>
        <w:tc>
          <w:tcPr>
            <w:tcW w:w="1191" w:type="dxa"/>
            <w:tcBorders>
              <w:top w:val="single" w:sz="6" w:space="0" w:color="auto"/>
              <w:bottom w:val="single" w:sz="6" w:space="0" w:color="auto"/>
            </w:tcBorders>
          </w:tcPr>
          <w:p w14:paraId="5D86CCE3" w14:textId="77777777" w:rsidR="007D309B" w:rsidRPr="00BC5E3A" w:rsidRDefault="007D309B" w:rsidP="00B571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7"/>
                <w:szCs w:val="17"/>
              </w:rPr>
            </w:pPr>
            <w:r w:rsidRPr="00BC5E3A">
              <w:rPr>
                <w:rFonts w:asciiTheme="majorBidi" w:hAnsiTheme="majorBidi" w:cstheme="majorBidi"/>
                <w:b/>
                <w:bCs/>
                <w:sz w:val="17"/>
                <w:szCs w:val="17"/>
              </w:rPr>
              <w:t>Efficiency</w:t>
            </w:r>
          </w:p>
        </w:tc>
        <w:tc>
          <w:tcPr>
            <w:tcW w:w="1247" w:type="dxa"/>
            <w:tcBorders>
              <w:top w:val="single" w:sz="6" w:space="0" w:color="auto"/>
              <w:bottom w:val="single" w:sz="6" w:space="0" w:color="auto"/>
            </w:tcBorders>
          </w:tcPr>
          <w:p w14:paraId="176F1834" w14:textId="77777777" w:rsidR="007D309B" w:rsidRPr="00BC5E3A" w:rsidRDefault="007D309B" w:rsidP="00C534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7"/>
                <w:szCs w:val="17"/>
              </w:rPr>
            </w:pPr>
            <w:r w:rsidRPr="00BC5E3A">
              <w:rPr>
                <w:rFonts w:asciiTheme="majorBidi" w:hAnsiTheme="majorBidi" w:cstheme="majorBidi"/>
                <w:b/>
                <w:bCs/>
                <w:sz w:val="17"/>
                <w:szCs w:val="17"/>
              </w:rPr>
              <w:t>Pumping Power</w:t>
            </w:r>
          </w:p>
        </w:tc>
        <w:tc>
          <w:tcPr>
            <w:tcW w:w="794" w:type="dxa"/>
            <w:tcBorders>
              <w:top w:val="single" w:sz="6" w:space="0" w:color="auto"/>
              <w:bottom w:val="single" w:sz="6" w:space="0" w:color="auto"/>
            </w:tcBorders>
          </w:tcPr>
          <w:p w14:paraId="1C004069" w14:textId="77777777" w:rsidR="007D309B" w:rsidRPr="00BC5E3A" w:rsidRDefault="007D309B" w:rsidP="00C534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7"/>
                <w:szCs w:val="17"/>
              </w:rPr>
            </w:pPr>
            <w:r w:rsidRPr="00BC5E3A">
              <w:rPr>
                <w:rFonts w:asciiTheme="majorBidi" w:hAnsiTheme="majorBidi" w:cstheme="majorBidi"/>
                <w:b/>
                <w:bCs/>
                <w:sz w:val="17"/>
                <w:szCs w:val="17"/>
              </w:rPr>
              <w:t>Cost</w:t>
            </w:r>
          </w:p>
          <w:p w14:paraId="50B3B47D" w14:textId="77777777" w:rsidR="007D309B" w:rsidRPr="00BC5E3A" w:rsidRDefault="007D309B" w:rsidP="00C534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7"/>
                <w:szCs w:val="17"/>
              </w:rPr>
            </w:pPr>
            <w:r w:rsidRPr="00BC5E3A">
              <w:rPr>
                <w:rFonts w:asciiTheme="majorBidi" w:hAnsiTheme="majorBidi" w:cstheme="majorBidi"/>
                <w:b/>
                <w:bCs/>
                <w:sz w:val="17"/>
                <w:szCs w:val="17"/>
              </w:rPr>
              <w:t>[$/kg]</w:t>
            </w:r>
          </w:p>
        </w:tc>
        <w:tc>
          <w:tcPr>
            <w:tcW w:w="1304" w:type="dxa"/>
            <w:tcBorders>
              <w:top w:val="single" w:sz="6" w:space="0" w:color="auto"/>
              <w:bottom w:val="single" w:sz="6" w:space="0" w:color="auto"/>
            </w:tcBorders>
          </w:tcPr>
          <w:p w14:paraId="19201008" w14:textId="77777777" w:rsidR="007D309B" w:rsidRPr="00BC5E3A" w:rsidRDefault="007D309B" w:rsidP="00C534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7"/>
                <w:szCs w:val="17"/>
              </w:rPr>
            </w:pPr>
            <w:r w:rsidRPr="00BC5E3A">
              <w:rPr>
                <w:rFonts w:asciiTheme="majorBidi" w:hAnsiTheme="majorBidi" w:cstheme="majorBidi"/>
                <w:b/>
                <w:bCs/>
                <w:sz w:val="17"/>
                <w:szCs w:val="17"/>
              </w:rPr>
              <w:t>Maintenance</w:t>
            </w:r>
          </w:p>
        </w:tc>
        <w:tc>
          <w:tcPr>
            <w:tcW w:w="1417" w:type="dxa"/>
            <w:tcBorders>
              <w:top w:val="single" w:sz="6" w:space="0" w:color="auto"/>
              <w:bottom w:val="single" w:sz="6" w:space="0" w:color="auto"/>
            </w:tcBorders>
          </w:tcPr>
          <w:p w14:paraId="7E13B69A" w14:textId="77777777" w:rsidR="007D309B" w:rsidRPr="00BC5E3A" w:rsidRDefault="007D309B" w:rsidP="00C534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7"/>
                <w:szCs w:val="17"/>
              </w:rPr>
            </w:pPr>
            <w:r w:rsidRPr="00BC5E3A">
              <w:rPr>
                <w:rFonts w:asciiTheme="majorBidi" w:hAnsiTheme="majorBidi" w:cstheme="majorBidi"/>
                <w:b/>
                <w:bCs/>
                <w:sz w:val="17"/>
                <w:szCs w:val="17"/>
              </w:rPr>
              <w:t>Environmental</w:t>
            </w:r>
          </w:p>
          <w:p w14:paraId="55513EE2" w14:textId="77777777" w:rsidR="007D309B" w:rsidRPr="00BC5E3A" w:rsidRDefault="007D309B" w:rsidP="00C534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7"/>
                <w:szCs w:val="17"/>
              </w:rPr>
            </w:pPr>
            <w:r w:rsidRPr="00BC5E3A">
              <w:rPr>
                <w:rFonts w:asciiTheme="majorBidi" w:hAnsiTheme="majorBidi" w:cstheme="majorBidi"/>
                <w:b/>
                <w:bCs/>
                <w:sz w:val="17"/>
                <w:szCs w:val="17"/>
              </w:rPr>
              <w:t>Safety</w:t>
            </w:r>
          </w:p>
        </w:tc>
        <w:tc>
          <w:tcPr>
            <w:tcW w:w="1587" w:type="dxa"/>
            <w:tcBorders>
              <w:top w:val="single" w:sz="6" w:space="0" w:color="auto"/>
              <w:bottom w:val="single" w:sz="6" w:space="0" w:color="auto"/>
            </w:tcBorders>
          </w:tcPr>
          <w:p w14:paraId="28E65791" w14:textId="77777777" w:rsidR="007D309B" w:rsidRPr="00BC5E3A" w:rsidRDefault="007D309B" w:rsidP="00C534B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7"/>
                <w:szCs w:val="17"/>
              </w:rPr>
            </w:pPr>
            <w:r w:rsidRPr="00BC5E3A">
              <w:rPr>
                <w:rFonts w:asciiTheme="majorBidi" w:hAnsiTheme="majorBidi" w:cstheme="majorBidi"/>
                <w:b/>
                <w:bCs/>
                <w:sz w:val="17"/>
                <w:szCs w:val="17"/>
              </w:rPr>
              <w:t>Operational Issues</w:t>
            </w:r>
          </w:p>
        </w:tc>
      </w:tr>
      <w:tr w:rsidR="00BC5E3A" w:rsidRPr="00BC5E3A" w14:paraId="430DBCB0" w14:textId="77777777" w:rsidTr="00C80C78">
        <w:trPr>
          <w:jc w:val="center"/>
        </w:trPr>
        <w:tc>
          <w:tcPr>
            <w:cnfStyle w:val="001000000000" w:firstRow="0" w:lastRow="0" w:firstColumn="1" w:lastColumn="0" w:oddVBand="0" w:evenVBand="0" w:oddHBand="0" w:evenHBand="0" w:firstRowFirstColumn="0" w:firstRowLastColumn="0" w:lastRowFirstColumn="0" w:lastRowLastColumn="0"/>
            <w:tcW w:w="964" w:type="dxa"/>
            <w:tcBorders>
              <w:top w:val="single" w:sz="6" w:space="0" w:color="auto"/>
            </w:tcBorders>
          </w:tcPr>
          <w:p w14:paraId="2C3692B4" w14:textId="77777777" w:rsidR="007D309B" w:rsidRPr="00BC5E3A" w:rsidRDefault="007D309B" w:rsidP="007A3947">
            <w:pPr>
              <w:rPr>
                <w:rFonts w:asciiTheme="majorBidi" w:hAnsiTheme="majorBidi" w:cstheme="majorBidi"/>
                <w:b w:val="0"/>
                <w:bCs w:val="0"/>
                <w:sz w:val="17"/>
                <w:szCs w:val="17"/>
              </w:rPr>
            </w:pPr>
            <w:r w:rsidRPr="00BC5E3A">
              <w:rPr>
                <w:rFonts w:asciiTheme="majorBidi" w:hAnsiTheme="majorBidi" w:cstheme="majorBidi"/>
                <w:b w:val="0"/>
                <w:bCs w:val="0"/>
                <w:sz w:val="17"/>
                <w:szCs w:val="17"/>
              </w:rPr>
              <w:t>Air</w:t>
            </w:r>
          </w:p>
        </w:tc>
        <w:tc>
          <w:tcPr>
            <w:tcW w:w="1531" w:type="dxa"/>
            <w:tcBorders>
              <w:top w:val="single" w:sz="6" w:space="0" w:color="auto"/>
              <w:bottom w:val="single" w:sz="6" w:space="0" w:color="auto"/>
            </w:tcBorders>
          </w:tcPr>
          <w:p w14:paraId="44A6DEA7" w14:textId="3D91242E" w:rsidR="007D309B" w:rsidRPr="00BC5E3A" w:rsidRDefault="007D309B" w:rsidP="00C534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7"/>
                <w:szCs w:val="17"/>
              </w:rPr>
            </w:pPr>
            <w:r w:rsidRPr="00BC5E3A">
              <w:rPr>
                <w:rFonts w:asciiTheme="majorBidi" w:hAnsiTheme="majorBidi" w:cstheme="majorBidi"/>
                <w:sz w:val="17"/>
                <w:szCs w:val="17"/>
              </w:rPr>
              <w:t>S</w:t>
            </w:r>
            <w:r w:rsidR="00A250A0" w:rsidRPr="00BC5E3A">
              <w:rPr>
                <w:rFonts w:asciiTheme="majorBidi" w:hAnsiTheme="majorBidi" w:cstheme="majorBidi"/>
                <w:sz w:val="17"/>
                <w:szCs w:val="17"/>
              </w:rPr>
              <w:t>table at high temperatures</w:t>
            </w:r>
          </w:p>
          <w:p w14:paraId="50B88FA6" w14:textId="708EB211" w:rsidR="007D309B" w:rsidRPr="00BC5E3A" w:rsidRDefault="00A250A0" w:rsidP="00C534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7"/>
                <w:szCs w:val="17"/>
              </w:rPr>
            </w:pPr>
            <w:r w:rsidRPr="00BC5E3A">
              <w:rPr>
                <w:rFonts w:asciiTheme="majorBidi" w:hAnsiTheme="majorBidi" w:cstheme="majorBidi"/>
                <w:sz w:val="17"/>
                <w:szCs w:val="17"/>
              </w:rPr>
              <w:t>N</w:t>
            </w:r>
            <w:r w:rsidR="007D309B" w:rsidRPr="00BC5E3A">
              <w:rPr>
                <w:rFonts w:asciiTheme="majorBidi" w:hAnsiTheme="majorBidi" w:cstheme="majorBidi"/>
                <w:sz w:val="17"/>
                <w:szCs w:val="17"/>
              </w:rPr>
              <w:t>o long-term degradation [</w:t>
            </w:r>
            <w:r w:rsidR="00520292" w:rsidRPr="00BC5E3A">
              <w:rPr>
                <w:rFonts w:asciiTheme="majorBidi" w:hAnsiTheme="majorBidi" w:cstheme="majorBidi"/>
                <w:sz w:val="17"/>
                <w:szCs w:val="17"/>
              </w:rPr>
              <w:t>28</w:t>
            </w:r>
            <w:r w:rsidR="007D309B" w:rsidRPr="00BC5E3A">
              <w:rPr>
                <w:rFonts w:asciiTheme="majorBidi" w:hAnsiTheme="majorBidi" w:cstheme="majorBidi"/>
                <w:sz w:val="17"/>
                <w:szCs w:val="17"/>
              </w:rPr>
              <w:t>]</w:t>
            </w:r>
          </w:p>
        </w:tc>
        <w:tc>
          <w:tcPr>
            <w:tcW w:w="1191" w:type="dxa"/>
            <w:tcBorders>
              <w:top w:val="single" w:sz="6" w:space="0" w:color="auto"/>
              <w:bottom w:val="single" w:sz="6" w:space="0" w:color="auto"/>
            </w:tcBorders>
          </w:tcPr>
          <w:p w14:paraId="536BAB1F" w14:textId="77777777" w:rsidR="007D309B" w:rsidRPr="00BC5E3A" w:rsidRDefault="007D309B" w:rsidP="00C534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7"/>
                <w:szCs w:val="17"/>
              </w:rPr>
            </w:pPr>
            <w:r w:rsidRPr="00BC5E3A">
              <w:rPr>
                <w:rFonts w:asciiTheme="majorBidi" w:hAnsiTheme="majorBidi" w:cstheme="majorBidi"/>
                <w:sz w:val="17"/>
                <w:szCs w:val="17"/>
              </w:rPr>
              <w:t>Moderate efficiency at high temperature</w:t>
            </w:r>
          </w:p>
        </w:tc>
        <w:tc>
          <w:tcPr>
            <w:tcW w:w="1247" w:type="dxa"/>
            <w:tcBorders>
              <w:top w:val="single" w:sz="6" w:space="0" w:color="auto"/>
              <w:bottom w:val="single" w:sz="6" w:space="0" w:color="auto"/>
            </w:tcBorders>
          </w:tcPr>
          <w:p w14:paraId="6490999A" w14:textId="62226ACF" w:rsidR="007D309B" w:rsidRPr="00BC5E3A" w:rsidRDefault="00A250A0" w:rsidP="00C534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7"/>
                <w:szCs w:val="17"/>
              </w:rPr>
            </w:pPr>
            <w:r w:rsidRPr="00BC5E3A">
              <w:rPr>
                <w:rStyle w:val="Strong"/>
                <w:rFonts w:asciiTheme="majorBidi" w:hAnsiTheme="majorBidi" w:cstheme="majorBidi"/>
                <w:b w:val="0"/>
                <w:bCs w:val="0"/>
                <w:sz w:val="17"/>
                <w:szCs w:val="17"/>
              </w:rPr>
              <w:t>H</w:t>
            </w:r>
            <w:r w:rsidR="007D309B" w:rsidRPr="00BC5E3A">
              <w:rPr>
                <w:rStyle w:val="Strong"/>
                <w:rFonts w:asciiTheme="majorBidi" w:hAnsiTheme="majorBidi" w:cstheme="majorBidi"/>
                <w:b w:val="0"/>
                <w:bCs w:val="0"/>
                <w:sz w:val="17"/>
                <w:szCs w:val="17"/>
              </w:rPr>
              <w:t>igh pumping power demand</w:t>
            </w:r>
          </w:p>
        </w:tc>
        <w:tc>
          <w:tcPr>
            <w:tcW w:w="794" w:type="dxa"/>
            <w:tcBorders>
              <w:top w:val="single" w:sz="6" w:space="0" w:color="auto"/>
              <w:bottom w:val="single" w:sz="6" w:space="0" w:color="auto"/>
            </w:tcBorders>
          </w:tcPr>
          <w:p w14:paraId="1A61A4E1" w14:textId="77777777" w:rsidR="007D309B" w:rsidRPr="00BC5E3A" w:rsidRDefault="007D309B" w:rsidP="00C534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7"/>
                <w:szCs w:val="17"/>
              </w:rPr>
            </w:pPr>
            <w:r w:rsidRPr="00BC5E3A">
              <w:rPr>
                <w:rFonts w:asciiTheme="majorBidi" w:hAnsiTheme="majorBidi" w:cstheme="majorBidi"/>
                <w:sz w:val="17"/>
                <w:szCs w:val="17"/>
              </w:rPr>
              <w:t>0</w:t>
            </w:r>
          </w:p>
        </w:tc>
        <w:tc>
          <w:tcPr>
            <w:tcW w:w="1304" w:type="dxa"/>
            <w:tcBorders>
              <w:top w:val="single" w:sz="6" w:space="0" w:color="auto"/>
              <w:bottom w:val="single" w:sz="6" w:space="0" w:color="auto"/>
            </w:tcBorders>
          </w:tcPr>
          <w:p w14:paraId="2EFF0FD9" w14:textId="77777777" w:rsidR="007D309B" w:rsidRPr="00BC5E3A" w:rsidRDefault="007D309B" w:rsidP="00C534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7"/>
                <w:szCs w:val="17"/>
              </w:rPr>
            </w:pPr>
            <w:r w:rsidRPr="00BC5E3A">
              <w:rPr>
                <w:rFonts w:asciiTheme="majorBidi" w:hAnsiTheme="majorBidi" w:cstheme="majorBidi"/>
                <w:sz w:val="17"/>
                <w:szCs w:val="17"/>
              </w:rPr>
              <w:t>No replacement required due to inertness and stability</w:t>
            </w:r>
          </w:p>
        </w:tc>
        <w:tc>
          <w:tcPr>
            <w:tcW w:w="1417" w:type="dxa"/>
            <w:tcBorders>
              <w:top w:val="single" w:sz="6" w:space="0" w:color="auto"/>
              <w:bottom w:val="single" w:sz="6" w:space="0" w:color="auto"/>
            </w:tcBorders>
          </w:tcPr>
          <w:p w14:paraId="0A0FD5F2" w14:textId="13C165C4" w:rsidR="007D309B" w:rsidRPr="00BC5E3A" w:rsidRDefault="00520292" w:rsidP="00C534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7"/>
                <w:szCs w:val="17"/>
              </w:rPr>
            </w:pPr>
            <w:r w:rsidRPr="00BC5E3A">
              <w:rPr>
                <w:rFonts w:asciiTheme="majorBidi" w:hAnsiTheme="majorBidi" w:cstheme="majorBidi"/>
                <w:sz w:val="17"/>
                <w:szCs w:val="17"/>
              </w:rPr>
              <w:t xml:space="preserve">Safe, non-toxic, no </w:t>
            </w:r>
            <w:r w:rsidR="007D309B" w:rsidRPr="00BC5E3A">
              <w:rPr>
                <w:rFonts w:asciiTheme="majorBidi" w:hAnsiTheme="majorBidi" w:cstheme="majorBidi"/>
                <w:sz w:val="17"/>
                <w:szCs w:val="17"/>
              </w:rPr>
              <w:t>environmental hazard</w:t>
            </w:r>
          </w:p>
        </w:tc>
        <w:tc>
          <w:tcPr>
            <w:tcW w:w="1587" w:type="dxa"/>
            <w:tcBorders>
              <w:top w:val="single" w:sz="6" w:space="0" w:color="auto"/>
              <w:bottom w:val="single" w:sz="6" w:space="0" w:color="auto"/>
            </w:tcBorders>
          </w:tcPr>
          <w:p w14:paraId="1C8F5DCA" w14:textId="77777777" w:rsidR="007D309B" w:rsidRPr="00BC5E3A" w:rsidRDefault="007D309B" w:rsidP="00C534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7"/>
                <w:szCs w:val="17"/>
              </w:rPr>
            </w:pPr>
            <w:r w:rsidRPr="00BC5E3A">
              <w:rPr>
                <w:rFonts w:asciiTheme="majorBidi" w:hAnsiTheme="majorBidi" w:cstheme="majorBidi"/>
                <w:sz w:val="17"/>
                <w:szCs w:val="17"/>
              </w:rPr>
              <w:t>High pumping power requirement</w:t>
            </w:r>
          </w:p>
        </w:tc>
      </w:tr>
      <w:tr w:rsidR="00BC5E3A" w:rsidRPr="00BC5E3A" w14:paraId="20AB8282" w14:textId="77777777" w:rsidTr="00C80C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4" w:type="dxa"/>
          </w:tcPr>
          <w:p w14:paraId="08ABA348" w14:textId="0D96E088" w:rsidR="002D068D" w:rsidRPr="00BC5E3A" w:rsidRDefault="002D068D" w:rsidP="002D068D">
            <w:pPr>
              <w:rPr>
                <w:rFonts w:asciiTheme="majorBidi" w:hAnsiTheme="majorBidi" w:cstheme="majorBidi"/>
                <w:sz w:val="17"/>
                <w:szCs w:val="17"/>
              </w:rPr>
            </w:pPr>
            <w:r w:rsidRPr="00BC5E3A">
              <w:rPr>
                <w:rStyle w:val="Strong"/>
                <w:rFonts w:asciiTheme="majorBidi" w:hAnsiTheme="majorBidi" w:cstheme="majorBidi"/>
                <w:sz w:val="17"/>
                <w:szCs w:val="17"/>
              </w:rPr>
              <w:t>Solar Salt</w:t>
            </w:r>
          </w:p>
        </w:tc>
        <w:tc>
          <w:tcPr>
            <w:tcW w:w="1531" w:type="dxa"/>
            <w:tcBorders>
              <w:top w:val="single" w:sz="6" w:space="0" w:color="auto"/>
              <w:bottom w:val="single" w:sz="6" w:space="0" w:color="auto"/>
            </w:tcBorders>
          </w:tcPr>
          <w:p w14:paraId="3BA3A798" w14:textId="575AB4A8" w:rsidR="002D068D" w:rsidRPr="00BC5E3A" w:rsidRDefault="002D068D" w:rsidP="00C534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7"/>
                <w:szCs w:val="17"/>
              </w:rPr>
            </w:pPr>
            <w:r w:rsidRPr="00BC5E3A">
              <w:rPr>
                <w:rFonts w:asciiTheme="majorBidi" w:hAnsiTheme="majorBidi" w:cstheme="majorBidi"/>
                <w:sz w:val="17"/>
                <w:szCs w:val="17"/>
              </w:rPr>
              <w:t>Risk of solidificat</w:t>
            </w:r>
            <w:r w:rsidR="00A250A0" w:rsidRPr="00BC5E3A">
              <w:rPr>
                <w:rFonts w:asciiTheme="majorBidi" w:hAnsiTheme="majorBidi" w:cstheme="majorBidi"/>
                <w:sz w:val="17"/>
                <w:szCs w:val="17"/>
              </w:rPr>
              <w:t>ion under 220 °C S</w:t>
            </w:r>
            <w:r w:rsidRPr="00BC5E3A">
              <w:rPr>
                <w:rFonts w:asciiTheme="majorBidi" w:hAnsiTheme="majorBidi" w:cstheme="majorBidi"/>
                <w:sz w:val="17"/>
                <w:szCs w:val="17"/>
              </w:rPr>
              <w:t>table up to 600 °C [</w:t>
            </w:r>
            <w:r w:rsidR="00520292" w:rsidRPr="00BC5E3A">
              <w:rPr>
                <w:rFonts w:asciiTheme="majorBidi" w:hAnsiTheme="majorBidi" w:cstheme="majorBidi"/>
                <w:sz w:val="17"/>
                <w:szCs w:val="17"/>
              </w:rPr>
              <w:t>29</w:t>
            </w:r>
            <w:r w:rsidRPr="00BC5E3A">
              <w:rPr>
                <w:rFonts w:asciiTheme="majorBidi" w:hAnsiTheme="majorBidi" w:cstheme="majorBidi"/>
                <w:sz w:val="17"/>
                <w:szCs w:val="17"/>
              </w:rPr>
              <w:t>]</w:t>
            </w:r>
          </w:p>
        </w:tc>
        <w:tc>
          <w:tcPr>
            <w:tcW w:w="1191" w:type="dxa"/>
            <w:tcBorders>
              <w:top w:val="single" w:sz="6" w:space="0" w:color="auto"/>
              <w:bottom w:val="single" w:sz="6" w:space="0" w:color="auto"/>
            </w:tcBorders>
          </w:tcPr>
          <w:p w14:paraId="10615308" w14:textId="11706C34" w:rsidR="002D068D" w:rsidRPr="00BC5E3A" w:rsidRDefault="002D068D" w:rsidP="00C534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7"/>
                <w:szCs w:val="17"/>
              </w:rPr>
            </w:pPr>
            <w:r w:rsidRPr="00BC5E3A">
              <w:rPr>
                <w:rFonts w:asciiTheme="majorBidi" w:hAnsiTheme="majorBidi" w:cstheme="majorBidi"/>
                <w:sz w:val="17"/>
                <w:szCs w:val="17"/>
              </w:rPr>
              <w:t>High efficiency (high specific heat and good conductivity)</w:t>
            </w:r>
          </w:p>
        </w:tc>
        <w:tc>
          <w:tcPr>
            <w:tcW w:w="1247" w:type="dxa"/>
            <w:tcBorders>
              <w:top w:val="single" w:sz="6" w:space="0" w:color="auto"/>
              <w:bottom w:val="single" w:sz="6" w:space="0" w:color="auto"/>
            </w:tcBorders>
          </w:tcPr>
          <w:p w14:paraId="00BB0119" w14:textId="20F3BEDD" w:rsidR="002D068D" w:rsidRPr="00BC5E3A" w:rsidRDefault="002D068D" w:rsidP="00C534B8">
            <w:pPr>
              <w:cnfStyle w:val="000000100000" w:firstRow="0" w:lastRow="0" w:firstColumn="0" w:lastColumn="0" w:oddVBand="0" w:evenVBand="0" w:oddHBand="1" w:evenHBand="0" w:firstRowFirstColumn="0" w:firstRowLastColumn="0" w:lastRowFirstColumn="0" w:lastRowLastColumn="0"/>
              <w:rPr>
                <w:rStyle w:val="Strong"/>
                <w:rFonts w:asciiTheme="majorBidi" w:hAnsiTheme="majorBidi" w:cstheme="majorBidi"/>
                <w:b w:val="0"/>
                <w:bCs w:val="0"/>
                <w:sz w:val="17"/>
                <w:szCs w:val="17"/>
              </w:rPr>
            </w:pPr>
            <w:r w:rsidRPr="00BC5E3A">
              <w:rPr>
                <w:rFonts w:asciiTheme="majorBidi" w:hAnsiTheme="majorBidi" w:cstheme="majorBidi"/>
                <w:sz w:val="17"/>
                <w:szCs w:val="17"/>
              </w:rPr>
              <w:t>Low pumping power demand</w:t>
            </w:r>
          </w:p>
        </w:tc>
        <w:tc>
          <w:tcPr>
            <w:tcW w:w="794" w:type="dxa"/>
            <w:tcBorders>
              <w:top w:val="single" w:sz="6" w:space="0" w:color="auto"/>
              <w:bottom w:val="single" w:sz="6" w:space="0" w:color="auto"/>
            </w:tcBorders>
          </w:tcPr>
          <w:p w14:paraId="41EDF210" w14:textId="77777777" w:rsidR="002D068D" w:rsidRPr="00BC5E3A" w:rsidRDefault="002D068D" w:rsidP="00C534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7"/>
                <w:szCs w:val="17"/>
              </w:rPr>
            </w:pPr>
            <w:r w:rsidRPr="00BC5E3A">
              <w:rPr>
                <w:rFonts w:asciiTheme="majorBidi" w:hAnsiTheme="majorBidi" w:cstheme="majorBidi"/>
                <w:sz w:val="17"/>
                <w:szCs w:val="17"/>
              </w:rPr>
              <w:t>0.5-1.3</w:t>
            </w:r>
          </w:p>
          <w:p w14:paraId="2125CF7C" w14:textId="198BDAA1" w:rsidR="002D068D" w:rsidRPr="00BC5E3A" w:rsidRDefault="002D068D" w:rsidP="00C534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7"/>
                <w:szCs w:val="17"/>
              </w:rPr>
            </w:pPr>
            <w:r w:rsidRPr="00BC5E3A">
              <w:rPr>
                <w:rFonts w:asciiTheme="majorBidi" w:hAnsiTheme="majorBidi" w:cstheme="majorBidi"/>
                <w:sz w:val="17"/>
                <w:szCs w:val="17"/>
              </w:rPr>
              <w:t>[</w:t>
            </w:r>
            <w:r w:rsidR="00520292" w:rsidRPr="00BC5E3A">
              <w:rPr>
                <w:rFonts w:asciiTheme="majorBidi" w:hAnsiTheme="majorBidi" w:cstheme="majorBidi"/>
                <w:sz w:val="17"/>
                <w:szCs w:val="17"/>
              </w:rPr>
              <w:t>30</w:t>
            </w:r>
            <w:r w:rsidRPr="00BC5E3A">
              <w:rPr>
                <w:rFonts w:asciiTheme="majorBidi" w:hAnsiTheme="majorBidi" w:cstheme="majorBidi"/>
                <w:sz w:val="17"/>
                <w:szCs w:val="17"/>
              </w:rPr>
              <w:t>]</w:t>
            </w:r>
          </w:p>
        </w:tc>
        <w:tc>
          <w:tcPr>
            <w:tcW w:w="1304" w:type="dxa"/>
            <w:tcBorders>
              <w:top w:val="single" w:sz="6" w:space="0" w:color="auto"/>
              <w:bottom w:val="single" w:sz="6" w:space="0" w:color="auto"/>
            </w:tcBorders>
          </w:tcPr>
          <w:p w14:paraId="429592C0" w14:textId="40C5AB8A" w:rsidR="002D068D" w:rsidRPr="00BC5E3A" w:rsidRDefault="002D068D" w:rsidP="00C534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7"/>
                <w:szCs w:val="17"/>
              </w:rPr>
            </w:pPr>
            <w:r w:rsidRPr="00BC5E3A">
              <w:rPr>
                <w:rFonts w:asciiTheme="majorBidi" w:hAnsiTheme="majorBidi" w:cstheme="majorBidi"/>
                <w:sz w:val="17"/>
                <w:szCs w:val="17"/>
              </w:rPr>
              <w:t>No fluid replacement required under stable operating conditions [</w:t>
            </w:r>
            <w:r w:rsidR="00520292" w:rsidRPr="00BC5E3A">
              <w:rPr>
                <w:rFonts w:asciiTheme="majorBidi" w:hAnsiTheme="majorBidi" w:cstheme="majorBidi"/>
                <w:sz w:val="17"/>
                <w:szCs w:val="17"/>
              </w:rPr>
              <w:t>31</w:t>
            </w:r>
            <w:r w:rsidRPr="00BC5E3A">
              <w:rPr>
                <w:rFonts w:asciiTheme="majorBidi" w:hAnsiTheme="majorBidi" w:cstheme="majorBidi"/>
                <w:sz w:val="17"/>
                <w:szCs w:val="17"/>
              </w:rPr>
              <w:t>]</w:t>
            </w:r>
          </w:p>
        </w:tc>
        <w:tc>
          <w:tcPr>
            <w:tcW w:w="1417" w:type="dxa"/>
            <w:tcBorders>
              <w:top w:val="single" w:sz="6" w:space="0" w:color="auto"/>
              <w:bottom w:val="single" w:sz="6" w:space="0" w:color="auto"/>
            </w:tcBorders>
          </w:tcPr>
          <w:p w14:paraId="748F9E5E" w14:textId="73776830" w:rsidR="00520292" w:rsidRPr="00BC5E3A" w:rsidRDefault="00F516CE" w:rsidP="00C534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7"/>
                <w:szCs w:val="17"/>
              </w:rPr>
            </w:pPr>
            <w:r w:rsidRPr="00BC5E3A">
              <w:rPr>
                <w:rFonts w:asciiTheme="majorBidi" w:hAnsiTheme="majorBidi" w:cstheme="majorBidi"/>
                <w:sz w:val="17"/>
                <w:szCs w:val="17"/>
              </w:rPr>
              <w:t xml:space="preserve">No </w:t>
            </w:r>
            <w:r w:rsidR="00520292" w:rsidRPr="00BC5E3A">
              <w:rPr>
                <w:rFonts w:asciiTheme="majorBidi" w:hAnsiTheme="majorBidi" w:cstheme="majorBidi"/>
                <w:sz w:val="17"/>
                <w:szCs w:val="17"/>
              </w:rPr>
              <w:t>flammable</w:t>
            </w:r>
          </w:p>
          <w:p w14:paraId="5DB8346A" w14:textId="4CEFAF1C" w:rsidR="002D068D" w:rsidRPr="00BC5E3A" w:rsidRDefault="00F516CE" w:rsidP="00C534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7"/>
                <w:szCs w:val="17"/>
              </w:rPr>
            </w:pPr>
            <w:r w:rsidRPr="00BC5E3A">
              <w:rPr>
                <w:rFonts w:asciiTheme="majorBidi" w:hAnsiTheme="majorBidi" w:cstheme="majorBidi"/>
                <w:sz w:val="17"/>
                <w:szCs w:val="17"/>
              </w:rPr>
              <w:t>N</w:t>
            </w:r>
            <w:r w:rsidR="002D068D" w:rsidRPr="00BC5E3A">
              <w:rPr>
                <w:rFonts w:asciiTheme="majorBidi" w:hAnsiTheme="majorBidi" w:cstheme="majorBidi"/>
                <w:sz w:val="17"/>
                <w:szCs w:val="17"/>
              </w:rPr>
              <w:t>ot classified as environmentally hazardous [</w:t>
            </w:r>
            <w:r w:rsidR="00520292" w:rsidRPr="00BC5E3A">
              <w:rPr>
                <w:rFonts w:asciiTheme="majorBidi" w:hAnsiTheme="majorBidi" w:cstheme="majorBidi"/>
                <w:sz w:val="17"/>
                <w:szCs w:val="17"/>
              </w:rPr>
              <w:t>30</w:t>
            </w:r>
            <w:r w:rsidR="002D068D" w:rsidRPr="00BC5E3A">
              <w:rPr>
                <w:rFonts w:asciiTheme="majorBidi" w:hAnsiTheme="majorBidi" w:cstheme="majorBidi"/>
                <w:sz w:val="17"/>
                <w:szCs w:val="17"/>
              </w:rPr>
              <w:t>]</w:t>
            </w:r>
          </w:p>
          <w:p w14:paraId="7F2BB8C2" w14:textId="77777777" w:rsidR="002D068D" w:rsidRPr="00BC5E3A" w:rsidRDefault="002D068D" w:rsidP="00C534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7"/>
                <w:szCs w:val="17"/>
              </w:rPr>
            </w:pPr>
          </w:p>
        </w:tc>
        <w:tc>
          <w:tcPr>
            <w:tcW w:w="1587" w:type="dxa"/>
            <w:tcBorders>
              <w:top w:val="single" w:sz="6" w:space="0" w:color="auto"/>
              <w:bottom w:val="single" w:sz="6" w:space="0" w:color="auto"/>
            </w:tcBorders>
          </w:tcPr>
          <w:p w14:paraId="78B6710F" w14:textId="3C0DE78E" w:rsidR="00F516CE" w:rsidRPr="00BC5E3A" w:rsidRDefault="002D068D" w:rsidP="00C534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7"/>
                <w:szCs w:val="17"/>
              </w:rPr>
            </w:pPr>
            <w:r w:rsidRPr="00BC5E3A">
              <w:rPr>
                <w:rFonts w:asciiTheme="majorBidi" w:hAnsiTheme="majorBidi" w:cstheme="majorBidi"/>
                <w:sz w:val="17"/>
                <w:szCs w:val="17"/>
              </w:rPr>
              <w:t>Melting point</w:t>
            </w:r>
            <w:r w:rsidR="00F516CE" w:rsidRPr="00BC5E3A">
              <w:rPr>
                <w:rFonts w:asciiTheme="majorBidi" w:hAnsiTheme="majorBidi" w:cstheme="majorBidi"/>
                <w:sz w:val="17"/>
                <w:szCs w:val="17"/>
              </w:rPr>
              <w:t>:</w:t>
            </w:r>
            <w:r w:rsidR="005F1643" w:rsidRPr="00BC5E3A">
              <w:rPr>
                <w:rFonts w:asciiTheme="majorBidi" w:hAnsiTheme="majorBidi" w:cstheme="majorBidi"/>
                <w:sz w:val="17"/>
                <w:szCs w:val="17"/>
              </w:rPr>
              <w:t xml:space="preserve"> 220 °C; freezing prevention required</w:t>
            </w:r>
          </w:p>
          <w:p w14:paraId="4B5BED4D" w14:textId="58991377" w:rsidR="002D068D" w:rsidRPr="00BC5E3A" w:rsidRDefault="00F516CE" w:rsidP="00C534B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7"/>
                <w:szCs w:val="17"/>
              </w:rPr>
            </w:pPr>
            <w:r w:rsidRPr="00BC5E3A">
              <w:rPr>
                <w:rFonts w:asciiTheme="majorBidi" w:hAnsiTheme="majorBidi" w:cstheme="majorBidi"/>
                <w:sz w:val="17"/>
                <w:szCs w:val="17"/>
              </w:rPr>
              <w:t>L</w:t>
            </w:r>
            <w:r w:rsidR="002D068D" w:rsidRPr="00BC5E3A">
              <w:rPr>
                <w:rFonts w:asciiTheme="majorBidi" w:hAnsiTheme="majorBidi" w:cstheme="majorBidi"/>
                <w:sz w:val="17"/>
                <w:szCs w:val="17"/>
              </w:rPr>
              <w:t>ow corrosion rates under standard operation [</w:t>
            </w:r>
            <w:r w:rsidR="00520292" w:rsidRPr="00BC5E3A">
              <w:rPr>
                <w:rFonts w:asciiTheme="majorBidi" w:hAnsiTheme="majorBidi" w:cstheme="majorBidi"/>
                <w:sz w:val="17"/>
                <w:szCs w:val="17"/>
              </w:rPr>
              <w:t>29</w:t>
            </w:r>
            <w:r w:rsidR="002D068D" w:rsidRPr="00BC5E3A">
              <w:rPr>
                <w:rFonts w:asciiTheme="majorBidi" w:hAnsiTheme="majorBidi" w:cstheme="majorBidi"/>
                <w:sz w:val="17"/>
                <w:szCs w:val="17"/>
              </w:rPr>
              <w:t>]</w:t>
            </w:r>
          </w:p>
        </w:tc>
      </w:tr>
      <w:tr w:rsidR="00BC5E3A" w:rsidRPr="00BC5E3A" w14:paraId="67B7803B" w14:textId="77777777" w:rsidTr="00C80C78">
        <w:trPr>
          <w:jc w:val="center"/>
        </w:trPr>
        <w:tc>
          <w:tcPr>
            <w:cnfStyle w:val="001000000000" w:firstRow="0" w:lastRow="0" w:firstColumn="1" w:lastColumn="0" w:oddVBand="0" w:evenVBand="0" w:oddHBand="0" w:evenHBand="0" w:firstRowFirstColumn="0" w:firstRowLastColumn="0" w:lastRowFirstColumn="0" w:lastRowLastColumn="0"/>
            <w:tcW w:w="964" w:type="dxa"/>
            <w:tcBorders>
              <w:bottom w:val="single" w:sz="6" w:space="0" w:color="auto"/>
            </w:tcBorders>
          </w:tcPr>
          <w:p w14:paraId="010C8F85" w14:textId="77777777" w:rsidR="007D309B" w:rsidRPr="00BC5E3A" w:rsidRDefault="007D309B" w:rsidP="007A3947">
            <w:pPr>
              <w:rPr>
                <w:rFonts w:asciiTheme="majorBidi" w:hAnsiTheme="majorBidi" w:cstheme="majorBidi"/>
                <w:b w:val="0"/>
                <w:bCs w:val="0"/>
                <w:sz w:val="17"/>
                <w:szCs w:val="17"/>
              </w:rPr>
            </w:pPr>
            <w:r w:rsidRPr="00BC5E3A">
              <w:rPr>
                <w:rStyle w:val="Strong"/>
                <w:rFonts w:asciiTheme="majorBidi" w:hAnsiTheme="majorBidi" w:cstheme="majorBidi"/>
                <w:sz w:val="17"/>
                <w:szCs w:val="17"/>
              </w:rPr>
              <w:t>Therminol VP-1</w:t>
            </w:r>
          </w:p>
        </w:tc>
        <w:tc>
          <w:tcPr>
            <w:tcW w:w="1531" w:type="dxa"/>
            <w:tcBorders>
              <w:top w:val="single" w:sz="6" w:space="0" w:color="auto"/>
              <w:bottom w:val="single" w:sz="6" w:space="0" w:color="auto"/>
            </w:tcBorders>
          </w:tcPr>
          <w:p w14:paraId="19A846E9" w14:textId="11443A59" w:rsidR="007D309B" w:rsidRPr="00BC5E3A" w:rsidRDefault="00520292" w:rsidP="00C534B8">
            <w:pPr>
              <w:pStyle w:val="NormalWeb"/>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7"/>
                <w:szCs w:val="17"/>
                <w:lang w:val="en-US"/>
              </w:rPr>
            </w:pPr>
            <w:r w:rsidRPr="00BC5E3A">
              <w:rPr>
                <w:rFonts w:asciiTheme="majorBidi" w:hAnsiTheme="majorBidi" w:cstheme="majorBidi"/>
                <w:sz w:val="17"/>
                <w:szCs w:val="17"/>
                <w:lang w:val="en-US"/>
              </w:rPr>
              <w:t>Stable 12–400 °C</w:t>
            </w:r>
            <w:r w:rsidR="007D309B" w:rsidRPr="00BC5E3A">
              <w:rPr>
                <w:rFonts w:asciiTheme="majorBidi" w:hAnsiTheme="majorBidi" w:cstheme="majorBidi"/>
                <w:sz w:val="17"/>
                <w:szCs w:val="17"/>
                <w:lang w:val="en-US"/>
              </w:rPr>
              <w:t xml:space="preserve"> </w:t>
            </w:r>
            <w:r w:rsidR="00A250A0" w:rsidRPr="00BC5E3A">
              <w:rPr>
                <w:rFonts w:asciiTheme="majorBidi" w:hAnsiTheme="majorBidi" w:cstheme="majorBidi"/>
                <w:sz w:val="17"/>
                <w:szCs w:val="17"/>
                <w:lang w:val="en-US"/>
              </w:rPr>
              <w:t xml:space="preserve">Decomposition above 400 °C </w:t>
            </w:r>
            <w:r w:rsidR="007D309B" w:rsidRPr="00BC5E3A">
              <w:rPr>
                <w:rFonts w:asciiTheme="majorBidi" w:hAnsiTheme="majorBidi" w:cstheme="majorBidi"/>
                <w:sz w:val="17"/>
                <w:szCs w:val="17"/>
              </w:rPr>
              <w:t>[</w:t>
            </w:r>
            <w:r w:rsidRPr="00BC5E3A">
              <w:rPr>
                <w:rFonts w:asciiTheme="majorBidi" w:hAnsiTheme="majorBidi" w:cstheme="majorBidi"/>
                <w:sz w:val="17"/>
                <w:szCs w:val="17"/>
              </w:rPr>
              <w:t>32</w:t>
            </w:r>
            <w:r w:rsidR="007D309B" w:rsidRPr="00BC5E3A">
              <w:rPr>
                <w:rFonts w:asciiTheme="majorBidi" w:hAnsiTheme="majorBidi" w:cstheme="majorBidi"/>
                <w:sz w:val="17"/>
                <w:szCs w:val="17"/>
              </w:rPr>
              <w:t>]</w:t>
            </w:r>
          </w:p>
        </w:tc>
        <w:tc>
          <w:tcPr>
            <w:tcW w:w="1191" w:type="dxa"/>
            <w:tcBorders>
              <w:top w:val="single" w:sz="6" w:space="0" w:color="auto"/>
              <w:bottom w:val="single" w:sz="6" w:space="0" w:color="auto"/>
            </w:tcBorders>
          </w:tcPr>
          <w:p w14:paraId="67B5164F" w14:textId="77777777" w:rsidR="007D309B" w:rsidRPr="00BC5E3A" w:rsidRDefault="007D309B" w:rsidP="00C534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7"/>
                <w:szCs w:val="17"/>
              </w:rPr>
            </w:pPr>
            <w:r w:rsidRPr="00BC5E3A">
              <w:rPr>
                <w:rFonts w:asciiTheme="majorBidi" w:hAnsiTheme="majorBidi" w:cstheme="majorBidi"/>
                <w:sz w:val="17"/>
                <w:szCs w:val="17"/>
              </w:rPr>
              <w:t>High efficiency below 400 °C</w:t>
            </w:r>
          </w:p>
        </w:tc>
        <w:tc>
          <w:tcPr>
            <w:tcW w:w="1247" w:type="dxa"/>
            <w:tcBorders>
              <w:top w:val="single" w:sz="6" w:space="0" w:color="auto"/>
              <w:bottom w:val="single" w:sz="6" w:space="0" w:color="auto"/>
            </w:tcBorders>
          </w:tcPr>
          <w:p w14:paraId="2925C159" w14:textId="77777777" w:rsidR="007D309B" w:rsidRPr="00BC5E3A" w:rsidRDefault="007D309B" w:rsidP="00C534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7"/>
                <w:szCs w:val="17"/>
              </w:rPr>
            </w:pPr>
            <w:r w:rsidRPr="00BC5E3A">
              <w:rPr>
                <w:rFonts w:asciiTheme="majorBidi" w:hAnsiTheme="majorBidi" w:cstheme="majorBidi"/>
                <w:sz w:val="17"/>
                <w:szCs w:val="17"/>
              </w:rPr>
              <w:t>Low pumping power demand</w:t>
            </w:r>
          </w:p>
          <w:p w14:paraId="28773558" w14:textId="77777777" w:rsidR="007D309B" w:rsidRPr="00BC5E3A" w:rsidRDefault="007D309B" w:rsidP="00C534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7"/>
                <w:szCs w:val="17"/>
              </w:rPr>
            </w:pPr>
          </w:p>
        </w:tc>
        <w:tc>
          <w:tcPr>
            <w:tcW w:w="794" w:type="dxa"/>
            <w:tcBorders>
              <w:top w:val="single" w:sz="6" w:space="0" w:color="auto"/>
              <w:bottom w:val="single" w:sz="6" w:space="0" w:color="auto"/>
            </w:tcBorders>
          </w:tcPr>
          <w:p w14:paraId="00464BC9" w14:textId="5633BAA3" w:rsidR="007D309B" w:rsidRPr="00BC5E3A" w:rsidRDefault="007D309B" w:rsidP="00C534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7"/>
                <w:szCs w:val="17"/>
              </w:rPr>
            </w:pPr>
            <w:r w:rsidRPr="00BC5E3A">
              <w:rPr>
                <w:rFonts w:asciiTheme="majorBidi" w:hAnsiTheme="majorBidi" w:cstheme="majorBidi"/>
                <w:sz w:val="17"/>
                <w:szCs w:val="17"/>
              </w:rPr>
              <w:t>3.9 [</w:t>
            </w:r>
            <w:r w:rsidR="00520292" w:rsidRPr="00BC5E3A">
              <w:rPr>
                <w:rFonts w:asciiTheme="majorBidi" w:hAnsiTheme="majorBidi" w:cstheme="majorBidi"/>
                <w:sz w:val="17"/>
                <w:szCs w:val="17"/>
              </w:rPr>
              <w:t>30</w:t>
            </w:r>
            <w:r w:rsidRPr="00BC5E3A">
              <w:rPr>
                <w:rFonts w:asciiTheme="majorBidi" w:hAnsiTheme="majorBidi" w:cstheme="majorBidi"/>
                <w:sz w:val="17"/>
                <w:szCs w:val="17"/>
              </w:rPr>
              <w:t>]</w:t>
            </w:r>
          </w:p>
        </w:tc>
        <w:tc>
          <w:tcPr>
            <w:tcW w:w="1304" w:type="dxa"/>
            <w:tcBorders>
              <w:top w:val="single" w:sz="6" w:space="0" w:color="auto"/>
              <w:bottom w:val="single" w:sz="6" w:space="0" w:color="auto"/>
            </w:tcBorders>
          </w:tcPr>
          <w:p w14:paraId="23D61731" w14:textId="5C390464" w:rsidR="007D309B" w:rsidRPr="00BC5E3A" w:rsidRDefault="00A250A0" w:rsidP="00C534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7"/>
                <w:szCs w:val="17"/>
              </w:rPr>
            </w:pPr>
            <w:r w:rsidRPr="00BC5E3A">
              <w:rPr>
                <w:rFonts w:asciiTheme="majorBidi" w:hAnsiTheme="majorBidi" w:cstheme="majorBidi"/>
                <w:sz w:val="17"/>
                <w:szCs w:val="17"/>
              </w:rPr>
              <w:t>P</w:t>
            </w:r>
            <w:r w:rsidR="007D309B" w:rsidRPr="00BC5E3A">
              <w:rPr>
                <w:rFonts w:asciiTheme="majorBidi" w:hAnsiTheme="majorBidi" w:cstheme="majorBidi"/>
                <w:sz w:val="17"/>
                <w:szCs w:val="17"/>
              </w:rPr>
              <w:t>eriodic fluid replacement required</w:t>
            </w:r>
            <w:r w:rsidRPr="00BC5E3A">
              <w:rPr>
                <w:rFonts w:asciiTheme="majorBidi" w:hAnsiTheme="majorBidi" w:cstheme="majorBidi"/>
                <w:sz w:val="17"/>
                <w:szCs w:val="17"/>
              </w:rPr>
              <w:t xml:space="preserve"> (Degrades over years)</w:t>
            </w:r>
            <w:r w:rsidR="007D309B" w:rsidRPr="00BC5E3A">
              <w:rPr>
                <w:rFonts w:asciiTheme="majorBidi" w:hAnsiTheme="majorBidi" w:cstheme="majorBidi"/>
                <w:sz w:val="17"/>
                <w:szCs w:val="17"/>
              </w:rPr>
              <w:t xml:space="preserve"> [</w:t>
            </w:r>
            <w:r w:rsidR="00520292" w:rsidRPr="00BC5E3A">
              <w:rPr>
                <w:rStyle w:val="Strong"/>
                <w:rFonts w:asciiTheme="majorBidi" w:hAnsiTheme="majorBidi" w:cstheme="majorBidi"/>
                <w:b w:val="0"/>
                <w:bCs w:val="0"/>
                <w:sz w:val="17"/>
                <w:szCs w:val="17"/>
              </w:rPr>
              <w:t>33</w:t>
            </w:r>
            <w:r w:rsidR="007D309B" w:rsidRPr="00BC5E3A">
              <w:rPr>
                <w:rFonts w:asciiTheme="majorBidi" w:hAnsiTheme="majorBidi" w:cstheme="majorBidi"/>
                <w:sz w:val="17"/>
                <w:szCs w:val="17"/>
              </w:rPr>
              <w:t>]</w:t>
            </w:r>
          </w:p>
        </w:tc>
        <w:tc>
          <w:tcPr>
            <w:tcW w:w="1417" w:type="dxa"/>
            <w:tcBorders>
              <w:top w:val="single" w:sz="6" w:space="0" w:color="auto"/>
              <w:bottom w:val="single" w:sz="6" w:space="0" w:color="auto"/>
            </w:tcBorders>
          </w:tcPr>
          <w:p w14:paraId="07120B70" w14:textId="221888E4" w:rsidR="007D309B" w:rsidRPr="00BC5E3A" w:rsidRDefault="007D309B" w:rsidP="00C534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7"/>
                <w:szCs w:val="17"/>
              </w:rPr>
            </w:pPr>
            <w:r w:rsidRPr="00BC5E3A">
              <w:rPr>
                <w:rFonts w:asciiTheme="majorBidi" w:hAnsiTheme="majorBidi" w:cstheme="majorBidi"/>
                <w:sz w:val="17"/>
                <w:szCs w:val="17"/>
              </w:rPr>
              <w:t>Toxicity (</w:t>
            </w:r>
            <w:r w:rsidR="00520292" w:rsidRPr="00BC5E3A">
              <w:rPr>
                <w:rFonts w:asciiTheme="majorBidi" w:hAnsiTheme="majorBidi" w:cstheme="majorBidi"/>
                <w:sz w:val="17"/>
                <w:szCs w:val="17"/>
              </w:rPr>
              <w:t xml:space="preserve">Very toxic to aquatic life with </w:t>
            </w:r>
            <w:r w:rsidRPr="00BC5E3A">
              <w:rPr>
                <w:rFonts w:asciiTheme="majorBidi" w:hAnsiTheme="majorBidi" w:cstheme="majorBidi"/>
                <w:sz w:val="17"/>
                <w:szCs w:val="17"/>
              </w:rPr>
              <w:t>long lasting effects)</w:t>
            </w:r>
            <w:r w:rsidR="00A250A0" w:rsidRPr="00BC5E3A">
              <w:rPr>
                <w:rFonts w:asciiTheme="majorBidi" w:hAnsiTheme="majorBidi" w:cstheme="majorBidi"/>
                <w:sz w:val="17"/>
                <w:szCs w:val="17"/>
              </w:rPr>
              <w:t xml:space="preserve"> </w:t>
            </w:r>
            <w:r w:rsidRPr="00BC5E3A">
              <w:rPr>
                <w:rFonts w:asciiTheme="majorBidi" w:hAnsiTheme="majorBidi" w:cstheme="majorBidi"/>
                <w:sz w:val="17"/>
                <w:szCs w:val="17"/>
              </w:rPr>
              <w:t>[</w:t>
            </w:r>
            <w:r w:rsidR="00520292" w:rsidRPr="00BC5E3A">
              <w:rPr>
                <w:rFonts w:asciiTheme="majorBidi" w:hAnsiTheme="majorBidi" w:cstheme="majorBidi"/>
                <w:sz w:val="17"/>
                <w:szCs w:val="17"/>
              </w:rPr>
              <w:t>30</w:t>
            </w:r>
            <w:r w:rsidRPr="00BC5E3A">
              <w:rPr>
                <w:rFonts w:asciiTheme="majorBidi" w:hAnsiTheme="majorBidi" w:cstheme="majorBidi"/>
                <w:sz w:val="17"/>
                <w:szCs w:val="17"/>
              </w:rPr>
              <w:t>]</w:t>
            </w:r>
          </w:p>
        </w:tc>
        <w:tc>
          <w:tcPr>
            <w:tcW w:w="1587" w:type="dxa"/>
            <w:tcBorders>
              <w:top w:val="single" w:sz="6" w:space="0" w:color="auto"/>
              <w:bottom w:val="single" w:sz="6" w:space="0" w:color="auto"/>
            </w:tcBorders>
          </w:tcPr>
          <w:p w14:paraId="5A4D6F66" w14:textId="3BBF6872" w:rsidR="007D309B" w:rsidRPr="00BC5E3A" w:rsidRDefault="00F516CE" w:rsidP="00C534B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7"/>
                <w:szCs w:val="17"/>
              </w:rPr>
            </w:pPr>
            <w:r w:rsidRPr="00BC5E3A">
              <w:rPr>
                <w:rFonts w:asciiTheme="majorBidi" w:hAnsiTheme="majorBidi" w:cstheme="majorBidi"/>
                <w:sz w:val="17"/>
                <w:szCs w:val="17"/>
              </w:rPr>
              <w:t>Flash point:</w:t>
            </w:r>
            <w:r w:rsidR="005F1643" w:rsidRPr="00BC5E3A">
              <w:rPr>
                <w:rFonts w:asciiTheme="majorBidi" w:hAnsiTheme="majorBidi" w:cstheme="majorBidi"/>
                <w:sz w:val="17"/>
                <w:szCs w:val="17"/>
              </w:rPr>
              <w:t>110 °C (flammability risk) C</w:t>
            </w:r>
            <w:r w:rsidR="007D309B" w:rsidRPr="00BC5E3A">
              <w:rPr>
                <w:rFonts w:asciiTheme="majorBidi" w:hAnsiTheme="majorBidi" w:cstheme="majorBidi"/>
                <w:sz w:val="17"/>
                <w:szCs w:val="17"/>
              </w:rPr>
              <w:t>opper corrosion [</w:t>
            </w:r>
            <w:r w:rsidR="00520292" w:rsidRPr="00BC5E3A">
              <w:rPr>
                <w:rFonts w:asciiTheme="majorBidi" w:hAnsiTheme="majorBidi" w:cstheme="majorBidi"/>
                <w:sz w:val="17"/>
                <w:szCs w:val="17"/>
              </w:rPr>
              <w:t>32,</w:t>
            </w:r>
            <w:r w:rsidR="00A10A1D" w:rsidRPr="00BC5E3A">
              <w:rPr>
                <w:rFonts w:asciiTheme="majorBidi" w:hAnsiTheme="majorBidi" w:cstheme="majorBidi"/>
                <w:sz w:val="17"/>
                <w:szCs w:val="17"/>
              </w:rPr>
              <w:t xml:space="preserve"> </w:t>
            </w:r>
            <w:r w:rsidR="00520292" w:rsidRPr="00BC5E3A">
              <w:rPr>
                <w:rFonts w:asciiTheme="majorBidi" w:hAnsiTheme="majorBidi" w:cstheme="majorBidi"/>
                <w:sz w:val="17"/>
                <w:szCs w:val="17"/>
              </w:rPr>
              <w:t>33</w:t>
            </w:r>
            <w:r w:rsidR="007D309B" w:rsidRPr="00BC5E3A">
              <w:rPr>
                <w:rFonts w:asciiTheme="majorBidi" w:hAnsiTheme="majorBidi" w:cstheme="majorBidi"/>
                <w:sz w:val="17"/>
                <w:szCs w:val="17"/>
              </w:rPr>
              <w:t>]</w:t>
            </w:r>
          </w:p>
        </w:tc>
      </w:tr>
    </w:tbl>
    <w:p w14:paraId="6D7F0E9B" w14:textId="77777777" w:rsidR="007D309B" w:rsidRPr="00BC5E3A" w:rsidRDefault="007D309B" w:rsidP="001A56C2">
      <w:pPr>
        <w:pStyle w:val="Paragraph"/>
      </w:pPr>
    </w:p>
    <w:p w14:paraId="393A8FD4" w14:textId="61BFFEAE" w:rsidR="00020B30" w:rsidRPr="00BC5E3A" w:rsidRDefault="00285981" w:rsidP="00285981">
      <w:pPr>
        <w:pStyle w:val="Heading1"/>
        <w:rPr>
          <w:rFonts w:asciiTheme="majorBidi" w:hAnsiTheme="majorBidi" w:cstheme="majorBidi"/>
        </w:rPr>
      </w:pPr>
      <w:r w:rsidRPr="00BC5E3A">
        <w:rPr>
          <w:rFonts w:asciiTheme="majorBidi" w:hAnsiTheme="majorBidi" w:cstheme="majorBidi"/>
        </w:rPr>
        <w:t>Conclusion</w:t>
      </w:r>
    </w:p>
    <w:p w14:paraId="18A5C6FF" w14:textId="58B83072" w:rsidR="004D1D16" w:rsidRPr="00BC5E3A" w:rsidRDefault="004D1D16" w:rsidP="004D1D16">
      <w:pPr>
        <w:pStyle w:val="Paragraph"/>
      </w:pPr>
      <w:r w:rsidRPr="00BC5E3A">
        <w:t xml:space="preserve">This </w:t>
      </w:r>
      <w:r w:rsidR="00C80C78" w:rsidRPr="00BC5E3A">
        <w:t xml:space="preserve">work </w:t>
      </w:r>
      <w:r w:rsidRPr="00BC5E3A">
        <w:t>presents a numerical evaluation of the thermal performance of a packed-bed TES system using three widely utilized HTFs: air, solar salt, and Therminol VP-1: air, Solar Salt, and Therminol VP-1. The analysis was conducted for both charging and discharging cycles using a non-equilibrium thermal model. The principal findings of the study are summarized as follows:</w:t>
      </w:r>
    </w:p>
    <w:p w14:paraId="0715DC4A" w14:textId="77777777" w:rsidR="004D1D16" w:rsidRPr="00BC5E3A" w:rsidRDefault="004D1D16" w:rsidP="004D1D16">
      <w:pPr>
        <w:pStyle w:val="Paragraph"/>
      </w:pPr>
    </w:p>
    <w:p w14:paraId="5B938C6C" w14:textId="3C0BF2A2" w:rsidR="00D3542E" w:rsidRPr="00BC5E3A" w:rsidRDefault="004D1D16" w:rsidP="0073129D">
      <w:pPr>
        <w:pStyle w:val="Paragraph"/>
        <w:numPr>
          <w:ilvl w:val="0"/>
          <w:numId w:val="8"/>
        </w:numPr>
      </w:pPr>
      <w:r w:rsidRPr="00BC5E3A">
        <w:t>S</w:t>
      </w:r>
      <w:r w:rsidR="00631108" w:rsidRPr="00BC5E3A">
        <w:t xml:space="preserve">olar salt offers the most favorable thermocline behavior, characterized by a broad and stable high-temperature zone extending over a substantial portion of the bed. </w:t>
      </w:r>
      <w:r w:rsidR="0073129D" w:rsidRPr="00BC5E3A">
        <w:t>This ensures excellent thermal stability</w:t>
      </w:r>
      <w:r w:rsidR="00631108" w:rsidRPr="00BC5E3A">
        <w:t xml:space="preserve"> and the highest recorded efficiency of 85%, </w:t>
      </w:r>
      <w:r w:rsidR="00D3542E" w:rsidRPr="00BC5E3A">
        <w:t>although its practical use requires careful handling due to its high melting point (200 °C).</w:t>
      </w:r>
    </w:p>
    <w:p w14:paraId="11DADB31" w14:textId="78A0DCF7" w:rsidR="00302358" w:rsidRPr="00BC5E3A" w:rsidRDefault="00302358" w:rsidP="00302358">
      <w:pPr>
        <w:pStyle w:val="Paragraph"/>
        <w:numPr>
          <w:ilvl w:val="0"/>
          <w:numId w:val="8"/>
        </w:numPr>
      </w:pPr>
      <w:r w:rsidRPr="00BC5E3A">
        <w:t>Therminol VP-1 demonstrates a moderately stable thermocline, primarily confined near the inlet region during both charging and discharging phases. While it achieves a respectable efficiency of 77%, its application is constrained by a lower maximum operating temperature (400 °C) and higher cost, rendering it less suitable for large-scale TES systems.</w:t>
      </w:r>
    </w:p>
    <w:p w14:paraId="2626944C" w14:textId="0B3F9A39" w:rsidR="004D1D16" w:rsidRPr="00BC5E3A" w:rsidRDefault="00D3542E" w:rsidP="00122F4E">
      <w:pPr>
        <w:pStyle w:val="Paragraph"/>
        <w:numPr>
          <w:ilvl w:val="0"/>
          <w:numId w:val="8"/>
        </w:numPr>
      </w:pPr>
      <w:r w:rsidRPr="00BC5E3A">
        <w:t>Air</w:t>
      </w:r>
      <w:r w:rsidR="00631108" w:rsidRPr="00BC5E3A">
        <w:t xml:space="preserve"> displays a steep and narrow thermocline, with rapid temperature decay along the bed and the lowest efficiency at 67%. However, it remains an appealing option for high-temperature applications owing to its low cost, abundance, non-toxicity, and ability to operate at elevated temperatures.</w:t>
      </w:r>
    </w:p>
    <w:p w14:paraId="17230C46" w14:textId="01035C35" w:rsidR="00A31F4E" w:rsidRPr="00BC5E3A" w:rsidRDefault="00A31F4E" w:rsidP="004D1D16">
      <w:pPr>
        <w:pStyle w:val="Paragraph"/>
      </w:pPr>
      <w:r w:rsidRPr="00BC5E3A">
        <w:t>Overall, the selection of HTF is critical for optimizing the performance, efficiency, and economic feasibility of packed-bed TES systems.</w:t>
      </w:r>
    </w:p>
    <w:p w14:paraId="74D4F45E" w14:textId="76EB93BF" w:rsidR="00613B4D" w:rsidRPr="00BC5E3A" w:rsidRDefault="0016385D" w:rsidP="006F6963">
      <w:pPr>
        <w:pStyle w:val="Heading1"/>
        <w:rPr>
          <w:b w:val="0"/>
          <w:caps w:val="0"/>
          <w:sz w:val="20"/>
        </w:rPr>
      </w:pPr>
      <w:r w:rsidRPr="00BC5E3A">
        <w:rPr>
          <w:rFonts w:asciiTheme="majorBidi" w:hAnsiTheme="majorBidi" w:cstheme="majorBidi"/>
        </w:rPr>
        <w:t>References</w:t>
      </w:r>
    </w:p>
    <w:p w14:paraId="194B1D72" w14:textId="10870E26" w:rsidR="00F35441" w:rsidRPr="00BC5E3A" w:rsidRDefault="00F35441" w:rsidP="00F35441">
      <w:pPr>
        <w:pStyle w:val="Reference"/>
      </w:pPr>
      <w:r w:rsidRPr="00BC5E3A">
        <w:t>A. B. Hernandez, I. Uriz, I. Ortega-Fernández, J. Rodriguez-Aseguinol</w:t>
      </w:r>
      <w:r w:rsidR="00A00AC7" w:rsidRPr="00BC5E3A">
        <w:t>aza, A. Ortuondo, and A. Faik, “</w:t>
      </w:r>
      <w:r w:rsidRPr="00BC5E3A">
        <w:t>Solid packed bed thermal energy storage for ORC electric generation i</w:t>
      </w:r>
      <w:r w:rsidR="00A00AC7" w:rsidRPr="00BC5E3A">
        <w:t>n Fresnel type CSP plants,”</w:t>
      </w:r>
      <w:r w:rsidRPr="00BC5E3A">
        <w:t xml:space="preserve"> </w:t>
      </w:r>
      <w:r w:rsidRPr="00BC5E3A">
        <w:rPr>
          <w:i/>
          <w:iCs/>
        </w:rPr>
        <w:t>AIP Conf. Proc</w:t>
      </w:r>
      <w:r w:rsidRPr="00BC5E3A">
        <w:t xml:space="preserve">. </w:t>
      </w:r>
      <w:r w:rsidRPr="00BC5E3A">
        <w:rPr>
          <w:b/>
          <w:bCs/>
        </w:rPr>
        <w:t>2033</w:t>
      </w:r>
      <w:r w:rsidRPr="00BC5E3A">
        <w:t xml:space="preserve">, 090013 (2018). </w:t>
      </w:r>
    </w:p>
    <w:p w14:paraId="0FC60A98" w14:textId="0C410917" w:rsidR="009F3B5C" w:rsidRPr="00BC5E3A" w:rsidRDefault="009F3B5C" w:rsidP="009F3B5C">
      <w:pPr>
        <w:pStyle w:val="Reference"/>
      </w:pPr>
      <w:r w:rsidRPr="00BC5E3A">
        <w:rPr>
          <w:rStyle w:val="Strong"/>
          <w:b w:val="0"/>
          <w:bCs w:val="0"/>
        </w:rPr>
        <w:t>H. F. Laubscher, T. W. von Backström, and F. Dinter,</w:t>
      </w:r>
      <w:r w:rsidRPr="00BC5E3A">
        <w:rPr>
          <w:b/>
          <w:bCs/>
        </w:rPr>
        <w:t xml:space="preserve"> </w:t>
      </w:r>
      <w:r w:rsidR="00A00AC7" w:rsidRPr="00BC5E3A">
        <w:t>“</w:t>
      </w:r>
      <w:r w:rsidRPr="00BC5E3A">
        <w:t>Developing a cost effective rock bed thermal energy storag</w:t>
      </w:r>
      <w:r w:rsidR="00A00AC7" w:rsidRPr="00BC5E3A">
        <w:t>e system: Design and modelling,”</w:t>
      </w:r>
      <w:r w:rsidRPr="00BC5E3A">
        <w:t xml:space="preserve"> </w:t>
      </w:r>
      <w:r w:rsidRPr="00BC5E3A">
        <w:rPr>
          <w:rStyle w:val="Emphasis"/>
        </w:rPr>
        <w:t>AIP Conf. Proc.</w:t>
      </w:r>
      <w:r w:rsidRPr="00BC5E3A">
        <w:t xml:space="preserve"> </w:t>
      </w:r>
      <w:r w:rsidRPr="00BC5E3A">
        <w:rPr>
          <w:rStyle w:val="Strong"/>
        </w:rPr>
        <w:t>1850</w:t>
      </w:r>
      <w:r w:rsidRPr="00BC5E3A">
        <w:t>, 080015 (2017).</w:t>
      </w:r>
    </w:p>
    <w:p w14:paraId="45ECDEAC" w14:textId="489FDF9C" w:rsidR="009F3B5C" w:rsidRPr="00BC5E3A" w:rsidRDefault="009F3B5C" w:rsidP="00B04C61">
      <w:pPr>
        <w:pStyle w:val="Reference"/>
      </w:pPr>
      <w:r w:rsidRPr="00BC5E3A">
        <w:rPr>
          <w:rStyle w:val="Strong"/>
          <w:b w:val="0"/>
          <w:bCs w:val="0"/>
        </w:rPr>
        <w:t>H. Geng, Y. Wu, D. Ma, Y. Hao, D. Li, and H. Zhou,</w:t>
      </w:r>
      <w:r w:rsidR="00A00AC7" w:rsidRPr="00BC5E3A">
        <w:t xml:space="preserve"> “</w:t>
      </w:r>
      <w:r w:rsidRPr="00BC5E3A">
        <w:t>Experimental study on the heat storage characteristics of rock bed heat storage system wi</w:t>
      </w:r>
      <w:r w:rsidR="00A00AC7" w:rsidRPr="00BC5E3A">
        <w:t>th different packing structure,”</w:t>
      </w:r>
      <w:r w:rsidRPr="00BC5E3A">
        <w:t xml:space="preserve"> </w:t>
      </w:r>
      <w:r w:rsidRPr="00BC5E3A">
        <w:rPr>
          <w:rStyle w:val="Emphasis"/>
        </w:rPr>
        <w:t>J. Energy Storage</w:t>
      </w:r>
      <w:r w:rsidRPr="00BC5E3A">
        <w:t xml:space="preserve"> </w:t>
      </w:r>
      <w:r w:rsidRPr="00BC5E3A">
        <w:rPr>
          <w:rStyle w:val="Strong"/>
        </w:rPr>
        <w:t>101</w:t>
      </w:r>
      <w:r w:rsidRPr="00BC5E3A">
        <w:t>, 113973 (2024).</w:t>
      </w:r>
    </w:p>
    <w:p w14:paraId="2378342F" w14:textId="4FEC0731" w:rsidR="005961F4" w:rsidRPr="00BC5E3A" w:rsidRDefault="005961F4" w:rsidP="005961F4">
      <w:pPr>
        <w:pStyle w:val="Reference"/>
        <w:rPr>
          <w:sz w:val="24"/>
          <w:lang w:eastAsia="fr-FR"/>
        </w:rPr>
      </w:pPr>
      <w:r w:rsidRPr="00BC5E3A">
        <w:lastRenderedPageBreak/>
        <w:t>R. Anderson, L. Bates,</w:t>
      </w:r>
      <w:r w:rsidR="00A00AC7" w:rsidRPr="00BC5E3A">
        <w:t xml:space="preserve"> E. Johnson, and J. F. Morris, “</w:t>
      </w:r>
      <w:r w:rsidRPr="00BC5E3A">
        <w:t xml:space="preserve">Packed bed thermal energy storage: A simplified </w:t>
      </w:r>
      <w:r w:rsidR="00A00AC7" w:rsidRPr="00BC5E3A">
        <w:t>experimentally validated model,”</w:t>
      </w:r>
      <w:r w:rsidRPr="00BC5E3A">
        <w:t xml:space="preserve"> </w:t>
      </w:r>
      <w:r w:rsidRPr="00BC5E3A">
        <w:rPr>
          <w:i/>
          <w:iCs/>
        </w:rPr>
        <w:t>J. Energy Storage</w:t>
      </w:r>
      <w:r w:rsidRPr="00BC5E3A">
        <w:t xml:space="preserve"> </w:t>
      </w:r>
      <w:r w:rsidRPr="00BC5E3A">
        <w:rPr>
          <w:b/>
          <w:bCs/>
        </w:rPr>
        <w:t>4</w:t>
      </w:r>
      <w:r w:rsidRPr="00BC5E3A">
        <w:t>, 14–23 (2015).</w:t>
      </w:r>
    </w:p>
    <w:p w14:paraId="780F2349" w14:textId="1A3FEF1F" w:rsidR="00D951A4" w:rsidRPr="00BC5E3A" w:rsidRDefault="00D951A4" w:rsidP="00D951A4">
      <w:pPr>
        <w:pStyle w:val="Reference"/>
        <w:rPr>
          <w:sz w:val="24"/>
          <w:lang w:eastAsia="fr-FR"/>
        </w:rPr>
      </w:pPr>
      <w:r w:rsidRPr="00BC5E3A">
        <w:t>I. Calderón-Vásquez, I. Wolde, V. Segovia, F. G. Battisti, J. M. Cardemil, and R</w:t>
      </w:r>
      <w:r w:rsidR="00A00AC7" w:rsidRPr="00BC5E3A">
        <w:t>. Escobar, “</w:t>
      </w:r>
      <w:r w:rsidRPr="00BC5E3A">
        <w:t xml:space="preserve">Modelling the temperature distribution in a horizontal packed-bed thermal energy storage system with </w:t>
      </w:r>
      <w:r w:rsidR="00A00AC7" w:rsidRPr="00BC5E3A">
        <w:t>copper slag as filler material,”</w:t>
      </w:r>
      <w:r w:rsidRPr="00BC5E3A">
        <w:t xml:space="preserve"> </w:t>
      </w:r>
      <w:r w:rsidRPr="00BC5E3A">
        <w:rPr>
          <w:i/>
          <w:iCs/>
        </w:rPr>
        <w:t>J. Energy Storage</w:t>
      </w:r>
      <w:r w:rsidRPr="00BC5E3A">
        <w:t xml:space="preserve"> </w:t>
      </w:r>
      <w:r w:rsidRPr="00BC5E3A">
        <w:rPr>
          <w:b/>
          <w:bCs/>
        </w:rPr>
        <w:t>125</w:t>
      </w:r>
      <w:r w:rsidRPr="00BC5E3A">
        <w:t>, 116769 (2025).</w:t>
      </w:r>
    </w:p>
    <w:p w14:paraId="277EE9A6" w14:textId="702F6349" w:rsidR="00D951A4" w:rsidRPr="00BC5E3A" w:rsidRDefault="00A00AC7" w:rsidP="00D951A4">
      <w:pPr>
        <w:pStyle w:val="Reference"/>
        <w:rPr>
          <w:sz w:val="24"/>
          <w:lang w:eastAsia="fr-FR"/>
        </w:rPr>
      </w:pPr>
      <w:r w:rsidRPr="00BC5E3A">
        <w:t>H. Zhou, Z. Lai, and K. Cen, “</w:t>
      </w:r>
      <w:r w:rsidR="00D951A4" w:rsidRPr="00BC5E3A">
        <w:t xml:space="preserve">Experimental study on energy storage performances of packed bed </w:t>
      </w:r>
      <w:r w:rsidRPr="00BC5E3A">
        <w:t>with different solid materials,”</w:t>
      </w:r>
      <w:r w:rsidR="00D951A4" w:rsidRPr="00BC5E3A">
        <w:t xml:space="preserve"> </w:t>
      </w:r>
      <w:r w:rsidR="00D951A4" w:rsidRPr="00BC5E3A">
        <w:rPr>
          <w:i/>
          <w:iCs/>
        </w:rPr>
        <w:t>Energy</w:t>
      </w:r>
      <w:r w:rsidR="00D951A4" w:rsidRPr="00BC5E3A">
        <w:t xml:space="preserve"> </w:t>
      </w:r>
      <w:r w:rsidR="00D951A4" w:rsidRPr="00BC5E3A">
        <w:rPr>
          <w:b/>
          <w:bCs/>
        </w:rPr>
        <w:t>246</w:t>
      </w:r>
      <w:r w:rsidR="00D951A4" w:rsidRPr="00BC5E3A">
        <w:t>, 123416 (2022).</w:t>
      </w:r>
    </w:p>
    <w:p w14:paraId="0F9062B6" w14:textId="5BBB9F41" w:rsidR="00D951A4" w:rsidRPr="00BC5E3A" w:rsidRDefault="002D04EB" w:rsidP="00D951A4">
      <w:pPr>
        <w:pStyle w:val="Reference"/>
        <w:rPr>
          <w:sz w:val="24"/>
          <w:lang w:eastAsia="fr-FR"/>
        </w:rPr>
      </w:pPr>
      <w:r w:rsidRPr="00BC5E3A">
        <w:t>E. Alonso and E. Rojas, “</w:t>
      </w:r>
      <w:r w:rsidR="00D951A4" w:rsidRPr="00BC5E3A">
        <w:t>Air solid packed-beds for high temperature thermal storage: Practical recommendations for pred</w:t>
      </w:r>
      <w:r w:rsidRPr="00BC5E3A">
        <w:t>icting their thermal behaviour,”</w:t>
      </w:r>
      <w:r w:rsidR="00D951A4" w:rsidRPr="00BC5E3A">
        <w:t xml:space="preserve"> </w:t>
      </w:r>
      <w:r w:rsidR="00D951A4" w:rsidRPr="00BC5E3A">
        <w:rPr>
          <w:i/>
          <w:iCs/>
        </w:rPr>
        <w:t>Appl. Therm. Eng.</w:t>
      </w:r>
      <w:r w:rsidR="00D951A4" w:rsidRPr="00BC5E3A">
        <w:t xml:space="preserve"> </w:t>
      </w:r>
      <w:r w:rsidR="00D951A4" w:rsidRPr="00BC5E3A">
        <w:rPr>
          <w:b/>
          <w:bCs/>
        </w:rPr>
        <w:t>202</w:t>
      </w:r>
      <w:r w:rsidR="00D951A4" w:rsidRPr="00BC5E3A">
        <w:t>, 117835 (2022).</w:t>
      </w:r>
    </w:p>
    <w:p w14:paraId="60216729" w14:textId="5E798729" w:rsidR="004352BB" w:rsidRPr="00BC5E3A" w:rsidRDefault="004352BB" w:rsidP="004352BB">
      <w:pPr>
        <w:pStyle w:val="Reference"/>
        <w:rPr>
          <w:sz w:val="24"/>
          <w:lang w:eastAsia="fr-FR"/>
        </w:rPr>
      </w:pPr>
      <w:r w:rsidRPr="00BC5E3A">
        <w:t>B. Koçak, M. Majó, C. Barreneche, A</w:t>
      </w:r>
      <w:r w:rsidR="002D04EB" w:rsidRPr="00BC5E3A">
        <w:t>. I. Fernández, and H. Paksoy, “</w:t>
      </w:r>
      <w:r w:rsidRPr="00BC5E3A">
        <w:t>Performance analysis of a molten salt packed-bed thermal energy storage system using t</w:t>
      </w:r>
      <w:r w:rsidR="002D04EB" w:rsidRPr="00BC5E3A">
        <w:t>hree different waste materials,”</w:t>
      </w:r>
      <w:r w:rsidRPr="00BC5E3A">
        <w:t xml:space="preserve"> </w:t>
      </w:r>
      <w:r w:rsidRPr="00BC5E3A">
        <w:rPr>
          <w:i/>
          <w:iCs/>
        </w:rPr>
        <w:t>Sol. Energy Mater. Sol. Cells</w:t>
      </w:r>
      <w:r w:rsidRPr="00BC5E3A">
        <w:t xml:space="preserve"> </w:t>
      </w:r>
      <w:r w:rsidRPr="00BC5E3A">
        <w:rPr>
          <w:b/>
          <w:bCs/>
        </w:rPr>
        <w:t>278</w:t>
      </w:r>
      <w:r w:rsidRPr="00BC5E3A">
        <w:t>, 113199 (2024).</w:t>
      </w:r>
    </w:p>
    <w:p w14:paraId="28D41FB2" w14:textId="031B1B29" w:rsidR="004352BB" w:rsidRPr="00BC5E3A" w:rsidRDefault="004352BB" w:rsidP="004352BB">
      <w:pPr>
        <w:pStyle w:val="Reference"/>
        <w:rPr>
          <w:sz w:val="24"/>
          <w:lang w:eastAsia="fr-FR"/>
        </w:rPr>
      </w:pPr>
      <w:r w:rsidRPr="00BC5E3A">
        <w:t xml:space="preserve">M. V. Bozorg, </w:t>
      </w:r>
      <w:r w:rsidR="002D04EB" w:rsidRPr="00BC5E3A">
        <w:t>J. Coventry, and J. F. Torres, “</w:t>
      </w:r>
      <w:r w:rsidRPr="00BC5E3A">
        <w:t>Thermal energy storage in a tightly packed bed with sodium as the heat tra</w:t>
      </w:r>
      <w:r w:rsidR="002D04EB" w:rsidRPr="00BC5E3A">
        <w:t>nsfer fluid: A numerical study,”</w:t>
      </w:r>
      <w:r w:rsidRPr="00BC5E3A">
        <w:t xml:space="preserve"> </w:t>
      </w:r>
      <w:r w:rsidRPr="00BC5E3A">
        <w:rPr>
          <w:i/>
          <w:iCs/>
        </w:rPr>
        <w:t>Appl. Energy</w:t>
      </w:r>
      <w:r w:rsidRPr="00BC5E3A">
        <w:t xml:space="preserve"> </w:t>
      </w:r>
      <w:r w:rsidRPr="00BC5E3A">
        <w:rPr>
          <w:b/>
          <w:bCs/>
        </w:rPr>
        <w:t>352</w:t>
      </w:r>
      <w:r w:rsidRPr="00BC5E3A">
        <w:t>, 121879 (2023).</w:t>
      </w:r>
    </w:p>
    <w:p w14:paraId="57B086F3" w14:textId="42B409C0" w:rsidR="00FD2AA4" w:rsidRPr="00BC5E3A" w:rsidRDefault="00FD2AA4" w:rsidP="00FD2AA4">
      <w:pPr>
        <w:pStyle w:val="Reference"/>
        <w:rPr>
          <w:sz w:val="24"/>
          <w:lang w:eastAsia="fr-FR"/>
        </w:rPr>
      </w:pPr>
      <w:r w:rsidRPr="00BC5E3A">
        <w:t>I. Ortega-Fernández, A. B. Hern</w:t>
      </w:r>
      <w:r w:rsidR="002D04EB" w:rsidRPr="00BC5E3A">
        <w:t>ández, Y. Wang, and D. Bielsa, “Performance</w:t>
      </w:r>
      <w:r w:rsidRPr="00BC5E3A">
        <w:t xml:space="preserve"> assessment of an oil-based packed bed thermal energy storage unit in a demonstration </w:t>
      </w:r>
      <w:r w:rsidR="002D04EB" w:rsidRPr="00BC5E3A">
        <w:t>concentrated solar power plant,”</w:t>
      </w:r>
      <w:r w:rsidRPr="00BC5E3A">
        <w:t xml:space="preserve"> </w:t>
      </w:r>
      <w:r w:rsidRPr="00BC5E3A">
        <w:rPr>
          <w:i/>
          <w:iCs/>
        </w:rPr>
        <w:t>Energy</w:t>
      </w:r>
      <w:r w:rsidRPr="00BC5E3A">
        <w:t xml:space="preserve"> </w:t>
      </w:r>
      <w:r w:rsidRPr="00BC5E3A">
        <w:rPr>
          <w:b/>
          <w:bCs/>
        </w:rPr>
        <w:t>217</w:t>
      </w:r>
      <w:r w:rsidRPr="00BC5E3A">
        <w:t>, 119378 (2021).</w:t>
      </w:r>
    </w:p>
    <w:p w14:paraId="50C4FC28" w14:textId="77777777" w:rsidR="00D34B22" w:rsidRPr="00BC5E3A" w:rsidRDefault="00D34B22" w:rsidP="00D34B22">
      <w:pPr>
        <w:pStyle w:val="Reference"/>
      </w:pPr>
      <w:r w:rsidRPr="00BC5E3A">
        <w:t xml:space="preserve">T. D. Luz, F. G. Battisti, and A. K. da Silva, “Sensible thermal energy storage in packed beds using supercritical CO₂: A comparative study of tanks with steel-only and reinforced concrete walls,” </w:t>
      </w:r>
      <w:r w:rsidRPr="00BC5E3A">
        <w:rPr>
          <w:i/>
          <w:iCs/>
        </w:rPr>
        <w:t>Renew. Energy</w:t>
      </w:r>
      <w:r w:rsidRPr="00BC5E3A">
        <w:t xml:space="preserve"> </w:t>
      </w:r>
      <w:r w:rsidRPr="00BC5E3A">
        <w:rPr>
          <w:b/>
          <w:bCs/>
        </w:rPr>
        <w:t>245</w:t>
      </w:r>
      <w:r w:rsidRPr="00BC5E3A">
        <w:t>, 122726 (2025)</w:t>
      </w:r>
    </w:p>
    <w:p w14:paraId="54ADBE35" w14:textId="77777777" w:rsidR="00D34B22" w:rsidRPr="00BC5E3A" w:rsidRDefault="00D34B22" w:rsidP="00D34B22">
      <w:pPr>
        <w:pStyle w:val="Reference"/>
        <w:rPr>
          <w:lang w:eastAsia="fr-FR"/>
        </w:rPr>
      </w:pPr>
      <w:r w:rsidRPr="00BC5E3A">
        <w:t xml:space="preserve">A. M. Rabi’, J. Radulovic, and J. M. Buick, “Comparative study of different gases for packed-bed thermal energy storage systems,” </w:t>
      </w:r>
      <w:r w:rsidRPr="00BC5E3A">
        <w:rPr>
          <w:i/>
          <w:iCs/>
        </w:rPr>
        <w:t>Energies</w:t>
      </w:r>
      <w:r w:rsidRPr="00BC5E3A">
        <w:t xml:space="preserve"> </w:t>
      </w:r>
      <w:r w:rsidRPr="00BC5E3A">
        <w:rPr>
          <w:b/>
          <w:bCs/>
        </w:rPr>
        <w:t>18</w:t>
      </w:r>
      <w:r w:rsidRPr="00BC5E3A">
        <w:t>, 1307 (2025).</w:t>
      </w:r>
    </w:p>
    <w:p w14:paraId="4E45F47D" w14:textId="115F97CA" w:rsidR="00C16206" w:rsidRPr="00BC5E3A" w:rsidRDefault="00C16206" w:rsidP="00C16206">
      <w:pPr>
        <w:pStyle w:val="Reference"/>
      </w:pPr>
      <w:r w:rsidRPr="00BC5E3A">
        <w:t xml:space="preserve">K. Apostolopoulos-Kalkavouras, S. Trevisan, and R. Guedez, “Comparative modeling of packed-bed thermal energy storage systems using ternary salts, silicone oils and solid waste media,” </w:t>
      </w:r>
      <w:r w:rsidRPr="00BC5E3A">
        <w:rPr>
          <w:i/>
          <w:iCs/>
        </w:rPr>
        <w:t>J. Energy Storage</w:t>
      </w:r>
      <w:r w:rsidRPr="00BC5E3A">
        <w:t xml:space="preserve"> </w:t>
      </w:r>
      <w:r w:rsidRPr="00BC5E3A">
        <w:rPr>
          <w:b/>
          <w:bCs/>
        </w:rPr>
        <w:t>131</w:t>
      </w:r>
      <w:r w:rsidRPr="00BC5E3A">
        <w:t>, 117650 (2025).</w:t>
      </w:r>
    </w:p>
    <w:p w14:paraId="4E548CA6" w14:textId="77777777" w:rsidR="0096337D" w:rsidRPr="00BC5E3A" w:rsidRDefault="0096337D" w:rsidP="0096337D">
      <w:pPr>
        <w:pStyle w:val="Reference"/>
      </w:pPr>
      <w:r w:rsidRPr="00BC5E3A">
        <w:t>L. Hellet, “Literature review on heat transfer fluids and thermal energy storage systems in CSP plants,” STERG Report (2013)</w:t>
      </w:r>
    </w:p>
    <w:p w14:paraId="66789680" w14:textId="77777777" w:rsidR="0096337D" w:rsidRPr="00BC5E3A" w:rsidRDefault="0096337D" w:rsidP="0096337D">
      <w:pPr>
        <w:pStyle w:val="Reference"/>
        <w:rPr>
          <w:sz w:val="24"/>
          <w:lang w:eastAsia="fr-FR"/>
        </w:rPr>
      </w:pPr>
      <w:r w:rsidRPr="00BC5E3A">
        <w:t xml:space="preserve">K. Vignarooban, X. Xu, A. Arvay, K. Hsu, and A. M. Kannan, “Heat transfer fluids for concentrating solar power systems – A review,” </w:t>
      </w:r>
      <w:r w:rsidRPr="00BC5E3A">
        <w:rPr>
          <w:i/>
          <w:iCs/>
        </w:rPr>
        <w:t>Appl. Therm. Eng</w:t>
      </w:r>
      <w:r w:rsidRPr="00BC5E3A">
        <w:t xml:space="preserve">. </w:t>
      </w:r>
      <w:r w:rsidRPr="00BC5E3A">
        <w:rPr>
          <w:b/>
          <w:bCs/>
        </w:rPr>
        <w:t>146</w:t>
      </w:r>
      <w:r w:rsidRPr="00BC5E3A">
        <w:t>, 383–396 (2015).</w:t>
      </w:r>
    </w:p>
    <w:p w14:paraId="5BE0C447" w14:textId="1F546861" w:rsidR="00094ABE" w:rsidRPr="00BC5E3A" w:rsidRDefault="00094ABE" w:rsidP="0017476E">
      <w:pPr>
        <w:pStyle w:val="Reference"/>
      </w:pPr>
      <w:r w:rsidRPr="00BC5E3A">
        <w:t xml:space="preserve">B. Birhanu, R. Mozafari, J. Coventry, G. Rosengarten, and A. Mojiri, “Impact of heat transfer fluid on thermal characteristics of packed bed thermal energy storage,” </w:t>
      </w:r>
      <w:r w:rsidRPr="00BC5E3A">
        <w:rPr>
          <w:i/>
          <w:iCs/>
        </w:rPr>
        <w:t>Appl. Therm. Eng.</w:t>
      </w:r>
      <w:r w:rsidRPr="00BC5E3A">
        <w:t xml:space="preserve"> </w:t>
      </w:r>
      <w:r w:rsidRPr="00BC5E3A">
        <w:rPr>
          <w:b/>
          <w:bCs/>
        </w:rPr>
        <w:t>278</w:t>
      </w:r>
      <w:r w:rsidRPr="00BC5E3A">
        <w:t>, 127239 (2025).</w:t>
      </w:r>
    </w:p>
    <w:p w14:paraId="7830C72F" w14:textId="18545ED2" w:rsidR="002D04EB" w:rsidRPr="00BC5E3A" w:rsidRDefault="002D04EB" w:rsidP="00C872DE">
      <w:pPr>
        <w:pStyle w:val="Reference"/>
      </w:pPr>
      <w:r w:rsidRPr="00BC5E3A">
        <w:t xml:space="preserve">A. M. Rabi, J. Radulovic, and J. M. Buick, “Packed bed thermal energy storage system: parametric study,” </w:t>
      </w:r>
      <w:r w:rsidRPr="00BC5E3A">
        <w:rPr>
          <w:i/>
          <w:iCs/>
        </w:rPr>
        <w:t>Thermo</w:t>
      </w:r>
      <w:r w:rsidRPr="00BC5E3A">
        <w:t xml:space="preserve">. </w:t>
      </w:r>
      <w:r w:rsidRPr="00BC5E3A">
        <w:rPr>
          <w:b/>
          <w:bCs/>
        </w:rPr>
        <w:t>4</w:t>
      </w:r>
      <w:r w:rsidRPr="00BC5E3A">
        <w:t>, 295–314 (2024).</w:t>
      </w:r>
    </w:p>
    <w:p w14:paraId="77C65CB4" w14:textId="45A38BF1" w:rsidR="00A04F44" w:rsidRPr="00BC5E3A" w:rsidRDefault="00A04F44" w:rsidP="00A04F44">
      <w:pPr>
        <w:pStyle w:val="Reference"/>
      </w:pPr>
      <w:r w:rsidRPr="00BC5E3A">
        <w:t xml:space="preserve">S. Ergun, “Fluid flow through packed columns,” </w:t>
      </w:r>
      <w:r w:rsidRPr="00BC5E3A">
        <w:rPr>
          <w:i/>
          <w:iCs/>
        </w:rPr>
        <w:t>Chem. Eng. Prog</w:t>
      </w:r>
      <w:r w:rsidRPr="00BC5E3A">
        <w:t xml:space="preserve">. </w:t>
      </w:r>
      <w:r w:rsidRPr="00BC5E3A">
        <w:rPr>
          <w:b/>
          <w:bCs/>
        </w:rPr>
        <w:t>48</w:t>
      </w:r>
      <w:r w:rsidRPr="00BC5E3A">
        <w:t>, 89–94 (1952).</w:t>
      </w:r>
    </w:p>
    <w:p w14:paraId="5DCB9DB3" w14:textId="77777777" w:rsidR="002D04EB" w:rsidRPr="00BC5E3A" w:rsidRDefault="002D04EB" w:rsidP="00171A45">
      <w:pPr>
        <w:pStyle w:val="Reference"/>
      </w:pPr>
      <w:r w:rsidRPr="00BC5E3A">
        <w:t xml:space="preserve">A. Meier, C. Winkler, and D. Wuillemin, “Experiment for modeling high temperature rock bed storage,” </w:t>
      </w:r>
      <w:r w:rsidRPr="00BC5E3A">
        <w:rPr>
          <w:i/>
          <w:iCs/>
        </w:rPr>
        <w:t>Sol. Energy Mater</w:t>
      </w:r>
      <w:r w:rsidRPr="00BC5E3A">
        <w:t xml:space="preserve">. </w:t>
      </w:r>
      <w:r w:rsidRPr="00BC5E3A">
        <w:rPr>
          <w:rStyle w:val="Strong"/>
        </w:rPr>
        <w:t>24</w:t>
      </w:r>
      <w:r w:rsidRPr="00BC5E3A">
        <w:t>, 255–264 (1991).</w:t>
      </w:r>
    </w:p>
    <w:p w14:paraId="296E1230" w14:textId="5262793D" w:rsidR="002D04EB" w:rsidRPr="00BC5E3A" w:rsidRDefault="002D04EB" w:rsidP="002D04EB">
      <w:pPr>
        <w:pStyle w:val="Reference"/>
        <w:rPr>
          <w:sz w:val="24"/>
          <w:lang w:val="fr-FR" w:eastAsia="fr-FR"/>
        </w:rPr>
      </w:pPr>
      <w:r w:rsidRPr="00BC5E3A">
        <w:t xml:space="preserve">I. Calderón-Vásquez, E. Cortés, J. García, V. Segovia, A. Caroca, C. Sarmiento, R. Barraza, and J. M. Cardemil, “Review on modeling approaches for packed-bed thermal storage systems,” </w:t>
      </w:r>
      <w:r w:rsidRPr="00BC5E3A">
        <w:rPr>
          <w:i/>
          <w:iCs/>
        </w:rPr>
        <w:t>Renew. Sustain. Energy Rev</w:t>
      </w:r>
      <w:r w:rsidRPr="00BC5E3A">
        <w:t xml:space="preserve">. </w:t>
      </w:r>
      <w:r w:rsidRPr="00BC5E3A">
        <w:rPr>
          <w:b/>
          <w:bCs/>
        </w:rPr>
        <w:t>143</w:t>
      </w:r>
      <w:r w:rsidRPr="00BC5E3A">
        <w:t>, 110902 (2021).</w:t>
      </w:r>
    </w:p>
    <w:p w14:paraId="5119C621" w14:textId="77777777" w:rsidR="00B02996" w:rsidRPr="00BC5E3A" w:rsidRDefault="00B02996" w:rsidP="00B02996">
      <w:pPr>
        <w:pStyle w:val="Reference"/>
      </w:pPr>
      <w:r w:rsidRPr="00BC5E3A">
        <w:t xml:space="preserve">A. Bonk, S. Sau, N. Uranga, M. Hernaiz, and T. Bauer, “Advanced heat transfer fluids for direct molten salt line-focusing CSP plants,” </w:t>
      </w:r>
      <w:r w:rsidRPr="00BC5E3A">
        <w:rPr>
          <w:i/>
          <w:iCs/>
        </w:rPr>
        <w:t>Prog. Energy Combust. Sci.</w:t>
      </w:r>
      <w:r w:rsidRPr="00BC5E3A">
        <w:t xml:space="preserve"> </w:t>
      </w:r>
      <w:r w:rsidRPr="00BC5E3A">
        <w:rPr>
          <w:b/>
          <w:bCs/>
        </w:rPr>
        <w:t>67</w:t>
      </w:r>
      <w:r w:rsidRPr="00BC5E3A">
        <w:t>, 69–87 (2018).</w:t>
      </w:r>
    </w:p>
    <w:p w14:paraId="539E7411" w14:textId="77777777" w:rsidR="007779C3" w:rsidRPr="00BC5E3A" w:rsidRDefault="007779C3" w:rsidP="007779C3">
      <w:pPr>
        <w:pStyle w:val="Reference"/>
      </w:pPr>
      <w:r w:rsidRPr="00BC5E3A">
        <w:t xml:space="preserve">A. Giaconia, A. C. Tizzoni, S. Sau, N. Corsaro, E. Mansi, A. Spadoni, and T. Delise, “Assessment and perspectives of heat transfer fluids for CSP applications,” </w:t>
      </w:r>
      <w:r w:rsidRPr="00BC5E3A">
        <w:rPr>
          <w:i/>
          <w:iCs/>
        </w:rPr>
        <w:t>Energies</w:t>
      </w:r>
      <w:r w:rsidRPr="00BC5E3A">
        <w:t xml:space="preserve"> </w:t>
      </w:r>
      <w:r w:rsidRPr="00BC5E3A">
        <w:rPr>
          <w:b/>
          <w:bCs/>
        </w:rPr>
        <w:t>14</w:t>
      </w:r>
      <w:r w:rsidRPr="00BC5E3A">
        <w:t>, 7486 (2021).</w:t>
      </w:r>
    </w:p>
    <w:p w14:paraId="2D63F9FD" w14:textId="77777777" w:rsidR="00734A47" w:rsidRPr="00BC5E3A" w:rsidRDefault="00734A47" w:rsidP="00734A47">
      <w:pPr>
        <w:pStyle w:val="Reference"/>
      </w:pPr>
      <w:r w:rsidRPr="00BC5E3A">
        <w:t>A. Bonk and T. Bauer, “Solar Salt – Thermal Property Analysis: Report on thermo-physical properties of binary NaNO₃–KNO₃ mixtures (55–65 wt% NaNO₃),” Scientific Report DLR-FB-2022-4, German Aerospace Center (DLR), Institute for Engineering Thermodynamics (2022).</w:t>
      </w:r>
    </w:p>
    <w:p w14:paraId="26D1FD1E" w14:textId="74A12153" w:rsidR="00B02996" w:rsidRPr="00BC5E3A" w:rsidRDefault="008C1DDF" w:rsidP="002D04EB">
      <w:pPr>
        <w:pStyle w:val="Reference"/>
      </w:pPr>
      <w:r w:rsidRPr="00BC5E3A">
        <w:t>F. J. McQuillan, J. R. Culham, and M. M. Yovanovich, “Properties of dry air at one atmosphere,” University of Waterloo, Microelectronics Heat Transfer Lab Report UW/MHTL 8406 G-01, Waterloo, Ontario, Canada (1984).</w:t>
      </w:r>
    </w:p>
    <w:p w14:paraId="0350B98A" w14:textId="72E3A861" w:rsidR="00B70E73" w:rsidRPr="00BC5E3A" w:rsidRDefault="00C841B8" w:rsidP="00B70E73">
      <w:pPr>
        <w:pStyle w:val="Reference"/>
      </w:pPr>
      <w:r w:rsidRPr="00BC5E3A">
        <w:t xml:space="preserve">F. P. Incropera and D. P. DeWitt, </w:t>
      </w:r>
      <w:r w:rsidRPr="00BC5E3A">
        <w:rPr>
          <w:rStyle w:val="Emphasis"/>
          <w:i w:val="0"/>
          <w:iCs w:val="0"/>
        </w:rPr>
        <w:t>Introduction to Heat Transfer</w:t>
      </w:r>
      <w:r w:rsidRPr="00BC5E3A">
        <w:t>, 3rd ed., John Wiley &amp; Sons, New York (1996)</w:t>
      </w:r>
      <w:r w:rsidR="00B70E73" w:rsidRPr="00BC5E3A">
        <w:t>.</w:t>
      </w:r>
    </w:p>
    <w:p w14:paraId="64887359" w14:textId="0B64BF10" w:rsidR="00B70E73" w:rsidRPr="00BC5E3A" w:rsidRDefault="008F45FF" w:rsidP="002D04EB">
      <w:pPr>
        <w:pStyle w:val="Reference"/>
      </w:pPr>
      <w:r w:rsidRPr="00BC5E3A">
        <w:t xml:space="preserve">W. Sutherland, “The viscosity of gases and molecular force,” </w:t>
      </w:r>
      <w:r w:rsidRPr="00BC5E3A">
        <w:rPr>
          <w:i/>
          <w:iCs/>
        </w:rPr>
        <w:t>Philos. Mag.</w:t>
      </w:r>
      <w:r w:rsidRPr="00BC5E3A">
        <w:t xml:space="preserve"> </w:t>
      </w:r>
      <w:r w:rsidRPr="00BC5E3A">
        <w:rPr>
          <w:b/>
          <w:bCs/>
        </w:rPr>
        <w:t>36</w:t>
      </w:r>
      <w:r w:rsidRPr="00BC5E3A">
        <w:t>, 507–531 (1893).</w:t>
      </w:r>
    </w:p>
    <w:p w14:paraId="5120FCC8" w14:textId="6940CA9B" w:rsidR="00094ABE" w:rsidRPr="00BC5E3A" w:rsidRDefault="007A795B" w:rsidP="00B56144">
      <w:pPr>
        <w:pStyle w:val="Reference"/>
      </w:pPr>
      <w:r w:rsidRPr="00BC5E3A">
        <w:t xml:space="preserve">L. Ma, Z. Wang, D. Lei, and L. Xu, “Establishment, validation, and application of a comprehensive thermal hydraulic model for a parabolic trough solar field,” </w:t>
      </w:r>
      <w:r w:rsidRPr="00BC5E3A">
        <w:rPr>
          <w:i/>
          <w:iCs/>
        </w:rPr>
        <w:t>Energies</w:t>
      </w:r>
      <w:r w:rsidRPr="00BC5E3A">
        <w:t xml:space="preserve"> </w:t>
      </w:r>
      <w:r w:rsidRPr="00BC5E3A">
        <w:rPr>
          <w:b/>
          <w:bCs/>
        </w:rPr>
        <w:t>12</w:t>
      </w:r>
      <w:r w:rsidRPr="00BC5E3A">
        <w:t>, 3161 (2019).</w:t>
      </w:r>
    </w:p>
    <w:p w14:paraId="75A999E3" w14:textId="32EE05DA" w:rsidR="00FA4ED4" w:rsidRPr="00BC5E3A" w:rsidRDefault="00FA4ED4" w:rsidP="00FA4ED4">
      <w:pPr>
        <w:pStyle w:val="Reference"/>
      </w:pPr>
      <w:r w:rsidRPr="00BC5E3A">
        <w:lastRenderedPageBreak/>
        <w:t xml:space="preserve">D. Pérez-Gallego, J. Gonzalez-Ayala, A. Medina, and A. Calvo Hernández, “Comprehensive review of dynamical simulation models of packed-bed systems for thermal energy storage applications in renewable power production,” </w:t>
      </w:r>
      <w:r w:rsidRPr="00BC5E3A">
        <w:rPr>
          <w:i/>
          <w:iCs/>
        </w:rPr>
        <w:t>Heliyon</w:t>
      </w:r>
      <w:r w:rsidRPr="00BC5E3A">
        <w:t xml:space="preserve"> </w:t>
      </w:r>
      <w:r w:rsidRPr="00BC5E3A">
        <w:rPr>
          <w:b/>
          <w:bCs/>
        </w:rPr>
        <w:t>11</w:t>
      </w:r>
      <w:r w:rsidRPr="00BC5E3A">
        <w:t>, e42803 (2025).</w:t>
      </w:r>
    </w:p>
    <w:p w14:paraId="2C58DAEB" w14:textId="77777777" w:rsidR="00520292" w:rsidRPr="00BC5E3A" w:rsidRDefault="00520292" w:rsidP="00520292">
      <w:pPr>
        <w:pStyle w:val="Reference"/>
      </w:pPr>
      <w:r w:rsidRPr="00BC5E3A">
        <w:t xml:space="preserve">M. Walczak, F. Pineda, Á. G. Fernández, C. Mata-Torres, and R. A. Escobar, “Materials corrosion for thermal energy storage systems in concentrated solar power plants,” </w:t>
      </w:r>
      <w:r w:rsidRPr="00BC5E3A">
        <w:rPr>
          <w:i/>
          <w:iCs/>
        </w:rPr>
        <w:t>Renew. Sustain. Energy Rev</w:t>
      </w:r>
      <w:r w:rsidRPr="00BC5E3A">
        <w:t xml:space="preserve">. </w:t>
      </w:r>
      <w:r w:rsidRPr="00BC5E3A">
        <w:rPr>
          <w:b/>
          <w:bCs/>
        </w:rPr>
        <w:t>86</w:t>
      </w:r>
      <w:r w:rsidRPr="00BC5E3A">
        <w:t>, 22–44 (2018).</w:t>
      </w:r>
    </w:p>
    <w:p w14:paraId="2E534577" w14:textId="77777777" w:rsidR="00520292" w:rsidRPr="00BC5E3A" w:rsidRDefault="00520292" w:rsidP="00520292">
      <w:pPr>
        <w:pStyle w:val="Reference"/>
      </w:pPr>
      <w:r w:rsidRPr="00BC5E3A">
        <w:t xml:space="preserve">A. Giaconia, A. C. Tizzoni, S. Sau, N. Corsaro, E. Mansi, A. Spadoni, and T. Delise, “Assessment and perspectives of heat transfer fluids for CSP applications,” </w:t>
      </w:r>
      <w:r w:rsidRPr="00BC5E3A">
        <w:rPr>
          <w:i/>
          <w:iCs/>
        </w:rPr>
        <w:t>Energies</w:t>
      </w:r>
      <w:r w:rsidRPr="00BC5E3A">
        <w:t xml:space="preserve"> </w:t>
      </w:r>
      <w:r w:rsidRPr="00BC5E3A">
        <w:rPr>
          <w:b/>
          <w:bCs/>
        </w:rPr>
        <w:t>14</w:t>
      </w:r>
      <w:r w:rsidRPr="00BC5E3A">
        <w:t>, 7486 (2021).</w:t>
      </w:r>
    </w:p>
    <w:p w14:paraId="5365338B" w14:textId="77777777" w:rsidR="00520292" w:rsidRPr="00BC5E3A" w:rsidRDefault="00520292" w:rsidP="00520292">
      <w:pPr>
        <w:pStyle w:val="Reference"/>
      </w:pPr>
      <w:r w:rsidRPr="00BC5E3A">
        <w:t xml:space="preserve">A. Caraballo, S. Galán-Casado, Á. Caballero, and S. Serena, “Molten salts for sensible thermal energy storage: A review and an energy performance analysis,” </w:t>
      </w:r>
      <w:r w:rsidRPr="00BC5E3A">
        <w:rPr>
          <w:i/>
          <w:iCs/>
        </w:rPr>
        <w:t>Energies</w:t>
      </w:r>
      <w:r w:rsidRPr="00BC5E3A">
        <w:t xml:space="preserve"> </w:t>
      </w:r>
      <w:r w:rsidRPr="00BC5E3A">
        <w:rPr>
          <w:b/>
          <w:bCs/>
        </w:rPr>
        <w:t>14</w:t>
      </w:r>
      <w:r w:rsidRPr="00BC5E3A">
        <w:t>, 1197 (2021).</w:t>
      </w:r>
    </w:p>
    <w:p w14:paraId="07725C73" w14:textId="0E40E36F" w:rsidR="00FA4ED4" w:rsidRPr="00BC5E3A" w:rsidRDefault="00FA4ED4" w:rsidP="00520292">
      <w:pPr>
        <w:pStyle w:val="Reference"/>
      </w:pPr>
      <w:r w:rsidRPr="00BC5E3A">
        <w:t xml:space="preserve">V. Ravindra, A. S. Pegallapati, and R. Maddali, “Suitability of various heat transfer fluids for high temperature solar thermal systems,” </w:t>
      </w:r>
      <w:r w:rsidRPr="00BC5E3A">
        <w:rPr>
          <w:i/>
          <w:iCs/>
        </w:rPr>
        <w:t>Appl. Therm. Eng</w:t>
      </w:r>
      <w:r w:rsidRPr="00BC5E3A">
        <w:t xml:space="preserve">. </w:t>
      </w:r>
      <w:r w:rsidRPr="00BC5E3A">
        <w:rPr>
          <w:b/>
          <w:bCs/>
        </w:rPr>
        <w:t>159</w:t>
      </w:r>
      <w:r w:rsidRPr="00BC5E3A">
        <w:t>, 113973 (2019).</w:t>
      </w:r>
    </w:p>
    <w:p w14:paraId="72077ED0" w14:textId="399CBCF5" w:rsidR="00B664E7" w:rsidRPr="00BC5E3A" w:rsidRDefault="00B664E7" w:rsidP="00B664E7">
      <w:pPr>
        <w:pStyle w:val="Reference"/>
      </w:pPr>
      <w:r w:rsidRPr="00BC5E3A">
        <w:t xml:space="preserve">H. Grirate, N. Zari, A. Elmchaouri, S. Molina, and R. Couturier, “Life time analysis of thermal oil used as heat transfer fluid in CSP power plant,” </w:t>
      </w:r>
      <w:r w:rsidRPr="00BC5E3A">
        <w:rPr>
          <w:i/>
          <w:iCs/>
        </w:rPr>
        <w:t>AIP Conf. Proc</w:t>
      </w:r>
      <w:r w:rsidRPr="00BC5E3A">
        <w:t xml:space="preserve">. </w:t>
      </w:r>
      <w:r w:rsidRPr="00BC5E3A">
        <w:rPr>
          <w:b/>
          <w:bCs/>
        </w:rPr>
        <w:t>1734</w:t>
      </w:r>
      <w:r w:rsidRPr="00BC5E3A">
        <w:t>, 020005 (2016).</w:t>
      </w:r>
    </w:p>
    <w:p w14:paraId="658178AD" w14:textId="32FF6AAD" w:rsidR="00094ABE" w:rsidRDefault="00094ABE" w:rsidP="00094ABE"/>
    <w:sectPr w:rsidR="00094ABE" w:rsidSect="00D3064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9D971" w14:textId="77777777" w:rsidR="00B63B81" w:rsidRDefault="00B63B81" w:rsidP="00D60BC4">
      <w:r>
        <w:separator/>
      </w:r>
    </w:p>
  </w:endnote>
  <w:endnote w:type="continuationSeparator" w:id="0">
    <w:p w14:paraId="6CA87230" w14:textId="77777777" w:rsidR="00B63B81" w:rsidRDefault="00B63B81" w:rsidP="00D6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716BB" w14:textId="77777777" w:rsidR="00B63B81" w:rsidRDefault="00B63B81" w:rsidP="00D60BC4">
      <w:r>
        <w:separator/>
      </w:r>
    </w:p>
  </w:footnote>
  <w:footnote w:type="continuationSeparator" w:id="0">
    <w:p w14:paraId="28DCD43E" w14:textId="77777777" w:rsidR="00B63B81" w:rsidRDefault="00B63B81" w:rsidP="00D60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03D76"/>
    <w:multiLevelType w:val="hybridMultilevel"/>
    <w:tmpl w:val="AA260C0C"/>
    <w:lvl w:ilvl="0" w:tplc="6E5A1648">
      <w:start w:val="1"/>
      <w:numFmt w:val="decimal"/>
      <w:pStyle w:val="ReferencesBody"/>
      <w:lvlText w:val="[%1]"/>
      <w:lvlJc w:val="left"/>
      <w:pPr>
        <w:ind w:left="720" w:hanging="360"/>
      </w:pPr>
      <w:rPr>
        <w:rFonts w:asciiTheme="majorBidi" w:hAnsiTheme="majorBidi" w:cstheme="majorBidi" w:hint="default"/>
        <w:color w:val="auto"/>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9E27D2"/>
    <w:multiLevelType w:val="hybridMultilevel"/>
    <w:tmpl w:val="EFE85738"/>
    <w:lvl w:ilvl="0" w:tplc="51CC6DFA">
      <w:start w:val="1"/>
      <w:numFmt w:val="bullet"/>
      <w:lvlText w:val=""/>
      <w:lvlJc w:val="left"/>
      <w:pPr>
        <w:ind w:left="1004" w:hanging="360"/>
      </w:pPr>
      <w:rPr>
        <w:rFonts w:ascii="Symbol" w:hAnsi="Symbol" w:hint="default"/>
        <w:b w:val="0"/>
        <w:bCs w:val="0"/>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AA17CE3"/>
    <w:multiLevelType w:val="hybridMultilevel"/>
    <w:tmpl w:val="B88A2396"/>
    <w:lvl w:ilvl="0" w:tplc="918C4F44">
      <w:start w:val="1"/>
      <w:numFmt w:val="decimal"/>
      <w:pStyle w:val="Reference"/>
      <w:lvlText w:val="%1."/>
      <w:lvlJc w:val="left"/>
      <w:pPr>
        <w:ind w:left="360" w:hanging="360"/>
      </w:pPr>
      <w:rPr>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1F24DA"/>
    <w:multiLevelType w:val="multilevel"/>
    <w:tmpl w:val="F1CE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168790650">
    <w:abstractNumId w:val="4"/>
  </w:num>
  <w:num w:numId="2" w16cid:durableId="1678724990">
    <w:abstractNumId w:val="3"/>
  </w:num>
  <w:num w:numId="3" w16cid:durableId="1597329917">
    <w:abstractNumId w:val="6"/>
  </w:num>
  <w:num w:numId="4" w16cid:durableId="324086761">
    <w:abstractNumId w:val="4"/>
  </w:num>
  <w:num w:numId="5" w16cid:durableId="846990650">
    <w:abstractNumId w:val="0"/>
  </w:num>
  <w:num w:numId="6" w16cid:durableId="916012814">
    <w:abstractNumId w:val="4"/>
  </w:num>
  <w:num w:numId="7" w16cid:durableId="403072627">
    <w:abstractNumId w:val="4"/>
  </w:num>
  <w:num w:numId="8" w16cid:durableId="549414249">
    <w:abstractNumId w:val="1"/>
  </w:num>
  <w:num w:numId="9" w16cid:durableId="84856595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14"/>
    <w:rsid w:val="00003D7C"/>
    <w:rsid w:val="00010B00"/>
    <w:rsid w:val="00014140"/>
    <w:rsid w:val="00020B30"/>
    <w:rsid w:val="00022FA4"/>
    <w:rsid w:val="00026023"/>
    <w:rsid w:val="00027428"/>
    <w:rsid w:val="00031EC9"/>
    <w:rsid w:val="000324BE"/>
    <w:rsid w:val="0004114B"/>
    <w:rsid w:val="00052AEA"/>
    <w:rsid w:val="00055222"/>
    <w:rsid w:val="00062348"/>
    <w:rsid w:val="00066FED"/>
    <w:rsid w:val="00070DB3"/>
    <w:rsid w:val="00075EA6"/>
    <w:rsid w:val="00076573"/>
    <w:rsid w:val="0007709F"/>
    <w:rsid w:val="0007755D"/>
    <w:rsid w:val="00083D08"/>
    <w:rsid w:val="00086F62"/>
    <w:rsid w:val="00090674"/>
    <w:rsid w:val="0009320B"/>
    <w:rsid w:val="00094ABE"/>
    <w:rsid w:val="00096AE0"/>
    <w:rsid w:val="000A15D8"/>
    <w:rsid w:val="000A45DB"/>
    <w:rsid w:val="000B1B74"/>
    <w:rsid w:val="000B3A2D"/>
    <w:rsid w:val="000B49C0"/>
    <w:rsid w:val="000C1EAF"/>
    <w:rsid w:val="000D1210"/>
    <w:rsid w:val="000E382F"/>
    <w:rsid w:val="000E75CD"/>
    <w:rsid w:val="000F504F"/>
    <w:rsid w:val="000F6CE0"/>
    <w:rsid w:val="001036BA"/>
    <w:rsid w:val="001146DC"/>
    <w:rsid w:val="00114AB1"/>
    <w:rsid w:val="00122F4E"/>
    <w:rsid w:val="001230FF"/>
    <w:rsid w:val="00130BD7"/>
    <w:rsid w:val="00140464"/>
    <w:rsid w:val="00142E22"/>
    <w:rsid w:val="00155B67"/>
    <w:rsid w:val="001562AF"/>
    <w:rsid w:val="00161A5B"/>
    <w:rsid w:val="0016385D"/>
    <w:rsid w:val="0016782F"/>
    <w:rsid w:val="001708FB"/>
    <w:rsid w:val="00171A45"/>
    <w:rsid w:val="00173596"/>
    <w:rsid w:val="0017476E"/>
    <w:rsid w:val="001934D0"/>
    <w:rsid w:val="001937E9"/>
    <w:rsid w:val="001964E5"/>
    <w:rsid w:val="001966AA"/>
    <w:rsid w:val="00197593"/>
    <w:rsid w:val="001A2DDD"/>
    <w:rsid w:val="001A56C2"/>
    <w:rsid w:val="001A7A6B"/>
    <w:rsid w:val="001B263B"/>
    <w:rsid w:val="001B476A"/>
    <w:rsid w:val="001C70DF"/>
    <w:rsid w:val="001C764F"/>
    <w:rsid w:val="001C7BB3"/>
    <w:rsid w:val="001D469C"/>
    <w:rsid w:val="001E55A1"/>
    <w:rsid w:val="001E7545"/>
    <w:rsid w:val="001F0B5E"/>
    <w:rsid w:val="002024E8"/>
    <w:rsid w:val="00202DF4"/>
    <w:rsid w:val="00205AD9"/>
    <w:rsid w:val="0020678B"/>
    <w:rsid w:val="00215571"/>
    <w:rsid w:val="0021619E"/>
    <w:rsid w:val="0023171B"/>
    <w:rsid w:val="00233416"/>
    <w:rsid w:val="00236BFC"/>
    <w:rsid w:val="00237437"/>
    <w:rsid w:val="00237F48"/>
    <w:rsid w:val="002502FD"/>
    <w:rsid w:val="0025095D"/>
    <w:rsid w:val="00252D3C"/>
    <w:rsid w:val="00266941"/>
    <w:rsid w:val="00274622"/>
    <w:rsid w:val="00280AC8"/>
    <w:rsid w:val="00285517"/>
    <w:rsid w:val="00285981"/>
    <w:rsid w:val="00285D24"/>
    <w:rsid w:val="00290390"/>
    <w:rsid w:val="002915D3"/>
    <w:rsid w:val="002924DB"/>
    <w:rsid w:val="0029297C"/>
    <w:rsid w:val="002941DA"/>
    <w:rsid w:val="002976B9"/>
    <w:rsid w:val="00297CB1"/>
    <w:rsid w:val="002A017C"/>
    <w:rsid w:val="002A47F5"/>
    <w:rsid w:val="002B5648"/>
    <w:rsid w:val="002B6285"/>
    <w:rsid w:val="002D04EB"/>
    <w:rsid w:val="002D068D"/>
    <w:rsid w:val="002E3C35"/>
    <w:rsid w:val="002F5298"/>
    <w:rsid w:val="00302358"/>
    <w:rsid w:val="00312A47"/>
    <w:rsid w:val="003149F6"/>
    <w:rsid w:val="00322A4C"/>
    <w:rsid w:val="00326AE0"/>
    <w:rsid w:val="00331E39"/>
    <w:rsid w:val="00337E4F"/>
    <w:rsid w:val="00340C36"/>
    <w:rsid w:val="00346A9D"/>
    <w:rsid w:val="003519B2"/>
    <w:rsid w:val="00355D6D"/>
    <w:rsid w:val="003619EA"/>
    <w:rsid w:val="00372013"/>
    <w:rsid w:val="0039376F"/>
    <w:rsid w:val="003A287B"/>
    <w:rsid w:val="003A49AA"/>
    <w:rsid w:val="003A5C85"/>
    <w:rsid w:val="003A61B1"/>
    <w:rsid w:val="003B0050"/>
    <w:rsid w:val="003B6D28"/>
    <w:rsid w:val="003D3B7E"/>
    <w:rsid w:val="003D6312"/>
    <w:rsid w:val="003E7C74"/>
    <w:rsid w:val="003F129B"/>
    <w:rsid w:val="003F31C6"/>
    <w:rsid w:val="003F5F2B"/>
    <w:rsid w:val="003F7BE8"/>
    <w:rsid w:val="00401F50"/>
    <w:rsid w:val="0040225B"/>
    <w:rsid w:val="00402DA2"/>
    <w:rsid w:val="00425AC2"/>
    <w:rsid w:val="004352BB"/>
    <w:rsid w:val="00435835"/>
    <w:rsid w:val="0044771F"/>
    <w:rsid w:val="00454855"/>
    <w:rsid w:val="00457AF5"/>
    <w:rsid w:val="00457B5B"/>
    <w:rsid w:val="00463E61"/>
    <w:rsid w:val="00480393"/>
    <w:rsid w:val="00482BA9"/>
    <w:rsid w:val="00491CF2"/>
    <w:rsid w:val="00494701"/>
    <w:rsid w:val="004B151D"/>
    <w:rsid w:val="004B4C8A"/>
    <w:rsid w:val="004B59C6"/>
    <w:rsid w:val="004B6D68"/>
    <w:rsid w:val="004C3A5F"/>
    <w:rsid w:val="004C5E03"/>
    <w:rsid w:val="004C7243"/>
    <w:rsid w:val="004D1D16"/>
    <w:rsid w:val="004D5C52"/>
    <w:rsid w:val="004D6FB0"/>
    <w:rsid w:val="004D7B49"/>
    <w:rsid w:val="004E1D0B"/>
    <w:rsid w:val="004E21DE"/>
    <w:rsid w:val="004E3C57"/>
    <w:rsid w:val="004E3CB2"/>
    <w:rsid w:val="004F5AC8"/>
    <w:rsid w:val="004F6788"/>
    <w:rsid w:val="005039F6"/>
    <w:rsid w:val="005079C3"/>
    <w:rsid w:val="005163EF"/>
    <w:rsid w:val="00520292"/>
    <w:rsid w:val="0052096A"/>
    <w:rsid w:val="00523859"/>
    <w:rsid w:val="00525813"/>
    <w:rsid w:val="00532758"/>
    <w:rsid w:val="00534D6F"/>
    <w:rsid w:val="0053513F"/>
    <w:rsid w:val="0055164C"/>
    <w:rsid w:val="0055623C"/>
    <w:rsid w:val="005602AE"/>
    <w:rsid w:val="005615C7"/>
    <w:rsid w:val="00572BDE"/>
    <w:rsid w:val="00574405"/>
    <w:rsid w:val="0058108B"/>
    <w:rsid w:val="005826F7"/>
    <w:rsid w:val="005827B1"/>
    <w:rsid w:val="005854B0"/>
    <w:rsid w:val="005961F4"/>
    <w:rsid w:val="005A0E21"/>
    <w:rsid w:val="005B10C2"/>
    <w:rsid w:val="005B3A34"/>
    <w:rsid w:val="005B60E9"/>
    <w:rsid w:val="005D4888"/>
    <w:rsid w:val="005D49AF"/>
    <w:rsid w:val="005E3B76"/>
    <w:rsid w:val="005E415C"/>
    <w:rsid w:val="005E71ED"/>
    <w:rsid w:val="005E7946"/>
    <w:rsid w:val="005F1643"/>
    <w:rsid w:val="005F7475"/>
    <w:rsid w:val="006035A5"/>
    <w:rsid w:val="00611299"/>
    <w:rsid w:val="00613B4D"/>
    <w:rsid w:val="00616365"/>
    <w:rsid w:val="00616F3B"/>
    <w:rsid w:val="006249A7"/>
    <w:rsid w:val="00625AF8"/>
    <w:rsid w:val="00631108"/>
    <w:rsid w:val="00636849"/>
    <w:rsid w:val="0064225B"/>
    <w:rsid w:val="00644B22"/>
    <w:rsid w:val="00653B4F"/>
    <w:rsid w:val="0066499A"/>
    <w:rsid w:val="00666922"/>
    <w:rsid w:val="006727CB"/>
    <w:rsid w:val="006745EF"/>
    <w:rsid w:val="0067465B"/>
    <w:rsid w:val="006763F9"/>
    <w:rsid w:val="00680F7B"/>
    <w:rsid w:val="006813D8"/>
    <w:rsid w:val="006949BC"/>
    <w:rsid w:val="006A6A2E"/>
    <w:rsid w:val="006B1395"/>
    <w:rsid w:val="006B49E3"/>
    <w:rsid w:val="006D1229"/>
    <w:rsid w:val="006D30E1"/>
    <w:rsid w:val="006D372F"/>
    <w:rsid w:val="006D4D1A"/>
    <w:rsid w:val="006D7A18"/>
    <w:rsid w:val="006E13F4"/>
    <w:rsid w:val="006E2FAD"/>
    <w:rsid w:val="006E4474"/>
    <w:rsid w:val="006F6963"/>
    <w:rsid w:val="00701388"/>
    <w:rsid w:val="00707140"/>
    <w:rsid w:val="00717DD2"/>
    <w:rsid w:val="00721F89"/>
    <w:rsid w:val="00723B7F"/>
    <w:rsid w:val="00725861"/>
    <w:rsid w:val="00725947"/>
    <w:rsid w:val="0073129D"/>
    <w:rsid w:val="007314D8"/>
    <w:rsid w:val="007327D1"/>
    <w:rsid w:val="0073393A"/>
    <w:rsid w:val="00734A47"/>
    <w:rsid w:val="0073539D"/>
    <w:rsid w:val="007375BD"/>
    <w:rsid w:val="007404B8"/>
    <w:rsid w:val="00746F1D"/>
    <w:rsid w:val="0075054E"/>
    <w:rsid w:val="00767B8A"/>
    <w:rsid w:val="00770089"/>
    <w:rsid w:val="00775481"/>
    <w:rsid w:val="007779C3"/>
    <w:rsid w:val="00784AD5"/>
    <w:rsid w:val="007929B6"/>
    <w:rsid w:val="00792FBA"/>
    <w:rsid w:val="007A233B"/>
    <w:rsid w:val="007A3947"/>
    <w:rsid w:val="007A5A8E"/>
    <w:rsid w:val="007A795B"/>
    <w:rsid w:val="007B4863"/>
    <w:rsid w:val="007B492A"/>
    <w:rsid w:val="007C0AB2"/>
    <w:rsid w:val="007C65E6"/>
    <w:rsid w:val="007D1A41"/>
    <w:rsid w:val="007D309B"/>
    <w:rsid w:val="007D406B"/>
    <w:rsid w:val="007D4407"/>
    <w:rsid w:val="007D65EF"/>
    <w:rsid w:val="007E1CA3"/>
    <w:rsid w:val="007E5784"/>
    <w:rsid w:val="007E6BF7"/>
    <w:rsid w:val="007F0A7A"/>
    <w:rsid w:val="00812D62"/>
    <w:rsid w:val="00812F29"/>
    <w:rsid w:val="00821713"/>
    <w:rsid w:val="00827050"/>
    <w:rsid w:val="0083278B"/>
    <w:rsid w:val="00834538"/>
    <w:rsid w:val="00835922"/>
    <w:rsid w:val="00850E89"/>
    <w:rsid w:val="00867242"/>
    <w:rsid w:val="00870FA6"/>
    <w:rsid w:val="00874867"/>
    <w:rsid w:val="008772F4"/>
    <w:rsid w:val="0088496A"/>
    <w:rsid w:val="00890245"/>
    <w:rsid w:val="008930E4"/>
    <w:rsid w:val="0089312D"/>
    <w:rsid w:val="00893821"/>
    <w:rsid w:val="008955A6"/>
    <w:rsid w:val="008A5B00"/>
    <w:rsid w:val="008A7B9C"/>
    <w:rsid w:val="008B39FA"/>
    <w:rsid w:val="008B3BCF"/>
    <w:rsid w:val="008B4754"/>
    <w:rsid w:val="008B7BAC"/>
    <w:rsid w:val="008C1DDF"/>
    <w:rsid w:val="008C7DC9"/>
    <w:rsid w:val="008E6A7A"/>
    <w:rsid w:val="008F1038"/>
    <w:rsid w:val="008F3021"/>
    <w:rsid w:val="008F45FF"/>
    <w:rsid w:val="008F63DE"/>
    <w:rsid w:val="008F7046"/>
    <w:rsid w:val="009005CD"/>
    <w:rsid w:val="009005FC"/>
    <w:rsid w:val="00922E5A"/>
    <w:rsid w:val="0092725F"/>
    <w:rsid w:val="00937B2D"/>
    <w:rsid w:val="00943315"/>
    <w:rsid w:val="00946C27"/>
    <w:rsid w:val="0095013E"/>
    <w:rsid w:val="009609E0"/>
    <w:rsid w:val="009609EB"/>
    <w:rsid w:val="0096337D"/>
    <w:rsid w:val="00993A62"/>
    <w:rsid w:val="009A44E1"/>
    <w:rsid w:val="009A4F3D"/>
    <w:rsid w:val="009B696B"/>
    <w:rsid w:val="009B7671"/>
    <w:rsid w:val="009D086B"/>
    <w:rsid w:val="009E5BA1"/>
    <w:rsid w:val="009E6360"/>
    <w:rsid w:val="009F056E"/>
    <w:rsid w:val="009F19D6"/>
    <w:rsid w:val="009F2284"/>
    <w:rsid w:val="009F2D5E"/>
    <w:rsid w:val="009F3B5C"/>
    <w:rsid w:val="009F4604"/>
    <w:rsid w:val="00A00AC7"/>
    <w:rsid w:val="00A04F44"/>
    <w:rsid w:val="00A05C7F"/>
    <w:rsid w:val="00A1001B"/>
    <w:rsid w:val="00A10407"/>
    <w:rsid w:val="00A10A1D"/>
    <w:rsid w:val="00A117A8"/>
    <w:rsid w:val="00A21907"/>
    <w:rsid w:val="00A24F3D"/>
    <w:rsid w:val="00A250A0"/>
    <w:rsid w:val="00A26DCD"/>
    <w:rsid w:val="00A306BD"/>
    <w:rsid w:val="00A314BB"/>
    <w:rsid w:val="00A31F4E"/>
    <w:rsid w:val="00A32B7D"/>
    <w:rsid w:val="00A5596B"/>
    <w:rsid w:val="00A55BAF"/>
    <w:rsid w:val="00A646B3"/>
    <w:rsid w:val="00A65B19"/>
    <w:rsid w:val="00A65E4C"/>
    <w:rsid w:val="00A6739B"/>
    <w:rsid w:val="00A74F6A"/>
    <w:rsid w:val="00A80708"/>
    <w:rsid w:val="00A90413"/>
    <w:rsid w:val="00A9402B"/>
    <w:rsid w:val="00A956EC"/>
    <w:rsid w:val="00AA728C"/>
    <w:rsid w:val="00AB0A9C"/>
    <w:rsid w:val="00AB7119"/>
    <w:rsid w:val="00AC3409"/>
    <w:rsid w:val="00AC7B4A"/>
    <w:rsid w:val="00AD5855"/>
    <w:rsid w:val="00AE69C3"/>
    <w:rsid w:val="00AE7500"/>
    <w:rsid w:val="00AE7F87"/>
    <w:rsid w:val="00AF3542"/>
    <w:rsid w:val="00AF5ABE"/>
    <w:rsid w:val="00B00415"/>
    <w:rsid w:val="00B01DF2"/>
    <w:rsid w:val="00B02199"/>
    <w:rsid w:val="00B02996"/>
    <w:rsid w:val="00B03C2A"/>
    <w:rsid w:val="00B04649"/>
    <w:rsid w:val="00B04C61"/>
    <w:rsid w:val="00B1000D"/>
    <w:rsid w:val="00B10134"/>
    <w:rsid w:val="00B14D78"/>
    <w:rsid w:val="00B16BFE"/>
    <w:rsid w:val="00B20610"/>
    <w:rsid w:val="00B30B9C"/>
    <w:rsid w:val="00B43435"/>
    <w:rsid w:val="00B45867"/>
    <w:rsid w:val="00B500E5"/>
    <w:rsid w:val="00B532AA"/>
    <w:rsid w:val="00B53DC1"/>
    <w:rsid w:val="00B56144"/>
    <w:rsid w:val="00B571C5"/>
    <w:rsid w:val="00B63B81"/>
    <w:rsid w:val="00B664E7"/>
    <w:rsid w:val="00B672D7"/>
    <w:rsid w:val="00B70E73"/>
    <w:rsid w:val="00B71526"/>
    <w:rsid w:val="00B72864"/>
    <w:rsid w:val="00B73C6F"/>
    <w:rsid w:val="00B8244B"/>
    <w:rsid w:val="00B9329B"/>
    <w:rsid w:val="00B94AF3"/>
    <w:rsid w:val="00B96E81"/>
    <w:rsid w:val="00BA39BB"/>
    <w:rsid w:val="00BA3B3D"/>
    <w:rsid w:val="00BB7EEA"/>
    <w:rsid w:val="00BC074F"/>
    <w:rsid w:val="00BC5E3A"/>
    <w:rsid w:val="00BD12F3"/>
    <w:rsid w:val="00BD1909"/>
    <w:rsid w:val="00BE5E16"/>
    <w:rsid w:val="00BE5FD1"/>
    <w:rsid w:val="00BE70CD"/>
    <w:rsid w:val="00C021DB"/>
    <w:rsid w:val="00C022C4"/>
    <w:rsid w:val="00C06E05"/>
    <w:rsid w:val="00C107C7"/>
    <w:rsid w:val="00C14B14"/>
    <w:rsid w:val="00C14B16"/>
    <w:rsid w:val="00C152FE"/>
    <w:rsid w:val="00C16206"/>
    <w:rsid w:val="00C17370"/>
    <w:rsid w:val="00C1759A"/>
    <w:rsid w:val="00C2054D"/>
    <w:rsid w:val="00C206A7"/>
    <w:rsid w:val="00C252EB"/>
    <w:rsid w:val="00C26EC0"/>
    <w:rsid w:val="00C324D4"/>
    <w:rsid w:val="00C34A1A"/>
    <w:rsid w:val="00C40246"/>
    <w:rsid w:val="00C527F1"/>
    <w:rsid w:val="00C52933"/>
    <w:rsid w:val="00C534B8"/>
    <w:rsid w:val="00C56C77"/>
    <w:rsid w:val="00C613F2"/>
    <w:rsid w:val="00C637DC"/>
    <w:rsid w:val="00C720E5"/>
    <w:rsid w:val="00C80C78"/>
    <w:rsid w:val="00C839C8"/>
    <w:rsid w:val="00C841B8"/>
    <w:rsid w:val="00C84923"/>
    <w:rsid w:val="00C86AD3"/>
    <w:rsid w:val="00C872DE"/>
    <w:rsid w:val="00C95479"/>
    <w:rsid w:val="00CA0B18"/>
    <w:rsid w:val="00CA704B"/>
    <w:rsid w:val="00CB39AF"/>
    <w:rsid w:val="00CB67C5"/>
    <w:rsid w:val="00CB7B3E"/>
    <w:rsid w:val="00CC63EF"/>
    <w:rsid w:val="00CC739D"/>
    <w:rsid w:val="00CD2D58"/>
    <w:rsid w:val="00CD3CBD"/>
    <w:rsid w:val="00CE3DB2"/>
    <w:rsid w:val="00CF6B51"/>
    <w:rsid w:val="00D0438D"/>
    <w:rsid w:val="00D04468"/>
    <w:rsid w:val="00D052C7"/>
    <w:rsid w:val="00D12AE9"/>
    <w:rsid w:val="00D26C23"/>
    <w:rsid w:val="00D30640"/>
    <w:rsid w:val="00D34695"/>
    <w:rsid w:val="00D34B22"/>
    <w:rsid w:val="00D3542E"/>
    <w:rsid w:val="00D36257"/>
    <w:rsid w:val="00D36876"/>
    <w:rsid w:val="00D4687E"/>
    <w:rsid w:val="00D53A12"/>
    <w:rsid w:val="00D60BC4"/>
    <w:rsid w:val="00D662D6"/>
    <w:rsid w:val="00D67D15"/>
    <w:rsid w:val="00D76738"/>
    <w:rsid w:val="00D80F79"/>
    <w:rsid w:val="00D87E2A"/>
    <w:rsid w:val="00D951A4"/>
    <w:rsid w:val="00DA4E02"/>
    <w:rsid w:val="00DB0C43"/>
    <w:rsid w:val="00DB2C33"/>
    <w:rsid w:val="00DB3B29"/>
    <w:rsid w:val="00DC2992"/>
    <w:rsid w:val="00DC76FA"/>
    <w:rsid w:val="00DE2F5F"/>
    <w:rsid w:val="00DE3354"/>
    <w:rsid w:val="00DE78FE"/>
    <w:rsid w:val="00DF75E5"/>
    <w:rsid w:val="00DF7DCD"/>
    <w:rsid w:val="00E05F59"/>
    <w:rsid w:val="00E166B2"/>
    <w:rsid w:val="00E24092"/>
    <w:rsid w:val="00E30ECB"/>
    <w:rsid w:val="00E350E6"/>
    <w:rsid w:val="00E50B7D"/>
    <w:rsid w:val="00E524EA"/>
    <w:rsid w:val="00E63620"/>
    <w:rsid w:val="00E66422"/>
    <w:rsid w:val="00E80F20"/>
    <w:rsid w:val="00E823D6"/>
    <w:rsid w:val="00E8484F"/>
    <w:rsid w:val="00E87E4E"/>
    <w:rsid w:val="00E9022F"/>
    <w:rsid w:val="00E904A1"/>
    <w:rsid w:val="00EA79A0"/>
    <w:rsid w:val="00EB7D28"/>
    <w:rsid w:val="00EC0D0C"/>
    <w:rsid w:val="00EC3519"/>
    <w:rsid w:val="00ED49E1"/>
    <w:rsid w:val="00ED4A2C"/>
    <w:rsid w:val="00EF6940"/>
    <w:rsid w:val="00F00DCA"/>
    <w:rsid w:val="00F06B96"/>
    <w:rsid w:val="00F2044A"/>
    <w:rsid w:val="00F20BFC"/>
    <w:rsid w:val="00F24AE1"/>
    <w:rsid w:val="00F24D5F"/>
    <w:rsid w:val="00F35441"/>
    <w:rsid w:val="00F37982"/>
    <w:rsid w:val="00F440D2"/>
    <w:rsid w:val="00F516CE"/>
    <w:rsid w:val="00F53867"/>
    <w:rsid w:val="00F573C0"/>
    <w:rsid w:val="00F642D7"/>
    <w:rsid w:val="00F6507E"/>
    <w:rsid w:val="00F6722D"/>
    <w:rsid w:val="00F67B6C"/>
    <w:rsid w:val="00F726C3"/>
    <w:rsid w:val="00F77A9A"/>
    <w:rsid w:val="00F820CA"/>
    <w:rsid w:val="00F83D49"/>
    <w:rsid w:val="00F8554C"/>
    <w:rsid w:val="00F87169"/>
    <w:rsid w:val="00F95F82"/>
    <w:rsid w:val="00F96DEB"/>
    <w:rsid w:val="00F9739B"/>
    <w:rsid w:val="00F97A90"/>
    <w:rsid w:val="00FA4ED4"/>
    <w:rsid w:val="00FB3509"/>
    <w:rsid w:val="00FC2F35"/>
    <w:rsid w:val="00FC3FD7"/>
    <w:rsid w:val="00FC6C5F"/>
    <w:rsid w:val="00FD1FC6"/>
    <w:rsid w:val="00FD2AA4"/>
    <w:rsid w:val="00FE4FCF"/>
    <w:rsid w:val="00FE5869"/>
    <w:rsid w:val="00FE7E57"/>
    <w:rsid w:val="00FF680C"/>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UnresolvedMention1">
    <w:name w:val="Unresolved Mention1"/>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table" w:customStyle="1" w:styleId="Grilledutableau1">
    <w:name w:val="Grille du tableau1"/>
    <w:basedOn w:val="TableNormal"/>
    <w:next w:val="TableGrid"/>
    <w:uiPriority w:val="39"/>
    <w:rsid w:val="000C1EAF"/>
    <w:pPr>
      <w:ind w:firstLine="431"/>
    </w:pPr>
    <w:rPr>
      <w:rFonts w:ascii="Calibri" w:eastAsia="Calibri" w:hAnsi="Calibri" w:cs="Arial"/>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0C1EAF"/>
    <w:pPr>
      <w:ind w:firstLine="431"/>
    </w:pPr>
    <w:rPr>
      <w:rFonts w:ascii="Calibri" w:eastAsia="Calibri" w:hAnsi="Calibri" w:cs="Arial"/>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
    <w:name w:val="List Table 2"/>
    <w:basedOn w:val="TableNormal"/>
    <w:uiPriority w:val="47"/>
    <w:rsid w:val="0095013E"/>
    <w:rPr>
      <w:rFonts w:asciiTheme="minorHAnsi" w:eastAsiaTheme="minorHAnsi" w:hAnsiTheme="minorHAnsi" w:cstheme="minorBidi"/>
      <w:sz w:val="22"/>
      <w:szCs w:val="22"/>
      <w:lang w:val="fr-FR"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F24AE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nhideWhenUsed/>
    <w:rsid w:val="00D60BC4"/>
    <w:pPr>
      <w:tabs>
        <w:tab w:val="center" w:pos="4536"/>
        <w:tab w:val="right" w:pos="9072"/>
      </w:tabs>
    </w:pPr>
  </w:style>
  <w:style w:type="character" w:customStyle="1" w:styleId="HeaderChar">
    <w:name w:val="Header Char"/>
    <w:basedOn w:val="DefaultParagraphFont"/>
    <w:link w:val="Header"/>
    <w:rsid w:val="00D60BC4"/>
    <w:rPr>
      <w:sz w:val="24"/>
      <w:lang w:val="en-US" w:eastAsia="en-US"/>
    </w:rPr>
  </w:style>
  <w:style w:type="paragraph" w:styleId="Footer">
    <w:name w:val="footer"/>
    <w:basedOn w:val="Normal"/>
    <w:link w:val="FooterChar"/>
    <w:unhideWhenUsed/>
    <w:rsid w:val="00D60BC4"/>
    <w:pPr>
      <w:tabs>
        <w:tab w:val="center" w:pos="4536"/>
        <w:tab w:val="right" w:pos="9072"/>
      </w:tabs>
    </w:pPr>
  </w:style>
  <w:style w:type="character" w:customStyle="1" w:styleId="FooterChar">
    <w:name w:val="Footer Char"/>
    <w:basedOn w:val="DefaultParagraphFont"/>
    <w:link w:val="Footer"/>
    <w:rsid w:val="00D60BC4"/>
    <w:rPr>
      <w:sz w:val="24"/>
      <w:lang w:val="en-US" w:eastAsia="en-US"/>
    </w:rPr>
  </w:style>
  <w:style w:type="character" w:customStyle="1" w:styleId="katex-mathml">
    <w:name w:val="katex-mathml"/>
    <w:basedOn w:val="DefaultParagraphFont"/>
    <w:rsid w:val="001F0B5E"/>
  </w:style>
  <w:style w:type="character" w:customStyle="1" w:styleId="mord">
    <w:name w:val="mord"/>
    <w:basedOn w:val="DefaultParagraphFont"/>
    <w:rsid w:val="001F0B5E"/>
  </w:style>
  <w:style w:type="character" w:customStyle="1" w:styleId="mpunct">
    <w:name w:val="mpunct"/>
    <w:basedOn w:val="DefaultParagraphFont"/>
    <w:rsid w:val="001F0B5E"/>
  </w:style>
  <w:style w:type="character" w:customStyle="1" w:styleId="vlist-s">
    <w:name w:val="vlist-s"/>
    <w:basedOn w:val="DefaultParagraphFont"/>
    <w:rsid w:val="001F0B5E"/>
  </w:style>
  <w:style w:type="character" w:styleId="PlaceholderText">
    <w:name w:val="Placeholder Text"/>
    <w:basedOn w:val="DefaultParagraphFont"/>
    <w:uiPriority w:val="99"/>
    <w:semiHidden/>
    <w:rsid w:val="001F0B5E"/>
    <w:rPr>
      <w:color w:val="808080"/>
    </w:rPr>
  </w:style>
  <w:style w:type="table" w:customStyle="1" w:styleId="Tableausimple21">
    <w:name w:val="Tableau simple 21"/>
    <w:basedOn w:val="TableNormal"/>
    <w:next w:val="PlainTable2"/>
    <w:uiPriority w:val="42"/>
    <w:rsid w:val="00FB3509"/>
    <w:rPr>
      <w:rFonts w:ascii="Calibri" w:eastAsia="Calibri" w:hAnsi="Calibri" w:cs="Arial"/>
      <w:sz w:val="22"/>
      <w:szCs w:val="22"/>
      <w:lang w:val="fr-FR"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FB350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Body">
    <w:name w:val="References Body"/>
    <w:basedOn w:val="Normal"/>
    <w:rsid w:val="007779C3"/>
    <w:pPr>
      <w:numPr>
        <w:numId w:val="5"/>
      </w:numPr>
      <w:spacing w:line="360" w:lineRule="auto"/>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6968">
      <w:bodyDiv w:val="1"/>
      <w:marLeft w:val="0"/>
      <w:marRight w:val="0"/>
      <w:marTop w:val="0"/>
      <w:marBottom w:val="0"/>
      <w:divBdr>
        <w:top w:val="none" w:sz="0" w:space="0" w:color="auto"/>
        <w:left w:val="none" w:sz="0" w:space="0" w:color="auto"/>
        <w:bottom w:val="none" w:sz="0" w:space="0" w:color="auto"/>
        <w:right w:val="none" w:sz="0" w:space="0" w:color="auto"/>
      </w:divBdr>
    </w:div>
    <w:div w:id="60758572">
      <w:bodyDiv w:val="1"/>
      <w:marLeft w:val="0"/>
      <w:marRight w:val="0"/>
      <w:marTop w:val="0"/>
      <w:marBottom w:val="0"/>
      <w:divBdr>
        <w:top w:val="none" w:sz="0" w:space="0" w:color="auto"/>
        <w:left w:val="none" w:sz="0" w:space="0" w:color="auto"/>
        <w:bottom w:val="none" w:sz="0" w:space="0" w:color="auto"/>
        <w:right w:val="none" w:sz="0" w:space="0" w:color="auto"/>
      </w:divBdr>
    </w:div>
    <w:div w:id="623075933">
      <w:bodyDiv w:val="1"/>
      <w:marLeft w:val="0"/>
      <w:marRight w:val="0"/>
      <w:marTop w:val="0"/>
      <w:marBottom w:val="0"/>
      <w:divBdr>
        <w:top w:val="none" w:sz="0" w:space="0" w:color="auto"/>
        <w:left w:val="none" w:sz="0" w:space="0" w:color="auto"/>
        <w:bottom w:val="none" w:sz="0" w:space="0" w:color="auto"/>
        <w:right w:val="none" w:sz="0" w:space="0" w:color="auto"/>
      </w:divBdr>
    </w:div>
    <w:div w:id="646133442">
      <w:bodyDiv w:val="1"/>
      <w:marLeft w:val="0"/>
      <w:marRight w:val="0"/>
      <w:marTop w:val="0"/>
      <w:marBottom w:val="0"/>
      <w:divBdr>
        <w:top w:val="none" w:sz="0" w:space="0" w:color="auto"/>
        <w:left w:val="none" w:sz="0" w:space="0" w:color="auto"/>
        <w:bottom w:val="none" w:sz="0" w:space="0" w:color="auto"/>
        <w:right w:val="none" w:sz="0" w:space="0" w:color="auto"/>
      </w:divBdr>
    </w:div>
    <w:div w:id="780612249">
      <w:bodyDiv w:val="1"/>
      <w:marLeft w:val="0"/>
      <w:marRight w:val="0"/>
      <w:marTop w:val="0"/>
      <w:marBottom w:val="0"/>
      <w:divBdr>
        <w:top w:val="none" w:sz="0" w:space="0" w:color="auto"/>
        <w:left w:val="none" w:sz="0" w:space="0" w:color="auto"/>
        <w:bottom w:val="none" w:sz="0" w:space="0" w:color="auto"/>
        <w:right w:val="none" w:sz="0" w:space="0" w:color="auto"/>
      </w:divBdr>
    </w:div>
    <w:div w:id="935597732">
      <w:bodyDiv w:val="1"/>
      <w:marLeft w:val="0"/>
      <w:marRight w:val="0"/>
      <w:marTop w:val="0"/>
      <w:marBottom w:val="0"/>
      <w:divBdr>
        <w:top w:val="none" w:sz="0" w:space="0" w:color="auto"/>
        <w:left w:val="none" w:sz="0" w:space="0" w:color="auto"/>
        <w:bottom w:val="none" w:sz="0" w:space="0" w:color="auto"/>
        <w:right w:val="none" w:sz="0" w:space="0" w:color="auto"/>
      </w:divBdr>
    </w:div>
    <w:div w:id="964505075">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427572823">
      <w:bodyDiv w:val="1"/>
      <w:marLeft w:val="0"/>
      <w:marRight w:val="0"/>
      <w:marTop w:val="0"/>
      <w:marBottom w:val="0"/>
      <w:divBdr>
        <w:top w:val="none" w:sz="0" w:space="0" w:color="auto"/>
        <w:left w:val="none" w:sz="0" w:space="0" w:color="auto"/>
        <w:bottom w:val="none" w:sz="0" w:space="0" w:color="auto"/>
        <w:right w:val="none" w:sz="0" w:space="0" w:color="auto"/>
      </w:divBdr>
    </w:div>
    <w:div w:id="1451313827">
      <w:bodyDiv w:val="1"/>
      <w:marLeft w:val="0"/>
      <w:marRight w:val="0"/>
      <w:marTop w:val="0"/>
      <w:marBottom w:val="0"/>
      <w:divBdr>
        <w:top w:val="none" w:sz="0" w:space="0" w:color="auto"/>
        <w:left w:val="none" w:sz="0" w:space="0" w:color="auto"/>
        <w:bottom w:val="none" w:sz="0" w:space="0" w:color="auto"/>
        <w:right w:val="none" w:sz="0" w:space="0" w:color="auto"/>
      </w:divBdr>
    </w:div>
    <w:div w:id="1475676183">
      <w:bodyDiv w:val="1"/>
      <w:marLeft w:val="0"/>
      <w:marRight w:val="0"/>
      <w:marTop w:val="0"/>
      <w:marBottom w:val="0"/>
      <w:divBdr>
        <w:top w:val="none" w:sz="0" w:space="0" w:color="auto"/>
        <w:left w:val="none" w:sz="0" w:space="0" w:color="auto"/>
        <w:bottom w:val="none" w:sz="0" w:space="0" w:color="auto"/>
        <w:right w:val="none" w:sz="0" w:space="0" w:color="auto"/>
      </w:divBdr>
    </w:div>
    <w:div w:id="1490368415">
      <w:bodyDiv w:val="1"/>
      <w:marLeft w:val="0"/>
      <w:marRight w:val="0"/>
      <w:marTop w:val="0"/>
      <w:marBottom w:val="0"/>
      <w:divBdr>
        <w:top w:val="none" w:sz="0" w:space="0" w:color="auto"/>
        <w:left w:val="none" w:sz="0" w:space="0" w:color="auto"/>
        <w:bottom w:val="none" w:sz="0" w:space="0" w:color="auto"/>
        <w:right w:val="none" w:sz="0" w:space="0" w:color="auto"/>
      </w:divBdr>
    </w:div>
    <w:div w:id="1495533105">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72123042">
      <w:bodyDiv w:val="1"/>
      <w:marLeft w:val="0"/>
      <w:marRight w:val="0"/>
      <w:marTop w:val="0"/>
      <w:marBottom w:val="0"/>
      <w:divBdr>
        <w:top w:val="none" w:sz="0" w:space="0" w:color="auto"/>
        <w:left w:val="none" w:sz="0" w:space="0" w:color="auto"/>
        <w:bottom w:val="none" w:sz="0" w:space="0" w:color="auto"/>
        <w:right w:val="none" w:sz="0" w:space="0" w:color="auto"/>
      </w:divBdr>
    </w:div>
    <w:div w:id="1844010878">
      <w:bodyDiv w:val="1"/>
      <w:marLeft w:val="0"/>
      <w:marRight w:val="0"/>
      <w:marTop w:val="0"/>
      <w:marBottom w:val="0"/>
      <w:divBdr>
        <w:top w:val="none" w:sz="0" w:space="0" w:color="auto"/>
        <w:left w:val="none" w:sz="0" w:space="0" w:color="auto"/>
        <w:bottom w:val="none" w:sz="0" w:space="0" w:color="auto"/>
        <w:right w:val="none" w:sz="0" w:space="0" w:color="auto"/>
      </w:divBdr>
    </w:div>
    <w:div w:id="1944413364">
      <w:bodyDiv w:val="1"/>
      <w:marLeft w:val="0"/>
      <w:marRight w:val="0"/>
      <w:marTop w:val="0"/>
      <w:marBottom w:val="0"/>
      <w:divBdr>
        <w:top w:val="none" w:sz="0" w:space="0" w:color="auto"/>
        <w:left w:val="none" w:sz="0" w:space="0" w:color="auto"/>
        <w:bottom w:val="none" w:sz="0" w:space="0" w:color="auto"/>
        <w:right w:val="none" w:sz="0" w:space="0" w:color="auto"/>
      </w:divBdr>
    </w:div>
    <w:div w:id="21279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B0FDB2-B8B8-476E-8B04-1D20BB536018}">
  <ds:schemaRefs>
    <ds:schemaRef ds:uri="http://schemas.openxmlformats.org/officeDocument/2006/bibliography"/>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7203</TotalTime>
  <Pages>10</Pages>
  <Words>4476</Words>
  <Characters>27119</Characters>
  <Application>Microsoft Office Word</Application>
  <DocSecurity>0</DocSecurity>
  <Lines>225</Lines>
  <Paragraphs>63</Paragraphs>
  <ScaleCrop>false</ScaleCrop>
  <HeadingPairs>
    <vt:vector size="2" baseType="variant">
      <vt:variant>
        <vt:lpstr>Titre</vt:lpstr>
      </vt:variant>
      <vt:variant>
        <vt:i4>1</vt:i4>
      </vt:variant>
    </vt:vector>
  </HeadingPairs>
  <TitlesOfParts>
    <vt:vector size="1" baseType="lpstr">
      <vt:lpstr>Title Goes Here</vt:lpstr>
    </vt:vector>
  </TitlesOfParts>
  <Company>PPI</Company>
  <LinksUpToDate>false</LinksUpToDate>
  <CharactersWithSpaces>31532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Alae Azouzoute</cp:lastModifiedBy>
  <cp:revision>348</cp:revision>
  <cp:lastPrinted>2025-10-29T19:40:00Z</cp:lastPrinted>
  <dcterms:created xsi:type="dcterms:W3CDTF">2025-05-26T17:15:00Z</dcterms:created>
  <dcterms:modified xsi:type="dcterms:W3CDTF">2026-01-15T11:31:00Z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