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F9E3B" w14:textId="77777777" w:rsidR="00B507DB" w:rsidRDefault="00B507DB" w:rsidP="0058746A">
      <w:pPr>
        <w:pStyle w:val="AuthorName"/>
        <w:rPr>
          <w:lang w:val="en-CA"/>
        </w:rPr>
      </w:pPr>
      <w:bookmarkStart w:id="0" w:name="_Hlk198209049"/>
      <w:r w:rsidRPr="00B507DB">
        <w:rPr>
          <w:b/>
          <w:bCs/>
          <w:sz w:val="36"/>
          <w:szCs w:val="36"/>
          <w:lang w:val="en-CA"/>
        </w:rPr>
        <w:t>Smart–Green Convergence as a Condition for Integral Sustainability</w:t>
      </w:r>
    </w:p>
    <w:p w14:paraId="28F97BF4" w14:textId="2D6A74A9" w:rsidR="00837C97" w:rsidRPr="00F306A7" w:rsidRDefault="0058746A" w:rsidP="0058746A">
      <w:pPr>
        <w:pStyle w:val="AuthorName"/>
        <w:rPr>
          <w:lang w:val="en-CA"/>
        </w:rPr>
      </w:pPr>
      <w:r w:rsidRPr="00B507DB">
        <w:rPr>
          <w:lang w:val="en-CA"/>
        </w:rPr>
        <w:t xml:space="preserve"> </w:t>
      </w:r>
      <w:r w:rsidRPr="00F306A7">
        <w:rPr>
          <w:lang w:val="en-CA"/>
        </w:rPr>
        <w:t xml:space="preserve">Loubna </w:t>
      </w:r>
      <w:r w:rsidR="00837C97" w:rsidRPr="00F306A7">
        <w:rPr>
          <w:lang w:val="en-CA"/>
        </w:rPr>
        <w:t>AZIZ</w:t>
      </w:r>
      <w:r w:rsidR="009A52E9">
        <w:rPr>
          <w:lang w:val="en-CA"/>
        </w:rPr>
        <w:t>I</w:t>
      </w:r>
      <w:r w:rsidR="00613584" w:rsidRPr="00F306A7">
        <w:rPr>
          <w:sz w:val="24"/>
          <w:vertAlign w:val="superscript"/>
          <w:lang w:val="en-CA"/>
        </w:rPr>
        <w:t xml:space="preserve"> </w:t>
      </w:r>
      <w:r w:rsidR="00613584" w:rsidRPr="00F306A7">
        <w:rPr>
          <w:u w:val="single"/>
          <w:vertAlign w:val="superscript"/>
          <w:lang w:val="en-CA"/>
        </w:rPr>
        <w:t>1*</w:t>
      </w:r>
      <w:r w:rsidR="00837C97" w:rsidRPr="00F306A7">
        <w:rPr>
          <w:lang w:val="en-CA"/>
        </w:rPr>
        <w:t>, Noureddine Kouddane</w:t>
      </w:r>
      <w:bookmarkEnd w:id="0"/>
      <w:r w:rsidR="00613584" w:rsidRPr="00F306A7">
        <w:rPr>
          <w:u w:val="single"/>
          <w:vertAlign w:val="superscript"/>
          <w:lang w:val="en-CA"/>
        </w:rPr>
        <w:t>1</w:t>
      </w:r>
    </w:p>
    <w:p w14:paraId="061502A1" w14:textId="0999BAC9" w:rsidR="00837C97" w:rsidRDefault="00613584" w:rsidP="0058746A">
      <w:pPr>
        <w:pStyle w:val="AuthorAffiliation"/>
      </w:pPr>
      <w:bookmarkStart w:id="1" w:name="_Hlk198209090"/>
      <w:r w:rsidRPr="00613584">
        <w:rPr>
          <w:u w:val="single"/>
          <w:vertAlign w:val="superscript"/>
        </w:rPr>
        <w:t>1</w:t>
      </w:r>
      <w:r w:rsidR="00837C97">
        <w:t>Laboratory of Agricultural Production Improvement, Biotechnology, and Environment, Faculty of Science Mohammed First University, Oujda, Morroco,</w:t>
      </w:r>
    </w:p>
    <w:p w14:paraId="6F129CCC" w14:textId="072B912E" w:rsidR="00837C97" w:rsidRDefault="00613584" w:rsidP="0058746A">
      <w:pPr>
        <w:pStyle w:val="AuthorEmail"/>
      </w:pPr>
      <w:r w:rsidRPr="00613584">
        <w:rPr>
          <w:u w:val="single"/>
          <w:vertAlign w:val="superscript"/>
        </w:rPr>
        <w:t>*</w:t>
      </w:r>
      <w:r w:rsidRPr="00613584">
        <w:rPr>
          <w:u w:val="single"/>
        </w:rPr>
        <w:t>Corresponding author</w:t>
      </w:r>
      <w:r>
        <w:t>:</w:t>
      </w:r>
      <w:r w:rsidR="00837C97">
        <w:t>l.azizi@ump.ac.ma.</w:t>
      </w:r>
    </w:p>
    <w:p w14:paraId="46F44529" w14:textId="426FF321" w:rsidR="00837C97" w:rsidRPr="00D25780" w:rsidRDefault="00613584" w:rsidP="0058746A">
      <w:pPr>
        <w:pStyle w:val="AuthorEmail"/>
        <w:rPr>
          <w:lang w:val="en-CA"/>
        </w:rPr>
      </w:pPr>
      <w:hyperlink r:id="rId11" w:history="1">
        <w:r w:rsidRPr="00D25780">
          <w:rPr>
            <w:rStyle w:val="Hyperlink"/>
            <w:i/>
            <w:iCs/>
            <w:lang w:val="en-CA"/>
          </w:rPr>
          <w:t>kouddanen@yahoo.fr</w:t>
        </w:r>
      </w:hyperlink>
      <w:r w:rsidR="00837C97" w:rsidRPr="00D25780">
        <w:rPr>
          <w:lang w:val="en-CA"/>
        </w:rPr>
        <w:t>.</w:t>
      </w:r>
      <w:bookmarkEnd w:id="1"/>
    </w:p>
    <w:p w14:paraId="45E74705" w14:textId="77777777" w:rsidR="00990CEC" w:rsidRPr="00D25780" w:rsidRDefault="00990CEC" w:rsidP="00990CEC">
      <w:pPr>
        <w:spacing w:line="360" w:lineRule="auto"/>
        <w:jc w:val="both"/>
        <w:rPr>
          <w:lang w:val="en-CA"/>
        </w:rPr>
      </w:pPr>
    </w:p>
    <w:p w14:paraId="240E0193" w14:textId="77FAEE4F" w:rsidR="00837C97" w:rsidRPr="00D25780" w:rsidRDefault="00F21121" w:rsidP="00837C97">
      <w:pPr>
        <w:spacing w:before="100" w:after="100"/>
        <w:outlineLvl w:val="2"/>
        <w:rPr>
          <w:b/>
          <w:bCs/>
          <w:sz w:val="18"/>
          <w:szCs w:val="18"/>
          <w:lang w:val="en-CA" w:eastAsia="en-CA"/>
        </w:rPr>
      </w:pPr>
      <w:r w:rsidRPr="00D25780">
        <w:rPr>
          <w:b/>
          <w:bCs/>
          <w:sz w:val="18"/>
          <w:szCs w:val="18"/>
          <w:lang w:val="en-CA" w:eastAsia="en-CA"/>
        </w:rPr>
        <w:t>Abstract</w:t>
      </w:r>
    </w:p>
    <w:p w14:paraId="296F8276" w14:textId="37229F67" w:rsidR="0058283C" w:rsidRPr="0058283C" w:rsidRDefault="0058283C" w:rsidP="0058283C">
      <w:pPr>
        <w:pStyle w:val="NormalWeb"/>
        <w:jc w:val="both"/>
        <w:rPr>
          <w:b/>
          <w:bCs/>
          <w:sz w:val="20"/>
          <w:szCs w:val="20"/>
          <w:lang w:val="en-CA" w:eastAsia="en-CA"/>
        </w:rPr>
      </w:pPr>
      <w:bookmarkStart w:id="2" w:name="_Hlk198209312"/>
      <w:r w:rsidRPr="0058283C">
        <w:rPr>
          <w:sz w:val="20"/>
          <w:szCs w:val="20"/>
        </w:rPr>
        <w:t>Global urban growth, combined with escalating climate crises and rapid digital transformation, is driving a profound reconfiguration of urban development models. The paradigms of the green city and the smart city</w:t>
      </w:r>
      <w:r w:rsidR="00CD5957">
        <w:rPr>
          <w:sz w:val="20"/>
          <w:szCs w:val="20"/>
        </w:rPr>
        <w:t xml:space="preserve">, </w:t>
      </w:r>
      <w:r w:rsidRPr="0058283C">
        <w:rPr>
          <w:sz w:val="20"/>
          <w:szCs w:val="20"/>
        </w:rPr>
        <w:t>long mobilized as separate frameworks</w:t>
      </w:r>
      <w:r>
        <w:rPr>
          <w:sz w:val="20"/>
          <w:szCs w:val="20"/>
        </w:rPr>
        <w:t xml:space="preserve"> </w:t>
      </w:r>
      <w:r w:rsidRPr="0058283C">
        <w:rPr>
          <w:sz w:val="20"/>
          <w:szCs w:val="20"/>
        </w:rPr>
        <w:t xml:space="preserve">now reveal their limitations when confronted with the complexity of contemporary urban challenges. This article therefore addresses the following research question: </w:t>
      </w:r>
      <w:r w:rsidRPr="0058283C">
        <w:rPr>
          <w:rStyle w:val="Strong"/>
          <w:b w:val="0"/>
          <w:bCs w:val="0"/>
          <w:sz w:val="20"/>
          <w:szCs w:val="20"/>
        </w:rPr>
        <w:t>how can ecological, digital, and institutional dimensions be integrated to construct sustainable urban trajectories?</w:t>
      </w:r>
    </w:p>
    <w:p w14:paraId="35ECA4BC" w14:textId="106F9424" w:rsidR="0058283C" w:rsidRPr="0058283C" w:rsidRDefault="0058283C" w:rsidP="0058283C">
      <w:pPr>
        <w:pStyle w:val="NormalWeb"/>
        <w:jc w:val="both"/>
        <w:rPr>
          <w:sz w:val="20"/>
          <w:szCs w:val="20"/>
        </w:rPr>
      </w:pPr>
      <w:r w:rsidRPr="0058283C">
        <w:rPr>
          <w:sz w:val="20"/>
          <w:szCs w:val="20"/>
        </w:rPr>
        <w:t>The study adopts a qualitative and comparative approach applied to four cities</w:t>
      </w:r>
      <w:r w:rsidR="00CD5957">
        <w:rPr>
          <w:sz w:val="20"/>
          <w:szCs w:val="20"/>
        </w:rPr>
        <w:t xml:space="preserve">, </w:t>
      </w:r>
      <w:r w:rsidRPr="0058283C">
        <w:rPr>
          <w:sz w:val="20"/>
          <w:szCs w:val="20"/>
        </w:rPr>
        <w:t>Copenhagen, Singapore, Benguérir, and Zenata</w:t>
      </w:r>
      <w:r w:rsidR="00CD5957">
        <w:rPr>
          <w:sz w:val="20"/>
          <w:szCs w:val="20"/>
        </w:rPr>
        <w:t xml:space="preserve"> </w:t>
      </w:r>
      <w:r w:rsidRPr="0058283C">
        <w:rPr>
          <w:sz w:val="20"/>
          <w:szCs w:val="20"/>
        </w:rPr>
        <w:t xml:space="preserve">examined through an integrated normative framework combining ESG standards and the ISO 37120/37122/37123 series. The objective is to investigate the convergence between environmental sustainability and digital innovation within the emerging model of the </w:t>
      </w:r>
      <w:r w:rsidRPr="009E09C2">
        <w:rPr>
          <w:rStyle w:val="Strong"/>
          <w:b w:val="0"/>
          <w:bCs w:val="0"/>
          <w:sz w:val="20"/>
          <w:szCs w:val="20"/>
        </w:rPr>
        <w:t>Smart Green City</w:t>
      </w:r>
      <w:r w:rsidRPr="0058283C">
        <w:rPr>
          <w:sz w:val="20"/>
          <w:szCs w:val="20"/>
        </w:rPr>
        <w:t>.</w:t>
      </w:r>
    </w:p>
    <w:p w14:paraId="52789F28" w14:textId="2392E9D1" w:rsidR="0058283C" w:rsidRPr="0058283C" w:rsidRDefault="0058283C" w:rsidP="00A66F40">
      <w:pPr>
        <w:pStyle w:val="NormalWeb"/>
        <w:rPr>
          <w:sz w:val="20"/>
          <w:szCs w:val="20"/>
        </w:rPr>
      </w:pPr>
      <w:r w:rsidRPr="0058283C">
        <w:rPr>
          <w:sz w:val="20"/>
          <w:szCs w:val="20"/>
        </w:rPr>
        <w:t>The findings reveal contrasted trajectories:</w:t>
      </w:r>
      <w:r w:rsidRPr="0058283C">
        <w:rPr>
          <w:sz w:val="20"/>
          <w:szCs w:val="20"/>
        </w:rPr>
        <w:br/>
        <w:t>•</w:t>
      </w:r>
      <w:r w:rsidRPr="0058283C">
        <w:rPr>
          <w:rStyle w:val="Strong"/>
          <w:sz w:val="20"/>
          <w:szCs w:val="20"/>
        </w:rPr>
        <w:t>Northern cities</w:t>
      </w:r>
      <w:r w:rsidRPr="0058283C">
        <w:rPr>
          <w:sz w:val="20"/>
          <w:szCs w:val="20"/>
        </w:rPr>
        <w:t xml:space="preserve"> tend to green already mature digital systems;</w:t>
      </w:r>
      <w:r w:rsidRPr="0058283C">
        <w:rPr>
          <w:sz w:val="20"/>
          <w:szCs w:val="20"/>
        </w:rPr>
        <w:br/>
        <w:t xml:space="preserve">• </w:t>
      </w:r>
      <w:r w:rsidRPr="0058283C">
        <w:rPr>
          <w:rStyle w:val="Strong"/>
          <w:sz w:val="20"/>
          <w:szCs w:val="20"/>
        </w:rPr>
        <w:t>Southern cities</w:t>
      </w:r>
      <w:r w:rsidRPr="0058283C">
        <w:rPr>
          <w:sz w:val="20"/>
          <w:szCs w:val="20"/>
        </w:rPr>
        <w:t xml:space="preserve"> progressively digitalize pre-existing sustainability practices.</w:t>
      </w:r>
    </w:p>
    <w:p w14:paraId="231F8D4A" w14:textId="7D27EE43" w:rsidR="0058283C" w:rsidRPr="00CD5957" w:rsidRDefault="0058283C" w:rsidP="00CD5957">
      <w:pPr>
        <w:pStyle w:val="NormalWeb"/>
        <w:jc w:val="both"/>
        <w:rPr>
          <w:sz w:val="20"/>
          <w:szCs w:val="20"/>
        </w:rPr>
      </w:pPr>
      <w:r w:rsidRPr="0058283C">
        <w:rPr>
          <w:sz w:val="20"/>
          <w:szCs w:val="20"/>
        </w:rPr>
        <w:t>These dynamics highlight the importance of contextualized and adaptive approaches to strengthen urban resilience. Finally, the article points to several avenues for future research, including the use of longitudinal analyses, the development of quantitative indicators, and the integration of advanced technologies such as digital twins.</w:t>
      </w:r>
    </w:p>
    <w:p w14:paraId="05C48627" w14:textId="27A94096" w:rsidR="00837C97" w:rsidRPr="00CD5957" w:rsidRDefault="00837C97" w:rsidP="009358CE">
      <w:pPr>
        <w:pStyle w:val="Heading1"/>
        <w:rPr>
          <w:szCs w:val="24"/>
          <w:lang w:val="en-CA"/>
        </w:rPr>
      </w:pPr>
      <w:r w:rsidRPr="00CD5957">
        <w:rPr>
          <w:szCs w:val="24"/>
          <w:lang w:val="en-CA"/>
        </w:rPr>
        <w:t>INTRODUCTION</w:t>
      </w:r>
    </w:p>
    <w:bookmarkEnd w:id="2"/>
    <w:p w14:paraId="1C9DCDE3" w14:textId="77777777" w:rsidR="00CD5957" w:rsidRPr="00CD5957" w:rsidRDefault="00CD5957" w:rsidP="00CD5957">
      <w:pPr>
        <w:pStyle w:val="NormalWeb"/>
        <w:jc w:val="both"/>
        <w:rPr>
          <w:sz w:val="20"/>
          <w:szCs w:val="20"/>
          <w:lang w:val="en-CA" w:eastAsia="en-CA"/>
        </w:rPr>
      </w:pPr>
      <w:r w:rsidRPr="00CD5957">
        <w:rPr>
          <w:sz w:val="20"/>
          <w:szCs w:val="20"/>
        </w:rPr>
        <w:t>Global urban growth, combined with the intensification of climate crises and accelerating digital transformation, is driving a profound reconfiguration of urban development models. By 2050, nearly two-thirds of the world’s population will be living in urban areas, thereby increasing pressure on infrastructure, natural resources, and governance systems [38].</w:t>
      </w:r>
    </w:p>
    <w:p w14:paraId="6CF02FF7" w14:textId="77777777" w:rsidR="00CD5957" w:rsidRPr="00CD5957" w:rsidRDefault="00CD5957" w:rsidP="00CD5957">
      <w:pPr>
        <w:pStyle w:val="NormalWeb"/>
        <w:jc w:val="both"/>
        <w:rPr>
          <w:sz w:val="20"/>
          <w:szCs w:val="20"/>
        </w:rPr>
      </w:pPr>
      <w:r w:rsidRPr="00CD5957">
        <w:rPr>
          <w:sz w:val="20"/>
          <w:szCs w:val="20"/>
        </w:rPr>
        <w:t xml:space="preserve">Within this context, two paradigms have largely shaped contemporary urban scholarship: the </w:t>
      </w:r>
      <w:r w:rsidRPr="00CD5957">
        <w:rPr>
          <w:rStyle w:val="Strong"/>
          <w:b w:val="0"/>
          <w:bCs w:val="0"/>
          <w:sz w:val="20"/>
          <w:szCs w:val="20"/>
        </w:rPr>
        <w:t>green city</w:t>
      </w:r>
      <w:r w:rsidRPr="00CD5957">
        <w:rPr>
          <w:b/>
          <w:bCs/>
          <w:sz w:val="20"/>
          <w:szCs w:val="20"/>
        </w:rPr>
        <w:t>,</w:t>
      </w:r>
      <w:r w:rsidRPr="00CD5957">
        <w:rPr>
          <w:sz w:val="20"/>
          <w:szCs w:val="20"/>
        </w:rPr>
        <w:t xml:space="preserve"> grounded in ecological sobriety, territorial resilience, and environmental justice [7,8,28]; and the </w:t>
      </w:r>
      <w:r w:rsidRPr="00CD5957">
        <w:rPr>
          <w:rStyle w:val="Strong"/>
          <w:b w:val="0"/>
          <w:bCs w:val="0"/>
          <w:sz w:val="20"/>
          <w:szCs w:val="20"/>
        </w:rPr>
        <w:t>smart city</w:t>
      </w:r>
      <w:r w:rsidRPr="00CD5957">
        <w:rPr>
          <w:sz w:val="20"/>
          <w:szCs w:val="20"/>
        </w:rPr>
        <w:t>, built upon the use of digital technologies, urban data, and connected systems to optimize services and urban functions [12,13,31]. Although these paradigms have long evolved independently, their respective limitations in addressing the complexity of current urban challenges underscore the need for an integrated perspective.</w:t>
      </w:r>
    </w:p>
    <w:p w14:paraId="51C88698" w14:textId="244AF992" w:rsidR="00CD5957" w:rsidRPr="00CD5957" w:rsidRDefault="00CD5957" w:rsidP="00CD5957">
      <w:pPr>
        <w:pStyle w:val="NormalWeb"/>
        <w:jc w:val="both"/>
        <w:rPr>
          <w:sz w:val="20"/>
          <w:szCs w:val="20"/>
        </w:rPr>
      </w:pPr>
      <w:r w:rsidRPr="00CD5957">
        <w:rPr>
          <w:sz w:val="20"/>
          <w:szCs w:val="20"/>
        </w:rPr>
        <w:t xml:space="preserve">The convergence of these approaches has given rise to the emerging model of the </w:t>
      </w:r>
      <w:r w:rsidRPr="00CD5957">
        <w:rPr>
          <w:rStyle w:val="Strong"/>
          <w:b w:val="0"/>
          <w:bCs w:val="0"/>
          <w:sz w:val="20"/>
          <w:szCs w:val="20"/>
        </w:rPr>
        <w:t>Smart Green City</w:t>
      </w:r>
      <w:r w:rsidRPr="00CD5957">
        <w:rPr>
          <w:sz w:val="20"/>
          <w:szCs w:val="20"/>
        </w:rPr>
        <w:t>, which articulates ecological and digital infrastructures, data-driven urban management, citizen participation, and multi-level governance. The objective of this article is to examine the modalities of this convergence through a comparative analysis of four urban configurations</w:t>
      </w:r>
      <w:r>
        <w:rPr>
          <w:sz w:val="20"/>
          <w:szCs w:val="20"/>
        </w:rPr>
        <w:t xml:space="preserve">, </w:t>
      </w:r>
      <w:r w:rsidRPr="00CD5957">
        <w:rPr>
          <w:sz w:val="20"/>
          <w:szCs w:val="20"/>
        </w:rPr>
        <w:t>Copenhagen, Singapore, Benguérir, and Zenata</w:t>
      </w:r>
      <w:r>
        <w:rPr>
          <w:sz w:val="20"/>
          <w:szCs w:val="20"/>
        </w:rPr>
        <w:t xml:space="preserve">, </w:t>
      </w:r>
      <w:r w:rsidRPr="00CD5957">
        <w:rPr>
          <w:sz w:val="20"/>
          <w:szCs w:val="20"/>
        </w:rPr>
        <w:t xml:space="preserve">and to assess the structuring </w:t>
      </w:r>
      <w:r w:rsidRPr="00CD5957">
        <w:rPr>
          <w:sz w:val="20"/>
          <w:szCs w:val="20"/>
        </w:rPr>
        <w:lastRenderedPageBreak/>
        <w:t>role of ESG frameworks and ISO 37120/37122/37123 standards.</w:t>
      </w:r>
      <w:r>
        <w:rPr>
          <w:sz w:val="20"/>
          <w:szCs w:val="20"/>
        </w:rPr>
        <w:t xml:space="preserve"> </w:t>
      </w:r>
      <w:r w:rsidRPr="00CD5957">
        <w:rPr>
          <w:sz w:val="20"/>
          <w:szCs w:val="20"/>
        </w:rPr>
        <w:t>In this perspective, the study pursues three objectives:</w:t>
      </w:r>
    </w:p>
    <w:p w14:paraId="14E0458B" w14:textId="77777777" w:rsidR="00CD5957" w:rsidRPr="00CD5957" w:rsidRDefault="00CD5957" w:rsidP="00CD5957">
      <w:pPr>
        <w:pStyle w:val="NormalWeb"/>
        <w:numPr>
          <w:ilvl w:val="0"/>
          <w:numId w:val="31"/>
        </w:numPr>
        <w:jc w:val="both"/>
        <w:rPr>
          <w:b/>
          <w:bCs/>
          <w:sz w:val="20"/>
          <w:szCs w:val="20"/>
        </w:rPr>
      </w:pPr>
      <w:r w:rsidRPr="00CD5957">
        <w:rPr>
          <w:rStyle w:val="Strong"/>
          <w:b w:val="0"/>
          <w:bCs w:val="0"/>
          <w:sz w:val="20"/>
          <w:szCs w:val="20"/>
        </w:rPr>
        <w:t>to analyse how smart technologies can support and enhance cities’ ecological ambitions</w:t>
      </w:r>
      <w:r w:rsidRPr="00CD5957">
        <w:rPr>
          <w:b/>
          <w:bCs/>
          <w:sz w:val="20"/>
          <w:szCs w:val="20"/>
        </w:rPr>
        <w:t>;</w:t>
      </w:r>
    </w:p>
    <w:p w14:paraId="7AD8B48B" w14:textId="77777777" w:rsidR="00CD5957" w:rsidRPr="00CD5957" w:rsidRDefault="00CD5957" w:rsidP="00CD5957">
      <w:pPr>
        <w:pStyle w:val="NormalWeb"/>
        <w:numPr>
          <w:ilvl w:val="0"/>
          <w:numId w:val="31"/>
        </w:numPr>
        <w:jc w:val="both"/>
        <w:rPr>
          <w:b/>
          <w:bCs/>
          <w:sz w:val="20"/>
          <w:szCs w:val="20"/>
        </w:rPr>
      </w:pPr>
      <w:r w:rsidRPr="00CD5957">
        <w:rPr>
          <w:rStyle w:val="Strong"/>
          <w:b w:val="0"/>
          <w:bCs w:val="0"/>
          <w:sz w:val="20"/>
          <w:szCs w:val="20"/>
        </w:rPr>
        <w:t>to examine the role of ESG frameworks and ISO standards in structuring sustainable urban trajectories</w:t>
      </w:r>
      <w:r w:rsidRPr="00CD5957">
        <w:rPr>
          <w:b/>
          <w:bCs/>
          <w:sz w:val="20"/>
          <w:szCs w:val="20"/>
        </w:rPr>
        <w:t>;</w:t>
      </w:r>
    </w:p>
    <w:p w14:paraId="66932A89" w14:textId="77777777" w:rsidR="00CD5957" w:rsidRPr="00CD5957" w:rsidRDefault="00CD5957" w:rsidP="00CD5957">
      <w:pPr>
        <w:pStyle w:val="NormalWeb"/>
        <w:numPr>
          <w:ilvl w:val="0"/>
          <w:numId w:val="31"/>
        </w:numPr>
        <w:jc w:val="both"/>
        <w:rPr>
          <w:sz w:val="20"/>
          <w:szCs w:val="20"/>
        </w:rPr>
      </w:pPr>
      <w:r w:rsidRPr="00CD5957">
        <w:rPr>
          <w:rStyle w:val="Strong"/>
          <w:b w:val="0"/>
          <w:bCs w:val="0"/>
          <w:sz w:val="20"/>
          <w:szCs w:val="20"/>
        </w:rPr>
        <w:t>to compare Smart–Green dynamics across four cities situated in contrasting geographical and institutional contexts</w:t>
      </w:r>
      <w:r w:rsidRPr="00CD5957">
        <w:rPr>
          <w:sz w:val="20"/>
          <w:szCs w:val="20"/>
        </w:rPr>
        <w:t>.</w:t>
      </w:r>
    </w:p>
    <w:p w14:paraId="56FBFAAC" w14:textId="78F8D1F0" w:rsidR="00176776" w:rsidRPr="00CD5957" w:rsidRDefault="00176776" w:rsidP="00917526">
      <w:pPr>
        <w:pStyle w:val="Paragraph"/>
        <w:contextualSpacing/>
        <w:jc w:val="center"/>
      </w:pPr>
      <w:r w:rsidRPr="00CD5957">
        <w:rPr>
          <w:b/>
          <w:caps/>
          <w:sz w:val="24"/>
          <w:lang w:eastAsia="en-CA"/>
        </w:rPr>
        <w:t>MATERIALS AND METHODS</w:t>
      </w:r>
    </w:p>
    <w:p w14:paraId="6180AC77" w14:textId="77777777" w:rsidR="00CD5957" w:rsidRPr="00CD5957" w:rsidRDefault="00CD5957" w:rsidP="00CD5957">
      <w:pPr>
        <w:pStyle w:val="NormalWeb"/>
        <w:contextualSpacing/>
        <w:jc w:val="both"/>
        <w:rPr>
          <w:sz w:val="20"/>
          <w:szCs w:val="20"/>
          <w:lang w:val="en-CA" w:eastAsia="en-CA"/>
        </w:rPr>
      </w:pPr>
      <w:r w:rsidRPr="00CD5957">
        <w:rPr>
          <w:sz w:val="20"/>
          <w:szCs w:val="20"/>
        </w:rPr>
        <w:t>This research adopts a qualitative, systemic, and comparative approach aimed at analysing how smart technologies can strengthen the ecological, social, and institutional objectives of cities undergoing transition. The methodology is structured around three main components.</w:t>
      </w:r>
    </w:p>
    <w:p w14:paraId="206530B1" w14:textId="77777777" w:rsidR="00CD5957" w:rsidRPr="00CD5957" w:rsidRDefault="00CD5957" w:rsidP="00CD5957">
      <w:pPr>
        <w:pStyle w:val="NormalWeb"/>
        <w:contextualSpacing/>
        <w:jc w:val="both"/>
        <w:rPr>
          <w:sz w:val="20"/>
          <w:szCs w:val="20"/>
        </w:rPr>
      </w:pPr>
      <w:r w:rsidRPr="00CD5957">
        <w:rPr>
          <w:rStyle w:val="Strong"/>
          <w:sz w:val="20"/>
          <w:szCs w:val="20"/>
        </w:rPr>
        <w:t>1. A systematic literature review (2000–2025).</w:t>
      </w:r>
      <w:r w:rsidRPr="00CD5957">
        <w:rPr>
          <w:sz w:val="20"/>
          <w:szCs w:val="20"/>
        </w:rPr>
        <w:br/>
        <w:t>The first step consisted of reviewing peer-reviewed scientific publications indexed in Scopus and Web of Science, institutional reports (UN, OECD, ISO, EBRD), and key reference works pertaining to green cities, smart cities, hybrid Smart–Green models, environmental governance, and urban digital infrastructures. This review enabled the identification of core concepts, existing analytical frameworks, and relevant methodological approaches to structure the study.</w:t>
      </w:r>
    </w:p>
    <w:p w14:paraId="6509B982" w14:textId="77777777" w:rsidR="00CD5957" w:rsidRPr="00CD5957" w:rsidRDefault="00CD5957" w:rsidP="00CD5957">
      <w:pPr>
        <w:pStyle w:val="NormalWeb"/>
        <w:contextualSpacing/>
        <w:jc w:val="both"/>
        <w:rPr>
          <w:sz w:val="20"/>
          <w:szCs w:val="20"/>
        </w:rPr>
      </w:pPr>
      <w:r w:rsidRPr="00CD5957">
        <w:rPr>
          <w:rStyle w:val="Strong"/>
          <w:sz w:val="20"/>
          <w:szCs w:val="20"/>
        </w:rPr>
        <w:t>2. A comparative analysis of four cities.</w:t>
      </w:r>
      <w:r w:rsidRPr="00CD5957">
        <w:rPr>
          <w:sz w:val="20"/>
          <w:szCs w:val="20"/>
        </w:rPr>
        <w:br/>
        <w:t>The selection of Copenhagen, Singapore, Benguérir, and Zenata is based on their geographical diversity (Europe, Asia, Africa), varying levels of technological and environmental maturity, and representativeness of different Smart–Green trajectories. The analysis focuses on their environmental strategies, digital infrastructures, governance models, and sustainable urban planning instruments.</w:t>
      </w:r>
    </w:p>
    <w:p w14:paraId="411EADCE" w14:textId="77777777" w:rsidR="00CD5957" w:rsidRPr="00CD5957" w:rsidRDefault="00CD5957" w:rsidP="00CD5957">
      <w:pPr>
        <w:pStyle w:val="NormalWeb"/>
        <w:contextualSpacing/>
        <w:jc w:val="both"/>
        <w:rPr>
          <w:sz w:val="20"/>
          <w:szCs w:val="20"/>
        </w:rPr>
      </w:pPr>
      <w:r w:rsidRPr="00CD5957">
        <w:rPr>
          <w:rStyle w:val="Strong"/>
          <w:sz w:val="20"/>
          <w:szCs w:val="20"/>
        </w:rPr>
        <w:t>3. The use of an integrated ESG–ISO analytical framework.</w:t>
      </w:r>
      <w:r w:rsidRPr="00CD5957">
        <w:rPr>
          <w:sz w:val="20"/>
          <w:szCs w:val="20"/>
        </w:rPr>
        <w:br/>
        <w:t>The study mobilises two major international instruments:</w:t>
      </w:r>
      <w:r w:rsidRPr="00CD5957">
        <w:rPr>
          <w:sz w:val="20"/>
          <w:szCs w:val="20"/>
        </w:rPr>
        <w:br/>
        <w:t xml:space="preserve">• </w:t>
      </w:r>
      <w:r w:rsidRPr="00CD5957">
        <w:rPr>
          <w:rStyle w:val="Strong"/>
          <w:sz w:val="20"/>
          <w:szCs w:val="20"/>
        </w:rPr>
        <w:t>ESG frameworks</w:t>
      </w:r>
      <w:r w:rsidRPr="00CD5957">
        <w:rPr>
          <w:sz w:val="20"/>
          <w:szCs w:val="20"/>
        </w:rPr>
        <w:t>, providing a strategic evaluation of environmental, social, and institutional performance;</w:t>
      </w:r>
      <w:r w:rsidRPr="00CD5957">
        <w:rPr>
          <w:sz w:val="20"/>
          <w:szCs w:val="20"/>
        </w:rPr>
        <w:br/>
        <w:t xml:space="preserve">• </w:t>
      </w:r>
      <w:r w:rsidRPr="00CD5957">
        <w:rPr>
          <w:rStyle w:val="Strong"/>
          <w:sz w:val="20"/>
          <w:szCs w:val="20"/>
        </w:rPr>
        <w:t>ISO 37120, ISO 37122, and ISO 37123 standards</w:t>
      </w:r>
      <w:r w:rsidRPr="00CD5957">
        <w:rPr>
          <w:sz w:val="20"/>
          <w:szCs w:val="20"/>
        </w:rPr>
        <w:t>, offering standardized measurement of urban sustainability, digital maturity, and resilience.</w:t>
      </w:r>
    </w:p>
    <w:p w14:paraId="50FEA229" w14:textId="77777777" w:rsidR="00CD5957" w:rsidRPr="00CD5957" w:rsidRDefault="00CD5957" w:rsidP="00CD5957">
      <w:pPr>
        <w:pStyle w:val="NormalWeb"/>
        <w:contextualSpacing/>
        <w:jc w:val="both"/>
        <w:rPr>
          <w:sz w:val="20"/>
          <w:szCs w:val="20"/>
        </w:rPr>
      </w:pPr>
      <w:r w:rsidRPr="00CD5957">
        <w:rPr>
          <w:sz w:val="20"/>
          <w:szCs w:val="20"/>
        </w:rPr>
        <w:t>Drawing on these instruments, a comparative assessment grid was developed to evaluate the four cities across four dimensions: environmental, social, technological, and institutional. The data used come from official reports, ISO databases, public statistics, and academic literature. A systematic triangulation procedure was applied to ensure the robustness, consistency, and reliability of the findings.</w:t>
      </w:r>
    </w:p>
    <w:p w14:paraId="539FCF11" w14:textId="77777777" w:rsidR="00CD5957" w:rsidRPr="00CD5957" w:rsidRDefault="00CD5957" w:rsidP="00CD5957">
      <w:pPr>
        <w:pStyle w:val="NormalWeb"/>
        <w:contextualSpacing/>
        <w:jc w:val="both"/>
        <w:rPr>
          <w:sz w:val="20"/>
          <w:szCs w:val="20"/>
        </w:rPr>
      </w:pPr>
      <w:r w:rsidRPr="00CD5957">
        <w:rPr>
          <w:sz w:val="20"/>
          <w:szCs w:val="20"/>
        </w:rPr>
        <w:t>Despite certain limitations associated with the heterogeneity of available data, this methodological combination offers a coherent and reliable framework for analysing the convergence between green cities and smart cities across diverse territorial contexts.</w:t>
      </w:r>
    </w:p>
    <w:p w14:paraId="66C862FE" w14:textId="77777777" w:rsidR="00CD5957" w:rsidRPr="00CD5957" w:rsidRDefault="00CD5957" w:rsidP="00D25780">
      <w:pPr>
        <w:pStyle w:val="NormalWeb"/>
        <w:jc w:val="center"/>
        <w:rPr>
          <w:sz w:val="20"/>
          <w:szCs w:val="20"/>
          <w:lang w:val="en-CA"/>
        </w:rPr>
      </w:pPr>
      <w:bookmarkStart w:id="3" w:name="_Hlk198720265"/>
      <w:r w:rsidRPr="00CD5957">
        <w:rPr>
          <w:b/>
          <w:caps/>
          <w:lang w:val="en-CA" w:eastAsia="en-US"/>
        </w:rPr>
        <w:t>Paradigms of the Green City and the Smart City</w:t>
      </w:r>
    </w:p>
    <w:p w14:paraId="39981C28" w14:textId="77777777" w:rsidR="00D25780" w:rsidRPr="00D25780" w:rsidRDefault="00D25780" w:rsidP="00D25780">
      <w:pPr>
        <w:pStyle w:val="NormalWeb"/>
        <w:contextualSpacing/>
        <w:jc w:val="both"/>
        <w:rPr>
          <w:sz w:val="20"/>
          <w:szCs w:val="20"/>
          <w:lang w:val="en-CA" w:eastAsia="en-CA"/>
        </w:rPr>
      </w:pPr>
      <w:r w:rsidRPr="00D25780">
        <w:rPr>
          <w:sz w:val="20"/>
          <w:szCs w:val="20"/>
        </w:rPr>
        <w:t>Contemporary urban scholarship identifies two structuring paradigms that shape cities’ transition trajectories: the Green City and the Smart City.</w:t>
      </w:r>
      <w:r w:rsidRPr="00D25780">
        <w:rPr>
          <w:sz w:val="20"/>
          <w:szCs w:val="20"/>
        </w:rPr>
        <w:br/>
        <w:t xml:space="preserve">The </w:t>
      </w:r>
      <w:r w:rsidRPr="00D25780">
        <w:rPr>
          <w:rStyle w:val="Strong"/>
          <w:b w:val="0"/>
          <w:bCs w:val="0"/>
          <w:sz w:val="20"/>
          <w:szCs w:val="20"/>
        </w:rPr>
        <w:t>Green City paradigm</w:t>
      </w:r>
      <w:r w:rsidRPr="00D25780">
        <w:rPr>
          <w:sz w:val="20"/>
          <w:szCs w:val="20"/>
        </w:rPr>
        <w:t xml:space="preserve"> is rooted in the traditions of urban ecology and sustainable planning. It is grounded in the principles of environmental frugality, territorial resilience, and spatial justice [7,8,28]. This approach prioritises strategies aimed at resource-efficient management, the restoration of urban ecosystems, and the enhancement of biodiversity within built environments [1]. It also mobilises instruments such as urban greening, soft mobility, and citizen participation, which are considered key levers of socio-ecological transition [8]. Finally, it draws on the notion of environmental justice, understood as an imperative to reduce ecological inequalities and ensure equitable access to urban amenities [1,4].</w:t>
      </w:r>
    </w:p>
    <w:p w14:paraId="1B7CEC3F" w14:textId="1E199DCD" w:rsidR="00D25780" w:rsidRPr="00D25780" w:rsidRDefault="00D25780" w:rsidP="00D25780">
      <w:pPr>
        <w:pStyle w:val="NormalWeb"/>
        <w:contextualSpacing/>
        <w:jc w:val="both"/>
        <w:rPr>
          <w:sz w:val="20"/>
          <w:szCs w:val="20"/>
        </w:rPr>
      </w:pPr>
      <w:r w:rsidRPr="00D25780">
        <w:rPr>
          <w:sz w:val="20"/>
          <w:szCs w:val="20"/>
        </w:rPr>
        <w:t xml:space="preserve">In contrast, the </w:t>
      </w:r>
      <w:r w:rsidRPr="00D25780">
        <w:rPr>
          <w:rStyle w:val="Strong"/>
          <w:b w:val="0"/>
          <w:bCs w:val="0"/>
          <w:sz w:val="20"/>
          <w:szCs w:val="20"/>
        </w:rPr>
        <w:t>Smart City paradigm</w:t>
      </w:r>
      <w:r w:rsidRPr="00D25780">
        <w:rPr>
          <w:sz w:val="20"/>
          <w:szCs w:val="20"/>
        </w:rPr>
        <w:t xml:space="preserve"> is anchored in a logic of technological efficiency and data-driven governance. It places digital technologies</w:t>
      </w:r>
      <w:r>
        <w:rPr>
          <w:sz w:val="20"/>
          <w:szCs w:val="20"/>
        </w:rPr>
        <w:t xml:space="preserve">, </w:t>
      </w:r>
      <w:r w:rsidRPr="00D25780">
        <w:rPr>
          <w:sz w:val="20"/>
          <w:szCs w:val="20"/>
        </w:rPr>
        <w:t>including ICTs, the Internet of Things, big data, and artificial intelligence</w:t>
      </w:r>
      <w:r>
        <w:rPr>
          <w:sz w:val="20"/>
          <w:szCs w:val="20"/>
        </w:rPr>
        <w:t xml:space="preserve">, </w:t>
      </w:r>
      <w:r w:rsidRPr="00D25780">
        <w:rPr>
          <w:sz w:val="20"/>
          <w:szCs w:val="20"/>
        </w:rPr>
        <w:t>at the centre of efforts to optimise mobility, energy consumption, waste management, and urban safety [12,3,31]. In this perspective, urban data are conceived as a strategic resource that enables real-time monitoring, the rationalisation of decision-making processes, and more responsive management of socio-spatial dynamics [5,14].</w:t>
      </w:r>
    </w:p>
    <w:p w14:paraId="227FEBD4" w14:textId="77777777" w:rsidR="00D25780" w:rsidRPr="00D25780" w:rsidRDefault="00D25780" w:rsidP="00D25780">
      <w:pPr>
        <w:pStyle w:val="NormalWeb"/>
        <w:contextualSpacing/>
        <w:jc w:val="both"/>
        <w:rPr>
          <w:sz w:val="20"/>
          <w:szCs w:val="20"/>
        </w:rPr>
      </w:pPr>
      <w:r w:rsidRPr="00D25780">
        <w:rPr>
          <w:sz w:val="20"/>
          <w:szCs w:val="20"/>
        </w:rPr>
        <w:t xml:space="preserve">For several decades, these two paradigms have evolved largely in parallel, supported by distinct theoretical frameworks, divergent epistemologies, and differentiated political agendas. The first emphasised reducing environmental impacts and promoting territorial equity, whereas the second relied on technological innovation and </w:t>
      </w:r>
      <w:r w:rsidRPr="00D25780">
        <w:rPr>
          <w:sz w:val="20"/>
          <w:szCs w:val="20"/>
        </w:rPr>
        <w:lastRenderedPageBreak/>
        <w:t>algorithmic optimisation of urban services. However, this separation reveals structural limitations: ecological approaches often lack real-time management tools, while technological approaches are exposed to risks of technocentrism, decision-making opacity, and the reproduction of social inequalities.</w:t>
      </w:r>
    </w:p>
    <w:p w14:paraId="2086EDAC" w14:textId="77777777" w:rsidR="00D25780" w:rsidRPr="00D25780" w:rsidRDefault="00D25780" w:rsidP="00D25780">
      <w:pPr>
        <w:pStyle w:val="NormalWeb"/>
        <w:contextualSpacing/>
        <w:jc w:val="both"/>
        <w:rPr>
          <w:sz w:val="20"/>
          <w:szCs w:val="20"/>
        </w:rPr>
      </w:pPr>
      <w:r w:rsidRPr="00D25780">
        <w:rPr>
          <w:sz w:val="20"/>
          <w:szCs w:val="20"/>
        </w:rPr>
        <w:t>This critical review of the two paradigms thus underscores the need for an integrative framework capable of transcending disciplinary boundaries and capturing the inherently socio-ecotechnical nature of contemporary urban transitions.</w:t>
      </w:r>
    </w:p>
    <w:p w14:paraId="514BFF4A" w14:textId="0F198FD9" w:rsidR="00807749" w:rsidRPr="00807749" w:rsidRDefault="00807749" w:rsidP="00807749">
      <w:pPr>
        <w:spacing w:before="100" w:beforeAutospacing="1" w:after="100" w:afterAutospacing="1"/>
        <w:jc w:val="center"/>
        <w:outlineLvl w:val="0"/>
        <w:rPr>
          <w:b/>
          <w:caps/>
          <w:szCs w:val="24"/>
          <w:lang w:val="fr-CA"/>
        </w:rPr>
      </w:pPr>
      <w:r w:rsidRPr="00807749">
        <w:rPr>
          <w:b/>
          <w:caps/>
          <w:szCs w:val="24"/>
          <w:lang w:val="fr-CA"/>
        </w:rPr>
        <w:t>Fondements Conceptuels de la Smart Green City et de l’Intelligence Écologique Territoriale</w:t>
      </w:r>
    </w:p>
    <w:p w14:paraId="33F11400" w14:textId="77777777" w:rsidR="00A7646A" w:rsidRPr="00A7646A" w:rsidRDefault="00A7646A" w:rsidP="00A7646A">
      <w:pPr>
        <w:pStyle w:val="NormalWeb"/>
        <w:jc w:val="both"/>
        <w:rPr>
          <w:sz w:val="20"/>
          <w:szCs w:val="20"/>
          <w:lang w:val="en-CA" w:eastAsia="en-CA"/>
        </w:rPr>
      </w:pPr>
      <w:r w:rsidRPr="00A7646A">
        <w:rPr>
          <w:sz w:val="20"/>
          <w:szCs w:val="20"/>
        </w:rPr>
        <w:t>Contemporary urban scholarship identifies two structuring paradigms that shape cities’ transition trajectories: the Green City and the Smart City.</w:t>
      </w:r>
    </w:p>
    <w:p w14:paraId="42992602" w14:textId="77777777" w:rsidR="00A7646A" w:rsidRPr="00A7646A" w:rsidRDefault="00A7646A" w:rsidP="00A7646A">
      <w:pPr>
        <w:pStyle w:val="NormalWeb"/>
        <w:jc w:val="both"/>
        <w:rPr>
          <w:sz w:val="20"/>
          <w:szCs w:val="20"/>
        </w:rPr>
      </w:pPr>
      <w:r w:rsidRPr="00A7646A">
        <w:rPr>
          <w:sz w:val="20"/>
          <w:szCs w:val="20"/>
        </w:rPr>
        <w:t xml:space="preserve">The </w:t>
      </w:r>
      <w:r w:rsidRPr="00A7646A">
        <w:rPr>
          <w:rStyle w:val="Strong"/>
          <w:b w:val="0"/>
          <w:bCs w:val="0"/>
          <w:sz w:val="20"/>
          <w:szCs w:val="20"/>
        </w:rPr>
        <w:t>Green City paradigm</w:t>
      </w:r>
      <w:r w:rsidRPr="00A7646A">
        <w:rPr>
          <w:sz w:val="20"/>
          <w:szCs w:val="20"/>
        </w:rPr>
        <w:t xml:space="preserve"> is rooted in the traditions of urban ecology and sustainable planning. It is grounded in the principles of environmental frugality, territorial resilience, and spatial justice [7,8,28]. This approach prioritises strategies aimed at efficient resource management, the restoration of urban ecosystems, and the enhancement of biodiversity within built environments [1]. It further mobilises instruments such as urban greening, soft mobility, and citizen participation, which are considered essential levers for socio-ecological transition [8]. Finally, it draws on the notion of environmental justice, conceived as a normative imperative to reduce ecological inequalities and ensure equitable access to urban amenities [1,4].</w:t>
      </w:r>
    </w:p>
    <w:p w14:paraId="0853E4AF" w14:textId="5ADFA72C" w:rsidR="00A7646A" w:rsidRPr="00A7646A" w:rsidRDefault="00A7646A" w:rsidP="00A7646A">
      <w:pPr>
        <w:pStyle w:val="NormalWeb"/>
        <w:jc w:val="both"/>
        <w:rPr>
          <w:sz w:val="20"/>
          <w:szCs w:val="20"/>
        </w:rPr>
      </w:pPr>
      <w:r w:rsidRPr="00A7646A">
        <w:rPr>
          <w:sz w:val="20"/>
          <w:szCs w:val="20"/>
        </w:rPr>
        <w:t xml:space="preserve">In contrast, the </w:t>
      </w:r>
      <w:r w:rsidRPr="00A7646A">
        <w:rPr>
          <w:rStyle w:val="Strong"/>
          <w:b w:val="0"/>
          <w:bCs w:val="0"/>
          <w:sz w:val="20"/>
          <w:szCs w:val="20"/>
        </w:rPr>
        <w:t>Smart City paradigm</w:t>
      </w:r>
      <w:r w:rsidRPr="00A7646A">
        <w:rPr>
          <w:sz w:val="20"/>
          <w:szCs w:val="20"/>
        </w:rPr>
        <w:t xml:space="preserve"> is grounded in a logic of technological efficiency and data-driven governance. It places digital technologies</w:t>
      </w:r>
      <w:r w:rsidR="00A66F40">
        <w:rPr>
          <w:sz w:val="20"/>
          <w:szCs w:val="20"/>
        </w:rPr>
        <w:t xml:space="preserve">, </w:t>
      </w:r>
      <w:r w:rsidRPr="00A7646A">
        <w:rPr>
          <w:sz w:val="20"/>
          <w:szCs w:val="20"/>
        </w:rPr>
        <w:t>ICT, the Internet of Things, big data, and artificial intelligence</w:t>
      </w:r>
      <w:r w:rsidR="00A66F40">
        <w:rPr>
          <w:sz w:val="20"/>
          <w:szCs w:val="20"/>
        </w:rPr>
        <w:t xml:space="preserve">, </w:t>
      </w:r>
      <w:r w:rsidRPr="00A7646A">
        <w:rPr>
          <w:sz w:val="20"/>
          <w:szCs w:val="20"/>
        </w:rPr>
        <w:t>at the core of efforts to optimise mobility, energy consumption, waste management, and urban safety [12,3,31]. Within this perspective, urban data are conceptualised as a strategic resource enabling real-time monitoring, the rationalisation of decision-making processes, and more adaptive management of socio-spatial dynamics [5,14].</w:t>
      </w:r>
    </w:p>
    <w:p w14:paraId="35F5D35C" w14:textId="03347DDB" w:rsidR="00271632" w:rsidRPr="00A95F70" w:rsidRDefault="00A7646A" w:rsidP="00A95F70">
      <w:pPr>
        <w:pStyle w:val="NormalWeb"/>
        <w:jc w:val="both"/>
        <w:rPr>
          <w:sz w:val="20"/>
          <w:szCs w:val="20"/>
        </w:rPr>
      </w:pPr>
      <w:r w:rsidRPr="00A7646A">
        <w:rPr>
          <w:sz w:val="20"/>
          <w:szCs w:val="20"/>
        </w:rPr>
        <w:t>For several decades, these two paradigms have evolved largely in parallel, supported by distinct theoretical frameworks, divergent epistemologies, and differentiated political agendas. The former focused on reducing environmental impacts and promoting territorial equity, while the latter relied on technological innovation and algorithmic optimisation of urban services. However, this separation reveals structural limitations: ecological approaches often lack real-time management tools, whereas technological approaches face risks related to technocentrism, decision-making opacity, and the reproduction of social inequalities.This critical review of the two paradigms underscores the need for an integrative framework capable of transcending disciplinary boundaries and capturing the inherently socio-ecotechnical nature of contemporary urban transitions.</w:t>
      </w:r>
    </w:p>
    <w:p w14:paraId="5CD13210" w14:textId="35E43952" w:rsidR="007A18A6" w:rsidRPr="00917526" w:rsidRDefault="00C37ADA" w:rsidP="007A18A6">
      <w:pPr>
        <w:spacing w:before="100" w:beforeAutospacing="1" w:after="100" w:afterAutospacing="1"/>
        <w:jc w:val="center"/>
        <w:rPr>
          <w:sz w:val="18"/>
          <w:szCs w:val="18"/>
          <w:lang w:val="en-CA" w:eastAsia="en-CA"/>
        </w:rPr>
      </w:pPr>
      <w:r w:rsidRPr="00917526">
        <w:rPr>
          <w:sz w:val="18"/>
          <w:szCs w:val="18"/>
          <w:lang w:val="en-CA" w:eastAsia="en-CA"/>
        </w:rPr>
        <w:t>Fig1 : Conceptual framework of Territorial Ecological Intelligence</w:t>
      </w:r>
    </w:p>
    <w:p w14:paraId="7397E4E3" w14:textId="155AD939" w:rsidR="007A18A6" w:rsidRPr="00807749" w:rsidRDefault="007A18A6" w:rsidP="00C37ADA">
      <w:pPr>
        <w:spacing w:before="100" w:beforeAutospacing="1" w:after="100" w:afterAutospacing="1"/>
        <w:jc w:val="center"/>
        <w:rPr>
          <w:sz w:val="20"/>
          <w:lang w:val="en-CA" w:eastAsia="en-CA"/>
        </w:rPr>
      </w:pPr>
      <w:r>
        <w:rPr>
          <w:noProof/>
          <w:sz w:val="20"/>
          <w:lang w:val="fr-CA" w:eastAsia="en-CA"/>
        </w:rPr>
        <w:drawing>
          <wp:inline distT="0" distB="0" distL="0" distR="0" wp14:anchorId="5A4E3F00" wp14:editId="456C3712">
            <wp:extent cx="2709488" cy="2120733"/>
            <wp:effectExtent l="0" t="0" r="0" b="0"/>
            <wp:docPr id="16665093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644"/>
                    <a:stretch>
                      <a:fillRect/>
                    </a:stretch>
                  </pic:blipFill>
                  <pic:spPr bwMode="auto">
                    <a:xfrm>
                      <a:off x="0" y="0"/>
                      <a:ext cx="2740687" cy="2145152"/>
                    </a:xfrm>
                    <a:prstGeom prst="rect">
                      <a:avLst/>
                    </a:prstGeom>
                    <a:noFill/>
                    <a:ln>
                      <a:noFill/>
                    </a:ln>
                    <a:extLst>
                      <a:ext uri="{53640926-AAD7-44D8-BBD7-CCE9431645EC}">
                        <a14:shadowObscured xmlns:a14="http://schemas.microsoft.com/office/drawing/2010/main"/>
                      </a:ext>
                    </a:extLst>
                  </pic:spPr>
                </pic:pic>
              </a:graphicData>
            </a:graphic>
          </wp:inline>
        </w:drawing>
      </w:r>
    </w:p>
    <w:p w14:paraId="211AD509" w14:textId="07351CCF" w:rsidR="00A95F70" w:rsidRPr="00A95F70" w:rsidRDefault="00A95F70" w:rsidP="00A95F70">
      <w:pPr>
        <w:spacing w:before="240"/>
        <w:jc w:val="both"/>
        <w:rPr>
          <w:b/>
          <w:caps/>
          <w:sz w:val="20"/>
          <w:lang w:val="en-CA"/>
        </w:rPr>
      </w:pPr>
      <w:r w:rsidRPr="00A95F70">
        <w:rPr>
          <w:sz w:val="20"/>
        </w:rPr>
        <w:lastRenderedPageBreak/>
        <w:t>The hybridisation of these three dimensions constitutes the theoretical foundation of contemporary Smart–Green approaches. It enables cities to transcend the limitations of traditional paradigms by fostering urban systems that are more resilient, more equitable, and more adaptable</w:t>
      </w:r>
      <w:r>
        <w:rPr>
          <w:sz w:val="20"/>
        </w:rPr>
        <w:t xml:space="preserve">, </w:t>
      </w:r>
      <w:r w:rsidRPr="00A95F70">
        <w:rPr>
          <w:sz w:val="20"/>
        </w:rPr>
        <w:t>capable of responding to climatic uncertainties while strengthening operational efficiency and territorial cohesion.</w:t>
      </w:r>
    </w:p>
    <w:p w14:paraId="77CE5011" w14:textId="77777777" w:rsidR="00A95F70" w:rsidRPr="00D25780" w:rsidRDefault="00A95F70" w:rsidP="00A95F70">
      <w:pPr>
        <w:pStyle w:val="NormalWeb"/>
        <w:jc w:val="center"/>
        <w:rPr>
          <w:sz w:val="20"/>
          <w:szCs w:val="20"/>
          <w:lang w:val="en-CA"/>
        </w:rPr>
      </w:pPr>
      <w:r w:rsidRPr="00D25780">
        <w:rPr>
          <w:b/>
          <w:caps/>
          <w:lang w:val="en-CA" w:eastAsia="en-US"/>
        </w:rPr>
        <w:t>Smart–Green Governance Instruments</w:t>
      </w:r>
    </w:p>
    <w:p w14:paraId="33F5CD11" w14:textId="77777777" w:rsidR="00A95F70" w:rsidRPr="00A95F70" w:rsidRDefault="00A95F70" w:rsidP="00A95F70">
      <w:pPr>
        <w:pStyle w:val="NormalWeb"/>
        <w:contextualSpacing/>
        <w:jc w:val="both"/>
        <w:rPr>
          <w:sz w:val="20"/>
          <w:szCs w:val="20"/>
          <w:lang w:val="en-CA" w:eastAsia="en-CA"/>
        </w:rPr>
      </w:pPr>
      <w:r w:rsidRPr="00A95F70">
        <w:rPr>
          <w:sz w:val="20"/>
          <w:szCs w:val="20"/>
        </w:rPr>
        <w:t>Smart–Green governance instruments constitute essential levers for structuring and steering urban transitions. They enable the articulation of strategic vision, standardised measurement, and operational implementation. Two major instruments currently frame these dynamics.</w:t>
      </w:r>
    </w:p>
    <w:p w14:paraId="77C8D4F9" w14:textId="77777777" w:rsidR="00A95F70" w:rsidRPr="00A95F70" w:rsidRDefault="00A95F70" w:rsidP="00A95F70">
      <w:pPr>
        <w:pStyle w:val="NormalWeb"/>
        <w:numPr>
          <w:ilvl w:val="0"/>
          <w:numId w:val="32"/>
        </w:numPr>
        <w:contextualSpacing/>
        <w:jc w:val="both"/>
        <w:rPr>
          <w:sz w:val="20"/>
          <w:szCs w:val="20"/>
        </w:rPr>
      </w:pPr>
      <w:r w:rsidRPr="00A95F70">
        <w:rPr>
          <w:rStyle w:val="Strong"/>
          <w:b w:val="0"/>
          <w:bCs w:val="0"/>
          <w:sz w:val="20"/>
          <w:szCs w:val="20"/>
        </w:rPr>
        <w:t>ESG frameworks</w:t>
      </w:r>
      <w:r w:rsidRPr="00A95F70">
        <w:rPr>
          <w:sz w:val="20"/>
          <w:szCs w:val="20"/>
        </w:rPr>
        <w:t xml:space="preserve"> provide an integrated evaluation of environmental, social, and institutional performance. They allow cities to align their strategies with international standards of responsible investment, strengthen transparency, and orient decision-making toward measurable sustainability objectives [19,37,40].</w:t>
      </w:r>
    </w:p>
    <w:p w14:paraId="6E9F3F74" w14:textId="77777777" w:rsidR="00A95F70" w:rsidRPr="00A95F70" w:rsidRDefault="00A95F70" w:rsidP="00A95F70">
      <w:pPr>
        <w:pStyle w:val="NormalWeb"/>
        <w:numPr>
          <w:ilvl w:val="0"/>
          <w:numId w:val="32"/>
        </w:numPr>
        <w:contextualSpacing/>
        <w:jc w:val="both"/>
        <w:rPr>
          <w:sz w:val="20"/>
          <w:szCs w:val="20"/>
        </w:rPr>
      </w:pPr>
      <w:r w:rsidRPr="00A95F70">
        <w:rPr>
          <w:rStyle w:val="Strong"/>
          <w:b w:val="0"/>
          <w:bCs w:val="0"/>
          <w:sz w:val="20"/>
          <w:szCs w:val="20"/>
        </w:rPr>
        <w:t>ISO 37120, ISO 37122, and ISO 37123 standards</w:t>
      </w:r>
      <w:r w:rsidRPr="00A95F70">
        <w:rPr>
          <w:sz w:val="20"/>
          <w:szCs w:val="20"/>
        </w:rPr>
        <w:t xml:space="preserve"> offer a technical reference system for assessing urban service sustainability, digital maturity, and resilience to shocks. These standards ensure international comparability and reinforce the coherence of public policies across ecological, technological, and organisational dimensions [25,26,27].</w:t>
      </w:r>
    </w:p>
    <w:p w14:paraId="6E522DAA" w14:textId="5DEB45C2" w:rsidR="00A95F70" w:rsidRPr="00A95F70" w:rsidRDefault="00A95F70" w:rsidP="00A95F70">
      <w:pPr>
        <w:pStyle w:val="NormalWeb"/>
        <w:contextualSpacing/>
        <w:jc w:val="both"/>
        <w:rPr>
          <w:sz w:val="20"/>
          <w:szCs w:val="20"/>
        </w:rPr>
      </w:pPr>
      <w:r w:rsidRPr="00A95F70">
        <w:rPr>
          <w:sz w:val="20"/>
          <w:szCs w:val="20"/>
        </w:rPr>
        <w:t>Together, these two instruments</w:t>
      </w:r>
      <w:r>
        <w:rPr>
          <w:sz w:val="20"/>
          <w:szCs w:val="20"/>
        </w:rPr>
        <w:t xml:space="preserve">, </w:t>
      </w:r>
      <w:r w:rsidRPr="00A95F70">
        <w:rPr>
          <w:sz w:val="20"/>
          <w:szCs w:val="20"/>
        </w:rPr>
        <w:t>ESG and ISO</w:t>
      </w:r>
      <w:r>
        <w:rPr>
          <w:sz w:val="20"/>
          <w:szCs w:val="20"/>
        </w:rPr>
        <w:t xml:space="preserve">, </w:t>
      </w:r>
      <w:r w:rsidRPr="00A95F70">
        <w:rPr>
          <w:sz w:val="20"/>
          <w:szCs w:val="20"/>
        </w:rPr>
        <w:t>form an integrated governance framework that enables cities to advance toward coherent, measurable, and adaptive Smart–Green development models.</w:t>
      </w:r>
    </w:p>
    <w:p w14:paraId="2325C487" w14:textId="6B41D095" w:rsidR="00A95F70" w:rsidRPr="00D25780" w:rsidRDefault="00A95F70" w:rsidP="00A95F70">
      <w:pPr>
        <w:spacing w:before="100" w:beforeAutospacing="1" w:after="100" w:afterAutospacing="1"/>
        <w:jc w:val="center"/>
        <w:rPr>
          <w:sz w:val="20"/>
          <w:lang w:val="en-CA" w:eastAsia="fr-FR"/>
        </w:rPr>
      </w:pPr>
      <w:r w:rsidRPr="00D25780">
        <w:rPr>
          <w:b/>
          <w:caps/>
          <w:szCs w:val="24"/>
          <w:lang w:val="en-CA"/>
        </w:rPr>
        <w:t>Comparative Analysis</w:t>
      </w:r>
    </w:p>
    <w:p w14:paraId="09EF2764" w14:textId="23C968E3" w:rsidR="00A95F70" w:rsidRPr="00A95F70" w:rsidRDefault="00A95F70" w:rsidP="00A95F70">
      <w:pPr>
        <w:spacing w:before="100" w:beforeAutospacing="1" w:after="100" w:afterAutospacing="1"/>
        <w:contextualSpacing/>
        <w:jc w:val="both"/>
        <w:rPr>
          <w:sz w:val="20"/>
          <w:lang w:val="en-CA" w:eastAsia="en-CA"/>
        </w:rPr>
      </w:pPr>
      <w:r w:rsidRPr="00A95F70">
        <w:rPr>
          <w:sz w:val="20"/>
          <w:lang w:val="en-CA" w:eastAsia="en-CA"/>
        </w:rPr>
        <w:t>The comparative analysis focuses on four emblematic cities representing diverse geographical and socio-economic contexts: Copenhagen (Northern Europe) and Singapore (Southeast Asia) as global benchmarks, and Benguerir and Zenata (North Africa) as emerging cases. These examples illustrate how the convergence between ecological sustainability and technological intelligence unfolds across different governance models, resource endowments, and development strategies</w:t>
      </w:r>
    </w:p>
    <w:p w14:paraId="36C6E8AB" w14:textId="77777777" w:rsidR="00A95F70" w:rsidRPr="00A95F70" w:rsidRDefault="00A95F70" w:rsidP="00A95F70">
      <w:pPr>
        <w:spacing w:before="100" w:beforeAutospacing="1" w:after="100" w:afterAutospacing="1"/>
        <w:contextualSpacing/>
        <w:jc w:val="both"/>
        <w:outlineLvl w:val="2"/>
        <w:rPr>
          <w:b/>
          <w:bCs/>
          <w:sz w:val="20"/>
          <w:lang w:val="en-CA" w:eastAsia="en-CA"/>
        </w:rPr>
      </w:pPr>
      <w:r w:rsidRPr="00A95F70">
        <w:rPr>
          <w:b/>
          <w:bCs/>
          <w:sz w:val="20"/>
          <w:lang w:val="en-CA" w:eastAsia="en-CA"/>
        </w:rPr>
        <w:t>1. Copenhagen: Carbon Neutrality Enabled by Data-Driven Governance</w:t>
      </w:r>
    </w:p>
    <w:p w14:paraId="07D8AA96" w14:textId="77777777" w:rsidR="00A95F70" w:rsidRPr="00A95F70" w:rsidRDefault="00A95F70" w:rsidP="00A95F70">
      <w:pPr>
        <w:spacing w:before="100" w:beforeAutospacing="1" w:after="100" w:afterAutospacing="1"/>
        <w:contextualSpacing/>
        <w:jc w:val="both"/>
        <w:rPr>
          <w:sz w:val="20"/>
          <w:lang w:val="en-CA" w:eastAsia="en-CA"/>
        </w:rPr>
      </w:pPr>
      <w:r w:rsidRPr="00A95F70">
        <w:rPr>
          <w:sz w:val="20"/>
          <w:lang w:val="en-CA" w:eastAsia="en-CA"/>
        </w:rPr>
        <w:t xml:space="preserve">Copenhagen is widely recognised as one of the most advanced urban laboratories for ecological and digital transition. Its </w:t>
      </w:r>
      <w:r w:rsidRPr="00A95F70">
        <w:rPr>
          <w:i/>
          <w:iCs/>
          <w:sz w:val="20"/>
          <w:lang w:val="en-CA" w:eastAsia="en-CA"/>
        </w:rPr>
        <w:t>Copenhagen Climate Plan 2025</w:t>
      </w:r>
      <w:r w:rsidRPr="00A95F70">
        <w:rPr>
          <w:sz w:val="20"/>
          <w:lang w:val="en-CA" w:eastAsia="en-CA"/>
        </w:rPr>
        <w:t xml:space="preserve"> [14] aims for carbon neutrality by 2025 through a combination of green infrastructure, low-carbon mobility, and data-driven urban management (City of Copenhagen, 2021).</w:t>
      </w:r>
      <w:r w:rsidRPr="00A95F70">
        <w:rPr>
          <w:sz w:val="20"/>
          <w:lang w:val="en-CA" w:eastAsia="en-CA"/>
        </w:rPr>
        <w:br/>
        <w:t xml:space="preserve">The </w:t>
      </w:r>
      <w:r w:rsidRPr="00A95F70">
        <w:rPr>
          <w:i/>
          <w:iCs/>
          <w:sz w:val="20"/>
          <w:lang w:val="en-CA" w:eastAsia="en-CA"/>
        </w:rPr>
        <w:t>City Data Exchange</w:t>
      </w:r>
      <w:r w:rsidRPr="00A95F70">
        <w:rPr>
          <w:sz w:val="20"/>
          <w:lang w:val="en-CA" w:eastAsia="en-CA"/>
        </w:rPr>
        <w:t xml:space="preserve"> (CDE) [22], launched in 2016 in partnership with Hitachi and the Danish Climate Agency, embodies this vision. It provides an open platform that enables the sharing of energy, environmental, and mobility data among public institutions, businesses, and citizens [22]. This data-driven governance framework [34] supports adaptive planning: residents can monitor real-time air quality, neighbourhood-level energy consumption, and local CO₂ emissions [34].</w:t>
      </w:r>
    </w:p>
    <w:p w14:paraId="1E14F464" w14:textId="77777777" w:rsidR="00A95F70" w:rsidRPr="00A95F70" w:rsidRDefault="00A95F70" w:rsidP="00A95F70">
      <w:pPr>
        <w:spacing w:before="100" w:beforeAutospacing="1" w:after="100" w:afterAutospacing="1"/>
        <w:contextualSpacing/>
        <w:jc w:val="both"/>
        <w:rPr>
          <w:sz w:val="20"/>
          <w:lang w:val="en-CA" w:eastAsia="en-CA"/>
        </w:rPr>
      </w:pPr>
      <w:r w:rsidRPr="00A95F70">
        <w:rPr>
          <w:sz w:val="20"/>
          <w:lang w:val="en-CA" w:eastAsia="en-CA"/>
        </w:rPr>
        <w:t xml:space="preserve">This model exemplifies what Batty (2018) [6] calls an </w:t>
      </w:r>
      <w:r w:rsidRPr="00A95F70">
        <w:rPr>
          <w:i/>
          <w:iCs/>
          <w:sz w:val="20"/>
          <w:lang w:val="en-CA" w:eastAsia="en-CA"/>
        </w:rPr>
        <w:t>“informed green city”</w:t>
      </w:r>
      <w:r w:rsidRPr="00A95F70">
        <w:rPr>
          <w:sz w:val="20"/>
          <w:lang w:val="en-CA" w:eastAsia="en-CA"/>
        </w:rPr>
        <w:t>, where data becomes a public good serving sustainability objectives. Copenhagen demonstrates that urban intelligence can strengthen democratic transparency, environmental efficiency, and citizen trust.</w:t>
      </w:r>
    </w:p>
    <w:p w14:paraId="24F06723" w14:textId="3E889EDC" w:rsidR="00A95F70" w:rsidRPr="00A95F70" w:rsidRDefault="00A95F70" w:rsidP="00A95F70">
      <w:pPr>
        <w:spacing w:before="100" w:beforeAutospacing="1" w:after="100" w:afterAutospacing="1"/>
        <w:contextualSpacing/>
        <w:rPr>
          <w:sz w:val="20"/>
          <w:lang w:val="en-CA" w:eastAsia="en-CA"/>
        </w:rPr>
      </w:pPr>
      <w:r w:rsidRPr="00A95F70">
        <w:rPr>
          <w:b/>
          <w:bCs/>
          <w:sz w:val="20"/>
          <w:lang w:val="en-CA" w:eastAsia="en-CA"/>
        </w:rPr>
        <w:t>ESG–ISO Reading:</w:t>
      </w:r>
      <w:r w:rsidRPr="00A95F70">
        <w:rPr>
          <w:sz w:val="20"/>
          <w:lang w:val="en-CA" w:eastAsia="en-CA"/>
        </w:rPr>
        <w:br/>
        <w:t>•</w:t>
      </w:r>
      <w:r w:rsidRPr="00A95F70">
        <w:rPr>
          <w:b/>
          <w:bCs/>
          <w:sz w:val="20"/>
          <w:lang w:val="en-CA" w:eastAsia="en-CA"/>
        </w:rPr>
        <w:t>E</w:t>
      </w:r>
      <w:r w:rsidRPr="00A95F70">
        <w:rPr>
          <w:sz w:val="20"/>
          <w:lang w:val="en-CA" w:eastAsia="en-CA"/>
        </w:rPr>
        <w:t>: Continuous monitoring of carbon indicators through ISO 37120, aligned with SDGs 11 and 13.</w:t>
      </w:r>
      <w:r w:rsidRPr="00A95F70">
        <w:rPr>
          <w:sz w:val="20"/>
          <w:lang w:val="en-CA" w:eastAsia="en-CA"/>
        </w:rPr>
        <w:br/>
        <w:t>•</w:t>
      </w:r>
      <w:r w:rsidRPr="00A95F70">
        <w:rPr>
          <w:b/>
          <w:bCs/>
          <w:sz w:val="20"/>
          <w:lang w:val="en-CA" w:eastAsia="en-CA"/>
        </w:rPr>
        <w:t>S</w:t>
      </w:r>
      <w:r w:rsidRPr="00A95F70">
        <w:rPr>
          <w:sz w:val="20"/>
          <w:lang w:val="en-CA" w:eastAsia="en-CA"/>
        </w:rPr>
        <w:t>: Digital citizen participation via the Copenhagen Solutions Lab.</w:t>
      </w:r>
      <w:r w:rsidRPr="00A95F70">
        <w:rPr>
          <w:sz w:val="20"/>
          <w:lang w:val="en-CA" w:eastAsia="en-CA"/>
        </w:rPr>
        <w:br/>
        <w:t>•</w:t>
      </w:r>
      <w:r w:rsidRPr="00A95F70">
        <w:rPr>
          <w:b/>
          <w:bCs/>
          <w:sz w:val="20"/>
          <w:lang w:val="en-CA" w:eastAsia="en-CA"/>
        </w:rPr>
        <w:t>G</w:t>
      </w:r>
      <w:r w:rsidRPr="00A95F70">
        <w:rPr>
          <w:sz w:val="20"/>
          <w:lang w:val="en-CA" w:eastAsia="en-CA"/>
        </w:rPr>
        <w:t>: Multi-stakeholder governance and open-data policy.</w:t>
      </w:r>
      <w:r w:rsidRPr="00A95F70">
        <w:rPr>
          <w:sz w:val="20"/>
          <w:lang w:val="en-CA" w:eastAsia="en-CA"/>
        </w:rPr>
        <w:br/>
        <w:t>•</w:t>
      </w:r>
      <w:r w:rsidRPr="00A95F70">
        <w:rPr>
          <w:b/>
          <w:bCs/>
          <w:sz w:val="20"/>
          <w:lang w:val="en-CA" w:eastAsia="en-CA"/>
        </w:rPr>
        <w:t>T</w:t>
      </w:r>
      <w:r w:rsidRPr="00A95F70">
        <w:rPr>
          <w:sz w:val="20"/>
          <w:lang w:val="en-CA" w:eastAsia="en-CA"/>
        </w:rPr>
        <w:t>: Dense sensor networks and digital twins for urban modelling.</w:t>
      </w:r>
    </w:p>
    <w:p w14:paraId="35B17625" w14:textId="2B2533F7" w:rsidR="00A95F70" w:rsidRPr="00A95F70" w:rsidRDefault="00A95F70" w:rsidP="00A95F70">
      <w:pPr>
        <w:contextualSpacing/>
        <w:rPr>
          <w:sz w:val="20"/>
          <w:lang w:val="en-CA" w:eastAsia="en-CA"/>
        </w:rPr>
      </w:pPr>
    </w:p>
    <w:p w14:paraId="740E2767" w14:textId="77777777" w:rsidR="00A95F70" w:rsidRPr="00A95F70" w:rsidRDefault="00A95F70" w:rsidP="00A95F70">
      <w:pPr>
        <w:spacing w:before="100" w:beforeAutospacing="1" w:after="100" w:afterAutospacing="1"/>
        <w:contextualSpacing/>
        <w:jc w:val="both"/>
        <w:outlineLvl w:val="2"/>
        <w:rPr>
          <w:b/>
          <w:bCs/>
          <w:sz w:val="20"/>
          <w:lang w:val="en-CA" w:eastAsia="en-CA"/>
        </w:rPr>
      </w:pPr>
      <w:r w:rsidRPr="00A95F70">
        <w:rPr>
          <w:b/>
          <w:bCs/>
          <w:sz w:val="20"/>
          <w:lang w:val="en-CA" w:eastAsia="en-CA"/>
        </w:rPr>
        <w:t>2. Singapore: The Smart Nation Model and Eco-Technological Regulation</w:t>
      </w:r>
    </w:p>
    <w:p w14:paraId="5E0AA2F0" w14:textId="77777777" w:rsidR="00A95F70" w:rsidRPr="00A95F70" w:rsidRDefault="00A95F70" w:rsidP="00A95F70">
      <w:pPr>
        <w:spacing w:before="100" w:beforeAutospacing="1" w:after="100" w:afterAutospacing="1"/>
        <w:contextualSpacing/>
        <w:jc w:val="both"/>
        <w:rPr>
          <w:sz w:val="20"/>
          <w:lang w:val="en-CA" w:eastAsia="en-CA"/>
        </w:rPr>
      </w:pPr>
      <w:r w:rsidRPr="00A95F70">
        <w:rPr>
          <w:sz w:val="20"/>
          <w:lang w:val="en-CA" w:eastAsia="en-CA"/>
        </w:rPr>
        <w:t>Singapore, often described as the world’s leading fully integrated smart city, launched its Smart Nation initiative in 2014, led by the Government Technology Agency (GovTech) [20]. The programme is supported by a comprehensive digital infrastructure combining IoT sensors, predictive analytics, and fully digitalised public services (GovTech, 2022) [20].</w:t>
      </w:r>
    </w:p>
    <w:p w14:paraId="5919A93A" w14:textId="77777777" w:rsidR="00A95F70" w:rsidRPr="00A95F70" w:rsidRDefault="00A95F70" w:rsidP="00A95F70">
      <w:pPr>
        <w:spacing w:before="100" w:beforeAutospacing="1" w:after="100" w:afterAutospacing="1"/>
        <w:contextualSpacing/>
        <w:jc w:val="both"/>
        <w:rPr>
          <w:sz w:val="20"/>
          <w:lang w:val="en-CA" w:eastAsia="en-CA"/>
        </w:rPr>
      </w:pPr>
      <w:r w:rsidRPr="00A95F70">
        <w:rPr>
          <w:sz w:val="20"/>
          <w:lang w:val="en-CA" w:eastAsia="en-CA"/>
        </w:rPr>
        <w:t>Unlike other technocentric models, Singapore gradually integrated environmental objectives into its efficiency-driven logic. The Smart Water Grid [35] has reduced water losses by nearly 30% through sensor networks and predictive algorithms (PUB, 2021). Electric and automated mobility is promoted through strong incentives and multimodal planning (Land Transport Authority, 2020) [32]. Smart eco-districts such as Punggol Digital District [42] showcase the coupling of digital innovation and energy sustainability.</w:t>
      </w:r>
      <w:r w:rsidRPr="00A95F70">
        <w:rPr>
          <w:sz w:val="20"/>
          <w:lang w:val="en-CA" w:eastAsia="en-CA"/>
        </w:rPr>
        <w:br/>
      </w:r>
      <w:r w:rsidRPr="00A95F70">
        <w:rPr>
          <w:sz w:val="20"/>
          <w:lang w:val="en-CA" w:eastAsia="en-CA"/>
        </w:rPr>
        <w:lastRenderedPageBreak/>
        <w:t>This represents a form of regulated ecotechnology in which the State orchestrates the urban system through centralised yet highly effective governance [13,10].</w:t>
      </w:r>
    </w:p>
    <w:p w14:paraId="24DF12FF" w14:textId="20433F91" w:rsidR="00A95F70" w:rsidRDefault="00A95F70" w:rsidP="00A95F70">
      <w:pPr>
        <w:spacing w:before="100" w:beforeAutospacing="1" w:after="100" w:afterAutospacing="1"/>
        <w:contextualSpacing/>
        <w:rPr>
          <w:sz w:val="20"/>
          <w:lang w:val="en-CA" w:eastAsia="en-CA"/>
        </w:rPr>
      </w:pPr>
      <w:r w:rsidRPr="00A95F70">
        <w:rPr>
          <w:b/>
          <w:bCs/>
          <w:sz w:val="20"/>
          <w:lang w:val="en-CA" w:eastAsia="en-CA"/>
        </w:rPr>
        <w:t>ESG–ISO Reading:</w:t>
      </w:r>
      <w:r w:rsidRPr="00A95F70">
        <w:rPr>
          <w:sz w:val="20"/>
          <w:lang w:val="en-CA" w:eastAsia="en-CA"/>
        </w:rPr>
        <w:br/>
        <w:t xml:space="preserve">• </w:t>
      </w:r>
      <w:r w:rsidRPr="00A95F70">
        <w:rPr>
          <w:b/>
          <w:bCs/>
          <w:sz w:val="20"/>
          <w:lang w:val="en-CA" w:eastAsia="en-CA"/>
        </w:rPr>
        <w:t>E</w:t>
      </w:r>
      <w:r w:rsidRPr="00A95F70">
        <w:rPr>
          <w:sz w:val="20"/>
          <w:lang w:val="en-CA" w:eastAsia="en-CA"/>
        </w:rPr>
        <w:t>: Excellence in water-energy efficiency.</w:t>
      </w:r>
      <w:r w:rsidRPr="00A95F70">
        <w:rPr>
          <w:sz w:val="20"/>
          <w:lang w:val="en-CA" w:eastAsia="en-CA"/>
        </w:rPr>
        <w:br/>
        <w:t xml:space="preserve">• </w:t>
      </w:r>
      <w:r w:rsidRPr="00A95F70">
        <w:rPr>
          <w:b/>
          <w:bCs/>
          <w:sz w:val="20"/>
          <w:lang w:val="en-CA" w:eastAsia="en-CA"/>
        </w:rPr>
        <w:t>S</w:t>
      </w:r>
      <w:r w:rsidRPr="00A95F70">
        <w:rPr>
          <w:sz w:val="20"/>
          <w:lang w:val="en-CA" w:eastAsia="en-CA"/>
        </w:rPr>
        <w:t>: High quality of life and equitable access to public services.</w:t>
      </w:r>
      <w:r w:rsidRPr="00A95F70">
        <w:rPr>
          <w:sz w:val="20"/>
          <w:lang w:val="en-CA" w:eastAsia="en-CA"/>
        </w:rPr>
        <w:br/>
        <w:t xml:space="preserve">• </w:t>
      </w:r>
      <w:r w:rsidRPr="00A95F70">
        <w:rPr>
          <w:b/>
          <w:bCs/>
          <w:sz w:val="20"/>
          <w:lang w:val="en-CA" w:eastAsia="en-CA"/>
        </w:rPr>
        <w:t>G</w:t>
      </w:r>
      <w:r w:rsidRPr="00A95F70">
        <w:rPr>
          <w:sz w:val="20"/>
          <w:lang w:val="en-CA" w:eastAsia="en-CA"/>
        </w:rPr>
        <w:t>: Integrated governance and proactive planning.</w:t>
      </w:r>
      <w:r w:rsidRPr="00A95F70">
        <w:rPr>
          <w:sz w:val="20"/>
          <w:lang w:val="en-CA" w:eastAsia="en-CA"/>
        </w:rPr>
        <w:br/>
        <w:t xml:space="preserve">• </w:t>
      </w:r>
      <w:r w:rsidRPr="00A95F70">
        <w:rPr>
          <w:b/>
          <w:bCs/>
          <w:sz w:val="20"/>
          <w:lang w:val="en-CA" w:eastAsia="en-CA"/>
        </w:rPr>
        <w:t>T</w:t>
      </w:r>
      <w:r w:rsidRPr="00A95F70">
        <w:rPr>
          <w:sz w:val="20"/>
          <w:lang w:val="en-CA" w:eastAsia="en-CA"/>
        </w:rPr>
        <w:t>: Interoperable and cyber-secure digital ecosystem.</w:t>
      </w:r>
    </w:p>
    <w:p w14:paraId="0E7D13BD" w14:textId="77777777" w:rsidR="00A95F70" w:rsidRPr="00A95F70" w:rsidRDefault="00A95F70" w:rsidP="00A95F70">
      <w:pPr>
        <w:spacing w:before="100" w:beforeAutospacing="1" w:after="100" w:afterAutospacing="1"/>
        <w:contextualSpacing/>
        <w:rPr>
          <w:sz w:val="20"/>
          <w:lang w:val="en-CA" w:eastAsia="en-CA"/>
        </w:rPr>
      </w:pPr>
    </w:p>
    <w:p w14:paraId="1CE885DF" w14:textId="77777777" w:rsidR="00A95F70" w:rsidRPr="00A95F70" w:rsidRDefault="00A95F70" w:rsidP="00A95F70">
      <w:pPr>
        <w:spacing w:before="100" w:beforeAutospacing="1" w:after="100" w:afterAutospacing="1"/>
        <w:contextualSpacing/>
        <w:jc w:val="both"/>
        <w:outlineLvl w:val="2"/>
        <w:rPr>
          <w:b/>
          <w:bCs/>
          <w:sz w:val="20"/>
          <w:lang w:val="en-CA" w:eastAsia="en-CA"/>
        </w:rPr>
      </w:pPr>
      <w:r w:rsidRPr="00A95F70">
        <w:rPr>
          <w:b/>
          <w:bCs/>
          <w:sz w:val="20"/>
          <w:lang w:val="en-CA" w:eastAsia="en-CA"/>
        </w:rPr>
        <w:t>3. Benguerir (Morocco): An Educational and Experimental Green City</w:t>
      </w:r>
    </w:p>
    <w:p w14:paraId="1F648F8F" w14:textId="77777777" w:rsidR="00A95F70" w:rsidRPr="00A95F70" w:rsidRDefault="00A95F70" w:rsidP="00A95F70">
      <w:pPr>
        <w:spacing w:before="100" w:beforeAutospacing="1" w:after="100" w:afterAutospacing="1"/>
        <w:contextualSpacing/>
        <w:jc w:val="both"/>
        <w:rPr>
          <w:sz w:val="20"/>
          <w:lang w:val="en-CA" w:eastAsia="en-CA"/>
        </w:rPr>
      </w:pPr>
      <w:r w:rsidRPr="00A95F70">
        <w:rPr>
          <w:sz w:val="20"/>
          <w:lang w:val="en-CA" w:eastAsia="en-CA"/>
        </w:rPr>
        <w:t>Located in central Morocco, Benguerir represents a new generation of African sustainable cities, conceived from the outset as territorial innovation laboratories [21]. Driven by OCP Group and Mohammed VI Polytechnic University (UM6P) [41], it functions as an urban experimentation platform integrating research, education, and sustainability [33].</w:t>
      </w:r>
    </w:p>
    <w:p w14:paraId="6FE428BA" w14:textId="77777777" w:rsidR="00A95F70" w:rsidRPr="00A95F70" w:rsidRDefault="00A95F70" w:rsidP="00A95F70">
      <w:pPr>
        <w:spacing w:before="100" w:beforeAutospacing="1" w:after="100" w:afterAutospacing="1"/>
        <w:contextualSpacing/>
        <w:jc w:val="both"/>
        <w:rPr>
          <w:sz w:val="20"/>
          <w:lang w:val="en-CA" w:eastAsia="en-CA"/>
        </w:rPr>
      </w:pPr>
      <w:r w:rsidRPr="00A95F70">
        <w:rPr>
          <w:sz w:val="20"/>
          <w:lang w:val="en-CA" w:eastAsia="en-CA"/>
        </w:rPr>
        <w:t>Its development strategy is structured around three pillars:</w:t>
      </w:r>
    </w:p>
    <w:p w14:paraId="1EFB6839" w14:textId="77777777" w:rsidR="00A95F70" w:rsidRPr="00A95F70" w:rsidRDefault="00A95F70" w:rsidP="00A95F70">
      <w:pPr>
        <w:numPr>
          <w:ilvl w:val="0"/>
          <w:numId w:val="33"/>
        </w:numPr>
        <w:spacing w:before="100" w:beforeAutospacing="1" w:after="100" w:afterAutospacing="1"/>
        <w:contextualSpacing/>
        <w:jc w:val="both"/>
        <w:rPr>
          <w:sz w:val="20"/>
          <w:lang w:val="en-CA" w:eastAsia="en-CA"/>
        </w:rPr>
      </w:pPr>
      <w:r w:rsidRPr="00A95F70">
        <w:rPr>
          <w:b/>
          <w:bCs/>
          <w:sz w:val="20"/>
          <w:lang w:val="en-CA" w:eastAsia="en-CA"/>
        </w:rPr>
        <w:t>Territorial ecology:</w:t>
      </w:r>
      <w:r w:rsidRPr="00A95F70">
        <w:rPr>
          <w:sz w:val="20"/>
          <w:lang w:val="en-CA" w:eastAsia="en-CA"/>
        </w:rPr>
        <w:t xml:space="preserve"> green-blue infrastructure, bioclimatic buildings, and circular water management through wastewater reuse for irrigation.</w:t>
      </w:r>
    </w:p>
    <w:p w14:paraId="2DDA27E7" w14:textId="4D4742A0" w:rsidR="00A95F70" w:rsidRPr="00A95F70" w:rsidRDefault="00A95F70" w:rsidP="00A95F70">
      <w:pPr>
        <w:numPr>
          <w:ilvl w:val="0"/>
          <w:numId w:val="33"/>
        </w:numPr>
        <w:spacing w:before="100" w:beforeAutospacing="1" w:after="100" w:afterAutospacing="1"/>
        <w:contextualSpacing/>
        <w:jc w:val="both"/>
        <w:rPr>
          <w:sz w:val="20"/>
          <w:lang w:val="en-CA" w:eastAsia="en-CA"/>
        </w:rPr>
      </w:pPr>
      <w:r w:rsidRPr="00A95F70">
        <w:rPr>
          <w:b/>
          <w:bCs/>
          <w:sz w:val="20"/>
          <w:lang w:val="en-CA" w:eastAsia="en-CA"/>
        </w:rPr>
        <w:t>Innovation and research:</w:t>
      </w:r>
      <w:r w:rsidRPr="00A95F70">
        <w:rPr>
          <w:sz w:val="20"/>
          <w:lang w:val="en-CA" w:eastAsia="en-CA"/>
        </w:rPr>
        <w:t xml:space="preserve"> the Green Energy ParkAfrica’s first renewable-energy research hub—and living labs dedicated to soft mobility and smart agriculture.</w:t>
      </w:r>
    </w:p>
    <w:p w14:paraId="2539908D" w14:textId="77777777" w:rsidR="00A95F70" w:rsidRPr="00A95F70" w:rsidRDefault="00A95F70" w:rsidP="00A95F70">
      <w:pPr>
        <w:numPr>
          <w:ilvl w:val="0"/>
          <w:numId w:val="33"/>
        </w:numPr>
        <w:spacing w:before="100" w:beforeAutospacing="1" w:after="100" w:afterAutospacing="1"/>
        <w:contextualSpacing/>
        <w:jc w:val="both"/>
        <w:rPr>
          <w:sz w:val="20"/>
          <w:lang w:val="en-CA" w:eastAsia="en-CA"/>
        </w:rPr>
      </w:pPr>
      <w:r w:rsidRPr="00A95F70">
        <w:rPr>
          <w:b/>
          <w:bCs/>
          <w:sz w:val="20"/>
          <w:lang w:val="en-CA" w:eastAsia="en-CA"/>
        </w:rPr>
        <w:t>Local participation:</w:t>
      </w:r>
      <w:r w:rsidRPr="00A95F70">
        <w:rPr>
          <w:sz w:val="20"/>
          <w:lang w:val="en-CA" w:eastAsia="en-CA"/>
        </w:rPr>
        <w:t xml:space="preserve"> youth training programmes supporting green-economy professions.</w:t>
      </w:r>
    </w:p>
    <w:p w14:paraId="2C6B3D93" w14:textId="41B70DD0" w:rsidR="00A95F70" w:rsidRPr="00A95F70" w:rsidRDefault="00A95F70" w:rsidP="00A95F70">
      <w:pPr>
        <w:spacing w:before="100" w:beforeAutospacing="1" w:after="100" w:afterAutospacing="1"/>
        <w:contextualSpacing/>
        <w:jc w:val="both"/>
        <w:rPr>
          <w:sz w:val="20"/>
          <w:lang w:val="en-CA" w:eastAsia="en-CA"/>
        </w:rPr>
      </w:pPr>
      <w:r w:rsidRPr="00A95F70">
        <w:rPr>
          <w:sz w:val="20"/>
          <w:lang w:val="en-CA" w:eastAsia="en-CA"/>
        </w:rPr>
        <w:t>Benguerir is characterised by a knowledge-driven urban model in which sustainability is actively co-produced by scientific institutions and a highly mobilised student community. Through training programmes, laboratories, and UM6P-led initiatives, students directly contribute to local ecological experimentation and solution-design. The construction of human capital</w:t>
      </w:r>
      <w:r>
        <w:rPr>
          <w:sz w:val="20"/>
          <w:lang w:val="en-CA" w:eastAsia="en-CA"/>
        </w:rPr>
        <w:t xml:space="preserve"> </w:t>
      </w:r>
      <w:r w:rsidRPr="00A95F70">
        <w:rPr>
          <w:sz w:val="20"/>
          <w:lang w:val="en-CA" w:eastAsia="en-CA"/>
        </w:rPr>
        <w:t>largely carried by this university population</w:t>
      </w:r>
      <w:r>
        <w:rPr>
          <w:sz w:val="20"/>
          <w:lang w:val="en-CA" w:eastAsia="en-CA"/>
        </w:rPr>
        <w:t xml:space="preserve"> </w:t>
      </w:r>
      <w:r w:rsidRPr="00A95F70">
        <w:rPr>
          <w:sz w:val="20"/>
          <w:lang w:val="en-CA" w:eastAsia="en-CA"/>
        </w:rPr>
        <w:t>deliberately precedes large-scale digitalisation, positioning Benguerir as a genuine living laboratory for sustainable innovation.</w:t>
      </w:r>
    </w:p>
    <w:p w14:paraId="29260DC4" w14:textId="77777777" w:rsidR="00A95F70" w:rsidRPr="00A95F70" w:rsidRDefault="00A95F70" w:rsidP="00A95F70">
      <w:pPr>
        <w:spacing w:before="100" w:beforeAutospacing="1" w:after="100" w:afterAutospacing="1"/>
        <w:contextualSpacing/>
        <w:rPr>
          <w:sz w:val="20"/>
          <w:lang w:val="en-CA" w:eastAsia="en-CA"/>
        </w:rPr>
      </w:pPr>
      <w:r w:rsidRPr="00A95F70">
        <w:rPr>
          <w:b/>
          <w:bCs/>
          <w:sz w:val="20"/>
          <w:lang w:val="en-CA" w:eastAsia="en-CA"/>
        </w:rPr>
        <w:t>ESG–ISO Reading:</w:t>
      </w:r>
      <w:r w:rsidRPr="00A95F70">
        <w:rPr>
          <w:sz w:val="20"/>
          <w:lang w:val="en-CA" w:eastAsia="en-CA"/>
        </w:rPr>
        <w:br/>
        <w:t xml:space="preserve">• </w:t>
      </w:r>
      <w:r w:rsidRPr="00A95F70">
        <w:rPr>
          <w:b/>
          <w:bCs/>
          <w:sz w:val="20"/>
          <w:lang w:val="en-CA" w:eastAsia="en-CA"/>
        </w:rPr>
        <w:t>E</w:t>
      </w:r>
      <w:r w:rsidRPr="00A95F70">
        <w:rPr>
          <w:sz w:val="20"/>
          <w:lang w:val="en-CA" w:eastAsia="en-CA"/>
        </w:rPr>
        <w:t>: High-performance energy and water-management systems.</w:t>
      </w:r>
      <w:r w:rsidRPr="00A95F70">
        <w:rPr>
          <w:sz w:val="20"/>
          <w:lang w:val="en-CA" w:eastAsia="en-CA"/>
        </w:rPr>
        <w:br/>
        <w:t xml:space="preserve">• </w:t>
      </w:r>
      <w:r w:rsidRPr="00A95F70">
        <w:rPr>
          <w:b/>
          <w:bCs/>
          <w:sz w:val="20"/>
          <w:lang w:val="en-CA" w:eastAsia="en-CA"/>
        </w:rPr>
        <w:t>S</w:t>
      </w:r>
      <w:r w:rsidRPr="00A95F70">
        <w:rPr>
          <w:sz w:val="20"/>
          <w:lang w:val="en-CA" w:eastAsia="en-CA"/>
        </w:rPr>
        <w:t>: Strong educational anchoring.</w:t>
      </w:r>
      <w:r w:rsidRPr="00A95F70">
        <w:rPr>
          <w:sz w:val="20"/>
          <w:lang w:val="en-CA" w:eastAsia="en-CA"/>
        </w:rPr>
        <w:br/>
        <w:t xml:space="preserve">• </w:t>
      </w:r>
      <w:r w:rsidRPr="00A95F70">
        <w:rPr>
          <w:b/>
          <w:bCs/>
          <w:sz w:val="20"/>
          <w:lang w:val="en-CA" w:eastAsia="en-CA"/>
        </w:rPr>
        <w:t>G</w:t>
      </w:r>
      <w:r w:rsidRPr="00A95F70">
        <w:rPr>
          <w:sz w:val="20"/>
          <w:lang w:val="en-CA" w:eastAsia="en-CA"/>
        </w:rPr>
        <w:t>: Multi-level governance (OCP, UM6P, local authorities).</w:t>
      </w:r>
      <w:r w:rsidRPr="00A95F70">
        <w:rPr>
          <w:sz w:val="20"/>
          <w:lang w:val="en-CA" w:eastAsia="en-CA"/>
        </w:rPr>
        <w:br/>
        <w:t xml:space="preserve">• </w:t>
      </w:r>
      <w:r w:rsidRPr="00A95F70">
        <w:rPr>
          <w:b/>
          <w:bCs/>
          <w:sz w:val="20"/>
          <w:lang w:val="en-CA" w:eastAsia="en-CA"/>
        </w:rPr>
        <w:t>T</w:t>
      </w:r>
      <w:r w:rsidRPr="00A95F70">
        <w:rPr>
          <w:sz w:val="20"/>
          <w:lang w:val="en-CA" w:eastAsia="en-CA"/>
        </w:rPr>
        <w:t>: Experimental innovation and emerging data strategies.</w:t>
      </w:r>
    </w:p>
    <w:p w14:paraId="33EAD81E" w14:textId="748D0ABC" w:rsidR="00A95F70" w:rsidRPr="00A95F70" w:rsidRDefault="00A95F70" w:rsidP="00A95F70">
      <w:pPr>
        <w:contextualSpacing/>
        <w:rPr>
          <w:sz w:val="20"/>
          <w:lang w:val="en-CA" w:eastAsia="en-CA"/>
        </w:rPr>
      </w:pPr>
    </w:p>
    <w:p w14:paraId="5371CE6A" w14:textId="77777777" w:rsidR="00A95F70" w:rsidRPr="00A95F70" w:rsidRDefault="00A95F70" w:rsidP="00A95F70">
      <w:pPr>
        <w:spacing w:before="100" w:beforeAutospacing="1" w:after="100" w:afterAutospacing="1"/>
        <w:contextualSpacing/>
        <w:jc w:val="both"/>
        <w:outlineLvl w:val="2"/>
        <w:rPr>
          <w:b/>
          <w:bCs/>
          <w:sz w:val="20"/>
          <w:lang w:val="en-CA" w:eastAsia="en-CA"/>
        </w:rPr>
      </w:pPr>
      <w:r w:rsidRPr="00A95F70">
        <w:rPr>
          <w:b/>
          <w:bCs/>
          <w:sz w:val="20"/>
          <w:lang w:val="en-CA" w:eastAsia="en-CA"/>
        </w:rPr>
        <w:t>4. Zenata (Morocco): A Standardised Governance Eco-City</w:t>
      </w:r>
    </w:p>
    <w:p w14:paraId="50089857" w14:textId="17B213C2" w:rsidR="00A95F70" w:rsidRPr="00A95F70" w:rsidRDefault="00A95F70" w:rsidP="00A95F70">
      <w:pPr>
        <w:spacing w:before="100" w:beforeAutospacing="1" w:after="100" w:afterAutospacing="1"/>
        <w:contextualSpacing/>
        <w:jc w:val="both"/>
        <w:rPr>
          <w:sz w:val="20"/>
          <w:lang w:val="en-CA" w:eastAsia="en-CA"/>
        </w:rPr>
      </w:pPr>
      <w:r w:rsidRPr="00A95F70">
        <w:rPr>
          <w:sz w:val="20"/>
          <w:lang w:val="en-CA" w:eastAsia="en-CA"/>
        </w:rPr>
        <w:t>Zenata, a new town developed by the Caisse de Dépôt et de Gestion (CDG) near Casablanca, is the first African city certified ISO 37120 (Silver level, WCCD, 2018) [44]. It represents an institutionalised approach to sustainable planning in which governance is structured around measurable standards.</w:t>
      </w:r>
      <w:r w:rsidRPr="00A95F70">
        <w:rPr>
          <w:sz w:val="20"/>
          <w:lang w:val="en-CA" w:eastAsia="en-CA"/>
        </w:rPr>
        <w:br/>
        <w:t>The project relies on three pillars:</w:t>
      </w:r>
      <w:r w:rsidRPr="00A95F70">
        <w:rPr>
          <w:sz w:val="20"/>
          <w:lang w:val="en-CA" w:eastAsia="en-CA"/>
        </w:rPr>
        <w:br/>
        <w:t>•</w:t>
      </w:r>
      <w:r w:rsidRPr="00A95F70">
        <w:rPr>
          <w:b/>
          <w:bCs/>
          <w:sz w:val="20"/>
          <w:lang w:val="en-CA" w:eastAsia="en-CA"/>
        </w:rPr>
        <w:t>Functional mixity:</w:t>
      </w:r>
      <w:r w:rsidRPr="00A95F70">
        <w:rPr>
          <w:sz w:val="20"/>
          <w:lang w:val="en-CA" w:eastAsia="en-CA"/>
        </w:rPr>
        <w:t xml:space="preserve"> housing–employment–services balance.</w:t>
      </w:r>
      <w:r w:rsidRPr="00A95F70">
        <w:rPr>
          <w:sz w:val="20"/>
          <w:lang w:val="en-CA" w:eastAsia="en-CA"/>
        </w:rPr>
        <w:br/>
        <w:t xml:space="preserve">• </w:t>
      </w:r>
      <w:r w:rsidRPr="00A95F70">
        <w:rPr>
          <w:b/>
          <w:bCs/>
          <w:sz w:val="20"/>
          <w:lang w:val="en-CA" w:eastAsia="en-CA"/>
        </w:rPr>
        <w:t>Green mobility:</w:t>
      </w:r>
      <w:r w:rsidRPr="00A95F70">
        <w:rPr>
          <w:sz w:val="20"/>
          <w:lang w:val="en-CA" w:eastAsia="en-CA"/>
        </w:rPr>
        <w:t xml:space="preserve"> pedestrian corridors, public transport, and a 22% reduction in CO₂ emissions between 2016 and 2022 ([45]).</w:t>
      </w:r>
      <w:r w:rsidRPr="00A95F70">
        <w:rPr>
          <w:sz w:val="20"/>
          <w:lang w:val="en-CA" w:eastAsia="en-CA"/>
        </w:rPr>
        <w:br/>
        <w:t xml:space="preserve">• </w:t>
      </w:r>
      <w:r w:rsidRPr="00A95F70">
        <w:rPr>
          <w:b/>
          <w:bCs/>
          <w:sz w:val="20"/>
          <w:lang w:val="en-CA" w:eastAsia="en-CA"/>
        </w:rPr>
        <w:t>Climate resilience:</w:t>
      </w:r>
      <w:r w:rsidRPr="00A95F70">
        <w:rPr>
          <w:sz w:val="20"/>
          <w:lang w:val="en-CA" w:eastAsia="en-CA"/>
        </w:rPr>
        <w:t xml:space="preserve"> permeable infrastructure and integrated stormwater management.</w:t>
      </w:r>
    </w:p>
    <w:p w14:paraId="74C927A8" w14:textId="77777777" w:rsidR="00A95F70" w:rsidRPr="00A95F70" w:rsidRDefault="00A95F70" w:rsidP="00A95F70">
      <w:pPr>
        <w:spacing w:before="100" w:beforeAutospacing="1" w:after="100" w:afterAutospacing="1"/>
        <w:contextualSpacing/>
        <w:jc w:val="both"/>
        <w:rPr>
          <w:sz w:val="20"/>
          <w:lang w:val="en-CA" w:eastAsia="en-CA"/>
        </w:rPr>
      </w:pPr>
      <w:r w:rsidRPr="00A95F70">
        <w:rPr>
          <w:sz w:val="20"/>
          <w:lang w:val="en-CA" w:eastAsia="en-CA"/>
        </w:rPr>
        <w:t>Technological innovation supports environmental performance through a digital monitoring platform aggregating air, energy, and waste indicators, and a geographic information system (GIS) guiding planning and maintenance.</w:t>
      </w:r>
      <w:r w:rsidRPr="00A95F70">
        <w:rPr>
          <w:sz w:val="20"/>
          <w:lang w:val="en-CA" w:eastAsia="en-CA"/>
        </w:rPr>
        <w:br/>
        <w:t>Zenata has become a norms-driven eco-city, where sustainability is measured, audited, and replicable [25,44].</w:t>
      </w:r>
    </w:p>
    <w:p w14:paraId="64034101" w14:textId="77777777" w:rsidR="00A95F70" w:rsidRPr="00A95F70" w:rsidRDefault="00A95F70" w:rsidP="00A95F70">
      <w:pPr>
        <w:spacing w:before="100" w:beforeAutospacing="1" w:after="100" w:afterAutospacing="1"/>
        <w:contextualSpacing/>
        <w:rPr>
          <w:sz w:val="20"/>
          <w:lang w:val="en-CA" w:eastAsia="en-CA"/>
        </w:rPr>
      </w:pPr>
      <w:r w:rsidRPr="00A95F70">
        <w:rPr>
          <w:b/>
          <w:bCs/>
          <w:sz w:val="20"/>
          <w:lang w:val="en-CA" w:eastAsia="en-CA"/>
        </w:rPr>
        <w:t>ESG–ISO Reading:</w:t>
      </w:r>
      <w:r w:rsidRPr="00A95F70">
        <w:rPr>
          <w:sz w:val="20"/>
          <w:lang w:val="en-CA" w:eastAsia="en-CA"/>
        </w:rPr>
        <w:br/>
        <w:t xml:space="preserve">• </w:t>
      </w:r>
      <w:r w:rsidRPr="00A95F70">
        <w:rPr>
          <w:b/>
          <w:bCs/>
          <w:sz w:val="20"/>
          <w:lang w:val="en-CA" w:eastAsia="en-CA"/>
        </w:rPr>
        <w:t>E</w:t>
      </w:r>
      <w:r w:rsidRPr="00A95F70">
        <w:rPr>
          <w:sz w:val="20"/>
          <w:lang w:val="en-CA" w:eastAsia="en-CA"/>
        </w:rPr>
        <w:t>: Measurable CO₂ reduction (ISO 37120, SDG 13).</w:t>
      </w:r>
      <w:r w:rsidRPr="00A95F70">
        <w:rPr>
          <w:sz w:val="20"/>
          <w:lang w:val="en-CA" w:eastAsia="en-CA"/>
        </w:rPr>
        <w:br/>
        <w:t xml:space="preserve">• </w:t>
      </w:r>
      <w:r w:rsidRPr="00A95F70">
        <w:rPr>
          <w:b/>
          <w:bCs/>
          <w:sz w:val="20"/>
          <w:lang w:val="en-CA" w:eastAsia="en-CA"/>
        </w:rPr>
        <w:t>S</w:t>
      </w:r>
      <w:r w:rsidRPr="00A95F70">
        <w:rPr>
          <w:sz w:val="20"/>
          <w:lang w:val="en-CA" w:eastAsia="en-CA"/>
        </w:rPr>
        <w:t>: Social mixity and universal accessibility.</w:t>
      </w:r>
      <w:r w:rsidRPr="00A95F70">
        <w:rPr>
          <w:sz w:val="20"/>
          <w:lang w:val="en-CA" w:eastAsia="en-CA"/>
        </w:rPr>
        <w:br/>
        <w:t xml:space="preserve">• </w:t>
      </w:r>
      <w:r w:rsidRPr="00A95F70">
        <w:rPr>
          <w:b/>
          <w:bCs/>
          <w:sz w:val="20"/>
          <w:lang w:val="en-CA" w:eastAsia="en-CA"/>
        </w:rPr>
        <w:t>G</w:t>
      </w:r>
      <w:r w:rsidRPr="00A95F70">
        <w:rPr>
          <w:sz w:val="20"/>
          <w:lang w:val="en-CA" w:eastAsia="en-CA"/>
        </w:rPr>
        <w:t>: Institutional governance and ISO certification.</w:t>
      </w:r>
      <w:r w:rsidRPr="00A95F70">
        <w:rPr>
          <w:sz w:val="20"/>
          <w:lang w:val="en-CA" w:eastAsia="en-CA"/>
        </w:rPr>
        <w:br/>
        <w:t xml:space="preserve">• </w:t>
      </w:r>
      <w:r w:rsidRPr="00A95F70">
        <w:rPr>
          <w:b/>
          <w:bCs/>
          <w:sz w:val="20"/>
          <w:lang w:val="en-CA" w:eastAsia="en-CA"/>
        </w:rPr>
        <w:t>T</w:t>
      </w:r>
      <w:r w:rsidRPr="00A95F70">
        <w:rPr>
          <w:sz w:val="20"/>
          <w:lang w:val="en-CA" w:eastAsia="en-CA"/>
        </w:rPr>
        <w:t>: Integrated environmental monitoring and GIS systems.</w:t>
      </w:r>
    </w:p>
    <w:p w14:paraId="3D5ADA75" w14:textId="18DB3F8B" w:rsidR="009358CE" w:rsidRPr="00DC0162" w:rsidRDefault="009358CE" w:rsidP="002C3A3A">
      <w:pPr>
        <w:pStyle w:val="TableCaption"/>
        <w:rPr>
          <w:lang w:val="fr-CA"/>
        </w:rPr>
      </w:pPr>
      <w:r w:rsidRPr="00DC0162">
        <w:rPr>
          <w:lang w:val="fr-CA"/>
        </w:rPr>
        <w:t xml:space="preserve">Table 1 : </w:t>
      </w:r>
      <w:r w:rsidR="00DC0162" w:rsidRPr="00DC0162">
        <w:rPr>
          <w:lang w:val="fr-CA"/>
        </w:rPr>
        <w:t>Lecture comparative et typologie des convergences</w:t>
      </w:r>
    </w:p>
    <w:bookmarkEnd w:id="3"/>
    <w:p w14:paraId="656E9F8A" w14:textId="77777777" w:rsidR="009358CE" w:rsidRPr="00DC0162" w:rsidRDefault="009358CE" w:rsidP="0019574D">
      <w:pPr>
        <w:pStyle w:val="Paragraph"/>
        <w:ind w:firstLine="0"/>
        <w:rPr>
          <w:lang w:val="fr-CA" w:eastAsia="en-CA"/>
        </w:rPr>
      </w:pPr>
    </w:p>
    <w:tbl>
      <w:tblPr>
        <w:tblW w:w="9350" w:type="dxa"/>
        <w:tblCellMar>
          <w:left w:w="10" w:type="dxa"/>
          <w:right w:w="10" w:type="dxa"/>
        </w:tblCellMar>
        <w:tblLook w:val="04A0" w:firstRow="1" w:lastRow="0" w:firstColumn="1" w:lastColumn="0" w:noHBand="0" w:noVBand="1"/>
      </w:tblPr>
      <w:tblGrid>
        <w:gridCol w:w="1271"/>
        <w:gridCol w:w="1985"/>
        <w:gridCol w:w="2126"/>
        <w:gridCol w:w="1843"/>
        <w:gridCol w:w="2125"/>
      </w:tblGrid>
      <w:tr w:rsidR="00DC0162" w14:paraId="06F36B3F" w14:textId="77777777" w:rsidTr="00F02EFE">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08C42" w14:textId="6EA09FF8" w:rsidR="00DC0162" w:rsidRPr="00F02EFE" w:rsidRDefault="0070104E" w:rsidP="00C37ADA">
            <w:pPr>
              <w:spacing w:line="276" w:lineRule="auto"/>
              <w:jc w:val="center"/>
              <w:rPr>
                <w:sz w:val="18"/>
                <w:szCs w:val="18"/>
                <w:lang w:eastAsia="en-CA"/>
              </w:rPr>
            </w:pPr>
            <w:r w:rsidRPr="00F02EFE">
              <w:rPr>
                <w:sz w:val="18"/>
                <w:szCs w:val="18"/>
              </w:rPr>
              <w:t>City</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19C71" w14:textId="4DC75145" w:rsidR="00DC0162" w:rsidRPr="00F02EFE" w:rsidRDefault="008E3245" w:rsidP="00C37ADA">
            <w:pPr>
              <w:spacing w:line="276" w:lineRule="auto"/>
              <w:jc w:val="center"/>
              <w:rPr>
                <w:sz w:val="18"/>
                <w:szCs w:val="18"/>
                <w:lang w:eastAsia="en-CA"/>
              </w:rPr>
            </w:pPr>
            <w:r w:rsidRPr="00F02EFE">
              <w:rPr>
                <w:sz w:val="18"/>
                <w:szCs w:val="18"/>
              </w:rPr>
              <w:t>Initial orientation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B5411" w14:textId="0625DCBD" w:rsidR="00DC0162" w:rsidRPr="00F02EFE" w:rsidRDefault="008E3245" w:rsidP="00C37ADA">
            <w:pPr>
              <w:spacing w:line="276" w:lineRule="auto"/>
              <w:jc w:val="center"/>
              <w:rPr>
                <w:sz w:val="18"/>
                <w:szCs w:val="18"/>
                <w:lang w:eastAsia="en-CA"/>
              </w:rPr>
            </w:pPr>
            <w:r w:rsidRPr="00F02EFE">
              <w:rPr>
                <w:sz w:val="18"/>
                <w:szCs w:val="18"/>
              </w:rPr>
              <w:t>Mode of governance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51925" w14:textId="29C25011" w:rsidR="00DC0162" w:rsidRPr="00F02EFE" w:rsidRDefault="008E3245" w:rsidP="00C37ADA">
            <w:pPr>
              <w:spacing w:line="276" w:lineRule="auto"/>
              <w:jc w:val="center"/>
              <w:rPr>
                <w:sz w:val="18"/>
                <w:szCs w:val="18"/>
                <w:lang w:eastAsia="en-CA"/>
              </w:rPr>
            </w:pPr>
            <w:r w:rsidRPr="00F02EFE">
              <w:rPr>
                <w:sz w:val="18"/>
                <w:szCs w:val="18"/>
              </w:rPr>
              <w:t>Level of Smart–Green integration</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27BC8" w14:textId="3C9F82AC" w:rsidR="00DC0162" w:rsidRPr="00F02EFE" w:rsidRDefault="008E3245" w:rsidP="00C37ADA">
            <w:pPr>
              <w:spacing w:line="276" w:lineRule="auto"/>
              <w:jc w:val="center"/>
              <w:rPr>
                <w:sz w:val="18"/>
                <w:szCs w:val="18"/>
                <w:lang w:eastAsia="en-CA"/>
              </w:rPr>
            </w:pPr>
            <w:r w:rsidRPr="00F02EFE">
              <w:rPr>
                <w:sz w:val="18"/>
                <w:szCs w:val="18"/>
              </w:rPr>
              <w:t>Key success factors</w:t>
            </w:r>
          </w:p>
        </w:tc>
      </w:tr>
      <w:tr w:rsidR="00F02EFE" w14:paraId="62B9EFD9" w14:textId="77777777" w:rsidTr="00F02EFE">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5FD38" w14:textId="083AEF4A" w:rsidR="00F02EFE" w:rsidRPr="00F02EFE" w:rsidRDefault="00F02EFE" w:rsidP="00F02EFE">
            <w:pPr>
              <w:rPr>
                <w:sz w:val="18"/>
                <w:szCs w:val="18"/>
              </w:rPr>
            </w:pPr>
            <w:r w:rsidRPr="00F02EFE">
              <w:rPr>
                <w:sz w:val="18"/>
                <w:szCs w:val="18"/>
              </w:rPr>
              <w:t>Copenhagen</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02310" w14:textId="452B9BD1" w:rsidR="00F02EFE" w:rsidRPr="00F02EFE" w:rsidRDefault="00F02EFE" w:rsidP="00F02EFE">
            <w:pPr>
              <w:rPr>
                <w:sz w:val="18"/>
                <w:szCs w:val="18"/>
              </w:rPr>
            </w:pPr>
            <w:r w:rsidRPr="00F02EFE">
              <w:rPr>
                <w:sz w:val="18"/>
                <w:szCs w:val="18"/>
              </w:rPr>
              <w:t>Technological Green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EEDD" w14:textId="2EEA3B60" w:rsidR="00F02EFE" w:rsidRPr="00F02EFE" w:rsidRDefault="00F02EFE" w:rsidP="00F02EFE">
            <w:pPr>
              <w:rPr>
                <w:sz w:val="18"/>
                <w:szCs w:val="18"/>
              </w:rPr>
            </w:pPr>
            <w:r w:rsidRPr="00F02EFE">
              <w:rPr>
                <w:sz w:val="18"/>
                <w:szCs w:val="18"/>
              </w:rPr>
              <w:t>Open and collaborative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143CA" w14:textId="4607ED30" w:rsidR="00F02EFE" w:rsidRPr="00F02EFE" w:rsidRDefault="00F02EFE" w:rsidP="00F02EFE">
            <w:pPr>
              <w:rPr>
                <w:sz w:val="18"/>
                <w:szCs w:val="18"/>
              </w:rPr>
            </w:pPr>
            <w:r w:rsidRPr="00F02EFE">
              <w:rPr>
                <w:sz w:val="18"/>
                <w:szCs w:val="18"/>
              </w:rPr>
              <w:t>Very high</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27C5D" w14:textId="15FF74C7" w:rsidR="00F02EFE" w:rsidRPr="00F02EFE" w:rsidRDefault="00F02EFE" w:rsidP="00F02EFE">
            <w:pPr>
              <w:rPr>
                <w:sz w:val="18"/>
                <w:szCs w:val="18"/>
              </w:rPr>
            </w:pPr>
            <w:r w:rsidRPr="00F02EFE">
              <w:rPr>
                <w:sz w:val="18"/>
                <w:szCs w:val="18"/>
              </w:rPr>
              <w:t>Open data ecosystem + carbon neutrality</w:t>
            </w:r>
          </w:p>
        </w:tc>
      </w:tr>
      <w:tr w:rsidR="00F02EFE" w14:paraId="10099AEF" w14:textId="77777777" w:rsidTr="00F02EFE">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33F89" w14:textId="326B896E" w:rsidR="00F02EFE" w:rsidRPr="00F02EFE" w:rsidRDefault="00F02EFE" w:rsidP="00F02EFE">
            <w:pPr>
              <w:rPr>
                <w:sz w:val="18"/>
                <w:szCs w:val="18"/>
              </w:rPr>
            </w:pPr>
            <w:r w:rsidRPr="00F02EFE">
              <w:rPr>
                <w:sz w:val="18"/>
                <w:szCs w:val="18"/>
              </w:rPr>
              <w:t>Singapore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92D3B" w14:textId="00B47FC5" w:rsidR="00F02EFE" w:rsidRPr="00F02EFE" w:rsidRDefault="00F02EFE" w:rsidP="00F02EFE">
            <w:pPr>
              <w:rPr>
                <w:sz w:val="18"/>
                <w:szCs w:val="18"/>
              </w:rPr>
            </w:pPr>
            <w:r w:rsidRPr="00F02EFE">
              <w:rPr>
                <w:sz w:val="18"/>
                <w:szCs w:val="18"/>
              </w:rPr>
              <w:t>Tech-driven Green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90EB2" w14:textId="4E5023ED" w:rsidR="00F02EFE" w:rsidRPr="00F02EFE" w:rsidRDefault="00F02EFE" w:rsidP="00F02EFE">
            <w:pPr>
              <w:rPr>
                <w:sz w:val="18"/>
                <w:szCs w:val="18"/>
              </w:rPr>
            </w:pPr>
            <w:r w:rsidRPr="00F02EFE">
              <w:rPr>
                <w:sz w:val="18"/>
                <w:szCs w:val="18"/>
              </w:rPr>
              <w:t>Centralised and hierarchical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58979" w14:textId="70373B98" w:rsidR="00F02EFE" w:rsidRPr="00F02EFE" w:rsidRDefault="00F02EFE" w:rsidP="00F02EFE">
            <w:pPr>
              <w:rPr>
                <w:sz w:val="18"/>
                <w:szCs w:val="18"/>
              </w:rPr>
            </w:pPr>
            <w:r w:rsidRPr="00F02EFE">
              <w:rPr>
                <w:sz w:val="18"/>
                <w:szCs w:val="18"/>
              </w:rPr>
              <w:t>High</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7B363" w14:textId="2A3FC543" w:rsidR="00F02EFE" w:rsidRPr="00F02EFE" w:rsidRDefault="00F02EFE" w:rsidP="00F02EFE">
            <w:pPr>
              <w:rPr>
                <w:sz w:val="18"/>
                <w:szCs w:val="18"/>
              </w:rPr>
            </w:pPr>
            <w:r w:rsidRPr="00F02EFE">
              <w:rPr>
                <w:sz w:val="18"/>
                <w:szCs w:val="18"/>
              </w:rPr>
              <w:t>Strong state leadership + digital coherence</w:t>
            </w:r>
          </w:p>
        </w:tc>
      </w:tr>
      <w:tr w:rsidR="00F02EFE" w14:paraId="682C08E7" w14:textId="77777777" w:rsidTr="00F02EFE">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97E9E" w14:textId="138E5996" w:rsidR="00F02EFE" w:rsidRPr="00F02EFE" w:rsidRDefault="00F02EFE" w:rsidP="00F02EFE">
            <w:pPr>
              <w:rPr>
                <w:sz w:val="18"/>
                <w:szCs w:val="18"/>
              </w:rPr>
            </w:pPr>
            <w:r w:rsidRPr="00F02EFE">
              <w:rPr>
                <w:sz w:val="18"/>
                <w:szCs w:val="18"/>
              </w:rPr>
              <w:lastRenderedPageBreak/>
              <w:t>Benguerir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B4B4A" w14:textId="081201ED" w:rsidR="00F02EFE" w:rsidRPr="00F02EFE" w:rsidRDefault="00F02EFE" w:rsidP="00F02EFE">
            <w:pPr>
              <w:rPr>
                <w:sz w:val="18"/>
                <w:szCs w:val="18"/>
              </w:rPr>
            </w:pPr>
            <w:r w:rsidRPr="00F02EFE">
              <w:rPr>
                <w:sz w:val="18"/>
                <w:szCs w:val="18"/>
              </w:rPr>
              <w:t>Educational and innovative Green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43232" w14:textId="042F1763" w:rsidR="00F02EFE" w:rsidRPr="00F02EFE" w:rsidRDefault="00F02EFE" w:rsidP="00F02EFE">
            <w:pPr>
              <w:rPr>
                <w:sz w:val="18"/>
                <w:szCs w:val="18"/>
              </w:rPr>
            </w:pPr>
            <w:r w:rsidRPr="00F02EFE">
              <w:rPr>
                <w:sz w:val="18"/>
                <w:szCs w:val="18"/>
              </w:rPr>
              <w:t>Multi-actor, experimental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6799D" w14:textId="41E9C365" w:rsidR="00F02EFE" w:rsidRPr="00F02EFE" w:rsidRDefault="00F02EFE" w:rsidP="00F02EFE">
            <w:pPr>
              <w:rPr>
                <w:sz w:val="18"/>
                <w:szCs w:val="18"/>
              </w:rPr>
            </w:pPr>
            <w:r w:rsidRPr="00F02EFE">
              <w:rPr>
                <w:sz w:val="18"/>
                <w:szCs w:val="18"/>
              </w:rPr>
              <w:t>Medium (growing)</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44085" w14:textId="6BDEF4FA" w:rsidR="00F02EFE" w:rsidRPr="00F02EFE" w:rsidRDefault="00F02EFE" w:rsidP="00F02EFE">
            <w:pPr>
              <w:rPr>
                <w:sz w:val="18"/>
                <w:szCs w:val="18"/>
              </w:rPr>
            </w:pPr>
            <w:r w:rsidRPr="00F02EFE">
              <w:rPr>
                <w:sz w:val="18"/>
                <w:szCs w:val="18"/>
              </w:rPr>
              <w:t>Education-driven model + local innovation</w:t>
            </w:r>
          </w:p>
        </w:tc>
      </w:tr>
      <w:tr w:rsidR="00F02EFE" w14:paraId="0DA9E5B8" w14:textId="77777777" w:rsidTr="00F02EFE">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E76E8" w14:textId="4E677328" w:rsidR="00F02EFE" w:rsidRPr="00F02EFE" w:rsidRDefault="00F02EFE" w:rsidP="00F02EFE">
            <w:pPr>
              <w:rPr>
                <w:sz w:val="18"/>
                <w:szCs w:val="18"/>
              </w:rPr>
            </w:pPr>
            <w:r w:rsidRPr="00F02EFE">
              <w:rPr>
                <w:sz w:val="18"/>
                <w:szCs w:val="18"/>
              </w:rPr>
              <w:t>Zenata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49F30" w14:textId="789CB742" w:rsidR="00F02EFE" w:rsidRPr="00F02EFE" w:rsidRDefault="00F02EFE" w:rsidP="00F02EFE">
            <w:pPr>
              <w:rPr>
                <w:sz w:val="18"/>
                <w:szCs w:val="18"/>
              </w:rPr>
            </w:pPr>
            <w:r w:rsidRPr="00F02EFE">
              <w:rPr>
                <w:sz w:val="18"/>
                <w:szCs w:val="18"/>
              </w:rPr>
              <w:t>Institutional Green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BC67B" w14:textId="479CB6DF" w:rsidR="00F02EFE" w:rsidRPr="00F02EFE" w:rsidRDefault="00F02EFE" w:rsidP="00F02EFE">
            <w:pPr>
              <w:rPr>
                <w:sz w:val="18"/>
                <w:szCs w:val="18"/>
              </w:rPr>
            </w:pPr>
            <w:r w:rsidRPr="00F02EFE">
              <w:rPr>
                <w:sz w:val="18"/>
                <w:szCs w:val="18"/>
              </w:rPr>
              <w:t>Public and standardised (CDG-led)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A58E9" w14:textId="0F9CB573" w:rsidR="00F02EFE" w:rsidRPr="00F02EFE" w:rsidRDefault="00F02EFE" w:rsidP="00F02EFE">
            <w:pPr>
              <w:rPr>
                <w:sz w:val="18"/>
                <w:szCs w:val="18"/>
              </w:rPr>
            </w:pPr>
            <w:r w:rsidRPr="00F02EFE">
              <w:rPr>
                <w:sz w:val="18"/>
                <w:szCs w:val="18"/>
              </w:rPr>
              <w:t>Medium to high</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1E925" w14:textId="63FEEC16" w:rsidR="00F02EFE" w:rsidRPr="00F02EFE" w:rsidRDefault="00F02EFE" w:rsidP="00F02EFE">
            <w:pPr>
              <w:rPr>
                <w:sz w:val="18"/>
                <w:szCs w:val="18"/>
              </w:rPr>
            </w:pPr>
            <w:r w:rsidRPr="00F02EFE">
              <w:rPr>
                <w:sz w:val="18"/>
                <w:szCs w:val="18"/>
              </w:rPr>
              <w:t>ISO framework + ESG-oriented governance</w:t>
            </w:r>
          </w:p>
        </w:tc>
      </w:tr>
    </w:tbl>
    <w:p w14:paraId="5C2774E4" w14:textId="77777777" w:rsidR="00F02EFE" w:rsidRPr="00F02EFE" w:rsidRDefault="00F02EFE" w:rsidP="00F02EFE">
      <w:pPr>
        <w:pStyle w:val="NormalWeb"/>
        <w:jc w:val="both"/>
        <w:rPr>
          <w:sz w:val="20"/>
          <w:szCs w:val="20"/>
          <w:lang w:val="en-CA" w:eastAsia="en-CA"/>
        </w:rPr>
      </w:pPr>
      <w:r w:rsidRPr="00F02EFE">
        <w:rPr>
          <w:sz w:val="20"/>
          <w:szCs w:val="20"/>
        </w:rPr>
        <w:t>This comparison reveals a continuum of Smart–Green convergence.</w:t>
      </w:r>
      <w:r w:rsidRPr="00F02EFE">
        <w:rPr>
          <w:sz w:val="20"/>
          <w:szCs w:val="20"/>
        </w:rPr>
        <w:br/>
        <w:t xml:space="preserve">• </w:t>
      </w:r>
      <w:r w:rsidRPr="00F02EFE">
        <w:rPr>
          <w:rStyle w:val="Strong"/>
          <w:sz w:val="20"/>
          <w:szCs w:val="20"/>
        </w:rPr>
        <w:t>Northern cities</w:t>
      </w:r>
      <w:r w:rsidRPr="00F02EFE">
        <w:rPr>
          <w:sz w:val="20"/>
          <w:szCs w:val="20"/>
        </w:rPr>
        <w:t xml:space="preserve"> (Copenhagen and Singapore) embed sustainability within already advanced digital systems, leveraging mature data infrastructures to enhance environmental performance.</w:t>
      </w:r>
      <w:r w:rsidRPr="00F02EFE">
        <w:rPr>
          <w:sz w:val="20"/>
          <w:szCs w:val="20"/>
        </w:rPr>
        <w:br/>
        <w:t xml:space="preserve">• </w:t>
      </w:r>
      <w:r w:rsidRPr="00F02EFE">
        <w:rPr>
          <w:rStyle w:val="Strong"/>
          <w:sz w:val="20"/>
          <w:szCs w:val="20"/>
        </w:rPr>
        <w:t>Emerging cities</w:t>
      </w:r>
      <w:r w:rsidRPr="00F02EFE">
        <w:rPr>
          <w:sz w:val="20"/>
          <w:szCs w:val="20"/>
        </w:rPr>
        <w:t xml:space="preserve"> (Benguerir and Zenata) build sustainability primarily through planning, education, and standardisation, with technological integration occurring more gradually as institutional capacity and resources develop.</w:t>
      </w:r>
    </w:p>
    <w:p w14:paraId="07FA9B67" w14:textId="126CCCF9" w:rsidR="008B470C" w:rsidRPr="00D25780" w:rsidRDefault="00605986" w:rsidP="00F02EFE">
      <w:pPr>
        <w:pStyle w:val="Paragraph"/>
        <w:ind w:firstLine="0"/>
        <w:jc w:val="center"/>
        <w:rPr>
          <w:b/>
          <w:caps/>
          <w:sz w:val="24"/>
          <w:szCs w:val="24"/>
        </w:rPr>
      </w:pPr>
      <w:r w:rsidRPr="00F02EFE">
        <w:br/>
      </w:r>
      <w:r w:rsidR="006D77C8" w:rsidRPr="00D25780">
        <w:rPr>
          <w:b/>
          <w:caps/>
          <w:sz w:val="24"/>
          <w:szCs w:val="24"/>
        </w:rPr>
        <w:t>Discussion</w:t>
      </w:r>
    </w:p>
    <w:p w14:paraId="16512661" w14:textId="77777777" w:rsidR="00CA272C" w:rsidRPr="00D25780" w:rsidRDefault="00CA272C" w:rsidP="00F02EFE">
      <w:pPr>
        <w:pStyle w:val="Paragraph"/>
        <w:ind w:firstLine="0"/>
        <w:jc w:val="center"/>
        <w:rPr>
          <w:b/>
          <w:caps/>
          <w:sz w:val="24"/>
          <w:szCs w:val="24"/>
        </w:rPr>
      </w:pPr>
    </w:p>
    <w:p w14:paraId="6CF02240" w14:textId="77777777" w:rsidR="00CA272C" w:rsidRPr="00CA272C" w:rsidRDefault="006D77C8" w:rsidP="00CA272C">
      <w:pPr>
        <w:pStyle w:val="Heading4"/>
        <w:jc w:val="both"/>
        <w:rPr>
          <w:rFonts w:ascii="Times New Roman" w:eastAsia="Times New Roman" w:hAnsi="Times New Roman" w:cs="Times New Roman"/>
          <w:b/>
          <w:bCs/>
          <w:i w:val="0"/>
          <w:iCs w:val="0"/>
          <w:color w:val="auto"/>
          <w:sz w:val="20"/>
          <w:lang w:val="en-CA" w:eastAsia="en-CA"/>
        </w:rPr>
      </w:pPr>
      <w:r w:rsidRPr="00CA272C">
        <w:rPr>
          <w:b/>
          <w:bCs/>
          <w:sz w:val="36"/>
          <w:szCs w:val="36"/>
          <w:lang w:val="en-CA" w:eastAsia="en-CA"/>
        </w:rPr>
        <w:t xml:space="preserve"> </w:t>
      </w:r>
      <w:r w:rsidR="00CA272C" w:rsidRPr="00CA272C">
        <w:rPr>
          <w:rFonts w:ascii="Times New Roman" w:eastAsia="Times New Roman" w:hAnsi="Times New Roman" w:cs="Times New Roman"/>
          <w:b/>
          <w:bCs/>
          <w:i w:val="0"/>
          <w:iCs w:val="0"/>
          <w:color w:val="auto"/>
          <w:sz w:val="20"/>
          <w:lang w:val="en-CA" w:eastAsia="en-CA"/>
        </w:rPr>
        <w:t>Territorial Ecological Intelligence: An Integrated Interpretive Lens</w:t>
      </w:r>
    </w:p>
    <w:p w14:paraId="535EEEC1" w14:textId="73836CFE" w:rsidR="00CA272C" w:rsidRPr="00CA272C" w:rsidRDefault="00CA272C" w:rsidP="00CA272C">
      <w:pPr>
        <w:spacing w:before="100" w:beforeAutospacing="1" w:after="100" w:afterAutospacing="1"/>
        <w:contextualSpacing/>
        <w:jc w:val="both"/>
        <w:rPr>
          <w:sz w:val="20"/>
          <w:lang w:val="en-CA" w:eastAsia="en-CA"/>
        </w:rPr>
      </w:pPr>
      <w:r w:rsidRPr="00CA272C">
        <w:rPr>
          <w:sz w:val="20"/>
          <w:lang w:val="en-CA" w:eastAsia="en-CA"/>
        </w:rPr>
        <w:t>The findings confirm the relevance of the conceptual framework of territorial ecological intelligence for analysing the convergence between green and smart city paradigms. Across the four cases, the observed hybridisation reveals a profound transformation in modes of urban governance, where environmental data, ecological infrastructures, and digital systems no longer operate as isolated components but as interdependent elements of a single socio-ecotechnical system. The analysis shows that the cities most advanced in Smart–Green integration</w:t>
      </w:r>
      <w:r>
        <w:rPr>
          <w:sz w:val="20"/>
          <w:lang w:val="en-CA" w:eastAsia="en-CA"/>
        </w:rPr>
        <w:t xml:space="preserve">, </w:t>
      </w:r>
      <w:r w:rsidRPr="00CA272C">
        <w:rPr>
          <w:sz w:val="20"/>
          <w:lang w:val="en-CA" w:eastAsia="en-CA"/>
        </w:rPr>
        <w:t>Copenhagen and Singapore</w:t>
      </w:r>
      <w:r>
        <w:rPr>
          <w:sz w:val="20"/>
          <w:lang w:val="en-CA" w:eastAsia="en-CA"/>
        </w:rPr>
        <w:t xml:space="preserve">, </w:t>
      </w:r>
      <w:r w:rsidRPr="00CA272C">
        <w:rPr>
          <w:sz w:val="20"/>
          <w:lang w:val="en-CA" w:eastAsia="en-CA"/>
        </w:rPr>
        <w:t>mobilise simultaneously:</w:t>
      </w:r>
    </w:p>
    <w:p w14:paraId="7BFA458A" w14:textId="13F94D14" w:rsidR="00CA272C" w:rsidRPr="00CA272C" w:rsidRDefault="00CA272C" w:rsidP="00CA272C">
      <w:pPr>
        <w:spacing w:before="100" w:beforeAutospacing="1" w:after="100" w:afterAutospacing="1"/>
        <w:contextualSpacing/>
        <w:jc w:val="both"/>
        <w:rPr>
          <w:sz w:val="20"/>
          <w:lang w:val="en-CA" w:eastAsia="en-CA"/>
        </w:rPr>
      </w:pPr>
      <w:r w:rsidRPr="00CA272C">
        <w:rPr>
          <w:sz w:val="20"/>
          <w:lang w:val="en-CA" w:eastAsia="en-CA"/>
        </w:rPr>
        <w:t xml:space="preserve">• </w:t>
      </w:r>
      <w:r w:rsidRPr="00CA272C">
        <w:rPr>
          <w:b/>
          <w:bCs/>
          <w:sz w:val="20"/>
          <w:lang w:val="en-CA" w:eastAsia="en-CA"/>
        </w:rPr>
        <w:t>Ecological intelligence</w:t>
      </w:r>
      <w:r w:rsidRPr="00CA272C">
        <w:rPr>
          <w:sz w:val="20"/>
          <w:lang w:val="en-CA" w:eastAsia="en-CA"/>
        </w:rPr>
        <w:t>, grounded in the understanding of natural cycles and the sustainable management of resources;</w:t>
      </w:r>
      <w:r w:rsidRPr="00CA272C">
        <w:rPr>
          <w:sz w:val="20"/>
          <w:lang w:val="en-CA" w:eastAsia="en-CA"/>
        </w:rPr>
        <w:br/>
        <w:t>•</w:t>
      </w:r>
      <w:r w:rsidRPr="00CA272C">
        <w:rPr>
          <w:b/>
          <w:bCs/>
          <w:sz w:val="20"/>
          <w:lang w:val="en-CA" w:eastAsia="en-CA"/>
        </w:rPr>
        <w:t>Technological intelligence</w:t>
      </w:r>
      <w:r w:rsidRPr="00CA272C">
        <w:rPr>
          <w:sz w:val="20"/>
          <w:lang w:val="en-CA" w:eastAsia="en-CA"/>
        </w:rPr>
        <w:t>, based on AI, IoT, predictive modelling, and data platforms;</w:t>
      </w:r>
      <w:r w:rsidRPr="00CA272C">
        <w:rPr>
          <w:sz w:val="20"/>
          <w:lang w:val="en-CA" w:eastAsia="en-CA"/>
        </w:rPr>
        <w:br/>
        <w:t xml:space="preserve">• </w:t>
      </w:r>
      <w:r w:rsidRPr="00CA272C">
        <w:rPr>
          <w:b/>
          <w:bCs/>
          <w:sz w:val="20"/>
          <w:lang w:val="en-CA" w:eastAsia="en-CA"/>
        </w:rPr>
        <w:t>Institutional intelligence</w:t>
      </w:r>
      <w:r w:rsidRPr="00CA272C">
        <w:rPr>
          <w:sz w:val="20"/>
          <w:lang w:val="en-CA" w:eastAsia="en-CA"/>
        </w:rPr>
        <w:t>, structured around multi-actor coordination, transparency, and adaptive governance capacities.</w:t>
      </w:r>
    </w:p>
    <w:p w14:paraId="4B4AC0C2" w14:textId="77777777" w:rsidR="00CA272C" w:rsidRPr="00CA272C" w:rsidRDefault="00CA272C" w:rsidP="00CA272C">
      <w:pPr>
        <w:spacing w:before="100" w:beforeAutospacing="1" w:after="100" w:afterAutospacing="1"/>
        <w:contextualSpacing/>
        <w:jc w:val="both"/>
        <w:rPr>
          <w:sz w:val="20"/>
          <w:lang w:val="en-CA" w:eastAsia="en-CA"/>
        </w:rPr>
      </w:pPr>
      <w:r w:rsidRPr="00CA272C">
        <w:rPr>
          <w:sz w:val="20"/>
          <w:lang w:val="en-CA" w:eastAsia="en-CA"/>
        </w:rPr>
        <w:t>This tripartite articulation reinforces the notion that contemporary urban sustainability relies not only on ecological or technological performance, but also on the capacity of institutional systems to integrate these dimensions coherently. The cases illustrate that cities combining these forms of intelligence develop more effective mechanisms for resilience, anticipation, risk management, and social inclusion.</w:t>
      </w:r>
    </w:p>
    <w:p w14:paraId="0DD1B59C" w14:textId="0A2D4463" w:rsidR="00CA272C" w:rsidRPr="00CA272C" w:rsidRDefault="00CA272C" w:rsidP="00CA272C">
      <w:pPr>
        <w:contextualSpacing/>
        <w:jc w:val="both"/>
        <w:rPr>
          <w:sz w:val="20"/>
          <w:lang w:val="en-CA" w:eastAsia="en-CA"/>
        </w:rPr>
      </w:pPr>
    </w:p>
    <w:p w14:paraId="4130E110" w14:textId="77777777" w:rsidR="00CA272C" w:rsidRPr="00CA272C" w:rsidRDefault="00CA272C" w:rsidP="00CA272C">
      <w:pPr>
        <w:spacing w:before="100" w:beforeAutospacing="1" w:after="100" w:afterAutospacing="1"/>
        <w:contextualSpacing/>
        <w:jc w:val="both"/>
        <w:outlineLvl w:val="3"/>
        <w:rPr>
          <w:b/>
          <w:bCs/>
          <w:sz w:val="20"/>
          <w:lang w:val="en-CA" w:eastAsia="en-CA"/>
        </w:rPr>
      </w:pPr>
      <w:r w:rsidRPr="00CA272C">
        <w:rPr>
          <w:b/>
          <w:bCs/>
          <w:sz w:val="20"/>
          <w:lang w:val="en-CA" w:eastAsia="en-CA"/>
        </w:rPr>
        <w:t>North–South Dynamics: Greening Technology vs. Technologising Sustainability</w:t>
      </w:r>
    </w:p>
    <w:p w14:paraId="0B36EFEB" w14:textId="77777777" w:rsidR="00CA272C" w:rsidRPr="00CA272C" w:rsidRDefault="00CA272C" w:rsidP="00CA272C">
      <w:pPr>
        <w:spacing w:before="100" w:beforeAutospacing="1" w:after="100" w:afterAutospacing="1"/>
        <w:contextualSpacing/>
        <w:jc w:val="both"/>
        <w:rPr>
          <w:sz w:val="20"/>
          <w:lang w:val="en-CA" w:eastAsia="en-CA"/>
        </w:rPr>
      </w:pPr>
      <w:r w:rsidRPr="00CA272C">
        <w:rPr>
          <w:sz w:val="20"/>
          <w:lang w:val="en-CA" w:eastAsia="en-CA"/>
        </w:rPr>
        <w:t>The comparison between Copenhagen and Singapore on one side, and Benguerir and Zenata on the other, highlights a structural North–South asymmetry in Smart–Green transition pathways.</w:t>
      </w:r>
    </w:p>
    <w:p w14:paraId="559EBA53" w14:textId="77777777" w:rsidR="00CA272C" w:rsidRPr="00CA272C" w:rsidRDefault="00CA272C" w:rsidP="00634B65">
      <w:pPr>
        <w:spacing w:before="100" w:beforeAutospacing="1" w:after="100" w:afterAutospacing="1"/>
        <w:rPr>
          <w:sz w:val="20"/>
          <w:lang w:val="en-CA" w:eastAsia="en-CA"/>
        </w:rPr>
      </w:pPr>
      <w:r w:rsidRPr="00CA272C">
        <w:rPr>
          <w:sz w:val="20"/>
          <w:lang w:val="en-CA" w:eastAsia="en-CA"/>
        </w:rPr>
        <w:t xml:space="preserve">In </w:t>
      </w:r>
      <w:r w:rsidRPr="00CA272C">
        <w:rPr>
          <w:b/>
          <w:bCs/>
          <w:sz w:val="20"/>
          <w:lang w:val="en-CA" w:eastAsia="en-CA"/>
        </w:rPr>
        <w:t>Northern cities</w:t>
      </w:r>
      <w:r w:rsidRPr="00CA272C">
        <w:rPr>
          <w:sz w:val="20"/>
          <w:lang w:val="en-CA" w:eastAsia="en-CA"/>
        </w:rPr>
        <w:t>:</w:t>
      </w:r>
      <w:r w:rsidRPr="00CA272C">
        <w:rPr>
          <w:sz w:val="20"/>
          <w:lang w:val="en-CA" w:eastAsia="en-CA"/>
        </w:rPr>
        <w:br/>
        <w:t>• Digital infrastructures were already highly mature before ecological considerations were integrated;</w:t>
      </w:r>
      <w:r w:rsidRPr="00CA272C">
        <w:rPr>
          <w:sz w:val="20"/>
          <w:lang w:val="en-CA" w:eastAsia="en-CA"/>
        </w:rPr>
        <w:br/>
        <w:t>• The priority has been to green technology, aligning digital systems with climate objectives;</w:t>
      </w:r>
      <w:r w:rsidRPr="00CA272C">
        <w:rPr>
          <w:sz w:val="20"/>
          <w:lang w:val="en-CA" w:eastAsia="en-CA"/>
        </w:rPr>
        <w:br/>
        <w:t>• Models rely on open-data platforms, digital twins, dense sensor networks, and collaborative governance.</w:t>
      </w:r>
    </w:p>
    <w:p w14:paraId="455EE595" w14:textId="57A1F427" w:rsidR="00CA272C" w:rsidRPr="00CA272C" w:rsidRDefault="00CA272C" w:rsidP="00634B65">
      <w:pPr>
        <w:spacing w:before="100" w:beforeAutospacing="1" w:after="100" w:afterAutospacing="1"/>
        <w:rPr>
          <w:sz w:val="20"/>
          <w:lang w:val="en-CA" w:eastAsia="en-CA"/>
        </w:rPr>
      </w:pPr>
      <w:r w:rsidRPr="00CA272C">
        <w:rPr>
          <w:sz w:val="20"/>
          <w:lang w:val="en-CA" w:eastAsia="en-CA"/>
        </w:rPr>
        <w:t xml:space="preserve">In </w:t>
      </w:r>
      <w:r w:rsidRPr="00CA272C">
        <w:rPr>
          <w:b/>
          <w:bCs/>
          <w:sz w:val="20"/>
          <w:lang w:val="en-CA" w:eastAsia="en-CA"/>
        </w:rPr>
        <w:t>Southern cities</w:t>
      </w:r>
      <w:r w:rsidRPr="00CA272C">
        <w:rPr>
          <w:sz w:val="20"/>
          <w:lang w:val="en-CA" w:eastAsia="en-CA"/>
        </w:rPr>
        <w:t>:</w:t>
      </w:r>
      <w:r w:rsidRPr="00CA272C">
        <w:rPr>
          <w:sz w:val="20"/>
          <w:lang w:val="en-CA" w:eastAsia="en-CA"/>
        </w:rPr>
        <w:br/>
        <w:t>• Urban transitions initially focused on ecological sustainability (green corridors, water management, functional mixity);</w:t>
      </w:r>
      <w:r w:rsidRPr="00CA272C">
        <w:rPr>
          <w:sz w:val="20"/>
          <w:lang w:val="en-CA" w:eastAsia="en-CA"/>
        </w:rPr>
        <w:br/>
        <w:t>•Digital systems remain emerging and sometimes fragmented;</w:t>
      </w:r>
      <w:r w:rsidRPr="00CA272C">
        <w:rPr>
          <w:sz w:val="20"/>
          <w:lang w:val="en-CA" w:eastAsia="en-CA"/>
        </w:rPr>
        <w:br/>
        <w:t>• The priority is to technologise sustainability, progressively mobilising digital tools to reinforce ecological, institutional, and social achievements.</w:t>
      </w:r>
    </w:p>
    <w:p w14:paraId="1170BF50" w14:textId="23BC3117" w:rsidR="00CA272C" w:rsidRDefault="00CA272C" w:rsidP="00634B65">
      <w:pPr>
        <w:spacing w:before="100" w:beforeAutospacing="1" w:after="100" w:afterAutospacing="1"/>
        <w:jc w:val="both"/>
        <w:rPr>
          <w:sz w:val="20"/>
          <w:lang w:val="en-CA" w:eastAsia="en-CA"/>
        </w:rPr>
      </w:pPr>
      <w:r w:rsidRPr="00CA272C">
        <w:rPr>
          <w:sz w:val="20"/>
          <w:lang w:val="en-CA" w:eastAsia="en-CA"/>
        </w:rPr>
        <w:t>These contrasts demonstrate that Smart–Green trajectories are not universal but context-dependent, shaped by available resources, institutional capacities, technological maturity, and territorial needs. Importantly, Southern cities exhibit significant innovation potential due to their capacity to design contextually grounded and socio-economically relevant models.</w:t>
      </w:r>
    </w:p>
    <w:p w14:paraId="544D01D5" w14:textId="77777777" w:rsidR="000A46E9" w:rsidRPr="00CA272C" w:rsidRDefault="000A46E9" w:rsidP="00634B65">
      <w:pPr>
        <w:spacing w:before="100" w:beforeAutospacing="1" w:after="100" w:afterAutospacing="1"/>
        <w:jc w:val="both"/>
        <w:rPr>
          <w:sz w:val="20"/>
          <w:lang w:val="en-CA" w:eastAsia="en-CA"/>
        </w:rPr>
      </w:pPr>
    </w:p>
    <w:p w14:paraId="2D681184" w14:textId="77777777" w:rsidR="00CA272C" w:rsidRPr="00CA272C" w:rsidRDefault="00CA272C" w:rsidP="00CA272C">
      <w:pPr>
        <w:spacing w:before="100" w:beforeAutospacing="1" w:after="100" w:afterAutospacing="1"/>
        <w:jc w:val="both"/>
        <w:outlineLvl w:val="3"/>
        <w:rPr>
          <w:b/>
          <w:bCs/>
          <w:sz w:val="20"/>
          <w:lang w:val="en-CA" w:eastAsia="en-CA"/>
        </w:rPr>
      </w:pPr>
      <w:r w:rsidRPr="00CA272C">
        <w:rPr>
          <w:b/>
          <w:bCs/>
          <w:sz w:val="20"/>
          <w:lang w:val="en-CA" w:eastAsia="en-CA"/>
        </w:rPr>
        <w:lastRenderedPageBreak/>
        <w:t>Towards an Adaptive Architecture for Smart–Green Transitions</w:t>
      </w:r>
    </w:p>
    <w:p w14:paraId="0C74CA4D" w14:textId="77777777" w:rsidR="00CA272C" w:rsidRPr="00CA272C" w:rsidRDefault="00CA272C" w:rsidP="00634B65">
      <w:pPr>
        <w:spacing w:before="100" w:beforeAutospacing="1" w:after="100" w:afterAutospacing="1"/>
        <w:contextualSpacing/>
        <w:jc w:val="both"/>
        <w:rPr>
          <w:sz w:val="20"/>
          <w:lang w:val="en-CA" w:eastAsia="en-CA"/>
        </w:rPr>
      </w:pPr>
      <w:r w:rsidRPr="00CA272C">
        <w:rPr>
          <w:sz w:val="20"/>
          <w:lang w:val="en-CA" w:eastAsia="en-CA"/>
        </w:rPr>
        <w:t>Overall, the results indicate that Smart–Green convergence is not a uniform model but an evolving process. The most successful cities are those capable of developing a flexible architecture combining:</w:t>
      </w:r>
    </w:p>
    <w:p w14:paraId="77819B2D" w14:textId="77777777" w:rsidR="00CA272C" w:rsidRPr="00CA272C" w:rsidRDefault="00CA272C" w:rsidP="00634B65">
      <w:pPr>
        <w:spacing w:before="100" w:beforeAutospacing="1" w:after="100" w:afterAutospacing="1"/>
        <w:contextualSpacing/>
        <w:rPr>
          <w:sz w:val="20"/>
          <w:lang w:val="en-CA" w:eastAsia="en-CA"/>
        </w:rPr>
      </w:pPr>
      <w:r w:rsidRPr="00CA272C">
        <w:rPr>
          <w:sz w:val="20"/>
          <w:lang w:val="en-CA" w:eastAsia="en-CA"/>
        </w:rPr>
        <w:t>• data-driven governance;</w:t>
      </w:r>
      <w:r w:rsidRPr="00CA272C">
        <w:rPr>
          <w:sz w:val="20"/>
          <w:lang w:val="en-CA" w:eastAsia="en-CA"/>
        </w:rPr>
        <w:br/>
        <w:t>• robust ecological infrastructures;</w:t>
      </w:r>
      <w:r w:rsidRPr="00CA272C">
        <w:rPr>
          <w:sz w:val="20"/>
          <w:lang w:val="en-CA" w:eastAsia="en-CA"/>
        </w:rPr>
        <w:br/>
        <w:t>• adaptive, multi-level governance frameworks.</w:t>
      </w:r>
    </w:p>
    <w:p w14:paraId="422AF7D2" w14:textId="77777777" w:rsidR="00CA272C" w:rsidRPr="00CA272C" w:rsidRDefault="00CA272C" w:rsidP="00634B65">
      <w:pPr>
        <w:spacing w:before="100" w:beforeAutospacing="1" w:after="100" w:afterAutospacing="1"/>
        <w:contextualSpacing/>
        <w:jc w:val="both"/>
        <w:rPr>
          <w:sz w:val="20"/>
          <w:lang w:val="en-CA" w:eastAsia="en-CA"/>
        </w:rPr>
      </w:pPr>
      <w:r w:rsidRPr="00CA272C">
        <w:rPr>
          <w:sz w:val="20"/>
          <w:lang w:val="en-CA" w:eastAsia="en-CA"/>
        </w:rPr>
        <w:t>This adaptive character enhances resilience, innovation capacity, and social ownership of urban transformations. It also underscores the need for public policies to move beyond standardised templates in favour of differentiated approaches that are sensitive to local specificities.</w:t>
      </w:r>
    </w:p>
    <w:p w14:paraId="1A828B1E" w14:textId="1F5F8F94" w:rsidR="00916848" w:rsidRPr="00D25780" w:rsidRDefault="00916848" w:rsidP="00634B65">
      <w:pPr>
        <w:spacing w:before="100" w:beforeAutospacing="1" w:after="100" w:afterAutospacing="1"/>
        <w:jc w:val="center"/>
        <w:outlineLvl w:val="0"/>
        <w:rPr>
          <w:b/>
          <w:caps/>
          <w:szCs w:val="24"/>
          <w:lang w:val="en-CA"/>
        </w:rPr>
      </w:pPr>
      <w:r w:rsidRPr="00D25780">
        <w:rPr>
          <w:b/>
          <w:caps/>
          <w:szCs w:val="24"/>
          <w:lang w:val="en-CA"/>
        </w:rPr>
        <w:t>Limitations</w:t>
      </w:r>
    </w:p>
    <w:p w14:paraId="0DB40169" w14:textId="77777777" w:rsidR="00455D05" w:rsidRPr="00455D05" w:rsidRDefault="00455D05" w:rsidP="00455D05">
      <w:pPr>
        <w:pStyle w:val="NormalWeb"/>
        <w:jc w:val="both"/>
        <w:rPr>
          <w:sz w:val="20"/>
          <w:szCs w:val="20"/>
          <w:lang w:val="en-CA" w:eastAsia="en-CA"/>
        </w:rPr>
      </w:pPr>
      <w:r w:rsidRPr="00455D05">
        <w:rPr>
          <w:sz w:val="20"/>
          <w:szCs w:val="20"/>
        </w:rPr>
        <w:t>This study presents several limitations that should be acknowledged when interpreting the findings.</w:t>
      </w:r>
    </w:p>
    <w:p w14:paraId="4DA6CF78" w14:textId="77777777" w:rsidR="00455D05" w:rsidRPr="00455D05" w:rsidRDefault="00455D05" w:rsidP="00455D05">
      <w:pPr>
        <w:pStyle w:val="NormalWeb"/>
        <w:numPr>
          <w:ilvl w:val="0"/>
          <w:numId w:val="34"/>
        </w:numPr>
        <w:jc w:val="both"/>
        <w:rPr>
          <w:sz w:val="20"/>
          <w:szCs w:val="20"/>
        </w:rPr>
      </w:pPr>
      <w:r w:rsidRPr="00455D05">
        <w:rPr>
          <w:rStyle w:val="Strong"/>
          <w:sz w:val="20"/>
          <w:szCs w:val="20"/>
        </w:rPr>
        <w:t>Limitations related to secondary data.</w:t>
      </w:r>
      <w:r w:rsidRPr="00455D05">
        <w:rPr>
          <w:sz w:val="20"/>
          <w:szCs w:val="20"/>
        </w:rPr>
        <w:br/>
        <w:t>The analysis relies primarily on secondary data derived from institutional reports and normative databases, whose availability, accuracy, and timeliness vary significantly across the selected cities. This heterogeneity constrains fine-grained comparability, particularly in emerging contexts where data systems are less robust or less standardised.</w:t>
      </w:r>
    </w:p>
    <w:p w14:paraId="13720806" w14:textId="77777777" w:rsidR="00455D05" w:rsidRPr="00455D05" w:rsidRDefault="00455D05" w:rsidP="00455D05">
      <w:pPr>
        <w:pStyle w:val="NormalWeb"/>
        <w:numPr>
          <w:ilvl w:val="0"/>
          <w:numId w:val="34"/>
        </w:numPr>
        <w:jc w:val="both"/>
        <w:rPr>
          <w:sz w:val="20"/>
          <w:szCs w:val="20"/>
        </w:rPr>
      </w:pPr>
      <w:r w:rsidRPr="00455D05">
        <w:rPr>
          <w:rStyle w:val="Strong"/>
          <w:sz w:val="20"/>
          <w:szCs w:val="20"/>
        </w:rPr>
        <w:t>Limitations concerning the geographical scope and number of cases.</w:t>
      </w:r>
      <w:r w:rsidRPr="00455D05">
        <w:rPr>
          <w:sz w:val="20"/>
          <w:szCs w:val="20"/>
        </w:rPr>
        <w:br/>
        <w:t>The selection of four cities—while enabling a meaningful North–South comparison—captures only a limited portion of the diversity of Smart–Green urban trajectories. Consequently, the findings cannot be generalised to all cities, particularly those lacking formalised normative frameworks or advanced digital strategies.</w:t>
      </w:r>
    </w:p>
    <w:p w14:paraId="18AA8CAC" w14:textId="77777777" w:rsidR="00455D05" w:rsidRPr="00455D05" w:rsidRDefault="00455D05" w:rsidP="00455D05">
      <w:pPr>
        <w:pStyle w:val="NormalWeb"/>
        <w:numPr>
          <w:ilvl w:val="0"/>
          <w:numId w:val="34"/>
        </w:numPr>
        <w:jc w:val="both"/>
        <w:rPr>
          <w:sz w:val="20"/>
          <w:szCs w:val="20"/>
        </w:rPr>
      </w:pPr>
      <w:r w:rsidRPr="00455D05">
        <w:rPr>
          <w:rStyle w:val="Strong"/>
          <w:sz w:val="20"/>
          <w:szCs w:val="20"/>
        </w:rPr>
        <w:t>Methodological limitations associated with the qualitative approach.</w:t>
      </w:r>
      <w:r w:rsidRPr="00455D05">
        <w:rPr>
          <w:sz w:val="20"/>
          <w:szCs w:val="20"/>
        </w:rPr>
        <w:br/>
        <w:t>The study employs an in-depth qualitative framework but does not statistically test the relationships between ecological, technological, and institutional dimensions. The absence of quantitative modelling or longitudinal datasets limits the capacity to establish causal effects or to forecast future developments.</w:t>
      </w:r>
    </w:p>
    <w:p w14:paraId="57A06070" w14:textId="77777777" w:rsidR="00596B01" w:rsidRPr="00D25780" w:rsidRDefault="00596B01" w:rsidP="00596B01">
      <w:pPr>
        <w:spacing w:before="100" w:beforeAutospacing="1" w:after="100" w:afterAutospacing="1"/>
        <w:jc w:val="center"/>
        <w:rPr>
          <w:sz w:val="20"/>
          <w:lang w:val="en-CA" w:eastAsia="en-CA"/>
        </w:rPr>
      </w:pPr>
      <w:r w:rsidRPr="00D25780">
        <w:rPr>
          <w:b/>
          <w:caps/>
          <w:szCs w:val="24"/>
          <w:lang w:val="en-CA"/>
        </w:rPr>
        <w:t>Originality and Research Contribution</w:t>
      </w:r>
    </w:p>
    <w:p w14:paraId="1254B10A" w14:textId="79FAA6A4" w:rsidR="00C3290A" w:rsidRPr="00C3290A" w:rsidRDefault="00C3290A" w:rsidP="00C3290A">
      <w:pPr>
        <w:pStyle w:val="NormalWeb"/>
        <w:contextualSpacing/>
        <w:jc w:val="both"/>
        <w:rPr>
          <w:sz w:val="20"/>
          <w:szCs w:val="20"/>
          <w:lang w:val="en-CA" w:eastAsia="en-CA"/>
        </w:rPr>
      </w:pPr>
      <w:r w:rsidRPr="00C3290A">
        <w:rPr>
          <w:sz w:val="20"/>
          <w:szCs w:val="20"/>
        </w:rPr>
        <w:t>This study makes several original contributions to the literature on sustainable and smart urban development. First, it introduces a novel conceptual framework</w:t>
      </w:r>
      <w:r>
        <w:rPr>
          <w:sz w:val="20"/>
          <w:szCs w:val="20"/>
        </w:rPr>
        <w:t xml:space="preserve">, </w:t>
      </w:r>
      <w:r w:rsidRPr="00C3290A">
        <w:rPr>
          <w:rStyle w:val="Strong"/>
          <w:b w:val="0"/>
          <w:bCs w:val="0"/>
          <w:sz w:val="20"/>
          <w:szCs w:val="20"/>
        </w:rPr>
        <w:t>territorial ecological intelligence</w:t>
      </w:r>
      <w:r>
        <w:rPr>
          <w:sz w:val="20"/>
          <w:szCs w:val="20"/>
        </w:rPr>
        <w:t xml:space="preserve">, </w:t>
      </w:r>
      <w:r w:rsidRPr="00C3290A">
        <w:rPr>
          <w:sz w:val="20"/>
          <w:szCs w:val="20"/>
        </w:rPr>
        <w:t xml:space="preserve">which integrates ecological, technological, and institutional dimensions of urban sustainability into a coherent analytical lens. Second, it provides a </w:t>
      </w:r>
      <w:r w:rsidRPr="00C3290A">
        <w:rPr>
          <w:rStyle w:val="Strong"/>
          <w:b w:val="0"/>
          <w:bCs w:val="0"/>
          <w:sz w:val="20"/>
          <w:szCs w:val="20"/>
        </w:rPr>
        <w:t>North–South comparative perspective</w:t>
      </w:r>
      <w:r w:rsidRPr="00C3290A">
        <w:rPr>
          <w:sz w:val="20"/>
          <w:szCs w:val="20"/>
        </w:rPr>
        <w:t xml:space="preserve"> that remains underexplored in existing scholarship, highlighting structural asymmetries and contextual dynamics shaping Smart–Green transition pathways.</w:t>
      </w:r>
    </w:p>
    <w:p w14:paraId="56188DE5" w14:textId="77777777" w:rsidR="00C3290A" w:rsidRPr="00C3290A" w:rsidRDefault="00C3290A" w:rsidP="00C3290A">
      <w:pPr>
        <w:pStyle w:val="NormalWeb"/>
        <w:contextualSpacing/>
        <w:jc w:val="both"/>
        <w:rPr>
          <w:sz w:val="20"/>
          <w:szCs w:val="20"/>
        </w:rPr>
      </w:pPr>
      <w:r w:rsidRPr="00C3290A">
        <w:rPr>
          <w:sz w:val="20"/>
          <w:szCs w:val="20"/>
        </w:rPr>
        <w:t xml:space="preserve">In addition, the research is among the first to jointly mobilise </w:t>
      </w:r>
      <w:r w:rsidRPr="00C3290A">
        <w:rPr>
          <w:rStyle w:val="Strong"/>
          <w:b w:val="0"/>
          <w:bCs w:val="0"/>
          <w:sz w:val="20"/>
          <w:szCs w:val="20"/>
        </w:rPr>
        <w:t>ESG frameworks</w:t>
      </w:r>
      <w:r w:rsidRPr="00C3290A">
        <w:rPr>
          <w:b/>
          <w:bCs/>
          <w:sz w:val="20"/>
          <w:szCs w:val="20"/>
        </w:rPr>
        <w:t xml:space="preserve">, </w:t>
      </w:r>
      <w:r w:rsidRPr="00C3290A">
        <w:rPr>
          <w:rStyle w:val="Strong"/>
          <w:b w:val="0"/>
          <w:bCs w:val="0"/>
          <w:sz w:val="20"/>
          <w:szCs w:val="20"/>
        </w:rPr>
        <w:t>ISO 37120/37122/37123 standards</w:t>
      </w:r>
      <w:r w:rsidRPr="00C3290A">
        <w:rPr>
          <w:sz w:val="20"/>
          <w:szCs w:val="20"/>
        </w:rPr>
        <w:t xml:space="preserve">, and the </w:t>
      </w:r>
      <w:r w:rsidRPr="003A5F51">
        <w:rPr>
          <w:rStyle w:val="Strong"/>
          <w:b w:val="0"/>
          <w:bCs w:val="0"/>
          <w:sz w:val="20"/>
          <w:szCs w:val="20"/>
        </w:rPr>
        <w:t>Green City Action Plan (GCAP)</w:t>
      </w:r>
      <w:r w:rsidRPr="00C3290A">
        <w:rPr>
          <w:sz w:val="20"/>
          <w:szCs w:val="20"/>
        </w:rPr>
        <w:t xml:space="preserve"> to assess urban environmental, digital, and governance performance simultaneously. This multi-layered normative integration offers an innovative approach for analysing hybrid sustainability models.</w:t>
      </w:r>
    </w:p>
    <w:p w14:paraId="07086C0D" w14:textId="04C00000" w:rsidR="00C3290A" w:rsidRPr="00C3290A" w:rsidRDefault="00C3290A" w:rsidP="00C3290A">
      <w:pPr>
        <w:pStyle w:val="NormalWeb"/>
        <w:contextualSpacing/>
        <w:jc w:val="both"/>
        <w:rPr>
          <w:sz w:val="20"/>
          <w:szCs w:val="20"/>
        </w:rPr>
      </w:pPr>
      <w:r w:rsidRPr="00C3290A">
        <w:rPr>
          <w:sz w:val="20"/>
          <w:szCs w:val="20"/>
        </w:rPr>
        <w:t xml:space="preserve">Finally, by incorporating the cases of </w:t>
      </w:r>
      <w:r w:rsidRPr="00A61BCC">
        <w:rPr>
          <w:rStyle w:val="Strong"/>
          <w:b w:val="0"/>
          <w:bCs w:val="0"/>
          <w:sz w:val="20"/>
          <w:szCs w:val="20"/>
        </w:rPr>
        <w:t>Benguerir and Zenata</w:t>
      </w:r>
      <w:r w:rsidR="00A61BCC">
        <w:rPr>
          <w:sz w:val="20"/>
          <w:szCs w:val="20"/>
        </w:rPr>
        <w:t xml:space="preserve">, </w:t>
      </w:r>
      <w:r w:rsidRPr="00C3290A">
        <w:rPr>
          <w:sz w:val="20"/>
          <w:szCs w:val="20"/>
        </w:rPr>
        <w:t>two emerging North African cities that remain insufficiently documented in the international literature</w:t>
      </w:r>
      <w:r w:rsidR="00A61BCC">
        <w:rPr>
          <w:sz w:val="20"/>
          <w:szCs w:val="20"/>
        </w:rPr>
        <w:t xml:space="preserve">, </w:t>
      </w:r>
      <w:r w:rsidRPr="00C3290A">
        <w:rPr>
          <w:sz w:val="20"/>
          <w:szCs w:val="20"/>
        </w:rPr>
        <w:t xml:space="preserve">the study broadens the empirical landscape of Smart–Green transitions. Overall, it establishes the foundation for a </w:t>
      </w:r>
      <w:r w:rsidRPr="00A61BCC">
        <w:rPr>
          <w:rStyle w:val="Strong"/>
          <w:b w:val="0"/>
          <w:bCs w:val="0"/>
          <w:sz w:val="20"/>
          <w:szCs w:val="20"/>
        </w:rPr>
        <w:t>replicable and transferable analytical framework</w:t>
      </w:r>
      <w:r w:rsidRPr="00C3290A">
        <w:rPr>
          <w:sz w:val="20"/>
          <w:szCs w:val="20"/>
        </w:rPr>
        <w:t xml:space="preserve"> applicable to diverse urban contexts.</w:t>
      </w:r>
    </w:p>
    <w:p w14:paraId="393E5FFC" w14:textId="18C4EDD6" w:rsidR="00DC0162" w:rsidRPr="00A61BCC" w:rsidRDefault="00DC0162" w:rsidP="00DC0162">
      <w:pPr>
        <w:spacing w:before="100" w:after="100" w:line="276" w:lineRule="auto"/>
        <w:jc w:val="center"/>
        <w:outlineLvl w:val="2"/>
        <w:rPr>
          <w:b/>
          <w:bCs/>
          <w:szCs w:val="24"/>
          <w:lang w:val="en-CA" w:eastAsia="en-CA"/>
        </w:rPr>
      </w:pPr>
      <w:r w:rsidRPr="00A61BCC">
        <w:rPr>
          <w:b/>
          <w:bCs/>
          <w:szCs w:val="24"/>
          <w:lang w:val="en-CA" w:eastAsia="en-CA"/>
        </w:rPr>
        <w:t>C</w:t>
      </w:r>
      <w:r w:rsidR="00917526" w:rsidRPr="00A61BCC">
        <w:rPr>
          <w:b/>
          <w:bCs/>
          <w:szCs w:val="24"/>
          <w:lang w:val="en-CA" w:eastAsia="en-CA"/>
        </w:rPr>
        <w:t>ONCLUSION</w:t>
      </w:r>
    </w:p>
    <w:p w14:paraId="7660BA69" w14:textId="5402632B" w:rsidR="00A61BCC" w:rsidRPr="00CD7D37" w:rsidRDefault="00A61BCC" w:rsidP="00CD7D37">
      <w:pPr>
        <w:pStyle w:val="NormalWeb"/>
        <w:contextualSpacing/>
        <w:jc w:val="both"/>
        <w:rPr>
          <w:sz w:val="20"/>
          <w:szCs w:val="20"/>
          <w:lang w:val="en-CA" w:eastAsia="en-CA"/>
        </w:rPr>
      </w:pPr>
      <w:r w:rsidRPr="00CD7D37">
        <w:rPr>
          <w:sz w:val="20"/>
          <w:szCs w:val="20"/>
        </w:rPr>
        <w:t>This study demonstrates that the convergence between green and smart city approaches has become a crucial lever for strengthening urban sustainability. The comparative analysis shows that neither ecological strategies nor technological solutions alone are sufficient to address current climatic, social, and institutional challenges. Their combination within an integrated model</w:t>
      </w:r>
      <w:r w:rsidR="00CD7D37">
        <w:rPr>
          <w:sz w:val="20"/>
          <w:szCs w:val="20"/>
        </w:rPr>
        <w:t xml:space="preserve">, </w:t>
      </w:r>
      <w:r w:rsidRPr="00CD7D37">
        <w:rPr>
          <w:sz w:val="20"/>
          <w:szCs w:val="20"/>
        </w:rPr>
        <w:t>the Smart Green City</w:t>
      </w:r>
      <w:r w:rsidR="00CD7D37">
        <w:rPr>
          <w:sz w:val="20"/>
          <w:szCs w:val="20"/>
        </w:rPr>
        <w:t xml:space="preserve">, </w:t>
      </w:r>
      <w:r w:rsidRPr="00CD7D37">
        <w:rPr>
          <w:sz w:val="20"/>
          <w:szCs w:val="20"/>
        </w:rPr>
        <w:t>enables the articulation of ecological infrastructures, digital systems, and adaptive governance.</w:t>
      </w:r>
    </w:p>
    <w:p w14:paraId="77DC3C5C" w14:textId="77777777" w:rsidR="00A61BCC" w:rsidRPr="00CD7D37" w:rsidRDefault="00A61BCC" w:rsidP="00CD7D37">
      <w:pPr>
        <w:pStyle w:val="NormalWeb"/>
        <w:contextualSpacing/>
        <w:jc w:val="both"/>
        <w:rPr>
          <w:sz w:val="20"/>
          <w:szCs w:val="20"/>
        </w:rPr>
      </w:pPr>
      <w:r w:rsidRPr="00CD7D37">
        <w:rPr>
          <w:sz w:val="20"/>
          <w:szCs w:val="20"/>
        </w:rPr>
        <w:t xml:space="preserve">The results also reveal differentiated transition trajectories: Northern cities primarily aim to green already mature digital systems, while Southern cities progressively technologise pre-existing ecological foundations. Within this </w:t>
      </w:r>
      <w:r w:rsidRPr="00CD7D37">
        <w:rPr>
          <w:sz w:val="20"/>
          <w:szCs w:val="20"/>
        </w:rPr>
        <w:lastRenderedPageBreak/>
        <w:t>context, Benguerir and Zenata emerge as promising laboratories for a hybrid Moroccan model grounded in ISO standardisation, local innovation, and multi-level governance.</w:t>
      </w:r>
    </w:p>
    <w:p w14:paraId="57049D1E" w14:textId="77777777" w:rsidR="00A61BCC" w:rsidRPr="00CD7D37" w:rsidRDefault="00A61BCC" w:rsidP="00CD7D37">
      <w:pPr>
        <w:pStyle w:val="NormalWeb"/>
        <w:contextualSpacing/>
        <w:jc w:val="both"/>
        <w:rPr>
          <w:sz w:val="20"/>
          <w:szCs w:val="20"/>
        </w:rPr>
      </w:pPr>
      <w:r w:rsidRPr="00CD7D37">
        <w:rPr>
          <w:sz w:val="20"/>
          <w:szCs w:val="20"/>
        </w:rPr>
        <w:t>Beyond these contributions, the study provides several implications for Moroccan urban policy. Morocco could further consolidate its Smart–Green model by:</w:t>
      </w:r>
    </w:p>
    <w:p w14:paraId="670C5FF0" w14:textId="77777777" w:rsidR="00A61BCC" w:rsidRPr="00CD7D37" w:rsidRDefault="00A61BCC" w:rsidP="00CD7D37">
      <w:pPr>
        <w:pStyle w:val="NormalWeb"/>
        <w:numPr>
          <w:ilvl w:val="0"/>
          <w:numId w:val="35"/>
        </w:numPr>
        <w:contextualSpacing/>
        <w:jc w:val="both"/>
        <w:rPr>
          <w:sz w:val="20"/>
          <w:szCs w:val="20"/>
        </w:rPr>
      </w:pPr>
      <w:r w:rsidRPr="00CD7D37">
        <w:rPr>
          <w:rStyle w:val="Strong"/>
          <w:b w:val="0"/>
          <w:bCs w:val="0"/>
          <w:sz w:val="20"/>
          <w:szCs w:val="20"/>
        </w:rPr>
        <w:t>strengthening the production and management of environmental data</w:t>
      </w:r>
      <w:r w:rsidRPr="00CD7D37">
        <w:rPr>
          <w:sz w:val="20"/>
          <w:szCs w:val="20"/>
        </w:rPr>
        <w:t>, a key requirement for evidence-based urban governance;</w:t>
      </w:r>
    </w:p>
    <w:p w14:paraId="60C9646F" w14:textId="77777777" w:rsidR="00A61BCC" w:rsidRPr="00CD7D37" w:rsidRDefault="00A61BCC" w:rsidP="00CD7D37">
      <w:pPr>
        <w:pStyle w:val="NormalWeb"/>
        <w:numPr>
          <w:ilvl w:val="0"/>
          <w:numId w:val="35"/>
        </w:numPr>
        <w:contextualSpacing/>
        <w:jc w:val="both"/>
        <w:rPr>
          <w:sz w:val="20"/>
          <w:szCs w:val="20"/>
        </w:rPr>
      </w:pPr>
      <w:r w:rsidRPr="00CD7D37">
        <w:rPr>
          <w:rStyle w:val="Strong"/>
          <w:b w:val="0"/>
          <w:bCs w:val="0"/>
          <w:sz w:val="20"/>
          <w:szCs w:val="20"/>
        </w:rPr>
        <w:t>developing digital infrastructures adapted to local territorial and climatic constraints</w:t>
      </w:r>
      <w:r w:rsidRPr="00CD7D37">
        <w:rPr>
          <w:sz w:val="20"/>
          <w:szCs w:val="20"/>
        </w:rPr>
        <w:t>;</w:t>
      </w:r>
    </w:p>
    <w:p w14:paraId="291EE5E5" w14:textId="77777777" w:rsidR="00A61BCC" w:rsidRPr="00CD7D37" w:rsidRDefault="00A61BCC" w:rsidP="00CD7D37">
      <w:pPr>
        <w:pStyle w:val="NormalWeb"/>
        <w:numPr>
          <w:ilvl w:val="0"/>
          <w:numId w:val="35"/>
        </w:numPr>
        <w:contextualSpacing/>
        <w:jc w:val="both"/>
        <w:rPr>
          <w:sz w:val="20"/>
          <w:szCs w:val="20"/>
        </w:rPr>
      </w:pPr>
      <w:r w:rsidRPr="00CD7D37">
        <w:rPr>
          <w:rStyle w:val="Strong"/>
          <w:b w:val="0"/>
          <w:bCs w:val="0"/>
          <w:sz w:val="20"/>
          <w:szCs w:val="20"/>
        </w:rPr>
        <w:t>institutionalising participatory governance frameworks</w:t>
      </w:r>
      <w:r w:rsidRPr="00CD7D37">
        <w:rPr>
          <w:sz w:val="20"/>
          <w:szCs w:val="20"/>
        </w:rPr>
        <w:t xml:space="preserve"> to involve citizens in ecological and technological transitions.</w:t>
      </w:r>
    </w:p>
    <w:p w14:paraId="2166476D" w14:textId="77777777" w:rsidR="00A61BCC" w:rsidRPr="00CD7D37" w:rsidRDefault="00A61BCC" w:rsidP="00CD7D37">
      <w:pPr>
        <w:pStyle w:val="NormalWeb"/>
        <w:contextualSpacing/>
        <w:jc w:val="both"/>
        <w:rPr>
          <w:sz w:val="20"/>
          <w:szCs w:val="20"/>
        </w:rPr>
      </w:pPr>
      <w:r w:rsidRPr="00CD7D37">
        <w:rPr>
          <w:sz w:val="20"/>
          <w:szCs w:val="20"/>
        </w:rPr>
        <w:t>These orientations would enable Morocco to articulate a coherent and context-sensitive urban vision, positioning its cities as regional references in sustainability and innovation.</w:t>
      </w:r>
    </w:p>
    <w:p w14:paraId="50527017" w14:textId="278AE96A" w:rsidR="006D77C8" w:rsidRPr="002666F8" w:rsidRDefault="006D77C8" w:rsidP="006D77C8">
      <w:pPr>
        <w:pStyle w:val="NormalWeb"/>
        <w:jc w:val="both"/>
        <w:rPr>
          <w:sz w:val="20"/>
          <w:szCs w:val="20"/>
          <w:lang w:val="en-CA"/>
        </w:rPr>
      </w:pPr>
      <w:r w:rsidRPr="002666F8">
        <w:rPr>
          <w:sz w:val="20"/>
          <w:szCs w:val="20"/>
          <w:lang w:val="en-CA"/>
        </w:rPr>
        <w:t>.</w:t>
      </w:r>
    </w:p>
    <w:p w14:paraId="2A51D2FF" w14:textId="29E6E3B6" w:rsidR="00837C97" w:rsidRPr="008E3245" w:rsidRDefault="00837C97" w:rsidP="005925BE">
      <w:pPr>
        <w:pStyle w:val="Heading1"/>
        <w:rPr>
          <w:lang w:val="en-CA" w:eastAsia="en-CA"/>
        </w:rPr>
      </w:pPr>
      <w:r w:rsidRPr="008E3245">
        <w:rPr>
          <w:lang w:val="en-CA" w:eastAsia="en-CA"/>
        </w:rPr>
        <w:t>R</w:t>
      </w:r>
      <w:r w:rsidR="00917526">
        <w:rPr>
          <w:lang w:val="en-CA" w:eastAsia="en-CA"/>
        </w:rPr>
        <w:t>E</w:t>
      </w:r>
      <w:r w:rsidRPr="008E3245">
        <w:rPr>
          <w:lang w:val="en-CA" w:eastAsia="en-CA"/>
        </w:rPr>
        <w:t>f</w:t>
      </w:r>
      <w:r w:rsidR="00917526">
        <w:rPr>
          <w:lang w:val="en-CA" w:eastAsia="en-CA"/>
        </w:rPr>
        <w:t>E</w:t>
      </w:r>
      <w:r w:rsidRPr="008E3245">
        <w:rPr>
          <w:lang w:val="en-CA" w:eastAsia="en-CA"/>
        </w:rPr>
        <w:t xml:space="preserve">rences </w:t>
      </w:r>
    </w:p>
    <w:p w14:paraId="575D7FA5" w14:textId="1E40112E" w:rsidR="008E3245" w:rsidRPr="003134D9" w:rsidRDefault="0029162A" w:rsidP="0029162A">
      <w:pPr>
        <w:pStyle w:val="NormalWeb"/>
        <w:contextualSpacing/>
        <w:jc w:val="both"/>
        <w:rPr>
          <w:sz w:val="20"/>
          <w:szCs w:val="20"/>
          <w:lang w:val="en-CA" w:eastAsia="en-CA"/>
        </w:rPr>
      </w:pPr>
      <w:r w:rsidRPr="003134D9">
        <w:rPr>
          <w:sz w:val="20"/>
          <w:szCs w:val="20"/>
          <w:lang w:val="en-US"/>
        </w:rPr>
        <w:t>1</w:t>
      </w:r>
      <w:r w:rsidR="002676A4" w:rsidRPr="003134D9">
        <w:rPr>
          <w:sz w:val="20"/>
          <w:szCs w:val="20"/>
          <w:lang w:val="en-US"/>
        </w:rPr>
        <w:t xml:space="preserve">. </w:t>
      </w:r>
      <w:r w:rsidR="008E3245" w:rsidRPr="003134D9">
        <w:rPr>
          <w:sz w:val="20"/>
          <w:szCs w:val="20"/>
        </w:rPr>
        <w:t xml:space="preserve">Agyeman J, Bullard RD, Evans B. </w:t>
      </w:r>
      <w:r w:rsidR="008E3245" w:rsidRPr="003134D9">
        <w:rPr>
          <w:rStyle w:val="Emphasis"/>
          <w:sz w:val="20"/>
          <w:szCs w:val="20"/>
        </w:rPr>
        <w:t>Just Sustainabilities: Development in an Unequal World.</w:t>
      </w:r>
      <w:r w:rsidR="008E3245" w:rsidRPr="003134D9">
        <w:rPr>
          <w:sz w:val="20"/>
          <w:szCs w:val="20"/>
        </w:rPr>
        <w:t xml:space="preserve"> MIT Press; 2003.</w:t>
      </w:r>
    </w:p>
    <w:p w14:paraId="38F6CA1D" w14:textId="48B2A1C2" w:rsidR="008E3245" w:rsidRPr="003134D9" w:rsidRDefault="008E3245" w:rsidP="00524DC0">
      <w:pPr>
        <w:pStyle w:val="NormalWeb"/>
        <w:contextualSpacing/>
        <w:jc w:val="both"/>
        <w:rPr>
          <w:sz w:val="20"/>
          <w:szCs w:val="20"/>
        </w:rPr>
      </w:pPr>
      <m:oMath>
        <m:r>
          <w:rPr>
            <w:rFonts w:ascii="Cambria Math" w:hAnsi="Cambria Math"/>
            <w:sz w:val="20"/>
            <w:szCs w:val="20"/>
          </w:rPr>
          <m:t xml:space="preserve">2. </m:t>
        </m:r>
      </m:oMath>
      <w:r w:rsidRPr="003134D9">
        <w:rPr>
          <w:sz w:val="20"/>
          <w:szCs w:val="20"/>
        </w:rPr>
        <w:t xml:space="preserve">Ahvenniemi H, Huovila A, Pinto-Seppä I, Airaksinen M. What are the differences between sustainable and smart cities? </w:t>
      </w:r>
      <w:r w:rsidRPr="003134D9">
        <w:rPr>
          <w:rStyle w:val="Emphasis"/>
          <w:sz w:val="20"/>
          <w:szCs w:val="20"/>
        </w:rPr>
        <w:t>Cities.</w:t>
      </w:r>
      <w:r w:rsidRPr="003134D9">
        <w:rPr>
          <w:sz w:val="20"/>
          <w:szCs w:val="20"/>
        </w:rPr>
        <w:t xml:space="preserve"> 2017;60:234–245.</w:t>
      </w:r>
    </w:p>
    <w:p w14:paraId="6EB486F6" w14:textId="489861A8" w:rsidR="008E3245" w:rsidRPr="003134D9" w:rsidRDefault="008E3245" w:rsidP="00524DC0">
      <w:pPr>
        <w:pStyle w:val="NormalWeb"/>
        <w:contextualSpacing/>
        <w:jc w:val="both"/>
        <w:rPr>
          <w:sz w:val="20"/>
          <w:szCs w:val="20"/>
        </w:rPr>
      </w:pPr>
      <m:oMath>
        <m:r>
          <w:rPr>
            <w:rFonts w:ascii="Cambria Math" w:hAnsi="Cambria Math"/>
            <w:sz w:val="20"/>
            <w:szCs w:val="20"/>
          </w:rPr>
          <m:t xml:space="preserve">3. </m:t>
        </m:r>
      </m:oMath>
      <w:r w:rsidRPr="003134D9">
        <w:rPr>
          <w:sz w:val="20"/>
          <w:szCs w:val="20"/>
        </w:rPr>
        <w:t xml:space="preserve">Albino V, Berardi U, Dangelico R. Smart cities: Definitions, dimensions, performance, and initiatives. </w:t>
      </w:r>
      <w:r w:rsidRPr="003134D9">
        <w:rPr>
          <w:rStyle w:val="Emphasis"/>
          <w:sz w:val="20"/>
          <w:szCs w:val="20"/>
        </w:rPr>
        <w:t>Journal of Urban Technology.</w:t>
      </w:r>
      <w:r w:rsidRPr="003134D9">
        <w:rPr>
          <w:sz w:val="20"/>
          <w:szCs w:val="20"/>
        </w:rPr>
        <w:t xml:space="preserve"> 2015;22(1):3–21.</w:t>
      </w:r>
    </w:p>
    <w:p w14:paraId="1EAA6FB3" w14:textId="7954C880" w:rsidR="008E3245" w:rsidRPr="003134D9" w:rsidRDefault="008E3245" w:rsidP="00524DC0">
      <w:pPr>
        <w:pStyle w:val="NormalWeb"/>
        <w:contextualSpacing/>
        <w:jc w:val="both"/>
        <w:rPr>
          <w:sz w:val="20"/>
          <w:szCs w:val="20"/>
        </w:rPr>
      </w:pPr>
      <m:oMath>
        <m:r>
          <w:rPr>
            <w:rFonts w:ascii="Cambria Math" w:hAnsi="Cambria Math"/>
            <w:sz w:val="20"/>
            <w:szCs w:val="20"/>
            <w:lang w:val="fr-CA"/>
          </w:rPr>
          <m:t xml:space="preserve">4. </m:t>
        </m:r>
      </m:oMath>
      <w:r w:rsidRPr="003134D9">
        <w:rPr>
          <w:sz w:val="20"/>
          <w:szCs w:val="20"/>
          <w:lang w:val="fr-CA"/>
        </w:rPr>
        <w:t xml:space="preserve">Anguelovski I. Urban environmental justice. </w:t>
      </w:r>
      <w:r w:rsidRPr="003134D9">
        <w:rPr>
          <w:rStyle w:val="Emphasis"/>
          <w:sz w:val="20"/>
          <w:szCs w:val="20"/>
        </w:rPr>
        <w:t>Environment and Planning A.</w:t>
      </w:r>
      <w:r w:rsidRPr="003134D9">
        <w:rPr>
          <w:sz w:val="20"/>
          <w:szCs w:val="20"/>
        </w:rPr>
        <w:t xml:space="preserve"> 2016;48(12):2407–2424.</w:t>
      </w:r>
    </w:p>
    <w:p w14:paraId="0B8BE1E6" w14:textId="5186564F" w:rsidR="008E3245" w:rsidRPr="003134D9" w:rsidRDefault="008E3245" w:rsidP="00524DC0">
      <w:pPr>
        <w:pStyle w:val="NormalWeb"/>
        <w:contextualSpacing/>
        <w:jc w:val="both"/>
        <w:rPr>
          <w:sz w:val="20"/>
          <w:szCs w:val="20"/>
        </w:rPr>
      </w:pPr>
      <m:oMath>
        <m:r>
          <w:rPr>
            <w:rFonts w:ascii="Cambria Math" w:hAnsi="Cambria Math"/>
            <w:sz w:val="20"/>
            <w:szCs w:val="20"/>
          </w:rPr>
          <m:t xml:space="preserve">5. </m:t>
        </m:r>
      </m:oMath>
      <w:r w:rsidRPr="003134D9">
        <w:rPr>
          <w:sz w:val="20"/>
          <w:szCs w:val="20"/>
        </w:rPr>
        <w:t xml:space="preserve">Batty M. Smart cities of the future. </w:t>
      </w:r>
      <w:r w:rsidRPr="003134D9">
        <w:rPr>
          <w:rStyle w:val="Emphasis"/>
          <w:sz w:val="20"/>
          <w:szCs w:val="20"/>
        </w:rPr>
        <w:t>European Physical Journal Special Topics.</w:t>
      </w:r>
      <w:r w:rsidRPr="003134D9">
        <w:rPr>
          <w:sz w:val="20"/>
          <w:szCs w:val="20"/>
        </w:rPr>
        <w:t xml:space="preserve"> 2012;214:481–518.</w:t>
      </w:r>
    </w:p>
    <w:p w14:paraId="1065ED0E" w14:textId="798F7A84" w:rsidR="008E3245" w:rsidRPr="003134D9" w:rsidRDefault="008E3245" w:rsidP="00524DC0">
      <w:pPr>
        <w:pStyle w:val="NormalWeb"/>
        <w:contextualSpacing/>
        <w:jc w:val="both"/>
        <w:rPr>
          <w:sz w:val="20"/>
          <w:szCs w:val="20"/>
        </w:rPr>
      </w:pPr>
      <m:oMath>
        <m:r>
          <w:rPr>
            <w:rFonts w:ascii="Cambria Math" w:hAnsi="Cambria Math"/>
            <w:sz w:val="20"/>
            <w:szCs w:val="20"/>
          </w:rPr>
          <m:t xml:space="preserve">6. </m:t>
        </m:r>
      </m:oMath>
      <w:r w:rsidRPr="003134D9">
        <w:rPr>
          <w:sz w:val="20"/>
          <w:szCs w:val="20"/>
        </w:rPr>
        <w:t xml:space="preserve">Batty M. </w:t>
      </w:r>
      <w:r w:rsidRPr="003134D9">
        <w:rPr>
          <w:rStyle w:val="Emphasis"/>
          <w:sz w:val="20"/>
          <w:szCs w:val="20"/>
        </w:rPr>
        <w:t>Inventing Future Cities.</w:t>
      </w:r>
      <w:r w:rsidRPr="003134D9">
        <w:rPr>
          <w:sz w:val="20"/>
          <w:szCs w:val="20"/>
        </w:rPr>
        <w:t xml:space="preserve"> MIT Press; 2018.</w:t>
      </w:r>
    </w:p>
    <w:p w14:paraId="3143E3EA" w14:textId="347ECF15" w:rsidR="008E3245" w:rsidRPr="003134D9" w:rsidRDefault="008E3245" w:rsidP="00524DC0">
      <w:pPr>
        <w:pStyle w:val="NormalWeb"/>
        <w:contextualSpacing/>
        <w:jc w:val="both"/>
        <w:rPr>
          <w:sz w:val="20"/>
          <w:szCs w:val="20"/>
        </w:rPr>
      </w:pPr>
      <m:oMath>
        <m:r>
          <w:rPr>
            <w:rFonts w:ascii="Cambria Math" w:hAnsi="Cambria Math"/>
            <w:sz w:val="20"/>
            <w:szCs w:val="20"/>
          </w:rPr>
          <m:t xml:space="preserve">7. </m:t>
        </m:r>
      </m:oMath>
      <w:r w:rsidRPr="003134D9">
        <w:rPr>
          <w:sz w:val="20"/>
          <w:szCs w:val="20"/>
        </w:rPr>
        <w:t xml:space="preserve">Beatley T. </w:t>
      </w:r>
      <w:r w:rsidRPr="003134D9">
        <w:rPr>
          <w:rStyle w:val="Emphasis"/>
          <w:sz w:val="20"/>
          <w:szCs w:val="20"/>
        </w:rPr>
        <w:t>Green Urbanism: Learning from European Cities.</w:t>
      </w:r>
      <w:r w:rsidRPr="003134D9">
        <w:rPr>
          <w:sz w:val="20"/>
          <w:szCs w:val="20"/>
        </w:rPr>
        <w:t xml:space="preserve"> Island Press; 2012.</w:t>
      </w:r>
    </w:p>
    <w:p w14:paraId="148B59D5" w14:textId="12F04806" w:rsidR="008E3245" w:rsidRPr="003134D9" w:rsidRDefault="008E3245" w:rsidP="00524DC0">
      <w:pPr>
        <w:pStyle w:val="NormalWeb"/>
        <w:contextualSpacing/>
        <w:jc w:val="both"/>
        <w:rPr>
          <w:sz w:val="20"/>
          <w:szCs w:val="20"/>
        </w:rPr>
      </w:pPr>
      <m:oMath>
        <m:r>
          <w:rPr>
            <w:rFonts w:ascii="Cambria Math" w:hAnsi="Cambria Math"/>
            <w:sz w:val="20"/>
            <w:szCs w:val="20"/>
          </w:rPr>
          <m:t xml:space="preserve">8. </m:t>
        </m:r>
      </m:oMath>
      <w:r w:rsidRPr="003134D9">
        <w:rPr>
          <w:sz w:val="20"/>
          <w:szCs w:val="20"/>
        </w:rPr>
        <w:t xml:space="preserve">Beatley T, Newman P. </w:t>
      </w:r>
      <w:r w:rsidRPr="003134D9">
        <w:rPr>
          <w:rStyle w:val="Emphasis"/>
          <w:sz w:val="20"/>
          <w:szCs w:val="20"/>
        </w:rPr>
        <w:t>Nature-Based Urban Design.</w:t>
      </w:r>
      <w:r w:rsidRPr="003134D9">
        <w:rPr>
          <w:sz w:val="20"/>
          <w:szCs w:val="20"/>
        </w:rPr>
        <w:t xml:space="preserve"> Island Press; 2020.</w:t>
      </w:r>
    </w:p>
    <w:p w14:paraId="41020158" w14:textId="726BBB5E" w:rsidR="008E3245" w:rsidRPr="003134D9" w:rsidRDefault="008E3245" w:rsidP="00524DC0">
      <w:pPr>
        <w:pStyle w:val="NormalWeb"/>
        <w:contextualSpacing/>
        <w:jc w:val="both"/>
        <w:rPr>
          <w:sz w:val="20"/>
          <w:szCs w:val="20"/>
        </w:rPr>
      </w:pPr>
      <m:oMath>
        <m:r>
          <w:rPr>
            <w:rFonts w:ascii="Cambria Math" w:hAnsi="Cambria Math"/>
            <w:sz w:val="20"/>
            <w:szCs w:val="20"/>
          </w:rPr>
          <m:t xml:space="preserve">9. </m:t>
        </m:r>
      </m:oMath>
      <w:r w:rsidRPr="003134D9">
        <w:rPr>
          <w:sz w:val="20"/>
          <w:szCs w:val="20"/>
        </w:rPr>
        <w:t xml:space="preserve">Bertuglia CS, Vaio F. </w:t>
      </w:r>
      <w:r w:rsidRPr="003134D9">
        <w:rPr>
          <w:rStyle w:val="Emphasis"/>
          <w:sz w:val="20"/>
          <w:szCs w:val="20"/>
        </w:rPr>
        <w:t>Nonlinear Dynamics and Urban Planning.</w:t>
      </w:r>
      <w:r w:rsidRPr="003134D9">
        <w:rPr>
          <w:sz w:val="20"/>
          <w:szCs w:val="20"/>
        </w:rPr>
        <w:t xml:space="preserve"> Springer; 2005.</w:t>
      </w:r>
    </w:p>
    <w:p w14:paraId="04FA52F5" w14:textId="5E9D96A5" w:rsidR="008E3245" w:rsidRPr="003134D9" w:rsidRDefault="008E3245" w:rsidP="00524DC0">
      <w:pPr>
        <w:pStyle w:val="NormalWeb"/>
        <w:contextualSpacing/>
        <w:jc w:val="both"/>
        <w:rPr>
          <w:sz w:val="20"/>
          <w:szCs w:val="20"/>
        </w:rPr>
      </w:pPr>
      <m:oMath>
        <m:r>
          <w:rPr>
            <w:rFonts w:ascii="Cambria Math" w:hAnsi="Cambria Math"/>
            <w:sz w:val="20"/>
            <w:szCs w:val="20"/>
          </w:rPr>
          <m:t xml:space="preserve">10. </m:t>
        </m:r>
      </m:oMath>
      <w:r w:rsidRPr="003134D9">
        <w:rPr>
          <w:sz w:val="20"/>
          <w:szCs w:val="20"/>
        </w:rPr>
        <w:t xml:space="preserve">Bibri SE. </w:t>
      </w:r>
      <w:r w:rsidRPr="003134D9">
        <w:rPr>
          <w:rStyle w:val="Emphasis"/>
          <w:sz w:val="20"/>
          <w:szCs w:val="20"/>
        </w:rPr>
        <w:t>Smart Sustainable Cities of the Future.</w:t>
      </w:r>
      <w:r w:rsidRPr="003134D9">
        <w:rPr>
          <w:sz w:val="20"/>
          <w:szCs w:val="20"/>
        </w:rPr>
        <w:t xml:space="preserve"> Springer; 2021.</w:t>
      </w:r>
    </w:p>
    <w:p w14:paraId="124D2725" w14:textId="1C155E0A" w:rsidR="008E3245" w:rsidRPr="003134D9" w:rsidRDefault="008E3245" w:rsidP="00524DC0">
      <w:pPr>
        <w:pStyle w:val="NormalWeb"/>
        <w:contextualSpacing/>
        <w:jc w:val="both"/>
        <w:rPr>
          <w:sz w:val="20"/>
          <w:szCs w:val="20"/>
        </w:rPr>
      </w:pPr>
      <m:oMath>
        <m:r>
          <w:rPr>
            <w:rFonts w:ascii="Cambria Math" w:hAnsi="Cambria Math"/>
            <w:sz w:val="20"/>
            <w:szCs w:val="20"/>
          </w:rPr>
          <m:t xml:space="preserve">11. </m:t>
        </m:r>
      </m:oMath>
      <w:r w:rsidRPr="003134D9">
        <w:rPr>
          <w:sz w:val="20"/>
          <w:szCs w:val="20"/>
        </w:rPr>
        <w:t xml:space="preserve">Bibri SE, Krogstie J. The emerging research landscape on smart sustainable cities. </w:t>
      </w:r>
      <w:r w:rsidRPr="003134D9">
        <w:rPr>
          <w:rStyle w:val="Emphasis"/>
          <w:sz w:val="20"/>
          <w:szCs w:val="20"/>
        </w:rPr>
        <w:t>Sustainable Cities and Society.</w:t>
      </w:r>
      <w:r w:rsidRPr="003134D9">
        <w:rPr>
          <w:sz w:val="20"/>
          <w:szCs w:val="20"/>
        </w:rPr>
        <w:t xml:space="preserve"> 2020;61:102328.</w:t>
      </w:r>
    </w:p>
    <w:p w14:paraId="34E37B60" w14:textId="02459E56" w:rsidR="008E3245" w:rsidRPr="003134D9" w:rsidRDefault="008E3245" w:rsidP="00524DC0">
      <w:pPr>
        <w:pStyle w:val="NormalWeb"/>
        <w:contextualSpacing/>
        <w:jc w:val="both"/>
        <w:rPr>
          <w:sz w:val="20"/>
          <w:szCs w:val="20"/>
        </w:rPr>
      </w:pPr>
      <m:oMath>
        <m:r>
          <w:rPr>
            <w:rFonts w:ascii="Cambria Math" w:hAnsi="Cambria Math"/>
            <w:sz w:val="20"/>
            <w:szCs w:val="20"/>
          </w:rPr>
          <m:t xml:space="preserve">12. </m:t>
        </m:r>
      </m:oMath>
      <w:r w:rsidRPr="003134D9">
        <w:rPr>
          <w:sz w:val="20"/>
          <w:szCs w:val="20"/>
        </w:rPr>
        <w:t xml:space="preserve">Caragliu A, Del Bo C, Nijkamp P. Smart cities in Europe. </w:t>
      </w:r>
      <w:r w:rsidRPr="003134D9">
        <w:rPr>
          <w:rStyle w:val="Emphasis"/>
          <w:sz w:val="20"/>
          <w:szCs w:val="20"/>
        </w:rPr>
        <w:t>Journal of Urban Technology.</w:t>
      </w:r>
      <w:r w:rsidRPr="003134D9">
        <w:rPr>
          <w:sz w:val="20"/>
          <w:szCs w:val="20"/>
        </w:rPr>
        <w:t xml:space="preserve"> 2011;18(2):65–82.</w:t>
      </w:r>
    </w:p>
    <w:p w14:paraId="1600EFEA" w14:textId="4FD8F296" w:rsidR="008E3245" w:rsidRPr="003134D9" w:rsidRDefault="008E3245" w:rsidP="00524DC0">
      <w:pPr>
        <w:pStyle w:val="NormalWeb"/>
        <w:contextualSpacing/>
        <w:jc w:val="both"/>
        <w:rPr>
          <w:sz w:val="20"/>
          <w:szCs w:val="20"/>
        </w:rPr>
      </w:pPr>
      <m:oMath>
        <m:r>
          <w:rPr>
            <w:rFonts w:ascii="Cambria Math" w:hAnsi="Cambria Math"/>
            <w:sz w:val="20"/>
            <w:szCs w:val="20"/>
          </w:rPr>
          <m:t xml:space="preserve">13. </m:t>
        </m:r>
      </m:oMath>
      <w:r w:rsidRPr="003134D9">
        <w:rPr>
          <w:sz w:val="20"/>
          <w:szCs w:val="20"/>
        </w:rPr>
        <w:t xml:space="preserve">Chourabi H, et al. Understanding smart cities: Frameworks and governance. </w:t>
      </w:r>
      <w:r w:rsidRPr="003134D9">
        <w:rPr>
          <w:rStyle w:val="Emphasis"/>
          <w:sz w:val="20"/>
          <w:szCs w:val="20"/>
        </w:rPr>
        <w:t>Proceedings of the IEEE.</w:t>
      </w:r>
      <w:r w:rsidRPr="003134D9">
        <w:rPr>
          <w:sz w:val="20"/>
          <w:szCs w:val="20"/>
        </w:rPr>
        <w:t xml:space="preserve"> 2012;100(1):228–240.</w:t>
      </w:r>
    </w:p>
    <w:p w14:paraId="3D0095E9" w14:textId="212A6040" w:rsidR="008E3245" w:rsidRPr="003134D9" w:rsidRDefault="008E3245" w:rsidP="00524DC0">
      <w:pPr>
        <w:pStyle w:val="NormalWeb"/>
        <w:contextualSpacing/>
        <w:jc w:val="both"/>
        <w:rPr>
          <w:sz w:val="20"/>
          <w:szCs w:val="20"/>
        </w:rPr>
      </w:pPr>
      <m:oMath>
        <m:r>
          <w:rPr>
            <w:rFonts w:ascii="Cambria Math" w:hAnsi="Cambria Math"/>
            <w:sz w:val="20"/>
            <w:szCs w:val="20"/>
          </w:rPr>
          <m:t xml:space="preserve">14. </m:t>
        </m:r>
      </m:oMath>
      <w:r w:rsidRPr="003134D9">
        <w:rPr>
          <w:sz w:val="20"/>
          <w:szCs w:val="20"/>
        </w:rPr>
        <w:t xml:space="preserve">City of Copenhagen. </w:t>
      </w:r>
      <w:r w:rsidRPr="003134D9">
        <w:rPr>
          <w:rStyle w:val="Emphasis"/>
          <w:sz w:val="20"/>
          <w:szCs w:val="20"/>
        </w:rPr>
        <w:t>Copenhagen Climate Plan 2025.</w:t>
      </w:r>
      <w:r w:rsidRPr="003134D9">
        <w:rPr>
          <w:sz w:val="20"/>
          <w:szCs w:val="20"/>
        </w:rPr>
        <w:t xml:space="preserve"> Copenhagen Municipality; 2021.</w:t>
      </w:r>
    </w:p>
    <w:p w14:paraId="5A83E46F" w14:textId="35180B18" w:rsidR="008E3245" w:rsidRPr="003134D9" w:rsidRDefault="008E3245" w:rsidP="00524DC0">
      <w:pPr>
        <w:pStyle w:val="NormalWeb"/>
        <w:contextualSpacing/>
        <w:jc w:val="both"/>
        <w:rPr>
          <w:sz w:val="20"/>
          <w:szCs w:val="20"/>
        </w:rPr>
      </w:pPr>
      <m:oMath>
        <m:r>
          <w:rPr>
            <w:rFonts w:ascii="Cambria Math" w:hAnsi="Cambria Math"/>
            <w:sz w:val="20"/>
            <w:szCs w:val="20"/>
          </w:rPr>
          <m:t xml:space="preserve">15. </m:t>
        </m:r>
      </m:oMath>
      <w:r w:rsidRPr="003134D9">
        <w:rPr>
          <w:sz w:val="20"/>
          <w:szCs w:val="20"/>
        </w:rPr>
        <w:t xml:space="preserve">Dembski F, Wössner U, Letzgus M, Ruddat M, Yamu C. Urban digital twins for smart cities: A case study. </w:t>
      </w:r>
      <w:r w:rsidRPr="003134D9">
        <w:rPr>
          <w:rStyle w:val="Emphasis"/>
          <w:sz w:val="20"/>
          <w:szCs w:val="20"/>
        </w:rPr>
        <w:t>ISPRS International Journal of Geo-Information.</w:t>
      </w:r>
      <w:r w:rsidRPr="003134D9">
        <w:rPr>
          <w:sz w:val="20"/>
          <w:szCs w:val="20"/>
        </w:rPr>
        <w:t xml:space="preserve"> 2020;9(6):1–23.</w:t>
      </w:r>
    </w:p>
    <w:p w14:paraId="10DF5988" w14:textId="074EFDE2" w:rsidR="008E3245" w:rsidRPr="003134D9" w:rsidRDefault="008E3245" w:rsidP="00524DC0">
      <w:pPr>
        <w:pStyle w:val="NormalWeb"/>
        <w:contextualSpacing/>
        <w:jc w:val="both"/>
        <w:rPr>
          <w:sz w:val="20"/>
          <w:szCs w:val="20"/>
        </w:rPr>
      </w:pPr>
      <m:oMath>
        <m:r>
          <w:rPr>
            <w:rFonts w:ascii="Cambria Math" w:hAnsi="Cambria Math"/>
            <w:sz w:val="20"/>
            <w:szCs w:val="20"/>
          </w:rPr>
          <m:t xml:space="preserve">16. </m:t>
        </m:r>
      </m:oMath>
      <w:r w:rsidRPr="003134D9">
        <w:rPr>
          <w:sz w:val="20"/>
          <w:szCs w:val="20"/>
        </w:rPr>
        <w:t xml:space="preserve">EBRD. </w:t>
      </w:r>
      <w:r w:rsidRPr="003134D9">
        <w:rPr>
          <w:rStyle w:val="Emphasis"/>
          <w:sz w:val="20"/>
          <w:szCs w:val="20"/>
        </w:rPr>
        <w:t>Green City Action Plan Methodology.</w:t>
      </w:r>
      <w:r w:rsidRPr="003134D9">
        <w:rPr>
          <w:sz w:val="20"/>
          <w:szCs w:val="20"/>
        </w:rPr>
        <w:t xml:space="preserve"> European Bank for Reconstruction and Development; 2016.</w:t>
      </w:r>
    </w:p>
    <w:p w14:paraId="637A7CC3" w14:textId="33E5E282" w:rsidR="008E3245" w:rsidRPr="003134D9" w:rsidRDefault="008E3245" w:rsidP="00524DC0">
      <w:pPr>
        <w:pStyle w:val="NormalWeb"/>
        <w:contextualSpacing/>
        <w:jc w:val="both"/>
        <w:rPr>
          <w:sz w:val="20"/>
          <w:szCs w:val="20"/>
        </w:rPr>
      </w:pPr>
      <m:oMath>
        <m:r>
          <w:rPr>
            <w:rFonts w:ascii="Cambria Math" w:hAnsi="Cambria Math"/>
            <w:sz w:val="20"/>
            <w:szCs w:val="20"/>
          </w:rPr>
          <m:t xml:space="preserve">17. </m:t>
        </m:r>
      </m:oMath>
      <w:r w:rsidRPr="003134D9">
        <w:rPr>
          <w:sz w:val="20"/>
          <w:szCs w:val="20"/>
        </w:rPr>
        <w:t xml:space="preserve">EBRD. </w:t>
      </w:r>
      <w:r w:rsidRPr="003134D9">
        <w:rPr>
          <w:rStyle w:val="Emphasis"/>
          <w:sz w:val="20"/>
          <w:szCs w:val="20"/>
        </w:rPr>
        <w:t>Green Cities Annual Report.</w:t>
      </w:r>
      <w:r w:rsidRPr="003134D9">
        <w:rPr>
          <w:sz w:val="20"/>
          <w:szCs w:val="20"/>
        </w:rPr>
        <w:t xml:space="preserve"> European Bank for Reconstruction and Development; 2021.</w:t>
      </w:r>
    </w:p>
    <w:p w14:paraId="6D11342E" w14:textId="58C1A577" w:rsidR="008E3245" w:rsidRPr="003134D9" w:rsidRDefault="008E3245" w:rsidP="00524DC0">
      <w:pPr>
        <w:pStyle w:val="NormalWeb"/>
        <w:contextualSpacing/>
        <w:jc w:val="both"/>
        <w:rPr>
          <w:sz w:val="20"/>
          <w:szCs w:val="20"/>
        </w:rPr>
      </w:pPr>
      <m:oMath>
        <m:r>
          <w:rPr>
            <w:rFonts w:ascii="Cambria Math" w:hAnsi="Cambria Math"/>
            <w:sz w:val="20"/>
            <w:szCs w:val="20"/>
          </w:rPr>
          <m:t xml:space="preserve">18. </m:t>
        </m:r>
      </m:oMath>
      <w:r w:rsidRPr="003134D9">
        <w:rPr>
          <w:sz w:val="20"/>
          <w:szCs w:val="20"/>
        </w:rPr>
        <w:t xml:space="preserve">Folke C. Resilience: The emergence of a perspective for social–ecological systems analysis. </w:t>
      </w:r>
      <w:r w:rsidRPr="003134D9">
        <w:rPr>
          <w:rStyle w:val="Emphasis"/>
          <w:sz w:val="20"/>
          <w:szCs w:val="20"/>
        </w:rPr>
        <w:t>Global Environmental Change.</w:t>
      </w:r>
      <w:r w:rsidRPr="003134D9">
        <w:rPr>
          <w:sz w:val="20"/>
          <w:szCs w:val="20"/>
        </w:rPr>
        <w:t xml:space="preserve"> 2006;16(3):253–267.</w:t>
      </w:r>
    </w:p>
    <w:p w14:paraId="480BC5C4" w14:textId="481E40C7" w:rsidR="008E3245" w:rsidRPr="003134D9" w:rsidRDefault="008E3245" w:rsidP="00524DC0">
      <w:pPr>
        <w:pStyle w:val="NormalWeb"/>
        <w:contextualSpacing/>
        <w:jc w:val="both"/>
        <w:rPr>
          <w:sz w:val="20"/>
          <w:szCs w:val="20"/>
        </w:rPr>
      </w:pPr>
      <m:oMath>
        <m:r>
          <w:rPr>
            <w:rFonts w:ascii="Cambria Math" w:hAnsi="Cambria Math"/>
            <w:sz w:val="20"/>
            <w:szCs w:val="20"/>
          </w:rPr>
          <m:t xml:space="preserve">19. </m:t>
        </m:r>
      </m:oMath>
      <w:r w:rsidRPr="003134D9">
        <w:rPr>
          <w:sz w:val="20"/>
          <w:szCs w:val="20"/>
        </w:rPr>
        <w:t xml:space="preserve">Global Reporting Initiative (GRI). </w:t>
      </w:r>
      <w:r w:rsidRPr="003134D9">
        <w:rPr>
          <w:rStyle w:val="Emphasis"/>
          <w:sz w:val="20"/>
          <w:szCs w:val="20"/>
        </w:rPr>
        <w:t>GRI Sustainability Reporting Standards.</w:t>
      </w:r>
      <w:r w:rsidRPr="003134D9">
        <w:rPr>
          <w:sz w:val="20"/>
          <w:szCs w:val="20"/>
        </w:rPr>
        <w:t xml:space="preserve"> 2020.</w:t>
      </w:r>
    </w:p>
    <w:p w14:paraId="06AED031" w14:textId="018B4384" w:rsidR="008E3245" w:rsidRPr="003134D9" w:rsidRDefault="008E3245" w:rsidP="00524DC0">
      <w:pPr>
        <w:pStyle w:val="NormalWeb"/>
        <w:contextualSpacing/>
        <w:jc w:val="both"/>
        <w:rPr>
          <w:sz w:val="20"/>
          <w:szCs w:val="20"/>
        </w:rPr>
      </w:pPr>
      <m:oMath>
        <m:r>
          <w:rPr>
            <w:rFonts w:ascii="Cambria Math" w:hAnsi="Cambria Math"/>
            <w:sz w:val="20"/>
            <w:szCs w:val="20"/>
          </w:rPr>
          <m:t xml:space="preserve">20. </m:t>
        </m:r>
      </m:oMath>
      <w:r w:rsidRPr="003134D9">
        <w:rPr>
          <w:sz w:val="20"/>
          <w:szCs w:val="20"/>
        </w:rPr>
        <w:t xml:space="preserve">GovTech Singapore. </w:t>
      </w:r>
      <w:r w:rsidRPr="003134D9">
        <w:rPr>
          <w:rStyle w:val="Emphasis"/>
          <w:sz w:val="20"/>
          <w:szCs w:val="20"/>
        </w:rPr>
        <w:t>Smart Nation Strategy.</w:t>
      </w:r>
      <w:r w:rsidRPr="003134D9">
        <w:rPr>
          <w:sz w:val="20"/>
          <w:szCs w:val="20"/>
        </w:rPr>
        <w:t xml:space="preserve"> Government of Singapore; 2022.</w:t>
      </w:r>
    </w:p>
    <w:p w14:paraId="7B758F0F" w14:textId="48FDFA09" w:rsidR="008E3245" w:rsidRPr="003134D9" w:rsidRDefault="008E3245" w:rsidP="00524DC0">
      <w:pPr>
        <w:pStyle w:val="NormalWeb"/>
        <w:contextualSpacing/>
        <w:jc w:val="both"/>
        <w:rPr>
          <w:sz w:val="20"/>
          <w:szCs w:val="20"/>
        </w:rPr>
      </w:pPr>
      <m:oMath>
        <m:r>
          <w:rPr>
            <w:rFonts w:ascii="Cambria Math" w:hAnsi="Cambria Math"/>
            <w:sz w:val="20"/>
            <w:szCs w:val="20"/>
          </w:rPr>
          <m:t xml:space="preserve">21. </m:t>
        </m:r>
      </m:oMath>
      <w:r w:rsidRPr="003134D9">
        <w:rPr>
          <w:sz w:val="20"/>
          <w:szCs w:val="20"/>
        </w:rPr>
        <w:t xml:space="preserve">Green Energy Park. </w:t>
      </w:r>
      <w:r w:rsidRPr="003134D9">
        <w:rPr>
          <w:rStyle w:val="Emphasis"/>
          <w:sz w:val="20"/>
          <w:szCs w:val="20"/>
        </w:rPr>
        <w:t>Annual Innovation Report.</w:t>
      </w:r>
      <w:r w:rsidRPr="003134D9">
        <w:rPr>
          <w:sz w:val="20"/>
          <w:szCs w:val="20"/>
        </w:rPr>
        <w:t xml:space="preserve"> UM6P &amp; IRESEN; 2020.</w:t>
      </w:r>
    </w:p>
    <w:p w14:paraId="67FE398B" w14:textId="60FABE06" w:rsidR="008E3245" w:rsidRPr="003134D9" w:rsidRDefault="008E3245" w:rsidP="00524DC0">
      <w:pPr>
        <w:pStyle w:val="NormalWeb"/>
        <w:contextualSpacing/>
        <w:jc w:val="both"/>
        <w:rPr>
          <w:sz w:val="20"/>
          <w:szCs w:val="20"/>
        </w:rPr>
      </w:pPr>
      <m:oMath>
        <m:r>
          <w:rPr>
            <w:rFonts w:ascii="Cambria Math" w:hAnsi="Cambria Math"/>
            <w:sz w:val="20"/>
            <w:szCs w:val="20"/>
          </w:rPr>
          <m:t xml:space="preserve">22. </m:t>
        </m:r>
      </m:oMath>
      <w:r w:rsidRPr="003134D9">
        <w:rPr>
          <w:sz w:val="20"/>
          <w:szCs w:val="20"/>
        </w:rPr>
        <w:t xml:space="preserve">Hitachi. </w:t>
      </w:r>
      <w:r w:rsidRPr="003134D9">
        <w:rPr>
          <w:rStyle w:val="Emphasis"/>
          <w:sz w:val="20"/>
          <w:szCs w:val="20"/>
        </w:rPr>
        <w:t>City Data Exchange: A New Data-Driven Urban Economy.</w:t>
      </w:r>
      <w:r w:rsidRPr="003134D9">
        <w:rPr>
          <w:sz w:val="20"/>
          <w:szCs w:val="20"/>
        </w:rPr>
        <w:t xml:space="preserve"> Hitachi Insights; 2017.</w:t>
      </w:r>
    </w:p>
    <w:p w14:paraId="1EF27685" w14:textId="023AF6C1" w:rsidR="008E3245" w:rsidRPr="003134D9" w:rsidRDefault="008E3245" w:rsidP="00524DC0">
      <w:pPr>
        <w:pStyle w:val="NormalWeb"/>
        <w:contextualSpacing/>
        <w:jc w:val="both"/>
        <w:rPr>
          <w:sz w:val="20"/>
          <w:szCs w:val="20"/>
        </w:rPr>
      </w:pPr>
      <m:oMath>
        <m:r>
          <w:rPr>
            <w:rFonts w:ascii="Cambria Math" w:hAnsi="Cambria Math"/>
            <w:sz w:val="20"/>
            <w:szCs w:val="20"/>
          </w:rPr>
          <m:t xml:space="preserve">23. </m:t>
        </m:r>
      </m:oMath>
      <w:r w:rsidRPr="003134D9">
        <w:rPr>
          <w:sz w:val="20"/>
          <w:szCs w:val="20"/>
        </w:rPr>
        <w:t xml:space="preserve">Höjer M, Wangel J. Smart sustainable cities: Definition and challenges. In: </w:t>
      </w:r>
      <w:r w:rsidRPr="003134D9">
        <w:rPr>
          <w:rStyle w:val="Emphasis"/>
          <w:sz w:val="20"/>
          <w:szCs w:val="20"/>
        </w:rPr>
        <w:t>ICT Innovations for Sustainability.</w:t>
      </w:r>
      <w:r w:rsidRPr="003134D9">
        <w:rPr>
          <w:sz w:val="20"/>
          <w:szCs w:val="20"/>
        </w:rPr>
        <w:t xml:space="preserve"> Springer; 2015. p. 333–349.</w:t>
      </w:r>
    </w:p>
    <w:p w14:paraId="56B98ACE" w14:textId="79A2B192" w:rsidR="008E3245" w:rsidRPr="003134D9" w:rsidRDefault="008E3245" w:rsidP="00524DC0">
      <w:pPr>
        <w:pStyle w:val="NormalWeb"/>
        <w:contextualSpacing/>
        <w:jc w:val="both"/>
        <w:rPr>
          <w:sz w:val="20"/>
          <w:szCs w:val="20"/>
        </w:rPr>
      </w:pPr>
      <m:oMath>
        <m:r>
          <w:rPr>
            <w:rFonts w:ascii="Cambria Math" w:hAnsi="Cambria Math"/>
            <w:sz w:val="20"/>
            <w:szCs w:val="20"/>
          </w:rPr>
          <m:t xml:space="preserve">24. </m:t>
        </m:r>
      </m:oMath>
      <w:r w:rsidRPr="003134D9">
        <w:rPr>
          <w:sz w:val="20"/>
          <w:szCs w:val="20"/>
        </w:rPr>
        <w:t xml:space="preserve">IPCC. </w:t>
      </w:r>
      <w:r w:rsidRPr="003134D9">
        <w:rPr>
          <w:rStyle w:val="Emphasis"/>
          <w:sz w:val="20"/>
          <w:szCs w:val="20"/>
        </w:rPr>
        <w:t>Sixth Assessment Report (AR6).</w:t>
      </w:r>
      <w:r w:rsidRPr="003134D9">
        <w:rPr>
          <w:sz w:val="20"/>
          <w:szCs w:val="20"/>
        </w:rPr>
        <w:t xml:space="preserve"> Intergovernmental Panel on Climate Change; 2022.</w:t>
      </w:r>
    </w:p>
    <w:p w14:paraId="270EED69" w14:textId="4CA3BF89" w:rsidR="008E3245" w:rsidRPr="003134D9" w:rsidRDefault="008E3245" w:rsidP="00524DC0">
      <w:pPr>
        <w:pStyle w:val="NormalWeb"/>
        <w:contextualSpacing/>
        <w:jc w:val="both"/>
        <w:rPr>
          <w:sz w:val="20"/>
          <w:szCs w:val="20"/>
        </w:rPr>
      </w:pPr>
      <m:oMath>
        <m:r>
          <w:rPr>
            <w:rFonts w:ascii="Cambria Math" w:hAnsi="Cambria Math"/>
            <w:sz w:val="20"/>
            <w:szCs w:val="20"/>
          </w:rPr>
          <m:t xml:space="preserve">25. </m:t>
        </m:r>
      </m:oMath>
      <w:r w:rsidRPr="003134D9">
        <w:rPr>
          <w:sz w:val="20"/>
          <w:szCs w:val="20"/>
        </w:rPr>
        <w:t xml:space="preserve">ISO. </w:t>
      </w:r>
      <w:r w:rsidRPr="003134D9">
        <w:rPr>
          <w:rStyle w:val="Emphasis"/>
          <w:sz w:val="20"/>
          <w:szCs w:val="20"/>
        </w:rPr>
        <w:t>ISO 37120: Sustainable Cities and Communities — Indicators for City Services.</w:t>
      </w:r>
      <w:r w:rsidRPr="003134D9">
        <w:rPr>
          <w:sz w:val="20"/>
          <w:szCs w:val="20"/>
        </w:rPr>
        <w:t xml:space="preserve"> International Organization for Standardization; 2018.</w:t>
      </w:r>
    </w:p>
    <w:p w14:paraId="02B69031" w14:textId="7AEB359A" w:rsidR="008E3245" w:rsidRPr="003134D9" w:rsidRDefault="008E3245" w:rsidP="00524DC0">
      <w:pPr>
        <w:pStyle w:val="NormalWeb"/>
        <w:contextualSpacing/>
        <w:jc w:val="both"/>
        <w:rPr>
          <w:sz w:val="20"/>
          <w:szCs w:val="20"/>
        </w:rPr>
      </w:pPr>
      <m:oMath>
        <m:r>
          <w:rPr>
            <w:rFonts w:ascii="Cambria Math" w:hAnsi="Cambria Math"/>
            <w:sz w:val="20"/>
            <w:szCs w:val="20"/>
          </w:rPr>
          <m:t xml:space="preserve">26. </m:t>
        </m:r>
      </m:oMath>
      <w:r w:rsidRPr="003134D9">
        <w:rPr>
          <w:sz w:val="20"/>
          <w:szCs w:val="20"/>
        </w:rPr>
        <w:t xml:space="preserve">ISO. </w:t>
      </w:r>
      <w:r w:rsidRPr="003134D9">
        <w:rPr>
          <w:rStyle w:val="Emphasis"/>
          <w:sz w:val="20"/>
          <w:szCs w:val="20"/>
        </w:rPr>
        <w:t>ISO 37122: Indicators for Smart Cities.</w:t>
      </w:r>
      <w:r w:rsidRPr="003134D9">
        <w:rPr>
          <w:sz w:val="20"/>
          <w:szCs w:val="20"/>
        </w:rPr>
        <w:t xml:space="preserve"> International Organization for Standardization; 2019.</w:t>
      </w:r>
    </w:p>
    <w:p w14:paraId="30C6605F" w14:textId="0404FACD" w:rsidR="008E3245" w:rsidRPr="003134D9" w:rsidRDefault="008E3245" w:rsidP="00524DC0">
      <w:pPr>
        <w:pStyle w:val="NormalWeb"/>
        <w:contextualSpacing/>
        <w:jc w:val="both"/>
        <w:rPr>
          <w:sz w:val="20"/>
          <w:szCs w:val="20"/>
        </w:rPr>
      </w:pPr>
      <m:oMath>
        <m:r>
          <w:rPr>
            <w:rFonts w:ascii="Cambria Math" w:hAnsi="Cambria Math"/>
            <w:sz w:val="20"/>
            <w:szCs w:val="20"/>
          </w:rPr>
          <m:t xml:space="preserve">27. </m:t>
        </m:r>
      </m:oMath>
      <w:r w:rsidRPr="003134D9">
        <w:rPr>
          <w:sz w:val="20"/>
          <w:szCs w:val="20"/>
        </w:rPr>
        <w:t xml:space="preserve">ISO. </w:t>
      </w:r>
      <w:r w:rsidRPr="003134D9">
        <w:rPr>
          <w:rStyle w:val="Emphasis"/>
          <w:sz w:val="20"/>
          <w:szCs w:val="20"/>
        </w:rPr>
        <w:t>ISO 37123: Indicators for Resilient Cities.</w:t>
      </w:r>
      <w:r w:rsidRPr="003134D9">
        <w:rPr>
          <w:sz w:val="20"/>
          <w:szCs w:val="20"/>
        </w:rPr>
        <w:t xml:space="preserve"> International Organization for Standardization; 2019.</w:t>
      </w:r>
    </w:p>
    <w:p w14:paraId="456BFBAC" w14:textId="444B1C5B" w:rsidR="008E3245" w:rsidRPr="003134D9" w:rsidRDefault="008E3245" w:rsidP="00524DC0">
      <w:pPr>
        <w:pStyle w:val="NormalWeb"/>
        <w:contextualSpacing/>
        <w:jc w:val="both"/>
        <w:rPr>
          <w:sz w:val="20"/>
          <w:szCs w:val="20"/>
        </w:rPr>
      </w:pPr>
      <m:oMath>
        <m:r>
          <w:rPr>
            <w:rFonts w:ascii="Cambria Math" w:hAnsi="Cambria Math"/>
            <w:sz w:val="20"/>
            <w:szCs w:val="20"/>
          </w:rPr>
          <m:t xml:space="preserve">28. </m:t>
        </m:r>
      </m:oMath>
      <w:r w:rsidRPr="003134D9">
        <w:rPr>
          <w:sz w:val="20"/>
          <w:szCs w:val="20"/>
        </w:rPr>
        <w:t xml:space="preserve">Jabareen Y. Sustainable urban forms: Their typologies, models and concepts. </w:t>
      </w:r>
      <w:r w:rsidRPr="003134D9">
        <w:rPr>
          <w:rStyle w:val="Emphasis"/>
          <w:sz w:val="20"/>
          <w:szCs w:val="20"/>
        </w:rPr>
        <w:t>Journal of Planning Education and Research.</w:t>
      </w:r>
      <w:r w:rsidRPr="003134D9">
        <w:rPr>
          <w:sz w:val="20"/>
          <w:szCs w:val="20"/>
        </w:rPr>
        <w:t xml:space="preserve"> 2006;26(1):38–52.</w:t>
      </w:r>
    </w:p>
    <w:p w14:paraId="5AA2DA30" w14:textId="5B5694A5" w:rsidR="008E3245" w:rsidRPr="003134D9" w:rsidRDefault="008E3245" w:rsidP="00524DC0">
      <w:pPr>
        <w:pStyle w:val="NormalWeb"/>
        <w:contextualSpacing/>
        <w:jc w:val="both"/>
        <w:rPr>
          <w:sz w:val="20"/>
          <w:szCs w:val="20"/>
        </w:rPr>
      </w:pPr>
      <m:oMath>
        <m:r>
          <w:rPr>
            <w:rFonts w:ascii="Cambria Math" w:hAnsi="Cambria Math"/>
            <w:sz w:val="20"/>
            <w:szCs w:val="20"/>
          </w:rPr>
          <m:t xml:space="preserve">29. </m:t>
        </m:r>
      </m:oMath>
      <w:r w:rsidRPr="003134D9">
        <w:rPr>
          <w:sz w:val="20"/>
          <w:szCs w:val="20"/>
        </w:rPr>
        <w:t xml:space="preserve">Kitchin R. The real-time city? Big data and smart urbanism. </w:t>
      </w:r>
      <w:r w:rsidRPr="003134D9">
        <w:rPr>
          <w:rStyle w:val="Emphasis"/>
          <w:sz w:val="20"/>
          <w:szCs w:val="20"/>
        </w:rPr>
        <w:t>GeoJournal.</w:t>
      </w:r>
      <w:r w:rsidRPr="003134D9">
        <w:rPr>
          <w:sz w:val="20"/>
          <w:szCs w:val="20"/>
        </w:rPr>
        <w:t xml:space="preserve"> 2014;79:1–14.</w:t>
      </w:r>
    </w:p>
    <w:p w14:paraId="34994213" w14:textId="1B4E74E8" w:rsidR="008E3245" w:rsidRPr="003134D9" w:rsidRDefault="008E3245" w:rsidP="00524DC0">
      <w:pPr>
        <w:pStyle w:val="NormalWeb"/>
        <w:contextualSpacing/>
        <w:jc w:val="both"/>
        <w:rPr>
          <w:sz w:val="20"/>
          <w:szCs w:val="20"/>
        </w:rPr>
      </w:pPr>
      <m:oMath>
        <m:r>
          <w:rPr>
            <w:rFonts w:ascii="Cambria Math" w:hAnsi="Cambria Math"/>
            <w:sz w:val="20"/>
            <w:szCs w:val="20"/>
          </w:rPr>
          <m:t xml:space="preserve">30. </m:t>
        </m:r>
      </m:oMath>
      <w:r w:rsidRPr="003134D9">
        <w:rPr>
          <w:sz w:val="20"/>
          <w:szCs w:val="20"/>
        </w:rPr>
        <w:t xml:space="preserve">Kitchin R. Urban data and inequality. </w:t>
      </w:r>
      <w:r w:rsidRPr="003134D9">
        <w:rPr>
          <w:rStyle w:val="Emphasis"/>
          <w:sz w:val="20"/>
          <w:szCs w:val="20"/>
        </w:rPr>
        <w:t>Big Data &amp; Society.</w:t>
      </w:r>
      <w:r w:rsidRPr="003134D9">
        <w:rPr>
          <w:sz w:val="20"/>
          <w:szCs w:val="20"/>
        </w:rPr>
        <w:t xml:space="preserve"> 2016;3(2):1–12.</w:t>
      </w:r>
    </w:p>
    <w:p w14:paraId="7688962F" w14:textId="714BFC41" w:rsidR="008E3245" w:rsidRPr="003134D9" w:rsidRDefault="008E3245" w:rsidP="00524DC0">
      <w:pPr>
        <w:pStyle w:val="NormalWeb"/>
        <w:contextualSpacing/>
        <w:jc w:val="both"/>
        <w:rPr>
          <w:sz w:val="20"/>
          <w:szCs w:val="20"/>
        </w:rPr>
      </w:pPr>
      <m:oMath>
        <m:r>
          <w:rPr>
            <w:rFonts w:ascii="Cambria Math" w:hAnsi="Cambria Math"/>
            <w:sz w:val="20"/>
            <w:szCs w:val="20"/>
          </w:rPr>
          <m:t xml:space="preserve">31. </m:t>
        </m:r>
      </m:oMath>
      <w:r w:rsidRPr="003134D9">
        <w:rPr>
          <w:sz w:val="20"/>
          <w:szCs w:val="20"/>
        </w:rPr>
        <w:t xml:space="preserve">Komninos N. </w:t>
      </w:r>
      <w:r w:rsidRPr="003134D9">
        <w:rPr>
          <w:rStyle w:val="Emphasis"/>
          <w:sz w:val="20"/>
          <w:szCs w:val="20"/>
        </w:rPr>
        <w:t>Smart Cities and Connected Intelligence.</w:t>
      </w:r>
      <w:r w:rsidRPr="003134D9">
        <w:rPr>
          <w:sz w:val="20"/>
          <w:szCs w:val="20"/>
        </w:rPr>
        <w:t xml:space="preserve"> Routledge; 2018.</w:t>
      </w:r>
    </w:p>
    <w:p w14:paraId="70F68D9F" w14:textId="640C4A6D" w:rsidR="008E3245" w:rsidRPr="003134D9" w:rsidRDefault="008E3245" w:rsidP="00524DC0">
      <w:pPr>
        <w:pStyle w:val="NormalWeb"/>
        <w:contextualSpacing/>
        <w:jc w:val="both"/>
        <w:rPr>
          <w:sz w:val="20"/>
          <w:szCs w:val="20"/>
        </w:rPr>
      </w:pPr>
      <m:oMath>
        <m:r>
          <w:rPr>
            <w:rFonts w:ascii="Cambria Math" w:hAnsi="Cambria Math"/>
            <w:sz w:val="20"/>
            <w:szCs w:val="20"/>
          </w:rPr>
          <w:lastRenderedPageBreak/>
          <m:t xml:space="preserve">32. </m:t>
        </m:r>
      </m:oMath>
      <w:r w:rsidRPr="003134D9">
        <w:rPr>
          <w:sz w:val="20"/>
          <w:szCs w:val="20"/>
        </w:rPr>
        <w:t xml:space="preserve">Land Transport Authority (LTA). </w:t>
      </w:r>
      <w:r w:rsidRPr="003134D9">
        <w:rPr>
          <w:rStyle w:val="Emphasis"/>
          <w:sz w:val="20"/>
          <w:szCs w:val="20"/>
        </w:rPr>
        <w:t>Land Transport Master Plan 2040.</w:t>
      </w:r>
      <w:r w:rsidRPr="003134D9">
        <w:rPr>
          <w:sz w:val="20"/>
          <w:szCs w:val="20"/>
        </w:rPr>
        <w:t xml:space="preserve"> Government of Singapore; 2020.</w:t>
      </w:r>
    </w:p>
    <w:p w14:paraId="3DA3F30A" w14:textId="2446B5D4" w:rsidR="008E3245" w:rsidRPr="003134D9" w:rsidRDefault="008E3245" w:rsidP="00524DC0">
      <w:pPr>
        <w:pStyle w:val="NormalWeb"/>
        <w:contextualSpacing/>
        <w:jc w:val="both"/>
        <w:rPr>
          <w:sz w:val="20"/>
          <w:szCs w:val="20"/>
        </w:rPr>
      </w:pPr>
      <m:oMath>
        <m:r>
          <w:rPr>
            <w:rFonts w:ascii="Cambria Math" w:hAnsi="Cambria Math"/>
            <w:sz w:val="20"/>
            <w:szCs w:val="20"/>
          </w:rPr>
          <m:t xml:space="preserve">33. </m:t>
        </m:r>
      </m:oMath>
      <w:r w:rsidRPr="003134D9">
        <w:rPr>
          <w:sz w:val="20"/>
          <w:szCs w:val="20"/>
        </w:rPr>
        <w:t xml:space="preserve">OCP Group. </w:t>
      </w:r>
      <w:r w:rsidRPr="003134D9">
        <w:rPr>
          <w:rStyle w:val="Emphasis"/>
          <w:sz w:val="20"/>
          <w:szCs w:val="20"/>
        </w:rPr>
        <w:t>Sustainability and Urban Innovation Report.</w:t>
      </w:r>
      <w:r w:rsidRPr="003134D9">
        <w:rPr>
          <w:sz w:val="20"/>
          <w:szCs w:val="20"/>
        </w:rPr>
        <w:t xml:space="preserve"> OCP; 2022.</w:t>
      </w:r>
    </w:p>
    <w:p w14:paraId="55AF9E39" w14:textId="53191072" w:rsidR="008E3245" w:rsidRPr="003134D9" w:rsidRDefault="008E3245" w:rsidP="00524DC0">
      <w:pPr>
        <w:pStyle w:val="NormalWeb"/>
        <w:contextualSpacing/>
        <w:jc w:val="both"/>
        <w:rPr>
          <w:sz w:val="20"/>
          <w:szCs w:val="20"/>
        </w:rPr>
      </w:pPr>
      <m:oMath>
        <m:r>
          <w:rPr>
            <w:rFonts w:ascii="Cambria Math" w:hAnsi="Cambria Math"/>
            <w:sz w:val="20"/>
            <w:szCs w:val="20"/>
          </w:rPr>
          <m:t xml:space="preserve">34. </m:t>
        </m:r>
      </m:oMath>
      <w:r w:rsidRPr="003134D9">
        <w:rPr>
          <w:sz w:val="20"/>
          <w:szCs w:val="20"/>
        </w:rPr>
        <w:t xml:space="preserve">OECD. </w:t>
      </w:r>
      <w:r w:rsidRPr="003134D9">
        <w:rPr>
          <w:rStyle w:val="Emphasis"/>
          <w:sz w:val="20"/>
          <w:szCs w:val="20"/>
        </w:rPr>
        <w:t>OECD Digital Government Review of Denmark.</w:t>
      </w:r>
      <w:r w:rsidRPr="003134D9">
        <w:rPr>
          <w:sz w:val="20"/>
          <w:szCs w:val="20"/>
        </w:rPr>
        <w:t xml:space="preserve"> OECD Publishing; 2020.</w:t>
      </w:r>
    </w:p>
    <w:p w14:paraId="4D55D782" w14:textId="18A872DD" w:rsidR="008E3245" w:rsidRPr="003134D9" w:rsidRDefault="008E3245" w:rsidP="00524DC0">
      <w:pPr>
        <w:pStyle w:val="NormalWeb"/>
        <w:contextualSpacing/>
        <w:jc w:val="both"/>
        <w:rPr>
          <w:sz w:val="20"/>
          <w:szCs w:val="20"/>
        </w:rPr>
      </w:pPr>
      <m:oMath>
        <m:r>
          <w:rPr>
            <w:rFonts w:ascii="Cambria Math" w:hAnsi="Cambria Math"/>
            <w:sz w:val="20"/>
            <w:szCs w:val="20"/>
          </w:rPr>
          <m:t xml:space="preserve">35. </m:t>
        </m:r>
      </m:oMath>
      <w:r w:rsidRPr="003134D9">
        <w:rPr>
          <w:sz w:val="20"/>
          <w:szCs w:val="20"/>
        </w:rPr>
        <w:t xml:space="preserve">PUB Singapore. </w:t>
      </w:r>
      <w:r w:rsidRPr="003134D9">
        <w:rPr>
          <w:rStyle w:val="Emphasis"/>
          <w:sz w:val="20"/>
          <w:szCs w:val="20"/>
        </w:rPr>
        <w:t>Smart Water Grid Implementation Report.</w:t>
      </w:r>
      <w:r w:rsidRPr="003134D9">
        <w:rPr>
          <w:sz w:val="20"/>
          <w:szCs w:val="20"/>
        </w:rPr>
        <w:t xml:space="preserve"> 2021.</w:t>
      </w:r>
    </w:p>
    <w:p w14:paraId="71397828" w14:textId="0D96E125" w:rsidR="008E3245" w:rsidRPr="003134D9" w:rsidRDefault="008E3245" w:rsidP="00524DC0">
      <w:pPr>
        <w:pStyle w:val="NormalWeb"/>
        <w:contextualSpacing/>
        <w:jc w:val="both"/>
        <w:rPr>
          <w:sz w:val="20"/>
          <w:szCs w:val="20"/>
        </w:rPr>
      </w:pPr>
      <m:oMath>
        <m:r>
          <w:rPr>
            <w:rFonts w:ascii="Cambria Math" w:hAnsi="Cambria Math"/>
            <w:sz w:val="20"/>
            <w:szCs w:val="20"/>
          </w:rPr>
          <m:t xml:space="preserve">36. </m:t>
        </m:r>
      </m:oMath>
      <w:r w:rsidRPr="003134D9">
        <w:rPr>
          <w:sz w:val="20"/>
          <w:szCs w:val="20"/>
        </w:rPr>
        <w:t xml:space="preserve">Rolnick D, et al. Tackling climate change with machine learning. </w:t>
      </w:r>
      <w:r w:rsidRPr="003134D9">
        <w:rPr>
          <w:rStyle w:val="Emphasis"/>
          <w:sz w:val="20"/>
          <w:szCs w:val="20"/>
        </w:rPr>
        <w:t>Journal of Machine Learning Research.</w:t>
      </w:r>
      <w:r w:rsidRPr="003134D9">
        <w:rPr>
          <w:sz w:val="20"/>
          <w:szCs w:val="20"/>
        </w:rPr>
        <w:t xml:space="preserve"> 2019;21:1–128.</w:t>
      </w:r>
    </w:p>
    <w:p w14:paraId="44C37FE1" w14:textId="16784273" w:rsidR="008E3245" w:rsidRPr="003134D9" w:rsidRDefault="008E3245" w:rsidP="00524DC0">
      <w:pPr>
        <w:pStyle w:val="NormalWeb"/>
        <w:contextualSpacing/>
        <w:jc w:val="both"/>
        <w:rPr>
          <w:sz w:val="20"/>
          <w:szCs w:val="20"/>
        </w:rPr>
      </w:pPr>
      <m:oMath>
        <m:r>
          <w:rPr>
            <w:rFonts w:ascii="Cambria Math" w:hAnsi="Cambria Math"/>
            <w:sz w:val="20"/>
            <w:szCs w:val="20"/>
          </w:rPr>
          <m:t xml:space="preserve">37. </m:t>
        </m:r>
      </m:oMath>
      <w:r w:rsidRPr="003134D9">
        <w:rPr>
          <w:sz w:val="20"/>
          <w:szCs w:val="20"/>
        </w:rPr>
        <w:t xml:space="preserve">SASB. </w:t>
      </w:r>
      <w:r w:rsidRPr="003134D9">
        <w:rPr>
          <w:rStyle w:val="Emphasis"/>
          <w:sz w:val="20"/>
          <w:szCs w:val="20"/>
        </w:rPr>
        <w:t>Sustainability Accounting Standards Board: Conceptual Framework.</w:t>
      </w:r>
      <w:r w:rsidRPr="003134D9">
        <w:rPr>
          <w:sz w:val="20"/>
          <w:szCs w:val="20"/>
        </w:rPr>
        <w:t xml:space="preserve"> SASB; 2018.</w:t>
      </w:r>
    </w:p>
    <w:p w14:paraId="1B0DC391" w14:textId="11E0F0ED" w:rsidR="008E3245" w:rsidRPr="003134D9" w:rsidRDefault="008E3245" w:rsidP="00524DC0">
      <w:pPr>
        <w:pStyle w:val="NormalWeb"/>
        <w:contextualSpacing/>
        <w:jc w:val="both"/>
        <w:rPr>
          <w:sz w:val="20"/>
          <w:szCs w:val="20"/>
        </w:rPr>
      </w:pPr>
      <m:oMath>
        <m:r>
          <w:rPr>
            <w:rFonts w:ascii="Cambria Math" w:hAnsi="Cambria Math"/>
            <w:sz w:val="20"/>
            <w:szCs w:val="20"/>
          </w:rPr>
          <m:t xml:space="preserve">38. </m:t>
        </m:r>
      </m:oMath>
      <w:r w:rsidRPr="003134D9">
        <w:rPr>
          <w:sz w:val="20"/>
          <w:szCs w:val="20"/>
        </w:rPr>
        <w:t xml:space="preserve">UN-Habitat. </w:t>
      </w:r>
      <w:r w:rsidRPr="003134D9">
        <w:rPr>
          <w:rStyle w:val="Emphasis"/>
          <w:sz w:val="20"/>
          <w:szCs w:val="20"/>
        </w:rPr>
        <w:t>World Cities Report 2022.</w:t>
      </w:r>
      <w:r w:rsidRPr="003134D9">
        <w:rPr>
          <w:sz w:val="20"/>
          <w:szCs w:val="20"/>
        </w:rPr>
        <w:t xml:space="preserve"> United Nations Human Settlements Programme; 2023.</w:t>
      </w:r>
    </w:p>
    <w:p w14:paraId="7A144992" w14:textId="4FBCB724" w:rsidR="008E3245" w:rsidRPr="003134D9" w:rsidRDefault="008E3245" w:rsidP="00524DC0">
      <w:pPr>
        <w:pStyle w:val="NormalWeb"/>
        <w:contextualSpacing/>
        <w:jc w:val="both"/>
        <w:rPr>
          <w:sz w:val="20"/>
          <w:szCs w:val="20"/>
        </w:rPr>
      </w:pPr>
      <m:oMath>
        <m:r>
          <w:rPr>
            <w:rFonts w:ascii="Cambria Math" w:hAnsi="Cambria Math"/>
            <w:sz w:val="20"/>
            <w:szCs w:val="20"/>
          </w:rPr>
          <m:t xml:space="preserve">39. </m:t>
        </m:r>
      </m:oMath>
      <w:r w:rsidRPr="003134D9">
        <w:rPr>
          <w:sz w:val="20"/>
          <w:szCs w:val="20"/>
        </w:rPr>
        <w:t xml:space="preserve">UN DESA. </w:t>
      </w:r>
      <w:r w:rsidRPr="003134D9">
        <w:rPr>
          <w:rStyle w:val="Emphasis"/>
          <w:sz w:val="20"/>
          <w:szCs w:val="20"/>
        </w:rPr>
        <w:t>World Urbanization Prospects: 2018 Revision.</w:t>
      </w:r>
      <w:r w:rsidRPr="003134D9">
        <w:rPr>
          <w:sz w:val="20"/>
          <w:szCs w:val="20"/>
        </w:rPr>
        <w:t xml:space="preserve"> United Nations; 2019.</w:t>
      </w:r>
    </w:p>
    <w:p w14:paraId="77575335" w14:textId="1EBB2D7E" w:rsidR="008E3245" w:rsidRPr="003134D9" w:rsidRDefault="008E3245" w:rsidP="00524DC0">
      <w:pPr>
        <w:pStyle w:val="NormalWeb"/>
        <w:contextualSpacing/>
        <w:jc w:val="both"/>
        <w:rPr>
          <w:sz w:val="20"/>
          <w:szCs w:val="20"/>
        </w:rPr>
      </w:pPr>
      <m:oMath>
        <m:r>
          <w:rPr>
            <w:rFonts w:ascii="Cambria Math" w:hAnsi="Cambria Math"/>
            <w:sz w:val="20"/>
            <w:szCs w:val="20"/>
          </w:rPr>
          <m:t xml:space="preserve">40. </m:t>
        </m:r>
      </m:oMath>
      <w:r w:rsidRPr="003134D9">
        <w:rPr>
          <w:sz w:val="20"/>
          <w:szCs w:val="20"/>
        </w:rPr>
        <w:t xml:space="preserve">UNDP. </w:t>
      </w:r>
      <w:r w:rsidRPr="003134D9">
        <w:rPr>
          <w:rStyle w:val="Emphasis"/>
          <w:sz w:val="20"/>
          <w:szCs w:val="20"/>
        </w:rPr>
        <w:t>Human Development Report 2023: Statistical Annex.</w:t>
      </w:r>
      <w:r w:rsidRPr="003134D9">
        <w:rPr>
          <w:sz w:val="20"/>
          <w:szCs w:val="20"/>
        </w:rPr>
        <w:t xml:space="preserve"> United Nations Development Programme; 2023.</w:t>
      </w:r>
    </w:p>
    <w:p w14:paraId="6C200B1E" w14:textId="0B3B8F26" w:rsidR="008E3245" w:rsidRPr="003134D9" w:rsidRDefault="008E3245" w:rsidP="00524DC0">
      <w:pPr>
        <w:pStyle w:val="NormalWeb"/>
        <w:contextualSpacing/>
        <w:jc w:val="both"/>
        <w:rPr>
          <w:sz w:val="20"/>
          <w:szCs w:val="20"/>
        </w:rPr>
      </w:pPr>
      <m:oMath>
        <m:r>
          <w:rPr>
            <w:rFonts w:ascii="Cambria Math" w:hAnsi="Cambria Math"/>
            <w:sz w:val="20"/>
            <w:szCs w:val="20"/>
          </w:rPr>
          <m:t xml:space="preserve">41. </m:t>
        </m:r>
      </m:oMath>
      <w:r w:rsidRPr="003134D9">
        <w:rPr>
          <w:sz w:val="20"/>
          <w:szCs w:val="20"/>
        </w:rPr>
        <w:t xml:space="preserve">UM6P. </w:t>
      </w:r>
      <w:r w:rsidRPr="003134D9">
        <w:rPr>
          <w:rStyle w:val="Emphasis"/>
          <w:sz w:val="20"/>
          <w:szCs w:val="20"/>
        </w:rPr>
        <w:t>Urban Sustainability and Green Campus Report.</w:t>
      </w:r>
      <w:r w:rsidRPr="003134D9">
        <w:rPr>
          <w:sz w:val="20"/>
          <w:szCs w:val="20"/>
        </w:rPr>
        <w:t xml:space="preserve"> Mohammed VI Polytechnic University; 2021.</w:t>
      </w:r>
    </w:p>
    <w:p w14:paraId="24576946" w14:textId="266E1B97" w:rsidR="008E3245" w:rsidRPr="003134D9" w:rsidRDefault="008E3245" w:rsidP="00524DC0">
      <w:pPr>
        <w:pStyle w:val="NormalWeb"/>
        <w:contextualSpacing/>
        <w:jc w:val="both"/>
        <w:rPr>
          <w:sz w:val="20"/>
          <w:szCs w:val="20"/>
        </w:rPr>
      </w:pPr>
      <m:oMath>
        <m:r>
          <w:rPr>
            <w:rFonts w:ascii="Cambria Math" w:hAnsi="Cambria Math"/>
            <w:sz w:val="20"/>
            <w:szCs w:val="20"/>
          </w:rPr>
          <m:t xml:space="preserve">42. </m:t>
        </m:r>
      </m:oMath>
      <w:r w:rsidRPr="003134D9">
        <w:rPr>
          <w:sz w:val="20"/>
          <w:szCs w:val="20"/>
        </w:rPr>
        <w:t xml:space="preserve">Urban Redevelopment Authority (URA). </w:t>
      </w:r>
      <w:r w:rsidRPr="003134D9">
        <w:rPr>
          <w:rStyle w:val="Emphasis"/>
          <w:sz w:val="20"/>
          <w:szCs w:val="20"/>
        </w:rPr>
        <w:t>Punggol Digital District Overview.</w:t>
      </w:r>
      <w:r w:rsidRPr="003134D9">
        <w:rPr>
          <w:sz w:val="20"/>
          <w:szCs w:val="20"/>
        </w:rPr>
        <w:t xml:space="preserve"> Singapore; 2021.</w:t>
      </w:r>
    </w:p>
    <w:p w14:paraId="486E6125" w14:textId="534768D7" w:rsidR="008E3245" w:rsidRPr="003134D9" w:rsidRDefault="008E3245" w:rsidP="00524DC0">
      <w:pPr>
        <w:pStyle w:val="NormalWeb"/>
        <w:contextualSpacing/>
        <w:jc w:val="both"/>
        <w:rPr>
          <w:sz w:val="20"/>
          <w:szCs w:val="20"/>
        </w:rPr>
      </w:pPr>
      <m:oMath>
        <m:r>
          <w:rPr>
            <w:rFonts w:ascii="Cambria Math" w:hAnsi="Cambria Math"/>
            <w:sz w:val="20"/>
            <w:szCs w:val="20"/>
          </w:rPr>
          <m:t xml:space="preserve">43. </m:t>
        </m:r>
      </m:oMath>
      <w:r w:rsidRPr="003134D9">
        <w:rPr>
          <w:sz w:val="20"/>
          <w:szCs w:val="20"/>
        </w:rPr>
        <w:t xml:space="preserve">Vanolo A. Smartmentality: The smart city as disciplinary strategy. </w:t>
      </w:r>
      <w:r w:rsidRPr="003134D9">
        <w:rPr>
          <w:rStyle w:val="Emphasis"/>
          <w:sz w:val="20"/>
          <w:szCs w:val="20"/>
        </w:rPr>
        <w:t>Urban Studies.</w:t>
      </w:r>
      <w:r w:rsidRPr="003134D9">
        <w:rPr>
          <w:sz w:val="20"/>
          <w:szCs w:val="20"/>
        </w:rPr>
        <w:t xml:space="preserve"> 2014;51(5):883–898.</w:t>
      </w:r>
    </w:p>
    <w:p w14:paraId="4D91A38E" w14:textId="5EBDE146" w:rsidR="008E3245" w:rsidRPr="003134D9" w:rsidRDefault="008E3245" w:rsidP="00524DC0">
      <w:pPr>
        <w:pStyle w:val="NormalWeb"/>
        <w:contextualSpacing/>
        <w:jc w:val="both"/>
        <w:rPr>
          <w:sz w:val="20"/>
          <w:szCs w:val="20"/>
        </w:rPr>
      </w:pPr>
      <m:oMath>
        <m:r>
          <w:rPr>
            <w:rFonts w:ascii="Cambria Math" w:hAnsi="Cambria Math"/>
            <w:sz w:val="20"/>
            <w:szCs w:val="20"/>
          </w:rPr>
          <m:t xml:space="preserve">44. </m:t>
        </m:r>
      </m:oMath>
      <w:r w:rsidRPr="003134D9">
        <w:rPr>
          <w:sz w:val="20"/>
          <w:szCs w:val="20"/>
        </w:rPr>
        <w:t xml:space="preserve">WCCD. </w:t>
      </w:r>
      <w:r w:rsidRPr="003134D9">
        <w:rPr>
          <w:rStyle w:val="Emphasis"/>
          <w:sz w:val="20"/>
          <w:szCs w:val="20"/>
        </w:rPr>
        <w:t>ISO 37120 Global Cities Registry.</w:t>
      </w:r>
      <w:r w:rsidRPr="003134D9">
        <w:rPr>
          <w:sz w:val="20"/>
          <w:szCs w:val="20"/>
        </w:rPr>
        <w:t xml:space="preserve"> World Council on City Data; 2018.</w:t>
      </w:r>
    </w:p>
    <w:p w14:paraId="673C53A1" w14:textId="5C29DBAA" w:rsidR="008E3245" w:rsidRPr="003134D9" w:rsidRDefault="008E3245" w:rsidP="00524DC0">
      <w:pPr>
        <w:pStyle w:val="NormalWeb"/>
        <w:contextualSpacing/>
        <w:jc w:val="both"/>
        <w:rPr>
          <w:sz w:val="20"/>
          <w:szCs w:val="20"/>
        </w:rPr>
      </w:pPr>
      <m:oMath>
        <m:r>
          <w:rPr>
            <w:rFonts w:ascii="Cambria Math" w:hAnsi="Cambria Math"/>
            <w:sz w:val="20"/>
            <w:szCs w:val="20"/>
          </w:rPr>
          <m:t xml:space="preserve">45. </m:t>
        </m:r>
      </m:oMath>
      <w:r w:rsidRPr="003134D9">
        <w:rPr>
          <w:sz w:val="20"/>
          <w:szCs w:val="20"/>
        </w:rPr>
        <w:t xml:space="preserve">Zenata Development (CDG). </w:t>
      </w:r>
      <w:r w:rsidRPr="003134D9">
        <w:rPr>
          <w:rStyle w:val="Emphasis"/>
          <w:sz w:val="20"/>
          <w:szCs w:val="20"/>
        </w:rPr>
        <w:t>Environmental &amp; Social Performance Report.</w:t>
      </w:r>
      <w:r w:rsidRPr="003134D9">
        <w:rPr>
          <w:sz w:val="20"/>
          <w:szCs w:val="20"/>
        </w:rPr>
        <w:t xml:space="preserve"> CDG; 2023.</w:t>
      </w:r>
    </w:p>
    <w:p w14:paraId="1370A250" w14:textId="630F85E4" w:rsidR="00244A6C" w:rsidRPr="008E3245" w:rsidRDefault="00244A6C" w:rsidP="0029162A">
      <w:pPr>
        <w:pStyle w:val="Reference"/>
        <w:numPr>
          <w:ilvl w:val="0"/>
          <w:numId w:val="0"/>
        </w:numPr>
        <w:ind w:left="426"/>
        <w:rPr>
          <w:color w:val="0000FF"/>
          <w:u w:val="single"/>
          <w:lang w:eastAsia="en-CA"/>
        </w:rPr>
      </w:pPr>
    </w:p>
    <w:sectPr w:rsidR="00244A6C" w:rsidRPr="008E3245"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06231" w14:textId="77777777" w:rsidR="00857C0D" w:rsidRDefault="00857C0D" w:rsidP="007D6D1A">
      <w:r>
        <w:separator/>
      </w:r>
    </w:p>
  </w:endnote>
  <w:endnote w:type="continuationSeparator" w:id="0">
    <w:p w14:paraId="641C4FA5" w14:textId="77777777" w:rsidR="00857C0D" w:rsidRDefault="00857C0D" w:rsidP="007D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E41E" w14:textId="77777777" w:rsidR="00857C0D" w:rsidRDefault="00857C0D" w:rsidP="007D6D1A">
      <w:r>
        <w:separator/>
      </w:r>
    </w:p>
  </w:footnote>
  <w:footnote w:type="continuationSeparator" w:id="0">
    <w:p w14:paraId="7E3E0CAC" w14:textId="77777777" w:rsidR="00857C0D" w:rsidRDefault="00857C0D" w:rsidP="007D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C44"/>
    <w:multiLevelType w:val="multilevel"/>
    <w:tmpl w:val="8B4EA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C6045"/>
    <w:multiLevelType w:val="multilevel"/>
    <w:tmpl w:val="E6A04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F15EC"/>
    <w:multiLevelType w:val="multilevel"/>
    <w:tmpl w:val="4DBA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31483"/>
    <w:multiLevelType w:val="multilevel"/>
    <w:tmpl w:val="2D683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47F21"/>
    <w:multiLevelType w:val="multilevel"/>
    <w:tmpl w:val="E8FE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8724E"/>
    <w:multiLevelType w:val="multilevel"/>
    <w:tmpl w:val="D1449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B20139"/>
    <w:multiLevelType w:val="hybridMultilevel"/>
    <w:tmpl w:val="468E13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8" w15:restartNumberingAfterBreak="0">
    <w:nsid w:val="217D656D"/>
    <w:multiLevelType w:val="multilevel"/>
    <w:tmpl w:val="A7700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B65001"/>
    <w:multiLevelType w:val="multilevel"/>
    <w:tmpl w:val="D9AEA76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280F0B69"/>
    <w:multiLevelType w:val="multilevel"/>
    <w:tmpl w:val="4DBA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71B0C"/>
    <w:multiLevelType w:val="multilevel"/>
    <w:tmpl w:val="A0381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581BB2"/>
    <w:multiLevelType w:val="multilevel"/>
    <w:tmpl w:val="76447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597229D"/>
    <w:multiLevelType w:val="multilevel"/>
    <w:tmpl w:val="4DBA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17CE3"/>
    <w:multiLevelType w:val="hybridMultilevel"/>
    <w:tmpl w:val="7D582618"/>
    <w:lvl w:ilvl="0" w:tplc="AC281C7E">
      <w:start w:val="1"/>
      <w:numFmt w:val="decimal"/>
      <w:pStyle w:val="Reference"/>
      <w:lvlText w:val="%1."/>
      <w:lvlJc w:val="left"/>
      <w:pPr>
        <w:ind w:left="643"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8B7323"/>
    <w:multiLevelType w:val="multilevel"/>
    <w:tmpl w:val="D566659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7C64B4"/>
    <w:multiLevelType w:val="multilevel"/>
    <w:tmpl w:val="4DBA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E018E0"/>
    <w:multiLevelType w:val="multilevel"/>
    <w:tmpl w:val="4DBA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8A24E7"/>
    <w:multiLevelType w:val="multilevel"/>
    <w:tmpl w:val="E8FE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A72740"/>
    <w:multiLevelType w:val="multilevel"/>
    <w:tmpl w:val="E8FE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8E79DE"/>
    <w:multiLevelType w:val="multilevel"/>
    <w:tmpl w:val="2AECED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2BA7C68"/>
    <w:multiLevelType w:val="multilevel"/>
    <w:tmpl w:val="F8346B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597FDB"/>
    <w:multiLevelType w:val="multilevel"/>
    <w:tmpl w:val="E8FE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9C1875"/>
    <w:multiLevelType w:val="multilevel"/>
    <w:tmpl w:val="F5C04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B34F2E"/>
    <w:multiLevelType w:val="multilevel"/>
    <w:tmpl w:val="C9C8AC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6B3ABA"/>
    <w:multiLevelType w:val="multilevel"/>
    <w:tmpl w:val="E8FE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5213B4"/>
    <w:multiLevelType w:val="multilevel"/>
    <w:tmpl w:val="35A4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9F15BF"/>
    <w:multiLevelType w:val="multilevel"/>
    <w:tmpl w:val="D1FA14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C0382A"/>
    <w:multiLevelType w:val="multilevel"/>
    <w:tmpl w:val="C4BC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31" w15:restartNumberingAfterBreak="0">
    <w:nsid w:val="763B0FCF"/>
    <w:multiLevelType w:val="multilevel"/>
    <w:tmpl w:val="4DBA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47663F"/>
    <w:multiLevelType w:val="multilevel"/>
    <w:tmpl w:val="4DBA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4F160A"/>
    <w:multiLevelType w:val="multilevel"/>
    <w:tmpl w:val="73E0F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043433"/>
    <w:multiLevelType w:val="multilevel"/>
    <w:tmpl w:val="A59E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36" w15:restartNumberingAfterBreak="0">
    <w:nsid w:val="7DF161A8"/>
    <w:multiLevelType w:val="multilevel"/>
    <w:tmpl w:val="76F6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7931352">
    <w:abstractNumId w:val="15"/>
  </w:num>
  <w:num w:numId="2" w16cid:durableId="1974631915">
    <w:abstractNumId w:val="13"/>
  </w:num>
  <w:num w:numId="3" w16cid:durableId="1273249220">
    <w:abstractNumId w:val="30"/>
  </w:num>
  <w:num w:numId="4" w16cid:durableId="1061490222">
    <w:abstractNumId w:val="21"/>
  </w:num>
  <w:num w:numId="5" w16cid:durableId="250356059">
    <w:abstractNumId w:val="9"/>
  </w:num>
  <w:num w:numId="6" w16cid:durableId="2028480854">
    <w:abstractNumId w:val="6"/>
  </w:num>
  <w:num w:numId="7" w16cid:durableId="717555203">
    <w:abstractNumId w:val="26"/>
  </w:num>
  <w:num w:numId="8" w16cid:durableId="1417366438">
    <w:abstractNumId w:val="19"/>
  </w:num>
  <w:num w:numId="9" w16cid:durableId="817040214">
    <w:abstractNumId w:val="33"/>
  </w:num>
  <w:num w:numId="10" w16cid:durableId="1259830607">
    <w:abstractNumId w:val="20"/>
  </w:num>
  <w:num w:numId="11" w16cid:durableId="924613251">
    <w:abstractNumId w:val="4"/>
  </w:num>
  <w:num w:numId="12" w16cid:durableId="428476984">
    <w:abstractNumId w:val="23"/>
  </w:num>
  <w:num w:numId="13" w16cid:durableId="49039334">
    <w:abstractNumId w:val="18"/>
  </w:num>
  <w:num w:numId="14" w16cid:durableId="877200876">
    <w:abstractNumId w:val="5"/>
  </w:num>
  <w:num w:numId="15" w16cid:durableId="264269432">
    <w:abstractNumId w:val="14"/>
  </w:num>
  <w:num w:numId="16" w16cid:durableId="497424552">
    <w:abstractNumId w:val="17"/>
  </w:num>
  <w:num w:numId="17" w16cid:durableId="1968051173">
    <w:abstractNumId w:val="10"/>
  </w:num>
  <w:num w:numId="18" w16cid:durableId="347489926">
    <w:abstractNumId w:val="11"/>
  </w:num>
  <w:num w:numId="19" w16cid:durableId="567151929">
    <w:abstractNumId w:val="22"/>
  </w:num>
  <w:num w:numId="20" w16cid:durableId="1910725076">
    <w:abstractNumId w:val="28"/>
  </w:num>
  <w:num w:numId="21" w16cid:durableId="1297838153">
    <w:abstractNumId w:val="25"/>
  </w:num>
  <w:num w:numId="22" w16cid:durableId="2050182733">
    <w:abstractNumId w:val="0"/>
  </w:num>
  <w:num w:numId="23" w16cid:durableId="679282493">
    <w:abstractNumId w:val="2"/>
  </w:num>
  <w:num w:numId="24" w16cid:durableId="1039352561">
    <w:abstractNumId w:val="1"/>
  </w:num>
  <w:num w:numId="25" w16cid:durableId="1101729581">
    <w:abstractNumId w:val="24"/>
  </w:num>
  <w:num w:numId="26" w16cid:durableId="710805032">
    <w:abstractNumId w:val="36"/>
  </w:num>
  <w:num w:numId="27" w16cid:durableId="648246294">
    <w:abstractNumId w:val="27"/>
  </w:num>
  <w:num w:numId="28" w16cid:durableId="570311788">
    <w:abstractNumId w:val="12"/>
  </w:num>
  <w:num w:numId="29" w16cid:durableId="1385183276">
    <w:abstractNumId w:val="32"/>
  </w:num>
  <w:num w:numId="30" w16cid:durableId="983117094">
    <w:abstractNumId w:val="31"/>
  </w:num>
  <w:num w:numId="31" w16cid:durableId="430400138">
    <w:abstractNumId w:val="16"/>
  </w:num>
  <w:num w:numId="32" w16cid:durableId="1397121932">
    <w:abstractNumId w:val="29"/>
  </w:num>
  <w:num w:numId="33" w16cid:durableId="866526247">
    <w:abstractNumId w:val="34"/>
  </w:num>
  <w:num w:numId="34" w16cid:durableId="723529247">
    <w:abstractNumId w:val="8"/>
  </w:num>
  <w:num w:numId="35" w16cid:durableId="1333486642">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23C7"/>
    <w:rsid w:val="00014140"/>
    <w:rsid w:val="00014AFC"/>
    <w:rsid w:val="00016535"/>
    <w:rsid w:val="00027428"/>
    <w:rsid w:val="00031EC9"/>
    <w:rsid w:val="00066FED"/>
    <w:rsid w:val="00075EA6"/>
    <w:rsid w:val="0007709F"/>
    <w:rsid w:val="00086F62"/>
    <w:rsid w:val="00090674"/>
    <w:rsid w:val="0009320B"/>
    <w:rsid w:val="00094C6C"/>
    <w:rsid w:val="00096AE0"/>
    <w:rsid w:val="000A46E9"/>
    <w:rsid w:val="000B1B74"/>
    <w:rsid w:val="000B3A2D"/>
    <w:rsid w:val="000B49C0"/>
    <w:rsid w:val="000B6DF4"/>
    <w:rsid w:val="000D2537"/>
    <w:rsid w:val="000D4CC5"/>
    <w:rsid w:val="000E382F"/>
    <w:rsid w:val="000E75CD"/>
    <w:rsid w:val="000F3BAD"/>
    <w:rsid w:val="000F5E3B"/>
    <w:rsid w:val="001036BA"/>
    <w:rsid w:val="0011413F"/>
    <w:rsid w:val="001146DC"/>
    <w:rsid w:val="00114AB1"/>
    <w:rsid w:val="0011757B"/>
    <w:rsid w:val="001230FF"/>
    <w:rsid w:val="00123583"/>
    <w:rsid w:val="00130BD7"/>
    <w:rsid w:val="00143566"/>
    <w:rsid w:val="00155B67"/>
    <w:rsid w:val="001562AF"/>
    <w:rsid w:val="001619A5"/>
    <w:rsid w:val="00161A5B"/>
    <w:rsid w:val="0016385D"/>
    <w:rsid w:val="0016782F"/>
    <w:rsid w:val="00170123"/>
    <w:rsid w:val="00176776"/>
    <w:rsid w:val="001937E9"/>
    <w:rsid w:val="0019574D"/>
    <w:rsid w:val="001964E5"/>
    <w:rsid w:val="001B263B"/>
    <w:rsid w:val="001B476A"/>
    <w:rsid w:val="001C764F"/>
    <w:rsid w:val="001C7BB3"/>
    <w:rsid w:val="001D469C"/>
    <w:rsid w:val="001F76FB"/>
    <w:rsid w:val="0021619E"/>
    <w:rsid w:val="0023171B"/>
    <w:rsid w:val="00236BFC"/>
    <w:rsid w:val="00237437"/>
    <w:rsid w:val="00244A6C"/>
    <w:rsid w:val="002461AC"/>
    <w:rsid w:val="00247CE3"/>
    <w:rsid w:val="002502FD"/>
    <w:rsid w:val="00252BB8"/>
    <w:rsid w:val="00257FD3"/>
    <w:rsid w:val="002666F8"/>
    <w:rsid w:val="002676A4"/>
    <w:rsid w:val="0027095B"/>
    <w:rsid w:val="00271632"/>
    <w:rsid w:val="00272D5F"/>
    <w:rsid w:val="00274622"/>
    <w:rsid w:val="00285D24"/>
    <w:rsid w:val="00290390"/>
    <w:rsid w:val="002915D3"/>
    <w:rsid w:val="0029162A"/>
    <w:rsid w:val="002924DB"/>
    <w:rsid w:val="002941DA"/>
    <w:rsid w:val="002A2E0F"/>
    <w:rsid w:val="002A7334"/>
    <w:rsid w:val="002B3D8F"/>
    <w:rsid w:val="002B5648"/>
    <w:rsid w:val="002C33EF"/>
    <w:rsid w:val="002C3A3A"/>
    <w:rsid w:val="002E3C35"/>
    <w:rsid w:val="002F5298"/>
    <w:rsid w:val="00306A02"/>
    <w:rsid w:val="003134D9"/>
    <w:rsid w:val="00326AE0"/>
    <w:rsid w:val="00337E4F"/>
    <w:rsid w:val="00340C36"/>
    <w:rsid w:val="003416E3"/>
    <w:rsid w:val="00346A9D"/>
    <w:rsid w:val="00354E61"/>
    <w:rsid w:val="00381DDD"/>
    <w:rsid w:val="0039376F"/>
    <w:rsid w:val="003A287B"/>
    <w:rsid w:val="003A5C85"/>
    <w:rsid w:val="003A5F51"/>
    <w:rsid w:val="003A61B1"/>
    <w:rsid w:val="003B0050"/>
    <w:rsid w:val="003B543D"/>
    <w:rsid w:val="003D6312"/>
    <w:rsid w:val="003E0CE2"/>
    <w:rsid w:val="003E7C74"/>
    <w:rsid w:val="003F31C6"/>
    <w:rsid w:val="0040225B"/>
    <w:rsid w:val="00402DA2"/>
    <w:rsid w:val="00407F7E"/>
    <w:rsid w:val="00413645"/>
    <w:rsid w:val="00420905"/>
    <w:rsid w:val="00425AC2"/>
    <w:rsid w:val="00433FDA"/>
    <w:rsid w:val="004444A9"/>
    <w:rsid w:val="00444AF6"/>
    <w:rsid w:val="0044771F"/>
    <w:rsid w:val="00455D05"/>
    <w:rsid w:val="004564E2"/>
    <w:rsid w:val="004605A1"/>
    <w:rsid w:val="00466F53"/>
    <w:rsid w:val="00467F4D"/>
    <w:rsid w:val="00475169"/>
    <w:rsid w:val="004B151D"/>
    <w:rsid w:val="004C7243"/>
    <w:rsid w:val="004E21DE"/>
    <w:rsid w:val="004E3C57"/>
    <w:rsid w:val="004E3CB2"/>
    <w:rsid w:val="004E5192"/>
    <w:rsid w:val="004E68FB"/>
    <w:rsid w:val="004E69FE"/>
    <w:rsid w:val="004F2043"/>
    <w:rsid w:val="004F7278"/>
    <w:rsid w:val="005158ED"/>
    <w:rsid w:val="00524DC0"/>
    <w:rsid w:val="00525813"/>
    <w:rsid w:val="00527A90"/>
    <w:rsid w:val="0053513F"/>
    <w:rsid w:val="00537F3A"/>
    <w:rsid w:val="00553E39"/>
    <w:rsid w:val="005566F5"/>
    <w:rsid w:val="00567784"/>
    <w:rsid w:val="00570AE0"/>
    <w:rsid w:val="00573845"/>
    <w:rsid w:val="00574405"/>
    <w:rsid w:val="0058283C"/>
    <w:rsid w:val="005854B0"/>
    <w:rsid w:val="0058746A"/>
    <w:rsid w:val="005925BE"/>
    <w:rsid w:val="00596B01"/>
    <w:rsid w:val="005A0E21"/>
    <w:rsid w:val="005B3A34"/>
    <w:rsid w:val="005B5D6E"/>
    <w:rsid w:val="005C093B"/>
    <w:rsid w:val="005D49AF"/>
    <w:rsid w:val="005D72D4"/>
    <w:rsid w:val="005E415C"/>
    <w:rsid w:val="005E71ED"/>
    <w:rsid w:val="005E7946"/>
    <w:rsid w:val="005F7475"/>
    <w:rsid w:val="005F7BC0"/>
    <w:rsid w:val="00602810"/>
    <w:rsid w:val="00605986"/>
    <w:rsid w:val="006105C6"/>
    <w:rsid w:val="00611299"/>
    <w:rsid w:val="00613584"/>
    <w:rsid w:val="00613B4D"/>
    <w:rsid w:val="00616365"/>
    <w:rsid w:val="00616B6B"/>
    <w:rsid w:val="00616F3B"/>
    <w:rsid w:val="00621C1B"/>
    <w:rsid w:val="006249A7"/>
    <w:rsid w:val="006340F0"/>
    <w:rsid w:val="00634B65"/>
    <w:rsid w:val="0064225B"/>
    <w:rsid w:val="00676054"/>
    <w:rsid w:val="006763F9"/>
    <w:rsid w:val="00691228"/>
    <w:rsid w:val="00691A26"/>
    <w:rsid w:val="006949BC"/>
    <w:rsid w:val="006D1229"/>
    <w:rsid w:val="006D372F"/>
    <w:rsid w:val="006D5553"/>
    <w:rsid w:val="006D77C8"/>
    <w:rsid w:val="006D7A18"/>
    <w:rsid w:val="006E4315"/>
    <w:rsid w:val="006E4474"/>
    <w:rsid w:val="006F6E56"/>
    <w:rsid w:val="0070104E"/>
    <w:rsid w:val="00701388"/>
    <w:rsid w:val="00723B7F"/>
    <w:rsid w:val="00725861"/>
    <w:rsid w:val="0073393A"/>
    <w:rsid w:val="00735335"/>
    <w:rsid w:val="0073539D"/>
    <w:rsid w:val="0075699B"/>
    <w:rsid w:val="00762A6C"/>
    <w:rsid w:val="00767B8A"/>
    <w:rsid w:val="0077017E"/>
    <w:rsid w:val="00775481"/>
    <w:rsid w:val="007A18A6"/>
    <w:rsid w:val="007A233B"/>
    <w:rsid w:val="007B22A0"/>
    <w:rsid w:val="007B4863"/>
    <w:rsid w:val="007C2AB6"/>
    <w:rsid w:val="007C65E6"/>
    <w:rsid w:val="007D406B"/>
    <w:rsid w:val="007D4407"/>
    <w:rsid w:val="007D6D1A"/>
    <w:rsid w:val="007E1CA3"/>
    <w:rsid w:val="007F63BB"/>
    <w:rsid w:val="00807749"/>
    <w:rsid w:val="00812D62"/>
    <w:rsid w:val="00812F29"/>
    <w:rsid w:val="00821713"/>
    <w:rsid w:val="00827050"/>
    <w:rsid w:val="0083278B"/>
    <w:rsid w:val="00834538"/>
    <w:rsid w:val="00837C97"/>
    <w:rsid w:val="00850E89"/>
    <w:rsid w:val="0085562C"/>
    <w:rsid w:val="00857C0D"/>
    <w:rsid w:val="00872327"/>
    <w:rsid w:val="008872A5"/>
    <w:rsid w:val="008930E4"/>
    <w:rsid w:val="00893821"/>
    <w:rsid w:val="008A25AD"/>
    <w:rsid w:val="008A4BEB"/>
    <w:rsid w:val="008A7B9C"/>
    <w:rsid w:val="008B39FA"/>
    <w:rsid w:val="008B470C"/>
    <w:rsid w:val="008B4754"/>
    <w:rsid w:val="008C54C8"/>
    <w:rsid w:val="008C5951"/>
    <w:rsid w:val="008D0A4E"/>
    <w:rsid w:val="008D1E5A"/>
    <w:rsid w:val="008D20C4"/>
    <w:rsid w:val="008E3245"/>
    <w:rsid w:val="008E6A7A"/>
    <w:rsid w:val="008F1038"/>
    <w:rsid w:val="008F55C9"/>
    <w:rsid w:val="008F7046"/>
    <w:rsid w:val="009005FC"/>
    <w:rsid w:val="009116B2"/>
    <w:rsid w:val="00916848"/>
    <w:rsid w:val="00917526"/>
    <w:rsid w:val="00922E5A"/>
    <w:rsid w:val="00924F99"/>
    <w:rsid w:val="009358CE"/>
    <w:rsid w:val="00943315"/>
    <w:rsid w:val="00946C27"/>
    <w:rsid w:val="009501A1"/>
    <w:rsid w:val="00953AE3"/>
    <w:rsid w:val="0097317E"/>
    <w:rsid w:val="00990CEC"/>
    <w:rsid w:val="009A4F3D"/>
    <w:rsid w:val="009A52E9"/>
    <w:rsid w:val="009B696B"/>
    <w:rsid w:val="009B7671"/>
    <w:rsid w:val="009C578E"/>
    <w:rsid w:val="009D07C7"/>
    <w:rsid w:val="009E09C2"/>
    <w:rsid w:val="009E48F1"/>
    <w:rsid w:val="009E5BA1"/>
    <w:rsid w:val="009F056E"/>
    <w:rsid w:val="009F548F"/>
    <w:rsid w:val="00A042C0"/>
    <w:rsid w:val="00A1125D"/>
    <w:rsid w:val="00A15069"/>
    <w:rsid w:val="00A24F3D"/>
    <w:rsid w:val="00A26DCD"/>
    <w:rsid w:val="00A314BB"/>
    <w:rsid w:val="00A32B7D"/>
    <w:rsid w:val="00A5596B"/>
    <w:rsid w:val="00A61BCC"/>
    <w:rsid w:val="00A646B3"/>
    <w:rsid w:val="00A6488B"/>
    <w:rsid w:val="00A66F40"/>
    <w:rsid w:val="00A6739B"/>
    <w:rsid w:val="00A7646A"/>
    <w:rsid w:val="00A85B2A"/>
    <w:rsid w:val="00A90413"/>
    <w:rsid w:val="00A95F70"/>
    <w:rsid w:val="00AA728C"/>
    <w:rsid w:val="00AB0A9C"/>
    <w:rsid w:val="00AB7119"/>
    <w:rsid w:val="00AD5855"/>
    <w:rsid w:val="00AE7500"/>
    <w:rsid w:val="00AE7F87"/>
    <w:rsid w:val="00AF197E"/>
    <w:rsid w:val="00AF3542"/>
    <w:rsid w:val="00AF5ABE"/>
    <w:rsid w:val="00AF64ED"/>
    <w:rsid w:val="00B00415"/>
    <w:rsid w:val="00B03C2A"/>
    <w:rsid w:val="00B1000D"/>
    <w:rsid w:val="00B10134"/>
    <w:rsid w:val="00B12DB3"/>
    <w:rsid w:val="00B16BFE"/>
    <w:rsid w:val="00B20AC2"/>
    <w:rsid w:val="00B500E5"/>
    <w:rsid w:val="00B504B5"/>
    <w:rsid w:val="00B507DB"/>
    <w:rsid w:val="00B5331A"/>
    <w:rsid w:val="00B533C4"/>
    <w:rsid w:val="00B62FC9"/>
    <w:rsid w:val="00B73A1C"/>
    <w:rsid w:val="00BA39BB"/>
    <w:rsid w:val="00BA3B3D"/>
    <w:rsid w:val="00BB7EEA"/>
    <w:rsid w:val="00BD1909"/>
    <w:rsid w:val="00BE5E16"/>
    <w:rsid w:val="00BE5FD1"/>
    <w:rsid w:val="00BF562F"/>
    <w:rsid w:val="00BF61D6"/>
    <w:rsid w:val="00C026D4"/>
    <w:rsid w:val="00C06E05"/>
    <w:rsid w:val="00C14B14"/>
    <w:rsid w:val="00C1523C"/>
    <w:rsid w:val="00C17370"/>
    <w:rsid w:val="00C2054D"/>
    <w:rsid w:val="00C252EB"/>
    <w:rsid w:val="00C26EC0"/>
    <w:rsid w:val="00C27EFE"/>
    <w:rsid w:val="00C3290A"/>
    <w:rsid w:val="00C36858"/>
    <w:rsid w:val="00C37ADA"/>
    <w:rsid w:val="00C56C77"/>
    <w:rsid w:val="00C84923"/>
    <w:rsid w:val="00C92041"/>
    <w:rsid w:val="00CA272C"/>
    <w:rsid w:val="00CB7A2D"/>
    <w:rsid w:val="00CB7B3E"/>
    <w:rsid w:val="00CC739D"/>
    <w:rsid w:val="00CD0E88"/>
    <w:rsid w:val="00CD5957"/>
    <w:rsid w:val="00CD7D37"/>
    <w:rsid w:val="00CF1550"/>
    <w:rsid w:val="00CF569B"/>
    <w:rsid w:val="00D04468"/>
    <w:rsid w:val="00D04601"/>
    <w:rsid w:val="00D07FF8"/>
    <w:rsid w:val="00D14236"/>
    <w:rsid w:val="00D25780"/>
    <w:rsid w:val="00D30640"/>
    <w:rsid w:val="00D3292F"/>
    <w:rsid w:val="00D36257"/>
    <w:rsid w:val="00D44793"/>
    <w:rsid w:val="00D4687E"/>
    <w:rsid w:val="00D53A12"/>
    <w:rsid w:val="00D62F67"/>
    <w:rsid w:val="00D84832"/>
    <w:rsid w:val="00D87E2A"/>
    <w:rsid w:val="00DB0C43"/>
    <w:rsid w:val="00DC0162"/>
    <w:rsid w:val="00DD057F"/>
    <w:rsid w:val="00DD15AA"/>
    <w:rsid w:val="00DE3354"/>
    <w:rsid w:val="00DF7DCD"/>
    <w:rsid w:val="00E0465F"/>
    <w:rsid w:val="00E05140"/>
    <w:rsid w:val="00E3670D"/>
    <w:rsid w:val="00E373AC"/>
    <w:rsid w:val="00E400CB"/>
    <w:rsid w:val="00E50B7D"/>
    <w:rsid w:val="00E601FB"/>
    <w:rsid w:val="00E847E6"/>
    <w:rsid w:val="00E8617D"/>
    <w:rsid w:val="00E904A1"/>
    <w:rsid w:val="00EB70BA"/>
    <w:rsid w:val="00EB7D28"/>
    <w:rsid w:val="00EC0D0C"/>
    <w:rsid w:val="00EC1612"/>
    <w:rsid w:val="00ED4A2C"/>
    <w:rsid w:val="00EF6940"/>
    <w:rsid w:val="00F02EFE"/>
    <w:rsid w:val="00F2044A"/>
    <w:rsid w:val="00F20BFC"/>
    <w:rsid w:val="00F21121"/>
    <w:rsid w:val="00F24D5F"/>
    <w:rsid w:val="00F306A7"/>
    <w:rsid w:val="00F30CC0"/>
    <w:rsid w:val="00F354A2"/>
    <w:rsid w:val="00F726C3"/>
    <w:rsid w:val="00F766F5"/>
    <w:rsid w:val="00F820CA"/>
    <w:rsid w:val="00F823A4"/>
    <w:rsid w:val="00F8554C"/>
    <w:rsid w:val="00F9190A"/>
    <w:rsid w:val="00F91ABC"/>
    <w:rsid w:val="00F93D3A"/>
    <w:rsid w:val="00F95F82"/>
    <w:rsid w:val="00F97A90"/>
    <w:rsid w:val="00FA0D97"/>
    <w:rsid w:val="00FC2F35"/>
    <w:rsid w:val="00FC3FD7"/>
    <w:rsid w:val="00FC4A0F"/>
    <w:rsid w:val="00FD1FC6"/>
    <w:rsid w:val="00FE5869"/>
    <w:rsid w:val="00FF0B4A"/>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6F651849-FC2C-4447-B593-1BC84021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4">
    <w:name w:val="heading 4"/>
    <w:basedOn w:val="Normal"/>
    <w:next w:val="Normal"/>
    <w:link w:val="Heading4Char"/>
    <w:semiHidden/>
    <w:unhideWhenUsed/>
    <w:qFormat/>
    <w:rsid w:val="00244A6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1121"/>
    <w:pPr>
      <w:spacing w:before="360" w:after="360"/>
      <w:ind w:left="289" w:right="289"/>
      <w:jc w:val="both"/>
    </w:pPr>
    <w:rPr>
      <w:sz w:val="18"/>
      <w:lang w:val="fr-CA"/>
    </w:rPr>
  </w:style>
  <w:style w:type="paragraph" w:customStyle="1" w:styleId="Paragraph">
    <w:name w:val="Paragraph"/>
    <w:basedOn w:val="Normal"/>
    <w:rsid w:val="00F21121"/>
    <w:pPr>
      <w:ind w:firstLine="284"/>
      <w:jc w:val="both"/>
    </w:pPr>
    <w:rPr>
      <w:sz w:val="20"/>
      <w:lang w:val="en-CA"/>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rsid w:val="009358CE"/>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9358CE"/>
    <w:rPr>
      <w:rFonts w:ascii="Tahoma" w:hAnsi="Tahoma" w:cs="Tahoma"/>
      <w:sz w:val="16"/>
      <w:szCs w:val="16"/>
      <w:lang w:val="fr-CA" w:eastAsia="en-CA"/>
    </w:rPr>
  </w:style>
  <w:style w:type="character" w:customStyle="1" w:styleId="BalloonTextChar">
    <w:name w:val="Balloon Text Char"/>
    <w:basedOn w:val="DefaultParagraphFont"/>
    <w:link w:val="BalloonText"/>
    <w:rsid w:val="009358CE"/>
    <w:rPr>
      <w:rFonts w:ascii="Tahoma" w:hAnsi="Tahoma" w:cs="Tahoma"/>
      <w:sz w:val="16"/>
      <w:szCs w:val="16"/>
      <w:lang w:val="fr-CA" w:eastAsia="en-CA"/>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autoRedefine/>
    <w:qFormat/>
    <w:rsid w:val="002C3A3A"/>
    <w:rPr>
      <w:szCs w:val="18"/>
      <w:lang w:val="en-CA" w:eastAsia="en-CA"/>
    </w:rPr>
  </w:style>
  <w:style w:type="paragraph" w:customStyle="1" w:styleId="Paragraphnumbered">
    <w:name w:val="Paragraph (numbered)"/>
    <w:rsid w:val="000B49C0"/>
    <w:pPr>
      <w:numPr>
        <w:numId w:val="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Header">
    <w:name w:val="header"/>
    <w:basedOn w:val="Normal"/>
    <w:link w:val="HeaderChar"/>
    <w:unhideWhenUsed/>
    <w:rsid w:val="007D6D1A"/>
    <w:pPr>
      <w:tabs>
        <w:tab w:val="center" w:pos="4536"/>
        <w:tab w:val="right" w:pos="9072"/>
      </w:tabs>
    </w:pPr>
  </w:style>
  <w:style w:type="character" w:customStyle="1" w:styleId="HeaderChar">
    <w:name w:val="Header Char"/>
    <w:basedOn w:val="DefaultParagraphFont"/>
    <w:link w:val="Header"/>
    <w:rsid w:val="007D6D1A"/>
    <w:rPr>
      <w:sz w:val="24"/>
      <w:lang w:val="en-US" w:eastAsia="en-US"/>
    </w:rPr>
  </w:style>
  <w:style w:type="paragraph" w:styleId="Footer">
    <w:name w:val="footer"/>
    <w:basedOn w:val="Normal"/>
    <w:link w:val="FooterChar"/>
    <w:unhideWhenUsed/>
    <w:rsid w:val="007D6D1A"/>
    <w:pPr>
      <w:tabs>
        <w:tab w:val="center" w:pos="4536"/>
        <w:tab w:val="right" w:pos="9072"/>
      </w:tabs>
    </w:pPr>
  </w:style>
  <w:style w:type="character" w:customStyle="1" w:styleId="FooterChar">
    <w:name w:val="Footer Char"/>
    <w:basedOn w:val="DefaultParagraphFont"/>
    <w:link w:val="Footer"/>
    <w:rsid w:val="007D6D1A"/>
    <w:rPr>
      <w:sz w:val="24"/>
      <w:lang w:val="en-US" w:eastAsia="en-US"/>
    </w:rPr>
  </w:style>
  <w:style w:type="character" w:customStyle="1" w:styleId="sr-only">
    <w:name w:val="sr-only"/>
    <w:basedOn w:val="DefaultParagraphFont"/>
    <w:rsid w:val="00AF64ED"/>
  </w:style>
  <w:style w:type="character" w:customStyle="1" w:styleId="Heading4Char">
    <w:name w:val="Heading 4 Char"/>
    <w:basedOn w:val="DefaultParagraphFont"/>
    <w:link w:val="Heading4"/>
    <w:semiHidden/>
    <w:rsid w:val="00244A6C"/>
    <w:rPr>
      <w:rFonts w:asciiTheme="majorHAnsi" w:eastAsiaTheme="majorEastAsia" w:hAnsiTheme="majorHAnsi" w:cstheme="majorBidi"/>
      <w:i/>
      <w:iCs/>
      <w:color w:val="365F91" w:themeColor="accent1" w:themeShade="B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3622">
      <w:bodyDiv w:val="1"/>
      <w:marLeft w:val="0"/>
      <w:marRight w:val="0"/>
      <w:marTop w:val="0"/>
      <w:marBottom w:val="0"/>
      <w:divBdr>
        <w:top w:val="none" w:sz="0" w:space="0" w:color="auto"/>
        <w:left w:val="none" w:sz="0" w:space="0" w:color="auto"/>
        <w:bottom w:val="none" w:sz="0" w:space="0" w:color="auto"/>
        <w:right w:val="none" w:sz="0" w:space="0" w:color="auto"/>
      </w:divBdr>
    </w:div>
    <w:div w:id="135415184">
      <w:bodyDiv w:val="1"/>
      <w:marLeft w:val="0"/>
      <w:marRight w:val="0"/>
      <w:marTop w:val="0"/>
      <w:marBottom w:val="0"/>
      <w:divBdr>
        <w:top w:val="none" w:sz="0" w:space="0" w:color="auto"/>
        <w:left w:val="none" w:sz="0" w:space="0" w:color="auto"/>
        <w:bottom w:val="none" w:sz="0" w:space="0" w:color="auto"/>
        <w:right w:val="none" w:sz="0" w:space="0" w:color="auto"/>
      </w:divBdr>
    </w:div>
    <w:div w:id="150028667">
      <w:bodyDiv w:val="1"/>
      <w:marLeft w:val="0"/>
      <w:marRight w:val="0"/>
      <w:marTop w:val="0"/>
      <w:marBottom w:val="0"/>
      <w:divBdr>
        <w:top w:val="none" w:sz="0" w:space="0" w:color="auto"/>
        <w:left w:val="none" w:sz="0" w:space="0" w:color="auto"/>
        <w:bottom w:val="none" w:sz="0" w:space="0" w:color="auto"/>
        <w:right w:val="none" w:sz="0" w:space="0" w:color="auto"/>
      </w:divBdr>
    </w:div>
    <w:div w:id="171843382">
      <w:bodyDiv w:val="1"/>
      <w:marLeft w:val="0"/>
      <w:marRight w:val="0"/>
      <w:marTop w:val="0"/>
      <w:marBottom w:val="0"/>
      <w:divBdr>
        <w:top w:val="none" w:sz="0" w:space="0" w:color="auto"/>
        <w:left w:val="none" w:sz="0" w:space="0" w:color="auto"/>
        <w:bottom w:val="none" w:sz="0" w:space="0" w:color="auto"/>
        <w:right w:val="none" w:sz="0" w:space="0" w:color="auto"/>
      </w:divBdr>
    </w:div>
    <w:div w:id="238098454">
      <w:bodyDiv w:val="1"/>
      <w:marLeft w:val="0"/>
      <w:marRight w:val="0"/>
      <w:marTop w:val="0"/>
      <w:marBottom w:val="0"/>
      <w:divBdr>
        <w:top w:val="none" w:sz="0" w:space="0" w:color="auto"/>
        <w:left w:val="none" w:sz="0" w:space="0" w:color="auto"/>
        <w:bottom w:val="none" w:sz="0" w:space="0" w:color="auto"/>
        <w:right w:val="none" w:sz="0" w:space="0" w:color="auto"/>
      </w:divBdr>
    </w:div>
    <w:div w:id="244152174">
      <w:bodyDiv w:val="1"/>
      <w:marLeft w:val="0"/>
      <w:marRight w:val="0"/>
      <w:marTop w:val="0"/>
      <w:marBottom w:val="0"/>
      <w:divBdr>
        <w:top w:val="none" w:sz="0" w:space="0" w:color="auto"/>
        <w:left w:val="none" w:sz="0" w:space="0" w:color="auto"/>
        <w:bottom w:val="none" w:sz="0" w:space="0" w:color="auto"/>
        <w:right w:val="none" w:sz="0" w:space="0" w:color="auto"/>
      </w:divBdr>
    </w:div>
    <w:div w:id="267010127">
      <w:bodyDiv w:val="1"/>
      <w:marLeft w:val="0"/>
      <w:marRight w:val="0"/>
      <w:marTop w:val="0"/>
      <w:marBottom w:val="0"/>
      <w:divBdr>
        <w:top w:val="none" w:sz="0" w:space="0" w:color="auto"/>
        <w:left w:val="none" w:sz="0" w:space="0" w:color="auto"/>
        <w:bottom w:val="none" w:sz="0" w:space="0" w:color="auto"/>
        <w:right w:val="none" w:sz="0" w:space="0" w:color="auto"/>
      </w:divBdr>
    </w:div>
    <w:div w:id="267781136">
      <w:bodyDiv w:val="1"/>
      <w:marLeft w:val="0"/>
      <w:marRight w:val="0"/>
      <w:marTop w:val="0"/>
      <w:marBottom w:val="0"/>
      <w:divBdr>
        <w:top w:val="none" w:sz="0" w:space="0" w:color="auto"/>
        <w:left w:val="none" w:sz="0" w:space="0" w:color="auto"/>
        <w:bottom w:val="none" w:sz="0" w:space="0" w:color="auto"/>
        <w:right w:val="none" w:sz="0" w:space="0" w:color="auto"/>
      </w:divBdr>
    </w:div>
    <w:div w:id="306857170">
      <w:bodyDiv w:val="1"/>
      <w:marLeft w:val="0"/>
      <w:marRight w:val="0"/>
      <w:marTop w:val="0"/>
      <w:marBottom w:val="0"/>
      <w:divBdr>
        <w:top w:val="none" w:sz="0" w:space="0" w:color="auto"/>
        <w:left w:val="none" w:sz="0" w:space="0" w:color="auto"/>
        <w:bottom w:val="none" w:sz="0" w:space="0" w:color="auto"/>
        <w:right w:val="none" w:sz="0" w:space="0" w:color="auto"/>
      </w:divBdr>
    </w:div>
    <w:div w:id="308704957">
      <w:bodyDiv w:val="1"/>
      <w:marLeft w:val="0"/>
      <w:marRight w:val="0"/>
      <w:marTop w:val="0"/>
      <w:marBottom w:val="0"/>
      <w:divBdr>
        <w:top w:val="none" w:sz="0" w:space="0" w:color="auto"/>
        <w:left w:val="none" w:sz="0" w:space="0" w:color="auto"/>
        <w:bottom w:val="none" w:sz="0" w:space="0" w:color="auto"/>
        <w:right w:val="none" w:sz="0" w:space="0" w:color="auto"/>
      </w:divBdr>
    </w:div>
    <w:div w:id="380204074">
      <w:bodyDiv w:val="1"/>
      <w:marLeft w:val="0"/>
      <w:marRight w:val="0"/>
      <w:marTop w:val="0"/>
      <w:marBottom w:val="0"/>
      <w:divBdr>
        <w:top w:val="none" w:sz="0" w:space="0" w:color="auto"/>
        <w:left w:val="none" w:sz="0" w:space="0" w:color="auto"/>
        <w:bottom w:val="none" w:sz="0" w:space="0" w:color="auto"/>
        <w:right w:val="none" w:sz="0" w:space="0" w:color="auto"/>
      </w:divBdr>
    </w:div>
    <w:div w:id="391730981">
      <w:bodyDiv w:val="1"/>
      <w:marLeft w:val="0"/>
      <w:marRight w:val="0"/>
      <w:marTop w:val="0"/>
      <w:marBottom w:val="0"/>
      <w:divBdr>
        <w:top w:val="none" w:sz="0" w:space="0" w:color="auto"/>
        <w:left w:val="none" w:sz="0" w:space="0" w:color="auto"/>
        <w:bottom w:val="none" w:sz="0" w:space="0" w:color="auto"/>
        <w:right w:val="none" w:sz="0" w:space="0" w:color="auto"/>
      </w:divBdr>
    </w:div>
    <w:div w:id="505286661">
      <w:bodyDiv w:val="1"/>
      <w:marLeft w:val="0"/>
      <w:marRight w:val="0"/>
      <w:marTop w:val="0"/>
      <w:marBottom w:val="0"/>
      <w:divBdr>
        <w:top w:val="none" w:sz="0" w:space="0" w:color="auto"/>
        <w:left w:val="none" w:sz="0" w:space="0" w:color="auto"/>
        <w:bottom w:val="none" w:sz="0" w:space="0" w:color="auto"/>
        <w:right w:val="none" w:sz="0" w:space="0" w:color="auto"/>
      </w:divBdr>
    </w:div>
    <w:div w:id="584925653">
      <w:bodyDiv w:val="1"/>
      <w:marLeft w:val="0"/>
      <w:marRight w:val="0"/>
      <w:marTop w:val="0"/>
      <w:marBottom w:val="0"/>
      <w:divBdr>
        <w:top w:val="none" w:sz="0" w:space="0" w:color="auto"/>
        <w:left w:val="none" w:sz="0" w:space="0" w:color="auto"/>
        <w:bottom w:val="none" w:sz="0" w:space="0" w:color="auto"/>
        <w:right w:val="none" w:sz="0" w:space="0" w:color="auto"/>
      </w:divBdr>
    </w:div>
    <w:div w:id="603538590">
      <w:bodyDiv w:val="1"/>
      <w:marLeft w:val="0"/>
      <w:marRight w:val="0"/>
      <w:marTop w:val="0"/>
      <w:marBottom w:val="0"/>
      <w:divBdr>
        <w:top w:val="none" w:sz="0" w:space="0" w:color="auto"/>
        <w:left w:val="none" w:sz="0" w:space="0" w:color="auto"/>
        <w:bottom w:val="none" w:sz="0" w:space="0" w:color="auto"/>
        <w:right w:val="none" w:sz="0" w:space="0" w:color="auto"/>
      </w:divBdr>
    </w:div>
    <w:div w:id="640812484">
      <w:bodyDiv w:val="1"/>
      <w:marLeft w:val="0"/>
      <w:marRight w:val="0"/>
      <w:marTop w:val="0"/>
      <w:marBottom w:val="0"/>
      <w:divBdr>
        <w:top w:val="none" w:sz="0" w:space="0" w:color="auto"/>
        <w:left w:val="none" w:sz="0" w:space="0" w:color="auto"/>
        <w:bottom w:val="none" w:sz="0" w:space="0" w:color="auto"/>
        <w:right w:val="none" w:sz="0" w:space="0" w:color="auto"/>
      </w:divBdr>
    </w:div>
    <w:div w:id="710572503">
      <w:bodyDiv w:val="1"/>
      <w:marLeft w:val="0"/>
      <w:marRight w:val="0"/>
      <w:marTop w:val="0"/>
      <w:marBottom w:val="0"/>
      <w:divBdr>
        <w:top w:val="none" w:sz="0" w:space="0" w:color="auto"/>
        <w:left w:val="none" w:sz="0" w:space="0" w:color="auto"/>
        <w:bottom w:val="none" w:sz="0" w:space="0" w:color="auto"/>
        <w:right w:val="none" w:sz="0" w:space="0" w:color="auto"/>
      </w:divBdr>
    </w:div>
    <w:div w:id="756637186">
      <w:bodyDiv w:val="1"/>
      <w:marLeft w:val="0"/>
      <w:marRight w:val="0"/>
      <w:marTop w:val="0"/>
      <w:marBottom w:val="0"/>
      <w:divBdr>
        <w:top w:val="none" w:sz="0" w:space="0" w:color="auto"/>
        <w:left w:val="none" w:sz="0" w:space="0" w:color="auto"/>
        <w:bottom w:val="none" w:sz="0" w:space="0" w:color="auto"/>
        <w:right w:val="none" w:sz="0" w:space="0" w:color="auto"/>
      </w:divBdr>
    </w:div>
    <w:div w:id="881206289">
      <w:bodyDiv w:val="1"/>
      <w:marLeft w:val="0"/>
      <w:marRight w:val="0"/>
      <w:marTop w:val="0"/>
      <w:marBottom w:val="0"/>
      <w:divBdr>
        <w:top w:val="none" w:sz="0" w:space="0" w:color="auto"/>
        <w:left w:val="none" w:sz="0" w:space="0" w:color="auto"/>
        <w:bottom w:val="none" w:sz="0" w:space="0" w:color="auto"/>
        <w:right w:val="none" w:sz="0" w:space="0" w:color="auto"/>
      </w:divBdr>
      <w:divsChild>
        <w:div w:id="1040781591">
          <w:marLeft w:val="0"/>
          <w:marRight w:val="0"/>
          <w:marTop w:val="0"/>
          <w:marBottom w:val="0"/>
          <w:divBdr>
            <w:top w:val="none" w:sz="0" w:space="0" w:color="auto"/>
            <w:left w:val="none" w:sz="0" w:space="0" w:color="auto"/>
            <w:bottom w:val="none" w:sz="0" w:space="0" w:color="auto"/>
            <w:right w:val="none" w:sz="0" w:space="0" w:color="auto"/>
          </w:divBdr>
          <w:divsChild>
            <w:div w:id="1532187809">
              <w:marLeft w:val="0"/>
              <w:marRight w:val="0"/>
              <w:marTop w:val="0"/>
              <w:marBottom w:val="0"/>
              <w:divBdr>
                <w:top w:val="none" w:sz="0" w:space="0" w:color="auto"/>
                <w:left w:val="none" w:sz="0" w:space="0" w:color="auto"/>
                <w:bottom w:val="none" w:sz="0" w:space="0" w:color="auto"/>
                <w:right w:val="none" w:sz="0" w:space="0" w:color="auto"/>
              </w:divBdr>
              <w:divsChild>
                <w:div w:id="606809671">
                  <w:marLeft w:val="0"/>
                  <w:marRight w:val="0"/>
                  <w:marTop w:val="0"/>
                  <w:marBottom w:val="0"/>
                  <w:divBdr>
                    <w:top w:val="none" w:sz="0" w:space="0" w:color="auto"/>
                    <w:left w:val="none" w:sz="0" w:space="0" w:color="auto"/>
                    <w:bottom w:val="none" w:sz="0" w:space="0" w:color="auto"/>
                    <w:right w:val="none" w:sz="0" w:space="0" w:color="auto"/>
                  </w:divBdr>
                  <w:divsChild>
                    <w:div w:id="604308358">
                      <w:marLeft w:val="0"/>
                      <w:marRight w:val="0"/>
                      <w:marTop w:val="0"/>
                      <w:marBottom w:val="0"/>
                      <w:divBdr>
                        <w:top w:val="none" w:sz="0" w:space="0" w:color="auto"/>
                        <w:left w:val="none" w:sz="0" w:space="0" w:color="auto"/>
                        <w:bottom w:val="none" w:sz="0" w:space="0" w:color="auto"/>
                        <w:right w:val="none" w:sz="0" w:space="0" w:color="auto"/>
                      </w:divBdr>
                      <w:divsChild>
                        <w:div w:id="215706189">
                          <w:marLeft w:val="0"/>
                          <w:marRight w:val="0"/>
                          <w:marTop w:val="0"/>
                          <w:marBottom w:val="0"/>
                          <w:divBdr>
                            <w:top w:val="none" w:sz="0" w:space="0" w:color="auto"/>
                            <w:left w:val="none" w:sz="0" w:space="0" w:color="auto"/>
                            <w:bottom w:val="none" w:sz="0" w:space="0" w:color="auto"/>
                            <w:right w:val="none" w:sz="0" w:space="0" w:color="auto"/>
                          </w:divBdr>
                          <w:divsChild>
                            <w:div w:id="9548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8192">
                  <w:marLeft w:val="0"/>
                  <w:marRight w:val="0"/>
                  <w:marTop w:val="0"/>
                  <w:marBottom w:val="0"/>
                  <w:divBdr>
                    <w:top w:val="none" w:sz="0" w:space="0" w:color="auto"/>
                    <w:left w:val="none" w:sz="0" w:space="0" w:color="auto"/>
                    <w:bottom w:val="none" w:sz="0" w:space="0" w:color="auto"/>
                    <w:right w:val="none" w:sz="0" w:space="0" w:color="auto"/>
                  </w:divBdr>
                  <w:divsChild>
                    <w:div w:id="16271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802287">
      <w:bodyDiv w:val="1"/>
      <w:marLeft w:val="0"/>
      <w:marRight w:val="0"/>
      <w:marTop w:val="0"/>
      <w:marBottom w:val="0"/>
      <w:divBdr>
        <w:top w:val="none" w:sz="0" w:space="0" w:color="auto"/>
        <w:left w:val="none" w:sz="0" w:space="0" w:color="auto"/>
        <w:bottom w:val="none" w:sz="0" w:space="0" w:color="auto"/>
        <w:right w:val="none" w:sz="0" w:space="0" w:color="auto"/>
      </w:divBdr>
    </w:div>
    <w:div w:id="967972768">
      <w:bodyDiv w:val="1"/>
      <w:marLeft w:val="0"/>
      <w:marRight w:val="0"/>
      <w:marTop w:val="0"/>
      <w:marBottom w:val="0"/>
      <w:divBdr>
        <w:top w:val="none" w:sz="0" w:space="0" w:color="auto"/>
        <w:left w:val="none" w:sz="0" w:space="0" w:color="auto"/>
        <w:bottom w:val="none" w:sz="0" w:space="0" w:color="auto"/>
        <w:right w:val="none" w:sz="0" w:space="0" w:color="auto"/>
      </w:divBdr>
    </w:div>
    <w:div w:id="1035692832">
      <w:bodyDiv w:val="1"/>
      <w:marLeft w:val="0"/>
      <w:marRight w:val="0"/>
      <w:marTop w:val="0"/>
      <w:marBottom w:val="0"/>
      <w:divBdr>
        <w:top w:val="none" w:sz="0" w:space="0" w:color="auto"/>
        <w:left w:val="none" w:sz="0" w:space="0" w:color="auto"/>
        <w:bottom w:val="none" w:sz="0" w:space="0" w:color="auto"/>
        <w:right w:val="none" w:sz="0" w:space="0" w:color="auto"/>
      </w:divBdr>
    </w:div>
    <w:div w:id="1047218765">
      <w:bodyDiv w:val="1"/>
      <w:marLeft w:val="0"/>
      <w:marRight w:val="0"/>
      <w:marTop w:val="0"/>
      <w:marBottom w:val="0"/>
      <w:divBdr>
        <w:top w:val="none" w:sz="0" w:space="0" w:color="auto"/>
        <w:left w:val="none" w:sz="0" w:space="0" w:color="auto"/>
        <w:bottom w:val="none" w:sz="0" w:space="0" w:color="auto"/>
        <w:right w:val="none" w:sz="0" w:space="0" w:color="auto"/>
      </w:divBdr>
      <w:divsChild>
        <w:div w:id="1120221623">
          <w:marLeft w:val="0"/>
          <w:marRight w:val="0"/>
          <w:marTop w:val="0"/>
          <w:marBottom w:val="0"/>
          <w:divBdr>
            <w:top w:val="none" w:sz="0" w:space="0" w:color="auto"/>
            <w:left w:val="none" w:sz="0" w:space="0" w:color="auto"/>
            <w:bottom w:val="none" w:sz="0" w:space="0" w:color="auto"/>
            <w:right w:val="none" w:sz="0" w:space="0" w:color="auto"/>
          </w:divBdr>
          <w:divsChild>
            <w:div w:id="1713111569">
              <w:marLeft w:val="0"/>
              <w:marRight w:val="0"/>
              <w:marTop w:val="0"/>
              <w:marBottom w:val="0"/>
              <w:divBdr>
                <w:top w:val="none" w:sz="0" w:space="0" w:color="auto"/>
                <w:left w:val="none" w:sz="0" w:space="0" w:color="auto"/>
                <w:bottom w:val="none" w:sz="0" w:space="0" w:color="auto"/>
                <w:right w:val="none" w:sz="0" w:space="0" w:color="auto"/>
              </w:divBdr>
              <w:divsChild>
                <w:div w:id="168446076">
                  <w:marLeft w:val="0"/>
                  <w:marRight w:val="0"/>
                  <w:marTop w:val="0"/>
                  <w:marBottom w:val="0"/>
                  <w:divBdr>
                    <w:top w:val="none" w:sz="0" w:space="0" w:color="auto"/>
                    <w:left w:val="none" w:sz="0" w:space="0" w:color="auto"/>
                    <w:bottom w:val="none" w:sz="0" w:space="0" w:color="auto"/>
                    <w:right w:val="none" w:sz="0" w:space="0" w:color="auto"/>
                  </w:divBdr>
                  <w:divsChild>
                    <w:div w:id="805775927">
                      <w:marLeft w:val="0"/>
                      <w:marRight w:val="0"/>
                      <w:marTop w:val="0"/>
                      <w:marBottom w:val="0"/>
                      <w:divBdr>
                        <w:top w:val="none" w:sz="0" w:space="0" w:color="auto"/>
                        <w:left w:val="none" w:sz="0" w:space="0" w:color="auto"/>
                        <w:bottom w:val="none" w:sz="0" w:space="0" w:color="auto"/>
                        <w:right w:val="none" w:sz="0" w:space="0" w:color="auto"/>
                      </w:divBdr>
                      <w:divsChild>
                        <w:div w:id="365254797">
                          <w:marLeft w:val="0"/>
                          <w:marRight w:val="0"/>
                          <w:marTop w:val="0"/>
                          <w:marBottom w:val="0"/>
                          <w:divBdr>
                            <w:top w:val="none" w:sz="0" w:space="0" w:color="auto"/>
                            <w:left w:val="none" w:sz="0" w:space="0" w:color="auto"/>
                            <w:bottom w:val="none" w:sz="0" w:space="0" w:color="auto"/>
                            <w:right w:val="none" w:sz="0" w:space="0" w:color="auto"/>
                          </w:divBdr>
                          <w:divsChild>
                            <w:div w:id="7702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6757">
                  <w:marLeft w:val="0"/>
                  <w:marRight w:val="0"/>
                  <w:marTop w:val="0"/>
                  <w:marBottom w:val="0"/>
                  <w:divBdr>
                    <w:top w:val="none" w:sz="0" w:space="0" w:color="auto"/>
                    <w:left w:val="none" w:sz="0" w:space="0" w:color="auto"/>
                    <w:bottom w:val="none" w:sz="0" w:space="0" w:color="auto"/>
                    <w:right w:val="none" w:sz="0" w:space="0" w:color="auto"/>
                  </w:divBdr>
                  <w:divsChild>
                    <w:div w:id="1823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14266">
      <w:bodyDiv w:val="1"/>
      <w:marLeft w:val="0"/>
      <w:marRight w:val="0"/>
      <w:marTop w:val="0"/>
      <w:marBottom w:val="0"/>
      <w:divBdr>
        <w:top w:val="none" w:sz="0" w:space="0" w:color="auto"/>
        <w:left w:val="none" w:sz="0" w:space="0" w:color="auto"/>
        <w:bottom w:val="none" w:sz="0" w:space="0" w:color="auto"/>
        <w:right w:val="none" w:sz="0" w:space="0" w:color="auto"/>
      </w:divBdr>
    </w:div>
    <w:div w:id="1160970261">
      <w:bodyDiv w:val="1"/>
      <w:marLeft w:val="0"/>
      <w:marRight w:val="0"/>
      <w:marTop w:val="0"/>
      <w:marBottom w:val="0"/>
      <w:divBdr>
        <w:top w:val="none" w:sz="0" w:space="0" w:color="auto"/>
        <w:left w:val="none" w:sz="0" w:space="0" w:color="auto"/>
        <w:bottom w:val="none" w:sz="0" w:space="0" w:color="auto"/>
        <w:right w:val="none" w:sz="0" w:space="0" w:color="auto"/>
      </w:divBdr>
    </w:div>
    <w:div w:id="1173031508">
      <w:bodyDiv w:val="1"/>
      <w:marLeft w:val="0"/>
      <w:marRight w:val="0"/>
      <w:marTop w:val="0"/>
      <w:marBottom w:val="0"/>
      <w:divBdr>
        <w:top w:val="none" w:sz="0" w:space="0" w:color="auto"/>
        <w:left w:val="none" w:sz="0" w:space="0" w:color="auto"/>
        <w:bottom w:val="none" w:sz="0" w:space="0" w:color="auto"/>
        <w:right w:val="none" w:sz="0" w:space="0" w:color="auto"/>
      </w:divBdr>
    </w:div>
    <w:div w:id="1210217646">
      <w:bodyDiv w:val="1"/>
      <w:marLeft w:val="0"/>
      <w:marRight w:val="0"/>
      <w:marTop w:val="0"/>
      <w:marBottom w:val="0"/>
      <w:divBdr>
        <w:top w:val="none" w:sz="0" w:space="0" w:color="auto"/>
        <w:left w:val="none" w:sz="0" w:space="0" w:color="auto"/>
        <w:bottom w:val="none" w:sz="0" w:space="0" w:color="auto"/>
        <w:right w:val="none" w:sz="0" w:space="0" w:color="auto"/>
      </w:divBdr>
    </w:div>
    <w:div w:id="1228153513">
      <w:bodyDiv w:val="1"/>
      <w:marLeft w:val="0"/>
      <w:marRight w:val="0"/>
      <w:marTop w:val="0"/>
      <w:marBottom w:val="0"/>
      <w:divBdr>
        <w:top w:val="none" w:sz="0" w:space="0" w:color="auto"/>
        <w:left w:val="none" w:sz="0" w:space="0" w:color="auto"/>
        <w:bottom w:val="none" w:sz="0" w:space="0" w:color="auto"/>
        <w:right w:val="none" w:sz="0" w:space="0" w:color="auto"/>
      </w:divBdr>
    </w:div>
    <w:div w:id="1258947930">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77912240">
      <w:bodyDiv w:val="1"/>
      <w:marLeft w:val="0"/>
      <w:marRight w:val="0"/>
      <w:marTop w:val="0"/>
      <w:marBottom w:val="0"/>
      <w:divBdr>
        <w:top w:val="none" w:sz="0" w:space="0" w:color="auto"/>
        <w:left w:val="none" w:sz="0" w:space="0" w:color="auto"/>
        <w:bottom w:val="none" w:sz="0" w:space="0" w:color="auto"/>
        <w:right w:val="none" w:sz="0" w:space="0" w:color="auto"/>
      </w:divBdr>
    </w:div>
    <w:div w:id="1280336627">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86042039">
      <w:bodyDiv w:val="1"/>
      <w:marLeft w:val="0"/>
      <w:marRight w:val="0"/>
      <w:marTop w:val="0"/>
      <w:marBottom w:val="0"/>
      <w:divBdr>
        <w:top w:val="none" w:sz="0" w:space="0" w:color="auto"/>
        <w:left w:val="none" w:sz="0" w:space="0" w:color="auto"/>
        <w:bottom w:val="none" w:sz="0" w:space="0" w:color="auto"/>
        <w:right w:val="none" w:sz="0" w:space="0" w:color="auto"/>
      </w:divBdr>
    </w:div>
    <w:div w:id="1315061151">
      <w:bodyDiv w:val="1"/>
      <w:marLeft w:val="0"/>
      <w:marRight w:val="0"/>
      <w:marTop w:val="0"/>
      <w:marBottom w:val="0"/>
      <w:divBdr>
        <w:top w:val="none" w:sz="0" w:space="0" w:color="auto"/>
        <w:left w:val="none" w:sz="0" w:space="0" w:color="auto"/>
        <w:bottom w:val="none" w:sz="0" w:space="0" w:color="auto"/>
        <w:right w:val="none" w:sz="0" w:space="0" w:color="auto"/>
      </w:divBdr>
      <w:divsChild>
        <w:div w:id="1009991139">
          <w:marLeft w:val="0"/>
          <w:marRight w:val="0"/>
          <w:marTop w:val="0"/>
          <w:marBottom w:val="0"/>
          <w:divBdr>
            <w:top w:val="none" w:sz="0" w:space="0" w:color="auto"/>
            <w:left w:val="none" w:sz="0" w:space="0" w:color="auto"/>
            <w:bottom w:val="none" w:sz="0" w:space="0" w:color="auto"/>
            <w:right w:val="none" w:sz="0" w:space="0" w:color="auto"/>
          </w:divBdr>
          <w:divsChild>
            <w:div w:id="1819110235">
              <w:marLeft w:val="0"/>
              <w:marRight w:val="0"/>
              <w:marTop w:val="0"/>
              <w:marBottom w:val="0"/>
              <w:divBdr>
                <w:top w:val="none" w:sz="0" w:space="0" w:color="auto"/>
                <w:left w:val="none" w:sz="0" w:space="0" w:color="auto"/>
                <w:bottom w:val="none" w:sz="0" w:space="0" w:color="auto"/>
                <w:right w:val="none" w:sz="0" w:space="0" w:color="auto"/>
              </w:divBdr>
              <w:divsChild>
                <w:div w:id="109016345">
                  <w:marLeft w:val="0"/>
                  <w:marRight w:val="0"/>
                  <w:marTop w:val="0"/>
                  <w:marBottom w:val="0"/>
                  <w:divBdr>
                    <w:top w:val="none" w:sz="0" w:space="0" w:color="auto"/>
                    <w:left w:val="none" w:sz="0" w:space="0" w:color="auto"/>
                    <w:bottom w:val="none" w:sz="0" w:space="0" w:color="auto"/>
                    <w:right w:val="none" w:sz="0" w:space="0" w:color="auto"/>
                  </w:divBdr>
                  <w:divsChild>
                    <w:div w:id="152064656">
                      <w:marLeft w:val="0"/>
                      <w:marRight w:val="0"/>
                      <w:marTop w:val="0"/>
                      <w:marBottom w:val="0"/>
                      <w:divBdr>
                        <w:top w:val="none" w:sz="0" w:space="0" w:color="auto"/>
                        <w:left w:val="none" w:sz="0" w:space="0" w:color="auto"/>
                        <w:bottom w:val="none" w:sz="0" w:space="0" w:color="auto"/>
                        <w:right w:val="none" w:sz="0" w:space="0" w:color="auto"/>
                      </w:divBdr>
                      <w:divsChild>
                        <w:div w:id="986663921">
                          <w:marLeft w:val="0"/>
                          <w:marRight w:val="0"/>
                          <w:marTop w:val="0"/>
                          <w:marBottom w:val="0"/>
                          <w:divBdr>
                            <w:top w:val="none" w:sz="0" w:space="0" w:color="auto"/>
                            <w:left w:val="none" w:sz="0" w:space="0" w:color="auto"/>
                            <w:bottom w:val="none" w:sz="0" w:space="0" w:color="auto"/>
                            <w:right w:val="none" w:sz="0" w:space="0" w:color="auto"/>
                          </w:divBdr>
                          <w:divsChild>
                            <w:div w:id="2141259294">
                              <w:marLeft w:val="0"/>
                              <w:marRight w:val="0"/>
                              <w:marTop w:val="0"/>
                              <w:marBottom w:val="0"/>
                              <w:divBdr>
                                <w:top w:val="none" w:sz="0" w:space="0" w:color="auto"/>
                                <w:left w:val="none" w:sz="0" w:space="0" w:color="auto"/>
                                <w:bottom w:val="none" w:sz="0" w:space="0" w:color="auto"/>
                                <w:right w:val="none" w:sz="0" w:space="0" w:color="auto"/>
                              </w:divBdr>
                              <w:divsChild>
                                <w:div w:id="1666470591">
                                  <w:marLeft w:val="0"/>
                                  <w:marRight w:val="0"/>
                                  <w:marTop w:val="0"/>
                                  <w:marBottom w:val="0"/>
                                  <w:divBdr>
                                    <w:top w:val="none" w:sz="0" w:space="0" w:color="auto"/>
                                    <w:left w:val="none" w:sz="0" w:space="0" w:color="auto"/>
                                    <w:bottom w:val="none" w:sz="0" w:space="0" w:color="auto"/>
                                    <w:right w:val="none" w:sz="0" w:space="0" w:color="auto"/>
                                  </w:divBdr>
                                  <w:divsChild>
                                    <w:div w:id="10844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680309">
      <w:bodyDiv w:val="1"/>
      <w:marLeft w:val="0"/>
      <w:marRight w:val="0"/>
      <w:marTop w:val="0"/>
      <w:marBottom w:val="0"/>
      <w:divBdr>
        <w:top w:val="none" w:sz="0" w:space="0" w:color="auto"/>
        <w:left w:val="none" w:sz="0" w:space="0" w:color="auto"/>
        <w:bottom w:val="none" w:sz="0" w:space="0" w:color="auto"/>
        <w:right w:val="none" w:sz="0" w:space="0" w:color="auto"/>
      </w:divBdr>
    </w:div>
    <w:div w:id="1467771802">
      <w:bodyDiv w:val="1"/>
      <w:marLeft w:val="0"/>
      <w:marRight w:val="0"/>
      <w:marTop w:val="0"/>
      <w:marBottom w:val="0"/>
      <w:divBdr>
        <w:top w:val="none" w:sz="0" w:space="0" w:color="auto"/>
        <w:left w:val="none" w:sz="0" w:space="0" w:color="auto"/>
        <w:bottom w:val="none" w:sz="0" w:space="0" w:color="auto"/>
        <w:right w:val="none" w:sz="0" w:space="0" w:color="auto"/>
      </w:divBdr>
    </w:div>
    <w:div w:id="1497067881">
      <w:bodyDiv w:val="1"/>
      <w:marLeft w:val="0"/>
      <w:marRight w:val="0"/>
      <w:marTop w:val="0"/>
      <w:marBottom w:val="0"/>
      <w:divBdr>
        <w:top w:val="none" w:sz="0" w:space="0" w:color="auto"/>
        <w:left w:val="none" w:sz="0" w:space="0" w:color="auto"/>
        <w:bottom w:val="none" w:sz="0" w:space="0" w:color="auto"/>
        <w:right w:val="none" w:sz="0" w:space="0" w:color="auto"/>
      </w:divBdr>
    </w:div>
    <w:div w:id="1535264252">
      <w:bodyDiv w:val="1"/>
      <w:marLeft w:val="0"/>
      <w:marRight w:val="0"/>
      <w:marTop w:val="0"/>
      <w:marBottom w:val="0"/>
      <w:divBdr>
        <w:top w:val="none" w:sz="0" w:space="0" w:color="auto"/>
        <w:left w:val="none" w:sz="0" w:space="0" w:color="auto"/>
        <w:bottom w:val="none" w:sz="0" w:space="0" w:color="auto"/>
        <w:right w:val="none" w:sz="0" w:space="0" w:color="auto"/>
      </w:divBdr>
    </w:div>
    <w:div w:id="1568227904">
      <w:bodyDiv w:val="1"/>
      <w:marLeft w:val="0"/>
      <w:marRight w:val="0"/>
      <w:marTop w:val="0"/>
      <w:marBottom w:val="0"/>
      <w:divBdr>
        <w:top w:val="none" w:sz="0" w:space="0" w:color="auto"/>
        <w:left w:val="none" w:sz="0" w:space="0" w:color="auto"/>
        <w:bottom w:val="none" w:sz="0" w:space="0" w:color="auto"/>
        <w:right w:val="none" w:sz="0" w:space="0" w:color="auto"/>
      </w:divBdr>
    </w:div>
    <w:div w:id="1597129895">
      <w:bodyDiv w:val="1"/>
      <w:marLeft w:val="0"/>
      <w:marRight w:val="0"/>
      <w:marTop w:val="0"/>
      <w:marBottom w:val="0"/>
      <w:divBdr>
        <w:top w:val="none" w:sz="0" w:space="0" w:color="auto"/>
        <w:left w:val="none" w:sz="0" w:space="0" w:color="auto"/>
        <w:bottom w:val="none" w:sz="0" w:space="0" w:color="auto"/>
        <w:right w:val="none" w:sz="0" w:space="0" w:color="auto"/>
      </w:divBdr>
    </w:div>
    <w:div w:id="1604412486">
      <w:bodyDiv w:val="1"/>
      <w:marLeft w:val="0"/>
      <w:marRight w:val="0"/>
      <w:marTop w:val="0"/>
      <w:marBottom w:val="0"/>
      <w:divBdr>
        <w:top w:val="none" w:sz="0" w:space="0" w:color="auto"/>
        <w:left w:val="none" w:sz="0" w:space="0" w:color="auto"/>
        <w:bottom w:val="none" w:sz="0" w:space="0" w:color="auto"/>
        <w:right w:val="none" w:sz="0" w:space="0" w:color="auto"/>
      </w:divBdr>
    </w:div>
    <w:div w:id="1628075618">
      <w:bodyDiv w:val="1"/>
      <w:marLeft w:val="0"/>
      <w:marRight w:val="0"/>
      <w:marTop w:val="0"/>
      <w:marBottom w:val="0"/>
      <w:divBdr>
        <w:top w:val="none" w:sz="0" w:space="0" w:color="auto"/>
        <w:left w:val="none" w:sz="0" w:space="0" w:color="auto"/>
        <w:bottom w:val="none" w:sz="0" w:space="0" w:color="auto"/>
        <w:right w:val="none" w:sz="0" w:space="0" w:color="auto"/>
      </w:divBdr>
    </w:div>
    <w:div w:id="1645743380">
      <w:bodyDiv w:val="1"/>
      <w:marLeft w:val="0"/>
      <w:marRight w:val="0"/>
      <w:marTop w:val="0"/>
      <w:marBottom w:val="0"/>
      <w:divBdr>
        <w:top w:val="none" w:sz="0" w:space="0" w:color="auto"/>
        <w:left w:val="none" w:sz="0" w:space="0" w:color="auto"/>
        <w:bottom w:val="none" w:sz="0" w:space="0" w:color="auto"/>
        <w:right w:val="none" w:sz="0" w:space="0" w:color="auto"/>
      </w:divBdr>
    </w:div>
    <w:div w:id="1664353034">
      <w:bodyDiv w:val="1"/>
      <w:marLeft w:val="0"/>
      <w:marRight w:val="0"/>
      <w:marTop w:val="0"/>
      <w:marBottom w:val="0"/>
      <w:divBdr>
        <w:top w:val="none" w:sz="0" w:space="0" w:color="auto"/>
        <w:left w:val="none" w:sz="0" w:space="0" w:color="auto"/>
        <w:bottom w:val="none" w:sz="0" w:space="0" w:color="auto"/>
        <w:right w:val="none" w:sz="0" w:space="0" w:color="auto"/>
      </w:divBdr>
    </w:div>
    <w:div w:id="169353237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58479356">
      <w:bodyDiv w:val="1"/>
      <w:marLeft w:val="0"/>
      <w:marRight w:val="0"/>
      <w:marTop w:val="0"/>
      <w:marBottom w:val="0"/>
      <w:divBdr>
        <w:top w:val="none" w:sz="0" w:space="0" w:color="auto"/>
        <w:left w:val="none" w:sz="0" w:space="0" w:color="auto"/>
        <w:bottom w:val="none" w:sz="0" w:space="0" w:color="auto"/>
        <w:right w:val="none" w:sz="0" w:space="0" w:color="auto"/>
      </w:divBdr>
      <w:divsChild>
        <w:div w:id="1461873591">
          <w:marLeft w:val="0"/>
          <w:marRight w:val="0"/>
          <w:marTop w:val="0"/>
          <w:marBottom w:val="0"/>
          <w:divBdr>
            <w:top w:val="none" w:sz="0" w:space="0" w:color="auto"/>
            <w:left w:val="none" w:sz="0" w:space="0" w:color="auto"/>
            <w:bottom w:val="none" w:sz="0" w:space="0" w:color="auto"/>
            <w:right w:val="none" w:sz="0" w:space="0" w:color="auto"/>
          </w:divBdr>
          <w:divsChild>
            <w:div w:id="1411390174">
              <w:marLeft w:val="0"/>
              <w:marRight w:val="0"/>
              <w:marTop w:val="0"/>
              <w:marBottom w:val="0"/>
              <w:divBdr>
                <w:top w:val="none" w:sz="0" w:space="0" w:color="auto"/>
                <w:left w:val="none" w:sz="0" w:space="0" w:color="auto"/>
                <w:bottom w:val="none" w:sz="0" w:space="0" w:color="auto"/>
                <w:right w:val="none" w:sz="0" w:space="0" w:color="auto"/>
              </w:divBdr>
              <w:divsChild>
                <w:div w:id="1242249786">
                  <w:marLeft w:val="0"/>
                  <w:marRight w:val="0"/>
                  <w:marTop w:val="0"/>
                  <w:marBottom w:val="0"/>
                  <w:divBdr>
                    <w:top w:val="none" w:sz="0" w:space="0" w:color="auto"/>
                    <w:left w:val="none" w:sz="0" w:space="0" w:color="auto"/>
                    <w:bottom w:val="none" w:sz="0" w:space="0" w:color="auto"/>
                    <w:right w:val="none" w:sz="0" w:space="0" w:color="auto"/>
                  </w:divBdr>
                  <w:divsChild>
                    <w:div w:id="485704033">
                      <w:marLeft w:val="0"/>
                      <w:marRight w:val="0"/>
                      <w:marTop w:val="0"/>
                      <w:marBottom w:val="0"/>
                      <w:divBdr>
                        <w:top w:val="none" w:sz="0" w:space="0" w:color="auto"/>
                        <w:left w:val="none" w:sz="0" w:space="0" w:color="auto"/>
                        <w:bottom w:val="none" w:sz="0" w:space="0" w:color="auto"/>
                        <w:right w:val="none" w:sz="0" w:space="0" w:color="auto"/>
                      </w:divBdr>
                      <w:divsChild>
                        <w:div w:id="151682107">
                          <w:marLeft w:val="0"/>
                          <w:marRight w:val="0"/>
                          <w:marTop w:val="0"/>
                          <w:marBottom w:val="0"/>
                          <w:divBdr>
                            <w:top w:val="none" w:sz="0" w:space="0" w:color="auto"/>
                            <w:left w:val="none" w:sz="0" w:space="0" w:color="auto"/>
                            <w:bottom w:val="none" w:sz="0" w:space="0" w:color="auto"/>
                            <w:right w:val="none" w:sz="0" w:space="0" w:color="auto"/>
                          </w:divBdr>
                          <w:divsChild>
                            <w:div w:id="497162742">
                              <w:marLeft w:val="0"/>
                              <w:marRight w:val="0"/>
                              <w:marTop w:val="0"/>
                              <w:marBottom w:val="0"/>
                              <w:divBdr>
                                <w:top w:val="none" w:sz="0" w:space="0" w:color="auto"/>
                                <w:left w:val="none" w:sz="0" w:space="0" w:color="auto"/>
                                <w:bottom w:val="none" w:sz="0" w:space="0" w:color="auto"/>
                                <w:right w:val="none" w:sz="0" w:space="0" w:color="auto"/>
                              </w:divBdr>
                              <w:divsChild>
                                <w:div w:id="864833232">
                                  <w:marLeft w:val="0"/>
                                  <w:marRight w:val="0"/>
                                  <w:marTop w:val="0"/>
                                  <w:marBottom w:val="0"/>
                                  <w:divBdr>
                                    <w:top w:val="none" w:sz="0" w:space="0" w:color="auto"/>
                                    <w:left w:val="none" w:sz="0" w:space="0" w:color="auto"/>
                                    <w:bottom w:val="none" w:sz="0" w:space="0" w:color="auto"/>
                                    <w:right w:val="none" w:sz="0" w:space="0" w:color="auto"/>
                                  </w:divBdr>
                                  <w:divsChild>
                                    <w:div w:id="16582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57687">
      <w:bodyDiv w:val="1"/>
      <w:marLeft w:val="0"/>
      <w:marRight w:val="0"/>
      <w:marTop w:val="0"/>
      <w:marBottom w:val="0"/>
      <w:divBdr>
        <w:top w:val="none" w:sz="0" w:space="0" w:color="auto"/>
        <w:left w:val="none" w:sz="0" w:space="0" w:color="auto"/>
        <w:bottom w:val="none" w:sz="0" w:space="0" w:color="auto"/>
        <w:right w:val="none" w:sz="0" w:space="0" w:color="auto"/>
      </w:divBdr>
    </w:div>
    <w:div w:id="1843425444">
      <w:bodyDiv w:val="1"/>
      <w:marLeft w:val="0"/>
      <w:marRight w:val="0"/>
      <w:marTop w:val="0"/>
      <w:marBottom w:val="0"/>
      <w:divBdr>
        <w:top w:val="none" w:sz="0" w:space="0" w:color="auto"/>
        <w:left w:val="none" w:sz="0" w:space="0" w:color="auto"/>
        <w:bottom w:val="none" w:sz="0" w:space="0" w:color="auto"/>
        <w:right w:val="none" w:sz="0" w:space="0" w:color="auto"/>
      </w:divBdr>
    </w:div>
    <w:div w:id="1856723471">
      <w:bodyDiv w:val="1"/>
      <w:marLeft w:val="0"/>
      <w:marRight w:val="0"/>
      <w:marTop w:val="0"/>
      <w:marBottom w:val="0"/>
      <w:divBdr>
        <w:top w:val="none" w:sz="0" w:space="0" w:color="auto"/>
        <w:left w:val="none" w:sz="0" w:space="0" w:color="auto"/>
        <w:bottom w:val="none" w:sz="0" w:space="0" w:color="auto"/>
        <w:right w:val="none" w:sz="0" w:space="0" w:color="auto"/>
      </w:divBdr>
    </w:div>
    <w:div w:id="2000496717">
      <w:bodyDiv w:val="1"/>
      <w:marLeft w:val="0"/>
      <w:marRight w:val="0"/>
      <w:marTop w:val="0"/>
      <w:marBottom w:val="0"/>
      <w:divBdr>
        <w:top w:val="none" w:sz="0" w:space="0" w:color="auto"/>
        <w:left w:val="none" w:sz="0" w:space="0" w:color="auto"/>
        <w:bottom w:val="none" w:sz="0" w:space="0" w:color="auto"/>
        <w:right w:val="none" w:sz="0" w:space="0" w:color="auto"/>
      </w:divBdr>
    </w:div>
    <w:div w:id="2046833567">
      <w:bodyDiv w:val="1"/>
      <w:marLeft w:val="0"/>
      <w:marRight w:val="0"/>
      <w:marTop w:val="0"/>
      <w:marBottom w:val="0"/>
      <w:divBdr>
        <w:top w:val="none" w:sz="0" w:space="0" w:color="auto"/>
        <w:left w:val="none" w:sz="0" w:space="0" w:color="auto"/>
        <w:bottom w:val="none" w:sz="0" w:space="0" w:color="auto"/>
        <w:right w:val="none" w:sz="0" w:space="0" w:color="auto"/>
      </w:divBdr>
    </w:div>
    <w:div w:id="2056847408">
      <w:bodyDiv w:val="1"/>
      <w:marLeft w:val="0"/>
      <w:marRight w:val="0"/>
      <w:marTop w:val="0"/>
      <w:marBottom w:val="0"/>
      <w:divBdr>
        <w:top w:val="none" w:sz="0" w:space="0" w:color="auto"/>
        <w:left w:val="none" w:sz="0" w:space="0" w:color="auto"/>
        <w:bottom w:val="none" w:sz="0" w:space="0" w:color="auto"/>
        <w:right w:val="none" w:sz="0" w:space="0" w:color="auto"/>
      </w:divBdr>
    </w:div>
    <w:div w:id="2091543034">
      <w:bodyDiv w:val="1"/>
      <w:marLeft w:val="0"/>
      <w:marRight w:val="0"/>
      <w:marTop w:val="0"/>
      <w:marBottom w:val="0"/>
      <w:divBdr>
        <w:top w:val="none" w:sz="0" w:space="0" w:color="auto"/>
        <w:left w:val="none" w:sz="0" w:space="0" w:color="auto"/>
        <w:bottom w:val="none" w:sz="0" w:space="0" w:color="auto"/>
        <w:right w:val="none" w:sz="0" w:space="0" w:color="auto"/>
      </w:divBdr>
    </w:div>
    <w:div w:id="2093970580">
      <w:bodyDiv w:val="1"/>
      <w:marLeft w:val="0"/>
      <w:marRight w:val="0"/>
      <w:marTop w:val="0"/>
      <w:marBottom w:val="0"/>
      <w:divBdr>
        <w:top w:val="none" w:sz="0" w:space="0" w:color="auto"/>
        <w:left w:val="none" w:sz="0" w:space="0" w:color="auto"/>
        <w:bottom w:val="none" w:sz="0" w:space="0" w:color="auto"/>
        <w:right w:val="none" w:sz="0" w:space="0" w:color="auto"/>
      </w:divBdr>
    </w:div>
    <w:div w:id="214152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ddanen@yahoo.f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A5523D-FEFC-4670-96BE-1D15F571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9</Pages>
  <Words>4072</Words>
  <Characters>27414</Characters>
  <Application>Microsoft Office Word</Application>
  <DocSecurity>0</DocSecurity>
  <Lines>228</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Title Goes Here</vt:lpstr>
      <vt:lpstr>Title Goes Here</vt:lpstr>
    </vt:vector>
  </TitlesOfParts>
  <Company>PPI</Company>
  <LinksUpToDate>false</LinksUpToDate>
  <CharactersWithSpaces>31424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Alae Azouzoute</cp:lastModifiedBy>
  <cp:revision>3</cp:revision>
  <cp:lastPrinted>2025-11-13T09:05:00Z</cp:lastPrinted>
  <dcterms:created xsi:type="dcterms:W3CDTF">2026-01-12T15:22:00Z</dcterms:created>
  <dcterms:modified xsi:type="dcterms:W3CDTF">2026-01-15T14:29:00Z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